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492EF" w14:textId="77777777" w:rsidR="00CA4A39" w:rsidRDefault="00CA4A39">
      <w:pPr>
        <w:pBdr>
          <w:top w:val="nil"/>
          <w:left w:val="nil"/>
          <w:bottom w:val="nil"/>
          <w:right w:val="nil"/>
          <w:between w:val="nil"/>
        </w:pBdr>
        <w:spacing w:line="276" w:lineRule="auto"/>
        <w:jc w:val="right"/>
        <w:rPr>
          <w:rFonts w:ascii="Arial" w:eastAsia="Arial" w:hAnsi="Arial" w:cs="Arial"/>
          <w:b/>
          <w:color w:val="000000"/>
          <w:sz w:val="36"/>
          <w:szCs w:val="36"/>
        </w:rPr>
      </w:pPr>
    </w:p>
    <w:p w14:paraId="3FEC720B" w14:textId="77777777" w:rsidR="00B10536" w:rsidRDefault="00B10536">
      <w:pPr>
        <w:pBdr>
          <w:top w:val="nil"/>
          <w:left w:val="nil"/>
          <w:bottom w:val="nil"/>
          <w:right w:val="nil"/>
          <w:between w:val="nil"/>
        </w:pBdr>
        <w:spacing w:line="276" w:lineRule="auto"/>
        <w:jc w:val="right"/>
        <w:rPr>
          <w:rFonts w:ascii="Arial" w:eastAsia="Arial" w:hAnsi="Arial" w:cs="Arial"/>
          <w:b/>
          <w:color w:val="000000"/>
          <w:sz w:val="36"/>
          <w:szCs w:val="36"/>
        </w:rPr>
      </w:pPr>
      <w:r w:rsidRPr="00B10536">
        <w:rPr>
          <w:rFonts w:ascii="Arial" w:eastAsia="Arial" w:hAnsi="Arial" w:cs="Arial"/>
          <w:b/>
          <w:color w:val="000000"/>
          <w:sz w:val="36"/>
          <w:szCs w:val="36"/>
        </w:rPr>
        <w:t xml:space="preserve">Effect of Leaf Rust Disease on Berry Yield in </w:t>
      </w:r>
      <w:proofErr w:type="spellStart"/>
      <w:r w:rsidRPr="00B10536">
        <w:rPr>
          <w:rFonts w:ascii="Arial" w:eastAsia="Arial" w:hAnsi="Arial" w:cs="Arial"/>
          <w:b/>
          <w:i/>
          <w:iCs/>
          <w:color w:val="000000"/>
          <w:sz w:val="36"/>
          <w:szCs w:val="36"/>
        </w:rPr>
        <w:t>Coffea</w:t>
      </w:r>
      <w:proofErr w:type="spellEnd"/>
      <w:r w:rsidRPr="00B10536">
        <w:rPr>
          <w:rFonts w:ascii="Arial" w:eastAsia="Arial" w:hAnsi="Arial" w:cs="Arial"/>
          <w:b/>
          <w:i/>
          <w:iCs/>
          <w:color w:val="000000"/>
          <w:sz w:val="36"/>
          <w:szCs w:val="36"/>
        </w:rPr>
        <w:t xml:space="preserve"> </w:t>
      </w:r>
      <w:proofErr w:type="spellStart"/>
      <w:r w:rsidRPr="00B10536">
        <w:rPr>
          <w:rFonts w:ascii="Arial" w:eastAsia="Arial" w:hAnsi="Arial" w:cs="Arial"/>
          <w:b/>
          <w:i/>
          <w:iCs/>
          <w:color w:val="000000"/>
          <w:sz w:val="36"/>
          <w:szCs w:val="36"/>
        </w:rPr>
        <w:t>liberica</w:t>
      </w:r>
      <w:proofErr w:type="spellEnd"/>
      <w:r w:rsidRPr="00B10536">
        <w:rPr>
          <w:rFonts w:ascii="Arial" w:eastAsia="Arial" w:hAnsi="Arial" w:cs="Arial"/>
          <w:b/>
          <w:color w:val="000000"/>
          <w:sz w:val="36"/>
          <w:szCs w:val="36"/>
        </w:rPr>
        <w:t>: A Two-Year Study of New Clonal Responses in MARDI Kluang, Malaysia</w:t>
      </w:r>
    </w:p>
    <w:p w14:paraId="2627909A" w14:textId="7EB8168B" w:rsidR="009C1ED2" w:rsidRDefault="009C1ED2">
      <w:pPr>
        <w:pBdr>
          <w:top w:val="nil"/>
          <w:left w:val="nil"/>
          <w:bottom w:val="nil"/>
          <w:right w:val="nil"/>
          <w:between w:val="nil"/>
        </w:pBdr>
        <w:spacing w:line="276" w:lineRule="auto"/>
        <w:jc w:val="both"/>
        <w:rPr>
          <w:rFonts w:ascii="Arial" w:eastAsia="Arial" w:hAnsi="Arial" w:cs="Arial"/>
          <w:color w:val="000000"/>
        </w:rPr>
      </w:pPr>
    </w:p>
    <w:p w14:paraId="7745D099" w14:textId="77777777" w:rsidR="00D53D5F" w:rsidRDefault="00D53D5F">
      <w:pPr>
        <w:pBdr>
          <w:top w:val="nil"/>
          <w:left w:val="nil"/>
          <w:bottom w:val="nil"/>
          <w:right w:val="nil"/>
          <w:between w:val="nil"/>
        </w:pBdr>
        <w:spacing w:line="276" w:lineRule="auto"/>
        <w:jc w:val="both"/>
        <w:rPr>
          <w:rFonts w:ascii="Arial" w:eastAsia="Arial" w:hAnsi="Arial" w:cs="Arial"/>
          <w:color w:val="000000"/>
        </w:rPr>
      </w:pPr>
    </w:p>
    <w:p w14:paraId="56E337DD" w14:textId="77777777" w:rsidR="009C1ED2" w:rsidRDefault="00E37E9E">
      <w:pPr>
        <w:pBdr>
          <w:top w:val="nil"/>
          <w:left w:val="nil"/>
          <w:bottom w:val="nil"/>
          <w:right w:val="nil"/>
          <w:between w:val="nil"/>
        </w:pBdr>
        <w:spacing w:line="276" w:lineRule="auto"/>
        <w:jc w:val="both"/>
        <w:rPr>
          <w:rFonts w:ascii="Arial" w:eastAsia="Arial" w:hAnsi="Arial" w:cs="Arial"/>
          <w:color w:val="000000"/>
          <w:sz w:val="16"/>
          <w:szCs w:val="16"/>
        </w:rPr>
        <w:sectPr w:rsidR="009C1ED2" w:rsidSect="00D53D5F">
          <w:headerReference w:type="even" r:id="rId9"/>
          <w:head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0" distR="0" wp14:anchorId="4ADD2178" wp14:editId="2059C4A6">
                <wp:extent cx="635" cy="19050"/>
                <wp:effectExtent l="0" t="0" r="0" b="0"/>
                <wp:docPr id="1722958877" name="Straight Arrow Connector 172295887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07B4B75" id="_x0000_t32" coordsize="21600,21600" o:spt="32" o:oned="t" path="m,l21600,21600e" filled="f">
                <v:path arrowok="t" fillok="f" o:connecttype="none"/>
                <o:lock v:ext="edit" shapetype="t"/>
              </v:shapetype>
              <v:shape id="Straight Arrow Connector 1722958877"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" strokeweight="1.5pt">
                <w10:anchorlock/>
              </v:shape>
            </w:pict>
          </mc:Fallback>
        </mc:AlternateContent>
      </w:r>
      <w:r>
        <w:rPr>
          <w:rFonts w:ascii="Arial" w:eastAsia="Arial" w:hAnsi="Arial" w:cs="Arial"/>
          <w:color w:val="000000"/>
          <w:sz w:val="16"/>
          <w:szCs w:val="16"/>
        </w:rPr>
        <w:t>.</w:t>
      </w:r>
    </w:p>
    <w:p w14:paraId="65E303E8"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119C754"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tbl>
      <w:tblPr>
        <w:tblStyle w:val="3"/>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C1ED2" w14:paraId="3651BE44" w14:textId="77777777">
        <w:tc>
          <w:tcPr>
            <w:tcW w:w="8198" w:type="dxa"/>
            <w:shd w:val="clear" w:color="auto" w:fill="F2F2F2"/>
          </w:tcPr>
          <w:p w14:paraId="1C4C4DCF" w14:textId="0093AF90" w:rsidR="009C1ED2" w:rsidRDefault="00E91640">
            <w:pPr>
              <w:pBdr>
                <w:top w:val="nil"/>
                <w:left w:val="nil"/>
                <w:bottom w:val="nil"/>
                <w:right w:val="nil"/>
                <w:between w:val="nil"/>
              </w:pBdr>
              <w:spacing w:line="276" w:lineRule="auto"/>
              <w:jc w:val="both"/>
              <w:rPr>
                <w:rFonts w:ascii="Arial" w:eastAsia="Arial" w:hAnsi="Arial" w:cs="Arial"/>
                <w:color w:val="000000"/>
              </w:rPr>
            </w:pPr>
            <w:r w:rsidRPr="004B7342">
              <w:rPr>
                <w:rFonts w:ascii="Arial" w:eastAsia="Arial" w:hAnsi="Arial" w:cs="Arial"/>
                <w:color w:val="000000"/>
              </w:rPr>
              <w:t xml:space="preserve">Coffee leaf rust (CLR), caused by </w:t>
            </w:r>
            <w:r w:rsidR="003605F0" w:rsidRPr="003605F0">
              <w:rPr>
                <w:rFonts w:ascii="Arial" w:eastAsia="Arial" w:hAnsi="Arial" w:cs="Arial"/>
                <w:color w:val="000000"/>
              </w:rPr>
              <w:t xml:space="preserve">biotrophic fungus, </w:t>
            </w:r>
            <w:proofErr w:type="spellStart"/>
            <w:r w:rsidRPr="004B7342">
              <w:rPr>
                <w:rFonts w:ascii="Arial" w:eastAsia="Arial" w:hAnsi="Arial" w:cs="Arial"/>
                <w:i/>
                <w:iCs/>
                <w:color w:val="000000"/>
              </w:rPr>
              <w:t>Hemileia</w:t>
            </w:r>
            <w:proofErr w:type="spellEnd"/>
            <w:r w:rsidRPr="004B7342">
              <w:rPr>
                <w:rFonts w:ascii="Arial" w:eastAsia="Arial" w:hAnsi="Arial" w:cs="Arial"/>
                <w:i/>
                <w:iCs/>
                <w:color w:val="000000"/>
              </w:rPr>
              <w:t xml:space="preserve"> </w:t>
            </w:r>
            <w:proofErr w:type="spellStart"/>
            <w:r w:rsidRPr="004B7342">
              <w:rPr>
                <w:rFonts w:ascii="Arial" w:eastAsia="Arial" w:hAnsi="Arial" w:cs="Arial"/>
                <w:i/>
                <w:iCs/>
                <w:color w:val="000000"/>
              </w:rPr>
              <w:t>vastatrix</w:t>
            </w:r>
            <w:proofErr w:type="spellEnd"/>
            <w:r w:rsidRPr="004B7342">
              <w:rPr>
                <w:rFonts w:ascii="Arial" w:eastAsia="Arial" w:hAnsi="Arial" w:cs="Arial"/>
                <w:color w:val="000000"/>
              </w:rPr>
              <w:t xml:space="preserve">, is the most important coffee disease worldwide. Although </w:t>
            </w:r>
            <w:proofErr w:type="spellStart"/>
            <w:r w:rsidRPr="004B7342">
              <w:rPr>
                <w:rFonts w:ascii="Arial" w:eastAsia="Arial" w:hAnsi="Arial" w:cs="Arial"/>
                <w:i/>
                <w:iCs/>
                <w:color w:val="000000"/>
              </w:rPr>
              <w:t>Coffea</w:t>
            </w:r>
            <w:proofErr w:type="spellEnd"/>
            <w:r w:rsidRPr="004B7342">
              <w:rPr>
                <w:rFonts w:ascii="Arial" w:eastAsia="Arial" w:hAnsi="Arial" w:cs="Arial"/>
                <w:i/>
                <w:iCs/>
                <w:color w:val="000000"/>
              </w:rPr>
              <w:t xml:space="preserve"> </w:t>
            </w:r>
            <w:proofErr w:type="spellStart"/>
            <w:r w:rsidRPr="004B7342">
              <w:rPr>
                <w:rFonts w:ascii="Arial" w:eastAsia="Arial" w:hAnsi="Arial" w:cs="Arial"/>
                <w:i/>
                <w:iCs/>
                <w:color w:val="000000"/>
              </w:rPr>
              <w:t>liberica</w:t>
            </w:r>
            <w:proofErr w:type="spellEnd"/>
            <w:r w:rsidRPr="004B7342">
              <w:rPr>
                <w:rFonts w:ascii="Arial" w:eastAsia="Arial" w:hAnsi="Arial" w:cs="Arial"/>
                <w:color w:val="000000"/>
              </w:rPr>
              <w:t xml:space="preserve"> </w:t>
            </w:r>
            <w:r>
              <w:rPr>
                <w:rFonts w:ascii="Arial" w:eastAsia="Arial" w:hAnsi="Arial" w:cs="Arial"/>
                <w:color w:val="000000"/>
              </w:rPr>
              <w:t>contributes</w:t>
            </w:r>
            <w:r w:rsidRPr="008F739B">
              <w:rPr>
                <w:rFonts w:ascii="Arial" w:eastAsia="Arial" w:hAnsi="Arial" w:cs="Arial"/>
                <w:color w:val="000000"/>
              </w:rPr>
              <w:t xml:space="preserve"> less than </w:t>
            </w:r>
            <w:r w:rsidRPr="004B7342">
              <w:rPr>
                <w:rFonts w:ascii="Arial" w:eastAsia="Arial" w:hAnsi="Arial" w:cs="Arial"/>
                <w:color w:val="000000"/>
              </w:rPr>
              <w:t>1% of global coffee production, it dominates Malaysia’s industry</w:t>
            </w:r>
            <w:r>
              <w:rPr>
                <w:rFonts w:ascii="Arial" w:eastAsia="Arial" w:hAnsi="Arial" w:cs="Arial"/>
                <w:color w:val="000000"/>
              </w:rPr>
              <w:t>.</w:t>
            </w:r>
            <w:r w:rsidRPr="004B7342">
              <w:rPr>
                <w:rFonts w:ascii="Arial" w:eastAsia="Arial" w:hAnsi="Arial" w:cs="Arial"/>
                <w:color w:val="000000"/>
              </w:rPr>
              <w:t xml:space="preserve"> </w:t>
            </w:r>
            <w:r>
              <w:rPr>
                <w:rFonts w:ascii="Arial" w:eastAsia="Arial" w:hAnsi="Arial" w:cs="Arial"/>
                <w:color w:val="000000"/>
              </w:rPr>
              <w:t>However,</w:t>
            </w:r>
            <w:r w:rsidRPr="004B7342">
              <w:rPr>
                <w:rFonts w:ascii="Arial" w:eastAsia="Arial" w:hAnsi="Arial" w:cs="Arial"/>
                <w:color w:val="000000"/>
              </w:rPr>
              <w:t xml:space="preserve"> information </w:t>
            </w:r>
            <w:r w:rsidRPr="008F739B">
              <w:rPr>
                <w:rFonts w:ascii="Arial" w:eastAsia="Arial" w:hAnsi="Arial" w:cs="Arial"/>
                <w:color w:val="000000"/>
              </w:rPr>
              <w:t xml:space="preserve">about how CLR affects </w:t>
            </w:r>
            <w:proofErr w:type="spellStart"/>
            <w:r w:rsidRPr="008F739B">
              <w:rPr>
                <w:rFonts w:ascii="Arial" w:eastAsia="Arial" w:hAnsi="Arial" w:cs="Arial"/>
                <w:color w:val="000000"/>
              </w:rPr>
              <w:t>Liberica</w:t>
            </w:r>
            <w:proofErr w:type="spellEnd"/>
            <w:r w:rsidRPr="008F739B">
              <w:rPr>
                <w:rFonts w:ascii="Arial" w:eastAsia="Arial" w:hAnsi="Arial" w:cs="Arial"/>
                <w:color w:val="000000"/>
              </w:rPr>
              <w:t xml:space="preserve"> yields under local field conditions</w:t>
            </w:r>
            <w:r>
              <w:rPr>
                <w:rFonts w:ascii="Arial" w:eastAsia="Arial" w:hAnsi="Arial" w:cs="Arial"/>
                <w:color w:val="000000"/>
              </w:rPr>
              <w:t xml:space="preserve"> is scarce</w:t>
            </w:r>
            <w:r w:rsidRPr="00D451DD">
              <w:rPr>
                <w:rFonts w:ascii="Arial" w:eastAsia="Arial" w:hAnsi="Arial" w:cs="Arial"/>
                <w:color w:val="000000"/>
              </w:rPr>
              <w:t>.</w:t>
            </w:r>
            <w:r w:rsidRPr="004B7342">
              <w:rPr>
                <w:rFonts w:ascii="Arial" w:eastAsia="Arial" w:hAnsi="Arial" w:cs="Arial"/>
                <w:color w:val="000000"/>
              </w:rPr>
              <w:t xml:space="preserve"> This study</w:t>
            </w:r>
            <w:r>
              <w:rPr>
                <w:rFonts w:ascii="Arial" w:eastAsia="Arial" w:hAnsi="Arial" w:cs="Arial"/>
                <w:color w:val="000000"/>
              </w:rPr>
              <w:t>,</w:t>
            </w:r>
            <w:r w:rsidRPr="004B7342">
              <w:rPr>
                <w:rFonts w:ascii="Arial" w:eastAsia="Arial" w:hAnsi="Arial" w:cs="Arial"/>
                <w:color w:val="000000"/>
              </w:rPr>
              <w:t xml:space="preserve"> </w:t>
            </w:r>
            <w:r w:rsidRPr="00D451DD">
              <w:rPr>
                <w:rFonts w:ascii="Arial" w:eastAsia="Arial" w:hAnsi="Arial" w:cs="Arial"/>
                <w:color w:val="000000"/>
              </w:rPr>
              <w:t>therefore</w:t>
            </w:r>
            <w:r>
              <w:rPr>
                <w:rFonts w:ascii="Arial" w:eastAsia="Arial" w:hAnsi="Arial" w:cs="Arial"/>
                <w:color w:val="000000"/>
              </w:rPr>
              <w:t>,</w:t>
            </w:r>
            <w:r w:rsidRPr="00D451DD">
              <w:rPr>
                <w:rFonts w:ascii="Arial" w:eastAsia="Arial" w:hAnsi="Arial" w:cs="Arial"/>
                <w:color w:val="000000"/>
              </w:rPr>
              <w:t xml:space="preserve"> assessed</w:t>
            </w:r>
            <w:r w:rsidRPr="004B7342">
              <w:rPr>
                <w:rFonts w:ascii="Arial" w:eastAsia="Arial" w:hAnsi="Arial" w:cs="Arial"/>
                <w:color w:val="000000"/>
              </w:rPr>
              <w:t xml:space="preserve"> the effects of CLR on berry yield in </w:t>
            </w:r>
            <w:r>
              <w:rPr>
                <w:rFonts w:ascii="Arial" w:eastAsia="Arial" w:hAnsi="Arial" w:cs="Arial"/>
                <w:color w:val="000000"/>
              </w:rPr>
              <w:t xml:space="preserve">five </w:t>
            </w:r>
            <w:r w:rsidRPr="004B7342">
              <w:rPr>
                <w:rFonts w:ascii="Arial" w:eastAsia="Arial" w:hAnsi="Arial" w:cs="Arial"/>
                <w:color w:val="000000"/>
              </w:rPr>
              <w:t xml:space="preserve">newly developed </w:t>
            </w:r>
            <w:r w:rsidRPr="00D451DD">
              <w:rPr>
                <w:rFonts w:ascii="Arial" w:eastAsia="Arial" w:hAnsi="Arial" w:cs="Arial"/>
                <w:i/>
                <w:iCs/>
                <w:color w:val="000000"/>
              </w:rPr>
              <w:t xml:space="preserve">C. </w:t>
            </w:r>
            <w:proofErr w:type="spellStart"/>
            <w:r w:rsidRPr="00D451DD">
              <w:rPr>
                <w:rFonts w:ascii="Arial" w:eastAsia="Arial" w:hAnsi="Arial" w:cs="Arial"/>
                <w:i/>
                <w:iCs/>
                <w:color w:val="000000"/>
              </w:rPr>
              <w:t>liberica</w:t>
            </w:r>
            <w:proofErr w:type="spellEnd"/>
            <w:r w:rsidRPr="004B7342">
              <w:rPr>
                <w:rFonts w:ascii="Arial" w:eastAsia="Arial" w:hAnsi="Arial" w:cs="Arial"/>
                <w:color w:val="000000"/>
              </w:rPr>
              <w:t xml:space="preserve"> clones under Malaysian field conditions.</w:t>
            </w:r>
            <w:r>
              <w:rPr>
                <w:rFonts w:ascii="Arial" w:eastAsia="Arial" w:hAnsi="Arial" w:cs="Arial"/>
                <w:color w:val="000000"/>
              </w:rPr>
              <w:t xml:space="preserve"> </w:t>
            </w:r>
            <w:r w:rsidRPr="006617D9">
              <w:rPr>
                <w:rFonts w:ascii="Arial" w:eastAsia="Arial" w:hAnsi="Arial" w:cs="Arial"/>
                <w:color w:val="000000"/>
              </w:rPr>
              <w:t xml:space="preserve">The study </w:t>
            </w:r>
            <w:r w:rsidRPr="00094841">
              <w:rPr>
                <w:rFonts w:ascii="Arial" w:eastAsia="Arial" w:hAnsi="Arial" w:cs="Arial"/>
                <w:color w:val="000000"/>
              </w:rPr>
              <w:t xml:space="preserve">was </w:t>
            </w:r>
            <w:r>
              <w:rPr>
                <w:rFonts w:ascii="Arial" w:eastAsia="Arial" w:hAnsi="Arial" w:cs="Arial"/>
                <w:color w:val="000000"/>
              </w:rPr>
              <w:t>carried out</w:t>
            </w:r>
            <w:r w:rsidRPr="00094841">
              <w:rPr>
                <w:rFonts w:ascii="Arial" w:eastAsia="Arial" w:hAnsi="Arial" w:cs="Arial"/>
                <w:color w:val="000000"/>
              </w:rPr>
              <w:t xml:space="preserve"> at the MARDI research station, Kluang, Johor, </w:t>
            </w:r>
            <w:r>
              <w:rPr>
                <w:rFonts w:ascii="Arial" w:eastAsia="Arial" w:hAnsi="Arial" w:cs="Arial"/>
                <w:color w:val="000000"/>
              </w:rPr>
              <w:t xml:space="preserve">Malaysia, </w:t>
            </w:r>
            <w:r w:rsidRPr="00094841">
              <w:rPr>
                <w:rFonts w:ascii="Arial" w:eastAsia="Arial" w:hAnsi="Arial" w:cs="Arial"/>
                <w:color w:val="000000"/>
              </w:rPr>
              <w:t>over two years (July 2021–June 2023)</w:t>
            </w:r>
            <w:r w:rsidRPr="006617D9">
              <w:rPr>
                <w:rFonts w:ascii="Arial" w:eastAsia="Arial" w:hAnsi="Arial" w:cs="Arial"/>
                <w:color w:val="000000"/>
              </w:rPr>
              <w:t>.</w:t>
            </w:r>
            <w:r w:rsidRPr="009B71A6">
              <w:rPr>
                <w:rFonts w:ascii="Arial" w:eastAsia="Arial" w:hAnsi="Arial" w:cs="Arial"/>
                <w:b/>
                <w:color w:val="000000"/>
              </w:rPr>
              <w:t xml:space="preserve"> </w:t>
            </w:r>
            <w:r w:rsidRPr="00A72C36">
              <w:rPr>
                <w:rFonts w:ascii="Arial" w:eastAsia="Arial" w:hAnsi="Arial" w:cs="Arial"/>
                <w:color w:val="000000"/>
              </w:rPr>
              <w:t xml:space="preserve">The experiment was </w:t>
            </w:r>
            <w:r>
              <w:rPr>
                <w:rFonts w:ascii="Arial" w:eastAsia="Arial" w:hAnsi="Arial" w:cs="Arial"/>
                <w:color w:val="000000"/>
              </w:rPr>
              <w:t>arranged</w:t>
            </w:r>
            <w:r w:rsidRPr="00A72C36">
              <w:rPr>
                <w:rFonts w:ascii="Arial" w:eastAsia="Arial" w:hAnsi="Arial" w:cs="Arial"/>
                <w:color w:val="000000"/>
              </w:rPr>
              <w:t xml:space="preserve"> </w:t>
            </w:r>
            <w:r>
              <w:rPr>
                <w:rFonts w:ascii="Arial" w:eastAsia="Arial" w:hAnsi="Arial" w:cs="Arial"/>
                <w:color w:val="000000"/>
              </w:rPr>
              <w:t>in</w:t>
            </w:r>
            <w:r w:rsidRPr="00A72C36">
              <w:rPr>
                <w:rFonts w:ascii="Arial" w:eastAsia="Arial" w:hAnsi="Arial" w:cs="Arial"/>
                <w:color w:val="000000"/>
              </w:rPr>
              <w:t xml:space="preserve"> a</w:t>
            </w:r>
            <w:r w:rsidRPr="00094841">
              <w:rPr>
                <w:rFonts w:ascii="Arial" w:eastAsia="Arial" w:hAnsi="Arial" w:cs="Arial"/>
                <w:color w:val="000000"/>
              </w:rPr>
              <w:t xml:space="preserve"> randomi</w:t>
            </w:r>
            <w:r>
              <w:rPr>
                <w:rFonts w:ascii="Arial" w:eastAsia="Arial" w:hAnsi="Arial" w:cs="Arial"/>
                <w:color w:val="000000"/>
              </w:rPr>
              <w:t>z</w:t>
            </w:r>
            <w:r w:rsidRPr="00094841">
              <w:rPr>
                <w:rFonts w:ascii="Arial" w:eastAsia="Arial" w:hAnsi="Arial" w:cs="Arial"/>
                <w:color w:val="000000"/>
              </w:rPr>
              <w:t>ed complete block design with three replicates</w:t>
            </w:r>
            <w:r w:rsidRPr="006617D9">
              <w:rPr>
                <w:rFonts w:ascii="Arial" w:eastAsia="Arial" w:hAnsi="Arial" w:cs="Arial"/>
                <w:color w:val="000000"/>
              </w:rPr>
              <w:t>.</w:t>
            </w:r>
            <w:r>
              <w:rPr>
                <w:rFonts w:ascii="Arial" w:eastAsia="Arial" w:hAnsi="Arial" w:cs="Arial"/>
                <w:color w:val="000000"/>
              </w:rPr>
              <w:t xml:space="preserve"> </w:t>
            </w:r>
            <w:r w:rsidRPr="00CA2AF6">
              <w:rPr>
                <w:rFonts w:ascii="Arial" w:eastAsia="Arial" w:hAnsi="Arial" w:cs="Arial"/>
                <w:bCs/>
                <w:color w:val="000000"/>
              </w:rPr>
              <w:t>Berry yield, disease incidence (INC) and disease severity index (DSI) were recorded monthly. Data were analy</w:t>
            </w:r>
            <w:r>
              <w:rPr>
                <w:rFonts w:ascii="Arial" w:eastAsia="Arial" w:hAnsi="Arial" w:cs="Arial"/>
                <w:bCs/>
                <w:color w:val="000000"/>
              </w:rPr>
              <w:t>z</w:t>
            </w:r>
            <w:r w:rsidRPr="00CA2AF6">
              <w:rPr>
                <w:rFonts w:ascii="Arial" w:eastAsia="Arial" w:hAnsi="Arial" w:cs="Arial"/>
                <w:bCs/>
                <w:color w:val="000000"/>
              </w:rPr>
              <w:t xml:space="preserve">ed using ANOVA (Tukey’s test, p ≤ 0.05) and Pearson’s correlation </w:t>
            </w:r>
            <w:r w:rsidRPr="009A46CB">
              <w:rPr>
                <w:rFonts w:ascii="Arial" w:eastAsia="Arial" w:hAnsi="Arial" w:cs="Arial"/>
                <w:bCs/>
                <w:color w:val="000000"/>
              </w:rPr>
              <w:t xml:space="preserve">was used </w:t>
            </w:r>
            <w:r w:rsidRPr="00CA2AF6">
              <w:rPr>
                <w:rFonts w:ascii="Arial" w:eastAsia="Arial" w:hAnsi="Arial" w:cs="Arial"/>
                <w:bCs/>
                <w:color w:val="000000"/>
              </w:rPr>
              <w:t>to evaluate relationships between yield and disease parameters.</w:t>
            </w:r>
            <w:r>
              <w:rPr>
                <w:rFonts w:ascii="Arial" w:eastAsia="Arial" w:hAnsi="Arial" w:cs="Arial"/>
                <w:color w:val="000000"/>
              </w:rPr>
              <w:t xml:space="preserve"> </w:t>
            </w:r>
            <w:r w:rsidRPr="004B7342">
              <w:rPr>
                <w:rFonts w:ascii="Arial" w:eastAsia="Arial" w:hAnsi="Arial" w:cs="Arial"/>
                <w:color w:val="000000"/>
              </w:rPr>
              <w:t>Significant clonal variability was observed. Clone 213 consistently achieved the highest yields (1.420 kg/tree in Year 1; 0.623 kg/tree in Year 2) with the lowest disease levels (INC 27.2–19.4%; DSI 9.2–4.6%). Clone 222 was most susceptible</w:t>
            </w:r>
            <w:r>
              <w:rPr>
                <w:rFonts w:ascii="Arial" w:eastAsia="Arial" w:hAnsi="Arial" w:cs="Arial"/>
                <w:color w:val="000000"/>
              </w:rPr>
              <w:t xml:space="preserve">, with </w:t>
            </w:r>
            <w:r w:rsidRPr="004B7342">
              <w:rPr>
                <w:rFonts w:ascii="Arial" w:eastAsia="Arial" w:hAnsi="Arial" w:cs="Arial"/>
                <w:color w:val="000000"/>
              </w:rPr>
              <w:t xml:space="preserve">lowest yield, highest DSI, while clone 224 exhibited tolerance in Year 1 but declined sharply in Year 2. </w:t>
            </w:r>
            <w:r>
              <w:rPr>
                <w:rFonts w:ascii="Arial" w:eastAsia="Arial" w:hAnsi="Arial" w:cs="Arial"/>
                <w:color w:val="000000"/>
              </w:rPr>
              <w:t>The c</w:t>
            </w:r>
            <w:r w:rsidRPr="004B7342">
              <w:rPr>
                <w:rFonts w:ascii="Arial" w:eastAsia="Arial" w:hAnsi="Arial" w:cs="Arial"/>
                <w:color w:val="000000"/>
              </w:rPr>
              <w:t>ontrol</w:t>
            </w:r>
            <w:r>
              <w:rPr>
                <w:rFonts w:ascii="Arial" w:eastAsia="Arial" w:hAnsi="Arial" w:cs="Arial"/>
                <w:color w:val="000000"/>
              </w:rPr>
              <w:t>,</w:t>
            </w:r>
            <w:r w:rsidRPr="004B7342">
              <w:rPr>
                <w:rFonts w:ascii="Arial" w:eastAsia="Arial" w:hAnsi="Arial" w:cs="Arial"/>
                <w:color w:val="000000"/>
              </w:rPr>
              <w:t xml:space="preserve"> MKL 7</w:t>
            </w:r>
            <w:r>
              <w:rPr>
                <w:rFonts w:ascii="Arial" w:eastAsia="Arial" w:hAnsi="Arial" w:cs="Arial"/>
                <w:color w:val="000000"/>
              </w:rPr>
              <w:t>,</w:t>
            </w:r>
            <w:r w:rsidRPr="004B7342">
              <w:rPr>
                <w:rFonts w:ascii="Arial" w:eastAsia="Arial" w:hAnsi="Arial" w:cs="Arial"/>
                <w:color w:val="000000"/>
              </w:rPr>
              <w:t xml:space="preserve"> </w:t>
            </w:r>
            <w:r w:rsidRPr="00D451DD">
              <w:rPr>
                <w:rFonts w:ascii="Arial" w:eastAsia="Arial" w:hAnsi="Arial" w:cs="Arial"/>
                <w:color w:val="000000"/>
              </w:rPr>
              <w:t xml:space="preserve">produced moderate yields </w:t>
            </w:r>
            <w:r w:rsidRPr="004B7342">
              <w:rPr>
                <w:rFonts w:ascii="Arial" w:eastAsia="Arial" w:hAnsi="Arial" w:cs="Arial"/>
                <w:color w:val="000000"/>
              </w:rPr>
              <w:t xml:space="preserve">but was disease-sensitive. Yield–disease correlations </w:t>
            </w:r>
            <w:r w:rsidRPr="00D451DD">
              <w:rPr>
                <w:rFonts w:ascii="Arial" w:eastAsia="Arial" w:hAnsi="Arial" w:cs="Arial"/>
                <w:color w:val="000000"/>
              </w:rPr>
              <w:t>were stronger</w:t>
            </w:r>
            <w:r w:rsidRPr="004B7342">
              <w:rPr>
                <w:rFonts w:ascii="Arial" w:eastAsia="Arial" w:hAnsi="Arial" w:cs="Arial"/>
                <w:color w:val="000000"/>
              </w:rPr>
              <w:t xml:space="preserve"> in Year 2, reflecting biennial bearing </w:t>
            </w:r>
            <w:r w:rsidRPr="0055571F">
              <w:rPr>
                <w:rFonts w:ascii="Arial" w:eastAsia="Arial" w:hAnsi="Arial" w:cs="Arial"/>
                <w:color w:val="000000"/>
              </w:rPr>
              <w:t xml:space="preserve">and cumulative disease </w:t>
            </w:r>
            <w:r w:rsidRPr="004B7342">
              <w:rPr>
                <w:rFonts w:ascii="Arial" w:eastAsia="Arial" w:hAnsi="Arial" w:cs="Arial"/>
                <w:color w:val="000000"/>
              </w:rPr>
              <w:t>stress.</w:t>
            </w:r>
            <w:r>
              <w:rPr>
                <w:rFonts w:ascii="Arial" w:eastAsia="Arial" w:hAnsi="Arial" w:cs="Arial"/>
                <w:color w:val="000000"/>
              </w:rPr>
              <w:t xml:space="preserve"> </w:t>
            </w:r>
            <w:r w:rsidRPr="0055571F">
              <w:rPr>
                <w:rFonts w:ascii="Arial" w:eastAsia="Arial" w:hAnsi="Arial" w:cs="Arial"/>
                <w:color w:val="000000"/>
              </w:rPr>
              <w:t xml:space="preserve">The study, however, faced notable challenges. Biennial bearing complicated yield comparisons across years, as heavy fruiting inherently intensified disease severity. Seasonal climatic variability, including rainfall fluctuations and drought episodes, may also have confounded clonal responses. Furthermore, the two-year duration limits conclusions about long-term stability under changing environmental conditions. </w:t>
            </w:r>
            <w:r w:rsidRPr="004B7342">
              <w:rPr>
                <w:rFonts w:ascii="Arial" w:eastAsia="Arial" w:hAnsi="Arial" w:cs="Arial"/>
                <w:color w:val="000000"/>
              </w:rPr>
              <w:t xml:space="preserve">This study provides the first field-based evidence of CLR impacts on </w:t>
            </w:r>
            <w:r w:rsidRPr="00D451DD">
              <w:rPr>
                <w:rFonts w:ascii="Arial" w:eastAsia="Arial" w:hAnsi="Arial" w:cs="Arial"/>
                <w:i/>
                <w:iCs/>
                <w:color w:val="000000"/>
              </w:rPr>
              <w:t xml:space="preserve">C. </w:t>
            </w:r>
            <w:proofErr w:type="spellStart"/>
            <w:r w:rsidRPr="00D451DD">
              <w:rPr>
                <w:rFonts w:ascii="Arial" w:eastAsia="Arial" w:hAnsi="Arial" w:cs="Arial"/>
                <w:i/>
                <w:iCs/>
                <w:color w:val="000000"/>
              </w:rPr>
              <w:t>liberica</w:t>
            </w:r>
            <w:proofErr w:type="spellEnd"/>
            <w:r w:rsidRPr="004B7342">
              <w:rPr>
                <w:rFonts w:ascii="Arial" w:eastAsia="Arial" w:hAnsi="Arial" w:cs="Arial"/>
                <w:color w:val="000000"/>
              </w:rPr>
              <w:t xml:space="preserve"> </w:t>
            </w:r>
            <w:r>
              <w:rPr>
                <w:rFonts w:ascii="Arial" w:eastAsia="Arial" w:hAnsi="Arial" w:cs="Arial"/>
                <w:color w:val="000000"/>
              </w:rPr>
              <w:t xml:space="preserve">yield </w:t>
            </w:r>
            <w:r w:rsidRPr="004B7342">
              <w:rPr>
                <w:rFonts w:ascii="Arial" w:eastAsia="Arial" w:hAnsi="Arial" w:cs="Arial"/>
                <w:color w:val="000000"/>
              </w:rPr>
              <w:t>in Malaysia. CLR substantially reduces productivity, but clone 213 emerges as a resistant, high-yielding candidate for sustainable cultivation</w:t>
            </w:r>
            <w:r w:rsidRPr="00CA2AF6">
              <w:rPr>
                <w:rFonts w:ascii="Arial" w:eastAsia="Arial" w:hAnsi="Arial" w:cs="Arial"/>
                <w:color w:val="000000"/>
              </w:rPr>
              <w:t>.</w:t>
            </w:r>
          </w:p>
        </w:tc>
      </w:tr>
    </w:tbl>
    <w:p w14:paraId="78FCF5CA" w14:textId="77777777" w:rsidR="009C1ED2" w:rsidRDefault="009C1ED2">
      <w:pPr>
        <w:pBdr>
          <w:top w:val="nil"/>
          <w:left w:val="nil"/>
          <w:bottom w:val="nil"/>
          <w:right w:val="nil"/>
          <w:between w:val="nil"/>
        </w:pBdr>
        <w:spacing w:line="276" w:lineRule="auto"/>
        <w:jc w:val="both"/>
        <w:rPr>
          <w:rFonts w:ascii="Arial" w:eastAsia="Arial" w:hAnsi="Arial" w:cs="Arial"/>
          <w:i/>
          <w:color w:val="000000"/>
        </w:rPr>
      </w:pPr>
    </w:p>
    <w:p w14:paraId="1B6E4457" w14:textId="19D08108" w:rsidR="009C1ED2" w:rsidRDefault="00E37E9E">
      <w:pPr>
        <w:pBdr>
          <w:top w:val="nil"/>
          <w:left w:val="nil"/>
          <w:bottom w:val="nil"/>
          <w:right w:val="nil"/>
          <w:between w:val="nil"/>
        </w:pBdr>
        <w:spacing w:line="276" w:lineRule="auto"/>
        <w:jc w:val="both"/>
        <w:rPr>
          <w:rFonts w:ascii="Arial" w:eastAsia="Arial" w:hAnsi="Arial" w:cs="Arial"/>
          <w:i/>
          <w:color w:val="000000"/>
        </w:rPr>
      </w:pPr>
      <w:r>
        <w:rPr>
          <w:rFonts w:ascii="Arial" w:eastAsia="Arial" w:hAnsi="Arial" w:cs="Arial"/>
          <w:i/>
          <w:color w:val="000000"/>
        </w:rPr>
        <w:t xml:space="preserve">Keywords: </w:t>
      </w:r>
      <w:proofErr w:type="spellStart"/>
      <w:r w:rsidR="00E91640">
        <w:rPr>
          <w:rFonts w:ascii="Arial" w:eastAsia="Arial" w:hAnsi="Arial" w:cs="Arial"/>
          <w:iCs/>
          <w:color w:val="000000"/>
        </w:rPr>
        <w:t>Liberica</w:t>
      </w:r>
      <w:proofErr w:type="spellEnd"/>
      <w:r w:rsidR="00E91640">
        <w:rPr>
          <w:rFonts w:ascii="Arial" w:eastAsia="Arial" w:hAnsi="Arial" w:cs="Arial"/>
          <w:iCs/>
          <w:color w:val="000000"/>
        </w:rPr>
        <w:t xml:space="preserve"> coffee</w:t>
      </w:r>
      <w:r w:rsidR="00E91640" w:rsidRPr="007A7413">
        <w:rPr>
          <w:rFonts w:ascii="Arial" w:eastAsia="Arial" w:hAnsi="Arial" w:cs="Arial"/>
          <w:i/>
          <w:color w:val="000000"/>
        </w:rPr>
        <w:t xml:space="preserve">, </w:t>
      </w:r>
      <w:proofErr w:type="spellStart"/>
      <w:r w:rsidR="00E91640" w:rsidRPr="007A7413">
        <w:rPr>
          <w:rFonts w:ascii="Arial" w:eastAsia="Arial" w:hAnsi="Arial" w:cs="Arial"/>
          <w:i/>
          <w:color w:val="000000"/>
        </w:rPr>
        <w:t>Hemileia</w:t>
      </w:r>
      <w:proofErr w:type="spellEnd"/>
      <w:r w:rsidR="00E91640" w:rsidRPr="007A7413">
        <w:rPr>
          <w:rFonts w:ascii="Arial" w:eastAsia="Arial" w:hAnsi="Arial" w:cs="Arial"/>
          <w:i/>
          <w:color w:val="000000"/>
        </w:rPr>
        <w:t xml:space="preserve"> </w:t>
      </w:r>
      <w:proofErr w:type="spellStart"/>
      <w:r w:rsidR="00E91640" w:rsidRPr="007A7413">
        <w:rPr>
          <w:rFonts w:ascii="Arial" w:eastAsia="Arial" w:hAnsi="Arial" w:cs="Arial"/>
          <w:i/>
          <w:color w:val="000000"/>
        </w:rPr>
        <w:t>vastatrix</w:t>
      </w:r>
      <w:proofErr w:type="spellEnd"/>
      <w:r w:rsidR="00E91640" w:rsidRPr="007A7413">
        <w:rPr>
          <w:rFonts w:ascii="Arial" w:eastAsia="Arial" w:hAnsi="Arial" w:cs="Arial"/>
          <w:i/>
          <w:color w:val="000000"/>
        </w:rPr>
        <w:t xml:space="preserve">, yield </w:t>
      </w:r>
      <w:r w:rsidR="00E91640">
        <w:rPr>
          <w:rFonts w:ascii="Arial" w:eastAsia="Arial" w:hAnsi="Arial" w:cs="Arial"/>
          <w:i/>
          <w:color w:val="000000"/>
        </w:rPr>
        <w:t>performance</w:t>
      </w:r>
      <w:r w:rsidR="00200A1A">
        <w:rPr>
          <w:rFonts w:ascii="Arial" w:eastAsia="Arial" w:hAnsi="Arial" w:cs="Arial"/>
          <w:i/>
          <w:color w:val="000000"/>
        </w:rPr>
        <w:t xml:space="preserve">, </w:t>
      </w:r>
      <w:r w:rsidR="00200A1A" w:rsidRPr="00200A1A">
        <w:rPr>
          <w:rFonts w:ascii="Arial" w:eastAsia="Arial" w:hAnsi="Arial" w:cs="Arial"/>
          <w:i/>
          <w:color w:val="000000"/>
        </w:rPr>
        <w:t>Leaf Rust Disease</w:t>
      </w:r>
      <w:r w:rsidR="00200A1A">
        <w:rPr>
          <w:rFonts w:ascii="Arial" w:eastAsia="Arial" w:hAnsi="Arial" w:cs="Arial"/>
          <w:i/>
          <w:color w:val="000000"/>
        </w:rPr>
        <w:t xml:space="preserve">, </w:t>
      </w:r>
      <w:r w:rsidR="00200A1A" w:rsidRPr="00200A1A">
        <w:rPr>
          <w:rFonts w:ascii="Arial" w:eastAsia="Arial" w:hAnsi="Arial" w:cs="Arial"/>
          <w:i/>
          <w:color w:val="000000"/>
        </w:rPr>
        <w:t>Berry</w:t>
      </w:r>
    </w:p>
    <w:p w14:paraId="75332DCC" w14:textId="77777777" w:rsidR="009C1ED2" w:rsidRDefault="009C1ED2">
      <w:pPr>
        <w:pBdr>
          <w:top w:val="nil"/>
          <w:left w:val="nil"/>
          <w:bottom w:val="nil"/>
          <w:right w:val="nil"/>
          <w:between w:val="nil"/>
        </w:pBdr>
        <w:spacing w:line="276" w:lineRule="auto"/>
        <w:jc w:val="both"/>
        <w:rPr>
          <w:rFonts w:ascii="Arial" w:eastAsia="Arial" w:hAnsi="Arial" w:cs="Arial"/>
          <w:iCs/>
          <w:color w:val="000000"/>
        </w:rPr>
      </w:pPr>
    </w:p>
    <w:p w14:paraId="7878B6A6" w14:textId="77777777" w:rsidR="00CA4A39" w:rsidRPr="00CA4A39" w:rsidRDefault="00CA4A39">
      <w:pPr>
        <w:pBdr>
          <w:top w:val="nil"/>
          <w:left w:val="nil"/>
          <w:bottom w:val="nil"/>
          <w:right w:val="nil"/>
          <w:between w:val="nil"/>
        </w:pBdr>
        <w:spacing w:line="276" w:lineRule="auto"/>
        <w:jc w:val="both"/>
        <w:rPr>
          <w:rFonts w:ascii="Arial" w:eastAsia="Arial" w:hAnsi="Arial" w:cs="Arial"/>
          <w:iCs/>
          <w:color w:val="000000"/>
        </w:rPr>
      </w:pPr>
    </w:p>
    <w:p w14:paraId="4770D056"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DF55C5E"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5F4515" w14:textId="029327D4" w:rsidR="000B067D" w:rsidRPr="0006342D" w:rsidRDefault="000B72C9" w:rsidP="00DC6B84">
      <w:pPr>
        <w:pStyle w:val="NormalWeb"/>
        <w:spacing w:before="0" w:beforeAutospacing="0" w:after="0" w:afterAutospacing="0" w:line="276" w:lineRule="auto"/>
        <w:contextualSpacing/>
        <w:jc w:val="both"/>
        <w:rPr>
          <w:rFonts w:ascii="Arial" w:hAnsi="Arial" w:cs="Arial"/>
          <w:sz w:val="20"/>
          <w:szCs w:val="20"/>
        </w:rPr>
      </w:pPr>
      <w:r w:rsidRPr="00882C78">
        <w:rPr>
          <w:rFonts w:ascii="Arial" w:hAnsi="Arial" w:cs="Arial"/>
          <w:sz w:val="20"/>
          <w:szCs w:val="20"/>
        </w:rPr>
        <w:t>Coffee is one of the world’s most popular drinks and the second most traded commodity after crude oil</w:t>
      </w:r>
      <w:r>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{"citationItems":[{"id":"ITEM-1","itemData":{"DOI":"10.1155/2019/4836709","author":[{"dropping-particle":"","family":"Haile","given":"Mesfin","non-dropping-particle":"","parse-names":false,"suffix":""},{"dropping-particle":"","family":"Kang","given":"Won Hee","non-dropping-particle":"","parse-names":false,"suffix":""}],"container-title":"Journal of Food Quality","id":"ITEM-1","issue":"4836709","issued":{"date-parts":[["2019"]]},"page":"1-6","title":"The role of microbes in coffee fermentation and their impact on coffee quality","type":"article-journal","volume":"1"},"uris":["http://www.mendeley.com/documents/?uuid=4d47674a-6801-47ba-830b-bc1cd5ed0bde","http://www.mendeley.com/documents/?uuid=59e25c72-0d81-4dc2-9e5e-d3c1edbe58e9"]}],"mendeley":{"formattedCitation":"(Haile &amp; Kang, 2019)","plainTextFormattedCitation":"(Haile &amp; Kang, 2019)","previouslyFormattedCitation":"(Haile &amp; Kang, 2019)"},"properties":{"noteIndex":0},"schema":"https://github.com/citation-style-language/schema/raw/master/csl-citation.json"}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(Haile &amp; Kang, 2019)</w:t>
      </w:r>
      <w:r w:rsidRPr="0006342D">
        <w:rPr>
          <w:rFonts w:ascii="Arial" w:hAnsi="Arial" w:cs="Arial"/>
          <w:sz w:val="20"/>
          <w:szCs w:val="20"/>
        </w:rPr>
        <w:fldChar w:fldCharType="end"/>
      </w:r>
      <w:r w:rsidRPr="0006342D">
        <w:rPr>
          <w:rFonts w:ascii="Arial" w:hAnsi="Arial" w:cs="Arial"/>
          <w:sz w:val="20"/>
          <w:szCs w:val="20"/>
        </w:rPr>
        <w:t xml:space="preserve">. </w:t>
      </w:r>
      <w:r w:rsidRPr="00882C78">
        <w:rPr>
          <w:rFonts w:ascii="Arial" w:hAnsi="Arial" w:cs="Arial"/>
          <w:sz w:val="20"/>
          <w:szCs w:val="20"/>
        </w:rPr>
        <w:t>It is grown in more than 80 tropical and subtropical countries and supports the livelihoods of over 25 million smallholder farmers. In 2020/21, global production reached almost 172 million 60-kg bags, while demand continued to rise to more than 166 million bags</w:t>
      </w:r>
      <w:r w:rsidRPr="0006342D">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Report","type":"report"},"uris":["http://www.mendeley.com/documents/?uuid=8dbcc520-627f-4601-a738-e270a30c64cb","http://www.mendeley.com/documents/?uuid=15c9bafa-dfb5-4dd8-b161-089b4f33e096"]}],"mendeley":{"formattedCitation":"(ICO, 2022)","plainTextFormattedCitation":"(ICO, 2022)","previouslyFormattedCitation":"(ICO, 2022)"},"properties":{"noteIndex":0},"schema":"https://github.com/citation-style-language/schema/raw/master/csl-citation.json"}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(ICO, 2022)</w:t>
      </w:r>
      <w:r w:rsidRPr="0006342D">
        <w:rPr>
          <w:rFonts w:ascii="Arial" w:hAnsi="Arial" w:cs="Arial"/>
          <w:sz w:val="20"/>
          <w:szCs w:val="20"/>
        </w:rPr>
        <w:fldChar w:fldCharType="end"/>
      </w:r>
      <w:r w:rsidRPr="0006342D">
        <w:rPr>
          <w:rFonts w:ascii="Arial" w:hAnsi="Arial" w:cs="Arial"/>
          <w:sz w:val="20"/>
          <w:szCs w:val="20"/>
        </w:rPr>
        <w:t xml:space="preserve">. </w:t>
      </w:r>
      <w:r w:rsidRPr="00A97C59">
        <w:rPr>
          <w:rFonts w:ascii="Arial" w:hAnsi="Arial" w:cs="Arial"/>
          <w:sz w:val="20"/>
          <w:szCs w:val="20"/>
        </w:rPr>
        <w:t xml:space="preserve">The industry not only sustains millions of rural households but also plays a vital role in national </w:t>
      </w:r>
      <w:r w:rsidRPr="00A97C59">
        <w:rPr>
          <w:rFonts w:ascii="Arial" w:hAnsi="Arial" w:cs="Arial"/>
          <w:sz w:val="20"/>
          <w:szCs w:val="20"/>
        </w:rPr>
        <w:lastRenderedPageBreak/>
        <w:t xml:space="preserve">economies, especially in producing </w:t>
      </w:r>
      <w:r>
        <w:rPr>
          <w:rFonts w:ascii="Arial" w:hAnsi="Arial" w:cs="Arial"/>
          <w:sz w:val="20"/>
          <w:szCs w:val="20"/>
        </w:rPr>
        <w:t xml:space="preserve">and exporting </w:t>
      </w:r>
      <w:r w:rsidRPr="00A97C59">
        <w:rPr>
          <w:rFonts w:ascii="Arial" w:hAnsi="Arial" w:cs="Arial"/>
          <w:sz w:val="20"/>
          <w:szCs w:val="20"/>
        </w:rPr>
        <w:t>countries such as Brazil, Vietnam</w:t>
      </w:r>
      <w:r>
        <w:rPr>
          <w:rFonts w:ascii="Arial" w:hAnsi="Arial" w:cs="Arial"/>
          <w:sz w:val="20"/>
          <w:szCs w:val="20"/>
        </w:rPr>
        <w:t xml:space="preserve"> and</w:t>
      </w:r>
      <w:r w:rsidRPr="00A97C59">
        <w:rPr>
          <w:rFonts w:ascii="Arial" w:hAnsi="Arial" w:cs="Arial"/>
          <w:sz w:val="20"/>
          <w:szCs w:val="20"/>
        </w:rPr>
        <w:t xml:space="preserve"> Colombia, which together dominate international markets</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{"citationItems":[{"id":"ITEM-1","itemData":{"abstract":"The global coffee market Coffee is one of the most widely consumed beverages worldwide and ranks among the most traded commodities globally. a, 1 It sustains the livelihoods of some 25 million farmers and creates additional employment throughout the coffee value chain. 2 For many low-income countries, coffee exports represent an important source of revenue, generating foreign currency reserves essential for securing access to global markets for the import of goods and services. For instance, in Africa, coffee export earnings in 2023 accounted for 33.8 percent, 22.6 percent and 15.4 percent of total merchandise exports in Ethiopia, Burundi and Uganda, respectively. In the same year, these earnings represented over 80.0 percent of Uganda's food import bill and more than half of the food import bills in Burundi and Ethiopia. Beyond producing countries, the coffee sector also plays a significant role in coffee-importing nations, contributing to employment, value addition and tax revenues. In 2023, the value of global coffee production was estimated at USD 23 billion, while world trade in coffee exceeded USD 26 billion. 3 Overall, the coffee industry generates a global annual revenue estimated at over USD 200 billion. 4 Brazil and Viet Nam are the largest coffee producing countries in the world, accounting together for nearly 50 percent of global coffee production (Figure 1). On the demand side, the European Union and the United States of America are the largest consuming and importing markets globally. Two main coffee varieties are produced and traded worldwide: Arabica and Robusta. Arabica, accounting for approximately 60 percent of global coffee production, is a higher quality and higher value coffee primarily used in the roast and ground coffee market. It is also blended with Robusta to enhance the quality of instant coffee. Robusta coffee, typically lower quality coffee and priced lower than Arabica, is mainly used in instant coffee and for blending with Arabicas. 5 However, its use in roast coffee blends, traditionally dominated by Arabica, has been steadily increasing. a Information and feedback provided by the International Coffee Organization (ICO) to this document are gratefully acknowledged.","author":[{"dropping-particle":"","family":"Amrouk","given":"El Mamoun","non-dropping-particle":"","parse-names":false,"suffix":""},{"dropping-particle":"","family":"Palmeri","given":"Fabio","non-dropping-particle":"","parse-names":false,"suffix":""},{"dropping-particle":"","family":"Magrini","given":"Emiliano","non-dropping-particle":"","parse-names":false,"suffix":""}],"container-title":"Food and Agriculture Organisation","id":"ITEM-1","issued":{"date-parts":[["2025"]]},"number-of-pages":"1-10","title":"Global coffee market and recent price developments","type":"report"},"uris":["http://www.mendeley.com/documents/?uuid=c5f94ccb-1151-4736-82bc-d47c0b2a6b9d"]},{"id":"ITEM-2","itemData":{"author":[{"dropping-particle":"","family":"FAOSTAT","given":"","non-dropping-particle":"","parse-names":false,"suffix":""}],"id":"ITEM-2","issued":{"date-parts":[["2025"]]},"number-of-pages":"(accessed on 3 September 2025)","title":"Exports of top 5 exporters of Coffee, green","type":"report"},"uris":["http://www.mendeley.com/documents/?uuid=08ccfa64-7ed4-4703-ad29-54d5472c3dcf"]}],"mendeley":{"formattedCitation":"(Amrouk et al., 2025; FAOSTAT, 2025)","plainTextFormattedCitation":"(Amrouk et al., 2025; FAOSTAT, 2025)","previouslyFormattedCitation":"(Amrouk et al., 2025; FAOSTAT, 2025)"},"properties":{"noteIndex":0},"schema":"https://github.com/citation-style-language/schema/raw/master/csl-citation.json"}</w:instrText>
      </w:r>
      <w:r>
        <w:rPr>
          <w:rFonts w:ascii="Arial" w:hAnsi="Arial" w:cs="Arial"/>
          <w:sz w:val="20"/>
          <w:szCs w:val="20"/>
        </w:rPr>
        <w:fldChar w:fldCharType="separate"/>
      </w:r>
      <w:r w:rsidRPr="00361FE3">
        <w:rPr>
          <w:rFonts w:ascii="Arial" w:hAnsi="Arial" w:cs="Arial"/>
          <w:noProof/>
          <w:sz w:val="20"/>
          <w:szCs w:val="20"/>
        </w:rPr>
        <w:t>(Amrouk et al., 2025; FAOSTAT, 2025)</w:t>
      </w:r>
      <w:r>
        <w:rPr>
          <w:rFonts w:ascii="Arial" w:hAnsi="Arial" w:cs="Arial"/>
          <w:sz w:val="20"/>
          <w:szCs w:val="20"/>
        </w:rPr>
        <w:fldChar w:fldCharType="end"/>
      </w:r>
      <w:r w:rsidRPr="00A97C59">
        <w:rPr>
          <w:rFonts w:ascii="Arial" w:hAnsi="Arial" w:cs="Arial"/>
          <w:sz w:val="20"/>
          <w:szCs w:val="20"/>
        </w:rPr>
        <w:t>.</w:t>
      </w:r>
      <w:r>
        <w:rPr>
          <w:rFonts w:ascii="Arial" w:hAnsi="Arial" w:cs="Arial"/>
          <w:sz w:val="20"/>
          <w:szCs w:val="20"/>
        </w:rPr>
        <w:t xml:space="preserve"> </w:t>
      </w:r>
    </w:p>
    <w:p w14:paraId="774B8E03" w14:textId="77777777" w:rsidR="000B067D" w:rsidRPr="0006342D" w:rsidRDefault="000B067D" w:rsidP="00DC6B84">
      <w:pPr>
        <w:pStyle w:val="NormalWeb"/>
        <w:spacing w:before="0" w:beforeAutospacing="0" w:after="0" w:afterAutospacing="0" w:line="276" w:lineRule="auto"/>
        <w:contextualSpacing/>
        <w:jc w:val="both"/>
        <w:rPr>
          <w:rFonts w:ascii="Arial" w:hAnsi="Arial" w:cs="Arial"/>
          <w:sz w:val="20"/>
          <w:szCs w:val="20"/>
        </w:rPr>
      </w:pPr>
    </w:p>
    <w:p w14:paraId="09878EE6" w14:textId="77777777" w:rsidR="00BB68D7" w:rsidRDefault="00BB68D7" w:rsidP="00BB68D7">
      <w:pPr>
        <w:pStyle w:val="NormalWeb"/>
        <w:spacing w:line="276" w:lineRule="auto"/>
        <w:contextualSpacing/>
        <w:jc w:val="both"/>
        <w:rPr>
          <w:rFonts w:ascii="Arial" w:hAnsi="Arial" w:cs="Arial"/>
          <w:sz w:val="20"/>
          <w:szCs w:val="20"/>
        </w:rPr>
      </w:pPr>
      <w:r w:rsidRPr="00A97C59">
        <w:rPr>
          <w:rFonts w:ascii="Arial" w:hAnsi="Arial" w:cs="Arial"/>
          <w:sz w:val="20"/>
          <w:szCs w:val="20"/>
        </w:rPr>
        <w:t xml:space="preserve">The genus </w:t>
      </w:r>
      <w:proofErr w:type="spellStart"/>
      <w:r w:rsidRPr="004341B4">
        <w:rPr>
          <w:rFonts w:ascii="Arial" w:hAnsi="Arial" w:cs="Arial"/>
          <w:i/>
          <w:iCs/>
          <w:sz w:val="20"/>
          <w:szCs w:val="20"/>
        </w:rPr>
        <w:t>Coffea</w:t>
      </w:r>
      <w:proofErr w:type="spellEnd"/>
      <w:r w:rsidRPr="00A97C59">
        <w:rPr>
          <w:rFonts w:ascii="Arial" w:hAnsi="Arial" w:cs="Arial"/>
          <w:sz w:val="20"/>
          <w:szCs w:val="20"/>
        </w:rPr>
        <w:t xml:space="preserve"> (</w:t>
      </w:r>
      <w:proofErr w:type="spellStart"/>
      <w:r w:rsidRPr="00A97C59">
        <w:rPr>
          <w:rFonts w:ascii="Arial" w:hAnsi="Arial" w:cs="Arial"/>
          <w:sz w:val="20"/>
          <w:szCs w:val="20"/>
        </w:rPr>
        <w:t>Rubiaceae</w:t>
      </w:r>
      <w:proofErr w:type="spellEnd"/>
      <w:r w:rsidRPr="00A97C59">
        <w:rPr>
          <w:rFonts w:ascii="Arial" w:hAnsi="Arial" w:cs="Arial"/>
          <w:sz w:val="20"/>
          <w:szCs w:val="20"/>
        </w:rPr>
        <w:t xml:space="preserve">) </w:t>
      </w:r>
      <w:r w:rsidRPr="001F406E">
        <w:rPr>
          <w:rFonts w:ascii="Arial" w:hAnsi="Arial" w:cs="Arial"/>
          <w:sz w:val="20"/>
          <w:szCs w:val="20"/>
        </w:rPr>
        <w:t>comprises</w:t>
      </w:r>
      <w:r>
        <w:rPr>
          <w:rFonts w:ascii="Arial" w:hAnsi="Arial" w:cs="Arial"/>
          <w:sz w:val="20"/>
          <w:szCs w:val="20"/>
        </w:rPr>
        <w:t xml:space="preserve"> around </w:t>
      </w:r>
      <w:r w:rsidRPr="001F406E">
        <w:rPr>
          <w:rFonts w:ascii="Arial" w:hAnsi="Arial" w:cs="Arial"/>
          <w:sz w:val="20"/>
          <w:szCs w:val="20"/>
        </w:rPr>
        <w:t>1</w:t>
      </w:r>
      <w:r>
        <w:rPr>
          <w:rFonts w:ascii="Arial" w:hAnsi="Arial" w:cs="Arial"/>
          <w:sz w:val="20"/>
          <w:szCs w:val="20"/>
        </w:rPr>
        <w:t>3</w:t>
      </w:r>
      <w:r w:rsidRPr="001F406E">
        <w:rPr>
          <w:rFonts w:ascii="Arial" w:hAnsi="Arial" w:cs="Arial"/>
          <w:sz w:val="20"/>
          <w:szCs w:val="20"/>
        </w:rPr>
        <w:t>0 species</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{"citationItems":[{"id":"ITEM-1","itemData":{"DOI":"10.1007/S12225-021-09952-5","author":[{"dropping-particle":"","family":"Davis","given":"Aaron P.","non-dropping-particle":"","parse-names":false,"suffix":""},{"dropping-particle":"","family":"Rakotonasolo","given":"Franck","non-dropping-particle":"","parse-names":false,"suffix":""}],"container-title":"Kew Buletin","id":"ITEM-1","issued":{"date-parts":[["2021"]]},"page":"497-511","title":"Six new species of coffee (&lt;i&gt;Coffea&lt;/i&gt;) from northern Madagascar","type":"article-journal","volume":"5974"},"uris":["http://www.mendeley.com/documents/?uuid=24e0bb4b-3ff7-4baf-b70f-e090a726f0ed"]}],"mendeley":{"formattedCitation":"(Davis &amp; Rakotonasolo, 2021)","plainTextFormattedCitation":"(Davis &amp; Rakotonasolo, 2021)","previouslyFormattedCitation":"(Davis &amp; Rakotonasolo, 2021)"},"properties":{"noteIndex":0},"schema":"https://github.com/citation-style-language/schema/raw/master/csl-citation.json"}</w:instrText>
      </w:r>
      <w:r>
        <w:rPr>
          <w:rFonts w:ascii="Arial" w:hAnsi="Arial" w:cs="Arial"/>
          <w:sz w:val="20"/>
          <w:szCs w:val="20"/>
        </w:rPr>
        <w:fldChar w:fldCharType="separate"/>
      </w:r>
      <w:r w:rsidRPr="00565BE3">
        <w:rPr>
          <w:rFonts w:ascii="Arial" w:hAnsi="Arial" w:cs="Arial"/>
          <w:noProof/>
          <w:sz w:val="20"/>
          <w:szCs w:val="20"/>
        </w:rPr>
        <w:t>(Davis &amp; Rakotonasolo, 2021)</w:t>
      </w:r>
      <w:r>
        <w:rPr>
          <w:rFonts w:ascii="Arial" w:hAnsi="Arial" w:cs="Arial"/>
          <w:sz w:val="20"/>
          <w:szCs w:val="20"/>
        </w:rPr>
        <w:fldChar w:fldCharType="end"/>
      </w:r>
      <w:r w:rsidRPr="00A97C59">
        <w:rPr>
          <w:rFonts w:ascii="Arial" w:hAnsi="Arial" w:cs="Arial"/>
          <w:sz w:val="20"/>
          <w:szCs w:val="20"/>
        </w:rPr>
        <w:t xml:space="preserve">, </w:t>
      </w:r>
      <w:r w:rsidRPr="00882C78">
        <w:rPr>
          <w:rFonts w:ascii="Arial" w:hAnsi="Arial" w:cs="Arial"/>
          <w:sz w:val="20"/>
          <w:szCs w:val="20"/>
        </w:rPr>
        <w:t>but only a few are cultivated commercially:</w:t>
      </w:r>
      <w:r>
        <w:rPr>
          <w:rFonts w:ascii="Arial" w:hAnsi="Arial" w:cs="Arial"/>
          <w:sz w:val="20"/>
          <w:szCs w:val="20"/>
        </w:rPr>
        <w:t xml:space="preserve">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arabica</w:t>
      </w:r>
      <w:r w:rsidRPr="0006342D">
        <w:rPr>
          <w:rFonts w:ascii="Arial" w:hAnsi="Arial" w:cs="Arial"/>
          <w:sz w:val="20"/>
          <w:szCs w:val="20"/>
        </w:rPr>
        <w:t xml:space="preserve">,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w:t>
      </w:r>
      <w:proofErr w:type="spellStart"/>
      <w:r w:rsidRPr="0006342D">
        <w:rPr>
          <w:rFonts w:ascii="Arial" w:hAnsi="Arial" w:cs="Arial"/>
          <w:i/>
          <w:iCs/>
          <w:sz w:val="20"/>
          <w:szCs w:val="20"/>
        </w:rPr>
        <w:t>canephora</w:t>
      </w:r>
      <w:proofErr w:type="spellEnd"/>
      <w:r w:rsidRPr="0006342D">
        <w:rPr>
          <w:rFonts w:ascii="Arial" w:hAnsi="Arial" w:cs="Arial"/>
          <w:sz w:val="20"/>
          <w:szCs w:val="20"/>
        </w:rPr>
        <w:t xml:space="preserve"> (Robusta),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w:t>
      </w:r>
      <w:proofErr w:type="spellStart"/>
      <w:r w:rsidRPr="0006342D">
        <w:rPr>
          <w:rFonts w:ascii="Arial" w:hAnsi="Arial" w:cs="Arial"/>
          <w:i/>
          <w:iCs/>
          <w:sz w:val="20"/>
          <w:szCs w:val="20"/>
        </w:rPr>
        <w:t>liberica</w:t>
      </w:r>
      <w:proofErr w:type="spellEnd"/>
      <w:r w:rsidRPr="0006342D">
        <w:rPr>
          <w:rFonts w:ascii="Arial" w:hAnsi="Arial" w:cs="Arial"/>
          <w:sz w:val="20"/>
          <w:szCs w:val="20"/>
        </w:rPr>
        <w:t xml:space="preserve"> and </w:t>
      </w:r>
      <w:proofErr w:type="spellStart"/>
      <w:r w:rsidRPr="0006342D">
        <w:rPr>
          <w:rFonts w:ascii="Arial" w:hAnsi="Arial" w:cs="Arial"/>
          <w:i/>
          <w:iCs/>
          <w:sz w:val="20"/>
          <w:szCs w:val="20"/>
        </w:rPr>
        <w:t>Coffea</w:t>
      </w:r>
      <w:proofErr w:type="spellEnd"/>
      <w:r w:rsidRPr="00A97C59">
        <w:rPr>
          <w:rFonts w:ascii="Arial" w:hAnsi="Arial" w:cs="Arial"/>
          <w:i/>
          <w:iCs/>
          <w:sz w:val="20"/>
          <w:szCs w:val="20"/>
        </w:rPr>
        <w:t xml:space="preserve"> excelsa</w:t>
      </w:r>
      <w:r>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{"citationItems":[{"id":"ITEM-1","itemData":{"ISSN":"14786419","abstract":"A new flavanone with epoxy-isopentyl moiety named parkintin has been isolated from the methanol soluble part of Parkinsonia aculeata Linn. belonging to the family Caesalpiniaceae. The structure of parkintin has been established with the aid of spectroscopic techniques including COSY and HMBC experiments. © 2005 Taylor &amp; Francis Ltd.","author":[{"dropping-particle":"","family":"Cao","given":"Ernelea P.","non-dropping-particle":"","parse-names":false,"suffix":""},{"dropping-particle":"","family":"Constantino-Santos","given":"Daisy May","non-dropping-particle":"","parse-names":false,"suffix":""},{"dropping-particle":"","family":"Ramos","given":"Lara Anjela P.","non-dropping-particle":"","parse-names":false,"suffix":""},{"dropping-particle":"","family":"Santos","given":"Brian S.","non-dropping-particle":"","parse-names":false,"suffix":""},{"dropping-particle":"","family":"Quilang","given":"Jonas P.","non-dropping-particle":"","parse-names":false,"suffix":""},{"dropping-particle":"","family":"Mojica","given":"Ruel M.","non-dropping-particle":"","parse-names":false,"suffix":""}],"container-title":"Philippine Science Letters","id":"ITEM-1","issue":"2","issued":{"date-parts":[["2014"]]},"page":"387-397","title":"Molecular and morphological differentiation among &lt;i&gt;Coffea&lt;/i&gt; (Rubiaceae) varieties grown in the farms of Cavite Province, Philippines","type":"article-journal","volume":"7"},"uris":["http://www.mendeley.com/documents/?uuid=0f8e4507-cb49-46bd-b161-3034a1dffece","http://www.mendeley.com/documents/?uuid=6145c766-175e-40d0-b077-f66664eebad1"]}],"mendeley":{"formattedCitation":"(Cao et al., 2014)","plainTextFormattedCitation":"(Cao et al., 2014)","previouslyFormattedCitation":"(Cao et al., 2014)"},"properties":{"noteIndex":0},"schema":"https://github.com/citation-style-language/schema/raw/master/csl-citation.json"}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(Cao et al., 2014)</w:t>
      </w:r>
      <w:r w:rsidRPr="0006342D">
        <w:rPr>
          <w:rFonts w:ascii="Arial" w:hAnsi="Arial" w:cs="Arial"/>
          <w:sz w:val="20"/>
          <w:szCs w:val="20"/>
        </w:rPr>
        <w:fldChar w:fldCharType="end"/>
      </w:r>
      <w:r w:rsidRPr="0006342D">
        <w:rPr>
          <w:rFonts w:ascii="Arial" w:hAnsi="Arial" w:cs="Arial"/>
          <w:sz w:val="20"/>
          <w:szCs w:val="20"/>
        </w:rPr>
        <w:t xml:space="preserve">. </w:t>
      </w:r>
      <w:r>
        <w:rPr>
          <w:rFonts w:ascii="Arial" w:hAnsi="Arial" w:cs="Arial"/>
          <w:sz w:val="20"/>
          <w:szCs w:val="20"/>
        </w:rPr>
        <w:t xml:space="preserve">Of these, </w:t>
      </w:r>
      <w:r w:rsidRPr="0006342D">
        <w:rPr>
          <w:rFonts w:ascii="Arial" w:hAnsi="Arial" w:cs="Arial"/>
          <w:i/>
          <w:iCs/>
          <w:sz w:val="20"/>
          <w:szCs w:val="20"/>
        </w:rPr>
        <w:t>C. arabica</w:t>
      </w:r>
      <w:r w:rsidRPr="0006342D">
        <w:rPr>
          <w:rFonts w:ascii="Arial" w:hAnsi="Arial" w:cs="Arial"/>
          <w:sz w:val="20"/>
          <w:szCs w:val="20"/>
        </w:rPr>
        <w:t xml:space="preserve"> and </w:t>
      </w:r>
      <w:r w:rsidRPr="0006342D">
        <w:rPr>
          <w:rFonts w:ascii="Arial" w:hAnsi="Arial" w:cs="Arial"/>
          <w:i/>
          <w:iCs/>
          <w:sz w:val="20"/>
          <w:szCs w:val="20"/>
        </w:rPr>
        <w:t xml:space="preserve">C. </w:t>
      </w:r>
      <w:proofErr w:type="spellStart"/>
      <w:r w:rsidRPr="0006342D">
        <w:rPr>
          <w:rFonts w:ascii="Arial" w:hAnsi="Arial" w:cs="Arial"/>
          <w:i/>
          <w:iCs/>
          <w:sz w:val="20"/>
          <w:szCs w:val="20"/>
        </w:rPr>
        <w:t>canephora</w:t>
      </w:r>
      <w:proofErr w:type="spellEnd"/>
      <w:r w:rsidRPr="0006342D">
        <w:rPr>
          <w:rFonts w:ascii="Arial" w:hAnsi="Arial" w:cs="Arial"/>
          <w:sz w:val="20"/>
          <w:szCs w:val="20"/>
        </w:rPr>
        <w:t xml:space="preserve"> dominate global trade, accounting for approximately 60% and 40% of the global coffee production in 2022, respectively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Report","type":"report"},"uris":["http://www.mendeley.com/documents/?uuid=15c9bafa-dfb5-4dd8-b161-089b4f33e096","http://www.mendeley.com/documents/?uuid=8dbcc520-627f-4601-a738-e270a30c64cb"]}],"mendeley":{"formattedCitation":"(ICO, 2022)","plainTextFormattedCitation":"(ICO, 2022)","previouslyFormattedCitation":"(ICO, 2022)"},"properties":{"noteIndex":0},"schema":"https://github.com/citation-style-language/schema/raw/master/csl-citation.json"}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(ICO, 2022)</w:t>
      </w:r>
      <w:r w:rsidRPr="0006342D">
        <w:rPr>
          <w:rFonts w:ascii="Arial" w:hAnsi="Arial" w:cs="Arial"/>
          <w:sz w:val="20"/>
          <w:szCs w:val="20"/>
        </w:rPr>
        <w:fldChar w:fldCharType="end"/>
      </w:r>
      <w:r w:rsidRPr="0006342D">
        <w:rPr>
          <w:rFonts w:ascii="Arial" w:hAnsi="Arial" w:cs="Arial"/>
          <w:sz w:val="20"/>
          <w:szCs w:val="20"/>
        </w:rPr>
        <w:t xml:space="preserve">. </w:t>
      </w:r>
      <w:r w:rsidRPr="0006342D">
        <w:rPr>
          <w:rFonts w:ascii="Arial" w:hAnsi="Arial" w:cs="Arial"/>
          <w:i/>
          <w:iCs/>
          <w:sz w:val="20"/>
          <w:szCs w:val="20"/>
        </w:rPr>
        <w:t xml:space="preserve">C. </w:t>
      </w:r>
      <w:proofErr w:type="spellStart"/>
      <w:r w:rsidRPr="0006342D">
        <w:rPr>
          <w:rFonts w:ascii="Arial" w:hAnsi="Arial" w:cs="Arial"/>
          <w:i/>
          <w:iCs/>
          <w:sz w:val="20"/>
          <w:szCs w:val="20"/>
        </w:rPr>
        <w:t>liberica</w:t>
      </w:r>
      <w:proofErr w:type="spellEnd"/>
      <w:r>
        <w:rPr>
          <w:rFonts w:ascii="Arial" w:hAnsi="Arial" w:cs="Arial"/>
          <w:i/>
          <w:iCs/>
          <w:sz w:val="20"/>
          <w:szCs w:val="20"/>
        </w:rPr>
        <w:t>,</w:t>
      </w:r>
      <w:r w:rsidRPr="0006342D">
        <w:rPr>
          <w:rFonts w:ascii="Arial" w:hAnsi="Arial" w:cs="Arial"/>
          <w:i/>
          <w:iCs/>
          <w:sz w:val="20"/>
          <w:szCs w:val="20"/>
        </w:rPr>
        <w:t xml:space="preserve"> </w:t>
      </w:r>
      <w:r>
        <w:rPr>
          <w:rFonts w:ascii="Arial" w:hAnsi="Arial" w:cs="Arial"/>
          <w:sz w:val="20"/>
          <w:szCs w:val="20"/>
        </w:rPr>
        <w:t>which</w:t>
      </w:r>
      <w:r w:rsidRPr="00513081">
        <w:rPr>
          <w:rFonts w:ascii="Arial" w:hAnsi="Arial" w:cs="Arial"/>
          <w:sz w:val="20"/>
          <w:szCs w:val="20"/>
        </w:rPr>
        <w:t xml:space="preserve"> has gained popularity in recent years</w:t>
      </w:r>
      <w:r>
        <w:rPr>
          <w:rFonts w:ascii="Arial" w:hAnsi="Arial" w:cs="Arial"/>
          <w:sz w:val="20"/>
          <w:szCs w:val="20"/>
        </w:rPr>
        <w:t xml:space="preserve">, </w:t>
      </w:r>
      <w:r w:rsidRPr="0006342D">
        <w:rPr>
          <w:rFonts w:ascii="Arial" w:hAnsi="Arial" w:cs="Arial"/>
          <w:sz w:val="20"/>
          <w:szCs w:val="20"/>
        </w:rPr>
        <w:t xml:space="preserve">represents less than 1% of global output yet is highly significant in Malaysia and the Philippines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crop","type":"article-journal","volume":"11"},"uris":["http://www.mendeley.com/documents/?uuid=bdb35a57-4103-4ebc-a07c-4a040420ad59","http://www.mendeley.com/documents/?uuid=2dd4848b-f663-4685-b713-10c7a4f9abd3"]}],"mendeley":{"formattedCitation":"(Davis et al., 2020)","plainTextFormattedCitation":"(Davis et al., 2020)","previouslyFormattedCitation":"(Davis et al., 2020)"},"properties":{"noteIndex":0},"schema":"https://github.com/citation-style-language/schema/raw/master/csl-citation.json"}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(Davis et al., 2020)</w:t>
      </w:r>
      <w:r w:rsidRPr="0006342D">
        <w:rPr>
          <w:rFonts w:ascii="Arial" w:hAnsi="Arial" w:cs="Arial"/>
          <w:sz w:val="20"/>
          <w:szCs w:val="20"/>
        </w:rPr>
        <w:fldChar w:fldCharType="end"/>
      </w:r>
      <w:r w:rsidRPr="0006342D">
        <w:rPr>
          <w:rFonts w:ascii="Arial" w:hAnsi="Arial" w:cs="Arial"/>
          <w:sz w:val="20"/>
          <w:szCs w:val="20"/>
        </w:rPr>
        <w:t xml:space="preserve">. </w:t>
      </w:r>
      <w:r w:rsidRPr="00214AA3">
        <w:rPr>
          <w:rFonts w:ascii="Arial" w:hAnsi="Arial" w:cs="Arial"/>
          <w:sz w:val="20"/>
          <w:szCs w:val="20"/>
        </w:rPr>
        <w:t xml:space="preserve">In Malaysia, </w:t>
      </w:r>
      <w:r w:rsidRPr="00FD2F48">
        <w:rPr>
          <w:rFonts w:ascii="Arial" w:hAnsi="Arial" w:cs="Arial"/>
          <w:sz w:val="20"/>
          <w:szCs w:val="20"/>
        </w:rPr>
        <w:t xml:space="preserve">it constitutes nearly </w:t>
      </w:r>
      <w:r w:rsidRPr="009464D6">
        <w:rPr>
          <w:rFonts w:ascii="Arial" w:hAnsi="Arial" w:cs="Arial"/>
          <w:sz w:val="20"/>
          <w:szCs w:val="20"/>
        </w:rPr>
        <w:t xml:space="preserve">90% of national production due to its adaptability to local soils, tolerance to marginal environments and distinctive </w:t>
      </w:r>
      <w:proofErr w:type="spellStart"/>
      <w:r w:rsidRPr="009464D6">
        <w:rPr>
          <w:rFonts w:ascii="Arial" w:hAnsi="Arial" w:cs="Arial"/>
          <w:sz w:val="20"/>
          <w:szCs w:val="20"/>
        </w:rPr>
        <w:t>flavor</w:t>
      </w:r>
      <w:proofErr w:type="spellEnd"/>
      <w:r w:rsidRPr="009464D6">
        <w:rPr>
          <w:rFonts w:ascii="Arial" w:hAnsi="Arial" w:cs="Arial"/>
          <w:sz w:val="20"/>
          <w:szCs w:val="20"/>
        </w:rPr>
        <w:t xml:space="preserve"> that appeals to niche markets </w:t>
      </w:r>
      <w:r w:rsidRPr="009464D6">
        <w:rPr>
          <w:rFonts w:ascii="Arial" w:hAnsi="Arial" w:cs="Arial"/>
          <w:sz w:val="20"/>
          <w:szCs w:val="20"/>
        </w:rPr>
        <w:fldChar w:fldCharType="begin" w:fldLock="1"/>
      </w:r>
      <w:r w:rsidRPr="009464D6">
        <w:rPr>
          <w:rFonts w:ascii="Arial" w:hAnsi="Arial" w:cs="Arial"/>
          <w:sz w:val="20"/>
          <w:szCs w:val="20"/>
        </w:rPr>
        <w:instrText>ADDIN CSL_CITATION {"citationItems":[{"id":"ITEM-1","itemData":{"abstract":"Coffee is a plant of the family Rubiaceae and genus Coffea, whose seeds are called coffee beans and processed into drinks (Noor Auni and Khairol, 1988; Muhammad Ghawas and Rubiah, 1991). It is a group of plants that can live up to more than 25 years and grow up to a height of 5 to 15 meters. It is believed to have originated from Ethiopia and then spread to Egypt, Yemen, Italy, all over Europe and the United States. Until now, coffee has gained a place all over the world including Malaysia, which planted coffee as a cash crop. Of the 66 species of this genus, three species are commercially cultivated and widely traded in global markets. These species are Coffea Arabica (70%), Coffea Canephora or known as Robusta (28%), and Coffea Liberica (2%). There are two varieties of coffee that are commercially grown in Malaysia: the Liberica (90%) and Robusta (10%). In general, Coffea Arabica is considered the most traditional coffee with the highest quality in terms of taste and aroma, while Robusta coffee has a higher content of caffeine which led to its use as an inexpensive substitute for Arabica. Compared to Arabica, Robusta tends to have a bitter taste and is more acidic. It is often used as an ingredient in some espresso blends to add more flavors at a lower cost. Among these three varieties, Robusta coffee is the cheapest with a price range of RM6 to RM10 per kilogram (kg), followed by Liberica, RM10 to RM16 per kg and Arabica, RM20 to RM25 per kg.","author":[{"dropping-particle":"","family":"Wahab","given":"Mohd Amirul Mukim Abd","non-dropping-particle":"","parse-names":false,"suffix":""},{"dropping-particle":"","family":"Nor","given":"Nor Amna A’liah Mohammad","non-dropping-particle":"","parse-names":false,"suffix":""}],"container-title":"Economics and Social Science Research Centre","id":"ITEM-1","issue":"1016","issued":{"date-parts":[["2016"]]},"page":"1-5","title":"Exploring the potential of coffee industry in Malaysia","type":"article-journal"},"uris":["http://www.mendeley.com/documents/?uuid=390f936a-ce6b-45a4-a1a2-f927faf4feec","http://www.mendeley.com/documents/?uuid=101047cd-e520-493f-8fb5-10c84a7b6c9f"]}],"mendeley":{"formattedCitation":"(Wahab &amp; Nor, 2016)","plainTextFormattedCitation":"(Wahab &amp; Nor, 2016)","previouslyFormattedCitation":"(Wahab &amp; Nor, 2016)"},"properties":{"noteIndex":0},"schema":"https://github.com/citation-style-language/schema/raw/master/csl-citation.json"}</w:instrText>
      </w:r>
      <w:r w:rsidRPr="009464D6">
        <w:rPr>
          <w:rFonts w:ascii="Arial" w:hAnsi="Arial" w:cs="Arial"/>
          <w:sz w:val="20"/>
          <w:szCs w:val="20"/>
        </w:rPr>
        <w:fldChar w:fldCharType="separate"/>
      </w:r>
      <w:r w:rsidRPr="009464D6">
        <w:rPr>
          <w:rFonts w:ascii="Arial" w:hAnsi="Arial" w:cs="Arial"/>
          <w:noProof/>
          <w:sz w:val="20"/>
          <w:szCs w:val="20"/>
        </w:rPr>
        <w:t>(Wahab &amp; Nor, 2016)</w:t>
      </w:r>
      <w:r w:rsidRPr="009464D6">
        <w:rPr>
          <w:rFonts w:ascii="Arial" w:hAnsi="Arial" w:cs="Arial"/>
          <w:sz w:val="20"/>
          <w:szCs w:val="20"/>
        </w:rPr>
        <w:fldChar w:fldCharType="end"/>
      </w:r>
      <w:r w:rsidRPr="009464D6">
        <w:rPr>
          <w:rFonts w:ascii="Arial" w:hAnsi="Arial" w:cs="Arial"/>
          <w:sz w:val="20"/>
          <w:szCs w:val="20"/>
        </w:rPr>
        <w:t>.</w:t>
      </w:r>
    </w:p>
    <w:p w14:paraId="272CDC59" w14:textId="77777777" w:rsidR="00BB68D7" w:rsidRDefault="00BB68D7" w:rsidP="00513081">
      <w:pPr>
        <w:pStyle w:val="NormalWeb"/>
        <w:spacing w:line="276" w:lineRule="auto"/>
        <w:contextualSpacing/>
        <w:jc w:val="both"/>
        <w:rPr>
          <w:rFonts w:ascii="Arial" w:hAnsi="Arial" w:cs="Arial"/>
          <w:sz w:val="20"/>
          <w:szCs w:val="20"/>
        </w:rPr>
      </w:pPr>
    </w:p>
    <w:p w14:paraId="4EB4DBBD" w14:textId="77777777" w:rsidR="00BB68D7" w:rsidRPr="009464D6" w:rsidRDefault="00BB68D7" w:rsidP="00BB68D7">
      <w:pPr>
        <w:pStyle w:val="NormalWeb"/>
        <w:spacing w:line="276" w:lineRule="auto"/>
        <w:contextualSpacing/>
        <w:jc w:val="both"/>
        <w:rPr>
          <w:rFonts w:ascii="Arial" w:hAnsi="Arial" w:cs="Arial"/>
          <w:sz w:val="20"/>
          <w:szCs w:val="20"/>
        </w:rPr>
      </w:pPr>
      <w:r w:rsidRPr="009464D6">
        <w:rPr>
          <w:rFonts w:ascii="Arial" w:hAnsi="Arial" w:cs="Arial"/>
          <w:sz w:val="20"/>
          <w:szCs w:val="20"/>
        </w:rPr>
        <w:t xml:space="preserve">Historically, </w:t>
      </w:r>
      <w:r w:rsidRPr="009464D6">
        <w:rPr>
          <w:rFonts w:ascii="Arial" w:hAnsi="Arial" w:cs="Arial"/>
          <w:i/>
          <w:iCs/>
          <w:sz w:val="20"/>
          <w:szCs w:val="20"/>
        </w:rPr>
        <w:t xml:space="preserve">C. </w:t>
      </w:r>
      <w:proofErr w:type="spellStart"/>
      <w:r w:rsidRPr="009464D6">
        <w:rPr>
          <w:rFonts w:ascii="Arial" w:hAnsi="Arial" w:cs="Arial"/>
          <w:i/>
          <w:iCs/>
          <w:sz w:val="20"/>
          <w:szCs w:val="20"/>
        </w:rPr>
        <w:t>liberica</w:t>
      </w:r>
      <w:proofErr w:type="spellEnd"/>
      <w:r w:rsidRPr="009464D6">
        <w:rPr>
          <w:rFonts w:ascii="Arial" w:hAnsi="Arial" w:cs="Arial"/>
          <w:sz w:val="20"/>
          <w:szCs w:val="20"/>
        </w:rPr>
        <w:t xml:space="preserve"> was introduced into Southeast Asia in the late 19th century</w:t>
      </w:r>
      <w:r>
        <w:rPr>
          <w:rFonts w:ascii="Arial" w:hAnsi="Arial" w:cs="Arial"/>
          <w:sz w:val="20"/>
          <w:szCs w:val="20"/>
        </w:rPr>
        <w:t>,</w:t>
      </w:r>
      <w:r w:rsidRPr="009464D6">
        <w:rPr>
          <w:rFonts w:ascii="Arial" w:hAnsi="Arial" w:cs="Arial"/>
          <w:sz w:val="20"/>
          <w:szCs w:val="20"/>
        </w:rPr>
        <w:t xml:space="preserve"> following the devastating coffee leaf rust (CLR) epidemic that </w:t>
      </w:r>
      <w:r>
        <w:rPr>
          <w:rFonts w:ascii="Arial" w:hAnsi="Arial" w:cs="Arial"/>
          <w:sz w:val="20"/>
          <w:szCs w:val="20"/>
        </w:rPr>
        <w:t>destroyed</w:t>
      </w:r>
      <w:r w:rsidRPr="009464D6">
        <w:rPr>
          <w:rFonts w:ascii="Arial" w:hAnsi="Arial" w:cs="Arial"/>
          <w:sz w:val="20"/>
          <w:szCs w:val="20"/>
        </w:rPr>
        <w:t xml:space="preserve"> </w:t>
      </w:r>
      <w:r w:rsidRPr="009464D6">
        <w:rPr>
          <w:rFonts w:ascii="Arial" w:hAnsi="Arial" w:cs="Arial"/>
          <w:i/>
          <w:iCs/>
          <w:sz w:val="20"/>
          <w:szCs w:val="20"/>
        </w:rPr>
        <w:t>C. arabica</w:t>
      </w:r>
      <w:r w:rsidRPr="009464D6">
        <w:rPr>
          <w:rFonts w:ascii="Arial" w:hAnsi="Arial" w:cs="Arial"/>
          <w:sz w:val="20"/>
          <w:szCs w:val="20"/>
        </w:rPr>
        <w:t xml:space="preserve"> plantations in Ceylon, Java, and Malaya </w:t>
      </w:r>
      <w:r>
        <w:rPr>
          <w:rFonts w:ascii="Arial" w:hAnsi="Arial" w:cs="Arial"/>
          <w:sz w:val="20"/>
          <w:szCs w:val="20"/>
        </w:rPr>
        <w:fldChar w:fldCharType="begin" w:fldLock="1"/>
      </w:r>
      <w:r>
        <w:rPr>
          <w:rFonts w:ascii="Arial" w:hAnsi="Arial" w:cs="Arial"/>
          <w:sz w:val="20"/>
          <w:szCs w:val="20"/>
        </w:rPr>
        <w:instrText>ADDIN CSL_CITATION {"citationItems":[{"id":"ITEM-1","itemData":{"DOI":"10.1017/S174002280600012X","ISSN":"17400228","abstract":"The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History","id":"ITEM-1","issue":"2","issued":{"date-parts":[["2006"]]},"page":"177-195","title":"Global rust belt: &lt;i&gt;Hemileia vastatrix&lt;/i&gt; and the ecological integration of world coffee production since 1850","type":"article-journal","volume":"1"},"uris":["http://www.mendeley.com/documents/?uuid=e772fad8-2b78-4c45-aa55-979c40cfd164"]},{"id":"ITEM-2","itemData":{"DOI":"10.3390/agronomy12020326","ISSN":"20734395","abstract":"Coffee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-2","issue":"2","issued":{"date-parts":[["2022"]]},"page":"1-31","title":"An overview of the mechanisms involved in Coffee-&lt;i&gt;Hemileia vastatrix&lt;/i&gt; interactions: Plant and pathogen perspectives","type":"article-journal","volume":"12"},"uris":["http://www.mendeley.com/documents/?uuid=6d867665-ca2b-4683-8078-fe63c4535d73"]}],"mendeley":{"formattedCitation":"(McCook, 2006; Silva et al., 2022)","plainTextFormattedCitation":"(McCook, 2006; Silva et al., 2022)","previouslyFormattedCitation":"(McCook, 2006; Silva et al., 2022)"},"properties":{"noteIndex":0},"schema":"https://github.com/citation-style-language/schema/raw/master/csl-citation.json"}</w:instrText>
      </w:r>
      <w:r>
        <w:rPr>
          <w:rFonts w:ascii="Arial" w:hAnsi="Arial" w:cs="Arial"/>
          <w:sz w:val="20"/>
          <w:szCs w:val="20"/>
        </w:rPr>
        <w:fldChar w:fldCharType="separate"/>
      </w:r>
      <w:r w:rsidRPr="009464D6">
        <w:rPr>
          <w:rFonts w:ascii="Arial" w:hAnsi="Arial" w:cs="Arial"/>
          <w:noProof/>
          <w:sz w:val="20"/>
          <w:szCs w:val="20"/>
        </w:rPr>
        <w:t>(McCook, 2006; Silva et al., 2022)</w:t>
      </w:r>
      <w:r>
        <w:rPr>
          <w:rFonts w:ascii="Arial" w:hAnsi="Arial" w:cs="Arial"/>
          <w:sz w:val="20"/>
          <w:szCs w:val="20"/>
        </w:rPr>
        <w:fldChar w:fldCharType="end"/>
      </w:r>
      <w:r w:rsidRPr="009464D6">
        <w:rPr>
          <w:rFonts w:ascii="Arial" w:hAnsi="Arial" w:cs="Arial"/>
          <w:sz w:val="20"/>
          <w:szCs w:val="20"/>
        </w:rPr>
        <w:t xml:space="preserve">. Its resilience to marginal environments, tolerance to some diseases and distinctive flavour profile have ensured its persistence in Malaysia, despite its relatively low global importance. More recently, </w:t>
      </w:r>
      <w:r w:rsidRPr="006D0176">
        <w:rPr>
          <w:rFonts w:ascii="Arial" w:hAnsi="Arial" w:cs="Arial"/>
          <w:i/>
          <w:iCs/>
          <w:sz w:val="20"/>
          <w:szCs w:val="20"/>
        </w:rPr>
        <w:t xml:space="preserve">C. </w:t>
      </w:r>
      <w:proofErr w:type="spellStart"/>
      <w:r w:rsidRPr="006D0176">
        <w:rPr>
          <w:rFonts w:ascii="Arial" w:hAnsi="Arial" w:cs="Arial"/>
          <w:i/>
          <w:iCs/>
          <w:sz w:val="20"/>
          <w:szCs w:val="20"/>
        </w:rPr>
        <w:t>liberica</w:t>
      </w:r>
      <w:proofErr w:type="spellEnd"/>
      <w:r w:rsidRPr="006D0176">
        <w:rPr>
          <w:rFonts w:ascii="Arial" w:hAnsi="Arial" w:cs="Arial"/>
          <w:i/>
          <w:iCs/>
          <w:sz w:val="20"/>
          <w:szCs w:val="20"/>
        </w:rPr>
        <w:t xml:space="preserve"> </w:t>
      </w:r>
      <w:r w:rsidRPr="001E2B1B">
        <w:rPr>
          <w:rFonts w:ascii="Arial" w:hAnsi="Arial" w:cs="Arial"/>
          <w:sz w:val="20"/>
          <w:szCs w:val="20"/>
        </w:rPr>
        <w:t>has gained renewed attention in specialty coffee markets for its distinctive sensory qualities and potential for niche branding</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{"citationItems":[{"id":"ITEM-1","itemData":{"DOI":"10.1038/s41477-022-01309-5","ISBN":"4147702201","ISSN":"20550278","PMID":"36522448","author":[{"dropping-particle":"","family":"Davis","given":"Aaron P.","non-dropping-particle":"","parse-names":false,"suffix":""},{"dropping-particle":"","family":"Kiwuka","given":"Catherine","non-dropping-particle":"","parse-names":false,"suffix":""},{"dropping-particle":"","family":"Faruk","given":"Aisyah","non-dropping-particle":"","parse-names":false,"suffix":""},{"dropping-particle":"","family":"Walubiri","given":"Mweru J.","non-dropping-particle":"","parse-names":false,"suffix":""},{"dropping-particle":"","family":"Kalema","given":"James","non-dropping-particle":"","parse-names":false,"suffix":""}],"container-title":"Nature Plants","id":"ITEM-1","issue":"12","issued":{"date-parts":[["2022"]]},"page":"1322-1328","publisher":"Springer US","title":"The re-emergence of Liberica coffee as a major crop plant","type":"article-journal","volume":"8"},"uris":["http://www.mendeley.com/documents/?uuid=c1021e17-41a5-4b49-9393-2dd9680e1a83"]}],"mendeley":{"formattedCitation":"(Davis et al., 2022)","plainTextFormattedCitation":"(Davis et al., 2022)","previouslyFormattedCitation":"(Davis et al., 2022)"},"properties":{"noteIndex":0},"schema":"https://github.com/citation-style-language/schema/raw/master/csl-citation.json"}</w:instrText>
      </w:r>
      <w:r>
        <w:rPr>
          <w:rFonts w:ascii="Arial" w:hAnsi="Arial" w:cs="Arial"/>
          <w:sz w:val="20"/>
          <w:szCs w:val="20"/>
        </w:rPr>
        <w:fldChar w:fldCharType="separate"/>
      </w:r>
      <w:r w:rsidRPr="00EC10CD">
        <w:rPr>
          <w:rFonts w:ascii="Arial" w:hAnsi="Arial" w:cs="Arial"/>
          <w:noProof/>
          <w:sz w:val="20"/>
          <w:szCs w:val="20"/>
        </w:rPr>
        <w:t>(Davis et al., 2022)</w:t>
      </w:r>
      <w:r>
        <w:rPr>
          <w:rFonts w:ascii="Arial" w:hAnsi="Arial" w:cs="Arial"/>
          <w:sz w:val="20"/>
          <w:szCs w:val="20"/>
        </w:rPr>
        <w:fldChar w:fldCharType="end"/>
      </w:r>
      <w:r w:rsidRPr="009464D6">
        <w:rPr>
          <w:rFonts w:ascii="Arial" w:hAnsi="Arial" w:cs="Arial"/>
          <w:sz w:val="20"/>
          <w:szCs w:val="20"/>
        </w:rPr>
        <w:t>.</w:t>
      </w:r>
    </w:p>
    <w:p w14:paraId="7FFFA681" w14:textId="77777777" w:rsidR="00954188" w:rsidRPr="0006342D" w:rsidRDefault="00954188" w:rsidP="00DC6B84">
      <w:pPr>
        <w:pStyle w:val="NormalWeb"/>
        <w:spacing w:before="0" w:beforeAutospacing="0" w:after="0" w:afterAutospacing="0" w:line="276" w:lineRule="auto"/>
        <w:contextualSpacing/>
        <w:jc w:val="both"/>
        <w:rPr>
          <w:rFonts w:ascii="Arial" w:hAnsi="Arial" w:cs="Arial"/>
          <w:sz w:val="20"/>
          <w:szCs w:val="20"/>
        </w:rPr>
      </w:pPr>
    </w:p>
    <w:p w14:paraId="1B61EAF2" w14:textId="47B6979F" w:rsidR="00F27DCD" w:rsidRDefault="00F27DCD" w:rsidP="00DC6B84">
      <w:pPr>
        <w:pStyle w:val="NormalWeb"/>
        <w:spacing w:before="0" w:beforeAutospacing="0" w:after="0" w:afterAutospacing="0" w:line="276" w:lineRule="auto"/>
        <w:contextualSpacing/>
        <w:jc w:val="both"/>
        <w:rPr>
          <w:rFonts w:ascii="Arial" w:hAnsi="Arial" w:cs="Arial"/>
          <w:sz w:val="20"/>
          <w:szCs w:val="20"/>
        </w:rPr>
      </w:pPr>
      <w:r w:rsidRPr="00F27DCD">
        <w:rPr>
          <w:rFonts w:ascii="Arial" w:hAnsi="Arial" w:cs="Arial"/>
          <w:sz w:val="20"/>
          <w:szCs w:val="20"/>
        </w:rPr>
        <w:t xml:space="preserve">Despite these advantages, </w:t>
      </w:r>
      <w:r w:rsidRPr="00F27DCD">
        <w:rPr>
          <w:rFonts w:ascii="Arial" w:hAnsi="Arial" w:cs="Arial"/>
          <w:i/>
          <w:iCs/>
          <w:sz w:val="20"/>
          <w:szCs w:val="20"/>
        </w:rPr>
        <w:t xml:space="preserve">C. </w:t>
      </w:r>
      <w:proofErr w:type="spellStart"/>
      <w:r w:rsidRPr="00F27DCD">
        <w:rPr>
          <w:rFonts w:ascii="Arial" w:hAnsi="Arial" w:cs="Arial"/>
          <w:i/>
          <w:iCs/>
          <w:sz w:val="20"/>
          <w:szCs w:val="20"/>
        </w:rPr>
        <w:t>liberica</w:t>
      </w:r>
      <w:proofErr w:type="spellEnd"/>
      <w:r w:rsidRPr="00F27DCD">
        <w:rPr>
          <w:rFonts w:ascii="Arial" w:hAnsi="Arial" w:cs="Arial"/>
          <w:i/>
          <w:iCs/>
          <w:sz w:val="20"/>
          <w:szCs w:val="20"/>
        </w:rPr>
        <w:t xml:space="preserve"> </w:t>
      </w:r>
      <w:r w:rsidRPr="00F27DCD">
        <w:rPr>
          <w:rFonts w:ascii="Arial" w:hAnsi="Arial" w:cs="Arial"/>
          <w:sz w:val="20"/>
          <w:szCs w:val="20"/>
        </w:rPr>
        <w:t xml:space="preserve">faces major production challenges </w:t>
      </w:r>
      <w:r w:rsidR="00882C78" w:rsidRPr="00882C78">
        <w:rPr>
          <w:rFonts w:ascii="Arial" w:hAnsi="Arial" w:cs="Arial"/>
          <w:sz w:val="20"/>
          <w:szCs w:val="20"/>
        </w:rPr>
        <w:t>that limit its long-term potential. Like other coffee species, it follows a biennial bearing cycle—years of heavy fruiting are often followed by lighter harvests, as resources used for fruiting reduce vegetative growth and next year’s yield</w:t>
      </w:r>
      <w:r w:rsidR="000B067D" w:rsidRPr="0006342D">
        <w:rPr>
          <w:rFonts w:ascii="Arial" w:hAnsi="Arial" w:cs="Arial"/>
          <w:sz w:val="20"/>
          <w:szCs w:val="20"/>
        </w:rPr>
        <w:t xml:space="preserve"> </w:t>
      </w:r>
      <w:r w:rsidR="00214AA3">
        <w:rPr>
          <w:rFonts w:ascii="Arial" w:hAnsi="Arial" w:cs="Arial"/>
          <w:sz w:val="20"/>
          <w:szCs w:val="20"/>
        </w:rPr>
        <w:fldChar w:fldCharType="begin" w:fldLock="1"/>
      </w:r>
      <w:r>
        <w:rPr>
          <w:rFonts w:ascii="Arial" w:hAnsi="Arial" w:cs="Arial"/>
          <w:sz w:val="20"/>
          <w:szCs w:val="20"/>
        </w:rPr>
        <w:instrText>ADDIN CSL_CITATION {"citationItems":[{"id":"ITEM-1","itemData":{"DOI":"10.3390/rs4092492","ISSN":"20724292","abstract":"Coffee is the second most valuable traded commodity worldwide. Brazil is the world's largest coffee producer, responsible for one third of the world production. A coffee plot exhibits high and low production in alternated years, a characteristic so called biennial yield. High yield is generally a result of suitable conditions of foliar biomass. Moreover, in high production years one plot tends to lose more leaves than it does in low production years. In both cases some correlation between coffee yield and leaf biomass can be deduced which can be monitored through time series of vegetation indices derived from satellite imagery. In Brazil, a comprehensive, spatially distributed study assessing this relationship has not yet been done. The objective of this study was to assess possible correlations between coffee yield and MODIS derived vegetation indices in the Brazilian largest coffee-exporting province. We assessed EVI and NDVI MODIS products over the period between 2002 and 2009 in the south of Minas Gerais State whose production accounts for about one third of the Brazilian coffee production. Landsat images were used to obtain a reference map of coffee areas and to identify MODIS 250 m pure pixels overlapping homogeneous coffee crops. Only MODIS pixels with 100% coffee were included in the analysis. A wavelet-based filter was used to smooth EVI and NDVI time profiles. Correlations were observedbetween variations on yield of coffee plots and variations on vegetation indices for pixels overlapping the same coffee plots. The vegetation index metrics best correlated to yield were the amplitude and the minimum values over the growing season. The best correlations were obtained between variation on yield and variation on vegetation indices the previous year (R = 0.74 for minEVI metric and R = 0.68 for minNDVI metric). Although correlations were not enough to estimate coffee yield exclusively from vegetation indices, trends properly reflect the biennial bearing effect on coffee yield. © 2012 by the authors.","author":[{"dropping-particle":"","family":"Bernardes","given":"Tiago","non-dropping-particle":"","parse-names":false,"suffix":""},{"dropping-particle":"","family":"Moreira","given":"Maurício Alves","non-dropping-particle":"","parse-names":false,"suffix":""},{"dropping-particle":"","family":"Adami","given":"Marcos","non-dropping-particle":"","parse-names":false,"suffix":""},{"dropping-particle":"","family":"Giarolla","given":"Angélica","non-dropping-particle":"","parse-names":false,"suffix":""},{"dropping-particle":"","family":"Rudorff","given":"Bernardo Friedrich Theodor","non-dropping-particle":"","parse-names":false,"suffix":""}],"container-title":"Remote Sensing","id":"ITEM-1","issue":"9","issued":{"date-parts":[["2012"]]},"page":"2492-2509","title":"Monitoring biennial bearing effect on coffee yield using MODIS remote sensing imagery","type":"article-journal","volume":"4"},"uris":["http://www.mendeley.com/documents/?uuid=613d0b86-b3fc-476a-a439-e2af99d89133","http://www.mendeley.com/documents/?uuid=8fe37ad8-fdce-407b-9080-77e347710277"]}],"mendeley":{"formattedCitation":"(Bernardes et al., 2012)","plainTextFormattedCitation":"(Bernardes et al., 2012)","previouslyFormattedCitation":"(Bernardes et al., 2012)"},"properties":{"noteIndex":0},"schema":"https://github.com/citation-style-language/schema/raw/master/csl-citation.json"}</w:instrText>
      </w:r>
      <w:r w:rsidR="00214AA3">
        <w:rPr>
          <w:rFonts w:ascii="Arial" w:hAnsi="Arial" w:cs="Arial"/>
          <w:sz w:val="20"/>
          <w:szCs w:val="20"/>
        </w:rPr>
        <w:fldChar w:fldCharType="separate"/>
      </w:r>
      <w:r w:rsidRPr="00F27DCD">
        <w:rPr>
          <w:rFonts w:ascii="Arial" w:hAnsi="Arial" w:cs="Arial"/>
          <w:noProof/>
          <w:sz w:val="20"/>
          <w:szCs w:val="20"/>
        </w:rPr>
        <w:t>(Bernardes et al., 2012)</w:t>
      </w:r>
      <w:r w:rsidR="00214AA3">
        <w:rPr>
          <w:rFonts w:ascii="Arial" w:hAnsi="Arial" w:cs="Arial"/>
          <w:sz w:val="20"/>
          <w:szCs w:val="20"/>
        </w:rPr>
        <w:fldChar w:fldCharType="end"/>
      </w:r>
      <w:r w:rsidR="000B067D" w:rsidRPr="0006342D">
        <w:rPr>
          <w:rFonts w:ascii="Arial" w:eastAsia="Arial" w:hAnsi="Arial" w:cs="Arial"/>
          <w:color w:val="000000"/>
          <w:sz w:val="20"/>
          <w:szCs w:val="20"/>
        </w:rPr>
        <w:t>.</w:t>
      </w:r>
      <w:r w:rsidRPr="00F27DCD">
        <w:t xml:space="preserve"> </w:t>
      </w:r>
      <w:r w:rsidRPr="00F27DCD">
        <w:rPr>
          <w:rFonts w:ascii="Arial" w:eastAsia="Arial" w:hAnsi="Arial" w:cs="Arial"/>
          <w:color w:val="000000"/>
          <w:sz w:val="20"/>
          <w:szCs w:val="20"/>
        </w:rPr>
        <w:t xml:space="preserve">Productivity is further </w:t>
      </w:r>
      <w:r w:rsidR="00FD2F48">
        <w:rPr>
          <w:rFonts w:ascii="Arial" w:eastAsia="Arial" w:hAnsi="Arial" w:cs="Arial"/>
          <w:color w:val="000000"/>
          <w:sz w:val="20"/>
          <w:szCs w:val="20"/>
        </w:rPr>
        <w:t>influenced</w:t>
      </w:r>
      <w:r w:rsidRPr="00F27DCD">
        <w:rPr>
          <w:rFonts w:ascii="Arial" w:eastAsia="Arial" w:hAnsi="Arial" w:cs="Arial"/>
          <w:color w:val="000000"/>
          <w:sz w:val="20"/>
          <w:szCs w:val="20"/>
        </w:rPr>
        <w:t xml:space="preserve"> by external factors </w:t>
      </w:r>
      <w:r w:rsidR="00882C78" w:rsidRPr="00882C78">
        <w:rPr>
          <w:rFonts w:ascii="Arial" w:eastAsia="Arial" w:hAnsi="Arial" w:cs="Arial"/>
          <w:color w:val="000000"/>
          <w:sz w:val="20"/>
          <w:szCs w:val="20"/>
        </w:rPr>
        <w:t>soil fertility, climate variability, and pest and disease pressure</w:t>
      </w:r>
      <w:r w:rsidR="00882C78">
        <w:rPr>
          <w:rFonts w:ascii="Arial" w:eastAsia="Arial" w:hAnsi="Arial" w:cs="Arial"/>
          <w:color w:val="000000"/>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{"citationItems":[{"id":"ITEM-1","itemData":{"DOI":"10.1080/01904167.2018.1510513","ISSN":"15324087","abstract":"The objective of this study was to establish a nutrient sufficiency range and DRIS standards of Conilon coffee grown in southern Bahia, Brazil for the pre-flowering and grain-filling stages and to perform a nutritional diagnosis of these plants using different methods. The collections were performed in 24 Conilon coffee farm fields to establish the leaf nutritional standards, and 278 samples were collected to the nutritional diagnosis. The nutritional diagnosis was performed by using the sufficiency range criterion and the DRIS method. The nutrient sufficiency range and the DRIS standards must be specific to each phenological stage of the Conilon coffee plants. The leaf concentrations of calcium (Ca), sulfur (S), and boron (B) were higher in the pre-flowering stage; and the leaf concentrations of nitrogen (N), potassium (K), copper (Cu), and zinc (Zn) were higher in the grain-filling stage.","author":[{"dropping-particle":"","family":"Partelli","given":"Fábio Luiz","non-dropping-particle":"","parse-names":false,"suffix":""},{"dropping-particle":"","family":"Oliveira","given":"Marcos Góes","non-dropping-particle":"","parse-names":false,"suffix":""},{"dropping-particle":"","family":"Covre","given":"André Monzoli","non-dropping-particle":"","parse-names":false,"suffix":""},{"dropping-particle":"","family":"Vieira","given":"Henrique Duarte","non-dropping-particle":"","parse-names":false,"suffix":""},{"dropping-particle":"","family":"Machado Dias","given":"Jairo Rafael","non-dropping-particle":"","parse-names":false,"suffix":""},{"dropping-particle":"","family":"Braun","given":"Heder","non-dropping-particle":"","parse-names":false,"suffix":""}],"container-title":"Journal of Plant Nutrition","id":"ITEM-1","issue":"19","issued":{"date-parts":[["2018"]]},"page":"2536-2546","publisher":"Taylor &amp; Francis","title":"Nutritional standards and nutritional diagnosis of the Conilon coffee plants in phenological growth stages","type":"article-journal","volume":"41"},"uris":["http://www.mendeley.com/documents/?uuid=18c6a4a3-e452-42ce-b044-8afa68253220","http://www.mendeley.com/documents/?uuid=aa480b81-b3f3-4d39-99c2-fb76cff6efba"]}],"mendeley":{"formattedCitation":"(Partelli et al., 2018)","plainTextFormattedCitation":"(Partelli et al., 2018)","previouslyFormattedCitation":"(Partelli et al., 2018)"},"properties":{"noteIndex":0},"schema":"https://github.com/citation-style-language/schema/raw/master/csl-citation.json"}</w:instrText>
      </w:r>
      <w:r>
        <w:rPr>
          <w:rFonts w:ascii="Arial" w:hAnsi="Arial" w:cs="Arial"/>
          <w:sz w:val="20"/>
          <w:szCs w:val="20"/>
        </w:rPr>
        <w:fldChar w:fldCharType="separate"/>
      </w:r>
      <w:r w:rsidRPr="00F27DCD">
        <w:rPr>
          <w:rFonts w:ascii="Arial" w:hAnsi="Arial" w:cs="Arial"/>
          <w:noProof/>
          <w:sz w:val="20"/>
          <w:szCs w:val="20"/>
        </w:rPr>
        <w:t>(Partelli et al., 2018)</w:t>
      </w:r>
      <w:r>
        <w:rPr>
          <w:rFonts w:ascii="Arial" w:hAnsi="Arial" w:cs="Arial"/>
          <w:sz w:val="20"/>
          <w:szCs w:val="20"/>
        </w:rPr>
        <w:fldChar w:fldCharType="end"/>
      </w:r>
      <w:r w:rsidRPr="0006342D">
        <w:rPr>
          <w:rFonts w:ascii="Arial" w:eastAsia="Arial" w:hAnsi="Arial" w:cs="Arial"/>
          <w:color w:val="000000"/>
          <w:sz w:val="20"/>
          <w:szCs w:val="20"/>
        </w:rPr>
        <w:t>.</w:t>
      </w:r>
      <w:r>
        <w:rPr>
          <w:rFonts w:ascii="Arial" w:eastAsia="Arial" w:hAnsi="Arial" w:cs="Arial"/>
          <w:color w:val="000000"/>
          <w:sz w:val="20"/>
          <w:szCs w:val="20"/>
        </w:rPr>
        <w:t xml:space="preserve"> </w:t>
      </w:r>
      <w:r w:rsidRPr="00F27DCD">
        <w:rPr>
          <w:rFonts w:ascii="Arial" w:eastAsia="Arial" w:hAnsi="Arial" w:cs="Arial"/>
          <w:color w:val="000000"/>
          <w:sz w:val="20"/>
          <w:szCs w:val="20"/>
          <w:lang w:val="en-US"/>
        </w:rPr>
        <w:t xml:space="preserve">Among these, diseases have emerged as one of the most critical constraints to sustainable coffee production globally </w:t>
      </w:r>
      <w:r w:rsidRPr="004D22C6">
        <w:rPr>
          <w:rFonts w:ascii="Arial" w:eastAsia="Arial" w:hAnsi="Arial" w:cs="Arial"/>
          <w:color w:val="000000"/>
          <w:sz w:val="20"/>
          <w:szCs w:val="20"/>
          <w:lang w:val="en-US"/>
        </w:rPr>
        <w:fldChar w:fldCharType="begin" w:fldLock="1"/>
      </w:r>
      <w:r w:rsidR="001F406E" w:rsidRPr="004D22C6">
        <w:rPr>
          <w:rFonts w:ascii="Arial" w:eastAsia="Arial" w:hAnsi="Arial" w:cs="Arial"/>
          <w:color w:val="000000"/>
          <w:sz w:val="20"/>
          <w:szCs w:val="20"/>
          <w:lang w:val="en-US"/>
        </w:rPr>
        <w:instrText>ADDIN CSL_CITATION {"citationItems":[{"id":"ITEM-1","itemData":{"DOI":"10.1371/journal.pone.0169133","ISBN":"1111111111","ISSN":"19326203","PMID":"28046054","abstract":"The assessment of crop yield losses is needed for the improvement of production systems that contribute to the incomes of rural families and food security worldwide. However, efforts to quantify yield losses and identify their causes are still limited, especially for perennial crops. Our objectives were to quantify primary yield losses (incurred in the current year of production) and secondary yield losses (resulting from negative impacts of the previous year) of coffee due to pests and diseases, and to identify the most important predictors of coffee yields and yield losses. We established an experimental coffee parcel with full-sun exposure that consisted of six treatments, which were defined as different sequences of pesticide applications. The trial lasted three years (2013-2015) and yield components, dead productive branches, and foliar pests and diseases were assessed as predictors of yield. First, we calculated yield losses by comparing actual yields of specific treatments with the estimated attainable yield obtained in plots which always had chemical protection. Second, we used structural equation modeling to identify the most important predictors. Results showed that pests and diseases led to high primary yield losses (26%) and even higher secondary yield losses (38%). We identified the fruiting nodes and the dead productive branches as the most important and useful predictors of yields and yield losses. These predictors could be added in existing mechanistic models of coffee, or can be used to develop new linear mixed models to estimate yield losses. Estimated yield losses can then be related to production factors to identify corrective actions that farmers can implement to reduce losses. The experimental and modeling approaches of this study could also be applied in other perennial crops to assess yield losses.","author":[{"dropping-particle":"","family":"Cerda","given":"Rolando","non-dropping-particle":"","parse-names":false,"suffix":""},{"dropping-particle":"","family":"Avelino","given":"Jacques","non-dropping-particle":"","parse-names":false,"suffix":""},{"dropping-particle":"","family":"Gary","given":"Christian","non-dropping-particle":"","parse-names":false,"suffix":""},{"dropping-particle":"","family":"Tixier","given":"Philippe","non-dropping-particle":"","parse-names":false,"suffix":""},{"dropping-particle":"","family":"Lechevallier","given":"Esther","non-dropping-particle":"","parse-names":false,"suffix":""},{"dropping-particle":"","family":"Allinne","given":"Clémentine","non-dropping-particle":"","parse-names":false,"suffix":""}],"container-title":"PLoS ONE","id":"ITEM-1","issue":"1","issued":{"date-parts":[["2017"]]},"page":"1-17","title":"Primary and secondary yield losses caused by pests and diseases: Assessment and modeling in coffee","type":"article-journal","volume":"12"},"uris":["http://www.mendeley.com/documents/?uuid=76b71c49-3354-4bad-9d7a-a64740f28d3d"]}],"mendeley":{"formattedCitation":"(Cerda et al., 2017)","plainTextFormattedCitation":"(Cerda et al., 2017)","previouslyFormattedCitation":"(Cerda et al., 2017)"},"properties":{"noteIndex":0},"schema":"https://github.com/citation-style-language/schema/raw/master/csl-citation.json"}</w:instrText>
      </w:r>
      <w:r w:rsidRPr="004D22C6">
        <w:rPr>
          <w:rFonts w:ascii="Arial" w:eastAsia="Arial" w:hAnsi="Arial" w:cs="Arial"/>
          <w:color w:val="000000"/>
          <w:sz w:val="20"/>
          <w:szCs w:val="20"/>
          <w:lang w:val="en-US"/>
        </w:rPr>
        <w:fldChar w:fldCharType="separate"/>
      </w:r>
      <w:r w:rsidRPr="004D22C6">
        <w:rPr>
          <w:rFonts w:ascii="Arial" w:eastAsia="Arial" w:hAnsi="Arial" w:cs="Arial"/>
          <w:noProof/>
          <w:color w:val="000000"/>
          <w:sz w:val="20"/>
          <w:szCs w:val="20"/>
          <w:lang w:val="en-US"/>
        </w:rPr>
        <w:t>(Cerda et al., 2017)</w:t>
      </w:r>
      <w:r w:rsidRPr="004D22C6">
        <w:rPr>
          <w:rFonts w:ascii="Arial" w:eastAsia="Arial" w:hAnsi="Arial" w:cs="Arial"/>
          <w:color w:val="000000"/>
          <w:sz w:val="20"/>
          <w:szCs w:val="20"/>
          <w:lang w:val="en-US"/>
        </w:rPr>
        <w:fldChar w:fldCharType="end"/>
      </w:r>
      <w:r w:rsidRPr="004D22C6">
        <w:rPr>
          <w:rFonts w:ascii="Arial" w:eastAsia="Arial" w:hAnsi="Arial" w:cs="Arial"/>
          <w:color w:val="000000"/>
          <w:sz w:val="20"/>
          <w:szCs w:val="20"/>
          <w:lang w:val="en-US"/>
        </w:rPr>
        <w:t>.</w:t>
      </w:r>
      <w:r w:rsidR="00E91640" w:rsidRPr="004D22C6">
        <w:rPr>
          <w:rFonts w:ascii="Arial" w:hAnsi="Arial" w:cs="Arial"/>
          <w:sz w:val="20"/>
          <w:szCs w:val="20"/>
        </w:rPr>
        <w:t xml:space="preserve"> </w:t>
      </w:r>
      <w:r w:rsidR="003605F0" w:rsidRPr="003605F0">
        <w:rPr>
          <w:rFonts w:ascii="Arial" w:hAnsi="Arial" w:cs="Arial"/>
          <w:sz w:val="20"/>
          <w:szCs w:val="20"/>
        </w:rPr>
        <w:t xml:space="preserve">As global trade and climate change expand the distribution of pathogens, disease threats are becoming increasingly difficult to manage. While chemical, biological, and cultural methods are available, breeding for resistance remains the most sustainable solution </w:t>
      </w:r>
      <w:r w:rsidR="00550C29">
        <w:rPr>
          <w:rFonts w:ascii="Arial" w:hAnsi="Arial" w:cs="Arial"/>
          <w:sz w:val="20"/>
          <w:szCs w:val="20"/>
        </w:rPr>
        <w:fldChar w:fldCharType="begin" w:fldLock="1"/>
      </w:r>
      <w:r w:rsidR="00550C29">
        <w:rPr>
          <w:rFonts w:ascii="Arial" w:hAnsi="Arial" w:cs="Arial"/>
          <w:sz w:val="20"/>
          <w:szCs w:val="20"/>
        </w:rPr>
        <w:instrText>ADDIN CSL_CITATION {"citationItems":[{"id":"ITEM-1","itemData":{"author":[{"dropping-particle":"","family":"Guerra-Guimarães","given":"Leonor","non-dropping-particle":"","parse-names":false,"suffix":""},{"dropping-particle":"","family":"Diniz","given":"Inês","non-dropping-particle":"","parse-names":false,"suffix":""},{"dropping-particle":"","family":"Azinheira","given":"Helena Gil","non-dropping-particle":"","parse-names":false,"suffix":""},{"dropping-particle":"","family":"Loureiro","given":"Andreia","non-dropping-particle":"","parse-names":false,"suffix":""},{"dropping-particle":"","family":"Pereira","given":"Ana Paula","non-dropping-particle":"","parse-names":false,"suffix":""},{"dropping-particle":"","family":"Tavares","given":"Sílvia","non-dropping-particle":"","parse-names":false,"suffix":""},{"dropping-particle":"","family":"Batista","given":"Dora","non-dropping-particle":"","parse-names":false,"suffix":""},{"dropping-particle":"","family":"Várzea","given":"Vítor","non-dropping-particle":"","parse-names":false,"suffix":""},{"dropping-particle":"da","family":"Silva","given":"Maria do Céu Lavado","non-dropping-particle":"","parse-names":false,"suffix":""}],"container-title":"Mutation Breeding in Coffee with Special Reference to Leaf Rust","editor":[{"dropping-particle":"","family":"Ingelbrecht","given":"Ivan L. W.","non-dropping-particle":"","parse-names":false,"suffix":""},{"dropping-particle":"da","family":"Silva","given":"Maria do Céu Lavado","non-dropping-particle":"","parse-names":false,"suffix":""},{"dropping-particle":"","family":"Jankowicz-Cieslak","given":"Joanna","non-dropping-particle":"","parse-names":false,"suffix":""}],"id":"ITEM-1","issued":{"date-parts":[["2023"]]},"page":"11-38","publisher":"Springer-Verlag GmbH, DE","publisher-place":"Berlin, Germany","title":"Coffee leaf rust resistance: An overview","type":"chapter"},"uris":["http://www.mendeley.com/documents/?uuid=72a7ea25-5d55-4cc9-94a7-dff153e2df78"]},{"id":"ITEM-2","itemData":{"author":[{"dropping-particle":"","family":"Angelo","given":"Paula Cristina da Silva","non-dropping-particle":"","parse-names":false,"suffix":""},{"dropping-particle":"","family":"Sera","given":"Gustavo Hiroshi","non-dropping-particle":"","parse-names":false,"suffix":""},{"dropping-particle":"","family":"Shigueoka","given":"Luciana Harumi","non-dropping-particle":"","parse-names":false,"suffix":""},{"dropping-particle":"","family":"Caixeta","given":"Eveline Teixeira","non-dropping-particle":"","parse-names":false,"suffix":""}],"container-title":"Physiological and Molecular Plant Pathology","id":"ITEM-2","issue":"102111","issued":{"date-parts":[["2023"]]},"title":"Rust resistance SH3 loci in &lt;i&gt;Coffea&lt;/i&gt; spp.","type":"article-journal","volume":"127"},"uris":["http://www.mendeley.com/documents/?uuid=64e2ea3f-faed-4e24-bb83-4d839ea4d1b9"]}],"mendeley":{"formattedCitation":"(Angelo et al., 2023; Guerra-Guimarães et al., 2023)","plainTextFormattedCitation":"(Angelo et al., 2023; Guerra-Guimarães et al., 2023)","previouslyFormattedCitation":"(Angelo et al., 2023; Guerra-Guimarães et al., 2023)"},"properties":{"noteIndex":0},"schema":"https://github.com/citation-style-language/schema/raw/master/csl-citation.json"}</w:instrText>
      </w:r>
      <w:r w:rsidR="00550C29">
        <w:rPr>
          <w:rFonts w:ascii="Arial" w:hAnsi="Arial" w:cs="Arial"/>
          <w:sz w:val="20"/>
          <w:szCs w:val="20"/>
        </w:rPr>
        <w:fldChar w:fldCharType="separate"/>
      </w:r>
      <w:r w:rsidR="00550C29" w:rsidRPr="00550C29">
        <w:rPr>
          <w:rFonts w:ascii="Arial" w:hAnsi="Arial" w:cs="Arial"/>
          <w:noProof/>
          <w:sz w:val="20"/>
          <w:szCs w:val="20"/>
        </w:rPr>
        <w:t>(Angelo et al., 2023; Guerra-Guimarães et al., 2023)</w:t>
      </w:r>
      <w:r w:rsidR="00550C29">
        <w:rPr>
          <w:rFonts w:ascii="Arial" w:hAnsi="Arial" w:cs="Arial"/>
          <w:sz w:val="20"/>
          <w:szCs w:val="20"/>
        </w:rPr>
        <w:fldChar w:fldCharType="end"/>
      </w:r>
      <w:r w:rsidR="00E91640" w:rsidRPr="004D22C6">
        <w:rPr>
          <w:rFonts w:ascii="Arial" w:hAnsi="Arial" w:cs="Arial"/>
          <w:sz w:val="20"/>
          <w:szCs w:val="20"/>
        </w:rPr>
        <w:t>.</w:t>
      </w:r>
    </w:p>
    <w:p w14:paraId="66D0D6B4" w14:textId="77777777" w:rsidR="00F27DCD" w:rsidRDefault="00F27DCD" w:rsidP="00DC6B84">
      <w:pPr>
        <w:pStyle w:val="NormalWeb"/>
        <w:spacing w:before="0" w:beforeAutospacing="0" w:after="0" w:afterAutospacing="0" w:line="276" w:lineRule="auto"/>
        <w:contextualSpacing/>
        <w:jc w:val="both"/>
        <w:rPr>
          <w:rFonts w:ascii="Arial" w:eastAsia="Arial" w:hAnsi="Arial" w:cs="Arial"/>
          <w:color w:val="000000"/>
          <w:sz w:val="20"/>
          <w:szCs w:val="20"/>
        </w:rPr>
      </w:pPr>
    </w:p>
    <w:p w14:paraId="553EBDED" w14:textId="5ACFEA6E" w:rsidR="00BB68D7" w:rsidRPr="0006342D" w:rsidRDefault="00436AA8" w:rsidP="00BB68D7">
      <w:pPr>
        <w:pStyle w:val="NormalWeb"/>
        <w:spacing w:before="0" w:beforeAutospacing="0" w:after="0" w:afterAutospacing="0" w:line="276" w:lineRule="auto"/>
        <w:contextualSpacing/>
        <w:jc w:val="both"/>
        <w:rPr>
          <w:rFonts w:ascii="Arial" w:hAnsi="Arial" w:cs="Arial"/>
          <w:sz w:val="20"/>
          <w:szCs w:val="20"/>
        </w:rPr>
      </w:pPr>
      <w:r>
        <w:rPr>
          <w:rFonts w:ascii="Arial" w:eastAsia="Arial" w:hAnsi="Arial" w:cs="Arial"/>
          <w:color w:val="000000"/>
          <w:sz w:val="20"/>
          <w:szCs w:val="20"/>
        </w:rPr>
        <w:t>C</w:t>
      </w:r>
      <w:r w:rsidR="00F27DCD" w:rsidRPr="00F27DCD">
        <w:rPr>
          <w:rFonts w:ascii="Arial" w:eastAsia="Arial" w:hAnsi="Arial" w:cs="Arial"/>
          <w:color w:val="000000"/>
          <w:sz w:val="20"/>
          <w:szCs w:val="20"/>
        </w:rPr>
        <w:t>offee leaf rust (CLR), caused by the biotrophic fungus</w:t>
      </w:r>
      <w:r w:rsidR="00882C78" w:rsidRPr="003605F0">
        <w:rPr>
          <w:rFonts w:ascii="Arial" w:eastAsia="Arial" w:hAnsi="Arial" w:cs="Arial"/>
          <w:color w:val="000000"/>
          <w:sz w:val="20"/>
          <w:szCs w:val="20"/>
        </w:rPr>
        <w:t>,</w:t>
      </w:r>
      <w:r w:rsidR="00F27DCD" w:rsidRPr="003605F0">
        <w:rPr>
          <w:rFonts w:ascii="Arial" w:eastAsia="Arial" w:hAnsi="Arial" w:cs="Arial"/>
          <w:color w:val="000000"/>
          <w:sz w:val="20"/>
          <w:szCs w:val="20"/>
        </w:rPr>
        <w:t xml:space="preserve"> </w:t>
      </w:r>
      <w:proofErr w:type="spellStart"/>
      <w:r w:rsidR="00F27DCD" w:rsidRPr="003605F0">
        <w:rPr>
          <w:rFonts w:ascii="Arial" w:eastAsia="Arial" w:hAnsi="Arial" w:cs="Arial"/>
          <w:i/>
          <w:iCs/>
          <w:color w:val="000000"/>
          <w:sz w:val="20"/>
          <w:szCs w:val="20"/>
        </w:rPr>
        <w:t>Hemileia</w:t>
      </w:r>
      <w:proofErr w:type="spellEnd"/>
      <w:r w:rsidR="00F27DCD" w:rsidRPr="003605F0">
        <w:rPr>
          <w:rFonts w:ascii="Arial" w:eastAsia="Arial" w:hAnsi="Arial" w:cs="Arial"/>
          <w:i/>
          <w:iCs/>
          <w:color w:val="000000"/>
          <w:sz w:val="20"/>
          <w:szCs w:val="20"/>
        </w:rPr>
        <w:t xml:space="preserve"> </w:t>
      </w:r>
      <w:proofErr w:type="spellStart"/>
      <w:r w:rsidR="00F27DCD" w:rsidRPr="003605F0">
        <w:rPr>
          <w:rFonts w:ascii="Arial" w:eastAsia="Arial" w:hAnsi="Arial" w:cs="Arial"/>
          <w:i/>
          <w:iCs/>
          <w:color w:val="000000"/>
          <w:sz w:val="20"/>
          <w:szCs w:val="20"/>
        </w:rPr>
        <w:t>vastatrix</w:t>
      </w:r>
      <w:proofErr w:type="spellEnd"/>
      <w:r w:rsidRPr="003605F0">
        <w:rPr>
          <w:rFonts w:ascii="Arial" w:eastAsia="Arial" w:hAnsi="Arial" w:cs="Arial"/>
          <w:color w:val="000000"/>
          <w:sz w:val="20"/>
          <w:szCs w:val="20"/>
        </w:rPr>
        <w:t xml:space="preserve"> is the </w:t>
      </w:r>
      <w:r w:rsidR="00882C78" w:rsidRPr="003605F0">
        <w:rPr>
          <w:rFonts w:ascii="Arial" w:eastAsia="Arial" w:hAnsi="Arial" w:cs="Arial"/>
          <w:color w:val="000000"/>
          <w:sz w:val="20"/>
          <w:szCs w:val="20"/>
        </w:rPr>
        <w:t>most important</w:t>
      </w:r>
      <w:r w:rsidRPr="003605F0">
        <w:rPr>
          <w:rFonts w:ascii="Arial" w:eastAsia="Arial" w:hAnsi="Arial" w:cs="Arial"/>
          <w:color w:val="000000"/>
          <w:sz w:val="20"/>
          <w:szCs w:val="20"/>
        </w:rPr>
        <w:t xml:space="preserve"> disease</w:t>
      </w:r>
      <w:r w:rsidR="00882C78" w:rsidRPr="003605F0">
        <w:rPr>
          <w:rFonts w:ascii="Arial" w:eastAsia="Arial" w:hAnsi="Arial" w:cs="Arial"/>
          <w:color w:val="000000"/>
          <w:sz w:val="20"/>
          <w:szCs w:val="20"/>
        </w:rPr>
        <w:t xml:space="preserve"> that global coffee cultivation</w:t>
      </w:r>
      <w:r w:rsidRPr="003605F0">
        <w:rPr>
          <w:rFonts w:ascii="Arial" w:eastAsia="Arial" w:hAnsi="Arial" w:cs="Arial"/>
          <w:color w:val="000000"/>
          <w:sz w:val="20"/>
          <w:szCs w:val="20"/>
        </w:rPr>
        <w:t xml:space="preserve">. </w:t>
      </w:r>
      <w:r w:rsidR="00E91640" w:rsidRPr="003605F0">
        <w:rPr>
          <w:rFonts w:ascii="Arial" w:hAnsi="Arial" w:cs="Arial"/>
          <w:sz w:val="20"/>
          <w:szCs w:val="20"/>
        </w:rPr>
        <w:t xml:space="preserve">It has been widely reported across coffee-growing regions, with incidence levels reaching 83% in parts of Ethiopia </w:t>
      </w:r>
      <w:r w:rsidR="00550C29">
        <w:rPr>
          <w:rFonts w:ascii="Arial" w:hAnsi="Arial" w:cs="Arial"/>
          <w:sz w:val="20"/>
          <w:szCs w:val="20"/>
        </w:rPr>
        <w:fldChar w:fldCharType="begin" w:fldLock="1"/>
      </w:r>
      <w:r w:rsidR="00550C29">
        <w:rPr>
          <w:rFonts w:ascii="Arial" w:hAnsi="Arial" w:cs="Arial"/>
          <w:sz w:val="20"/>
          <w:szCs w:val="20"/>
        </w:rPr>
        <w:instrText>ADDIN CSL_CITATION {"citationItems":[{"id":"ITEM-1","itemData":{"author":[{"dropping-particle":"","family":"Sento","given":"Lemi","non-dropping-particle":"","parse-names":false,"suffix":""},{"dropping-particle":"","family":"Kasim","given":"Awol","non-dropping-particle":"","parse-names":false,"suffix":""},{"dropping-particle":"","family":"Tashome","given":"Ketema","non-dropping-particle":"","parse-names":false,"suffix":""}],"container-title":"Journal of Pathology &amp; Microbiology","id":"ITEM-1","issue":"1","issued":{"date-parts":[["2024"]]},"page":"13-15","title":"Status of coffee leaf rust diseases in coffee (&lt;i&gt;Coffea arabica&lt;/i&gt; L.) growing areas of Guji Zone","type":"article-journal","volume":"6"},"uris":["http://www.mendeley.com/documents/?uuid=2952c278-5c31-4d31-9268-2fc0385704d7"]}],"mendeley":{"formattedCitation":"(Sento et al., 2024)","plainTextFormattedCitation":"(Sento et al., 2024)","previouslyFormattedCitation":"(Sento et al., 2024)"},"properties":{"noteIndex":0},"schema":"https://github.com/citation-style-language/schema/raw/master/csl-citation.json"}</w:instrText>
      </w:r>
      <w:r w:rsidR="00550C29">
        <w:rPr>
          <w:rFonts w:ascii="Arial" w:hAnsi="Arial" w:cs="Arial"/>
          <w:sz w:val="20"/>
          <w:szCs w:val="20"/>
        </w:rPr>
        <w:fldChar w:fldCharType="separate"/>
      </w:r>
      <w:r w:rsidR="00550C29" w:rsidRPr="00550C29">
        <w:rPr>
          <w:rFonts w:ascii="Arial" w:hAnsi="Arial" w:cs="Arial"/>
          <w:noProof/>
          <w:sz w:val="20"/>
          <w:szCs w:val="20"/>
        </w:rPr>
        <w:t>(Sento et al., 2024)</w:t>
      </w:r>
      <w:r w:rsidR="00550C29">
        <w:rPr>
          <w:rFonts w:ascii="Arial" w:hAnsi="Arial" w:cs="Arial"/>
          <w:sz w:val="20"/>
          <w:szCs w:val="20"/>
        </w:rPr>
        <w:fldChar w:fldCharType="end"/>
      </w:r>
      <w:r w:rsidR="00E91640" w:rsidRPr="003605F0">
        <w:rPr>
          <w:rFonts w:ascii="Arial" w:hAnsi="Arial" w:cs="Arial"/>
          <w:sz w:val="20"/>
          <w:szCs w:val="20"/>
        </w:rPr>
        <w:t>. Severe outbreaks can cause yield losses exceeding 75%.</w:t>
      </w:r>
      <w:r w:rsidR="00E91640" w:rsidRPr="00E91640">
        <w:t xml:space="preserve"> </w:t>
      </w:r>
      <w:r w:rsidR="00BB68D7" w:rsidRPr="00E1786F">
        <w:rPr>
          <w:rFonts w:ascii="Arial" w:eastAsia="Arial" w:hAnsi="Arial" w:cs="Arial"/>
          <w:color w:val="000000"/>
          <w:sz w:val="20"/>
          <w:szCs w:val="20"/>
        </w:rPr>
        <w:t xml:space="preserve">Since emerging in the late 19th century, CLR </w:t>
      </w:r>
      <w:r w:rsidR="00BB68D7" w:rsidRPr="001E2B1B">
        <w:rPr>
          <w:rFonts w:ascii="Arial" w:eastAsia="Arial" w:hAnsi="Arial" w:cs="Arial"/>
          <w:color w:val="000000"/>
          <w:sz w:val="20"/>
          <w:szCs w:val="20"/>
        </w:rPr>
        <w:t>has reshaped coffee production systems worldwide</w:t>
      </w:r>
      <w:r w:rsidR="00BB68D7">
        <w:rPr>
          <w:rFonts w:ascii="Arial" w:eastAsia="Arial" w:hAnsi="Arial" w:cs="Arial"/>
          <w:color w:val="000000"/>
          <w:sz w:val="20"/>
          <w:szCs w:val="20"/>
        </w:rPr>
        <w:t xml:space="preserve"> </w:t>
      </w:r>
      <w:r w:rsidR="00BB68D7">
        <w:rPr>
          <w:rFonts w:ascii="Arial" w:eastAsia="Arial" w:hAnsi="Arial" w:cs="Arial"/>
          <w:color w:val="000000"/>
          <w:sz w:val="20"/>
          <w:szCs w:val="20"/>
        </w:rPr>
        <w:fldChar w:fldCharType="begin" w:fldLock="1"/>
      </w:r>
      <w:r w:rsidR="00BB68D7">
        <w:rPr>
          <w:rFonts w:ascii="Arial" w:eastAsia="Arial" w:hAnsi="Arial" w:cs="Arial"/>
          <w:color w:val="000000"/>
          <w:sz w:val="20"/>
          <w:szCs w:val="20"/>
        </w:rPr>
        <w:instrText>ADDIN CSL_CITATION {"citationItems":[{"id":"ITEM-1","itemData":{"DOI":"10.3390/agronomy12020326","ISSN":"20734395","abstract":"Coffee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-1","issue":"2","issued":{"date-parts":[["2022"]]},"page":"1-31","title":"An overview of the mechanisms involved in Coffee-&lt;i&gt;Hemileia vastatrix&lt;/i&gt; interactions: Plant and pathogen perspectives","type":"article-journal","volume":"12"},"uris":["http://www.mendeley.com/documents/?uuid=6d867665-ca2b-4683-8078-fe63c4535d73"]}],"mendeley":{"formattedCitation":"(Silva et al., 2022)","plainTextFormattedCitation":"(Silva et al., 2022)","previouslyFormattedCitation":"(Silva et al., 2022)"},"properties":{"noteIndex":0},"schema":"https://github.com/citation-style-language/schema/raw/master/csl-citation.json"}</w:instrText>
      </w:r>
      <w:r w:rsidR="00BB68D7">
        <w:rPr>
          <w:rFonts w:ascii="Arial" w:eastAsia="Arial" w:hAnsi="Arial" w:cs="Arial"/>
          <w:color w:val="000000"/>
          <w:sz w:val="20"/>
          <w:szCs w:val="20"/>
        </w:rPr>
        <w:fldChar w:fldCharType="separate"/>
      </w:r>
      <w:r w:rsidR="00BB68D7" w:rsidRPr="001F406E">
        <w:rPr>
          <w:rFonts w:ascii="Arial" w:eastAsia="Arial" w:hAnsi="Arial" w:cs="Arial"/>
          <w:noProof/>
          <w:color w:val="000000"/>
          <w:sz w:val="20"/>
          <w:szCs w:val="20"/>
        </w:rPr>
        <w:t>(Silva et al., 2022)</w:t>
      </w:r>
      <w:r w:rsidR="00BB68D7">
        <w:rPr>
          <w:rFonts w:ascii="Arial" w:eastAsia="Arial" w:hAnsi="Arial" w:cs="Arial"/>
          <w:color w:val="000000"/>
          <w:sz w:val="20"/>
          <w:szCs w:val="20"/>
        </w:rPr>
        <w:fldChar w:fldCharType="end"/>
      </w:r>
      <w:r w:rsidR="00BB68D7" w:rsidRPr="0006342D">
        <w:rPr>
          <w:rFonts w:ascii="Arial" w:hAnsi="Arial" w:cs="Arial"/>
          <w:sz w:val="20"/>
          <w:szCs w:val="20"/>
        </w:rPr>
        <w:t xml:space="preserve">. </w:t>
      </w:r>
      <w:r w:rsidR="00BB68D7" w:rsidRPr="00E1786F">
        <w:rPr>
          <w:rFonts w:ascii="Arial" w:hAnsi="Arial" w:cs="Arial"/>
          <w:sz w:val="20"/>
          <w:szCs w:val="20"/>
        </w:rPr>
        <w:t xml:space="preserve">The disease </w:t>
      </w:r>
      <w:r w:rsidR="00BB68D7">
        <w:rPr>
          <w:rFonts w:ascii="Arial" w:hAnsi="Arial" w:cs="Arial"/>
          <w:sz w:val="20"/>
          <w:szCs w:val="20"/>
        </w:rPr>
        <w:t>cause</w:t>
      </w:r>
      <w:r w:rsidR="00BB68D7" w:rsidRPr="00E1786F">
        <w:rPr>
          <w:rFonts w:ascii="Arial" w:hAnsi="Arial" w:cs="Arial"/>
          <w:sz w:val="20"/>
          <w:szCs w:val="20"/>
        </w:rPr>
        <w:t xml:space="preserve">s premature leaf </w:t>
      </w:r>
      <w:r w:rsidR="00BB68D7">
        <w:rPr>
          <w:rFonts w:ascii="Arial" w:hAnsi="Arial" w:cs="Arial"/>
          <w:sz w:val="20"/>
          <w:szCs w:val="20"/>
        </w:rPr>
        <w:t>fall</w:t>
      </w:r>
      <w:r w:rsidR="00BB68D7" w:rsidRPr="00E1786F">
        <w:rPr>
          <w:rFonts w:ascii="Arial" w:hAnsi="Arial" w:cs="Arial"/>
          <w:sz w:val="20"/>
          <w:szCs w:val="20"/>
        </w:rPr>
        <w:t xml:space="preserve">, </w:t>
      </w:r>
      <w:r w:rsidR="00BB68D7">
        <w:rPr>
          <w:rFonts w:ascii="Arial" w:hAnsi="Arial" w:cs="Arial"/>
          <w:sz w:val="20"/>
          <w:szCs w:val="20"/>
        </w:rPr>
        <w:t>drasticall</w:t>
      </w:r>
      <w:r w:rsidR="00BB68D7" w:rsidRPr="00E1786F">
        <w:rPr>
          <w:rFonts w:ascii="Arial" w:hAnsi="Arial" w:cs="Arial"/>
          <w:sz w:val="20"/>
          <w:szCs w:val="20"/>
        </w:rPr>
        <w:t>y reducing photosynthetic capacity and carbohydrate assimilation</w:t>
      </w:r>
      <w:r w:rsidR="00BB68D7" w:rsidRPr="0094701E">
        <w:rPr>
          <w:rFonts w:ascii="Arial" w:hAnsi="Arial" w:cs="Arial"/>
          <w:sz w:val="20"/>
          <w:szCs w:val="20"/>
        </w:rPr>
        <w:t xml:space="preserve"> </w:t>
      </w:r>
      <w:r w:rsidR="00BB68D7">
        <w:rPr>
          <w:rFonts w:ascii="Arial" w:hAnsi="Arial" w:cs="Arial"/>
          <w:sz w:val="20"/>
          <w:szCs w:val="20"/>
        </w:rPr>
        <w:fldChar w:fldCharType="begin" w:fldLock="1"/>
      </w:r>
      <w:r w:rsidR="00BB68D7">
        <w:rPr>
          <w:rFonts w:ascii="Arial" w:hAnsi="Arial" w:cs="Arial"/>
          <w:sz w:val="20"/>
          <w:szCs w:val="20"/>
        </w:rPr>
        <w:instrText>ADDIN CSL_CITATION {"citationItems":[{"id":"ITEM-1","itemData":{"DOI":"10.1016/j.ecolmodel.2006.03.013","ISSN":"03043800","abstract":"To gain a clearer understanding of conditions conducive to the development of coffee rust and improve disease control, we monitored the development of rust epidemics in 73 plots in Honduras, over 1-3 years depending on the case, focusing on coffee tree characteristics, crop management patterns, and the environment. A simple correspondence analysis was used to show that a link could be found between certain production situations and the intensity of coffee rust epidemics. Local characteristics specific to each plantation were particularly well linked to the intensity of coffee rust epidemics, whereas regional factors such as rainfall appeared to be of secondary importance. The yield and the number of leaves of the coffee trees were positively linked to epidemic development. Soil pH and fertilisation were negatively associated with epidemic development. Shade, when it did not limit yield, probably affected the microclimate in such a way that coffee rust incidence increased. Altitude was a serious constraint in disease development. These links were illustrated by a segmentation tree, which helped to define risk domains and rationalise coffee rust control. It also provided an understanding of how intensifying Arabica cultivation, through its effects on yield and soil acidification, increased the risk of a serious coffee rust epidemic occurring. © 2006 Elsevier B.V. All rights reserved.","author":[{"dropping-particle":"","family":"Avelino","given":"J.","non-dropping-particle":"","parse-names":false,"suffix":""},{"dropping-particle":"","family":"Zelaya","given":"H.","non-dropping-particle":"","parse-names":false,"suffix":""},{"dropping-particle":"","family":"Merlo","given":"A.","non-dropping-particle":"","parse-names":false,"suffix":""},{"dropping-particle":"","family":"Pineda","given":"A.","non-dropping-particle":"","parse-names":false,"suffix":""},{"dropping-particle":"","family":"Ordoñez","given":"M.","non-dropping-particle":"","parse-names":false,"suffix":""},{"dropping-particle":"","family":"Savary","given":"S.","non-dropping-particle":"","parse-names":false,"suffix":""}],"container-title":"Ecological Modelling","id":"ITEM-1","issue":"3-4","issued":{"date-parts":[["2006"]]},"page":"431-447","title":"The intensity of a coffee rust epidemic is dependent on production situations","type":"article-journal","volume":"197"},"uris":["http://www.mendeley.com/documents/?uuid=daa58ea7-535b-4b9a-9f36-ce2d57dc2507"]}],"mendeley":{"formattedCitation":"(Avelino et al., 2006)","manualFormatting":"(Avelino et al., 2006)","plainTextFormattedCitation":"(Avelino et al., 2006)","previouslyFormattedCitation":"(Avelino et al., 2006)"},"properties":{"noteIndex":0},"schema":"https://github.com/citation-style-language/schema/raw/master/csl-citation.json"}</w:instrText>
      </w:r>
      <w:r w:rsidR="00BB68D7">
        <w:rPr>
          <w:rFonts w:ascii="Arial" w:hAnsi="Arial" w:cs="Arial"/>
          <w:sz w:val="20"/>
          <w:szCs w:val="20"/>
        </w:rPr>
        <w:fldChar w:fldCharType="separate"/>
      </w:r>
      <w:r w:rsidR="00BB68D7" w:rsidRPr="00361FE3">
        <w:rPr>
          <w:rFonts w:ascii="Arial" w:hAnsi="Arial" w:cs="Arial"/>
          <w:noProof/>
          <w:sz w:val="20"/>
          <w:szCs w:val="20"/>
        </w:rPr>
        <w:t>(Avelino et al., 2006)</w:t>
      </w:r>
      <w:r w:rsidR="00BB68D7">
        <w:rPr>
          <w:rFonts w:ascii="Arial" w:hAnsi="Arial" w:cs="Arial"/>
          <w:sz w:val="20"/>
          <w:szCs w:val="20"/>
        </w:rPr>
        <w:fldChar w:fldCharType="end"/>
      </w:r>
      <w:r w:rsidR="00BB68D7" w:rsidRPr="0094701E">
        <w:rPr>
          <w:rFonts w:ascii="Arial" w:hAnsi="Arial" w:cs="Arial"/>
          <w:sz w:val="20"/>
          <w:szCs w:val="20"/>
        </w:rPr>
        <w:t xml:space="preserve">. </w:t>
      </w:r>
      <w:r w:rsidR="00BB68D7" w:rsidRPr="00E1786F">
        <w:rPr>
          <w:rFonts w:ascii="Arial" w:hAnsi="Arial" w:cs="Arial"/>
          <w:sz w:val="20"/>
          <w:szCs w:val="20"/>
        </w:rPr>
        <w:t xml:space="preserve">As a result, </w:t>
      </w:r>
      <w:r w:rsidR="00BB68D7">
        <w:rPr>
          <w:rFonts w:ascii="Arial" w:hAnsi="Arial" w:cs="Arial"/>
          <w:sz w:val="20"/>
          <w:szCs w:val="20"/>
        </w:rPr>
        <w:t>t</w:t>
      </w:r>
      <w:r w:rsidR="00BB68D7" w:rsidRPr="001E2B1B">
        <w:rPr>
          <w:rFonts w:ascii="Arial" w:hAnsi="Arial" w:cs="Arial"/>
          <w:sz w:val="20"/>
          <w:szCs w:val="20"/>
        </w:rPr>
        <w:t>his limits energy available for fruit filling,</w:t>
      </w:r>
      <w:r w:rsidR="00BB68D7">
        <w:rPr>
          <w:rFonts w:ascii="Arial" w:hAnsi="Arial" w:cs="Arial"/>
          <w:sz w:val="20"/>
          <w:szCs w:val="20"/>
        </w:rPr>
        <w:t xml:space="preserve"> resulting in</w:t>
      </w:r>
      <w:r w:rsidR="00BB68D7" w:rsidRPr="00E1786F">
        <w:rPr>
          <w:rFonts w:ascii="Arial" w:hAnsi="Arial" w:cs="Arial"/>
          <w:sz w:val="20"/>
          <w:szCs w:val="20"/>
        </w:rPr>
        <w:t xml:space="preserve"> smaller beans and reduced berry set</w:t>
      </w:r>
      <w:r w:rsidR="00BB68D7">
        <w:rPr>
          <w:rFonts w:ascii="Arial" w:hAnsi="Arial" w:cs="Arial"/>
          <w:sz w:val="20"/>
          <w:szCs w:val="20"/>
        </w:rPr>
        <w:t xml:space="preserve"> </w:t>
      </w:r>
      <w:r w:rsidR="00BB68D7">
        <w:rPr>
          <w:rFonts w:ascii="Arial" w:hAnsi="Arial" w:cs="Arial"/>
          <w:sz w:val="20"/>
          <w:szCs w:val="20"/>
        </w:rPr>
        <w:fldChar w:fldCharType="begin" w:fldLock="1"/>
      </w:r>
      <w:r w:rsidR="00BB68D7">
        <w:rPr>
          <w:rFonts w:ascii="Arial" w:hAnsi="Arial" w:cs="Arial"/>
          <w:sz w:val="20"/>
          <w:szCs w:val="20"/>
        </w:rPr>
        <w:instrText>ADDIN CSL_CITATION {"citationItems":[{"id":"ITEM-1","itemData":{"DOI":"10.1051/mmnp/2021018","ISSN":"17606101","abstract":"Coffee leaf rust (CLR) is one of the main diseases that affect coffee plantations worldwide. It is caused by the fungus Hemileia vastatrix. Damages induce severe yield losses (up to 70%). Its control mainly relies on cultural practices and fungicides, the latter having harmful ecological impact and important cost. Our goal is to understand the propagation of this fungus in order to propose a biocontrol solution, based on a mycoparasite that inhibits H. vastatrix reproduction. We develop and explore a spatio-temporal model that describes CLR propagation in a coffee plantation during the rainy and dry seasons. We show the existence of a solution and prove that there exists two threshold parameters, the dry and rainy basic reproduction numbers, that determine the stability of the equilibria for the dry and rainy season subsystems. To illustrate these theoretical results, numerical simulations are performed, using a non-standard finite method to integrate the pest model. We also numerically investigate the biocontrol impact. We determine its efficiency threshold in order to ensure CLR eradication.","author":[{"dropping-particle":"","family":"Djuikem","given":"Clotilde","non-dropping-particle":"","parse-names":false,"suffix":""},{"dropping-particle":"","family":"Grognard","given":"Frédéric","non-dropping-particle":"","parse-names":false,"suffix":""},{"dropping-particle":"","family":"Wafo","given":"Roger Tagne","non-dropping-particle":"","parse-names":false,"suffix":""},{"dropping-particle":"","family":"Touzeau","given":"Suzanne","non-dropping-particle":"","parse-names":false,"suffix":""},{"dropping-particle":"","family":"Bowong","given":"Samuel","non-dropping-particle":"","parse-names":false,"suffix":""}],"container-title":"Mathematical Modelling of Natural Phenomena","id":"ITEM-1","issued":{"date-parts":[["2021"]]},"title":"Modelling coffee leaf rust dynamics to control its spread","type":"article-journal","volume":"16"},"uris":["http://www.mendeley.com/documents/?uuid=66ae8247-661a-4f7f-9d76-85f607b50e3b"]}],"mendeley":{"formattedCitation":"(Djuikem et al., 2021)","plainTextFormattedCitation":"(Djuikem et al., 2021)","previouslyFormattedCitation":"(Djuikem et al., 2021)"},"properties":{"noteIndex":0},"schema":"https://github.com/citation-style-language/schema/raw/master/csl-citation.json"}</w:instrText>
      </w:r>
      <w:r w:rsidR="00BB68D7">
        <w:rPr>
          <w:rFonts w:ascii="Arial" w:hAnsi="Arial" w:cs="Arial"/>
          <w:sz w:val="20"/>
          <w:szCs w:val="20"/>
        </w:rPr>
        <w:fldChar w:fldCharType="separate"/>
      </w:r>
      <w:r w:rsidR="00BB68D7" w:rsidRPr="00E54BFE">
        <w:rPr>
          <w:rFonts w:ascii="Arial" w:hAnsi="Arial" w:cs="Arial"/>
          <w:noProof/>
          <w:sz w:val="20"/>
          <w:szCs w:val="20"/>
        </w:rPr>
        <w:t>(Djuikem et al., 2021)</w:t>
      </w:r>
      <w:r w:rsidR="00BB68D7">
        <w:rPr>
          <w:rFonts w:ascii="Arial" w:hAnsi="Arial" w:cs="Arial"/>
          <w:sz w:val="20"/>
          <w:szCs w:val="20"/>
        </w:rPr>
        <w:fldChar w:fldCharType="end"/>
      </w:r>
      <w:r w:rsidR="00BB68D7" w:rsidRPr="0094701E">
        <w:rPr>
          <w:rFonts w:ascii="Arial" w:hAnsi="Arial" w:cs="Arial"/>
          <w:sz w:val="20"/>
          <w:szCs w:val="20"/>
        </w:rPr>
        <w:t xml:space="preserve">. </w:t>
      </w:r>
      <w:r w:rsidR="00BB68D7" w:rsidRPr="00E1786F">
        <w:rPr>
          <w:rFonts w:ascii="Arial" w:hAnsi="Arial" w:cs="Arial"/>
          <w:sz w:val="20"/>
          <w:szCs w:val="20"/>
        </w:rPr>
        <w:t>Severe defoliation also disrupts branch growth and bud initiation, compromising fruiting in subsequent years. Under epidemic conditions, yield losses can reach 75%, with extensive leaf fall and sharp reductions in berry production</w:t>
      </w:r>
      <w:r w:rsidR="00BB68D7" w:rsidRPr="0006342D">
        <w:rPr>
          <w:rFonts w:ascii="Arial" w:hAnsi="Arial" w:cs="Arial"/>
          <w:sz w:val="20"/>
          <w:szCs w:val="20"/>
        </w:rPr>
        <w:t xml:space="preserve"> </w:t>
      </w:r>
      <w:r w:rsidR="00BB68D7" w:rsidRPr="0006342D">
        <w:rPr>
          <w:rFonts w:ascii="Arial" w:hAnsi="Arial" w:cs="Arial"/>
          <w:sz w:val="20"/>
          <w:szCs w:val="20"/>
        </w:rPr>
        <w:fldChar w:fldCharType="begin" w:fldLock="1"/>
      </w:r>
      <w:r w:rsidR="00BB68D7" w:rsidRPr="0006342D">
        <w:rPr>
          <w:rFonts w:ascii="Arial" w:hAnsi="Arial" w:cs="Arial"/>
          <w:sz w:val="20"/>
          <w:szCs w:val="20"/>
        </w:rPr>
        <w:instrText>ADDIN CSL_CITATION {"citationItems":[{"id":"ITEM-1","itemData":{"DOI":"10.1098/rstb.2015.0458","ISBN":"0000000344401","ISSN":"14712970","PMID":"28080984","abstract":"Many fungal plant diseases are strongly controlled by weather, and global climate change is thus likely to have affected fungal pathogen distributions and impacts. Modelling the response of plant diseases to climate change is hampered by the difficulty of estimating pathogen-relevant microclimatic variables from standard meteorological data. The availability of increasingly sophisticated high-resolution climate reanalyses may help overcome this challenge. We illustrate the use of climate reanalyses by testing the hypothesis that climate change increased the likelihood of the 2008–2011 outbreak of Coffee Leaf Rust (CLR, Hemileia vastatrix) in Colombia. We develop a model of germination and infection risk, and drive this model using estimates of leaf wetness duration and canopy temperature from the Japanese 55-Year Reanalysis (JRA-55).We model germination and infection as Weibull functions with different temperature optima, based upon existing experimental data. We find no evidence for an overall trend in disease risk in coffee-growing regions of Colombia from 1990 to 2015, therefore, we reject the climate change hypothesis. There was a significant elevation in predicted CLR infection risk from 2008 to 2011 compared with other years. JRA-55 data suggest a decrease in canopy surface water after 2008, which may have helped terminate the outbreak. The spatial resolution and accuracy of climate reanalyses are continually improving, increasing their utility for biological modelling. Confronting disease models with data requires not only accurate climate data, but also disease observations at high spatio-temporal resolution. Investment in monitoring, storage and accessibility of plant disease observation data are needed to match the quality of the climate data now available.","author":[{"dropping-particle":"","family":"Bebber","given":"Daniel P.","non-dropping-particle":"","parse-names":false,"suffix":""},{"dropping-particle":"","family":"Castillo","given":"Ángela Delgado","non-dropping-particle":"","parse-names":false,"suffix":""},{"dropping-particle":"","family":"Gurr","given":"Sarah J.","non-dropping-particle":"","parse-names":false,"suffix":""}],"container-title":"Philosophical Transactions of the Royal Society B: Biological Sciences","id":"ITEM-1","issue":"1709","issued":{"date-parts":[["2016"]]},"title":"Modelling coffee leaf rust risk in Colombia with climate reanalysis data","type":"article-journal","volume":"371"},"uris":["http://www.mendeley.com/documents/?uuid=af112e04-0e23-417b-8a56-dfa84e6979b4","http://www.mendeley.com/documents/?uuid=382feaad-1d86-46b2-95da-7c451323f0b2"]},{"id":"ITEM-2","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History","id":"ITEM-2","issue":"2","issued":{"date-parts":[["2006"]]},"page":"177-195","title":"Global rust belt: &lt;i&gt;Hemileia vastatrix&lt;/i&gt; and the ecological integration of world coffee production since 1850","type":"article-journal","volume":"1"},"uris":["http://www.mendeley.com/documents/?uuid=e772fad8-2b78-4c45-aa55-979c40cfd164","http://www.mendeley.com/documents/?uuid=5f7932f3-c50d-4d8b-a1f4-1201994e563a"]}],"mendeley":{"formattedCitation":"(Bebber et al., 2016; McCook, 2006)","plainTextFormattedCitation":"(Bebber et al., 2016; McCook, 2006)","previouslyFormattedCitation":"(Bebber et al., 2016; McCook, 2006)"},"properties":{"noteIndex":0},"schema":"https://github.com/citation-style-language/schema/raw/master/csl-citation.json"}</w:instrText>
      </w:r>
      <w:r w:rsidR="00BB68D7" w:rsidRPr="0006342D">
        <w:rPr>
          <w:rFonts w:ascii="Arial" w:hAnsi="Arial" w:cs="Arial"/>
          <w:sz w:val="20"/>
          <w:szCs w:val="20"/>
        </w:rPr>
        <w:fldChar w:fldCharType="separate"/>
      </w:r>
      <w:r w:rsidR="00BB68D7" w:rsidRPr="0006342D">
        <w:rPr>
          <w:rFonts w:ascii="Arial" w:hAnsi="Arial" w:cs="Arial"/>
          <w:noProof/>
          <w:sz w:val="20"/>
          <w:szCs w:val="20"/>
        </w:rPr>
        <w:t>(Bebber et al., 2016; McCook, 2006)</w:t>
      </w:r>
      <w:r w:rsidR="00BB68D7" w:rsidRPr="0006342D">
        <w:rPr>
          <w:rFonts w:ascii="Arial" w:hAnsi="Arial" w:cs="Arial"/>
          <w:sz w:val="20"/>
          <w:szCs w:val="20"/>
        </w:rPr>
        <w:fldChar w:fldCharType="end"/>
      </w:r>
      <w:r w:rsidR="00BB68D7" w:rsidRPr="0006342D">
        <w:rPr>
          <w:rFonts w:ascii="Arial" w:hAnsi="Arial" w:cs="Arial"/>
          <w:sz w:val="20"/>
          <w:szCs w:val="20"/>
        </w:rPr>
        <w:t>.</w:t>
      </w:r>
      <w:r w:rsidR="00BB68D7">
        <w:rPr>
          <w:rFonts w:ascii="Arial" w:hAnsi="Arial" w:cs="Arial"/>
          <w:sz w:val="20"/>
          <w:szCs w:val="20"/>
        </w:rPr>
        <w:t xml:space="preserve"> </w:t>
      </w:r>
      <w:r w:rsidR="00BB68D7" w:rsidRPr="00E1786F">
        <w:rPr>
          <w:rFonts w:ascii="Arial" w:hAnsi="Arial" w:cs="Arial"/>
          <w:sz w:val="20"/>
          <w:szCs w:val="20"/>
        </w:rPr>
        <w:t>Moreover, CLR intensifies biennial bearing by depleting leaf reserves after high-yielding years, limiting plant recovery and exacerbating yield fluctuations</w:t>
      </w:r>
      <w:r w:rsidR="00BB68D7">
        <w:rPr>
          <w:rFonts w:ascii="Arial" w:hAnsi="Arial" w:cs="Arial"/>
          <w:sz w:val="20"/>
          <w:szCs w:val="20"/>
        </w:rPr>
        <w:t xml:space="preserve"> </w:t>
      </w:r>
      <w:r w:rsidR="00BB68D7" w:rsidRPr="0006342D">
        <w:rPr>
          <w:rFonts w:ascii="Arial" w:hAnsi="Arial" w:cs="Arial"/>
          <w:sz w:val="20"/>
          <w:szCs w:val="20"/>
        </w:rPr>
        <w:fldChar w:fldCharType="begin" w:fldLock="1"/>
      </w:r>
      <w:r w:rsidR="00BB68D7">
        <w:rPr>
          <w:rFonts w:ascii="Arial" w:hAnsi="Arial" w:cs="Arial"/>
          <w:sz w:val="20"/>
          <w:szCs w:val="20"/>
        </w:rPr>
        <w:instrText>ADDIN CSL_CITATION {"citationItems":[{"id":"ITEM-1","itemData":{"ISSN":"0100-4158","abstract":"Coffee leaf rust causes great yield losses during the years of high berry yield. The objective of this trial was to study the development of levels of coffee berry removals on the incidence of rust and to correlate the levels of nutrients and carbohydrates with the disease in 2001 and 2002, in five-year-old plants of the cultivar Catuai Vermelho. The presence of fruits in the initial phase of the vegetative coffee growth in 2001 triggers the establishment of the disease, which then decreased as the level of coffee fruits in the plants fell from 100% to zero percent. Plants with 100% of coffee fruits on the tree had the highest incidence of disease in contrast, plants with 0% of fruits had the lowest incidence of the disease. The rust started in January, reaching its peak at harvesting, in July. Plants that presented 62.75 bags per hectare presented 95% of their leaves diseased and 49% of the foliar area infected, at the end of the experiment. Plants with 15 bags per hectare were 10% diseased in July. As the level of coffee berry yield increased on the plants (0-100%) the average level of K decreased by 34%, Ca 37%, Cu 17% and B increased 29%. The level of starch decreased by 30% on the plants without coffee fruits, compared with plants that had 50-100%.","author":[{"dropping-particle":"","family":"Costa","given":"Mauro J. N.","non-dropping-particle":"","parse-names":false,"suffix":""},{"dropping-particle":"","family":"Zambolim","given":"Laércio","non-dropping-particle":"","parse-names":false,"suffix":""},{"dropping-particle":"","family":"Rodrigues","given":"Fabrício A.","non-dropping-particle":"","parse-names":false,"suffix":""}],"container-title":"Fitopatologia Brasileira","id":"ITEM-1","issue":"6","issued":{"date-parts":[["2006"]]},"page":"564-571","title":"Effect of levels of coffee berry removals on the incidence of rust and on the level of nutrients, carbohydrates and reductor sugar","type":"article-journal","volume":"31"},"uris":["http://www.mendeley.com/documents/?uuid=7896b1d6-76fe-472b-a49d-73e7a6037ee6","http://www.mendeley.com/documents/?uuid=dc8e12e4-1dd3-4ee4-957a-9b67c85666b9"]},{"id":"ITEM-2","itemData":{"DOI":"10.1016/0261-2194(95)00040-2","ISSN":"02612194","abstract":"Coffee leaf rust epidemics of varying severity were created by application of fungicide treatments, of varying concentration, to experimental plots from 1989 to 1992. Detailed measurements of disease incidence and leaf fall showed that yield and foliation (number of leaves per lateral) in 1991 was affected by the disease incidence in the previous season. Analysis showed a significantly greater influence of disease on foliation, both within and between seasons, than on yield. This was confirmed by data from 1992. It was concluded that the effect of the disease on yield is indirect through induction of defoliation. © 1995.","author":[{"dropping-particle":"","family":"Brown","given":"J. S.","non-dropping-particle":"","parse-names":false,"suffix":""},{"dropping-particle":"","family":"Whan","given":"J. H.","non-dropping-particle":"","parse-names":false,"suffix":""},{"dropping-particle":"","family":"Kenny","given":"M. K.","non-dropping-particle":"","parse-names":false,"suffix":""},{"dropping-particle":"","family":"Merriman","given":"P. R.","non-dropping-particle":"","parse-names":false,"suffix":""}],"container-title":"Crop Protection","id":"ITEM-2","issue":"7","issued":{"date-parts":[["1995"]]},"page":"589-592","title":"The effect of coffee leaf rust on foliation and yield of coffee in Papua New Guinea","type":"article-journal","volume":"14"},"uris":["http://www.mendeley.com/documents/?uuid=67090c32-40b8-4d14-b3e1-f70515814f6f","http://www.mendeley.com/documents/?uuid=f6c62df7-0892-4301-a45d-3686c0649836"]}],"mendeley":{"formattedCitation":"(Brown et al., 1995; Costa et al., 2006)","plainTextFormattedCitation":"(Brown et al., 1995; Costa et al., 2006)","previouslyFormattedCitation":"(Brown et al., 1995; Costa et al., 2006)"},"properties":{"noteIndex":0},"schema":"https://github.com/citation-style-language/schema/raw/master/csl-citation.json"}</w:instrText>
      </w:r>
      <w:r w:rsidR="00BB68D7" w:rsidRPr="0006342D">
        <w:rPr>
          <w:rFonts w:ascii="Arial" w:hAnsi="Arial" w:cs="Arial"/>
          <w:sz w:val="20"/>
          <w:szCs w:val="20"/>
        </w:rPr>
        <w:fldChar w:fldCharType="separate"/>
      </w:r>
      <w:r w:rsidR="00BB68D7" w:rsidRPr="001A1E09">
        <w:rPr>
          <w:rFonts w:ascii="Arial" w:hAnsi="Arial" w:cs="Arial"/>
          <w:noProof/>
          <w:sz w:val="20"/>
          <w:szCs w:val="20"/>
        </w:rPr>
        <w:t>(Brown et al., 1995; Costa et al., 2006)</w:t>
      </w:r>
      <w:r w:rsidR="00BB68D7" w:rsidRPr="0006342D">
        <w:rPr>
          <w:rFonts w:ascii="Arial" w:hAnsi="Arial" w:cs="Arial"/>
          <w:sz w:val="20"/>
          <w:szCs w:val="20"/>
        </w:rPr>
        <w:fldChar w:fldCharType="end"/>
      </w:r>
      <w:r w:rsidR="00BB68D7" w:rsidRPr="0006342D">
        <w:rPr>
          <w:rFonts w:ascii="Arial" w:hAnsi="Arial" w:cs="Arial"/>
          <w:sz w:val="20"/>
          <w:szCs w:val="20"/>
        </w:rPr>
        <w:t>.</w:t>
      </w:r>
      <w:r w:rsidR="00BB68D7" w:rsidRPr="001A1E09">
        <w:rPr>
          <w:rFonts w:ascii="Arial" w:hAnsi="Arial" w:cs="Arial"/>
          <w:sz w:val="20"/>
          <w:szCs w:val="20"/>
        </w:rPr>
        <w:t xml:space="preserve"> </w:t>
      </w:r>
      <w:r w:rsidR="00BB68D7" w:rsidRPr="00E1786F">
        <w:rPr>
          <w:rFonts w:ascii="Arial" w:hAnsi="Arial" w:cs="Arial"/>
          <w:sz w:val="20"/>
          <w:szCs w:val="20"/>
        </w:rPr>
        <w:t>Beyond agronomic impacts, CLR imposes serious socio-economic burdens, particularly on smallholder farmers with limited access to control measures</w:t>
      </w:r>
      <w:r w:rsidR="00BB68D7">
        <w:rPr>
          <w:rFonts w:ascii="Arial" w:hAnsi="Arial" w:cs="Arial"/>
          <w:sz w:val="20"/>
          <w:szCs w:val="20"/>
        </w:rPr>
        <w:t xml:space="preserve"> </w:t>
      </w:r>
      <w:r w:rsidR="00BB68D7" w:rsidRPr="0006342D">
        <w:rPr>
          <w:rFonts w:ascii="Arial" w:hAnsi="Arial" w:cs="Arial"/>
          <w:sz w:val="20"/>
          <w:szCs w:val="20"/>
        </w:rPr>
        <w:fldChar w:fldCharType="begin" w:fldLock="1"/>
      </w:r>
      <w:r w:rsidR="00BB68D7">
        <w:rPr>
          <w:rFonts w:ascii="Arial" w:hAnsi="Arial" w:cs="Arial"/>
          <w:sz w:val="20"/>
          <w:szCs w:val="20"/>
        </w:rPr>
        <w:instrText>ADDIN CSL_CITATION {"citationItems":[{"id":"ITEM-1","itemData":{"DOI":"10.1007/s12571-015-0446-9","ISSN":"18764525","abstract":"Coffee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Security","id":"ITEM-1","issue":"2","issued":{"date-parts":[["2015"]]},"page":"303-321","title":"The coffee rust crises in Colombia and Central America (2008–2013): impacts, plausible causes and proposed solutions","type":"article-journal","volume":"7"},"uris":["http://www.mendeley.com/documents/?uuid=ea0c346a-6bcd-4dc5-9f53-12facc371b55","http://www.mendeley.com/documents/?uuid=c4ef84d2-f551-4754-b7b1-9d794dda20e7"]}],"mendeley":{"formattedCitation":"(Avelino et al., 2015)","manualFormatting":"(Avelino et al., 2015)","plainTextFormattedCitation":"(Avelino et al., 2015)","previouslyFormattedCitation":"(Avelino et al., 2015)"},"properties":{"noteIndex":0},"schema":"https://github.com/citation-style-language/schema/raw/master/csl-citation.json"}</w:instrText>
      </w:r>
      <w:r w:rsidR="00BB68D7" w:rsidRPr="0006342D">
        <w:rPr>
          <w:rFonts w:ascii="Arial" w:hAnsi="Arial" w:cs="Arial"/>
          <w:sz w:val="20"/>
          <w:szCs w:val="20"/>
        </w:rPr>
        <w:fldChar w:fldCharType="separate"/>
      </w:r>
      <w:r w:rsidR="00BB68D7" w:rsidRPr="00EC10CD">
        <w:rPr>
          <w:rFonts w:ascii="Arial" w:hAnsi="Arial" w:cs="Arial"/>
          <w:noProof/>
          <w:sz w:val="20"/>
          <w:szCs w:val="20"/>
        </w:rPr>
        <w:t>(Avelino et al., 2015)</w:t>
      </w:r>
      <w:r w:rsidR="00BB68D7" w:rsidRPr="0006342D">
        <w:rPr>
          <w:rFonts w:ascii="Arial" w:hAnsi="Arial" w:cs="Arial"/>
          <w:sz w:val="20"/>
          <w:szCs w:val="20"/>
        </w:rPr>
        <w:fldChar w:fldCharType="end"/>
      </w:r>
      <w:r w:rsidR="00BB68D7" w:rsidRPr="0006342D">
        <w:rPr>
          <w:rFonts w:ascii="Arial" w:hAnsi="Arial" w:cs="Arial"/>
          <w:sz w:val="20"/>
          <w:szCs w:val="20"/>
        </w:rPr>
        <w:t xml:space="preserve">. </w:t>
      </w:r>
    </w:p>
    <w:p w14:paraId="2FAE1564" w14:textId="630908BC" w:rsidR="009C1ED2" w:rsidRPr="0006342D" w:rsidRDefault="009C1ED2" w:rsidP="00BB68D7">
      <w:pPr>
        <w:pStyle w:val="NormalWeb"/>
        <w:spacing w:before="0" w:beforeAutospacing="0" w:after="0" w:afterAutospacing="0" w:line="276" w:lineRule="auto"/>
        <w:contextualSpacing/>
        <w:jc w:val="both"/>
        <w:rPr>
          <w:rFonts w:ascii="Arial" w:eastAsia="Arial" w:hAnsi="Arial" w:cs="Arial"/>
          <w:color w:val="000000"/>
        </w:rPr>
      </w:pPr>
    </w:p>
    <w:p w14:paraId="580CA7FB" w14:textId="4835ED5A" w:rsidR="00D62A6D" w:rsidRDefault="00BB68D7" w:rsidP="004341B4">
      <w:pPr>
        <w:pBdr>
          <w:top w:val="nil"/>
          <w:left w:val="nil"/>
          <w:bottom w:val="nil"/>
          <w:right w:val="nil"/>
          <w:between w:val="nil"/>
        </w:pBdr>
        <w:spacing w:line="276" w:lineRule="auto"/>
        <w:jc w:val="both"/>
        <w:rPr>
          <w:rFonts w:ascii="Arial" w:hAnsi="Arial" w:cs="Arial"/>
        </w:rPr>
      </w:pPr>
      <w:r w:rsidRPr="00133233">
        <w:rPr>
          <w:rFonts w:ascii="Arial" w:hAnsi="Arial" w:cs="Arial"/>
          <w:lang w:val="en-MY"/>
        </w:rPr>
        <w:t xml:space="preserve">Tolerance </w:t>
      </w:r>
      <w:r w:rsidRPr="00CA1682">
        <w:rPr>
          <w:rFonts w:ascii="Arial" w:hAnsi="Arial" w:cs="Arial"/>
          <w:lang w:val="en-MY"/>
        </w:rPr>
        <w:t>to CLR varies</w:t>
      </w:r>
      <w:r>
        <w:rPr>
          <w:rFonts w:ascii="Arial" w:hAnsi="Arial" w:cs="Arial"/>
          <w:lang w:val="en-MY"/>
        </w:rPr>
        <w:t xml:space="preserve"> </w:t>
      </w:r>
      <w:r w:rsidRPr="00133233">
        <w:rPr>
          <w:rFonts w:ascii="Arial" w:hAnsi="Arial" w:cs="Arial"/>
          <w:lang w:val="en-MY"/>
        </w:rPr>
        <w:t xml:space="preserve">among </w:t>
      </w:r>
      <w:r w:rsidRPr="00133233">
        <w:rPr>
          <w:rFonts w:ascii="Arial" w:hAnsi="Arial" w:cs="Arial"/>
          <w:i/>
          <w:iCs/>
          <w:lang w:val="en-MY"/>
        </w:rPr>
        <w:t>Coffea</w:t>
      </w:r>
      <w:r w:rsidRPr="00133233">
        <w:rPr>
          <w:rFonts w:ascii="Arial" w:hAnsi="Arial" w:cs="Arial"/>
          <w:lang w:val="en-MY"/>
        </w:rPr>
        <w:t xml:space="preserve"> species</w:t>
      </w:r>
      <w:r>
        <w:rPr>
          <w:rFonts w:ascii="Arial" w:hAnsi="Arial" w:cs="Arial"/>
          <w:lang w:val="en-MY"/>
        </w:rPr>
        <w:t xml:space="preserve">, with </w:t>
      </w:r>
      <w:r w:rsidRPr="00133233">
        <w:rPr>
          <w:rFonts w:ascii="Arial" w:hAnsi="Arial" w:cs="Arial"/>
          <w:i/>
          <w:iCs/>
          <w:lang w:val="en-MY"/>
        </w:rPr>
        <w:t>C. arabica</w:t>
      </w:r>
      <w:r w:rsidRPr="00133233">
        <w:rPr>
          <w:rFonts w:ascii="Arial" w:hAnsi="Arial" w:cs="Arial"/>
          <w:lang w:val="en-MY"/>
        </w:rPr>
        <w:t xml:space="preserve"> </w:t>
      </w:r>
      <w:r>
        <w:rPr>
          <w:rFonts w:ascii="Arial" w:hAnsi="Arial" w:cs="Arial"/>
          <w:lang w:val="en-MY"/>
        </w:rPr>
        <w:t>being</w:t>
      </w:r>
      <w:r w:rsidRPr="00133233">
        <w:rPr>
          <w:rFonts w:ascii="Arial" w:hAnsi="Arial" w:cs="Arial"/>
          <w:lang w:val="en-MY"/>
        </w:rPr>
        <w:t xml:space="preserve"> highly susceptible, while </w:t>
      </w:r>
      <w:r w:rsidRPr="00133233">
        <w:rPr>
          <w:rFonts w:ascii="Arial" w:hAnsi="Arial" w:cs="Arial"/>
          <w:i/>
          <w:iCs/>
          <w:lang w:val="en-MY"/>
        </w:rPr>
        <w:t xml:space="preserve">C. </w:t>
      </w:r>
      <w:proofErr w:type="spellStart"/>
      <w:r w:rsidRPr="00133233">
        <w:rPr>
          <w:rFonts w:ascii="Arial" w:hAnsi="Arial" w:cs="Arial"/>
          <w:i/>
          <w:iCs/>
          <w:lang w:val="en-MY"/>
        </w:rPr>
        <w:t>canephora</w:t>
      </w:r>
      <w:proofErr w:type="spellEnd"/>
      <w:r w:rsidRPr="00133233">
        <w:rPr>
          <w:rFonts w:ascii="Arial" w:hAnsi="Arial" w:cs="Arial"/>
          <w:lang w:val="en-MY"/>
        </w:rPr>
        <w:t xml:space="preserve"> and </w:t>
      </w:r>
      <w:r w:rsidRPr="00133233">
        <w:rPr>
          <w:rFonts w:ascii="Arial" w:hAnsi="Arial" w:cs="Arial"/>
          <w:i/>
          <w:iCs/>
          <w:lang w:val="en-MY"/>
        </w:rPr>
        <w:t xml:space="preserve">C. </w:t>
      </w:r>
      <w:proofErr w:type="spellStart"/>
      <w:r w:rsidRPr="00133233">
        <w:rPr>
          <w:rFonts w:ascii="Arial" w:hAnsi="Arial" w:cs="Arial"/>
          <w:i/>
          <w:iCs/>
          <w:lang w:val="en-MY"/>
        </w:rPr>
        <w:t>liberica</w:t>
      </w:r>
      <w:proofErr w:type="spellEnd"/>
      <w:r w:rsidRPr="00133233">
        <w:rPr>
          <w:rFonts w:ascii="Arial" w:hAnsi="Arial" w:cs="Arial"/>
          <w:lang w:val="en-MY"/>
        </w:rPr>
        <w:t xml:space="preserve"> </w:t>
      </w:r>
      <w:r>
        <w:rPr>
          <w:rFonts w:ascii="Arial" w:hAnsi="Arial" w:cs="Arial"/>
          <w:lang w:val="en-MY"/>
        </w:rPr>
        <w:t xml:space="preserve">generally </w:t>
      </w:r>
      <w:r w:rsidRPr="00133233">
        <w:rPr>
          <w:rFonts w:ascii="Arial" w:hAnsi="Arial" w:cs="Arial"/>
          <w:lang w:val="en-MY"/>
        </w:rPr>
        <w:t>show greater resilience. Nonetheless, CLR remains a significant threat across all cultivated coffee</w:t>
      </w:r>
      <w:r>
        <w:rPr>
          <w:rFonts w:ascii="Arial" w:hAnsi="Arial" w:cs="Arial"/>
          <w:lang w:val="en-MY"/>
        </w:rPr>
        <w:t xml:space="preserve"> </w:t>
      </w:r>
      <w:r w:rsidRPr="0006342D">
        <w:rPr>
          <w:rFonts w:ascii="Arial" w:hAnsi="Arial" w:cs="Arial"/>
        </w:rPr>
        <w:fldChar w:fldCharType="begin" w:fldLock="1"/>
      </w:r>
      <w:r w:rsidRPr="0006342D">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tropics","type":"article-journal","volume":"18"},"uris":["http://www.mendeley.com/documents/?uuid=03c475b7-62c6-4804-847d-9b6cd577c87d","http://www.mendeley.com/documents/?uuid=0e68ffa5-f30f-4bc0-9427-9b232153fbca"]}],"mendeley":{"formattedCitation":"(Talhinhas et al., 2017)","plainTextFormattedCitation":"(Talhinhas et al., 2017)","previouslyFormattedCitation":"(Talhinhas et al., 2017)"},"properties":{"noteIndex":0},"schema":"https://github.com/citation-style-language/schema/raw/master/csl-citation.json"}</w:instrText>
      </w:r>
      <w:r w:rsidRPr="0006342D">
        <w:rPr>
          <w:rFonts w:ascii="Arial" w:hAnsi="Arial" w:cs="Arial"/>
        </w:rPr>
        <w:fldChar w:fldCharType="separate"/>
      </w:r>
      <w:r w:rsidRPr="0006342D">
        <w:rPr>
          <w:rFonts w:ascii="Arial" w:hAnsi="Arial" w:cs="Arial"/>
          <w:noProof/>
        </w:rPr>
        <w:t>(Talhinhas et al., 2017)</w:t>
      </w:r>
      <w:r w:rsidRPr="0006342D">
        <w:rPr>
          <w:rFonts w:ascii="Arial" w:hAnsi="Arial" w:cs="Arial"/>
        </w:rPr>
        <w:fldChar w:fldCharType="end"/>
      </w:r>
      <w:r w:rsidRPr="0006342D">
        <w:rPr>
          <w:rFonts w:ascii="Arial" w:hAnsi="Arial" w:cs="Arial"/>
        </w:rPr>
        <w:t>.</w:t>
      </w:r>
      <w:r>
        <w:rPr>
          <w:rFonts w:ascii="Arial" w:hAnsi="Arial" w:cs="Arial"/>
        </w:rPr>
        <w:t xml:space="preserve"> </w:t>
      </w:r>
      <w:r w:rsidRPr="00133233">
        <w:rPr>
          <w:rFonts w:ascii="Arial" w:hAnsi="Arial" w:cs="Arial"/>
        </w:rPr>
        <w:t>Field observations confirm that CLR can still reduce flower initiation, fruit retention, and final yield, especially under favo</w:t>
      </w:r>
      <w:r>
        <w:rPr>
          <w:rFonts w:ascii="Arial" w:hAnsi="Arial" w:cs="Arial"/>
        </w:rPr>
        <w:t>r</w:t>
      </w:r>
      <w:r w:rsidRPr="00133233">
        <w:rPr>
          <w:rFonts w:ascii="Arial" w:hAnsi="Arial" w:cs="Arial"/>
        </w:rPr>
        <w:t>able climatic conditions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tropics","type":"article-journal","volume":"18"},"uris":["http://www.mendeley.com/documents/?uuid=0e68ffa5-f30f-4bc0-9427-9b232153fbca"]},{"id":"ITEM-2","itemData":{"DOI":"10.1007/s00484-018-1587-2","ISSN":"00207128","PMID":"30051219","abstract":"Brazil is the major coffee producer in the world, with 2 million hectares cropped, with 75% of this area with Coffea arabica and 25% with Coffea canephora. Coffee leaf rust (CLR) is one of the main diseases that cause yield losses by reducing healthy leaf area. As CLR is highly influenced by weather conditions, this study aimed to determine the best linearization model to estimate the CLR apparent infection rate, to correlate CLR infection rates with weather variables, and to develop and assess the performance of weather-based infection rate models to be used as a disease warning system. The CLR epidemic was analyzed for 88 site-seasons, while progress curves were assessed by linear, monomolecular, logistic, Gompertz, and exponential linearization models for apparent infection rate determination. Correlations between CLR infection rates and weather variables were conducted at different periods. From these correlations, multiple linear regressions were developed to estimate CLR infection rates, using the most weather-correlated variables. The Gompertz growth model had the best fit with CLR progress curves. Minimum temperature and relative humidity were the weather variables most correlated to infection rate and, therefore, chosen to compose a CLR forecast system. Among the models developed, the one for the condition of high coffee yield at a narrow row spacing was the best, with only 9.4% of false negative occurrences for all the months assessed.","author":[{"dropping-particle":"","family":"Hinnah","given":"Fernando Dill","non-dropping-particle":"","parse-names":false,"suffix":""},{"dropping-particle":"","family":"Sentelhas","given":"Paulo Cesar","non-dropping-particle":"","parse-names":false,"suffix":""},{"dropping-particle":"","family":"Meira","given":"Carlos Alberto Alves","non-dropping-particle":"","parse-names":false,"suffix":""},{"dropping-particle":"","family":"Paiva","given":"Rodrigo Naves","non-dropping-particle":"","parse-names":false,"suffix":""}],"container-title":"International Journal of Biometeorology","id":"ITEM-2","issue":"10","issued":{"date-parts":[["2018"]]},"page":"1847-1860","publisher":"International Journal of Biometeorology","title":"Weather-based coffee leaf rust apparent infection rate modeling","type":"article-journal","volume":"62"},"uris":["http://www.mendeley.com/documents/?uuid=c8a5c6ef-9966-40ef-9cc4-308ea01810be"]}],"mendeley":{"formattedCitation":"(Hinnah et al., 2018; Talhinhas et al., 2017)","plainTextFormattedCitation":"(Hinnah et al., 2018; Talhinhas et al., 2017)","previouslyFormattedCitation":"(Hinnah et al., 2018; Talhinhas et al., 2017)"},"properties":{"noteIndex":0},"schema":"https://github.com/citation-style-language/schema/raw/master/csl-citation.json"}</w:instrText>
      </w:r>
      <w:r>
        <w:rPr>
          <w:rFonts w:ascii="Arial" w:hAnsi="Arial" w:cs="Arial"/>
        </w:rPr>
        <w:fldChar w:fldCharType="separate"/>
      </w:r>
      <w:r w:rsidRPr="00671A0F">
        <w:rPr>
          <w:rFonts w:ascii="Arial" w:hAnsi="Arial" w:cs="Arial"/>
          <w:noProof/>
        </w:rPr>
        <w:t>(Hinnah et al., 2018; Talhinhas et al., 2017)</w:t>
      </w:r>
      <w:r>
        <w:rPr>
          <w:rFonts w:ascii="Arial" w:hAnsi="Arial" w:cs="Arial"/>
        </w:rPr>
        <w:fldChar w:fldCharType="end"/>
      </w:r>
      <w:r>
        <w:rPr>
          <w:rFonts w:ascii="Arial" w:hAnsi="Arial" w:cs="Arial"/>
        </w:rPr>
        <w:t>. C</w:t>
      </w:r>
      <w:r w:rsidRPr="00133233">
        <w:rPr>
          <w:rFonts w:ascii="Arial" w:hAnsi="Arial" w:cs="Arial"/>
        </w:rPr>
        <w:t xml:space="preserve">limate change </w:t>
      </w:r>
      <w:r>
        <w:rPr>
          <w:rFonts w:ascii="Arial" w:hAnsi="Arial" w:cs="Arial"/>
        </w:rPr>
        <w:t xml:space="preserve">is </w:t>
      </w:r>
      <w:r w:rsidRPr="00133233">
        <w:rPr>
          <w:rFonts w:ascii="Arial" w:hAnsi="Arial" w:cs="Arial"/>
        </w:rPr>
        <w:t xml:space="preserve">expected to </w:t>
      </w:r>
      <w:r>
        <w:rPr>
          <w:rFonts w:ascii="Arial" w:hAnsi="Arial" w:cs="Arial"/>
        </w:rPr>
        <w:t xml:space="preserve">exacerbate </w:t>
      </w:r>
      <w:r w:rsidRPr="00DC1187">
        <w:rPr>
          <w:rFonts w:ascii="Arial" w:hAnsi="Arial" w:cs="Arial"/>
        </w:rPr>
        <w:t>this threat,</w:t>
      </w:r>
      <w:r>
        <w:rPr>
          <w:rFonts w:ascii="Arial" w:hAnsi="Arial" w:cs="Arial"/>
        </w:rPr>
        <w:t xml:space="preserve"> with</w:t>
      </w:r>
      <w:r w:rsidRPr="00133233">
        <w:rPr>
          <w:rFonts w:ascii="Arial" w:hAnsi="Arial" w:cs="Arial"/>
        </w:rPr>
        <w:t xml:space="preserve"> rising temperatures, altered rainfall and increased </w:t>
      </w:r>
      <w:r w:rsidRPr="00DC1187">
        <w:rPr>
          <w:rFonts w:ascii="Arial" w:hAnsi="Arial" w:cs="Arial"/>
        </w:rPr>
        <w:t>higher humidity likely to intensify disease pressure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10.1371/journal.pone.0140490","author":[{"dropping-particle":"","family":"Bunn","given":"Christian","non-dropping-particle":"","parse-names":false,"suffix":""},{"dropping-particle":"","family":"Läderach","given":"Peter","non-dropping-particle":"","parse-names":false,"suffix":""},{"dropping-particle":"","family":"Guillermo","given":"Juan","non-dropping-particle":"","parse-names":false,"suffix":""},{"dropping-particle":"","family":"Jimenez","given":"Pérez","non-dropping-particle":"","parse-names":false,"suffix":""},{"dropping-particle":"","family":"Montagnon","given":"Christophe","non-dropping-particle":"","parse-names":false,"suffix":""},{"dropping-particle":"","family":"Schilling","given":"Timothy","non-dropping-particle":"","parse-names":false,"suffix":""}],"container-title":"PLoS ONE","id":"ITEM-1","issue":"10","issued":{"date-parts":[["2015"]]},"page":"e0140490","title":"Multiclass classification of agro-ecological zones for Arabica coffee: an improved understanding of the impacts of climate change","type":"article-journal","volume":"10"},"uris":["http://www.mendeley.com/documents/?uuid=d8a781c2-bb15-4fc2-a410-505884d19198"]},{"id":"ITEM-2","itemData":{"DOI":"10.1007/s12571-015-0446-9","ISSN":"18764525","abstract":"Coffee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Security","id":"ITEM-2","issue":"2","issued":{"date-parts":[["2015"]]},"page":"303-321","title":"The coffee rust crises in Colombia and Central America (2008–2013): impacts, plausible causes and proposed solutions","type":"article-journal","volume":"7"},"uris":["http://www.mendeley.com/documents/?uuid=ea0c346a-6bcd-4dc5-9f53-12facc371b55"]}],"mendeley":{"formattedCitation":"(Avelino et al., 2015; Bunn et al., 2015)","manualFormatting":"(Avelino et al., 2015; Bunn et al., 2015)","plainTextFormattedCitation":"(Avelino et al., 2015; Bunn et al., 2015)","previouslyFormattedCitation":"(Avelino et al., 2015; Bunn et al., 2015)"},"properties":{"noteIndex":0},"schema":"https://github.com/citation-style-language/schema/raw/master/csl-citation.json"}</w:instrText>
      </w:r>
      <w:r>
        <w:rPr>
          <w:rFonts w:ascii="Arial" w:hAnsi="Arial" w:cs="Arial"/>
        </w:rPr>
        <w:fldChar w:fldCharType="separate"/>
      </w:r>
      <w:r w:rsidRPr="00EC10CD">
        <w:rPr>
          <w:rFonts w:ascii="Arial" w:hAnsi="Arial" w:cs="Arial"/>
          <w:noProof/>
        </w:rPr>
        <w:t>(Avelino et al., 2015; Bunn et al., 2015)</w:t>
      </w:r>
      <w:r>
        <w:rPr>
          <w:rFonts w:ascii="Arial" w:hAnsi="Arial" w:cs="Arial"/>
        </w:rPr>
        <w:fldChar w:fldCharType="end"/>
      </w:r>
      <w:r w:rsidRPr="00133233">
        <w:rPr>
          <w:rFonts w:ascii="Arial" w:hAnsi="Arial" w:cs="Arial"/>
        </w:rPr>
        <w:t>.</w:t>
      </w:r>
    </w:p>
    <w:p w14:paraId="25F14915" w14:textId="77777777" w:rsidR="004341B4" w:rsidRPr="0006342D" w:rsidRDefault="004341B4" w:rsidP="004341B4">
      <w:pPr>
        <w:pBdr>
          <w:top w:val="nil"/>
          <w:left w:val="nil"/>
          <w:bottom w:val="nil"/>
          <w:right w:val="nil"/>
          <w:between w:val="nil"/>
        </w:pBdr>
        <w:spacing w:line="276" w:lineRule="auto"/>
        <w:jc w:val="both"/>
        <w:rPr>
          <w:rFonts w:ascii="Arial" w:eastAsia="Arial" w:hAnsi="Arial" w:cs="Arial"/>
          <w:color w:val="000000"/>
        </w:rPr>
      </w:pPr>
    </w:p>
    <w:p w14:paraId="7AADCF50" w14:textId="1EFA5BFE" w:rsidR="00BB68D7" w:rsidRDefault="00BB68D7" w:rsidP="00BB68D7">
      <w:pPr>
        <w:pBdr>
          <w:top w:val="nil"/>
          <w:left w:val="nil"/>
          <w:bottom w:val="nil"/>
          <w:right w:val="nil"/>
          <w:between w:val="nil"/>
        </w:pBdr>
        <w:spacing w:line="276" w:lineRule="auto"/>
        <w:jc w:val="both"/>
        <w:rPr>
          <w:rFonts w:ascii="Arial" w:hAnsi="Arial" w:cs="Arial"/>
        </w:rPr>
      </w:pPr>
      <w:r w:rsidRPr="00133233">
        <w:rPr>
          <w:rFonts w:ascii="Arial" w:hAnsi="Arial" w:cs="Arial"/>
        </w:rPr>
        <w:t>Globa</w:t>
      </w:r>
      <w:r>
        <w:rPr>
          <w:rFonts w:ascii="Arial" w:hAnsi="Arial" w:cs="Arial"/>
        </w:rPr>
        <w:t>l</w:t>
      </w:r>
      <w:r w:rsidRPr="00133233">
        <w:rPr>
          <w:rFonts w:ascii="Arial" w:hAnsi="Arial" w:cs="Arial"/>
        </w:rPr>
        <w:t>l</w:t>
      </w:r>
      <w:r>
        <w:rPr>
          <w:rFonts w:ascii="Arial" w:hAnsi="Arial" w:cs="Arial"/>
        </w:rPr>
        <w:t>y,</w:t>
      </w:r>
      <w:r w:rsidRPr="00133233">
        <w:rPr>
          <w:rFonts w:ascii="Arial" w:hAnsi="Arial" w:cs="Arial"/>
        </w:rPr>
        <w:t xml:space="preserve"> coffee research has focused primarily on</w:t>
      </w:r>
      <w:r>
        <w:rPr>
          <w:rFonts w:ascii="Arial" w:hAnsi="Arial" w:cs="Arial"/>
        </w:rPr>
        <w:t xml:space="preserve"> </w:t>
      </w:r>
      <w:r w:rsidRPr="00671A0F">
        <w:rPr>
          <w:rFonts w:ascii="Arial" w:hAnsi="Arial" w:cs="Arial"/>
          <w:i/>
          <w:iCs/>
        </w:rPr>
        <w:t>C. arabica</w:t>
      </w:r>
      <w:r w:rsidRPr="00671A0F">
        <w:rPr>
          <w:rFonts w:ascii="Arial" w:hAnsi="Arial" w:cs="Arial"/>
        </w:rPr>
        <w:t xml:space="preserve"> and </w:t>
      </w:r>
      <w:r w:rsidRPr="00671A0F">
        <w:rPr>
          <w:rFonts w:ascii="Arial" w:hAnsi="Arial" w:cs="Arial"/>
          <w:i/>
          <w:iCs/>
        </w:rPr>
        <w:t xml:space="preserve">C. </w:t>
      </w:r>
      <w:proofErr w:type="spellStart"/>
      <w:r w:rsidRPr="00671A0F">
        <w:rPr>
          <w:rFonts w:ascii="Arial" w:hAnsi="Arial" w:cs="Arial"/>
          <w:i/>
          <w:iCs/>
        </w:rPr>
        <w:t>canephora</w:t>
      </w:r>
      <w:proofErr w:type="spellEnd"/>
      <w:r w:rsidRPr="00671A0F">
        <w:rPr>
          <w:rFonts w:ascii="Arial" w:hAnsi="Arial" w:cs="Arial"/>
        </w:rPr>
        <w:t xml:space="preserve">, reflecting their </w:t>
      </w:r>
      <w:r w:rsidRPr="009A46CB">
        <w:rPr>
          <w:rFonts w:ascii="Arial" w:hAnsi="Arial" w:cs="Arial"/>
        </w:rPr>
        <w:t>dominant share in international markets.</w:t>
      </w:r>
      <w:r>
        <w:rPr>
          <w:rFonts w:ascii="Arial" w:hAnsi="Arial" w:cs="Arial"/>
        </w:rPr>
        <w:t xml:space="preserve"> </w:t>
      </w:r>
      <w:r w:rsidRPr="00D66354">
        <w:rPr>
          <w:rFonts w:ascii="Arial" w:hAnsi="Arial" w:cs="Arial"/>
        </w:rPr>
        <w:t>In contrast,</w:t>
      </w:r>
      <w:r>
        <w:rPr>
          <w:rFonts w:ascii="Arial" w:hAnsi="Arial" w:cs="Arial"/>
        </w:rPr>
        <w:t xml:space="preserve"> </w:t>
      </w:r>
      <w:r w:rsidRPr="00133233">
        <w:rPr>
          <w:rFonts w:ascii="Arial" w:hAnsi="Arial" w:cs="Arial"/>
          <w:i/>
          <w:iCs/>
        </w:rPr>
        <w:t xml:space="preserve">C. </w:t>
      </w:r>
      <w:proofErr w:type="spellStart"/>
      <w:r w:rsidRPr="00133233">
        <w:rPr>
          <w:rFonts w:ascii="Arial" w:hAnsi="Arial" w:cs="Arial"/>
          <w:i/>
          <w:iCs/>
        </w:rPr>
        <w:t>liberica</w:t>
      </w:r>
      <w:proofErr w:type="spellEnd"/>
      <w:r w:rsidRPr="00133233">
        <w:rPr>
          <w:rFonts w:ascii="Arial" w:hAnsi="Arial" w:cs="Arial"/>
        </w:rPr>
        <w:t xml:space="preserve"> has</w:t>
      </w:r>
      <w:r w:rsidRPr="009A46CB">
        <w:rPr>
          <w:rFonts w:ascii="Arial" w:hAnsi="Arial" w:cs="Arial"/>
        </w:rPr>
        <w:t xml:space="preserve"> received little attention</w:t>
      </w:r>
      <w:r>
        <w:rPr>
          <w:rFonts w:ascii="Arial" w:hAnsi="Arial" w:cs="Arial"/>
        </w:rPr>
        <w:t xml:space="preserve"> </w:t>
      </w:r>
      <w:r w:rsidRPr="00133233">
        <w:rPr>
          <w:rFonts w:ascii="Arial" w:hAnsi="Arial" w:cs="Arial"/>
        </w:rPr>
        <w:t>in breeding, agronomy and disease management studies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crop","type":"article-journal","volume":"11"},"uris":["http://www.mendeley.com/documents/?uuid=bdb35a57-4103-4ebc-a07c-4a040420ad59"]}],"mendeley":{"formattedCitation":"(Davis et al., 2020)","plainTextFormattedCitation":"(Davis et al., 2020)","previouslyFormattedCitation":"(Davis et al., 2020)"},"properties":{"noteIndex":0},"schema":"https://github.com/citation-style-language/schema/raw/master/csl-citation.json"}</w:instrText>
      </w:r>
      <w:r>
        <w:rPr>
          <w:rFonts w:ascii="Arial" w:hAnsi="Arial" w:cs="Arial"/>
        </w:rPr>
        <w:fldChar w:fldCharType="separate"/>
      </w:r>
      <w:r w:rsidRPr="00671A0F">
        <w:rPr>
          <w:rFonts w:ascii="Arial" w:hAnsi="Arial" w:cs="Arial"/>
          <w:noProof/>
        </w:rPr>
        <w:t>(Davis et al., 2020)</w:t>
      </w:r>
      <w:r>
        <w:rPr>
          <w:rFonts w:ascii="Arial" w:hAnsi="Arial" w:cs="Arial"/>
        </w:rPr>
        <w:fldChar w:fldCharType="end"/>
      </w:r>
      <w:r w:rsidRPr="000B6187">
        <w:rPr>
          <w:rFonts w:ascii="Arial" w:hAnsi="Arial" w:cs="Arial"/>
        </w:rPr>
        <w:t xml:space="preserve">. </w:t>
      </w:r>
      <w:r w:rsidRPr="009A46CB">
        <w:rPr>
          <w:rFonts w:ascii="Arial" w:hAnsi="Arial" w:cs="Arial"/>
        </w:rPr>
        <w:t xml:space="preserve">Despite </w:t>
      </w:r>
      <w:r w:rsidRPr="00D66354">
        <w:rPr>
          <w:rFonts w:ascii="Arial" w:hAnsi="Arial" w:cs="Arial"/>
        </w:rPr>
        <w:t>its importance</w:t>
      </w:r>
      <w:r>
        <w:rPr>
          <w:rFonts w:ascii="Arial" w:hAnsi="Arial" w:cs="Arial"/>
        </w:rPr>
        <w:t xml:space="preserve"> in</w:t>
      </w:r>
      <w:r w:rsidRPr="009A46CB">
        <w:rPr>
          <w:rFonts w:ascii="Arial" w:hAnsi="Arial" w:cs="Arial"/>
        </w:rPr>
        <w:t xml:space="preserve"> Malaysia’s coffee industry, </w:t>
      </w:r>
      <w:r w:rsidRPr="00D66354">
        <w:rPr>
          <w:rFonts w:ascii="Arial" w:hAnsi="Arial" w:cs="Arial"/>
        </w:rPr>
        <w:t xml:space="preserve">no published work has evaluated how coffee leaf rust (CLR) influences berry yield under local field conditions. Although a few reports suggest that </w:t>
      </w:r>
      <w:r w:rsidRPr="00D66354">
        <w:rPr>
          <w:rFonts w:ascii="Arial" w:hAnsi="Arial" w:cs="Arial"/>
          <w:i/>
          <w:iCs/>
        </w:rPr>
        <w:t xml:space="preserve">C. </w:t>
      </w:r>
      <w:proofErr w:type="spellStart"/>
      <w:r w:rsidRPr="00D66354">
        <w:rPr>
          <w:rFonts w:ascii="Arial" w:hAnsi="Arial" w:cs="Arial"/>
          <w:i/>
          <w:iCs/>
        </w:rPr>
        <w:t>liberica</w:t>
      </w:r>
      <w:proofErr w:type="spellEnd"/>
      <w:r w:rsidRPr="00D66354">
        <w:rPr>
          <w:rFonts w:ascii="Arial" w:hAnsi="Arial" w:cs="Arial"/>
        </w:rPr>
        <w:t xml:space="preserve"> may show partial tolerance to CLR, robust field-based evidence quantifying its yield response to natural infection pressure is still lacking.</w:t>
      </w:r>
      <w:r>
        <w:rPr>
          <w:rFonts w:ascii="Arial" w:hAnsi="Arial" w:cs="Arial"/>
        </w:rPr>
        <w:t xml:space="preserve"> </w:t>
      </w:r>
      <w:r w:rsidRPr="00671A0F">
        <w:rPr>
          <w:rFonts w:ascii="Arial" w:hAnsi="Arial" w:cs="Arial"/>
        </w:rPr>
        <w:t xml:space="preserve">This knowledge gap is particularly critical for Malaysia, where </w:t>
      </w:r>
      <w:r w:rsidRPr="00671A0F">
        <w:rPr>
          <w:rFonts w:ascii="Arial" w:hAnsi="Arial" w:cs="Arial"/>
          <w:i/>
          <w:iCs/>
        </w:rPr>
        <w:t xml:space="preserve">C. </w:t>
      </w:r>
      <w:proofErr w:type="spellStart"/>
      <w:r w:rsidRPr="00671A0F">
        <w:rPr>
          <w:rFonts w:ascii="Arial" w:hAnsi="Arial" w:cs="Arial"/>
          <w:i/>
          <w:iCs/>
        </w:rPr>
        <w:t>liberica</w:t>
      </w:r>
      <w:proofErr w:type="spellEnd"/>
      <w:r w:rsidRPr="00671A0F">
        <w:rPr>
          <w:rFonts w:ascii="Arial" w:hAnsi="Arial" w:cs="Arial"/>
        </w:rPr>
        <w:t xml:space="preserve"> </w:t>
      </w:r>
      <w:r w:rsidRPr="00133233">
        <w:rPr>
          <w:rFonts w:ascii="Arial" w:hAnsi="Arial" w:cs="Arial"/>
        </w:rPr>
        <w:t xml:space="preserve">accounts for the majority of national </w:t>
      </w:r>
      <w:r w:rsidRPr="00133233">
        <w:rPr>
          <w:rFonts w:ascii="Arial" w:hAnsi="Arial" w:cs="Arial"/>
        </w:rPr>
        <w:lastRenderedPageBreak/>
        <w:t>production.</w:t>
      </w:r>
      <w:r w:rsidRPr="00671A0F">
        <w:rPr>
          <w:rFonts w:ascii="Arial" w:hAnsi="Arial" w:cs="Arial"/>
        </w:rPr>
        <w:t xml:space="preserve"> </w:t>
      </w:r>
      <w:r w:rsidRPr="00DC1187">
        <w:rPr>
          <w:rFonts w:ascii="Arial" w:hAnsi="Arial" w:cs="Arial"/>
        </w:rPr>
        <w:t xml:space="preserve">Although the Malaysian Agricultural Research and Development Institute (MARDI) has developed new </w:t>
      </w:r>
      <w:proofErr w:type="spellStart"/>
      <w:r w:rsidRPr="00DC1187">
        <w:rPr>
          <w:rFonts w:ascii="Arial" w:hAnsi="Arial" w:cs="Arial"/>
        </w:rPr>
        <w:t>Liberica</w:t>
      </w:r>
      <w:proofErr w:type="spellEnd"/>
      <w:r w:rsidRPr="00DC1187">
        <w:rPr>
          <w:rFonts w:ascii="Arial" w:hAnsi="Arial" w:cs="Arial"/>
        </w:rPr>
        <w:t xml:space="preserve"> clones with improved yield potential and adaptability, </w:t>
      </w:r>
      <w:r w:rsidR="00E91640" w:rsidRPr="00E91640">
        <w:rPr>
          <w:rFonts w:ascii="Arial" w:hAnsi="Arial" w:cs="Arial"/>
        </w:rPr>
        <w:t xml:space="preserve">their performance under CLR pressure remains </w:t>
      </w:r>
      <w:proofErr w:type="gramStart"/>
      <w:r w:rsidR="00E91640" w:rsidRPr="00E91640">
        <w:rPr>
          <w:rFonts w:ascii="Arial" w:hAnsi="Arial" w:cs="Arial"/>
        </w:rPr>
        <w:t>unverified.</w:t>
      </w:r>
      <w:r>
        <w:rPr>
          <w:rFonts w:ascii="Arial" w:hAnsi="Arial" w:cs="Arial"/>
        </w:rPr>
        <w:t>.</w:t>
      </w:r>
      <w:proofErr w:type="gramEnd"/>
    </w:p>
    <w:p w14:paraId="6B3411E8" w14:textId="77777777" w:rsidR="00D62A6D" w:rsidRPr="0006342D" w:rsidRDefault="00D62A6D">
      <w:pPr>
        <w:spacing w:line="276" w:lineRule="auto"/>
        <w:jc w:val="both"/>
        <w:rPr>
          <w:rFonts w:ascii="Arial" w:eastAsia="Arial" w:hAnsi="Arial" w:cs="Arial"/>
        </w:rPr>
      </w:pPr>
    </w:p>
    <w:p w14:paraId="1E8ABE4A" w14:textId="77777777" w:rsidR="00BB68D7" w:rsidRPr="001D05E2" w:rsidRDefault="00BB68D7" w:rsidP="00BB68D7">
      <w:pPr>
        <w:spacing w:line="276" w:lineRule="auto"/>
        <w:jc w:val="both"/>
        <w:rPr>
          <w:rFonts w:ascii="Arial" w:eastAsia="Arial" w:hAnsi="Arial" w:cs="Arial"/>
        </w:rPr>
      </w:pPr>
      <w:r w:rsidRPr="00AC1BD5">
        <w:rPr>
          <w:rFonts w:ascii="Arial" w:eastAsia="Arial" w:hAnsi="Arial" w:cs="Arial"/>
        </w:rPr>
        <w:t>This study</w:t>
      </w:r>
      <w:r>
        <w:rPr>
          <w:rFonts w:ascii="Arial" w:eastAsia="Arial" w:hAnsi="Arial" w:cs="Arial"/>
        </w:rPr>
        <w:t>,</w:t>
      </w:r>
      <w:r w:rsidRPr="00AC1BD5">
        <w:rPr>
          <w:rFonts w:ascii="Arial" w:eastAsia="Arial" w:hAnsi="Arial" w:cs="Arial"/>
        </w:rPr>
        <w:t xml:space="preserve"> </w:t>
      </w:r>
      <w:r w:rsidRPr="00133233">
        <w:rPr>
          <w:rFonts w:ascii="Arial" w:eastAsia="Arial" w:hAnsi="Arial" w:cs="Arial"/>
        </w:rPr>
        <w:t>therefore, evaluated the impact</w:t>
      </w:r>
      <w:r>
        <w:rPr>
          <w:rFonts w:ascii="Arial" w:eastAsia="Arial" w:hAnsi="Arial" w:cs="Arial"/>
        </w:rPr>
        <w:t xml:space="preserve"> </w:t>
      </w:r>
      <w:r w:rsidRPr="000B6187">
        <w:rPr>
          <w:rFonts w:ascii="Arial" w:eastAsia="Arial" w:hAnsi="Arial" w:cs="Arial"/>
        </w:rPr>
        <w:t>of coffee leaf rust on berry yield in</w:t>
      </w:r>
      <w:r>
        <w:rPr>
          <w:rFonts w:ascii="Arial" w:eastAsia="Arial" w:hAnsi="Arial" w:cs="Arial"/>
        </w:rPr>
        <w:t xml:space="preserve"> five</w:t>
      </w:r>
      <w:r w:rsidRPr="000B6187">
        <w:rPr>
          <w:rFonts w:ascii="Arial" w:eastAsia="Arial" w:hAnsi="Arial" w:cs="Arial"/>
        </w:rPr>
        <w:t xml:space="preserve"> newly developed </w:t>
      </w:r>
      <w:r w:rsidRPr="000B6187">
        <w:rPr>
          <w:rFonts w:ascii="Arial" w:eastAsia="Arial" w:hAnsi="Arial" w:cs="Arial"/>
          <w:i/>
          <w:iCs/>
        </w:rPr>
        <w:t xml:space="preserve">C. </w:t>
      </w:r>
      <w:proofErr w:type="spellStart"/>
      <w:r w:rsidRPr="000B6187">
        <w:rPr>
          <w:rFonts w:ascii="Arial" w:eastAsia="Arial" w:hAnsi="Arial" w:cs="Arial"/>
          <w:i/>
          <w:iCs/>
        </w:rPr>
        <w:t>liberica</w:t>
      </w:r>
      <w:proofErr w:type="spellEnd"/>
      <w:r w:rsidRPr="000B6187">
        <w:rPr>
          <w:rFonts w:ascii="Arial" w:eastAsia="Arial" w:hAnsi="Arial" w:cs="Arial"/>
        </w:rPr>
        <w:t xml:space="preserve"> clones</w:t>
      </w:r>
      <w:r>
        <w:rPr>
          <w:rFonts w:ascii="Arial" w:eastAsia="Arial" w:hAnsi="Arial" w:cs="Arial"/>
        </w:rPr>
        <w:t xml:space="preserve"> grown</w:t>
      </w:r>
      <w:r w:rsidRPr="000B6187">
        <w:rPr>
          <w:rFonts w:ascii="Arial" w:eastAsia="Arial" w:hAnsi="Arial" w:cs="Arial"/>
        </w:rPr>
        <w:t xml:space="preserve"> under field conditions at MARDI Kluang, Malaysia, over </w:t>
      </w:r>
      <w:r>
        <w:rPr>
          <w:rFonts w:ascii="Arial" w:eastAsia="Arial" w:hAnsi="Arial" w:cs="Arial"/>
        </w:rPr>
        <w:t>two years</w:t>
      </w:r>
      <w:r w:rsidRPr="000B6187">
        <w:rPr>
          <w:rFonts w:ascii="Arial" w:eastAsia="Arial" w:hAnsi="Arial" w:cs="Arial"/>
        </w:rPr>
        <w:t xml:space="preserve">. Specifically, the study </w:t>
      </w:r>
      <w:r>
        <w:rPr>
          <w:rFonts w:ascii="Arial" w:eastAsia="Arial" w:hAnsi="Arial" w:cs="Arial"/>
        </w:rPr>
        <w:t>assessed</w:t>
      </w:r>
      <w:r w:rsidRPr="000B6187">
        <w:rPr>
          <w:rFonts w:ascii="Arial" w:eastAsia="Arial" w:hAnsi="Arial" w:cs="Arial"/>
        </w:rPr>
        <w:t xml:space="preserve"> </w:t>
      </w:r>
      <w:r>
        <w:rPr>
          <w:rFonts w:ascii="Arial" w:eastAsia="Arial" w:hAnsi="Arial" w:cs="Arial"/>
        </w:rPr>
        <w:t xml:space="preserve">the </w:t>
      </w:r>
      <w:r w:rsidRPr="00133233">
        <w:rPr>
          <w:rFonts w:ascii="Arial" w:eastAsia="Arial" w:hAnsi="Arial" w:cs="Arial"/>
        </w:rPr>
        <w:t>disease incidence</w:t>
      </w:r>
      <w:r>
        <w:rPr>
          <w:rFonts w:ascii="Arial" w:eastAsia="Arial" w:hAnsi="Arial" w:cs="Arial"/>
        </w:rPr>
        <w:t xml:space="preserve"> and</w:t>
      </w:r>
      <w:r w:rsidRPr="00133233">
        <w:rPr>
          <w:rFonts w:ascii="Arial" w:eastAsia="Arial" w:hAnsi="Arial" w:cs="Arial"/>
        </w:rPr>
        <w:t xml:space="preserve"> severity and their relationship with yield performance, with the aim of identifying clones that combine high productivity with tolerance to CLR</w:t>
      </w:r>
      <w:r w:rsidRPr="000B6187">
        <w:rPr>
          <w:rFonts w:ascii="Arial" w:eastAsia="Arial" w:hAnsi="Arial" w:cs="Arial"/>
        </w:rPr>
        <w:t xml:space="preserve">. </w:t>
      </w:r>
      <w:r>
        <w:rPr>
          <w:rFonts w:ascii="Arial" w:eastAsia="Arial" w:hAnsi="Arial" w:cs="Arial"/>
        </w:rPr>
        <w:t>The</w:t>
      </w:r>
      <w:r w:rsidRPr="000B6187">
        <w:rPr>
          <w:rFonts w:ascii="Arial" w:eastAsia="Arial" w:hAnsi="Arial" w:cs="Arial"/>
        </w:rPr>
        <w:t xml:space="preserve"> findings are expected to contribute to breeding strategies, guide cultivar selection for farmers, </w:t>
      </w:r>
      <w:r w:rsidRPr="00133233">
        <w:rPr>
          <w:rFonts w:ascii="Arial" w:eastAsia="Arial" w:hAnsi="Arial" w:cs="Arial"/>
        </w:rPr>
        <w:t>and strengthen the long-term sustainability of Malaysia’s coffee industry</w:t>
      </w:r>
      <w:r>
        <w:rPr>
          <w:rFonts w:ascii="Arial" w:eastAsia="Arial" w:hAnsi="Arial" w:cs="Arial"/>
        </w:rPr>
        <w:t>.</w:t>
      </w:r>
    </w:p>
    <w:p w14:paraId="4BB2E09E" w14:textId="77777777" w:rsidR="00BB68D7" w:rsidRDefault="00BB68D7" w:rsidP="00BB68D7">
      <w:pPr>
        <w:pBdr>
          <w:top w:val="nil"/>
          <w:left w:val="nil"/>
          <w:bottom w:val="nil"/>
          <w:right w:val="nil"/>
          <w:between w:val="nil"/>
        </w:pBdr>
        <w:spacing w:line="276" w:lineRule="auto"/>
        <w:jc w:val="both"/>
        <w:rPr>
          <w:rFonts w:ascii="Arial" w:eastAsia="Arial" w:hAnsi="Arial" w:cs="Arial"/>
          <w:color w:val="000000"/>
        </w:rPr>
      </w:pPr>
    </w:p>
    <w:p w14:paraId="28E56484" w14:textId="4B3FD2DD" w:rsidR="009C1ED2" w:rsidRPr="004C335C"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sidRPr="004C335C">
        <w:rPr>
          <w:rFonts w:ascii="Arial" w:eastAsia="Arial" w:hAnsi="Arial" w:cs="Arial"/>
          <w:b/>
          <w:smallCaps/>
          <w:color w:val="000000"/>
          <w:sz w:val="22"/>
          <w:szCs w:val="22"/>
        </w:rPr>
        <w:t xml:space="preserve">2. </w:t>
      </w:r>
      <w:proofErr w:type="spellStart"/>
      <w:r w:rsidRPr="00CA4A39">
        <w:rPr>
          <w:rFonts w:ascii="Arial" w:eastAsia="Arial" w:hAnsi="Arial" w:cs="Arial"/>
          <w:b/>
          <w:smallCaps/>
          <w:color w:val="000000"/>
          <w:sz w:val="22"/>
          <w:szCs w:val="22"/>
        </w:rPr>
        <w:t>material</w:t>
      </w:r>
      <w:r w:rsidR="00174DEF">
        <w:rPr>
          <w:rFonts w:ascii="Arial" w:eastAsia="Arial" w:hAnsi="Arial" w:cs="Arial"/>
          <w:b/>
          <w:smallCaps/>
          <w:color w:val="000000"/>
          <w:sz w:val="22"/>
          <w:szCs w:val="22"/>
        </w:rPr>
        <w:t>S</w:t>
      </w:r>
      <w:proofErr w:type="spellEnd"/>
      <w:r w:rsidRPr="00CA4A39">
        <w:rPr>
          <w:rFonts w:ascii="Arial" w:eastAsia="Arial" w:hAnsi="Arial" w:cs="Arial"/>
          <w:b/>
          <w:smallCaps/>
          <w:color w:val="000000"/>
          <w:sz w:val="22"/>
          <w:szCs w:val="22"/>
        </w:rPr>
        <w:t xml:space="preserve"> and methods</w:t>
      </w:r>
    </w:p>
    <w:p w14:paraId="034DD37B"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3570144" w14:textId="77777777" w:rsidR="00BB68D7" w:rsidRDefault="00BB68D7" w:rsidP="00BB68D7">
      <w:pPr>
        <w:spacing w:line="276" w:lineRule="auto"/>
        <w:jc w:val="both"/>
        <w:rPr>
          <w:rFonts w:ascii="Arial" w:eastAsia="Arial" w:hAnsi="Arial" w:cs="Arial"/>
        </w:rPr>
      </w:pPr>
      <w:r w:rsidRPr="00101554">
        <w:rPr>
          <w:rFonts w:ascii="Arial" w:eastAsia="Arial" w:hAnsi="Arial" w:cs="Arial"/>
        </w:rPr>
        <w:t>The experiment was conducted at the MARDI research station in Kluang, Johor, Malaysia (1°</w:t>
      </w:r>
      <w:r>
        <w:rPr>
          <w:rFonts w:ascii="Arial" w:eastAsia="Arial" w:hAnsi="Arial" w:cs="Arial"/>
        </w:rPr>
        <w:t>94</w:t>
      </w:r>
      <w:r w:rsidRPr="00101554">
        <w:rPr>
          <w:rFonts w:ascii="Arial" w:eastAsia="Arial" w:hAnsi="Arial" w:cs="Arial"/>
        </w:rPr>
        <w:t>′N, 103°</w:t>
      </w:r>
      <w:r>
        <w:rPr>
          <w:rFonts w:ascii="Arial" w:eastAsia="Arial" w:hAnsi="Arial" w:cs="Arial"/>
        </w:rPr>
        <w:t>36</w:t>
      </w:r>
      <w:r w:rsidRPr="00101554">
        <w:rPr>
          <w:rFonts w:ascii="Arial" w:eastAsia="Arial" w:hAnsi="Arial" w:cs="Arial"/>
        </w:rPr>
        <w:t xml:space="preserve">′E; altitude </w:t>
      </w:r>
      <w:r>
        <w:rPr>
          <w:rFonts w:ascii="Arial" w:eastAsia="Arial" w:hAnsi="Arial" w:cs="Arial"/>
        </w:rPr>
        <w:t>100</w:t>
      </w:r>
      <w:r w:rsidRPr="00101554">
        <w:rPr>
          <w:rFonts w:ascii="Arial" w:eastAsia="Arial" w:hAnsi="Arial" w:cs="Arial"/>
        </w:rPr>
        <w:t xml:space="preserve"> m </w:t>
      </w:r>
      <w:proofErr w:type="spellStart"/>
      <w:r w:rsidRPr="00101554">
        <w:rPr>
          <w:rFonts w:ascii="Arial" w:eastAsia="Arial" w:hAnsi="Arial" w:cs="Arial"/>
        </w:rPr>
        <w:t>a.s.l</w:t>
      </w:r>
      <w:proofErr w:type="spellEnd"/>
      <w:r w:rsidRPr="00101554">
        <w:rPr>
          <w:rFonts w:ascii="Arial" w:eastAsia="Arial" w:hAnsi="Arial" w:cs="Arial"/>
        </w:rPr>
        <w:t>.), which is characteri</w:t>
      </w:r>
      <w:r>
        <w:rPr>
          <w:rFonts w:ascii="Arial" w:eastAsia="Arial" w:hAnsi="Arial" w:cs="Arial"/>
        </w:rPr>
        <w:t>z</w:t>
      </w:r>
      <w:r w:rsidRPr="00101554">
        <w:rPr>
          <w:rFonts w:ascii="Arial" w:eastAsia="Arial" w:hAnsi="Arial" w:cs="Arial"/>
        </w:rPr>
        <w:t xml:space="preserve">ed by a humid tropical climate with an annual rainfall of </w:t>
      </w:r>
      <w:r>
        <w:rPr>
          <w:rFonts w:ascii="Arial" w:eastAsia="Arial" w:hAnsi="Arial" w:cs="Arial"/>
        </w:rPr>
        <w:t>&gt;</w:t>
      </w:r>
      <w:r w:rsidRPr="00101554">
        <w:rPr>
          <w:rFonts w:ascii="Arial" w:eastAsia="Arial" w:hAnsi="Arial" w:cs="Arial"/>
        </w:rPr>
        <w:t xml:space="preserve">2,200 mm and </w:t>
      </w:r>
      <w:r>
        <w:rPr>
          <w:rFonts w:ascii="Arial" w:eastAsia="Arial" w:hAnsi="Arial" w:cs="Arial"/>
        </w:rPr>
        <w:t xml:space="preserve">a </w:t>
      </w:r>
      <w:r w:rsidRPr="00101554">
        <w:rPr>
          <w:rFonts w:ascii="Arial" w:eastAsia="Arial" w:hAnsi="Arial" w:cs="Arial"/>
        </w:rPr>
        <w:t xml:space="preserve">mean temperature of 27 ± 2 °C. </w:t>
      </w:r>
      <w:r w:rsidRPr="00604B48">
        <w:rPr>
          <w:rFonts w:ascii="Arial" w:eastAsia="Arial" w:hAnsi="Arial" w:cs="Arial"/>
        </w:rPr>
        <w:t xml:space="preserve">The soils were classified as the </w:t>
      </w:r>
      <w:proofErr w:type="spellStart"/>
      <w:r w:rsidRPr="00604B48">
        <w:rPr>
          <w:rFonts w:ascii="Arial" w:eastAsia="Arial" w:hAnsi="Arial" w:cs="Arial"/>
        </w:rPr>
        <w:t>Rengam</w:t>
      </w:r>
      <w:proofErr w:type="spellEnd"/>
      <w:r w:rsidRPr="00604B48">
        <w:rPr>
          <w:rFonts w:ascii="Arial" w:eastAsia="Arial" w:hAnsi="Arial" w:cs="Arial"/>
        </w:rPr>
        <w:t xml:space="preserve"> Series soil, and the pH ranged between 5 and 6.</w:t>
      </w:r>
    </w:p>
    <w:p w14:paraId="4BD85D47" w14:textId="77777777" w:rsidR="00BB68D7" w:rsidRDefault="00BB68D7" w:rsidP="00BB68D7">
      <w:pPr>
        <w:spacing w:line="276" w:lineRule="auto"/>
        <w:jc w:val="both"/>
        <w:rPr>
          <w:rFonts w:ascii="Arial" w:eastAsia="Arial" w:hAnsi="Arial" w:cs="Arial"/>
        </w:rPr>
      </w:pPr>
    </w:p>
    <w:p w14:paraId="467F42E3" w14:textId="77777777" w:rsidR="00BB68D7" w:rsidRDefault="00BB68D7" w:rsidP="00BB68D7">
      <w:pPr>
        <w:spacing w:line="276" w:lineRule="auto"/>
        <w:jc w:val="both"/>
        <w:rPr>
          <w:rFonts w:ascii="Arial" w:eastAsia="Arial" w:hAnsi="Arial" w:cs="Arial"/>
          <w:b/>
        </w:rPr>
      </w:pPr>
      <w:r>
        <w:rPr>
          <w:rFonts w:ascii="Arial" w:eastAsia="Arial" w:hAnsi="Arial" w:cs="Arial"/>
          <w:b/>
          <w:smallCaps/>
          <w:sz w:val="22"/>
          <w:szCs w:val="22"/>
        </w:rPr>
        <w:t xml:space="preserve">2.2 </w:t>
      </w:r>
      <w:r w:rsidRPr="00117034">
        <w:rPr>
          <w:rFonts w:ascii="Arial" w:eastAsia="Arial" w:hAnsi="Arial" w:cs="Arial"/>
          <w:b/>
          <w:sz w:val="22"/>
          <w:szCs w:val="22"/>
        </w:rPr>
        <w:t>Coffee clones</w:t>
      </w:r>
    </w:p>
    <w:p w14:paraId="1B35CCFE" w14:textId="77777777" w:rsidR="00BB68D7" w:rsidRDefault="00BB68D7" w:rsidP="00BB68D7">
      <w:pPr>
        <w:spacing w:line="276" w:lineRule="auto"/>
        <w:jc w:val="both"/>
        <w:rPr>
          <w:rFonts w:ascii="Arial" w:eastAsia="Arial" w:hAnsi="Arial" w:cs="Arial"/>
        </w:rPr>
      </w:pPr>
      <w:r w:rsidRPr="006D39E5">
        <w:rPr>
          <w:rFonts w:ascii="Arial" w:eastAsia="Arial" w:hAnsi="Arial" w:cs="Arial"/>
        </w:rPr>
        <w:t xml:space="preserve">Five </w:t>
      </w:r>
      <w:proofErr w:type="spellStart"/>
      <w:r w:rsidRPr="00101554">
        <w:rPr>
          <w:rFonts w:ascii="Arial" w:eastAsia="Arial" w:hAnsi="Arial" w:cs="Arial"/>
          <w:i/>
          <w:iCs/>
        </w:rPr>
        <w:t>Coffea</w:t>
      </w:r>
      <w:proofErr w:type="spellEnd"/>
      <w:r w:rsidRPr="00101554">
        <w:rPr>
          <w:rFonts w:ascii="Arial" w:eastAsia="Arial" w:hAnsi="Arial" w:cs="Arial"/>
          <w:i/>
          <w:iCs/>
        </w:rPr>
        <w:t xml:space="preserve"> </w:t>
      </w:r>
      <w:proofErr w:type="spellStart"/>
      <w:r w:rsidRPr="00101554">
        <w:rPr>
          <w:rFonts w:ascii="Arial" w:eastAsia="Arial" w:hAnsi="Arial" w:cs="Arial"/>
          <w:i/>
          <w:iCs/>
        </w:rPr>
        <w:t>liberica</w:t>
      </w:r>
      <w:proofErr w:type="spellEnd"/>
      <w:r w:rsidRPr="006D39E5">
        <w:rPr>
          <w:rFonts w:ascii="Arial" w:eastAsia="Arial" w:hAnsi="Arial" w:cs="Arial"/>
        </w:rPr>
        <w:t xml:space="preserve"> clones were assessed: four newly developed clones (211, 213, 222, and 224) and one control clone (MKL 7), previously released by MARDI in 2008. All trees were approximately seven years old at the start of the trial. The planting distance was 2.5 m between trees within rows and 3.0 m between rows</w:t>
      </w:r>
      <w:r>
        <w:rPr>
          <w:rFonts w:ascii="Arial" w:eastAsia="Arial" w:hAnsi="Arial" w:cs="Arial"/>
        </w:rPr>
        <w:t>.</w:t>
      </w:r>
      <w:r w:rsidRPr="007155E7">
        <w:t xml:space="preserve"> </w:t>
      </w:r>
      <w:r w:rsidRPr="007155E7">
        <w:rPr>
          <w:rFonts w:ascii="Arial" w:eastAsia="Arial" w:hAnsi="Arial" w:cs="Arial"/>
        </w:rPr>
        <w:t xml:space="preserve">Standard agronomic practices recommended for </w:t>
      </w:r>
      <w:proofErr w:type="spellStart"/>
      <w:r w:rsidRPr="007155E7">
        <w:rPr>
          <w:rFonts w:ascii="Arial" w:eastAsia="Arial" w:hAnsi="Arial" w:cs="Arial"/>
        </w:rPr>
        <w:t>Liberica</w:t>
      </w:r>
      <w:proofErr w:type="spellEnd"/>
      <w:r w:rsidRPr="007155E7">
        <w:rPr>
          <w:rFonts w:ascii="Arial" w:eastAsia="Arial" w:hAnsi="Arial" w:cs="Arial"/>
        </w:rPr>
        <w:t xml:space="preserve"> coffee cultivation (weeding, fertili</w:t>
      </w:r>
      <w:r>
        <w:rPr>
          <w:rFonts w:ascii="Arial" w:eastAsia="Arial" w:hAnsi="Arial" w:cs="Arial"/>
        </w:rPr>
        <w:t>z</w:t>
      </w:r>
      <w:r w:rsidRPr="007155E7">
        <w:rPr>
          <w:rFonts w:ascii="Arial" w:eastAsia="Arial" w:hAnsi="Arial" w:cs="Arial"/>
        </w:rPr>
        <w:t>ation and pruning) were applied uniformly across all treatments, and no fungicides were used to allow natural disease development.</w:t>
      </w:r>
    </w:p>
    <w:p w14:paraId="7A05ED88" w14:textId="77777777" w:rsidR="00BB68D7" w:rsidRDefault="00BB68D7" w:rsidP="00BB68D7">
      <w:pPr>
        <w:spacing w:line="276" w:lineRule="auto"/>
        <w:jc w:val="both"/>
        <w:rPr>
          <w:rFonts w:ascii="Arial" w:eastAsia="Arial" w:hAnsi="Arial" w:cs="Arial"/>
        </w:rPr>
      </w:pPr>
    </w:p>
    <w:p w14:paraId="507682A0" w14:textId="77777777" w:rsidR="00BB68D7" w:rsidRPr="00117034" w:rsidRDefault="00BB68D7" w:rsidP="00BB68D7">
      <w:pPr>
        <w:spacing w:line="276" w:lineRule="auto"/>
        <w:jc w:val="both"/>
        <w:rPr>
          <w:rFonts w:ascii="Arial" w:eastAsia="Arial" w:hAnsi="Arial" w:cs="Arial"/>
          <w:b/>
          <w:sz w:val="22"/>
          <w:szCs w:val="22"/>
        </w:rPr>
      </w:pPr>
      <w:r w:rsidRPr="00117034">
        <w:rPr>
          <w:rFonts w:ascii="Arial" w:eastAsia="Arial" w:hAnsi="Arial" w:cs="Arial"/>
          <w:b/>
          <w:sz w:val="22"/>
          <w:szCs w:val="22"/>
        </w:rPr>
        <w:t xml:space="preserve">2.3 </w:t>
      </w:r>
      <w:r>
        <w:rPr>
          <w:rFonts w:ascii="Arial" w:eastAsia="Arial" w:hAnsi="Arial" w:cs="Arial"/>
          <w:b/>
          <w:sz w:val="22"/>
          <w:szCs w:val="22"/>
        </w:rPr>
        <w:t>D</w:t>
      </w:r>
      <w:r w:rsidRPr="00117034">
        <w:rPr>
          <w:rFonts w:ascii="Arial" w:eastAsia="Arial" w:hAnsi="Arial" w:cs="Arial"/>
          <w:b/>
          <w:sz w:val="22"/>
          <w:szCs w:val="22"/>
        </w:rPr>
        <w:t>isease</w:t>
      </w:r>
      <w:r>
        <w:rPr>
          <w:rFonts w:ascii="Arial" w:eastAsia="Arial" w:hAnsi="Arial" w:cs="Arial"/>
          <w:b/>
          <w:sz w:val="22"/>
          <w:szCs w:val="22"/>
        </w:rPr>
        <w:t xml:space="preserve"> and yield </w:t>
      </w:r>
      <w:r w:rsidRPr="00117034">
        <w:rPr>
          <w:rFonts w:ascii="Arial" w:eastAsia="Arial" w:hAnsi="Arial" w:cs="Arial"/>
          <w:b/>
          <w:sz w:val="22"/>
          <w:szCs w:val="22"/>
        </w:rPr>
        <w:t>measurement</w:t>
      </w:r>
    </w:p>
    <w:p w14:paraId="6D7E16A7" w14:textId="77777777" w:rsidR="00BB68D7" w:rsidRPr="00AF6CA0" w:rsidRDefault="00BB68D7" w:rsidP="00BB68D7">
      <w:pPr>
        <w:spacing w:line="276" w:lineRule="auto"/>
        <w:jc w:val="both"/>
        <w:rPr>
          <w:rFonts w:ascii="Arial" w:eastAsia="Arial" w:hAnsi="Arial" w:cs="Arial"/>
        </w:rPr>
      </w:pPr>
      <w:r w:rsidRPr="006D39E5">
        <w:rPr>
          <w:rFonts w:ascii="Arial" w:eastAsia="Arial" w:hAnsi="Arial" w:cs="Arial"/>
        </w:rPr>
        <w:t xml:space="preserve">Data on </w:t>
      </w:r>
      <w:r>
        <w:rPr>
          <w:rFonts w:ascii="Arial" w:eastAsia="Arial" w:hAnsi="Arial" w:cs="Arial"/>
        </w:rPr>
        <w:t xml:space="preserve">disease </w:t>
      </w:r>
      <w:r w:rsidRPr="006D39E5">
        <w:rPr>
          <w:rFonts w:ascii="Arial" w:eastAsia="Arial" w:hAnsi="Arial" w:cs="Arial"/>
        </w:rPr>
        <w:t>incidence</w:t>
      </w:r>
      <w:r>
        <w:rPr>
          <w:rFonts w:ascii="Arial" w:eastAsia="Arial" w:hAnsi="Arial" w:cs="Arial"/>
        </w:rPr>
        <w:t xml:space="preserve"> and</w:t>
      </w:r>
      <w:r w:rsidRPr="006D39E5">
        <w:rPr>
          <w:rFonts w:ascii="Arial" w:eastAsia="Arial" w:hAnsi="Arial" w:cs="Arial"/>
        </w:rPr>
        <w:t xml:space="preserve"> severity </w:t>
      </w:r>
      <w:r>
        <w:rPr>
          <w:rFonts w:ascii="Arial" w:eastAsia="Arial" w:hAnsi="Arial" w:cs="Arial"/>
        </w:rPr>
        <w:t xml:space="preserve">of </w:t>
      </w:r>
      <w:r w:rsidRPr="006D39E5">
        <w:rPr>
          <w:rFonts w:ascii="Arial" w:eastAsia="Arial" w:hAnsi="Arial" w:cs="Arial"/>
        </w:rPr>
        <w:t>coffee leaf rust (CLR)</w:t>
      </w:r>
      <w:r>
        <w:rPr>
          <w:rFonts w:ascii="Arial" w:eastAsia="Arial" w:hAnsi="Arial" w:cs="Arial"/>
        </w:rPr>
        <w:t>,</w:t>
      </w:r>
      <w:r w:rsidRPr="006D39E5">
        <w:rPr>
          <w:rFonts w:ascii="Arial" w:eastAsia="Arial" w:hAnsi="Arial" w:cs="Arial"/>
        </w:rPr>
        <w:t xml:space="preserve"> and </w:t>
      </w:r>
      <w:r>
        <w:rPr>
          <w:rFonts w:ascii="Arial" w:eastAsia="Arial" w:hAnsi="Arial" w:cs="Arial"/>
        </w:rPr>
        <w:t xml:space="preserve">also </w:t>
      </w:r>
      <w:r w:rsidRPr="006D39E5">
        <w:rPr>
          <w:rFonts w:ascii="Arial" w:eastAsia="Arial" w:hAnsi="Arial" w:cs="Arial"/>
        </w:rPr>
        <w:t>berry yield</w:t>
      </w:r>
      <w:r>
        <w:rPr>
          <w:rFonts w:ascii="Arial" w:eastAsia="Arial" w:hAnsi="Arial" w:cs="Arial"/>
        </w:rPr>
        <w:t>,</w:t>
      </w:r>
      <w:r w:rsidRPr="006D39E5">
        <w:rPr>
          <w:rFonts w:ascii="Arial" w:eastAsia="Arial" w:hAnsi="Arial" w:cs="Arial"/>
        </w:rPr>
        <w:t xml:space="preserve"> were collected monthly for two consecutive years: July 2021–June 2022 (Year 1) and July 2022–June 2023 (Year 2). To minimize border effects, disease and yield measurements were taken from trees located at the center of each plot, while outer rows served as guard plants.</w:t>
      </w:r>
    </w:p>
    <w:p w14:paraId="1937FF67" w14:textId="77777777" w:rsidR="00BB68D7" w:rsidRPr="00AF6CA0" w:rsidRDefault="00BB68D7" w:rsidP="00BB68D7">
      <w:pPr>
        <w:spacing w:line="276" w:lineRule="auto"/>
        <w:jc w:val="both"/>
        <w:rPr>
          <w:rFonts w:ascii="Arial" w:eastAsia="Arial" w:hAnsi="Arial" w:cs="Arial"/>
        </w:rPr>
      </w:pPr>
    </w:p>
    <w:p w14:paraId="144DDA47" w14:textId="77777777" w:rsidR="00BB68D7" w:rsidRPr="006D39E5" w:rsidRDefault="00BB68D7" w:rsidP="00BB68D7">
      <w:pPr>
        <w:spacing w:line="276" w:lineRule="auto"/>
        <w:jc w:val="both"/>
        <w:rPr>
          <w:rFonts w:ascii="Arial" w:eastAsia="Arial" w:hAnsi="Arial" w:cs="Arial"/>
          <w:b/>
          <w:bCs/>
          <w:i/>
          <w:iCs/>
        </w:rPr>
      </w:pPr>
      <w:r w:rsidRPr="006D39E5">
        <w:rPr>
          <w:rFonts w:ascii="Arial" w:eastAsia="Arial" w:hAnsi="Arial" w:cs="Arial"/>
          <w:b/>
          <w:bCs/>
          <w:i/>
          <w:iCs/>
        </w:rPr>
        <w:t xml:space="preserve">Yield </w:t>
      </w:r>
      <w:r w:rsidRPr="007155E7">
        <w:rPr>
          <w:rFonts w:ascii="Arial" w:eastAsia="Arial" w:hAnsi="Arial" w:cs="Arial"/>
          <w:b/>
          <w:bCs/>
          <w:i/>
          <w:iCs/>
        </w:rPr>
        <w:t>measurement</w:t>
      </w:r>
    </w:p>
    <w:p w14:paraId="09BB90B1" w14:textId="77777777" w:rsidR="00BB68D7" w:rsidRPr="00B51CA7" w:rsidRDefault="00BB68D7" w:rsidP="00BB68D7">
      <w:pPr>
        <w:spacing w:line="276" w:lineRule="auto"/>
        <w:jc w:val="both"/>
        <w:rPr>
          <w:rFonts w:ascii="Arial" w:eastAsia="Arial" w:hAnsi="Arial" w:cs="Arial"/>
        </w:rPr>
      </w:pPr>
      <w:r w:rsidRPr="00B51CA7">
        <w:rPr>
          <w:rFonts w:ascii="Arial" w:eastAsia="Arial" w:hAnsi="Arial" w:cs="Arial"/>
        </w:rPr>
        <w:t xml:space="preserve">Ripe coffee berries were manually harvested at monthly intervals from July 2021 to June 2023. Harvesting was performed at peak physiological maturity, identified by a uniform transition in skin color from </w:t>
      </w:r>
      <w:r>
        <w:rPr>
          <w:rFonts w:ascii="Arial" w:eastAsia="Arial" w:hAnsi="Arial" w:cs="Arial"/>
        </w:rPr>
        <w:t xml:space="preserve">green to </w:t>
      </w:r>
      <w:r w:rsidRPr="00B51CA7">
        <w:rPr>
          <w:rFonts w:ascii="Arial" w:eastAsia="Arial" w:hAnsi="Arial" w:cs="Arial"/>
        </w:rPr>
        <w:t>orange-red</w:t>
      </w:r>
      <w:r>
        <w:rPr>
          <w:rFonts w:ascii="Arial" w:eastAsia="Arial" w:hAnsi="Arial" w:cs="Arial"/>
        </w:rPr>
        <w:t xml:space="preserve"> or</w:t>
      </w:r>
      <w:r w:rsidRPr="00B51CA7">
        <w:rPr>
          <w:rFonts w:ascii="Arial" w:eastAsia="Arial" w:hAnsi="Arial" w:cs="Arial"/>
        </w:rPr>
        <w:t xml:space="preserve"> full-red. Immediately after collection, fresh berries were weighed using a digital balance (±0.01 g accuracy) to determine yield per tree.</w:t>
      </w:r>
    </w:p>
    <w:p w14:paraId="7BAA80EF" w14:textId="77777777" w:rsidR="00BB68D7" w:rsidRPr="00B51CA7" w:rsidRDefault="00BB68D7" w:rsidP="00BB68D7">
      <w:pPr>
        <w:spacing w:line="276" w:lineRule="auto"/>
        <w:jc w:val="both"/>
        <w:rPr>
          <w:rFonts w:ascii="Arial" w:eastAsia="Arial" w:hAnsi="Arial" w:cs="Arial"/>
        </w:rPr>
      </w:pPr>
    </w:p>
    <w:p w14:paraId="57213839" w14:textId="77777777" w:rsidR="00BB68D7" w:rsidRDefault="00BB68D7" w:rsidP="00BB68D7">
      <w:pPr>
        <w:spacing w:line="276" w:lineRule="auto"/>
        <w:jc w:val="both"/>
        <w:rPr>
          <w:rFonts w:ascii="Arial" w:eastAsia="Arial" w:hAnsi="Arial" w:cs="Arial"/>
        </w:rPr>
      </w:pPr>
      <w:r>
        <w:rPr>
          <w:rFonts w:ascii="Arial" w:eastAsia="Arial" w:hAnsi="Arial" w:cs="Arial"/>
        </w:rPr>
        <w:t>Y</w:t>
      </w:r>
      <w:r w:rsidRPr="00B51CA7">
        <w:rPr>
          <w:rFonts w:ascii="Arial" w:eastAsia="Arial" w:hAnsi="Arial" w:cs="Arial"/>
        </w:rPr>
        <w:t>ield was expressed as mean fresh berry weight per tree per month. Cumulative annual yield for each clone was calculated by summing monthly harvests across the 12-month cycle. Yield stability between years was assessed by comparing mean annual values for Year 1 and Year 2.</w:t>
      </w:r>
    </w:p>
    <w:p w14:paraId="3076D606" w14:textId="77777777" w:rsidR="00BB68D7" w:rsidRDefault="00BB68D7" w:rsidP="00BB68D7">
      <w:pPr>
        <w:spacing w:line="276" w:lineRule="auto"/>
        <w:jc w:val="both"/>
        <w:rPr>
          <w:rFonts w:ascii="Arial" w:eastAsia="Arial" w:hAnsi="Arial" w:cs="Arial"/>
        </w:rPr>
      </w:pPr>
    </w:p>
    <w:p w14:paraId="59FD6C8F" w14:textId="77777777" w:rsidR="00BB68D7" w:rsidRPr="006D39E5" w:rsidRDefault="00BB68D7" w:rsidP="00BB68D7">
      <w:pPr>
        <w:spacing w:line="276" w:lineRule="auto"/>
        <w:jc w:val="both"/>
        <w:rPr>
          <w:rFonts w:ascii="Arial" w:eastAsia="Arial" w:hAnsi="Arial" w:cs="Arial"/>
          <w:b/>
          <w:bCs/>
          <w:i/>
          <w:iCs/>
        </w:rPr>
      </w:pPr>
      <w:r w:rsidRPr="00101554">
        <w:rPr>
          <w:rFonts w:ascii="Arial" w:eastAsia="Arial" w:hAnsi="Arial" w:cs="Arial"/>
          <w:b/>
          <w:bCs/>
          <w:i/>
          <w:iCs/>
        </w:rPr>
        <w:t>Disease assessment</w:t>
      </w:r>
    </w:p>
    <w:p w14:paraId="6A3A959E" w14:textId="77777777" w:rsidR="00BB68D7" w:rsidRPr="00AF6CA0" w:rsidRDefault="00BB68D7" w:rsidP="00BB68D7">
      <w:pPr>
        <w:spacing w:line="276" w:lineRule="auto"/>
        <w:jc w:val="both"/>
        <w:rPr>
          <w:rFonts w:ascii="Arial" w:eastAsia="Arial" w:hAnsi="Arial" w:cs="Arial"/>
        </w:rPr>
      </w:pPr>
      <w:r w:rsidRPr="00B51CA7">
        <w:rPr>
          <w:rFonts w:ascii="Arial" w:eastAsia="Arial" w:hAnsi="Arial" w:cs="Arial"/>
        </w:rPr>
        <w:t xml:space="preserve">Coffee leaf rust (CLR) incidence and severity were assessed monthly on each tree throughout the study period (July 2021–June 2023). </w:t>
      </w:r>
      <w:r>
        <w:rPr>
          <w:rFonts w:ascii="Arial" w:eastAsia="Arial" w:hAnsi="Arial" w:cs="Arial"/>
        </w:rPr>
        <w:t>For assessing</w:t>
      </w:r>
      <w:r w:rsidRPr="001F607A">
        <w:rPr>
          <w:rFonts w:ascii="Arial" w:eastAsia="Arial" w:hAnsi="Arial" w:cs="Arial"/>
        </w:rPr>
        <w:t xml:space="preserve"> incidence, fully expanded leaves were sampled from the four canopy quadrants at three vertical positions (upper, middle, and lower plagiotropic branches). The number of symptomatic and asymptomatic leaves was recorded, and disease incidence (DI) was calculated as:</w:t>
      </w:r>
    </w:p>
    <w:p w14:paraId="648ACF46" w14:textId="77777777" w:rsidR="00BB68D7" w:rsidRPr="00AF6CA0" w:rsidRDefault="00BB68D7" w:rsidP="00BB68D7">
      <w:pPr>
        <w:jc w:val="center"/>
        <w:rPr>
          <w:rFonts w:ascii="Arial" w:eastAsia="Cambria Math" w:hAnsi="Arial" w:cs="Arial"/>
        </w:rPr>
      </w:pPr>
      <m:oMathPara>
        <m:oMath>
          <m:r>
            <w:rPr>
              <w:rFonts w:ascii="Cambria Math" w:eastAsia="Cambria Math" w:hAnsi="Cambria Math" w:cs="Arial"/>
            </w:rPr>
            <m:t xml:space="preserve">DI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Cambria Math" w:hAnsi="Cambria Math" w:cs="Arial"/>
                </w:rPr>
                <m:t>Total number of infected leaves</m:t>
              </m:r>
            </m:num>
            <m:den>
              <m:r>
                <w:rPr>
                  <w:rFonts w:ascii="Cambria Math" w:eastAsia="Cambria Math" w:hAnsi="Cambria Math" w:cs="Arial"/>
                </w:rPr>
                <m:t>Total number of sampled leaves</m:t>
              </m:r>
            </m:den>
          </m:f>
          <m:r>
            <w:rPr>
              <w:rFonts w:ascii="Cambria Math" w:eastAsia="Cambria Math" w:hAnsi="Cambria Math" w:cs="Arial"/>
            </w:rPr>
            <m:t>×100</m:t>
          </m:r>
        </m:oMath>
      </m:oMathPara>
    </w:p>
    <w:p w14:paraId="3C3E9A74" w14:textId="77777777" w:rsidR="00BB68D7" w:rsidRPr="00AF6CA0" w:rsidRDefault="00BB68D7" w:rsidP="00BB68D7">
      <w:pPr>
        <w:spacing w:line="276" w:lineRule="auto"/>
        <w:jc w:val="both"/>
        <w:rPr>
          <w:rFonts w:ascii="Arial" w:eastAsia="Arial" w:hAnsi="Arial" w:cs="Arial"/>
        </w:rPr>
      </w:pPr>
      <w:r w:rsidRPr="006D39E5">
        <w:rPr>
          <w:rFonts w:ascii="Arial" w:eastAsia="Arial" w:hAnsi="Arial" w:cs="Arial"/>
        </w:rPr>
        <w:t>Rust severity was assessed visually using the 0–9 scale</w:t>
      </w:r>
      <w:r>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{"citationItems":[{"id":"ITEM-1","itemData":{"author":[{"dropping-particle":"","family":"Eskes","given":"A. B.","non-dropping-particle":"","parse-names":false,"suffix":""},{"dropping-particle":"","family":"Toma-Braghini","given":"M.","non-dropping-particle":"","parse-names":false,"suffix":""}],"container-title":"Plant Protection Bulletin FAO","id":"ITEM-1","issue":"3/4","issued":{"date-parts":[["1981"]]},"page":"56-66","title":"Assessment methods for resistance to coffee leaf rust (&lt;i&gt;Hemileia vastatrix&lt;/i&gt; Berk. &amp; Br.)","type":"article-magazine","volume":"29"},"uris":["http://www.mendeley.com/documents/?uuid=7a3d9060-2c46-4caf-84bb-971f60e68395","http://www.mendeley.com/documents/?uuid=af6274e6-c3ff-4b21-b97a-cdf9551b9f4e"]}],"mendeley":{"formattedCitation":"(Eskes &amp; Toma-Braghini, 1981)","manualFormatting":"(Eskes and Toma-Braghini, 1981)","plainTextFormattedCitation":"(Eskes &amp; Toma-Braghini, 1981)","previouslyFormattedCitation":"(Eskes &amp; Toma-Braghini, 1981)"},"properties":{"noteIndex":0},"schema":"https://github.com/citation-style-language/schema/raw/master/csl-citation.json"}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(Eskes and Toma-Braghini, 1981)</w:t>
      </w:r>
      <w:r w:rsidRPr="00AF6CA0">
        <w:rPr>
          <w:rFonts w:ascii="Arial" w:hAnsi="Arial" w:cs="Arial"/>
        </w:rPr>
        <w:fldChar w:fldCharType="end"/>
      </w:r>
      <w:r>
        <w:rPr>
          <w:rFonts w:ascii="Arial" w:eastAsia="Arial" w:hAnsi="Arial" w:cs="Arial"/>
        </w:rPr>
        <w:t xml:space="preserve">, </w:t>
      </w:r>
      <w:r w:rsidRPr="006D39E5">
        <w:rPr>
          <w:rFonts w:ascii="Arial" w:eastAsia="Arial" w:hAnsi="Arial" w:cs="Arial"/>
        </w:rPr>
        <w:t>where 0 = no visible symptoms and 9 = severe sporulation and tissue damage. The disease severity index (DSI) was calculated following</w:t>
      </w:r>
      <w:r>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{"citationItems":[{"id":"ITEM-1","itemData":{"DOI":"10.1111/j.1365-3059.2011.02472.x","ISSN":"00320862","abstract":"A standard area diagram (SAD) set to aid assessment of the severity of coffee leaf rust (Hemileia vastatrix) was prepared and validated, and the characteristics of the rust lesions on Coffea arabica and C. canephora leaves were compared. The results indicated that the lesions were similar, so one scale could be used to evaluate the severity of rust on both species. The proposed SAD set contains illustrations of leaves with six disease severities (2·5, 5, 10, 20, 40 and 80%). The SAD set was validated by 10 raters with no previous experience of disease evaluation. The severity of rust was first estimated without using the SADs, and the same raters assessed the leaves again using the SADs. Regression analysis and Lin's concordance correlation (ρc) analysis of estimated against actual disease severity showed precision and accuracy was significantly better using the SADs, for most raters, with improvements in both the slope and intercept of the regressions, and the values of u, υ (components of accuracy and precision of the ρc) and ρc improved to 60, 70 and 90% of raters, respectively, when the SADs were used. The absolute error was ≤38% without the SADs, and ≤22% with them. Severity estimates were more reliable using the SADs (R2=0·70-1·00 unaided, and R2=0·80-1·00 using the SADs). The SAD set improved rater assessments for the estimation of arabica and conilon rust severity, and can be used for assessing rust severity for many purposes, including plant breeding, fungicide screening and pathotype characterization. No claim to original US government works. Plant Pathology © 2011 BSPP.","author":[{"dropping-particle":"","family":"Capucho","given":"A. S.","non-dropping-particle":"","parse-names":false,"suffix":""},{"dropping-particle":"","family":"Zambolim","given":"L.","non-dropping-particle":"","parse-names":false,"suffix":""},{"dropping-particle":"","family":"Duarte","given":"H. S.S.","non-dropping-particle":"","parse-names":false,"suffix":""},{"dropping-particle":"","family":"Vaz","given":"G. R.O.","non-dropping-particle":"","parse-names":false,"suffix":""}],"container-title":"Plant Pathology","id":"ITEM-1","issue":"6","issued":{"date-parts":[["2011"]]},"page":"1144-1150","title":"Development and validation of a standard area diagram set to estimate severity of leaf rust in &lt;i&gt;Coffea arabica&lt;/i&gt; and &lt;i&gt;C. canephora&lt;/i&gt;","type":"article-journal","volume":"60"},"uris":["http://www.mendeley.com/documents/?uuid=16a03191-554e-43eb-91e1-ca4c8e422dcc","http://www.mendeley.com/documents/?uuid=c81a9ca0-b439-4a28-b0f0-42de708c1a68"]}],"mendeley":{"formattedCitation":"(Capucho et al., 2011)","plainTextFormattedCitation":"(Capucho et al., 2011)","previouslyFormattedCitation":"(Capucho et al., 2011)"},"properties":{"noteIndex":0},"schema":"https://github.com/citation-style-language/schema/raw/master/csl-citation.json"}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(Capucho et al., 2011)</w:t>
      </w:r>
      <w:r w:rsidRPr="00AF6CA0">
        <w:rPr>
          <w:rFonts w:ascii="Arial" w:hAnsi="Arial" w:cs="Arial"/>
        </w:rPr>
        <w:fldChar w:fldCharType="end"/>
      </w:r>
      <w:r w:rsidRPr="00AF6CA0">
        <w:rPr>
          <w:rFonts w:ascii="Arial" w:eastAsia="Arial" w:hAnsi="Arial" w:cs="Arial"/>
        </w:rPr>
        <w:t xml:space="preserve">: </w:t>
      </w:r>
    </w:p>
    <w:p w14:paraId="48B82ECE" w14:textId="77777777" w:rsidR="00BB68D7" w:rsidRPr="00AF6CA0" w:rsidRDefault="00BB68D7" w:rsidP="00BB68D7">
      <w:pPr>
        <w:jc w:val="center"/>
        <w:rPr>
          <w:rFonts w:ascii="Arial" w:eastAsia="Cambria Math" w:hAnsi="Arial" w:cs="Arial"/>
        </w:rPr>
      </w:pPr>
      <m:oMathPara>
        <m:oMath>
          <m:r>
            <w:rPr>
              <w:rFonts w:ascii="Cambria Math" w:eastAsia="Cambria Math" w:hAnsi="Cambria Math" w:cs="Arial"/>
            </w:rPr>
            <m:t xml:space="preserve">DSI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Arial" w:hAnsi="Cambria Math" w:cs="Arial"/>
                </w:rPr>
                <m:t>Σ</m:t>
              </m:r>
              <m:d>
                <m:dPr>
                  <m:ctrlPr>
                    <w:rPr>
                      <w:rFonts w:ascii="Cambria Math" w:eastAsia="Cambria Math" w:hAnsi="Cambria Math" w:cs="Arial"/>
                    </w:rPr>
                  </m:ctrlPr>
                </m:dPr>
                <m:e>
                  <m:r>
                    <w:rPr>
                      <w:rFonts w:ascii="Cambria Math" w:eastAsia="Cambria Math" w:hAnsi="Cambria Math" w:cs="Arial"/>
                    </w:rPr>
                    <m:t>a × b</m:t>
                  </m:r>
                </m:e>
              </m:d>
            </m:num>
            <m:den>
              <m:r>
                <w:rPr>
                  <w:rFonts w:ascii="Cambria Math" w:eastAsia="Cambria Math" w:hAnsi="Cambria Math" w:cs="Arial"/>
                </w:rPr>
                <m:t>Z×N</m:t>
              </m:r>
            </m:den>
          </m:f>
          <m:r>
            <w:rPr>
              <w:rFonts w:ascii="Cambria Math" w:eastAsia="Cambria Math" w:hAnsi="Cambria Math" w:cs="Arial"/>
            </w:rPr>
            <m:t>×100</m:t>
          </m:r>
        </m:oMath>
      </m:oMathPara>
    </w:p>
    <w:p w14:paraId="5CE8666E" w14:textId="77777777" w:rsidR="00BB68D7" w:rsidRPr="00AF6CA0" w:rsidRDefault="00BB68D7" w:rsidP="00BB68D7">
      <w:pPr>
        <w:jc w:val="both"/>
        <w:rPr>
          <w:rFonts w:ascii="Arial" w:eastAsia="Arial" w:hAnsi="Arial" w:cs="Arial"/>
        </w:rPr>
      </w:pPr>
      <w:r w:rsidRPr="006D39E5">
        <w:rPr>
          <w:rFonts w:ascii="Arial" w:eastAsia="Arial" w:hAnsi="Arial" w:cs="Arial"/>
        </w:rPr>
        <w:t>where a = number of symptomatic leaves, b = severity score, Z = maximum severity score (9), and N = total number of sampled leaves</w:t>
      </w:r>
      <w:r w:rsidRPr="00AF6CA0">
        <w:rPr>
          <w:rFonts w:ascii="Arial" w:eastAsia="Arial" w:hAnsi="Arial" w:cs="Arial"/>
        </w:rPr>
        <w:t xml:space="preserve">. </w:t>
      </w:r>
    </w:p>
    <w:p w14:paraId="5AAE82BE" w14:textId="77777777" w:rsidR="00BB68D7" w:rsidRDefault="00BB68D7" w:rsidP="00BB68D7">
      <w:pPr>
        <w:spacing w:line="276" w:lineRule="auto"/>
        <w:jc w:val="both"/>
        <w:rPr>
          <w:rFonts w:ascii="Arial" w:eastAsia="Arial" w:hAnsi="Arial" w:cs="Arial"/>
        </w:rPr>
      </w:pPr>
    </w:p>
    <w:p w14:paraId="73DAABBB" w14:textId="77777777" w:rsidR="00BB68D7" w:rsidRDefault="00BB68D7" w:rsidP="00BB68D7">
      <w:pPr>
        <w:spacing w:line="276" w:lineRule="auto"/>
        <w:jc w:val="both"/>
        <w:rPr>
          <w:rFonts w:ascii="Arial" w:eastAsia="Arial" w:hAnsi="Arial" w:cs="Arial"/>
          <w:b/>
          <w:sz w:val="22"/>
          <w:szCs w:val="22"/>
        </w:rPr>
      </w:pPr>
      <w:r>
        <w:rPr>
          <w:rFonts w:ascii="Arial" w:eastAsia="Arial" w:hAnsi="Arial" w:cs="Arial"/>
          <w:b/>
          <w:sz w:val="22"/>
          <w:szCs w:val="22"/>
        </w:rPr>
        <w:t>2.4 Experimental design and data analysis</w:t>
      </w:r>
    </w:p>
    <w:p w14:paraId="26FB16AD" w14:textId="77777777" w:rsidR="00BB68D7" w:rsidRDefault="00BB68D7" w:rsidP="00BB68D7">
      <w:pPr>
        <w:spacing w:line="276" w:lineRule="auto"/>
        <w:jc w:val="both"/>
        <w:rPr>
          <w:rFonts w:ascii="Arial" w:eastAsia="Arial" w:hAnsi="Arial" w:cs="Arial"/>
        </w:rPr>
      </w:pPr>
      <w:r w:rsidRPr="006D39E5">
        <w:rPr>
          <w:rFonts w:ascii="Arial" w:eastAsia="Arial" w:hAnsi="Arial" w:cs="Arial"/>
        </w:rPr>
        <w:lastRenderedPageBreak/>
        <w:t>The experiment was arranged in a completely randomized block design with three replicates. Each block contained five plots, representing the five clones, with each plot comprising at least 20 uniform coffee trees</w:t>
      </w:r>
      <w:r>
        <w:rPr>
          <w:rFonts w:ascii="Arial" w:eastAsia="Arial" w:hAnsi="Arial" w:cs="Arial"/>
        </w:rPr>
        <w:t>.</w:t>
      </w:r>
    </w:p>
    <w:p w14:paraId="09A1BA80" w14:textId="77777777" w:rsidR="00BB68D7" w:rsidRDefault="00BB68D7" w:rsidP="00BB68D7">
      <w:pPr>
        <w:spacing w:line="276" w:lineRule="auto"/>
        <w:jc w:val="both"/>
        <w:rPr>
          <w:rFonts w:ascii="Arial" w:eastAsia="Arial" w:hAnsi="Arial" w:cs="Arial"/>
        </w:rPr>
      </w:pPr>
    </w:p>
    <w:p w14:paraId="1C7C7733" w14:textId="77777777" w:rsidR="00BB68D7" w:rsidRDefault="00BB68D7" w:rsidP="00BB68D7">
      <w:pPr>
        <w:spacing w:line="276" w:lineRule="auto"/>
        <w:jc w:val="both"/>
        <w:rPr>
          <w:rFonts w:ascii="Arial" w:eastAsia="Arial" w:hAnsi="Arial" w:cs="Arial"/>
        </w:rPr>
      </w:pPr>
      <w:r w:rsidRPr="006D39E5">
        <w:rPr>
          <w:rFonts w:ascii="Arial" w:eastAsia="Arial" w:hAnsi="Arial" w:cs="Arial"/>
        </w:rPr>
        <w:t xml:space="preserve">The assumptions of normality and homogeneity of variances were tested prior to analysis. Data on yield, </w:t>
      </w:r>
      <w:r>
        <w:rPr>
          <w:rFonts w:ascii="Arial" w:eastAsia="Arial" w:hAnsi="Arial" w:cs="Arial"/>
        </w:rPr>
        <w:t>disease incidence</w:t>
      </w:r>
      <w:r w:rsidRPr="006D39E5">
        <w:rPr>
          <w:rFonts w:ascii="Arial" w:eastAsia="Arial" w:hAnsi="Arial" w:cs="Arial"/>
        </w:rPr>
        <w:t xml:space="preserve"> and </w:t>
      </w:r>
      <w:r>
        <w:rPr>
          <w:rFonts w:ascii="Arial" w:eastAsia="Arial" w:hAnsi="Arial" w:cs="Arial"/>
        </w:rPr>
        <w:t>disease severity index</w:t>
      </w:r>
      <w:r w:rsidRPr="006D39E5">
        <w:rPr>
          <w:rFonts w:ascii="Arial" w:eastAsia="Arial" w:hAnsi="Arial" w:cs="Arial"/>
        </w:rPr>
        <w:t xml:space="preserve"> were subjected to analysis of variance (ANOVA). When significant differences were detected, mean separation was performed using Tukey’s test at the 5% probability level. Pearson’s correlation coefficient</w:t>
      </w:r>
      <w:r>
        <w:rPr>
          <w:rFonts w:ascii="Arial" w:eastAsia="Arial" w:hAnsi="Arial" w:cs="Arial"/>
        </w:rPr>
        <w:t>s</w:t>
      </w:r>
      <w:r w:rsidRPr="006D39E5">
        <w:rPr>
          <w:rFonts w:ascii="Arial" w:eastAsia="Arial" w:hAnsi="Arial" w:cs="Arial"/>
        </w:rPr>
        <w:t xml:space="preserve"> (r) </w:t>
      </w:r>
      <w:r>
        <w:rPr>
          <w:rFonts w:ascii="Arial" w:eastAsia="Arial" w:hAnsi="Arial" w:cs="Arial"/>
        </w:rPr>
        <w:t>were calculated to assess</w:t>
      </w:r>
      <w:r w:rsidRPr="006D39E5">
        <w:rPr>
          <w:rFonts w:ascii="Arial" w:eastAsia="Arial" w:hAnsi="Arial" w:cs="Arial"/>
        </w:rPr>
        <w:t xml:space="preserve"> the relationships between berry yield and </w:t>
      </w:r>
      <w:r>
        <w:rPr>
          <w:rFonts w:ascii="Arial" w:eastAsia="Arial" w:hAnsi="Arial" w:cs="Arial"/>
        </w:rPr>
        <w:t>disease parameters (</w:t>
      </w:r>
      <w:r w:rsidRPr="006D39E5">
        <w:rPr>
          <w:rFonts w:ascii="Arial" w:eastAsia="Arial" w:hAnsi="Arial" w:cs="Arial"/>
        </w:rPr>
        <w:t>incidence and severity</w:t>
      </w:r>
      <w:r>
        <w:rPr>
          <w:rFonts w:ascii="Arial" w:eastAsia="Arial" w:hAnsi="Arial" w:cs="Arial"/>
        </w:rPr>
        <w:t>)</w:t>
      </w:r>
      <w:r w:rsidRPr="006D39E5">
        <w:rPr>
          <w:rFonts w:ascii="Arial" w:eastAsia="Arial" w:hAnsi="Arial" w:cs="Arial"/>
        </w:rPr>
        <w:t xml:space="preserve">. </w:t>
      </w:r>
      <w:r w:rsidRPr="00101554">
        <w:rPr>
          <w:rFonts w:ascii="Arial" w:eastAsia="Arial" w:hAnsi="Arial" w:cs="Arial"/>
        </w:rPr>
        <w:t>All statistical analyses were performed using</w:t>
      </w:r>
      <w:r>
        <w:rPr>
          <w:rFonts w:ascii="Arial" w:eastAsia="Arial" w:hAnsi="Arial" w:cs="Arial"/>
        </w:rPr>
        <w:t xml:space="preserve"> </w:t>
      </w:r>
      <w:r w:rsidRPr="006D39E5">
        <w:rPr>
          <w:rFonts w:ascii="Arial" w:eastAsia="Arial" w:hAnsi="Arial" w:cs="Arial"/>
        </w:rPr>
        <w:t>SAS version 9.4 (Statistical Analysis System, Cary, NC, USA).</w:t>
      </w:r>
    </w:p>
    <w:p w14:paraId="49D4684A" w14:textId="77777777" w:rsidR="006D39E5" w:rsidRDefault="006D39E5">
      <w:pPr>
        <w:spacing w:line="276" w:lineRule="auto"/>
        <w:jc w:val="both"/>
        <w:rPr>
          <w:rFonts w:ascii="Arial" w:eastAsia="Arial" w:hAnsi="Arial" w:cs="Arial"/>
        </w:rPr>
      </w:pPr>
    </w:p>
    <w:p w14:paraId="5E22A4FB"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bookmarkStart w:id="0" w:name="_heading=h.1fob9te" w:colFirst="0" w:colLast="0"/>
      <w:bookmarkEnd w:id="0"/>
      <w:r>
        <w:rPr>
          <w:rFonts w:ascii="Arial" w:eastAsia="Arial" w:hAnsi="Arial" w:cs="Arial"/>
          <w:b/>
          <w:smallCaps/>
          <w:color w:val="000000"/>
          <w:sz w:val="22"/>
          <w:szCs w:val="22"/>
        </w:rPr>
        <w:t>3. results and discussion</w:t>
      </w:r>
    </w:p>
    <w:p w14:paraId="72202818"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6AF04AC" w14:textId="3D80A1AB" w:rsidR="009C1ED2" w:rsidRDefault="00E37E9E">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sidR="00051FB6" w:rsidRPr="00051FB6">
        <w:rPr>
          <w:rFonts w:ascii="Arial" w:eastAsia="Arial" w:hAnsi="Arial" w:cs="Arial"/>
          <w:b/>
          <w:color w:val="000000"/>
          <w:sz w:val="22"/>
          <w:szCs w:val="22"/>
        </w:rPr>
        <w:t xml:space="preserve">Yield </w:t>
      </w:r>
      <w:r w:rsidR="00D14F1C">
        <w:rPr>
          <w:rFonts w:ascii="Arial" w:eastAsia="Arial" w:hAnsi="Arial" w:cs="Arial"/>
          <w:b/>
          <w:color w:val="000000"/>
          <w:sz w:val="22"/>
          <w:szCs w:val="22"/>
        </w:rPr>
        <w:t>dynamics</w:t>
      </w:r>
      <w:r w:rsidR="00051FB6" w:rsidRPr="00051FB6">
        <w:rPr>
          <w:rFonts w:ascii="Arial" w:eastAsia="Arial" w:hAnsi="Arial" w:cs="Arial"/>
          <w:b/>
          <w:color w:val="000000"/>
          <w:sz w:val="22"/>
          <w:szCs w:val="22"/>
        </w:rPr>
        <w:t xml:space="preserve"> of </w:t>
      </w:r>
      <w:proofErr w:type="spellStart"/>
      <w:r w:rsidR="00051FB6" w:rsidRPr="00051FB6">
        <w:rPr>
          <w:rFonts w:ascii="Arial" w:eastAsia="Arial" w:hAnsi="Arial" w:cs="Arial"/>
          <w:b/>
          <w:color w:val="000000"/>
          <w:sz w:val="22"/>
          <w:szCs w:val="22"/>
        </w:rPr>
        <w:t>Liberica</w:t>
      </w:r>
      <w:proofErr w:type="spellEnd"/>
      <w:r w:rsidR="00051FB6" w:rsidRPr="00051FB6">
        <w:rPr>
          <w:rFonts w:ascii="Arial" w:eastAsia="Arial" w:hAnsi="Arial" w:cs="Arial"/>
          <w:b/>
          <w:color w:val="000000"/>
          <w:sz w:val="22"/>
          <w:szCs w:val="22"/>
        </w:rPr>
        <w:t xml:space="preserve"> </w:t>
      </w:r>
      <w:r w:rsidR="00D14F1C">
        <w:rPr>
          <w:rFonts w:ascii="Arial" w:eastAsia="Arial" w:hAnsi="Arial" w:cs="Arial"/>
          <w:b/>
          <w:color w:val="000000"/>
          <w:sz w:val="22"/>
          <w:szCs w:val="22"/>
        </w:rPr>
        <w:t xml:space="preserve">coffee </w:t>
      </w:r>
      <w:r w:rsidR="00051FB6" w:rsidRPr="00051FB6">
        <w:rPr>
          <w:rFonts w:ascii="Arial" w:eastAsia="Arial" w:hAnsi="Arial" w:cs="Arial"/>
          <w:b/>
          <w:color w:val="000000"/>
          <w:sz w:val="22"/>
          <w:szCs w:val="22"/>
        </w:rPr>
        <w:t>clones in relation to disease severity</w:t>
      </w:r>
    </w:p>
    <w:p w14:paraId="39B5CAF5" w14:textId="77777777" w:rsidR="00E91640" w:rsidRDefault="00E91640" w:rsidP="00E91640">
      <w:pPr>
        <w:spacing w:line="276" w:lineRule="auto"/>
        <w:jc w:val="both"/>
        <w:rPr>
          <w:rFonts w:ascii="Arial" w:eastAsia="Arial" w:hAnsi="Arial" w:cs="Arial"/>
          <w:color w:val="000000"/>
        </w:rPr>
      </w:pPr>
      <w:bookmarkStart w:id="1" w:name="_heading=h.3znysh7" w:colFirst="0" w:colLast="0"/>
      <w:bookmarkEnd w:id="1"/>
      <w:r w:rsidRPr="006A3A2E">
        <w:rPr>
          <w:rFonts w:ascii="Arial" w:eastAsia="Arial" w:hAnsi="Arial" w:cs="Arial"/>
          <w:color w:val="000000"/>
        </w:rPr>
        <w:t>The monthly progression of coffee leaf rust (CLR) severity and berry yield across five</w:t>
      </w:r>
      <w:r>
        <w:rPr>
          <w:rFonts w:ascii="Arial" w:eastAsia="Arial" w:hAnsi="Arial" w:cs="Arial"/>
          <w:color w:val="000000"/>
        </w:rPr>
        <w:t xml:space="preserve"> </w:t>
      </w:r>
      <w:proofErr w:type="spellStart"/>
      <w:r w:rsidRPr="00BD554D">
        <w:rPr>
          <w:rFonts w:ascii="Arial" w:eastAsia="Arial" w:hAnsi="Arial" w:cs="Arial"/>
          <w:i/>
          <w:iCs/>
          <w:color w:val="000000"/>
        </w:rPr>
        <w:t>Coffea</w:t>
      </w:r>
      <w:proofErr w:type="spellEnd"/>
      <w:r w:rsidRPr="00BD554D">
        <w:rPr>
          <w:rFonts w:ascii="Arial" w:eastAsia="Arial" w:hAnsi="Arial" w:cs="Arial"/>
          <w:i/>
          <w:iCs/>
          <w:color w:val="000000"/>
        </w:rPr>
        <w:t xml:space="preserve"> </w:t>
      </w:r>
      <w:proofErr w:type="spellStart"/>
      <w:r w:rsidRPr="00BD554D">
        <w:rPr>
          <w:rFonts w:ascii="Arial" w:eastAsia="Arial" w:hAnsi="Arial" w:cs="Arial"/>
          <w:i/>
          <w:iCs/>
          <w:color w:val="000000"/>
        </w:rPr>
        <w:t>liberica</w:t>
      </w:r>
      <w:proofErr w:type="spellEnd"/>
      <w:r w:rsidRPr="00226E1C">
        <w:rPr>
          <w:rFonts w:ascii="Arial" w:eastAsia="Arial" w:hAnsi="Arial" w:cs="Arial"/>
          <w:color w:val="000000"/>
        </w:rPr>
        <w:t xml:space="preserve"> clones </w:t>
      </w:r>
      <w:r w:rsidRPr="00AA70B0">
        <w:rPr>
          <w:rFonts w:ascii="Arial" w:eastAsia="Arial" w:hAnsi="Arial" w:cs="Arial"/>
          <w:color w:val="000000"/>
        </w:rPr>
        <w:t xml:space="preserve">(211, 213, 222, 224, and MKL 7) </w:t>
      </w:r>
      <w:r w:rsidRPr="006A3A2E">
        <w:rPr>
          <w:rFonts w:ascii="Arial" w:eastAsia="Arial" w:hAnsi="Arial" w:cs="Arial"/>
          <w:color w:val="000000"/>
        </w:rPr>
        <w:t xml:space="preserve">over two years revealed distinct clonal differences in disease response and productivity </w:t>
      </w:r>
      <w:r w:rsidRPr="00226E1C">
        <w:rPr>
          <w:rFonts w:ascii="Arial" w:eastAsia="Arial" w:hAnsi="Arial" w:cs="Arial"/>
          <w:color w:val="000000"/>
        </w:rPr>
        <w:t xml:space="preserve">(Figure </w:t>
      </w:r>
      <w:r>
        <w:rPr>
          <w:rFonts w:ascii="Arial" w:eastAsia="Arial" w:hAnsi="Arial" w:cs="Arial"/>
          <w:color w:val="000000"/>
        </w:rPr>
        <w:t>1</w:t>
      </w:r>
      <w:r w:rsidRPr="00226E1C">
        <w:rPr>
          <w:rFonts w:ascii="Arial" w:eastAsia="Arial" w:hAnsi="Arial" w:cs="Arial"/>
          <w:color w:val="000000"/>
        </w:rPr>
        <w:t>).</w:t>
      </w:r>
    </w:p>
    <w:p w14:paraId="0E37DEEA" w14:textId="77777777" w:rsidR="00E91640" w:rsidRPr="00C86D99" w:rsidRDefault="00E91640" w:rsidP="00E91640">
      <w:pPr>
        <w:spacing w:line="276" w:lineRule="auto"/>
        <w:jc w:val="both"/>
        <w:rPr>
          <w:rFonts w:ascii="Arial" w:eastAsia="Arial" w:hAnsi="Arial" w:cs="Arial"/>
          <w:color w:val="000000"/>
        </w:rPr>
      </w:pPr>
    </w:p>
    <w:p w14:paraId="106F7C8B" w14:textId="77777777" w:rsidR="00E91640" w:rsidRPr="00742DB2"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In Year 1 (July 2021–June 2022), clone 213 consistently demonstrated superior performance, maintaining the lowest disease severity index (DSI, 3.4–17.0%) while also achieving the highest yield (7.58 kg tree</w:t>
      </w:r>
      <w:r w:rsidRPr="00742DB2">
        <w:rPr>
          <w:rFonts w:ascii="Cambria Math" w:eastAsia="Arial" w:hAnsi="Cambria Math" w:cs="Cambria Math"/>
          <w:color w:val="000000"/>
        </w:rPr>
        <w:t>⁻</w:t>
      </w:r>
      <w:r w:rsidRPr="00742DB2">
        <w:rPr>
          <w:rFonts w:ascii="Arial" w:eastAsia="Arial" w:hAnsi="Arial" w:cs="Arial"/>
          <w:color w:val="000000"/>
        </w:rPr>
        <w:t xml:space="preserve">¹ by June 2022). </w:t>
      </w:r>
      <w:r w:rsidRPr="00E31EE7">
        <w:rPr>
          <w:rFonts w:ascii="Arial" w:eastAsia="Arial" w:hAnsi="Arial" w:cs="Arial"/>
          <w:color w:val="000000"/>
        </w:rPr>
        <w:t xml:space="preserve">This indicates a strong genetic resistance to </w:t>
      </w:r>
      <w:proofErr w:type="spellStart"/>
      <w:r w:rsidRPr="00E31EE7">
        <w:rPr>
          <w:rFonts w:ascii="Arial" w:eastAsia="Arial" w:hAnsi="Arial" w:cs="Arial"/>
          <w:i/>
          <w:iCs/>
          <w:color w:val="000000"/>
        </w:rPr>
        <w:t>Hemileia</w:t>
      </w:r>
      <w:proofErr w:type="spellEnd"/>
      <w:r w:rsidRPr="00E31EE7">
        <w:rPr>
          <w:rFonts w:ascii="Arial" w:eastAsia="Arial" w:hAnsi="Arial" w:cs="Arial"/>
          <w:i/>
          <w:iCs/>
          <w:color w:val="000000"/>
        </w:rPr>
        <w:t xml:space="preserve"> </w:t>
      </w:r>
      <w:proofErr w:type="spellStart"/>
      <w:r w:rsidRPr="00E31EE7">
        <w:rPr>
          <w:rFonts w:ascii="Arial" w:eastAsia="Arial" w:hAnsi="Arial" w:cs="Arial"/>
          <w:i/>
          <w:iCs/>
          <w:color w:val="000000"/>
        </w:rPr>
        <w:t>vastatrix</w:t>
      </w:r>
      <w:proofErr w:type="spellEnd"/>
      <w:r w:rsidRPr="00E31EE7">
        <w:rPr>
          <w:rFonts w:ascii="Arial" w:eastAsia="Arial" w:hAnsi="Arial" w:cs="Arial"/>
          <w:color w:val="000000"/>
        </w:rPr>
        <w:t>, enabling the maintenance of photosynthetic activity and assimilate allocation to berry development despite infection pressure.</w:t>
      </w:r>
      <w:r>
        <w:rPr>
          <w:rFonts w:ascii="Arial" w:eastAsia="Arial" w:hAnsi="Arial" w:cs="Arial"/>
          <w:color w:val="000000"/>
        </w:rPr>
        <w:t xml:space="preserve"> </w:t>
      </w:r>
      <w:r w:rsidRPr="00E31EE7">
        <w:rPr>
          <w:rFonts w:ascii="Arial" w:eastAsia="Arial" w:hAnsi="Arial" w:cs="Arial"/>
          <w:color w:val="000000"/>
        </w:rPr>
        <w:t>Resistant genotypes are known to limit rust progression and preserve canopy function, thereby reducing yield losses</w:t>
      </w:r>
      <w:bookmarkStart w:id="2" w:name="_Hlk196855380"/>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id":"ITEM-2","itemData":{"DOI":"10.4195/nse2019.01.0102","ISSN":"21688281","author":[{"dropping-particle":"","family":"Sanders","given":"Morgan","non-dropping-particle":"","parse-names":false,"suffix":""}],"container-title":"Natural Sciences Education","id":"ITEM-2","issue":"1","issued":{"date-parts":[["2019"]]},"page":"1-3","title":"Breeding for coffee leaf rust resilience in &lt;i&gt;Coffea sp&lt;/i&gt;.","type":"article-journal","volume":"48"},"uris":["http://www.mendeley.com/documents/?uuid=61b4ce24-78b5-4d2a-b95c-8e704e382ecd"]}],"mendeley":{"formattedCitation":"(Ribeyre &amp; Avelino, 2012; Sanders, 2019)","plainTextFormattedCitation":"(Ribeyre &amp; Avelino, 2012; Sanders, 2019)","previouslyFormattedCitation":"(Ribeyre &amp; Avelino, 2012; Sanders, 2019)"},"properties":{"noteIndex":0},"schema":"https://github.com/citation-style-language/schema/raw/master/csl-citation.json"}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(Ribeyre &amp; Avelino, 2012; Sanders, 2019)</w:t>
      </w:r>
      <w:r>
        <w:rPr>
          <w:rFonts w:ascii="Arial" w:eastAsia="Arial" w:hAnsi="Arial" w:cs="Arial"/>
          <w:color w:val="000000"/>
        </w:rPr>
        <w:fldChar w:fldCharType="end"/>
      </w:r>
      <w:r w:rsidRPr="00742DB2">
        <w:rPr>
          <w:rFonts w:ascii="Arial" w:eastAsia="Arial" w:hAnsi="Arial" w:cs="Arial"/>
          <w:color w:val="000000"/>
        </w:rPr>
        <w:t>.</w:t>
      </w:r>
      <w:bookmarkEnd w:id="2"/>
      <w:r w:rsidRPr="00742DB2">
        <w:rPr>
          <w:rFonts w:ascii="Arial" w:eastAsia="Arial" w:hAnsi="Arial" w:cs="Arial"/>
          <w:color w:val="000000"/>
        </w:rPr>
        <w:t xml:space="preserve"> </w:t>
      </w:r>
      <w:r>
        <w:rPr>
          <w:rFonts w:ascii="Arial" w:eastAsia="Arial" w:hAnsi="Arial" w:cs="Arial"/>
          <w:color w:val="000000"/>
        </w:rPr>
        <w:t>R</w:t>
      </w:r>
      <w:r w:rsidRPr="00E31EE7">
        <w:rPr>
          <w:rFonts w:ascii="Arial" w:eastAsia="Arial" w:hAnsi="Arial" w:cs="Arial"/>
          <w:color w:val="000000"/>
        </w:rPr>
        <w:t xml:space="preserve">ecent molecular work in Indonesia confirmed resistance markers in </w:t>
      </w:r>
      <w:proofErr w:type="spellStart"/>
      <w:r w:rsidRPr="00E31EE7">
        <w:rPr>
          <w:rFonts w:ascii="Arial" w:eastAsia="Arial" w:hAnsi="Arial" w:cs="Arial"/>
          <w:color w:val="000000"/>
        </w:rPr>
        <w:t>Liberica</w:t>
      </w:r>
      <w:proofErr w:type="spellEnd"/>
      <w:r w:rsidRPr="00E31EE7">
        <w:rPr>
          <w:rFonts w:ascii="Arial" w:eastAsia="Arial" w:hAnsi="Arial" w:cs="Arial"/>
          <w:color w:val="000000"/>
        </w:rPr>
        <w:t xml:space="preserve"> accessions, strengthening the case for 213 as a durable source of resistance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{"citationItems":[{"id":"ITEM-1","itemData":{"DOI":"10.33687/phytopath.012.01.4371","ISSN":"23129344","abstract":"Coffee Leaf Rust (CLR) disease caused by fungal pathogen Hemileia vastatrix is one of devastated diseases in coffee plants. Disease RGA (resistance gene analog) primer pair CARF 005 has been reported for leaf rust-resistant screening in Arabica coffee and has never been reported in Liberica coffee. Previously, Liberoid Meranti 1 and 2 (Lim 1 and Lim 2) from Meranti Islands Indonesia were officially published by the government as CLR resistant cultivars and adaptive to peat soil. Our study aimed to analyze the resistance of Liberica coffee plants based on functional primer CARF 005. We sampled healthy plants of three Liberica genotypes (Lim 1, Lim 2, Bengkalis) in commercial farmer fields. DNA was extracted from young leaves, amplified and sequenced using CARF 005 primers. All samples generated DNA band about 400 bp. In addition, nucleotide sequences are similar to Arabica putative disease resistance gene. All the three sequences contain NB-ARC conserved domain which contribute to pathogenic-resistant trait. The regions also contain one motif sequence of P-loop/Walker-A domain. Our result confirmed that DNA fragments amplified by CARF 005 are linked to RGA region and eventually we suggested that CARF 005 can be used to identify resistance to CLR in Liberica. It will particularly contribute for supporting Liberica breeding program and conservation of Liberica germplasm.","author":[{"dropping-particle":"","family":"Wahibah","given":"Ninik N.","non-dropping-particle":"","parse-names":false,"suffix":""},{"dropping-particle":"","family":"Putri","given":"Rizka P.","non-dropping-particle":"","parse-names":false,"suffix":""},{"dropping-particle":"","family":"Muflikhah","given":"Lailil","non-dropping-particle":"","parse-names":false,"suffix":""},{"dropping-particle":"","family":"Martina","given":"Atria","non-dropping-particle":"","parse-names":false,"suffix":""},{"dropping-particle":"","family":"Arini","given":"","non-dropping-particle":"","parse-names":false,"suffix":""}],"container-title":"International Journal of Phytopathology","id":"ITEM-1","issue":"1","issued":{"date-parts":[["2023"]]},"page":"1-7","title":"Analysis of resistance to fungal pathogen &lt;i&gt;Hemileia vastatrix&lt;/i&gt; of Liberica coffee based on functional marker","type":"article-journal","volume":"12"},"uris":["http://www.mendeley.com/documents/?uuid=aa6df5a5-3dfc-45f4-9091-1c2de2279c1f"]}],"mendeley":{"formattedCitation":"(Wahibah et al., 2023)","plainTextFormattedCitation":"(Wahibah et al., 2023)","previouslyFormattedCitation":"(Wahibah et al., 2023)"},"properties":{"noteIndex":0},"schema":"https://github.com/citation-style-language/schema/raw/master/csl-citation.json"}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(Wahibah et al., 2023)</w:t>
      </w:r>
      <w:r>
        <w:rPr>
          <w:rFonts w:ascii="Arial" w:eastAsia="Arial" w:hAnsi="Arial" w:cs="Arial"/>
          <w:color w:val="000000"/>
        </w:rPr>
        <w:fldChar w:fldCharType="end"/>
      </w:r>
      <w:r w:rsidRPr="00E31EE7">
        <w:rPr>
          <w:rFonts w:ascii="Arial" w:eastAsia="Arial" w:hAnsi="Arial" w:cs="Arial"/>
          <w:color w:val="000000"/>
        </w:rPr>
        <w:t>.</w:t>
      </w:r>
      <w:r>
        <w:rPr>
          <w:rFonts w:ascii="Arial" w:eastAsia="Arial" w:hAnsi="Arial" w:cs="Arial"/>
          <w:color w:val="000000"/>
        </w:rPr>
        <w:t xml:space="preserve"> </w:t>
      </w:r>
      <w:r w:rsidRPr="00742DB2">
        <w:rPr>
          <w:rFonts w:ascii="Arial" w:eastAsia="Arial" w:hAnsi="Arial" w:cs="Arial"/>
          <w:color w:val="000000"/>
        </w:rPr>
        <w:t>Clone 224 also recorded a high yield peak (8.71 kg tree</w:t>
      </w:r>
      <w:r w:rsidRPr="00742DB2">
        <w:rPr>
          <w:rFonts w:ascii="Cambria Math" w:eastAsia="Arial" w:hAnsi="Cambria Math" w:cs="Cambria Math"/>
          <w:color w:val="000000"/>
        </w:rPr>
        <w:t>⁻</w:t>
      </w:r>
      <w:r w:rsidRPr="00742DB2">
        <w:rPr>
          <w:rFonts w:ascii="Arial" w:eastAsia="Arial" w:hAnsi="Arial" w:cs="Arial"/>
          <w:color w:val="000000"/>
        </w:rPr>
        <w:t>¹ in May 2022) despite moderate levels of rust severity (11.9–18.2%), suggesting a tolerance mechanism</w:t>
      </w:r>
      <w:r>
        <w:rPr>
          <w:rFonts w:ascii="Arial" w:eastAsia="Arial" w:hAnsi="Arial" w:cs="Arial"/>
          <w:color w:val="000000"/>
        </w:rPr>
        <w:t>.</w:t>
      </w:r>
      <w:r w:rsidRPr="00742DB2">
        <w:rPr>
          <w:rFonts w:ascii="Arial" w:eastAsia="Arial" w:hAnsi="Arial" w:cs="Arial"/>
          <w:color w:val="000000"/>
        </w:rPr>
        <w:t xml:space="preserve"> </w:t>
      </w:r>
      <w:r w:rsidRPr="00E31EE7">
        <w:rPr>
          <w:rFonts w:ascii="Arial" w:eastAsia="Arial" w:hAnsi="Arial" w:cs="Arial"/>
          <w:color w:val="000000"/>
        </w:rPr>
        <w:t>Such tolerance</w:t>
      </w:r>
      <w:r>
        <w:rPr>
          <w:rFonts w:ascii="Arial" w:eastAsia="Arial" w:hAnsi="Arial" w:cs="Arial"/>
          <w:color w:val="000000"/>
        </w:rPr>
        <w:t xml:space="preserve">, </w:t>
      </w:r>
      <w:r w:rsidRPr="00E31EE7">
        <w:rPr>
          <w:rFonts w:ascii="Arial" w:eastAsia="Arial" w:hAnsi="Arial" w:cs="Arial"/>
          <w:color w:val="000000"/>
        </w:rPr>
        <w:t>where yield is maintained despite infection</w:t>
      </w:r>
      <w:r>
        <w:rPr>
          <w:rFonts w:ascii="Arial" w:eastAsia="Arial" w:hAnsi="Arial" w:cs="Arial"/>
          <w:color w:val="000000"/>
        </w:rPr>
        <w:t xml:space="preserve">, </w:t>
      </w:r>
      <w:r w:rsidRPr="00E31EE7">
        <w:rPr>
          <w:rFonts w:ascii="Arial" w:eastAsia="Arial" w:hAnsi="Arial" w:cs="Arial"/>
          <w:color w:val="000000"/>
        </w:rPr>
        <w:t>has been observed in other coffee genotypes, although it is often unstable under prolonged stress</w:t>
      </w:r>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{"citationItems":[{"id":"ITEM-1","itemData":{"DOI":"10.1146/annurev-phyto-080417-050117","ISSN":"15452107","PMID":"29995592","abstract":"Assessment of crop loss due to multiple diseases and pests (D&amp;P) is a necessary step in designing sustainable crop management systems. Understanding the drivers of D&amp;P development and yield loss helps identify leverage points for crop health management. Crop loss assessment is also necessary for the quantification of D&amp;P regulation service to identify promising systems where ecosystem service provision is optimized. In perennial crops, assessment of crop losses due to D&amp;P is difficult, as injuries can affect yield over years. In coffee, one of the first perennials in which crop loss trials were implemented, crop losses concurrent with injuries were found to be approximately 50% lower than lagged losses that originated following the death of productive branches due to D&amp;P. Crop losses can be assessed by field trials and surveys, where yield reduction factors such as the number of productive branches that have died are quantified, and by modeling, where damage mechanisms for each injury are considered over several years.","author":[{"dropping-particle":"","family":"Avelino","given":"Jacques","non-dropping-particle":"","parse-names":false,"suffix":""},{"dropping-particle":"","family":"Allinne","given":"Clémentine","non-dropping-particle":"","parse-names":false,"suffix":""},{"dropping-particle":"","family":"Cerda","given":"Rolando","non-dropping-particle":"","parse-names":false,"suffix":""},{"dropping-particle":"","family":"Willocquet","given":"Laetitia","non-dropping-particle":"","parse-names":false,"suffix":""},{"dropping-particle":"","family":"Savary","given":"Serge","non-dropping-particle":"","parse-names":false,"suffix":""}],"container-title":"Annual Review of Phytopathology","id":"ITEM-1","issue":"June","issued":{"date-parts":[["2018"]]},"page":"611-635","title":"Multiple-disease system in coffee: From crop loss assessment to sustainable management","type":"article-journal","volume":"56"},"uris":["http://www.mendeley.com/documents/?uuid=7e1c68f8-6a4d-4842-9c09-5eb215c6de18"]}],"mendeley":{"formattedCitation":"(Avelino et al., 2018)","plainTextFormattedCitation":"(Avelino et al., 2018)","previouslyFormattedCitation":"(Avelino et al., 2018)"},"properties":{"noteIndex":0},"schema":"https://github.com/citation-style-language/schema/raw/master/csl-citation.json"}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(Avelino et al., 2018)</w:t>
      </w:r>
      <w:r>
        <w:rPr>
          <w:rFonts w:ascii="Arial" w:eastAsia="Arial" w:hAnsi="Arial" w:cs="Arial"/>
          <w:color w:val="000000"/>
        </w:rPr>
        <w:fldChar w:fldCharType="end"/>
      </w:r>
      <w:r w:rsidRPr="00742DB2">
        <w:rPr>
          <w:rFonts w:ascii="Arial" w:eastAsia="Arial" w:hAnsi="Arial" w:cs="Arial"/>
          <w:color w:val="000000"/>
        </w:rPr>
        <w:t>. In contrast, clones 211 and 222, with higher rust severity (up to 19.5% and 21.3% DSI, respectively), produced substantially lower yields (4.71 and 4.17 kg tree</w:t>
      </w:r>
      <w:r w:rsidRPr="00742DB2">
        <w:rPr>
          <w:rFonts w:ascii="Cambria Math" w:eastAsia="Arial" w:hAnsi="Cambria Math" w:cs="Cambria Math"/>
          <w:color w:val="000000"/>
        </w:rPr>
        <w:t>⁻</w:t>
      </w:r>
      <w:r w:rsidRPr="00742DB2">
        <w:rPr>
          <w:rFonts w:ascii="Arial" w:eastAsia="Arial" w:hAnsi="Arial" w:cs="Arial"/>
          <w:color w:val="000000"/>
        </w:rPr>
        <w:t xml:space="preserve">¹ at peak), consistent with the negative effects of rust on photosynthesis, assimilate supply and fruit development </w:t>
      </w:r>
      <w:r w:rsidRPr="00742DB2">
        <w:rPr>
          <w:rFonts w:ascii="Arial" w:eastAsia="Arial" w:hAnsi="Arial" w:cs="Arial"/>
          <w:color w:val="000000"/>
        </w:rPr>
        <w:fldChar w:fldCharType="begin" w:fldLock="1"/>
      </w:r>
      <w:r w:rsidRPr="00742DB2">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quality","type":"article-journal"},"uris":["http://www.mendeley.com/documents/?uuid=fc031505-3a5b-4af7-a668-dc9ea858e9f9","http://www.mendeley.com/documents/?uuid=b926dc47-06f0-4c4b-bbb0-292ee6753bbe"]}],"mendeley":{"formattedCitation":"(Ribeyre &amp; Avelino, 2012)","plainTextFormattedCitation":"(Ribeyre &amp; Avelino, 2012)","previouslyFormattedCitation":"(Ribeyre &amp; Avelino, 2012)"},"properties":{"noteIndex":0},"schema":"https://github.com/citation-style-language/schema/raw/master/csl-citation.json"}</w:instrText>
      </w:r>
      <w:r w:rsidRPr="00742DB2">
        <w:rPr>
          <w:rFonts w:ascii="Arial" w:eastAsia="Arial" w:hAnsi="Arial" w:cs="Arial"/>
          <w:color w:val="000000"/>
        </w:rPr>
        <w:fldChar w:fldCharType="separate"/>
      </w:r>
      <w:r w:rsidRPr="00742DB2">
        <w:rPr>
          <w:rFonts w:ascii="Arial" w:eastAsia="Arial" w:hAnsi="Arial" w:cs="Arial"/>
          <w:noProof/>
          <w:color w:val="000000"/>
        </w:rPr>
        <w:t>(Ribeyre &amp; Avelino, 2012)</w:t>
      </w:r>
      <w:r w:rsidRPr="00742DB2">
        <w:rPr>
          <w:rFonts w:ascii="Arial" w:eastAsia="Arial" w:hAnsi="Arial" w:cs="Arial"/>
          <w:color w:val="000000"/>
        </w:rPr>
        <w:fldChar w:fldCharType="end"/>
      </w:r>
      <w:r w:rsidRPr="00742DB2">
        <w:rPr>
          <w:rFonts w:ascii="Arial" w:eastAsia="Arial" w:hAnsi="Arial" w:cs="Arial"/>
          <w:color w:val="000000"/>
        </w:rPr>
        <w:t xml:space="preserve">. </w:t>
      </w:r>
      <w:r w:rsidRPr="00E31EE7">
        <w:rPr>
          <w:rFonts w:ascii="Arial" w:eastAsia="Arial" w:hAnsi="Arial" w:cs="Arial"/>
          <w:color w:val="000000"/>
        </w:rPr>
        <w:t xml:space="preserve">A field study in the Meranti Islands, Indonesia, similarly identified </w:t>
      </w:r>
      <w:proofErr w:type="spellStart"/>
      <w:r w:rsidRPr="00E31EE7">
        <w:rPr>
          <w:rFonts w:ascii="Arial" w:eastAsia="Arial" w:hAnsi="Arial" w:cs="Arial"/>
          <w:color w:val="000000"/>
        </w:rPr>
        <w:t>Liberica</w:t>
      </w:r>
      <w:proofErr w:type="spellEnd"/>
      <w:r w:rsidRPr="00E31EE7">
        <w:rPr>
          <w:rFonts w:ascii="Arial" w:eastAsia="Arial" w:hAnsi="Arial" w:cs="Arial"/>
          <w:color w:val="000000"/>
        </w:rPr>
        <w:t xml:space="preserve"> lines that were highly susceptible to CLR and unproductive under natural field pressure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{"citationItems":[{"id":"ITEM-1","itemData":{"abstract":"ABSTRAK Penyakit karat daun yang disebabkan oleh Hemileia vastatrix merupakan penyakit yang sangat merugikan pada tanaman kopi karena dapat mematikan tanaman. Penelitian bertujuan mengetahui ketahanan pohon induk kopi Liberika Meranti terhadap penyakit karat daun kopi (H. vastatrix) yang akan digunakan sebagai varietas unggul komposit. Kegiatan penelitian telah dilakukan di Desa Kedabu Rapat, Kecamatan Rangsang Pesisir, Kabupaten Kepulauan Meranti pada tahun 2013 dan 2014. Observasi dilakukan di kebun petani dengan luas 170 ha, terhadap pohon induk kopi Liberika yang telah diseleksi sebelumnya. Ketahanan terhadap H. vastatrix diamati dengan melihat gejala serangan pada daun di setiap pohon. Parameter yang diamati adalah gejala serangan dan indeks intensitas penyakit (IIP). IIP mengacu pada skor tanaman terserang, yaitu 0 = kebal, 1%-29% = tahan, 30%-49% = agak tahan, 50%-69% = agak rentan, dan 70%-100% = rentan. Hasil observasi dari 106 pohon induk kopi Liberika Meranti terhadap H. vastatrix diperoleh 90 pohon (84,90%) tahan, 14 pohon (13,1%) agak tahan, dan 1 pohon (0,9%) agak rentan. Ketahanan kopi tersebut cukup stabil selama 2 tahun pengamatan. ABSTRACT Leaf rust disease caused by Hemileia vastatrix is considered as the most devastating disease in coffee plants due to it can kill the plants. The objective of this research was to determine the resistance of Liberica coffee derived from Kepulauan Meranti against leaf rust disease (H. vastatrix) that will be used as a composite variety. The research was conducted in Kedabu Rapat Village, Rangsang Pesisir Sub-district, Kepulauan Meranti in 2013 and 2014. Observations were carried out at farmer field in an area of 170 ha toward Liberica coffee that previously has been selected. Leaf rust resistance can be observed on the leaves of each selected Liberica coffee tree. The observed parameters were attack symptoms and disease intensity index (IIP). The disease intensity index (IIP) refers to the score of infected plants, i.e.: 0 = immune, 1%-29% = resistant, 30%-49% = moderate resistant, 50%-69% = moderate susceptible and 70%-100% = susceptible. The observation result on 106 selected Liberica coffee trees against H. vastatrix showed 90 trees (84.90%) were resistant, 14 trees (13.1%) were moderate resistant, and one tree (0.9%) was susceptible. The resistance of Liberica coffee is known quite stable during two years of observation.","author":[{"dropping-particle":"","family":"Harni","given":"Rita","non-dropping-particle":"","parse-names":false,"suffix":""},{"dropping-particle":"","family":"Taufiq","given":"Efi","non-dropping-particle":"","parse-names":false,"suffix":""},{"dropping-particle":"","family":"Martono","given":"Budi","non-dropping-particle":"","parse-names":false,"suffix":""}],"container-title":"Jurnal tanaman Industri dan penyegar","id":"ITEM-1","issue":"1","issued":{"date-parts":[["2015"]]},"page":"35-42","title":"Ketahanan pohon induk kopi Liberika terhadap penyakit karat daun (&lt;i&gt;Hemileia vastatrix&lt;/i&gt; B. et Br.) di Kepulauan Meranti","type":"article-journal","volume":"2"},"uris":["http://www.mendeley.com/documents/?uuid=a266d252-e8cd-4ccd-a367-c8378d16f45f"]}],"mendeley":{"formattedCitation":"(Harni et al., 2015)","plainTextFormattedCitation":"(Harni et al., 2015)","previouslyFormattedCitation":"(Harni et al., 2015)"},"properties":{"noteIndex":0},"schema":"https://github.com/citation-style-language/schema/raw/master/csl-citation.json"}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(Harni et al., 2015)</w:t>
      </w:r>
      <w:r>
        <w:rPr>
          <w:rFonts w:ascii="Arial" w:eastAsia="Arial" w:hAnsi="Arial" w:cs="Arial"/>
          <w:color w:val="000000"/>
        </w:rPr>
        <w:fldChar w:fldCharType="end"/>
      </w:r>
      <w:r w:rsidRPr="00E31EE7">
        <w:rPr>
          <w:rFonts w:ascii="Arial" w:eastAsia="Arial" w:hAnsi="Arial" w:cs="Arial"/>
          <w:color w:val="000000"/>
        </w:rPr>
        <w:t>, underscoring the importance of excluding such clones from commercial planting.</w:t>
      </w:r>
      <w:r>
        <w:rPr>
          <w:rFonts w:ascii="Arial" w:eastAsia="Arial" w:hAnsi="Arial" w:cs="Arial"/>
          <w:color w:val="000000"/>
        </w:rPr>
        <w:t xml:space="preserve"> </w:t>
      </w:r>
      <w:r w:rsidRPr="00742DB2">
        <w:rPr>
          <w:rFonts w:ascii="Arial" w:eastAsia="Arial" w:hAnsi="Arial" w:cs="Arial"/>
          <w:color w:val="000000"/>
        </w:rPr>
        <w:t>The control clone, MKL 7, showed moderate rust infection (7.8–18.2% DSI) but remained consistently less productive, with its maximum yield reaching only 3.51 kg tree</w:t>
      </w:r>
      <w:r w:rsidRPr="00742DB2">
        <w:rPr>
          <w:rFonts w:ascii="Cambria Math" w:eastAsia="Arial" w:hAnsi="Cambria Math" w:cs="Cambria Math"/>
          <w:color w:val="000000"/>
        </w:rPr>
        <w:t>⁻</w:t>
      </w:r>
      <w:r w:rsidRPr="00742DB2">
        <w:rPr>
          <w:rFonts w:ascii="Arial" w:eastAsia="Arial" w:hAnsi="Arial" w:cs="Arial"/>
          <w:color w:val="000000"/>
        </w:rPr>
        <w:t>¹.</w:t>
      </w:r>
    </w:p>
    <w:p w14:paraId="2009A98E" w14:textId="77777777" w:rsidR="00E91640" w:rsidRPr="00742DB2" w:rsidRDefault="00E91640" w:rsidP="00E91640">
      <w:pPr>
        <w:spacing w:line="276" w:lineRule="auto"/>
        <w:jc w:val="both"/>
        <w:rPr>
          <w:rFonts w:ascii="Arial" w:eastAsia="Arial" w:hAnsi="Arial" w:cs="Arial"/>
          <w:color w:val="000000"/>
        </w:rPr>
      </w:pPr>
    </w:p>
    <w:p w14:paraId="2DBA63E2" w14:textId="77777777" w:rsidR="00E91640"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 xml:space="preserve">By Year 2 (July 2022–June 2023), yield declines across all clones, reflecting the biennial bearing nature of coffee and the cumulative effects of disease stress. </w:t>
      </w:r>
      <w:r w:rsidRPr="00557817">
        <w:rPr>
          <w:rFonts w:ascii="Arial" w:eastAsia="Arial" w:hAnsi="Arial" w:cs="Arial"/>
          <w:color w:val="000000"/>
        </w:rPr>
        <w:t>Heavy fruiting in Year 1 likely weakened vegetative recovery, while rust infections further accelerated leaf loss and depleted reserves.</w:t>
      </w:r>
      <w:r w:rsidRPr="00203BBF">
        <w:t xml:space="preserve"> </w:t>
      </w:r>
      <w:r w:rsidRPr="00742DB2">
        <w:rPr>
          <w:rFonts w:ascii="Arial" w:eastAsia="Arial" w:hAnsi="Arial" w:cs="Arial"/>
          <w:color w:val="000000"/>
        </w:rPr>
        <w:t>Despite the overall reduction, clone 213 again maintained the lowest rust severity (2.8–6.8% DSI) and the highest yield (2.92 kg tree</w:t>
      </w:r>
      <w:r w:rsidRPr="00742DB2">
        <w:rPr>
          <w:rFonts w:ascii="Cambria Math" w:eastAsia="Arial" w:hAnsi="Cambria Math" w:cs="Cambria Math"/>
          <w:color w:val="000000"/>
        </w:rPr>
        <w:t>⁻</w:t>
      </w:r>
      <w:r w:rsidRPr="00742DB2">
        <w:rPr>
          <w:rFonts w:ascii="Arial" w:eastAsia="Arial" w:hAnsi="Arial" w:cs="Arial"/>
          <w:color w:val="000000"/>
        </w:rPr>
        <w:t>¹ in May 2023), confirming its stable resistance and resilience across seasons. Meanwhile, clones 211 and 222 suffered severe yield losses by June 2023 might be due to high rust infection. Clone 224, though highly productive in Year 1, however, experienced a yield drop to 1.24 kg tree</w:t>
      </w:r>
      <w:r w:rsidRPr="00742DB2">
        <w:rPr>
          <w:rFonts w:ascii="Cambria Math" w:eastAsia="Arial" w:hAnsi="Cambria Math" w:cs="Cambria Math"/>
          <w:color w:val="000000"/>
        </w:rPr>
        <w:t>⁻</w:t>
      </w:r>
      <w:r w:rsidRPr="00742DB2">
        <w:rPr>
          <w:rFonts w:ascii="Arial" w:eastAsia="Arial" w:hAnsi="Arial" w:cs="Arial"/>
          <w:color w:val="000000"/>
        </w:rPr>
        <w:t>¹ in April 2023, indicating unstable tolerance. Similarly, MKL 7 showed a transient peak yield of 2.39 kg tree</w:t>
      </w:r>
      <w:r w:rsidRPr="00742DB2">
        <w:rPr>
          <w:rFonts w:ascii="Cambria Math" w:eastAsia="Arial" w:hAnsi="Cambria Math" w:cs="Cambria Math"/>
          <w:color w:val="000000"/>
        </w:rPr>
        <w:t>⁻</w:t>
      </w:r>
      <w:r w:rsidRPr="00742DB2">
        <w:rPr>
          <w:rFonts w:ascii="Arial" w:eastAsia="Arial" w:hAnsi="Arial" w:cs="Arial"/>
          <w:color w:val="000000"/>
        </w:rPr>
        <w:t>¹ in October 2022 but dropped to zero yield by June 2023.</w:t>
      </w:r>
      <w:r w:rsidRPr="00557817">
        <w:t xml:space="preserve"> </w:t>
      </w:r>
      <w:r w:rsidRPr="00557817">
        <w:rPr>
          <w:rFonts w:ascii="Arial" w:eastAsia="Arial" w:hAnsi="Arial" w:cs="Arial"/>
          <w:color w:val="000000"/>
        </w:rPr>
        <w:t>This highlights that moderate resistance without sufficient yield potential does not guarantee field success.</w:t>
      </w:r>
    </w:p>
    <w:p w14:paraId="6296B0E3" w14:textId="77777777" w:rsidR="00E91640" w:rsidRDefault="00E91640" w:rsidP="00E91640">
      <w:pPr>
        <w:spacing w:line="276" w:lineRule="auto"/>
        <w:jc w:val="both"/>
        <w:rPr>
          <w:rFonts w:ascii="Arial" w:eastAsia="Arial" w:hAnsi="Arial" w:cs="Arial"/>
          <w:color w:val="000000"/>
        </w:rPr>
      </w:pPr>
    </w:p>
    <w:p w14:paraId="4A0CE1DC" w14:textId="77777777" w:rsidR="00E91640" w:rsidRDefault="00E91640" w:rsidP="00E91640">
      <w:pPr>
        <w:spacing w:line="276" w:lineRule="auto"/>
        <w:jc w:val="both"/>
        <w:rPr>
          <w:rFonts w:ascii="Arial" w:eastAsia="Arial" w:hAnsi="Arial" w:cs="Arial"/>
          <w:color w:val="000000"/>
        </w:rPr>
      </w:pPr>
      <w:r w:rsidRPr="00CD362E">
        <w:rPr>
          <w:rFonts w:ascii="Arial" w:eastAsia="Arial" w:hAnsi="Arial" w:cs="Arial"/>
          <w:color w:val="000000"/>
        </w:rPr>
        <w:t>These yield fluctuations also reflect coffee’s biennial cycle, where the crop requires two years to complete its phenological cycle of branch growth and fruiting. High-yield years prioritize grain filling, often at the expense of new branch growth, while low-yield years emphasize vegetative recovery</w:t>
      </w:r>
      <w:r>
        <w:rPr>
          <w:rFonts w:ascii="Arial" w:eastAsia="Arial" w:hAnsi="Arial" w:cs="Arial"/>
          <w:color w:val="000000"/>
        </w:rPr>
        <w:t xml:space="preserve">. </w:t>
      </w:r>
      <w:r w:rsidRPr="00CD362E">
        <w:rPr>
          <w:rFonts w:ascii="Arial" w:eastAsia="Arial" w:hAnsi="Arial" w:cs="Arial"/>
          <w:color w:val="000000"/>
        </w:rPr>
        <w:t xml:space="preserve">CLR accentuates this cycle: high-yield years coincide with severe rust outbreaks, which accelerate leaf fall after harvest and further reduce yield in the following year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{"citationItems":[{"id":"ITEM-1","itemData":{"DOI":"10.1016/j.ecolmodel.2006.03.013","ISSN":"03043800","abstract":"To gain a clearer understanding of conditions conducive to the development of coffee rust and improve disease control, we monitored the development of rust epidemics in 73 plots in Honduras, over 1-3 years depending on the case, focusing on coffee tree characteristics, crop management patterns, and the environment. A simple correspondence analysis was used to show that a link could be found between certain production situations and the intensity of coffee rust epidemics. Local characteristics specific to each plantation were particularly well linked to the intensity of coffee rust epidemics, whereas regional factors such as rainfall appeared to be of secondary importance. The yield and the number of leaves of the coffee trees were positively linked to epidemic development. Soil pH and fertilisation were negatively associated with epidemic development. Shade, when it did not limit yield, probably affected the microclimate in such a way that coffee rust incidence increased. Altitude was a serious constraint in disease development. These links were illustrated by a segmentation tree, which helped to define risk domains and rationalise coffee rust control. It also provided an understanding of how intensifying Arabica cultivation, through its effects on yield and soil acidification, increased the risk of a serious coffee rust epidemic occurring. © 2006 Elsevier B.V. All rights reserved.","author":[{"dropping-particle":"","family":"Avelino","given":"J.","non-dropping-particle":"","parse-names":false,"suffix":""},{"dropping-particle":"","family":"Zelaya","given":"H.","non-dropping-particle":"","parse-names":false,"suffix":""},{"dropping-particle":"","family":"Merlo","given":"A.","non-dropping-particle":"","parse-names":false,"suffix":""},{"dropping-particle":"","family":"Pineda","given":"A.","non-dropping-particle":"","parse-names":false,"suffix":""},{"dropping-particle":"","family":"Ordoñez","given":"M.","non-dropping-particle":"","parse-names":false,"suffix":""},{"dropping-particle":"","family":"Savary","given":"S.","non-dropping-particle":"","parse-names":false,"suffix":""}],"container-title":"Ecological Modelling","id":"ITEM-1","issue":"3-4","issued":{"date-parts":[["2006"]]},"page":"431-447","title":"The intensity of a coffee rust epidemic is dependent on production situations","type":"article-journal","volume":"197"},"uris":["http://www.mendeley.com/documents/?uuid=daa58ea7-535b-4b9a-9f36-ce2d57dc2507"]},{"id":"ITEM-2","itemData":{"ISSN":"0100-4158","abstract":"Coffee leaf rust causes great yield losses during the years of high berry yield. The objective of this trial was to study the development of levels of coffee berry removals on the incidence of rust and to correlate the levels of nutrients and carbohydrates with the disease in 2001 and 2002, in five-year-old plants of the cultivar Catuai Vermelho. The presence of fruits in the initial phase of the vegetative coffee growth in 2001 triggers the establishment of the disease, which then decreased as the level of coffee fruits in the plants fell from 100% to zero percent. Plants with 100% of coffee fruits on the tree had the highest incidence of disease in contrast, plants with 0% of fruits had the lowest incidence of the disease. The rust started in January, reaching its peak at harvesting, in July. Plants that presented 62.75 bags per hectare presented 95% of their leaves diseased and 49% of the foliar area infected, at the end of the experiment. Plants with 15 bags per hectare were 10% diseased in July. As the level of coffee berry yield increased on the plants (0-100%) the average level of K decreased by 34%, Ca 37%, Cu 17% and B increased 29%. The level of starch decreased by 30% on the plants without coffee fruits, compared with plants that had 50-100%.","author":[{"dropping-particle":"","family":"Costa","given":"Mauro J. N.","non-dropping-particle":"","parse-names":false,"suffix":""},{"dropping-particle":"","family":"Zambolim","given":"Laércio","non-dropping-particle":"","parse-names":false,"suffix":""},{"dropping-particle":"","family":"Rodrigues","given":"Fabrício A.","non-dropping-particle":"","parse-names":false,"suffix":""}],"container-title":"Fitopatologia Brasileira","id":"ITEM-2","issue":"6","issued":{"date-parts":[["2006"]]},"page":"564-571","title":"Effect of levels of coffee berry removals on the incidence of rust and on the level of nutrients, carbohydrates and reductor sugar","type":"article-journal","volume":"31"},"uris":["http://www.mendeley.com/documents/?uuid=7896b1d6-76fe-472b-a49d-73e7a6037ee6"]},{"id":"ITEM-3","itemData":{"DOI":"10.1007/BF00021476","ISSN":"15735060","abstract":"Variation for incomplete resistance to coffee leaf rust was studied in Coffea arabica. Disease level in the field was scored by a 0 to 9 scale. Components of resistance observed in laboratory and greenhouse tests were latency period (LP), lesion density (LD) and leaf retention period (LRP). LRP determines the duration of sporulation. Lines of 'Mundo Novo' and 'Catuai' showed relatively small but significant differences for disease level in the field. Heritibility was low (0.31) and part of the variance (34%) was explainable by a significant correlation between disease level and yielding capacity of the lines. The high susceptibility of 'Ibaarê', in comparison to other cultivars, was best explained by longer LRP values for 'Ibaarê'. Also its LP was generally shorter than that of other cultivars. Among coffee accessions from Ethiopia great variation was observed for disease level in the field. A significant part of the variance (35%) was explained by differences in yielding capacity. Variation for resistance components was observed between accessions, tested in the greenhouse and laboratory. However, results of the two tests were inconsistent. Transgressive segragation for incomplete resistance was observed in F&lt;inf&gt;2&lt;/inf&gt; populations of the cross between Agaro C1164-19 and 'Catuai', tested in the laboratory and greenhouse. Resistance was expressed by a longer LP, a lower LD, a certain percentage of non-sporulating lesions and, in some populations, by early necrosis of lesions. Prospects for breeding for incomplete resistance to H. vastatrix in C. arabica are discussed. Factors which may hamper selection progress are: a) the positive correlation between yield and disease level in the field, b) the relative small genetic variation for incomplete resistance among C. arabica cultivars and productive breeding lines, and c) inconsistency of results between resistance tests. © 1983 Veenman B.V., Wageningen.","author":[{"dropping-particle":"","family":"Eskes","given":"A. B.","non-dropping-particle":"","parse-names":false,"suffix":""},{"dropping-particle":"","family":"Carvalho","given":"A.","non-dropping-particle":"","parse-names":false,"suffix":""}],"container-title":"Euphytica","id":"ITEM-3","issue":"2","issued":{"date-parts":[["1983"]]},"page":"625-637","title":"6. Variation for incomplete resistance to &lt;i&gt;Hemileia vastatrix&lt;/i&gt; in Coffea arabica","type":"article-journal","volume":"32"},"uris":["http://www.mendeley.com/documents/?uuid=5995fd07-112d-4fde-8521-7ce5525286cd"]},{"id":"ITEM-4","itemData":{"DOI":"10.1016/0261-2194(95)00040-2","ISSN":"02612194","abstract":"Coffee leaf rust epidemics of varying severity were created by application of fungicide treatments, of varying concentration, to experimental plots from 1989 to 1992. Detailed measurements of disease incidence and leaf fall showed that yield and foliation (number of leaves per lateral) in 1991 was affected by the disease incidence in the previous season. Analysis showed a significantly greater influence of disease on foliation, both within and between seasons, than on yield. This was confirmed by data from 1992. It was concluded that the effect of the disease on yield is indirect through induction of defoliation. © 1995.","author":[{"dropping-particle":"","family":"Brown","given":"J. S.","non-dropping-particle":"","parse-names":false,"suffix":""},{"dropping-particle":"","family":"Whan","given":"J. H.","non-dropping-particle":"","parse-names":false,"suffix":""},{"dropping-particle":"","family":"Kenny","given":"M. K.","non-dropping-particle":"","parse-names":false,"suffix":""},{"dropping-particle":"","family":"Merriman","given":"P. R.","non-dropping-particle":"","parse-names":false,"suffix":""}],"container-title":"Crop Protection","id":"ITEM-4","issue":"7","issued":{"date-parts":[["1995"]]},"page":"589-592","title":"The effect of coffee leaf rust on foliation and yield of coffee in Papua New Guinea","type":"article-journal","volume":"14"},"uris":["http://www.mendeley.com/documents/?uuid=67090c32-40b8-4d14-b3e1-f70515814f6f"]}],"mendeley":{"formattedCitation":"(Avelino et al., 2006; Brown et al., 1995; Costa et al., 2006; Eskes &amp; Carvalho, 1983)","plainTextFormattedCitation":"(Avelino et al., 2006; Brown et al., 1995; Costa et al., 2006; Eskes &amp; Carvalho, 1983)","previouslyFormattedCitation":"(Avelino et al., 2006; Brown et al., 1995; Costa et al., 2006; Eskes &amp; Carvalho, 1983)"},"properties":{"noteIndex":0},"schema":"https://github.com/citation-style-language/schema/raw/master/csl-citation.json"}</w:instrText>
      </w:r>
      <w:r>
        <w:rPr>
          <w:rFonts w:ascii="Arial" w:eastAsia="Arial" w:hAnsi="Arial" w:cs="Arial"/>
          <w:color w:val="000000"/>
        </w:rPr>
        <w:fldChar w:fldCharType="separate"/>
      </w:r>
      <w:r w:rsidRPr="00A51DDE">
        <w:rPr>
          <w:rFonts w:ascii="Arial" w:eastAsia="Arial" w:hAnsi="Arial" w:cs="Arial"/>
          <w:noProof/>
          <w:color w:val="000000"/>
        </w:rPr>
        <w:t>(Avelino et al., 2006; Brown et al., 1995; Costa et al., 2006; Eskes &amp; Carvalho, 1983)</w:t>
      </w:r>
      <w:r>
        <w:rPr>
          <w:rFonts w:ascii="Arial" w:eastAsia="Arial" w:hAnsi="Arial" w:cs="Arial"/>
          <w:color w:val="000000"/>
        </w:rPr>
        <w:fldChar w:fldCharType="end"/>
      </w:r>
      <w:r w:rsidRPr="00CD362E">
        <w:rPr>
          <w:rFonts w:ascii="Arial" w:eastAsia="Arial" w:hAnsi="Arial" w:cs="Arial"/>
          <w:color w:val="000000"/>
        </w:rPr>
        <w:t>. Moreover, in years of heavy fruiting, phenolic compounds are diverted from leaves to fruits, diminishing the plant’s antifungal defenses</w:t>
      </w:r>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{"citationItems":[{"id":"ITEM-1","itemData":{"abstract":"Vaca MBA. Uso de fungicidas sistémicos en el control de la roya del cafeto (Hemileia vastatrix Berk. &amp; Br.) en la provincia de Manabí 1. INTRODUCCIÓN L a roya del cafeto es una enfermedad foliar causada por el hongo Hemileia vastatrix Berk. &amp; Br., descubierta en Brasil, en 1970 (Buriticá, 2010). Los primeros registros de la enfermedad en Ecuador datan de 1981, en Zamora Chinchipe; posteriormente, en 1983, fue detectada en Loja y El Oro (MAG, 1987, p. 48-49). La sintomatología característica, según describe Sotomayor (1993 p. 131) es la presencia de pústulas polvorientas de forma redonda en el envés de la hoja, con un diámetro de hasta un centímetro, de color anaranjado al inicio, que se torna progresivamente de rojizo a marrón. El daño que ocasiona la enfermedad es la defoliación prematura, la cual incide en la reducción de la capacidad fotosintética y, consecuentemente, en la disminución de la producción (Sotomayor et al. 1989, p. 57). En 2013, el Consejo Cafetalero Nacional (COFENAC, 2013 p. 8) informó que la roya causó la pérdida del 50 % de la cosecha de café en la jurisdicción de Jipijapa (Manabí) y del 30 % a escala nacional. La roya tiene un impacto en la reducción de las cosechas, en las variedades susceptibles (Típica, Caturra, Bourbón, Villalobos, Catuaí, San Salvador y Pache). La reducida base genética de los cafetales arábigos los hace más vulnerables a las plagas y enfermedades (Schneider, 2013). Por otra parte, Julca et al. (2013) indican que el hongo tiene gran variabilidad genética, habiéndose identificado hasta la fecha 45 razas fisiológicas. Además, la incidencia de roya depende de las condiciones climáticas pues, según Buriticá (2010), a mayor precipitación mayor incidencia. El manejo de la roya usando fungicidas se sustenta en el monitoreo periódico de la enfermedad. Hay que usar fungicidas protectores cuando la incidencia es menor que 5%, en tanto que cuando empieza a rebasar este umbral hay que aplicar fungicidas sistémicos. Según McCook (2009), los fungicidas sistémicos penetran en el tejido de las hojas y tienen efectos curativos. Cárdenas, Suárez y Orozco (s.f.) manifiestan que estos fungicidas atacan al hongo durante el crecimiento miceliar y la formación de pústulas. Con estos antecedentes, se realizó una investigación que tuvo como objetivo determinar la eficacia y dosis óptimas de tres fungicidas sistémicos para el control de la roya del cafeto y establecer los beneficios económicos.","author":[{"dropping-particle":"","family":"Otiniano","given":"Alberto Julca","non-dropping-particle":"","parse-names":false,"suffix":""},{"dropping-particle":"","family":"Anyosa","given":"Cristina Echevarría","non-dropping-particle":"","parse-names":false,"suffix":""},{"dropping-particle":"","family":"Manyari","given":"Yeferson Ladera","non-dropping-particle":"","parse-names":false,"suffix":""},{"dropping-particle":"","family":"Ventura","given":"Ricardo Borjas","non-dropping-particle":"","parse-names":false,"suffix":""},{"dropping-particle":"","family":"Janampa","given":"Rudy Cruz","non-dropping-particle":"","parse-names":false,"suffix":""},{"dropping-particle":"","family":"Amez","given":"Segundo Bello","non-dropping-particle":"","parse-names":false,"suffix":""},{"dropping-particle":"","family":"Costa","given":"Reynaldo Crespo","non-dropping-particle":"","parse-names":false,"suffix":""}],"container-title":"Universidad Nacional Agraria La Molina","id":"ITEM-1","issue":"May","issued":{"date-parts":[["2013"]]},"number-of-pages":"38-40","title":"Una revisión sobre la roya del café (Hemileia vastatrix) algunas experiencias y recomendaciones para el Perú","type":"thesis","volume":"51"},"uris":["http://www.mendeley.com/documents/?uuid=2b60f8ee-0b15-4513-abd0-5611527aa73b"]},{"id":"ITEM-2","itemData":{"DOI":"10.22146/ipas.42124","ISSN":"0126-4214","abstract":"Indicator of coffee resistance to leaf rust attack (Hemileia vastatrix) is needed to select superior coffee plants resistant to biotic stress. This study aims to find the relationship between the content of secondary metabolites and the intensity of leaf rust attack, so that it becomes a reference in the selection of future coffee plants. The experimental design used was a completely randomized design (CRD) with several coffee clones as a treatment. This test tested 5 Arabica coffee clones consisting of Komasti, Maragogik, Usda, Andong sari, and HDT clones. Each consists of 3 replications, and each replication consists of 2 sample plants. Observations were made by observing the intensity of the attack, and plant metabolites such as phenolic content, flavonoids and antioxidant activity were observed when the leaves had been attacked by Hemileia vastatrix. Correlation of leaf rust attack levels with phenolic content, flavonoids and antioxidant activity showed a relationship between each observation variable. Flavonoid content in certain conditions can be used as an indicator to get Arabica coffee plants that are resistant to the attack of leaf rust.","author":[{"dropping-particle":"","family":"Subroto","given":"Gatot","non-dropping-particle":"","parse-names":false,"suffix":""},{"dropping-particle":"","family":"Kusbianto","given":"Dwi Erwin","non-dropping-particle":"","parse-names":false,"suffix":""},{"dropping-particle":"","family":"Avivi","given":"Sholeh","non-dropping-particle":"","parse-names":false,"suffix":""},{"dropping-particle":"","family":"Slameto","given":"Slameto","non-dropping-particle":"","parse-names":false,"suffix":""},{"dropping-particle":"","family":"Setiyono","given":"Setiyono","non-dropping-particle":"","parse-names":false,"suffix":""}],"container-title":"Ilmu Pertanian (Agricultural Science)","id":"ITEM-2","issue":"2","issued":{"date-parts":[["2019"]]},"page":"71","title":"Correlation of secondary metabolites of leaf with resistance to leaf rust (Hemileia vastatrix) on several Arabica coffee clones","type":"article-journal","volume":"4"},"uris":["http://www.mendeley.com/documents/?uuid=1a5b7cac-2ca3-4193-b595-5aeb2a188241"]}],"mendeley":{"formattedCitation":"(Otiniano et al., 2013; Subroto et al., 2019)","plainTextFormattedCitation":"(Otiniano et al., 2013; Subroto et al., 2019)","previouslyFormattedCitation":"(Otiniano et al., 2013; Subroto et al., 2019)"},"properties":{"noteIndex":0},"schema":"https://github.com/citation-style-language/schema/raw/master/csl-citation.json"}</w:instrText>
      </w:r>
      <w:r>
        <w:rPr>
          <w:rFonts w:ascii="Arial" w:eastAsia="Arial" w:hAnsi="Arial" w:cs="Arial"/>
          <w:color w:val="000000"/>
        </w:rPr>
        <w:fldChar w:fldCharType="separate"/>
      </w:r>
      <w:r w:rsidRPr="00CD362E">
        <w:rPr>
          <w:rFonts w:ascii="Arial" w:eastAsia="Arial" w:hAnsi="Arial" w:cs="Arial"/>
          <w:noProof/>
          <w:color w:val="000000"/>
        </w:rPr>
        <w:t>(Otiniano et al., 2013; Subroto et al., 2019)</w:t>
      </w:r>
      <w:r>
        <w:rPr>
          <w:rFonts w:ascii="Arial" w:eastAsia="Arial" w:hAnsi="Arial" w:cs="Arial"/>
          <w:color w:val="000000"/>
        </w:rPr>
        <w:fldChar w:fldCharType="end"/>
      </w:r>
      <w:r w:rsidRPr="00CD362E">
        <w:rPr>
          <w:rFonts w:ascii="Arial" w:eastAsia="Arial" w:hAnsi="Arial" w:cs="Arial"/>
          <w:color w:val="000000"/>
        </w:rPr>
        <w:t>. This physiological trade-off likely contributed to the sharp yield declines observed in susceptible and tolerant clones</w:t>
      </w:r>
      <w:r w:rsidRPr="00A51DDE">
        <w:rPr>
          <w:rFonts w:ascii="Arial" w:eastAsia="Arial" w:hAnsi="Arial" w:cs="Arial"/>
          <w:color w:val="000000"/>
        </w:rPr>
        <w:t xml:space="preserve">. </w:t>
      </w:r>
    </w:p>
    <w:p w14:paraId="6B419640" w14:textId="77777777" w:rsidR="00E91640" w:rsidRDefault="00E91640" w:rsidP="00E91640">
      <w:pPr>
        <w:spacing w:line="276" w:lineRule="auto"/>
        <w:jc w:val="both"/>
        <w:rPr>
          <w:rFonts w:ascii="Arial" w:eastAsia="Arial" w:hAnsi="Arial" w:cs="Arial"/>
          <w:color w:val="000000"/>
        </w:rPr>
      </w:pPr>
    </w:p>
    <w:p w14:paraId="4E2E1394" w14:textId="77777777" w:rsidR="00E91640" w:rsidRPr="00742DB2"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 xml:space="preserve">Overall, these results confirm a negative association between CLR severity and yield, consistent with reports linking rust epidemics to reduced photosynthetic efficiency, carbohydrate depletion and impaired fruit development </w:t>
      </w:r>
      <w:r>
        <w:rPr>
          <w:rFonts w:ascii="Arial" w:eastAsia="Arial" w:hAnsi="Arial" w:cs="Arial"/>
          <w:color w:val="000000"/>
        </w:rPr>
        <w:fldChar w:fldCharType="begin" w:fldLock="1"/>
      </w:r>
      <w:r>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quality","type":"article-journal"},"uris":["http://www.mendeley.com/documents/?uuid=fc031505-3a5b-4af7-a668-dc9ea858e9f9"]},{"id":"ITEM-2","itemData":{"DOI":"10.1590/s1677-04202006000100010","ISSN":"16770420","abstract":"Considerable success has been obtained in the use of classical breeding to control economically important plant diseases, such as the coffee leaf rust and the coffee berry disease (CBD). There is a strong consensus that growing genetically resistant varieties is the most appropriate cost effective means of managing plant diseases and is one of the key components of crop improvement. It has also been recognized that a better knowledge of both, the pathogens and the plant defence mechanisms will allow the development of novel approaches to enhance the durability of resistance. After a brief description of concepts in the field of plant disease resistance, we attempt to give a view of the research progress on coffee leaf rust and CBD concerned with the pathogens infection and variability, coffee breeding for resistance and coffee resistance mechanisms.","author":[{"dropping-particle":"","family":"Silva","given":"Maria Do Céu","non-dropping-particle":"","parse-names":false,"suffix":""},{"dropping-particle":"","family":"Várzea","given":"Victor","non-dropping-particle":"","parse-names":false,"suffix":""},{"dropping-particle":"","family":"Guerra-Guimarães","given":"Leonor","non-dropping-particle":"","parse-names":false,"suffix":""},{"dropping-particle":"","family":"Azinheira","given":"Helena Gil","non-dropping-particle":"","parse-names":false,"suffix":""},{"dropping-particle":"","family":"Fernandez","given":"Diana","non-dropping-particle":"","parse-names":false,"suffix":""},{"dropping-particle":"","family":"Petitot","given":"Anne Sophie","non-dropping-particle":"","parse-names":false,"suffix":""},{"dropping-particle":"","family":"Bertrand","given":"Benoit","non-dropping-particle":"","parse-names":false,"suffix":""},{"dropping-particle":"","family":"Lashermes","given":"Philippe","non-dropping-particle":"","parse-names":false,"suffix":""},{"dropping-particle":"","family":"Nicole","given":"Michel","non-dropping-particle":"","parse-names":false,"suffix":""}],"container-title":"Brazilian Journal of Plant Physiology","id":"ITEM-2","issue":"1","issued":{"date-parts":[["2006"]]},"page":"119-147","title":"Coffee resistance to the main diseases: Leaf rust and coffee berry disease","type":"article-journal","volume":"18"},"uris":["http://www.mendeley.com/documents/?uuid=e891ab0c-2cef-46f6-8d0e-ab893c52aaad"]}],"mendeley":{"formattedCitation":"(Ribeyre &amp; Avelino, 2012; Silva et al., 2006)","plainTextFormattedCitation":"(Ribeyre &amp; Avelino, 2012; Silva et al., 2006)","previouslyFormattedCitation":"(Ribeyre &amp; Avelino, 2012; Silva et al., 2006)"},"properties":{"noteIndex":0},"schema":"https://github.com/citation-style-language/schema/raw/master/csl-citation.json"}</w:instrText>
      </w:r>
      <w:r>
        <w:rPr>
          <w:rFonts w:ascii="Arial" w:eastAsia="Arial" w:hAnsi="Arial" w:cs="Arial"/>
          <w:color w:val="000000"/>
        </w:rPr>
        <w:fldChar w:fldCharType="separate"/>
      </w:r>
      <w:r w:rsidRPr="0028699C">
        <w:rPr>
          <w:rFonts w:ascii="Arial" w:eastAsia="Arial" w:hAnsi="Arial" w:cs="Arial"/>
          <w:noProof/>
          <w:color w:val="000000"/>
        </w:rPr>
        <w:t xml:space="preserve">(Ribeyre &amp; Avelino, </w:t>
      </w:r>
      <w:r w:rsidRPr="0028699C">
        <w:rPr>
          <w:rFonts w:ascii="Arial" w:eastAsia="Arial" w:hAnsi="Arial" w:cs="Arial"/>
          <w:noProof/>
          <w:color w:val="000000"/>
        </w:rPr>
        <w:lastRenderedPageBreak/>
        <w:t>2012; Silva et al., 2006)</w:t>
      </w:r>
      <w:r>
        <w:rPr>
          <w:rFonts w:ascii="Arial" w:eastAsia="Arial" w:hAnsi="Arial" w:cs="Arial"/>
          <w:color w:val="000000"/>
        </w:rPr>
        <w:fldChar w:fldCharType="end"/>
      </w:r>
      <w:r w:rsidRPr="00742DB2">
        <w:rPr>
          <w:rFonts w:ascii="Arial" w:eastAsia="Arial" w:hAnsi="Arial" w:cs="Arial"/>
          <w:color w:val="000000"/>
        </w:rPr>
        <w:t xml:space="preserve">. Clone 213 emerges as a resilient genotype combining resistance with stable productivity, while clones 224, 211, and 222 illustrate varying degrees of susceptibility or tolerance, highlighting the importance of integrating genetic resistance into </w:t>
      </w:r>
      <w:proofErr w:type="spellStart"/>
      <w:r w:rsidRPr="00742DB2">
        <w:rPr>
          <w:rFonts w:ascii="Arial" w:eastAsia="Arial" w:hAnsi="Arial" w:cs="Arial"/>
          <w:color w:val="000000"/>
        </w:rPr>
        <w:t>Liberica</w:t>
      </w:r>
      <w:proofErr w:type="spellEnd"/>
      <w:r w:rsidRPr="00742DB2">
        <w:rPr>
          <w:rFonts w:ascii="Arial" w:eastAsia="Arial" w:hAnsi="Arial" w:cs="Arial"/>
          <w:color w:val="000000"/>
        </w:rPr>
        <w:t xml:space="preserve"> breeding and management strategies.</w:t>
      </w:r>
    </w:p>
    <w:p w14:paraId="1735DD61" w14:textId="77777777" w:rsidR="00C86D99" w:rsidRDefault="00C86D99" w:rsidP="00C86D99">
      <w:pPr>
        <w:spacing w:line="276" w:lineRule="auto"/>
        <w:jc w:val="both"/>
        <w:rPr>
          <w:rFonts w:ascii="Arial" w:eastAsia="Arial" w:hAnsi="Arial" w:cs="Arial"/>
        </w:rPr>
      </w:pPr>
    </w:p>
    <w:p w14:paraId="3C842D8C"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32DE18BD" wp14:editId="5830C8C8">
            <wp:extent cx="2533650" cy="1628775"/>
            <wp:effectExtent l="19050" t="19050" r="19050" b="28575"/>
            <wp:docPr id="1895877117"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77117" name="Picture 2" descr="A screenshot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5F7F132" wp14:editId="58958B88">
            <wp:extent cx="2533650" cy="1628775"/>
            <wp:effectExtent l="19050" t="19050" r="19050" b="28575"/>
            <wp:docPr id="301324186"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24186" name="Picture 3"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solidFill>
                        <a:schemeClr val="tx1"/>
                      </a:solidFill>
                    </a:ln>
                  </pic:spPr>
                </pic:pic>
              </a:graphicData>
            </a:graphic>
          </wp:inline>
        </w:drawing>
      </w:r>
    </w:p>
    <w:p w14:paraId="35D42EE6"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6513E6C3" wp14:editId="7C16B958">
            <wp:extent cx="2533650" cy="1638300"/>
            <wp:effectExtent l="19050" t="19050" r="19050" b="19050"/>
            <wp:docPr id="2065496386"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6386" name="Picture 4" descr="A screenshot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28B6239" wp14:editId="0ED1561D">
            <wp:extent cx="2533650" cy="1638300"/>
            <wp:effectExtent l="19050" t="19050" r="19050" b="19050"/>
            <wp:docPr id="1453238868" name="Picture 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38868" name="Picture 5" descr="A screen 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solidFill>
                        <a:schemeClr val="tx1"/>
                      </a:solidFill>
                    </a:ln>
                  </pic:spPr>
                </pic:pic>
              </a:graphicData>
            </a:graphic>
          </wp:inline>
        </w:drawing>
      </w:r>
    </w:p>
    <w:p w14:paraId="2817FBA2"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04AE4558" wp14:editId="0FE154CE">
            <wp:extent cx="2533650" cy="1619250"/>
            <wp:effectExtent l="19050" t="19050" r="19050" b="19050"/>
            <wp:docPr id="647015108"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5108" name="Picture 6" descr="A screen shot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1C2A8905" wp14:editId="527F1423">
            <wp:extent cx="2533650" cy="1619250"/>
            <wp:effectExtent l="19050" t="19050" r="19050" b="19050"/>
            <wp:docPr id="1434408049"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08049" name="Picture 7" descr="A screenshot of a computer scree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solidFill>
                        <a:schemeClr val="tx1"/>
                      </a:solidFill>
                    </a:ln>
                  </pic:spPr>
                </pic:pic>
              </a:graphicData>
            </a:graphic>
          </wp:inline>
        </w:drawing>
      </w:r>
    </w:p>
    <w:p w14:paraId="3B1D33AB"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2B241513" wp14:editId="7034707B">
            <wp:extent cx="2533650" cy="1581150"/>
            <wp:effectExtent l="19050" t="19050" r="19050" b="19050"/>
            <wp:docPr id="183817030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70303" name="Picture 8" descr="A screen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D50290B" wp14:editId="26CC22DC">
            <wp:extent cx="2533650" cy="1581150"/>
            <wp:effectExtent l="19050" t="19050" r="19050" b="19050"/>
            <wp:docPr id="413262655" name="Picture 9"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2655" name="Picture 9" descr="A screen shot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solidFill>
                        <a:schemeClr val="tx1"/>
                      </a:solidFill>
                    </a:ln>
                  </pic:spPr>
                </pic:pic>
              </a:graphicData>
            </a:graphic>
          </wp:inline>
        </w:drawing>
      </w:r>
    </w:p>
    <w:p w14:paraId="6A53FB57" w14:textId="77777777" w:rsidR="000C5602" w:rsidRDefault="000C5602" w:rsidP="000C5602">
      <w:pPr>
        <w:spacing w:line="276" w:lineRule="auto"/>
        <w:jc w:val="both"/>
        <w:rPr>
          <w:rFonts w:ascii="Arial" w:eastAsia="Arial" w:hAnsi="Arial" w:cs="Arial"/>
        </w:rPr>
      </w:pPr>
      <w:r>
        <w:rPr>
          <w:rFonts w:ascii="Arial" w:eastAsia="Arial" w:hAnsi="Arial" w:cs="Arial"/>
          <w:noProof/>
        </w:rPr>
        <w:lastRenderedPageBreak/>
        <w:drawing>
          <wp:inline distT="0" distB="0" distL="0" distR="0" wp14:anchorId="350C379A" wp14:editId="00621549">
            <wp:extent cx="2533650" cy="1600200"/>
            <wp:effectExtent l="19050" t="19050" r="19050" b="19050"/>
            <wp:docPr id="963261158"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1158" name="Picture 10" descr="A screenshot of a grap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013091D7" wp14:editId="4DD7504F">
            <wp:extent cx="2533650" cy="1600200"/>
            <wp:effectExtent l="19050" t="19050" r="19050" b="19050"/>
            <wp:docPr id="613582791"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2791" name="Picture 11" descr="A screenshot of a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solidFill>
                        <a:schemeClr val="tx1"/>
                      </a:solidFill>
                    </a:ln>
                  </pic:spPr>
                </pic:pic>
              </a:graphicData>
            </a:graphic>
          </wp:inline>
        </w:drawing>
      </w:r>
    </w:p>
    <w:p w14:paraId="0959EA72" w14:textId="0F02A761" w:rsidR="009C1ED2" w:rsidRDefault="00E37E9E">
      <w:pPr>
        <w:spacing w:line="276" w:lineRule="auto"/>
        <w:jc w:val="both"/>
        <w:rPr>
          <w:rFonts w:ascii="Arial" w:eastAsia="Arial" w:hAnsi="Arial" w:cs="Arial"/>
          <w:b/>
        </w:rPr>
      </w:pPr>
      <w:r>
        <w:rPr>
          <w:rFonts w:ascii="Arial" w:eastAsia="Arial" w:hAnsi="Arial" w:cs="Arial"/>
          <w:b/>
        </w:rPr>
        <w:t xml:space="preserve">Figure </w:t>
      </w:r>
      <w:r w:rsidR="000112F0">
        <w:rPr>
          <w:rFonts w:ascii="Arial" w:eastAsia="Arial" w:hAnsi="Arial" w:cs="Arial"/>
          <w:b/>
        </w:rPr>
        <w:t>1</w:t>
      </w:r>
      <w:r>
        <w:rPr>
          <w:rFonts w:ascii="Arial" w:eastAsia="Arial" w:hAnsi="Arial" w:cs="Arial"/>
          <w:b/>
        </w:rPr>
        <w:t xml:space="preserve">. </w:t>
      </w:r>
      <w:r w:rsidR="00C65A05" w:rsidRPr="00C65A05">
        <w:rPr>
          <w:rFonts w:ascii="Arial" w:eastAsia="Arial" w:hAnsi="Arial" w:cs="Arial"/>
          <w:b/>
        </w:rPr>
        <w:t xml:space="preserve">Monthly progression of coffee leaf rust severity (disease severity index, DSI; solid lines with filled circles, left Y-axis) and fresh berry yield (bars; kg/tree, right Y-axis) in five </w:t>
      </w:r>
      <w:proofErr w:type="spellStart"/>
      <w:r w:rsidR="00C65A05" w:rsidRPr="00C65A05">
        <w:rPr>
          <w:rFonts w:ascii="Arial" w:eastAsia="Arial" w:hAnsi="Arial" w:cs="Arial"/>
          <w:b/>
          <w:i/>
          <w:iCs/>
        </w:rPr>
        <w:t>Coffea</w:t>
      </w:r>
      <w:proofErr w:type="spellEnd"/>
      <w:r w:rsidR="00C65A05" w:rsidRPr="00C65A05">
        <w:rPr>
          <w:rFonts w:ascii="Arial" w:eastAsia="Arial" w:hAnsi="Arial" w:cs="Arial"/>
          <w:b/>
          <w:i/>
          <w:iCs/>
        </w:rPr>
        <w:t xml:space="preserve"> </w:t>
      </w:r>
      <w:proofErr w:type="spellStart"/>
      <w:r w:rsidR="00C65A05" w:rsidRPr="00C65A05">
        <w:rPr>
          <w:rFonts w:ascii="Arial" w:eastAsia="Arial" w:hAnsi="Arial" w:cs="Arial"/>
          <w:b/>
          <w:i/>
          <w:iCs/>
        </w:rPr>
        <w:t>liberica</w:t>
      </w:r>
      <w:proofErr w:type="spellEnd"/>
      <w:r w:rsidR="00C65A05" w:rsidRPr="00C65A05">
        <w:rPr>
          <w:rFonts w:ascii="Arial" w:eastAsia="Arial" w:hAnsi="Arial" w:cs="Arial"/>
          <w:b/>
        </w:rPr>
        <w:t xml:space="preserve"> clones (211, 213, 222, 224, and control MKL 7) across two </w:t>
      </w:r>
      <w:r w:rsidR="00C44688">
        <w:rPr>
          <w:rFonts w:ascii="Arial" w:eastAsia="Arial" w:hAnsi="Arial" w:cs="Arial"/>
          <w:b/>
        </w:rPr>
        <w:t>year</w:t>
      </w:r>
      <w:r w:rsidR="00C65A05" w:rsidRPr="00C65A05">
        <w:rPr>
          <w:rFonts w:ascii="Arial" w:eastAsia="Arial" w:hAnsi="Arial" w:cs="Arial"/>
          <w:b/>
        </w:rPr>
        <w:t>s (Year 1: July 2021–June 2022; Year 2: July 2022–June 2023)</w:t>
      </w:r>
      <w:r w:rsidR="00D14F1C" w:rsidRPr="00D14F1C">
        <w:rPr>
          <w:rFonts w:ascii="Arial" w:eastAsia="Arial" w:hAnsi="Arial" w:cs="Arial"/>
          <w:b/>
        </w:rPr>
        <w:t xml:space="preserve">. </w:t>
      </w:r>
      <w:r w:rsidR="00D14F1C">
        <w:rPr>
          <w:rFonts w:ascii="Arial" w:eastAsia="Arial" w:hAnsi="Arial" w:cs="Arial"/>
          <w:b/>
        </w:rPr>
        <w:t>Figure</w:t>
      </w:r>
      <w:r w:rsidR="00D14F1C" w:rsidRPr="00D14F1C">
        <w:rPr>
          <w:rFonts w:ascii="Arial" w:eastAsia="Arial" w:hAnsi="Arial" w:cs="Arial"/>
          <w:b/>
        </w:rPr>
        <w:t xml:space="preserve">s A, C, E, G, I correspond to Year 1 and </w:t>
      </w:r>
      <w:r w:rsidR="00D14F1C">
        <w:rPr>
          <w:rFonts w:ascii="Arial" w:eastAsia="Arial" w:hAnsi="Arial" w:cs="Arial"/>
          <w:b/>
        </w:rPr>
        <w:t>Figure</w:t>
      </w:r>
      <w:r w:rsidR="00D14F1C" w:rsidRPr="00D14F1C">
        <w:rPr>
          <w:rFonts w:ascii="Arial" w:eastAsia="Arial" w:hAnsi="Arial" w:cs="Arial"/>
          <w:b/>
        </w:rPr>
        <w:t xml:space="preserve">s B, D, F, H, J to Year 2. </w:t>
      </w:r>
    </w:p>
    <w:p w14:paraId="2D4A8EFF" w14:textId="77777777" w:rsidR="00B10B08" w:rsidRDefault="00B10B08" w:rsidP="00B10B08">
      <w:pPr>
        <w:spacing w:line="276" w:lineRule="auto"/>
        <w:jc w:val="both"/>
        <w:rPr>
          <w:rFonts w:ascii="Arial" w:eastAsia="Arial" w:hAnsi="Arial" w:cs="Arial"/>
          <w:b/>
        </w:rPr>
      </w:pPr>
    </w:p>
    <w:p w14:paraId="262F5FEE" w14:textId="789239A3"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3.2 </w:t>
      </w:r>
      <w:r w:rsidR="00896D07" w:rsidRPr="00896D07">
        <w:rPr>
          <w:rFonts w:ascii="Arial" w:eastAsia="Arial" w:hAnsi="Arial" w:cs="Arial"/>
          <w:b/>
          <w:sz w:val="22"/>
          <w:szCs w:val="22"/>
        </w:rPr>
        <w:t xml:space="preserve">Clonal variability in </w:t>
      </w:r>
      <w:r w:rsidR="00BD554D" w:rsidRPr="00BD554D">
        <w:rPr>
          <w:rFonts w:ascii="Arial" w:eastAsia="Arial" w:hAnsi="Arial" w:cs="Arial"/>
          <w:b/>
          <w:sz w:val="22"/>
          <w:szCs w:val="22"/>
        </w:rPr>
        <w:t>mean yield and disease parameters</w:t>
      </w:r>
      <w:r w:rsidR="00896D07" w:rsidRPr="00896D07">
        <w:rPr>
          <w:rFonts w:ascii="Arial" w:eastAsia="Arial" w:hAnsi="Arial" w:cs="Arial"/>
          <w:b/>
          <w:sz w:val="22"/>
          <w:szCs w:val="22"/>
        </w:rPr>
        <w:t xml:space="preserve"> </w:t>
      </w:r>
    </w:p>
    <w:p w14:paraId="2D4CD090" w14:textId="77777777" w:rsidR="00E91640" w:rsidRDefault="00E91640" w:rsidP="00E91640">
      <w:pPr>
        <w:spacing w:line="276" w:lineRule="auto"/>
        <w:jc w:val="both"/>
        <w:rPr>
          <w:rFonts w:ascii="Arial" w:eastAsia="Arial" w:hAnsi="Arial" w:cs="Arial"/>
        </w:rPr>
      </w:pPr>
      <w:r w:rsidRPr="00FC438A">
        <w:rPr>
          <w:rFonts w:ascii="Arial" w:eastAsia="Arial" w:hAnsi="Arial" w:cs="Arial"/>
        </w:rPr>
        <w:t xml:space="preserve">The mean values of fresh berry yield, disease incidence, and DSI confirmed strong clonal variability among the evaluated </w:t>
      </w:r>
      <w:r w:rsidRPr="00FC438A">
        <w:rPr>
          <w:rFonts w:ascii="Arial" w:eastAsia="Arial" w:hAnsi="Arial" w:cs="Arial"/>
          <w:i/>
          <w:iCs/>
        </w:rPr>
        <w:t xml:space="preserve">C. </w:t>
      </w:r>
      <w:proofErr w:type="spellStart"/>
      <w:r w:rsidRPr="00FC438A">
        <w:rPr>
          <w:rFonts w:ascii="Arial" w:eastAsia="Arial" w:hAnsi="Arial" w:cs="Arial"/>
          <w:i/>
          <w:iCs/>
        </w:rPr>
        <w:t>liberica</w:t>
      </w:r>
      <w:proofErr w:type="spellEnd"/>
      <w:r w:rsidRPr="00FC438A">
        <w:rPr>
          <w:rFonts w:ascii="Arial" w:eastAsia="Arial" w:hAnsi="Arial" w:cs="Arial"/>
        </w:rPr>
        <w:t xml:space="preserve"> clones (Table 1).</w:t>
      </w:r>
    </w:p>
    <w:p w14:paraId="76E9DE14" w14:textId="77777777" w:rsidR="00E91640" w:rsidRDefault="00E91640" w:rsidP="00E91640">
      <w:pPr>
        <w:spacing w:line="276" w:lineRule="auto"/>
        <w:jc w:val="both"/>
        <w:rPr>
          <w:rFonts w:ascii="Arial" w:eastAsia="Arial" w:hAnsi="Arial" w:cs="Arial"/>
        </w:rPr>
      </w:pPr>
    </w:p>
    <w:p w14:paraId="04F9A732" w14:textId="77777777" w:rsidR="00E91640" w:rsidRDefault="00E91640" w:rsidP="00E91640">
      <w:pPr>
        <w:spacing w:line="276" w:lineRule="auto"/>
        <w:jc w:val="both"/>
        <w:rPr>
          <w:rFonts w:ascii="Arial" w:eastAsia="Arial" w:hAnsi="Arial" w:cs="Arial"/>
        </w:rPr>
      </w:pPr>
      <w:r w:rsidRPr="004656BC">
        <w:rPr>
          <w:rFonts w:ascii="Arial" w:eastAsia="Arial" w:hAnsi="Arial" w:cs="Arial"/>
        </w:rPr>
        <w:t>In Year 1</w:t>
      </w:r>
      <w:r>
        <w:rPr>
          <w:rFonts w:ascii="Arial" w:eastAsia="Arial" w:hAnsi="Arial" w:cs="Arial"/>
        </w:rPr>
        <w:t xml:space="preserve"> </w:t>
      </w:r>
      <w:r w:rsidRPr="00F96154">
        <w:rPr>
          <w:rFonts w:ascii="Arial" w:eastAsia="Arial" w:hAnsi="Arial" w:cs="Arial"/>
        </w:rPr>
        <w:t>(July 2021–June 2022),</w:t>
      </w:r>
      <w:r w:rsidRPr="004656BC">
        <w:rPr>
          <w:rFonts w:ascii="Arial" w:eastAsia="Arial" w:hAnsi="Arial" w:cs="Arial"/>
        </w:rPr>
        <w:t xml:space="preserve"> </w:t>
      </w:r>
      <w:r>
        <w:rPr>
          <w:rFonts w:ascii="Arial" w:eastAsia="Arial" w:hAnsi="Arial" w:cs="Arial"/>
        </w:rPr>
        <w:t xml:space="preserve">clone 213 </w:t>
      </w:r>
      <w:r w:rsidRPr="0036642B">
        <w:rPr>
          <w:rFonts w:ascii="Arial" w:eastAsia="Arial" w:hAnsi="Arial" w:cs="Arial"/>
        </w:rPr>
        <w:t>achieved the highest mean yield (1.420 kg tree</w:t>
      </w:r>
      <w:r w:rsidRPr="0036642B">
        <w:rPr>
          <w:rFonts w:ascii="Cambria Math" w:eastAsia="Arial" w:hAnsi="Cambria Math" w:cs="Cambria Math"/>
        </w:rPr>
        <w:t>⁻</w:t>
      </w:r>
      <w:r w:rsidRPr="0036642B">
        <w:rPr>
          <w:rFonts w:ascii="Arial" w:eastAsia="Arial" w:hAnsi="Arial" w:cs="Arial"/>
        </w:rPr>
        <w:t>¹),</w:t>
      </w:r>
      <w:r>
        <w:rPr>
          <w:rFonts w:ascii="Arial" w:eastAsia="Arial" w:hAnsi="Arial" w:cs="Arial"/>
        </w:rPr>
        <w:t xml:space="preserve"> with </w:t>
      </w:r>
      <w:r w:rsidRPr="00226E1C">
        <w:rPr>
          <w:rFonts w:ascii="Arial" w:eastAsia="Arial" w:hAnsi="Arial" w:cs="Arial"/>
        </w:rPr>
        <w:t xml:space="preserve">the lowest incidence (27.18%) and DSI (9.24%). </w:t>
      </w:r>
      <w:r w:rsidRPr="00F6524B">
        <w:rPr>
          <w:rFonts w:ascii="Arial" w:eastAsia="Arial" w:hAnsi="Arial" w:cs="Arial"/>
        </w:rPr>
        <w:t>This reflects strong resistance to CLR, which preserved photosynthetic capacity and enabled efficient assimilate partitioning toward fruiting.</w:t>
      </w:r>
      <w:r w:rsidRPr="00226E1C">
        <w:rPr>
          <w:rFonts w:ascii="Arial" w:eastAsia="Arial" w:hAnsi="Arial" w:cs="Arial"/>
        </w:rPr>
        <w:t xml:space="preserve"> In contrast</w:t>
      </w:r>
      <w:r>
        <w:rPr>
          <w:rFonts w:ascii="Arial" w:eastAsia="Arial" w:hAnsi="Arial" w:cs="Arial"/>
        </w:rPr>
        <w:t>,</w:t>
      </w:r>
      <w:r w:rsidRPr="00F96154">
        <w:t xml:space="preserve"> </w:t>
      </w:r>
      <w:r w:rsidRPr="0036642B">
        <w:rPr>
          <w:rFonts w:ascii="Arial" w:eastAsia="Arial" w:hAnsi="Arial" w:cs="Arial"/>
        </w:rPr>
        <w:t>clone 222, with high incidence (37.58%) and DSI (14.27%), recorded the lowest yield (0.720 kg tree</w:t>
      </w:r>
      <w:r w:rsidRPr="0036642B">
        <w:rPr>
          <w:rFonts w:ascii="Cambria Math" w:eastAsia="Arial" w:hAnsi="Cambria Math" w:cs="Cambria Math"/>
        </w:rPr>
        <w:t>⁻</w:t>
      </w:r>
      <w:r w:rsidRPr="0036642B">
        <w:rPr>
          <w:rFonts w:ascii="Arial" w:eastAsia="Arial" w:hAnsi="Arial" w:cs="Arial"/>
        </w:rPr>
        <w:t xml:space="preserve">¹), clearly reflecting susceptibility. Clone 211 </w:t>
      </w:r>
      <w:r>
        <w:rPr>
          <w:rFonts w:ascii="Arial" w:eastAsia="Arial" w:hAnsi="Arial" w:cs="Arial"/>
        </w:rPr>
        <w:t>showed</w:t>
      </w:r>
      <w:r w:rsidRPr="0036642B">
        <w:rPr>
          <w:rFonts w:ascii="Arial" w:eastAsia="Arial" w:hAnsi="Arial" w:cs="Arial"/>
        </w:rPr>
        <w:t xml:space="preserve"> similarly high disease levels (40.61% incidence; 15.09% DSI) but a slightly higher yield (1.078 kg tree</w:t>
      </w:r>
      <w:r w:rsidRPr="0036642B">
        <w:rPr>
          <w:rFonts w:ascii="Cambria Math" w:eastAsia="Arial" w:hAnsi="Cambria Math" w:cs="Cambria Math"/>
        </w:rPr>
        <w:t>⁻</w:t>
      </w:r>
      <w:r w:rsidRPr="0036642B">
        <w:rPr>
          <w:rFonts w:ascii="Arial" w:eastAsia="Arial" w:hAnsi="Arial" w:cs="Arial"/>
        </w:rPr>
        <w:t>¹),</w:t>
      </w:r>
      <w:r w:rsidRPr="00F96154">
        <w:rPr>
          <w:rFonts w:ascii="Arial" w:eastAsia="Arial" w:hAnsi="Arial" w:cs="Arial"/>
        </w:rPr>
        <w:t xml:space="preserve"> indicating that</w:t>
      </w:r>
      <w:r>
        <w:rPr>
          <w:rFonts w:ascii="Arial" w:eastAsia="Arial" w:hAnsi="Arial" w:cs="Arial"/>
        </w:rPr>
        <w:t xml:space="preserve"> high CLR levels consistently limit productivity</w:t>
      </w:r>
      <w:r w:rsidRPr="00226E1C">
        <w:rPr>
          <w:rFonts w:ascii="Arial" w:eastAsia="Arial" w:hAnsi="Arial" w:cs="Arial"/>
        </w:rPr>
        <w:t>.</w:t>
      </w:r>
      <w:r w:rsidRPr="004656BC">
        <w:rPr>
          <w:rFonts w:ascii="Arial" w:eastAsia="Arial" w:hAnsi="Arial" w:cs="Arial"/>
        </w:rPr>
        <w:t xml:space="preserve"> Interestingly, </w:t>
      </w:r>
      <w:r w:rsidRPr="00F96154">
        <w:rPr>
          <w:rFonts w:ascii="Arial" w:eastAsia="Arial" w:hAnsi="Arial" w:cs="Arial"/>
        </w:rPr>
        <w:t>clone 224 maintained a relatively high yield (1.331 kg tree</w:t>
      </w:r>
      <w:r w:rsidRPr="00F96154">
        <w:rPr>
          <w:rFonts w:ascii="Cambria Math" w:eastAsia="Arial" w:hAnsi="Cambria Math" w:cs="Cambria Math"/>
        </w:rPr>
        <w:t>⁻</w:t>
      </w:r>
      <w:r w:rsidRPr="00F96154">
        <w:rPr>
          <w:rFonts w:ascii="Arial" w:eastAsia="Arial" w:hAnsi="Arial" w:cs="Arial"/>
        </w:rPr>
        <w:t xml:space="preserve">¹) despite high disease incidence (39.66%) and DSI (14.43%), suggesting </w:t>
      </w:r>
      <w:r w:rsidRPr="00226E1C">
        <w:rPr>
          <w:rFonts w:ascii="Arial" w:eastAsia="Arial" w:hAnsi="Arial" w:cs="Arial"/>
        </w:rPr>
        <w:t>tolerance</w:t>
      </w:r>
      <w:r>
        <w:rPr>
          <w:rFonts w:ascii="Arial" w:eastAsia="Arial" w:hAnsi="Arial" w:cs="Arial"/>
        </w:rPr>
        <w:t>, an</w:t>
      </w:r>
      <w:r w:rsidRPr="00226E1C">
        <w:rPr>
          <w:rFonts w:ascii="Arial" w:eastAsia="Arial" w:hAnsi="Arial" w:cs="Arial"/>
        </w:rPr>
        <w:t xml:space="preserve"> ability to</w:t>
      </w:r>
      <w:r>
        <w:rPr>
          <w:rFonts w:ascii="Arial" w:eastAsia="Arial" w:hAnsi="Arial" w:cs="Arial"/>
        </w:rPr>
        <w:t xml:space="preserve"> sustain</w:t>
      </w:r>
      <w:r w:rsidRPr="00226E1C">
        <w:rPr>
          <w:rFonts w:ascii="Arial" w:eastAsia="Arial" w:hAnsi="Arial" w:cs="Arial"/>
        </w:rPr>
        <w:t xml:space="preserve"> yield despite substantial disease pressure. The control MKL 7, </w:t>
      </w:r>
      <w:r>
        <w:rPr>
          <w:rFonts w:ascii="Arial" w:eastAsia="Arial" w:hAnsi="Arial" w:cs="Arial"/>
        </w:rPr>
        <w:t>meanwhile, showed</w:t>
      </w:r>
      <w:r w:rsidRPr="00226E1C">
        <w:rPr>
          <w:rFonts w:ascii="Arial" w:eastAsia="Arial" w:hAnsi="Arial" w:cs="Arial"/>
        </w:rPr>
        <w:t xml:space="preserve"> </w:t>
      </w:r>
      <w:r w:rsidRPr="0036642B">
        <w:rPr>
          <w:rFonts w:ascii="Arial" w:eastAsia="Arial" w:hAnsi="Arial" w:cs="Arial"/>
        </w:rPr>
        <w:t xml:space="preserve">intermediate </w:t>
      </w:r>
      <w:r w:rsidRPr="00F6524B">
        <w:rPr>
          <w:rFonts w:ascii="Arial" w:eastAsia="Arial" w:hAnsi="Arial" w:cs="Arial"/>
        </w:rPr>
        <w:t>performance</w:t>
      </w:r>
      <w:r w:rsidRPr="0036642B">
        <w:rPr>
          <w:rFonts w:ascii="Arial" w:eastAsia="Arial" w:hAnsi="Arial" w:cs="Arial"/>
        </w:rPr>
        <w:t xml:space="preserve"> (0.908 kg tree</w:t>
      </w:r>
      <w:r w:rsidRPr="0036642B">
        <w:rPr>
          <w:rFonts w:ascii="Cambria Math" w:eastAsia="Arial" w:hAnsi="Cambria Math" w:cs="Cambria Math"/>
        </w:rPr>
        <w:t>⁻</w:t>
      </w:r>
      <w:r w:rsidRPr="0036642B">
        <w:rPr>
          <w:rFonts w:ascii="Arial" w:eastAsia="Arial" w:hAnsi="Arial" w:cs="Arial"/>
        </w:rPr>
        <w:t xml:space="preserve">¹; 33.20% incidence; 11.55% DSI), consistent with its role as a moderately productive </w:t>
      </w:r>
      <w:r>
        <w:rPr>
          <w:rFonts w:ascii="Arial" w:eastAsia="Arial" w:hAnsi="Arial" w:cs="Arial"/>
        </w:rPr>
        <w:t>bu</w:t>
      </w:r>
      <w:r w:rsidRPr="0036642B">
        <w:rPr>
          <w:rFonts w:ascii="Arial" w:eastAsia="Arial" w:hAnsi="Arial" w:cs="Arial"/>
        </w:rPr>
        <w:t>t susceptible benchmark.</w:t>
      </w:r>
    </w:p>
    <w:p w14:paraId="788FDB70" w14:textId="77777777" w:rsidR="00E91640" w:rsidRDefault="00E91640" w:rsidP="00E91640">
      <w:pPr>
        <w:spacing w:line="276" w:lineRule="auto"/>
        <w:jc w:val="both"/>
        <w:rPr>
          <w:rFonts w:ascii="Arial" w:eastAsia="Arial" w:hAnsi="Arial" w:cs="Arial"/>
        </w:rPr>
      </w:pPr>
    </w:p>
    <w:p w14:paraId="41E25352" w14:textId="77777777" w:rsidR="00E91640" w:rsidRPr="00226E1C" w:rsidRDefault="00E91640" w:rsidP="00E91640">
      <w:pPr>
        <w:spacing w:line="276" w:lineRule="auto"/>
        <w:jc w:val="both"/>
        <w:rPr>
          <w:rFonts w:ascii="Arial" w:eastAsia="Arial" w:hAnsi="Arial" w:cs="Arial"/>
        </w:rPr>
      </w:pPr>
      <w:r w:rsidRPr="004656BC">
        <w:rPr>
          <w:rFonts w:ascii="Arial" w:eastAsia="Arial" w:hAnsi="Arial" w:cs="Arial"/>
        </w:rPr>
        <w:t xml:space="preserve">In Year 2 (July 2022–June 2023), </w:t>
      </w:r>
      <w:r w:rsidRPr="00226E1C">
        <w:rPr>
          <w:rFonts w:ascii="Arial" w:eastAsia="Arial" w:hAnsi="Arial" w:cs="Arial"/>
        </w:rPr>
        <w:t xml:space="preserve">overall yields declined </w:t>
      </w:r>
      <w:r>
        <w:rPr>
          <w:rFonts w:ascii="Arial" w:eastAsia="Arial" w:hAnsi="Arial" w:cs="Arial"/>
        </w:rPr>
        <w:t xml:space="preserve">across </w:t>
      </w:r>
      <w:r w:rsidRPr="00226E1C">
        <w:rPr>
          <w:rFonts w:ascii="Arial" w:eastAsia="Arial" w:hAnsi="Arial" w:cs="Arial"/>
        </w:rPr>
        <w:t xml:space="preserve">all clones, </w:t>
      </w:r>
      <w:r w:rsidRPr="00F6524B">
        <w:rPr>
          <w:rFonts w:ascii="Arial" w:eastAsia="Arial" w:hAnsi="Arial" w:cs="Arial"/>
        </w:rPr>
        <w:t>reflecting the combined effects of</w:t>
      </w:r>
      <w:r>
        <w:rPr>
          <w:rFonts w:ascii="Arial" w:eastAsia="Arial" w:hAnsi="Arial" w:cs="Arial"/>
        </w:rPr>
        <w:t xml:space="preserve"> </w:t>
      </w:r>
      <w:r w:rsidRPr="00226E1C">
        <w:rPr>
          <w:rFonts w:ascii="Arial" w:eastAsia="Arial" w:hAnsi="Arial" w:cs="Arial"/>
        </w:rPr>
        <w:t>biennial bearing and cumulative disease stress. Clone 213</w:t>
      </w:r>
      <w:r>
        <w:rPr>
          <w:rFonts w:ascii="Arial" w:eastAsia="Arial" w:hAnsi="Arial" w:cs="Arial"/>
        </w:rPr>
        <w:t xml:space="preserve"> again achieved the</w:t>
      </w:r>
      <w:r w:rsidRPr="00226E1C">
        <w:rPr>
          <w:rFonts w:ascii="Arial" w:eastAsia="Arial" w:hAnsi="Arial" w:cs="Arial"/>
        </w:rPr>
        <w:t xml:space="preserve"> </w:t>
      </w:r>
      <w:r w:rsidRPr="00925117">
        <w:rPr>
          <w:rFonts w:ascii="Arial" w:eastAsia="Arial" w:hAnsi="Arial" w:cs="Arial"/>
        </w:rPr>
        <w:t xml:space="preserve">highest mean yield </w:t>
      </w:r>
      <w:r w:rsidRPr="0036642B">
        <w:rPr>
          <w:rFonts w:ascii="Arial" w:eastAsia="Arial" w:hAnsi="Arial" w:cs="Arial"/>
        </w:rPr>
        <w:t>(0.623 kg tree</w:t>
      </w:r>
      <w:r w:rsidRPr="0036642B">
        <w:rPr>
          <w:rFonts w:ascii="Cambria Math" w:eastAsia="Arial" w:hAnsi="Cambria Math" w:cs="Cambria Math"/>
        </w:rPr>
        <w:t>⁻</w:t>
      </w:r>
      <w:r w:rsidRPr="0036642B">
        <w:rPr>
          <w:rFonts w:ascii="Arial" w:eastAsia="Arial" w:hAnsi="Arial" w:cs="Arial"/>
        </w:rPr>
        <w:t xml:space="preserve">¹), </w:t>
      </w:r>
      <w:r>
        <w:rPr>
          <w:rFonts w:ascii="Arial" w:eastAsia="Arial" w:hAnsi="Arial" w:cs="Arial"/>
        </w:rPr>
        <w:t xml:space="preserve">with the </w:t>
      </w:r>
      <w:r w:rsidRPr="0036642B">
        <w:rPr>
          <w:rFonts w:ascii="Arial" w:eastAsia="Arial" w:hAnsi="Arial" w:cs="Arial"/>
        </w:rPr>
        <w:t>lowest incidence (19.43%) and DSI (4.56%)</w:t>
      </w:r>
      <w:r w:rsidRPr="005E047A">
        <w:rPr>
          <w:rFonts w:ascii="Arial" w:eastAsia="Arial" w:hAnsi="Arial" w:cs="Arial"/>
        </w:rPr>
        <w:t>, confirming its durable resistance, although yield fell by more than 50% compared with the previous year.</w:t>
      </w:r>
      <w:r>
        <w:rPr>
          <w:rFonts w:ascii="Arial" w:eastAsia="Arial" w:hAnsi="Arial" w:cs="Arial"/>
        </w:rPr>
        <w:t xml:space="preserve"> </w:t>
      </w:r>
      <w:r w:rsidRPr="0036642B">
        <w:rPr>
          <w:rFonts w:ascii="Arial" w:eastAsia="Arial" w:hAnsi="Arial" w:cs="Arial"/>
        </w:rPr>
        <w:t xml:space="preserve">Clone 224, however, </w:t>
      </w:r>
      <w:r>
        <w:rPr>
          <w:rFonts w:ascii="Arial" w:eastAsia="Arial" w:hAnsi="Arial" w:cs="Arial"/>
        </w:rPr>
        <w:t>showed</w:t>
      </w:r>
      <w:r w:rsidRPr="0036642B">
        <w:rPr>
          <w:rFonts w:ascii="Arial" w:eastAsia="Arial" w:hAnsi="Arial" w:cs="Arial"/>
        </w:rPr>
        <w:t xml:space="preserve"> the </w:t>
      </w:r>
      <w:r w:rsidRPr="00F6524B">
        <w:rPr>
          <w:rFonts w:ascii="Arial" w:eastAsia="Arial" w:hAnsi="Arial" w:cs="Arial"/>
        </w:rPr>
        <w:t>steepest</w:t>
      </w:r>
      <w:r w:rsidRPr="0036642B">
        <w:rPr>
          <w:rFonts w:ascii="Arial" w:eastAsia="Arial" w:hAnsi="Arial" w:cs="Arial"/>
        </w:rPr>
        <w:t xml:space="preserve"> </w:t>
      </w:r>
      <w:r>
        <w:rPr>
          <w:rFonts w:ascii="Arial" w:eastAsia="Arial" w:hAnsi="Arial" w:cs="Arial"/>
        </w:rPr>
        <w:t xml:space="preserve">yield </w:t>
      </w:r>
      <w:r w:rsidRPr="0036642B">
        <w:rPr>
          <w:rFonts w:ascii="Arial" w:eastAsia="Arial" w:hAnsi="Arial" w:cs="Arial"/>
        </w:rPr>
        <w:t>decline (from 1.331 to 0.259 kg tree</w:t>
      </w:r>
      <w:r w:rsidRPr="0036642B">
        <w:rPr>
          <w:rFonts w:ascii="Cambria Math" w:eastAsia="Arial" w:hAnsi="Cambria Math" w:cs="Cambria Math"/>
        </w:rPr>
        <w:t>⁻</w:t>
      </w:r>
      <w:r w:rsidRPr="0036642B">
        <w:rPr>
          <w:rFonts w:ascii="Arial" w:eastAsia="Arial" w:hAnsi="Arial" w:cs="Arial"/>
        </w:rPr>
        <w:t xml:space="preserve">¹), </w:t>
      </w:r>
      <w:r w:rsidRPr="00F6524B">
        <w:rPr>
          <w:rFonts w:ascii="Arial" w:eastAsia="Arial" w:hAnsi="Arial" w:cs="Arial"/>
        </w:rPr>
        <w:t>suggesting strong sensitivity to environmental and disease pressures.</w:t>
      </w:r>
      <w:r>
        <w:rPr>
          <w:rFonts w:ascii="Arial" w:eastAsia="Arial" w:hAnsi="Arial" w:cs="Arial"/>
        </w:rPr>
        <w:t xml:space="preserve"> </w:t>
      </w:r>
      <w:r w:rsidRPr="00226E1C">
        <w:rPr>
          <w:rFonts w:ascii="Arial" w:eastAsia="Arial" w:hAnsi="Arial" w:cs="Arial"/>
        </w:rPr>
        <w:t xml:space="preserve">Clone 211 </w:t>
      </w:r>
      <w:r w:rsidRPr="00FC438A">
        <w:rPr>
          <w:rFonts w:ascii="Arial" w:eastAsia="Arial" w:hAnsi="Arial" w:cs="Arial"/>
        </w:rPr>
        <w:t>remained among the most susceptible</w:t>
      </w:r>
      <w:r w:rsidRPr="00226E1C">
        <w:rPr>
          <w:rFonts w:ascii="Arial" w:eastAsia="Arial" w:hAnsi="Arial" w:cs="Arial"/>
        </w:rPr>
        <w:t xml:space="preserve"> (</w:t>
      </w:r>
      <w:r w:rsidRPr="0044435C">
        <w:rPr>
          <w:rFonts w:ascii="Arial" w:eastAsia="Arial" w:hAnsi="Arial" w:cs="Arial"/>
        </w:rPr>
        <w:t>0.706 kg tree</w:t>
      </w:r>
      <w:r w:rsidRPr="0044435C">
        <w:rPr>
          <w:rFonts w:ascii="Cambria Math" w:eastAsia="Arial" w:hAnsi="Cambria Math" w:cs="Cambria Math"/>
        </w:rPr>
        <w:t>⁻</w:t>
      </w:r>
      <w:r w:rsidRPr="0044435C">
        <w:rPr>
          <w:rFonts w:ascii="Arial" w:eastAsia="Arial" w:hAnsi="Arial" w:cs="Arial"/>
        </w:rPr>
        <w:t>¹;</w:t>
      </w:r>
      <w:r w:rsidRPr="00226E1C">
        <w:rPr>
          <w:rFonts w:ascii="Arial" w:eastAsia="Arial" w:hAnsi="Arial" w:cs="Arial"/>
        </w:rPr>
        <w:t xml:space="preserve"> 12.96% DSI), while MKL 7 </w:t>
      </w:r>
      <w:r>
        <w:rPr>
          <w:rFonts w:ascii="Arial" w:eastAsia="Arial" w:hAnsi="Arial" w:cs="Arial"/>
        </w:rPr>
        <w:t xml:space="preserve">was moderate but </w:t>
      </w:r>
      <w:r w:rsidRPr="00FC438A">
        <w:rPr>
          <w:rFonts w:ascii="Arial" w:eastAsia="Arial" w:hAnsi="Arial" w:cs="Arial"/>
        </w:rPr>
        <w:t>maintained</w:t>
      </w:r>
      <w:r w:rsidRPr="00226E1C">
        <w:rPr>
          <w:rFonts w:ascii="Arial" w:eastAsia="Arial" w:hAnsi="Arial" w:cs="Arial"/>
        </w:rPr>
        <w:t xml:space="preserve"> relatively stable </w:t>
      </w:r>
      <w:r>
        <w:rPr>
          <w:rFonts w:ascii="Arial" w:eastAsia="Arial" w:hAnsi="Arial" w:cs="Arial"/>
        </w:rPr>
        <w:t>yields</w:t>
      </w:r>
      <w:r w:rsidRPr="00226E1C">
        <w:rPr>
          <w:rFonts w:ascii="Arial" w:eastAsia="Arial" w:hAnsi="Arial" w:cs="Arial"/>
        </w:rPr>
        <w:t xml:space="preserve"> across</w:t>
      </w:r>
      <w:r>
        <w:rPr>
          <w:rFonts w:ascii="Arial" w:eastAsia="Arial" w:hAnsi="Arial" w:cs="Arial"/>
        </w:rPr>
        <w:t xml:space="preserve"> both</w:t>
      </w:r>
      <w:r w:rsidRPr="00226E1C">
        <w:rPr>
          <w:rFonts w:ascii="Arial" w:eastAsia="Arial" w:hAnsi="Arial" w:cs="Arial"/>
        </w:rPr>
        <w:t xml:space="preserve"> years.</w:t>
      </w:r>
    </w:p>
    <w:p w14:paraId="22A33F8A" w14:textId="77777777" w:rsidR="00E91640" w:rsidRDefault="00E91640" w:rsidP="00E91640">
      <w:pPr>
        <w:spacing w:line="276" w:lineRule="auto"/>
        <w:jc w:val="both"/>
        <w:rPr>
          <w:rFonts w:ascii="Arial" w:eastAsia="Arial" w:hAnsi="Arial" w:cs="Arial"/>
        </w:rPr>
      </w:pPr>
    </w:p>
    <w:p w14:paraId="6BC9674C" w14:textId="77777777" w:rsidR="00E91640" w:rsidRDefault="00E91640" w:rsidP="00E91640">
      <w:pPr>
        <w:spacing w:line="276" w:lineRule="auto"/>
        <w:jc w:val="both"/>
        <w:rPr>
          <w:rFonts w:ascii="Arial" w:eastAsia="Arial" w:hAnsi="Arial" w:cs="Arial"/>
        </w:rPr>
      </w:pPr>
      <w:r w:rsidRPr="00F6524B">
        <w:rPr>
          <w:rFonts w:ascii="Arial" w:eastAsia="Arial" w:hAnsi="Arial" w:cs="Arial"/>
        </w:rPr>
        <w:t>Seasonal patterns revealed that yield reductions were strongly influenced by biennial bearing, with disease severity closely tracking fruit load. In Year 1, heavier fruiting coincided with higher CLR severity, whereas in Year 2, reduced fruiting was associated with lower DSI values. The pronounced decline in clone 224 highlights its vulnerability not only to biennial effects but also to unfavo</w:t>
      </w:r>
      <w:r>
        <w:rPr>
          <w:rFonts w:ascii="Arial" w:eastAsia="Arial" w:hAnsi="Arial" w:cs="Arial"/>
        </w:rPr>
        <w:t>r</w:t>
      </w:r>
      <w:r w:rsidRPr="00F6524B">
        <w:rPr>
          <w:rFonts w:ascii="Arial" w:eastAsia="Arial" w:hAnsi="Arial" w:cs="Arial"/>
        </w:rPr>
        <w:t>able climatic conditions such as drought or excessive rainfall, both of which are known to reduce coffee productivity</w:t>
      </w:r>
      <w:r>
        <w:rPr>
          <w:rFonts w:ascii="Arial" w:eastAsia="Arial" w:hAnsi="Arial" w:cs="Arial"/>
        </w:rPr>
        <w:t xml:space="preserve"> </w:t>
      </w:r>
      <w:r>
        <w:rPr>
          <w:rFonts w:ascii="Arial" w:eastAsia="Arial" w:hAnsi="Arial" w:cs="Arial"/>
        </w:rPr>
        <w:fldChar w:fldCharType="begin" w:fldLock="1"/>
      </w:r>
      <w:r>
        <w:rPr>
          <w:rFonts w:ascii="Arial" w:eastAsia="Arial" w:hAnsi="Arial" w:cs="Arial"/>
        </w:rPr>
        <w:instrText>ADDIN CSL_CITATION {"citationItems":[{"id":"ITEM-1","itemData":{"DOI":"10.1007/s40858-018-0271-8","ISSN":"19832052","abstract":"Coffea arabica is native to the Afromontane forests of southwestern Ethiopia, the leading African country in Arabica coffee production. The intensity of coffee leaf rust (CLR), a fungal disease of growing concern to coffee farmers, was assessed in eight coffee berry disease-resistant C. arabica varieties planted at three different altitudes. Disease variables assessed were CLR prevalence (percent of infected plants), incidence (percent rusted leaves) and severity (percent leaf area affected) at four times within a year (Nov, Jan, Apr and Jun). The intensity of CLR epidemics was highest at the lowland and lowest at the highland location. We hypothesize that inoculum may be limited by cooling conditions that negatively affects fungal sporulation. CLR intensity was highest at harvest time (Nov) and decreased during the following dry season, reaching zero values in Apr and Jun. All coffee varieties were similarly susceptible to CLR. Our data suggest that more efforts should be employed by breeders to develop CLR-resistant coffee varieties, and that shifting cultivation from lower to higher altitudes may contribute to achieve to higher yields due to lower impact of CLR epidemics.","author":[{"dropping-particle":"","family":"Daba","given":"Gerba","non-dropping-particle":"","parse-names":false,"suffix":""},{"dropping-particle":"","family":"Helsen","given":"Kenny","non-dropping-particle":"","parse-names":false,"suffix":""},{"dropping-particle":"","family":"Berecha","given":"Gezahegn","non-dropping-particle":"","parse-names":false,"suffix":""},{"dropping-particle":"","family":"Lievens","given":"Bart","non-dropping-particle":"","parse-names":false,"suffix":""},{"dropping-particle":"","family":"Debela","given":"Adugna","non-dropping-particle":"","parse-names":false,"suffix":""},{"dropping-particle":"","family":"Honnay","given":"Olivier","non-dropping-particle":"","parse-names":false,"suffix":""}],"container-title":"Tropical Plant Pathology","id":"ITEM-1","issue":"3","issued":{"date-parts":[["2019"]]},"page":"244-250","publisher":"Tropical Plant Pathology","title":"Seasonal and altitudinal differences in coffee leaf rust epidemics on coffee berry disease-resistant varieties in Southwest Ethiopia","type":"article-journal","volume":"44"},"uris":["http://www.mendeley.com/documents/?uuid=2ae0e935-6e1c-49fc-865b-67a3684fa24e"]}],"mendeley":{"formattedCitation":"(Daba et al., 2019)","plainTextFormattedCitation":"(Daba et al., 2019)","previouslyFormattedCitation":"(Daba et al., 2019)"},"properties":{"noteIndex":0},"schema":"https://github.com/citation-style-language/schema/raw/master/csl-citation.json"}</w:instrText>
      </w:r>
      <w:r>
        <w:rPr>
          <w:rFonts w:ascii="Arial" w:eastAsia="Arial" w:hAnsi="Arial" w:cs="Arial"/>
        </w:rPr>
        <w:fldChar w:fldCharType="separate"/>
      </w:r>
      <w:r w:rsidRPr="00507D2B">
        <w:rPr>
          <w:rFonts w:ascii="Arial" w:eastAsia="Arial" w:hAnsi="Arial" w:cs="Arial"/>
          <w:noProof/>
        </w:rPr>
        <w:t>(Daba et al., 2019)</w:t>
      </w:r>
      <w:r>
        <w:rPr>
          <w:rFonts w:ascii="Arial" w:eastAsia="Arial" w:hAnsi="Arial" w:cs="Arial"/>
        </w:rPr>
        <w:fldChar w:fldCharType="end"/>
      </w:r>
      <w:r>
        <w:rPr>
          <w:rFonts w:ascii="Arial" w:eastAsia="Arial" w:hAnsi="Arial" w:cs="Arial"/>
        </w:rPr>
        <w:t>.</w:t>
      </w:r>
    </w:p>
    <w:p w14:paraId="288CCA78" w14:textId="77777777" w:rsidR="00E91640" w:rsidRDefault="00E91640" w:rsidP="00E91640">
      <w:pPr>
        <w:spacing w:line="276" w:lineRule="auto"/>
        <w:jc w:val="both"/>
        <w:rPr>
          <w:rFonts w:ascii="Arial" w:eastAsia="Arial" w:hAnsi="Arial" w:cs="Arial"/>
        </w:rPr>
      </w:pPr>
    </w:p>
    <w:p w14:paraId="3C401AD0" w14:textId="77777777" w:rsidR="00E91640" w:rsidRDefault="00E91640" w:rsidP="00E91640">
      <w:pPr>
        <w:spacing w:line="276" w:lineRule="auto"/>
        <w:jc w:val="both"/>
        <w:rPr>
          <w:rFonts w:ascii="Arial" w:eastAsia="Arial" w:hAnsi="Arial" w:cs="Arial"/>
        </w:rPr>
      </w:pPr>
      <w:r w:rsidRPr="0044435C">
        <w:rPr>
          <w:rFonts w:ascii="Arial" w:eastAsia="Arial" w:hAnsi="Arial" w:cs="Arial"/>
        </w:rPr>
        <w:t>Biennial bearing, characteri</w:t>
      </w:r>
      <w:r>
        <w:rPr>
          <w:rFonts w:ascii="Arial" w:eastAsia="Arial" w:hAnsi="Arial" w:cs="Arial"/>
        </w:rPr>
        <w:t>z</w:t>
      </w:r>
      <w:r w:rsidRPr="0044435C">
        <w:rPr>
          <w:rFonts w:ascii="Arial" w:eastAsia="Arial" w:hAnsi="Arial" w:cs="Arial"/>
        </w:rPr>
        <w:t>ed by alternating years of high and low fruiting due to resource reallocation</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{"citationItems":[{"id":"ITEM-1","itemData":{"author":[{"dropping-particle":"","family":"Picini","given":"Angelica Giarolla","non-dropping-particle":"","parse-names":false,"suffix":""}],"id":"ITEM-1","issued":{"date-parts":[["1998"]]},"number-of-pages":"132","publisher":"Universidade de São Paulo","title":"Desenvolvimento e teste de modelos agrometeorológicos para a estimativa de produtividade do cafeeiro (&lt;i&gt;Coffea arabica&lt;/i&gt; L.) a partir do monitoramento da disponibilidade hidrica do solo","type":"thesis"},"uris":["http://www.mendeley.com/documents/?uuid=434d2f87-72d5-4d31-a5d9-88e047abdfa3","http://www.mendeley.com/documents/?uuid=ea38c3e5-47a5-4a52-af26-94e6ae4ce0f6"]}],"mendeley":{"formattedCitation":"(Picini, 1998)","plainTextFormattedCitation":"(Picini, 1998)","previouslyFormattedCitation":"(Picini, 1998)"},"properties":{"noteIndex":0},"schema":"https://github.com/citation-style-language/schema/raw/master/csl-citation.json"}</w:instrText>
      </w:r>
      <w:r>
        <w:rPr>
          <w:rFonts w:ascii="Arial" w:hAnsi="Arial" w:cs="Arial"/>
        </w:rPr>
        <w:fldChar w:fldCharType="separate"/>
      </w:r>
      <w:r w:rsidRPr="00030D24">
        <w:rPr>
          <w:rFonts w:ascii="Arial" w:hAnsi="Arial" w:cs="Arial"/>
          <w:noProof/>
        </w:rPr>
        <w:t>(Picini, 1998)</w:t>
      </w:r>
      <w:r>
        <w:rPr>
          <w:rFonts w:ascii="Arial" w:hAnsi="Arial" w:cs="Arial"/>
        </w:rPr>
        <w:fldChar w:fldCharType="end"/>
      </w:r>
      <w:r>
        <w:rPr>
          <w:rFonts w:ascii="Arial" w:hAnsi="Arial" w:cs="Arial"/>
        </w:rPr>
        <w:t xml:space="preserve">, </w:t>
      </w:r>
      <w:r w:rsidRPr="00FC438A">
        <w:rPr>
          <w:rFonts w:ascii="Arial" w:hAnsi="Arial" w:cs="Arial"/>
        </w:rPr>
        <w:t>likely contributed to these fluctuations.</w:t>
      </w:r>
      <w:r w:rsidRPr="006226D2">
        <w:rPr>
          <w:rFonts w:ascii="Arial" w:hAnsi="Arial" w:cs="Arial"/>
        </w:rPr>
        <w:t xml:space="preserve"> </w:t>
      </w:r>
      <w:r w:rsidRPr="00B31800">
        <w:rPr>
          <w:rFonts w:ascii="Arial" w:eastAsia="Arial" w:hAnsi="Arial" w:cs="Arial"/>
        </w:rPr>
        <w:t>High fruit loads have consistently been linked to increased CLR severity, as reproductive effort diverts assimilates away from defen</w:t>
      </w:r>
      <w:r>
        <w:rPr>
          <w:rFonts w:ascii="Arial" w:eastAsia="Arial" w:hAnsi="Arial" w:cs="Arial"/>
        </w:rPr>
        <w:t>s</w:t>
      </w:r>
      <w:r w:rsidRPr="00B31800">
        <w:rPr>
          <w:rFonts w:ascii="Arial" w:eastAsia="Arial" w:hAnsi="Arial" w:cs="Arial"/>
        </w:rPr>
        <w:t>e, thereby weakening host resistance</w:t>
      </w:r>
      <w:r>
        <w:rPr>
          <w:rFonts w:ascii="Arial" w:eastAsia="Arial" w:hAnsi="Arial" w:cs="Arial"/>
        </w:rPr>
        <w:t xml:space="preserve"> </w:t>
      </w:r>
      <w:r>
        <w:rPr>
          <w:rFonts w:ascii="Arial" w:eastAsia="Arial" w:hAnsi="Arial" w:cs="Arial"/>
        </w:rPr>
        <w:fldChar w:fldCharType="begin" w:fldLock="1"/>
      </w:r>
      <w:r>
        <w:rPr>
          <w:rFonts w:ascii="Arial" w:eastAsia="Arial" w:hAnsi="Arial" w:cs="Arial"/>
        </w:rPr>
        <w:instrText>ADDIN CSL_CITATION {"citationItems":[{"id":"ITEM-1","itemData":{"DOI":"10.1079/planthealthcases.2023.0005","abstract":"Coffee ( Coffea spp.) originates from the tropical montane rainforest understorey. In this shaded environment, the coffee plant has co-evolved with a wide array of pests and diseases. The fungal pathogen Hemileia vastatrix is the most notorious of all known coffee plant diseases. With a rich history rooted in colonial trade and power struggles, H. vastatrix has had its lion’s share of research and scrutiny by the plant pathology community. Though this disease was discovered more than 150 years ago, many unknowns concerning its spread and persistence across the tropics still exist today. Despite its relevance to coffee production, there is little global data that synthesizes the impact of this disease on coffee yield and plant health. Best practices for control of coffee leaf rust are contentious. Genetic resistance has been breaking down in cultivars across the coffee belt over the past decade. How can farmers best control outbreaks of the disease? Are these practices at odds with new trends and challenges in coffee farming (e.g. organic, biodiversity-friendly, agroforestry etc.). What are the future prospects of our global coffee supply under pressure from this rampant disease? All these questions are examined in this case study using pertinent literature sources and supplemented by coffee farmers or extension service providers in Latin America and Africa.","author":[{"dropping-particle":"","family":"Koutouleas","given":"Athina","non-dropping-particle":"","parse-names":false,"suffix":""}],"container-title":"Plant Health Cases","id":"ITEM-1","issue":"May","issued":{"date-parts":[["2023"]]},"number-of-pages":"12","publisher":"The Author 2023","title":"Coffee leaf rust: wreaking havoc in coffee production areas across the tropics","type":"book"},"uris":["http://www.mendeley.com/documents/?uuid=52a7c647-c3b0-4c64-b826-027eab855f37","http://www.mendeley.com/documents/?uuid=7ab683f0-a054-4bc7-9d7b-726df739785e"]},{"id":"ITEM-2","itemData":{"DOI":"10.1094/PHYTO-03-19-0094-R","ISSN":"0031949X","PMID":"31502519","abstract":"Crop health management systems can be designed according to practices that help to reduce crop losses by restricting pathogen development and promoting host plant growth. A good understanding of pathogen and host dynamics, which are interdependent, is therefore needed. In this article, we used a holistic approach to explain the behavior of coffee leaf rust (CLR), a major coffee disease. We monitored coffee plant and CLR dynamics simultaneously in plots under different disease management and agroforestry systems. Diseased leaves were also collected to characterize inoculum stock and rust life stages (latent rust area, area with uredospores, necrosis due to rust) through picture analysis. We used structural equation modeling to obtain an overview of CLR pathosystem functioning on a plant scale. This overview integrates processes such as disease dilution by host leaf renewal, direct and indirect effects of fruit load on CLR development, antagonistic effects of shading depending on rust life stages, the tonic effect of copper-based fungicides on leaf retention, and effects on rust life stages depending on fungicide types. From our results, we also deduced that the inoculum stock could be calculated in unsprayed plots from the rust area with uredospores, with uredospores at 58 × 103 cm_2, on average.","author":[{"dropping-particle":"","family":"Merle","given":"Isabelle","non-dropping-particle":"","parse-names":false,"suffix":""},{"dropping-particle":"","family":"Pico","given":"Jimmy","non-dropping-particle":"","parse-names":false,"suffix":""},{"dropping-particle":"","family":"Granados","given":"Eduardo","non-dropping-particle":"","parse-names":false,"suffix":""},{"dropping-particle":"","family":"Boudrot","given":"Audrey","non-dropping-particle":"","parse-names":false,"suffix":""},{"dropping-particle":"","family":"Tixier","given":"Philippe","non-dropping-particle":"","parse-names":false,"suffix":""},{"dropping-particle":"","family":"Melo Virginio Filho","given":"Elías","non-dropping-particle":"de","parse-names":false,"suffix":""},{"dropping-particle":"","family":"Cilas","given":"Christian","non-dropping-particle":"","parse-names":false,"suffix":""},{"dropping-particle":"","family":"Avelino","given":"Jacques","non-dropping-particle":"","parse-names":false,"suffix":""}],"container-title":"Phytopathology","id":"ITEM-2","issue":"2","issued":{"date-parts":[["2020"]]},"page":"418-427","title":"Unraveling the complexity of coffee leaf rust behavior and development in different Coffea arabica agroecosystems","type":"article-journal","volume":"110"},"uris":["http://www.mendeley.com/documents/?uuid=929c41e2-bfa1-4ad8-8e82-a40e99835114"]}],"mendeley":{"formattedCitation":"(Koutouleas, 2023; Merle et al., 2020)","plainTextFormattedCitation":"(Koutouleas, 2023; Merle et al., 2020)","previouslyFormattedCitation":"(Koutouleas, 2023; Merle et al., 2020)"},"properties":{"noteIndex":0},"schema":"https://github.com/citation-style-language/schema/raw/master/csl-citation.json"}</w:instrText>
      </w:r>
      <w:r>
        <w:rPr>
          <w:rFonts w:ascii="Arial" w:eastAsia="Arial" w:hAnsi="Arial" w:cs="Arial"/>
        </w:rPr>
        <w:fldChar w:fldCharType="separate"/>
      </w:r>
      <w:r w:rsidRPr="00FC438A">
        <w:rPr>
          <w:rFonts w:ascii="Arial" w:eastAsia="Arial" w:hAnsi="Arial" w:cs="Arial"/>
          <w:noProof/>
        </w:rPr>
        <w:t>(Koutouleas, 2023; Merle et al., 2020)</w:t>
      </w:r>
      <w:r>
        <w:rPr>
          <w:rFonts w:ascii="Arial" w:eastAsia="Arial" w:hAnsi="Arial" w:cs="Arial"/>
        </w:rPr>
        <w:fldChar w:fldCharType="end"/>
      </w:r>
      <w:r w:rsidRPr="00BC20AC">
        <w:rPr>
          <w:rFonts w:ascii="Arial" w:eastAsia="Arial" w:hAnsi="Arial" w:cs="Arial"/>
        </w:rPr>
        <w:t>.</w:t>
      </w:r>
      <w:r>
        <w:rPr>
          <w:rFonts w:ascii="Arial" w:eastAsia="Arial" w:hAnsi="Arial" w:cs="Arial"/>
        </w:rPr>
        <w:t xml:space="preserve"> </w:t>
      </w:r>
      <w:r w:rsidRPr="00B31800">
        <w:rPr>
          <w:rFonts w:ascii="Arial" w:eastAsia="Arial" w:hAnsi="Arial" w:cs="Arial"/>
        </w:rPr>
        <w:t>This reflects established physiological trade-offs: when resources are directed toward fruit development, assimilate depletion and nutritional imbalances reduce the plant’s ability to regenerate leaves and maintain defen</w:t>
      </w:r>
      <w:r>
        <w:rPr>
          <w:rFonts w:ascii="Arial" w:eastAsia="Arial" w:hAnsi="Arial" w:cs="Arial"/>
        </w:rPr>
        <w:t>s</w:t>
      </w:r>
      <w:r w:rsidRPr="00B31800">
        <w:rPr>
          <w:rFonts w:ascii="Arial" w:eastAsia="Arial" w:hAnsi="Arial" w:cs="Arial"/>
        </w:rPr>
        <w:t>e mechanisms, ultimately intensifying CLR impact on yield</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{"citationItems":[{"id":"ITEM-1","itemData":{"author":[{"dropping-particle":"","family":"Pozza","given":"E. A. A.","non-dropping-particle":"","parse-names":false,"suffix":""}],"container-title":"Brasília: Sociedade brasileira de Fitopatologia","id":"ITEM-1","issued":{"date-parts":[["2008"]]},"page":"81-94","title":"Importância das doenças foliares do cafeeiro. Núcleo de estudos em fitopatologia","type":"article-journal","volume":"1"},"uris":["http://www.mendeley.com/documents/?uuid=57eae317-150c-436a-9052-895d300d9e2e","http://www.mendeley.com/documents/?uuid=e3e32500-21ce-4e7c-8b28-6961006a0d38"]},{"id":"ITEM-2","itemData":{"DOI":"10.1590/S1982-56762008000200005","ISSN":"19825676","abstract":"A decision tree was developed to aid the understanding of coffee rust epidemics caused by Hemileia vastatrix. Infection rates calculated from monthly assessments of rust incidence were grouped into three classes: reduction or stagnation - TX1; moderate growth (up to 5pp) - TX2; and accelerated growth (above 5pp) - TX3. Meteorological data, expected yield and space between plants were used as explanatory variables for the infection rate classes. The decision tree was trained using 364 examples prepared from data collected in coffee-growing areas between October 1998 and October 2006. The model correctly classified 78% of the training data set and its accuracy was estimated at 73% for the classification of new examples. The success rates of the model were 88%, 57% and 79%, respectively, for the infection rate classes TX1, TX2 and TX3. The most important explanatory variables were mean temperature during leaf wetness periods, expected yield, mean of maximum temperatures during the incubation period and relative air humidity. The decision tree demonstrated its potential as a symbolic and interpretable model. Its model representation identified the existing decision boundaries in the data and the logic underlying them, helping to understand which variables, and interactions between these variables, led to coffee rust epidemics in the field. Copyright by the Brazilian Phytopathological Society.","author":[{"dropping-particle":"","family":"Meira","given":"Carlos A.A.","non-dropping-particle":"","parse-names":false,"suffix":""},{"dropping-particle":"","family":"Rodrigues","given":"Luiz H.A.","non-dropping-particle":"","parse-names":false,"suffix":""},{"dropping-particle":"","family":"Moraes","given":"Sérgio A.","non-dropping-particle":"","parse-names":false,"suffix":""}],"container-title":"Tropical Plant Pathology","id":"ITEM-2","issue":"2","issued":{"date-parts":[["2008"]]},"page":"114-124","title":"Análise da epidemia da ferrugem do cafeeiro com árvore de decisão","type":"article-journal","volume":"33"},"uris":["http://www.mendeley.com/documents/?uuid=5a329b05-6a1c-4ac8-a97c-9c04cbeee384","http://www.mendeley.com/documents/?uuid=8c85a1cb-1143-4e1e-b27c-b748e5909cc5"]},{"id":"ITEM-3","itemData":{"ISSN":"14590263","abstract":"The fertilization with micronutrients in coffee plantations is a widespread practice; however, the benefits provided by these elements, as well as their sources, requires broader and deeper studies. Therefore, the objective of this study was to evaluate the influence of different sources of copper (Cu) on the growth, crop yield and intensity of leaf rust on Arabica coffee plants. The experiment was conducted at the “Eloy Carlos Heringer” Centre for Coffee Research (Centro de Pesquisas Cafeeiras “Eloy Carlos Heringer” – CEPEC) in municipality of Martins Soares, Minas Gerais State, Brazil. The experimental design used was a randomised block, with treatments consisting of seven copper sources: COC = copper carbonate; HOCp = copper hydroxide (powder); HOCl = copper hydroxide (liquid); OCC = copper oxychloride; SCO = copper sulphate; SCO + CAL = copper sulphate + lime, and OXC = cuprous oxide, with three replications. The treatments were applied in three sprayings, spaced at 30-day intervals. Before the first application and 30 days after each spraying, leaves were collected for nutritional analysis. Periodically, morphological and agrochemical parameters were assessed, where the count of vegetative internodes, number of leaves, and incidence and severity of rust were performed. At harvest, the crop yield, weight of unripe, dry and ripe fruits, percentage of floating fruits, and sieve classification were evaluated. For the studied conditions, the treatments with OCC and HOCp provided greater reductions in the intensity of rust; treatments with HOCp, HOCl and OCC promoted greater increases in crop yield; and HOCl promoted higher uniformity of ripening.","author":[{"dropping-particle":"","family":"Brinate","given":"Sebastião V.B.","non-dropping-particle":"","parse-names":false,"suffix":""},{"dropping-particle":"","family":"Martins","given":"Lima D.","non-dropping-particle":"","parse-names":false,"suffix":""},{"dropping-particle":"","family":"Rodrigues","given":"Wagner N.","non-dropping-particle":"","parse-names":false,"suffix":""},{"dropping-particle":"V.","family":"Colodetti","given":"Tafarel","non-dropping-particle":"","parse-names":false,"suffix":""},{"dropping-particle":"V.","family":"Cunha","given":"Vinícius","non-dropping-particle":"","parse-names":false,"suffix":""},{"dropping-particle":"","family":"Rosa","given":"Gustavo N.G.P.","non-dropping-particle":"","parse-names":false,"suffix":""},{"dropping-particle":"","family":"Junior","given":"Waldir C.J.","non-dropping-particle":"","parse-names":false,"suffix":""},{"dropping-particle":"","family":"Tomaz","given":"Marcelo A.","non-dropping-particle":"","parse-names":false,"suffix":""}],"container-title":"Journal of Food, Agriculture and Environment","id":"ITEM-3","issue":"2","issued":{"date-parts":[["2015"]]},"page":"184-189","title":"Influence of copper sources on the management of leaf rust, growth and crop yield of Arabica coffee","type":"article-journal","volume":"13"},"uris":["http://www.mendeley.com/documents/?uuid=172f26b4-014b-4845-b80f-27682fec75e7","http://www.mendeley.com/documents/?uuid=bb6c3e37-bd68-4c20-9b90-6944c07367ed"]}],"mendeley":{"formattedCitation":"(Brinate et al., 2015; Meira et al., 2008; Pozza, 2008)","plainTextFormattedCitation":"(Brinate et al., 2015; Meira et al., 2008; Pozza, 2008)","previouslyFormattedCitation":"(Brinate et al., 2015; Meira et al., 2008; Pozza, 2008)"},"properties":{"noteIndex":0},"schema":"https://github.com/citation-style-language/schema/raw/master/csl-citation.json"}</w:instrText>
      </w:r>
      <w:r>
        <w:rPr>
          <w:rFonts w:ascii="Arial" w:hAnsi="Arial" w:cs="Arial"/>
        </w:rPr>
        <w:fldChar w:fldCharType="separate"/>
      </w:r>
      <w:r w:rsidRPr="00DF6C2B">
        <w:rPr>
          <w:rFonts w:ascii="Arial" w:hAnsi="Arial" w:cs="Arial"/>
          <w:noProof/>
        </w:rPr>
        <w:t>(Brinate et al., 2015; Meira et al., 2008; Pozza, 2008)</w:t>
      </w:r>
      <w:r>
        <w:rPr>
          <w:rFonts w:ascii="Arial" w:hAnsi="Arial" w:cs="Arial"/>
        </w:rPr>
        <w:fldChar w:fldCharType="end"/>
      </w:r>
      <w:r w:rsidRPr="00AD6737">
        <w:rPr>
          <w:rFonts w:ascii="Arial" w:hAnsi="Arial" w:cs="Arial"/>
        </w:rPr>
        <w:t>.</w:t>
      </w:r>
      <w:r w:rsidRPr="00507D2B">
        <w:t xml:space="preserve"> </w:t>
      </w:r>
      <w:r w:rsidRPr="00507D2B">
        <w:rPr>
          <w:rFonts w:ascii="Arial" w:hAnsi="Arial" w:cs="Arial"/>
        </w:rPr>
        <w:t xml:space="preserve">Similar observations were also reported in East African trials, where increased fruiting load exacerbated rust severity and reduced yield stability, even under fungicide protection </w:t>
      </w:r>
      <w:r>
        <w:rPr>
          <w:rFonts w:ascii="Arial" w:hAnsi="Arial" w:cs="Arial"/>
        </w:rPr>
        <w:fldChar w:fldCharType="begin" w:fldLock="1"/>
      </w:r>
      <w:r>
        <w:rPr>
          <w:rFonts w:ascii="Arial" w:hAnsi="Arial" w:cs="Arial"/>
        </w:rPr>
        <w:instrText>ADDIN CSL_CITATION {"citationItems":[{"id":"ITEM-1","itemData":{"DOI":"10.1016/s0007-1536(74)80061-6","ISSN":"00071536","abstract":"Three fungicides (cuprous oxide, captafol and benomyl) were applied to previously unsprayed coffee trees in 1969. In 1970 the plots were split; one half was unsprayed while the other received the same treatment as in 1969. Leaf rust was moderately severe in 1969 and was well controlled by all three fungicides. In 1970 rust was again moderately severe in control plots (never sprayed) but much more severe in trees sprayed in 1969 but not in 1970. On trees sprayed in both years rust was well controlled in 1970 by cuprous oxide, less well by captafol and poorly by benomyl. Coffee berry disease (CBD) was virtually absent in 1969 and in control plots was sparse (less than 0·5%) in 1970. It was, however, moderately severe on trees sprayed in 1969 but not in 1970. All three fungicides gave good control in 1970 but infection was still greater than in the trees that had never been sprayed. Trees sprayed in 1969 had much denser foliage in 1970, and this is considered to be primarily responsible for the increased leaf rust where spraying was discontinued. The greater severity of CBD is attributed to increase of the pathogen in the bark, which is the main source of inoculum early in the season. Trees cropped heavily in 1969 and spraying with captafol and cuprous oxide increased yields. Benomyl, although it controlled rust well, did not increase yields; the reason for this anomalous result is not known. There was a much smaller crop in 1970 but trees which had been sprayed in 1969 were potentially much more productive. As a consequence, spraying in 1970 (with all three fungicides) resulted in yields above the control. Also, despite the increase in leaf rust and CBD, trees sprayed in 1969 but not in 1970 still yielded as well in 1970 as those completely unsprayed. Fungicides are known to increase leaf retention and to enhance yields in coffee even in the absence of detectable disease. In these experiments, however, this ‘tonic’ effect could not be separated from effects of the fungicides in controlling leaf rust.","author":[{"dropping-particle":"","family":"Mulinge","given":"S.K.","non-dropping-particle":"","parse-names":false,"suffix":""},{"dropping-particle":"","family":"Griffiths","given":"E.","non-dropping-particle":"","parse-names":false,"suffix":""}],"container-title":"Transactions of the British Mycological Society","id":"ITEM-1","issue":"3","issued":{"date-parts":[["1974"]]},"page":"495-507","publisher":"British Mycological Society","title":"Effects of fungicides on leaf rust, berry disease, foliation and yield of coffee","type":"article-journal","volume":"62"},"uris":["http://www.mendeley.com/documents/?uuid=6ea8e96f-166a-4d3c-9e1e-6f7f4036a512"]}],"mendeley":{"formattedCitation":"(Mulinge &amp; Griffiths, 1974)","plainTextFormattedCitation":"(Mulinge &amp; Griffiths, 1974)","previouslyFormattedCitation":"(Mulinge &amp; Griffiths, 1974)"},"properties":{"noteIndex":0},"schema":"https://github.com/citation-style-language/schema/raw/master/csl-citation.json"}</w:instrText>
      </w:r>
      <w:r>
        <w:rPr>
          <w:rFonts w:ascii="Arial" w:hAnsi="Arial" w:cs="Arial"/>
        </w:rPr>
        <w:fldChar w:fldCharType="separate"/>
      </w:r>
      <w:r w:rsidRPr="00507D2B">
        <w:rPr>
          <w:rFonts w:ascii="Arial" w:hAnsi="Arial" w:cs="Arial"/>
          <w:noProof/>
        </w:rPr>
        <w:t>(Mulinge &amp; Griffiths, 1974)</w:t>
      </w:r>
      <w:r>
        <w:rPr>
          <w:rFonts w:ascii="Arial" w:hAnsi="Arial" w:cs="Arial"/>
        </w:rPr>
        <w:fldChar w:fldCharType="end"/>
      </w:r>
      <w:r w:rsidRPr="00507D2B">
        <w:rPr>
          <w:rFonts w:ascii="Arial" w:hAnsi="Arial" w:cs="Arial"/>
        </w:rPr>
        <w:t>.</w:t>
      </w:r>
    </w:p>
    <w:p w14:paraId="02516067" w14:textId="77777777" w:rsidR="00E91640" w:rsidRDefault="00E91640" w:rsidP="00E91640">
      <w:pPr>
        <w:spacing w:line="276" w:lineRule="auto"/>
        <w:jc w:val="both"/>
        <w:rPr>
          <w:rFonts w:ascii="Arial" w:eastAsia="Arial" w:hAnsi="Arial" w:cs="Arial"/>
        </w:rPr>
      </w:pPr>
    </w:p>
    <w:p w14:paraId="06EC03CC" w14:textId="77777777" w:rsidR="00E91640" w:rsidRDefault="00E91640" w:rsidP="00E91640">
      <w:pPr>
        <w:spacing w:line="276" w:lineRule="auto"/>
        <w:jc w:val="both"/>
        <w:rPr>
          <w:rFonts w:ascii="Arial" w:eastAsia="Arial" w:hAnsi="Arial" w:cs="Arial"/>
        </w:rPr>
      </w:pPr>
      <w:r>
        <w:rPr>
          <w:rFonts w:ascii="Arial" w:eastAsia="Arial" w:hAnsi="Arial" w:cs="Arial"/>
        </w:rPr>
        <w:lastRenderedPageBreak/>
        <w:t>T</w:t>
      </w:r>
      <w:r w:rsidRPr="0036642B">
        <w:rPr>
          <w:rFonts w:ascii="Arial" w:eastAsia="Arial" w:hAnsi="Arial" w:cs="Arial"/>
        </w:rPr>
        <w:t xml:space="preserve">hese </w:t>
      </w:r>
      <w:r w:rsidRPr="00B31800">
        <w:rPr>
          <w:rFonts w:ascii="Arial" w:eastAsia="Arial" w:hAnsi="Arial" w:cs="Arial"/>
        </w:rPr>
        <w:t>findings indicate distinct host–pathogen interaction strategies among clones:</w:t>
      </w:r>
      <w:r>
        <w:rPr>
          <w:rFonts w:ascii="Arial" w:eastAsia="Arial" w:hAnsi="Arial" w:cs="Arial"/>
        </w:rPr>
        <w:t xml:space="preserve"> </w:t>
      </w:r>
      <w:r w:rsidRPr="0036642B">
        <w:rPr>
          <w:rFonts w:ascii="Arial" w:eastAsia="Arial" w:hAnsi="Arial" w:cs="Arial"/>
        </w:rPr>
        <w:t xml:space="preserve">resistance in clone 213 (low severity with stable yield), tolerance in clone 224 (moderate yield under disease but environmentally unstable), and susceptibility in clones 211 and 222 (high severity with reduced yield). </w:t>
      </w:r>
      <w:r w:rsidRPr="00B31800">
        <w:rPr>
          <w:rFonts w:ascii="Arial" w:eastAsia="Arial" w:hAnsi="Arial" w:cs="Arial"/>
        </w:rPr>
        <w:t>This highlights the importance of integrating genetic resistance with agronomic practices to stabili</w:t>
      </w:r>
      <w:r>
        <w:rPr>
          <w:rFonts w:ascii="Arial" w:eastAsia="Arial" w:hAnsi="Arial" w:cs="Arial"/>
        </w:rPr>
        <w:t>z</w:t>
      </w:r>
      <w:r w:rsidRPr="00B31800">
        <w:rPr>
          <w:rFonts w:ascii="Arial" w:eastAsia="Arial" w:hAnsi="Arial" w:cs="Arial"/>
        </w:rPr>
        <w:t xml:space="preserve">e productivity under both biennial and climatic variability, providing a foundation for targeted </w:t>
      </w:r>
      <w:r w:rsidRPr="00B31800">
        <w:rPr>
          <w:rFonts w:ascii="Arial" w:eastAsia="Arial" w:hAnsi="Arial" w:cs="Arial"/>
          <w:i/>
          <w:iCs/>
        </w:rPr>
        <w:t xml:space="preserve">C. </w:t>
      </w:r>
      <w:proofErr w:type="spellStart"/>
      <w:r w:rsidRPr="00B31800">
        <w:rPr>
          <w:rFonts w:ascii="Arial" w:eastAsia="Arial" w:hAnsi="Arial" w:cs="Arial"/>
          <w:i/>
          <w:iCs/>
        </w:rPr>
        <w:t>liberica</w:t>
      </w:r>
      <w:proofErr w:type="spellEnd"/>
      <w:r w:rsidRPr="00B31800">
        <w:rPr>
          <w:rFonts w:ascii="Arial" w:eastAsia="Arial" w:hAnsi="Arial" w:cs="Arial"/>
        </w:rPr>
        <w:t xml:space="preserve"> breeding and management strategies.</w:t>
      </w:r>
    </w:p>
    <w:p w14:paraId="05304904" w14:textId="77777777" w:rsidR="00E91640" w:rsidRDefault="00E91640">
      <w:pPr>
        <w:tabs>
          <w:tab w:val="left" w:pos="1080"/>
        </w:tabs>
        <w:spacing w:line="276" w:lineRule="auto"/>
        <w:jc w:val="both"/>
        <w:rPr>
          <w:rFonts w:ascii="Arial" w:eastAsia="Arial" w:hAnsi="Arial" w:cs="Arial"/>
          <w:b/>
        </w:rPr>
      </w:pPr>
    </w:p>
    <w:p w14:paraId="7ACF5EA7" w14:textId="05756F02" w:rsidR="009C1ED2" w:rsidRDefault="00E37E9E">
      <w:pPr>
        <w:tabs>
          <w:tab w:val="left" w:pos="1080"/>
        </w:tabs>
        <w:spacing w:line="276" w:lineRule="auto"/>
        <w:jc w:val="both"/>
        <w:rPr>
          <w:rFonts w:ascii="Arial" w:eastAsia="Arial" w:hAnsi="Arial" w:cs="Arial"/>
        </w:rPr>
      </w:pPr>
      <w:r>
        <w:rPr>
          <w:rFonts w:ascii="Arial" w:eastAsia="Arial" w:hAnsi="Arial" w:cs="Arial"/>
          <w:b/>
        </w:rPr>
        <w:t>Table 1</w:t>
      </w:r>
      <w:r w:rsidR="00D14F1C">
        <w:rPr>
          <w:rFonts w:ascii="Arial" w:eastAsia="Arial" w:hAnsi="Arial" w:cs="Arial"/>
          <w:b/>
        </w:rPr>
        <w:t xml:space="preserve">. </w:t>
      </w:r>
      <w:r w:rsidR="0028587E" w:rsidRPr="0028587E">
        <w:rPr>
          <w:rFonts w:ascii="Arial" w:eastAsia="Arial" w:hAnsi="Arial" w:cs="Arial"/>
          <w:b/>
        </w:rPr>
        <w:t xml:space="preserve">Mean fresh berry yield, disease incidence and disease severity index (DSI) of five </w:t>
      </w:r>
      <w:proofErr w:type="spellStart"/>
      <w:r w:rsidR="0028587E" w:rsidRPr="0028587E">
        <w:rPr>
          <w:rFonts w:ascii="Arial" w:eastAsia="Arial" w:hAnsi="Arial" w:cs="Arial"/>
          <w:b/>
          <w:i/>
          <w:iCs/>
        </w:rPr>
        <w:t>Coffea</w:t>
      </w:r>
      <w:proofErr w:type="spellEnd"/>
      <w:r w:rsidR="0028587E" w:rsidRPr="0028587E">
        <w:rPr>
          <w:rFonts w:ascii="Arial" w:eastAsia="Arial" w:hAnsi="Arial" w:cs="Arial"/>
          <w:b/>
          <w:i/>
          <w:iCs/>
        </w:rPr>
        <w:t xml:space="preserve"> </w:t>
      </w:r>
      <w:proofErr w:type="spellStart"/>
      <w:r w:rsidR="0028587E" w:rsidRPr="0028587E">
        <w:rPr>
          <w:rFonts w:ascii="Arial" w:eastAsia="Arial" w:hAnsi="Arial" w:cs="Arial"/>
          <w:b/>
          <w:i/>
          <w:iCs/>
        </w:rPr>
        <w:t>liberica</w:t>
      </w:r>
      <w:proofErr w:type="spellEnd"/>
      <w:r w:rsidR="0028587E" w:rsidRPr="0028587E">
        <w:rPr>
          <w:rFonts w:ascii="Arial" w:eastAsia="Arial" w:hAnsi="Arial" w:cs="Arial"/>
          <w:b/>
        </w:rPr>
        <w:t xml:space="preserve"> clones over two consecutive seasons (Year 1: July 2021–June 2022; Year 2: July 2022–June 2023).</w:t>
      </w:r>
    </w:p>
    <w:p w14:paraId="006F3139" w14:textId="77777777" w:rsidR="009C1ED2" w:rsidRDefault="009C1ED2">
      <w:pPr>
        <w:tabs>
          <w:tab w:val="left" w:pos="1080"/>
        </w:tabs>
        <w:spacing w:line="276" w:lineRule="auto"/>
        <w:jc w:val="both"/>
        <w:rPr>
          <w:rFonts w:ascii="Arial" w:eastAsia="Arial" w:hAnsi="Arial" w:cs="Arial"/>
        </w:rPr>
      </w:pPr>
    </w:p>
    <w:tbl>
      <w:tblPr>
        <w:tblStyle w:val="2"/>
        <w:tblW w:w="5000" w:type="pct"/>
        <w:jc w:val="center"/>
        <w:tblBorders>
          <w:top w:val="single" w:sz="4" w:space="0" w:color="000000"/>
          <w:left w:val="nil"/>
          <w:bottom w:val="single" w:sz="4" w:space="0" w:color="000000"/>
          <w:right w:val="nil"/>
          <w:insideH w:val="nil"/>
          <w:insideV w:val="nil"/>
        </w:tblBorders>
        <w:tblLook w:val="0420" w:firstRow="1" w:lastRow="0" w:firstColumn="0" w:lastColumn="0" w:noHBand="0" w:noVBand="1"/>
      </w:tblPr>
      <w:tblGrid>
        <w:gridCol w:w="1122"/>
        <w:gridCol w:w="1733"/>
        <w:gridCol w:w="1591"/>
        <w:gridCol w:w="1590"/>
        <w:gridCol w:w="1434"/>
        <w:gridCol w:w="1665"/>
        <w:gridCol w:w="1665"/>
      </w:tblGrid>
      <w:tr w:rsidR="009C1ED2" w14:paraId="5900E4B6" w14:textId="77777777" w:rsidTr="00FA5B2E">
        <w:trPr>
          <w:cnfStyle w:val="100000000000" w:firstRow="1" w:lastRow="0" w:firstColumn="0" w:lastColumn="0" w:oddVBand="0" w:evenVBand="0" w:oddHBand="0" w:evenHBand="0" w:firstRowFirstColumn="0" w:firstRowLastColumn="0" w:lastRowFirstColumn="0" w:lastRowLastColumn="0"/>
          <w:trHeight w:val="388"/>
          <w:jc w:val="center"/>
        </w:trPr>
        <w:tc>
          <w:tcPr>
            <w:tcW w:w="519" w:type="pct"/>
            <w:tcBorders>
              <w:top w:val="single" w:sz="4" w:space="0" w:color="000000"/>
              <w:bottom w:val="nil"/>
              <w:right w:val="single" w:sz="4" w:space="0" w:color="auto"/>
            </w:tcBorders>
          </w:tcPr>
          <w:p w14:paraId="44BFFCCC" w14:textId="77777777" w:rsidR="009C1ED2" w:rsidRDefault="009C1ED2">
            <w:pPr>
              <w:spacing w:line="276" w:lineRule="auto"/>
              <w:jc w:val="both"/>
              <w:rPr>
                <w:rFonts w:ascii="Arial" w:eastAsia="Arial" w:hAnsi="Arial" w:cs="Arial"/>
                <w:sz w:val="20"/>
                <w:szCs w:val="20"/>
              </w:rPr>
            </w:pPr>
          </w:p>
        </w:tc>
        <w:tc>
          <w:tcPr>
            <w:tcW w:w="1538" w:type="pct"/>
            <w:gridSpan w:val="2"/>
            <w:tcBorders>
              <w:top w:val="single" w:sz="4" w:space="0" w:color="000000"/>
              <w:left w:val="single" w:sz="4" w:space="0" w:color="auto"/>
              <w:bottom w:val="single" w:sz="4" w:space="0" w:color="000000"/>
              <w:right w:val="single" w:sz="4" w:space="0" w:color="auto"/>
            </w:tcBorders>
          </w:tcPr>
          <w:p w14:paraId="1451F495" w14:textId="65159736"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Fresh berry yield</w:t>
            </w:r>
          </w:p>
          <w:p w14:paraId="2720A83C" w14:textId="44B240E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(kg</w:t>
            </w:r>
            <w:r w:rsidR="009730DD">
              <w:rPr>
                <w:rFonts w:ascii="Arial" w:eastAsia="Arial" w:hAnsi="Arial" w:cs="Arial"/>
                <w:sz w:val="20"/>
                <w:szCs w:val="20"/>
              </w:rPr>
              <w:t xml:space="preserve"> tree</w:t>
            </w:r>
            <w:r w:rsidR="009730DD">
              <w:rPr>
                <w:rFonts w:ascii="Arial" w:eastAsia="Arial" w:hAnsi="Arial" w:cs="Arial"/>
                <w:sz w:val="20"/>
                <w:szCs w:val="20"/>
                <w:vertAlign w:val="superscript"/>
              </w:rPr>
              <w:t>-1</w:t>
            </w:r>
            <w:r>
              <w:rPr>
                <w:rFonts w:ascii="Arial" w:eastAsia="Arial" w:hAnsi="Arial" w:cs="Arial"/>
                <w:sz w:val="20"/>
                <w:szCs w:val="20"/>
              </w:rPr>
              <w:t>)</w:t>
            </w:r>
          </w:p>
        </w:tc>
        <w:tc>
          <w:tcPr>
            <w:tcW w:w="1400" w:type="pct"/>
            <w:gridSpan w:val="2"/>
            <w:tcBorders>
              <w:top w:val="single" w:sz="4" w:space="0" w:color="000000"/>
              <w:left w:val="single" w:sz="4" w:space="0" w:color="auto"/>
              <w:bottom w:val="single" w:sz="4" w:space="0" w:color="000000"/>
              <w:right w:val="single" w:sz="4" w:space="0" w:color="auto"/>
            </w:tcBorders>
          </w:tcPr>
          <w:p w14:paraId="2AE2D0C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incidence</w:t>
            </w:r>
          </w:p>
          <w:p w14:paraId="5A711B7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w:t>
            </w:r>
          </w:p>
        </w:tc>
        <w:tc>
          <w:tcPr>
            <w:tcW w:w="1542" w:type="pct"/>
            <w:gridSpan w:val="2"/>
            <w:tcBorders>
              <w:top w:val="single" w:sz="4" w:space="0" w:color="000000"/>
              <w:left w:val="single" w:sz="4" w:space="0" w:color="auto"/>
              <w:bottom w:val="single" w:sz="4" w:space="0" w:color="000000"/>
            </w:tcBorders>
          </w:tcPr>
          <w:p w14:paraId="4038948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severity index</w:t>
            </w:r>
          </w:p>
          <w:p w14:paraId="55A5E9A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(DSI, %)</w:t>
            </w:r>
          </w:p>
        </w:tc>
      </w:tr>
      <w:tr w:rsidR="009C1ED2" w14:paraId="1E19110B" w14:textId="77777777" w:rsidTr="00FA5B2E">
        <w:trPr>
          <w:trHeight w:val="388"/>
          <w:jc w:val="center"/>
        </w:trPr>
        <w:tc>
          <w:tcPr>
            <w:tcW w:w="519" w:type="pct"/>
            <w:tcBorders>
              <w:top w:val="nil"/>
              <w:bottom w:val="single" w:sz="4" w:space="0" w:color="000000"/>
              <w:right w:val="single" w:sz="4" w:space="0" w:color="auto"/>
            </w:tcBorders>
          </w:tcPr>
          <w:p w14:paraId="1252F36F" w14:textId="77777777" w:rsidR="009C1ED2" w:rsidRDefault="00E37E9E">
            <w:pPr>
              <w:spacing w:line="276" w:lineRule="auto"/>
              <w:jc w:val="both"/>
              <w:rPr>
                <w:rFonts w:ascii="Arial" w:eastAsia="Arial" w:hAnsi="Arial" w:cs="Arial"/>
                <w:b/>
                <w:sz w:val="20"/>
                <w:szCs w:val="20"/>
              </w:rPr>
            </w:pPr>
            <w:r>
              <w:rPr>
                <w:rFonts w:ascii="Arial" w:eastAsia="Arial" w:hAnsi="Arial" w:cs="Arial"/>
                <w:b/>
                <w:sz w:val="20"/>
                <w:szCs w:val="20"/>
              </w:rPr>
              <w:t>Clone</w:t>
            </w:r>
          </w:p>
        </w:tc>
        <w:tc>
          <w:tcPr>
            <w:tcW w:w="802" w:type="pct"/>
            <w:tcBorders>
              <w:top w:val="single" w:sz="4" w:space="0" w:color="000000"/>
              <w:left w:val="single" w:sz="4" w:space="0" w:color="auto"/>
              <w:bottom w:val="single" w:sz="4" w:space="0" w:color="000000"/>
              <w:right w:val="single" w:sz="4" w:space="0" w:color="auto"/>
            </w:tcBorders>
          </w:tcPr>
          <w:p w14:paraId="1351B09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36" w:type="pct"/>
            <w:tcBorders>
              <w:top w:val="single" w:sz="4" w:space="0" w:color="000000"/>
              <w:left w:val="single" w:sz="4" w:space="0" w:color="auto"/>
              <w:bottom w:val="single" w:sz="4" w:space="0" w:color="000000"/>
              <w:right w:val="single" w:sz="4" w:space="0" w:color="auto"/>
            </w:tcBorders>
          </w:tcPr>
          <w:p w14:paraId="3FF01401"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36" w:type="pct"/>
            <w:tcBorders>
              <w:top w:val="single" w:sz="4" w:space="0" w:color="000000"/>
              <w:left w:val="single" w:sz="4" w:space="0" w:color="auto"/>
              <w:bottom w:val="single" w:sz="4" w:space="0" w:color="000000"/>
              <w:right w:val="single" w:sz="4" w:space="0" w:color="auto"/>
            </w:tcBorders>
          </w:tcPr>
          <w:p w14:paraId="783C35F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664" w:type="pct"/>
            <w:tcBorders>
              <w:top w:val="single" w:sz="4" w:space="0" w:color="000000"/>
              <w:left w:val="single" w:sz="4" w:space="0" w:color="auto"/>
              <w:bottom w:val="single" w:sz="4" w:space="0" w:color="000000"/>
              <w:right w:val="single" w:sz="4" w:space="0" w:color="auto"/>
            </w:tcBorders>
          </w:tcPr>
          <w:p w14:paraId="38EF2923"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71" w:type="pct"/>
            <w:tcBorders>
              <w:top w:val="single" w:sz="4" w:space="0" w:color="000000"/>
              <w:left w:val="single" w:sz="4" w:space="0" w:color="auto"/>
              <w:bottom w:val="single" w:sz="4" w:space="0" w:color="000000"/>
              <w:right w:val="single" w:sz="4" w:space="0" w:color="auto"/>
            </w:tcBorders>
          </w:tcPr>
          <w:p w14:paraId="4A09E67A"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71" w:type="pct"/>
            <w:tcBorders>
              <w:top w:val="single" w:sz="4" w:space="0" w:color="000000"/>
              <w:left w:val="single" w:sz="4" w:space="0" w:color="auto"/>
              <w:bottom w:val="single" w:sz="4" w:space="0" w:color="000000"/>
            </w:tcBorders>
          </w:tcPr>
          <w:p w14:paraId="78DBAA1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r>
      <w:tr w:rsidR="009C1ED2" w14:paraId="6C9B4B83" w14:textId="77777777" w:rsidTr="00FA5B2E">
        <w:trPr>
          <w:trHeight w:val="397"/>
          <w:jc w:val="center"/>
        </w:trPr>
        <w:tc>
          <w:tcPr>
            <w:tcW w:w="519" w:type="pct"/>
            <w:tcBorders>
              <w:top w:val="single" w:sz="4" w:space="0" w:color="000000"/>
              <w:right w:val="single" w:sz="4" w:space="0" w:color="auto"/>
            </w:tcBorders>
          </w:tcPr>
          <w:p w14:paraId="42AFA0FF"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211</w:t>
            </w:r>
          </w:p>
        </w:tc>
        <w:tc>
          <w:tcPr>
            <w:tcW w:w="802" w:type="pct"/>
            <w:tcBorders>
              <w:top w:val="single" w:sz="4" w:space="0" w:color="000000"/>
              <w:left w:val="single" w:sz="4" w:space="0" w:color="auto"/>
              <w:right w:val="single" w:sz="4" w:space="0" w:color="auto"/>
            </w:tcBorders>
          </w:tcPr>
          <w:p w14:paraId="66C033D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1.078 </w:t>
            </w:r>
            <w:proofErr w:type="spellStart"/>
            <w:r>
              <w:rPr>
                <w:rFonts w:ascii="Arial" w:eastAsia="Arial" w:hAnsi="Arial" w:cs="Arial"/>
                <w:sz w:val="20"/>
                <w:szCs w:val="20"/>
              </w:rPr>
              <w:t>abcA</w:t>
            </w:r>
            <w:proofErr w:type="spellEnd"/>
          </w:p>
        </w:tc>
        <w:tc>
          <w:tcPr>
            <w:tcW w:w="736" w:type="pct"/>
            <w:tcBorders>
              <w:top w:val="single" w:sz="4" w:space="0" w:color="000000"/>
              <w:left w:val="single" w:sz="4" w:space="0" w:color="auto"/>
              <w:right w:val="single" w:sz="4" w:space="0" w:color="auto"/>
            </w:tcBorders>
          </w:tcPr>
          <w:p w14:paraId="7691E42B"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0.706 </w:t>
            </w:r>
            <w:proofErr w:type="spellStart"/>
            <w:r>
              <w:rPr>
                <w:rFonts w:ascii="Arial" w:eastAsia="Arial" w:hAnsi="Arial" w:cs="Arial"/>
                <w:sz w:val="20"/>
                <w:szCs w:val="20"/>
              </w:rPr>
              <w:t>abB</w:t>
            </w:r>
            <w:proofErr w:type="spellEnd"/>
          </w:p>
        </w:tc>
        <w:tc>
          <w:tcPr>
            <w:tcW w:w="736" w:type="pct"/>
            <w:tcBorders>
              <w:top w:val="single" w:sz="4" w:space="0" w:color="000000"/>
              <w:left w:val="single" w:sz="4" w:space="0" w:color="auto"/>
              <w:right w:val="single" w:sz="4" w:space="0" w:color="auto"/>
            </w:tcBorders>
          </w:tcPr>
          <w:p w14:paraId="55EB4BB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40.61 </w:t>
            </w:r>
            <w:proofErr w:type="spellStart"/>
            <w:r>
              <w:rPr>
                <w:rFonts w:ascii="Arial" w:eastAsia="Arial" w:hAnsi="Arial" w:cs="Arial"/>
                <w:sz w:val="20"/>
                <w:szCs w:val="20"/>
              </w:rPr>
              <w:t>aA</w:t>
            </w:r>
            <w:proofErr w:type="spellEnd"/>
          </w:p>
        </w:tc>
        <w:tc>
          <w:tcPr>
            <w:tcW w:w="664" w:type="pct"/>
            <w:tcBorders>
              <w:top w:val="single" w:sz="4" w:space="0" w:color="000000"/>
              <w:left w:val="single" w:sz="4" w:space="0" w:color="auto"/>
              <w:right w:val="single" w:sz="4" w:space="0" w:color="auto"/>
            </w:tcBorders>
          </w:tcPr>
          <w:p w14:paraId="3EC5974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38.37 </w:t>
            </w:r>
            <w:proofErr w:type="spellStart"/>
            <w:r>
              <w:rPr>
                <w:rFonts w:ascii="Arial" w:eastAsia="Arial" w:hAnsi="Arial" w:cs="Arial"/>
                <w:sz w:val="20"/>
                <w:szCs w:val="20"/>
              </w:rPr>
              <w:t>aB</w:t>
            </w:r>
            <w:proofErr w:type="spellEnd"/>
          </w:p>
        </w:tc>
        <w:tc>
          <w:tcPr>
            <w:tcW w:w="771" w:type="pct"/>
            <w:tcBorders>
              <w:top w:val="single" w:sz="4" w:space="0" w:color="000000"/>
              <w:left w:val="single" w:sz="4" w:space="0" w:color="auto"/>
              <w:right w:val="single" w:sz="4" w:space="0" w:color="auto"/>
            </w:tcBorders>
          </w:tcPr>
          <w:p w14:paraId="3D4893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15.09 </w:t>
            </w:r>
            <w:proofErr w:type="spellStart"/>
            <w:r>
              <w:rPr>
                <w:rFonts w:ascii="Arial" w:eastAsia="Arial" w:hAnsi="Arial" w:cs="Arial"/>
                <w:sz w:val="20"/>
                <w:szCs w:val="20"/>
              </w:rPr>
              <w:t>aA</w:t>
            </w:r>
            <w:proofErr w:type="spellEnd"/>
          </w:p>
        </w:tc>
        <w:tc>
          <w:tcPr>
            <w:tcW w:w="771" w:type="pct"/>
            <w:tcBorders>
              <w:top w:val="single" w:sz="4" w:space="0" w:color="000000"/>
              <w:left w:val="single" w:sz="4" w:space="0" w:color="auto"/>
            </w:tcBorders>
          </w:tcPr>
          <w:p w14:paraId="2455048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12.96 </w:t>
            </w:r>
            <w:proofErr w:type="spellStart"/>
            <w:r>
              <w:rPr>
                <w:rFonts w:ascii="Arial" w:eastAsia="Arial" w:hAnsi="Arial" w:cs="Arial"/>
                <w:sz w:val="20"/>
                <w:szCs w:val="20"/>
              </w:rPr>
              <w:t>aB</w:t>
            </w:r>
            <w:proofErr w:type="spellEnd"/>
          </w:p>
        </w:tc>
      </w:tr>
      <w:tr w:rsidR="009C1ED2" w14:paraId="75D0FE28" w14:textId="77777777" w:rsidTr="00FA5B2E">
        <w:trPr>
          <w:trHeight w:val="397"/>
          <w:jc w:val="center"/>
        </w:trPr>
        <w:tc>
          <w:tcPr>
            <w:tcW w:w="519" w:type="pct"/>
            <w:tcBorders>
              <w:right w:val="single" w:sz="4" w:space="0" w:color="auto"/>
            </w:tcBorders>
          </w:tcPr>
          <w:p w14:paraId="1CACE1B2"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213</w:t>
            </w:r>
          </w:p>
        </w:tc>
        <w:tc>
          <w:tcPr>
            <w:tcW w:w="802" w:type="pct"/>
            <w:tcBorders>
              <w:left w:val="single" w:sz="4" w:space="0" w:color="auto"/>
              <w:right w:val="single" w:sz="4" w:space="0" w:color="auto"/>
            </w:tcBorders>
          </w:tcPr>
          <w:p w14:paraId="2F5B1BF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1.420 </w:t>
            </w:r>
            <w:proofErr w:type="spellStart"/>
            <w:r>
              <w:rPr>
                <w:rFonts w:ascii="Arial" w:eastAsia="Arial" w:hAnsi="Arial" w:cs="Arial"/>
                <w:sz w:val="20"/>
                <w:szCs w:val="20"/>
              </w:rPr>
              <w:t>aA</w:t>
            </w:r>
            <w:proofErr w:type="spellEnd"/>
          </w:p>
        </w:tc>
        <w:tc>
          <w:tcPr>
            <w:tcW w:w="736" w:type="pct"/>
            <w:tcBorders>
              <w:left w:val="single" w:sz="4" w:space="0" w:color="auto"/>
              <w:right w:val="single" w:sz="4" w:space="0" w:color="auto"/>
            </w:tcBorders>
          </w:tcPr>
          <w:p w14:paraId="554BC1D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0.623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565763E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27.18 </w:t>
            </w:r>
            <w:proofErr w:type="spellStart"/>
            <w:r>
              <w:rPr>
                <w:rFonts w:ascii="Arial" w:eastAsia="Arial" w:hAnsi="Arial" w:cs="Arial"/>
                <w:sz w:val="20"/>
                <w:szCs w:val="20"/>
              </w:rPr>
              <w:t>dA</w:t>
            </w:r>
            <w:proofErr w:type="spellEnd"/>
          </w:p>
        </w:tc>
        <w:tc>
          <w:tcPr>
            <w:tcW w:w="664" w:type="pct"/>
            <w:tcBorders>
              <w:left w:val="single" w:sz="4" w:space="0" w:color="auto"/>
              <w:right w:val="single" w:sz="4" w:space="0" w:color="auto"/>
            </w:tcBorders>
          </w:tcPr>
          <w:p w14:paraId="719FEA0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19.43 </w:t>
            </w:r>
            <w:proofErr w:type="spellStart"/>
            <w:r>
              <w:rPr>
                <w:rFonts w:ascii="Arial" w:eastAsia="Arial" w:hAnsi="Arial" w:cs="Arial"/>
                <w:sz w:val="20"/>
                <w:szCs w:val="20"/>
              </w:rPr>
              <w:t>cB</w:t>
            </w:r>
            <w:proofErr w:type="spellEnd"/>
          </w:p>
        </w:tc>
        <w:tc>
          <w:tcPr>
            <w:tcW w:w="771" w:type="pct"/>
            <w:tcBorders>
              <w:left w:val="single" w:sz="4" w:space="0" w:color="auto"/>
              <w:right w:val="single" w:sz="4" w:space="0" w:color="auto"/>
            </w:tcBorders>
          </w:tcPr>
          <w:p w14:paraId="1EE31F30"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9.24 </w:t>
            </w:r>
            <w:proofErr w:type="spellStart"/>
            <w:r>
              <w:rPr>
                <w:rFonts w:ascii="Arial" w:eastAsia="Arial" w:hAnsi="Arial" w:cs="Arial"/>
                <w:sz w:val="20"/>
                <w:szCs w:val="20"/>
              </w:rPr>
              <w:t>cA</w:t>
            </w:r>
            <w:proofErr w:type="spellEnd"/>
          </w:p>
        </w:tc>
        <w:tc>
          <w:tcPr>
            <w:tcW w:w="771" w:type="pct"/>
            <w:tcBorders>
              <w:left w:val="single" w:sz="4" w:space="0" w:color="auto"/>
            </w:tcBorders>
          </w:tcPr>
          <w:p w14:paraId="0A3030E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4.56 </w:t>
            </w:r>
            <w:proofErr w:type="spellStart"/>
            <w:r>
              <w:rPr>
                <w:rFonts w:ascii="Arial" w:eastAsia="Arial" w:hAnsi="Arial" w:cs="Arial"/>
                <w:sz w:val="20"/>
                <w:szCs w:val="20"/>
              </w:rPr>
              <w:t>cB</w:t>
            </w:r>
            <w:proofErr w:type="spellEnd"/>
          </w:p>
        </w:tc>
      </w:tr>
      <w:tr w:rsidR="009C1ED2" w14:paraId="12659E0C" w14:textId="77777777" w:rsidTr="00FA5B2E">
        <w:trPr>
          <w:trHeight w:val="397"/>
          <w:jc w:val="center"/>
        </w:trPr>
        <w:tc>
          <w:tcPr>
            <w:tcW w:w="519" w:type="pct"/>
            <w:tcBorders>
              <w:right w:val="single" w:sz="4" w:space="0" w:color="auto"/>
            </w:tcBorders>
          </w:tcPr>
          <w:p w14:paraId="6DB3487A"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222</w:t>
            </w:r>
          </w:p>
        </w:tc>
        <w:tc>
          <w:tcPr>
            <w:tcW w:w="802" w:type="pct"/>
            <w:tcBorders>
              <w:left w:val="single" w:sz="4" w:space="0" w:color="auto"/>
              <w:right w:val="single" w:sz="4" w:space="0" w:color="auto"/>
            </w:tcBorders>
          </w:tcPr>
          <w:p w14:paraId="11F06B9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0.720 </w:t>
            </w:r>
            <w:proofErr w:type="spellStart"/>
            <w:r>
              <w:rPr>
                <w:rFonts w:ascii="Arial" w:eastAsia="Arial" w:hAnsi="Arial" w:cs="Arial"/>
                <w:sz w:val="20"/>
                <w:szCs w:val="20"/>
              </w:rPr>
              <w:t>cA</w:t>
            </w:r>
            <w:proofErr w:type="spellEnd"/>
          </w:p>
        </w:tc>
        <w:tc>
          <w:tcPr>
            <w:tcW w:w="736" w:type="pct"/>
            <w:tcBorders>
              <w:left w:val="single" w:sz="4" w:space="0" w:color="auto"/>
              <w:right w:val="single" w:sz="4" w:space="0" w:color="auto"/>
            </w:tcBorders>
          </w:tcPr>
          <w:p w14:paraId="4F5BDE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0.496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1285672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37.58 </w:t>
            </w:r>
            <w:proofErr w:type="spellStart"/>
            <w:r>
              <w:rPr>
                <w:rFonts w:ascii="Arial" w:eastAsia="Arial" w:hAnsi="Arial" w:cs="Arial"/>
                <w:sz w:val="20"/>
                <w:szCs w:val="20"/>
              </w:rPr>
              <w:t>bA</w:t>
            </w:r>
            <w:proofErr w:type="spellEnd"/>
          </w:p>
        </w:tc>
        <w:tc>
          <w:tcPr>
            <w:tcW w:w="664" w:type="pct"/>
            <w:tcBorders>
              <w:left w:val="single" w:sz="4" w:space="0" w:color="auto"/>
              <w:right w:val="single" w:sz="4" w:space="0" w:color="auto"/>
            </w:tcBorders>
          </w:tcPr>
          <w:p w14:paraId="22D3DAB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30.14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347ADF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14.27 </w:t>
            </w:r>
            <w:proofErr w:type="spellStart"/>
            <w:r>
              <w:rPr>
                <w:rFonts w:ascii="Arial" w:eastAsia="Arial" w:hAnsi="Arial" w:cs="Arial"/>
                <w:sz w:val="20"/>
                <w:szCs w:val="20"/>
              </w:rPr>
              <w:t>aA</w:t>
            </w:r>
            <w:proofErr w:type="spellEnd"/>
          </w:p>
        </w:tc>
        <w:tc>
          <w:tcPr>
            <w:tcW w:w="771" w:type="pct"/>
            <w:tcBorders>
              <w:left w:val="single" w:sz="4" w:space="0" w:color="auto"/>
            </w:tcBorders>
          </w:tcPr>
          <w:p w14:paraId="68EE209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9.89 </w:t>
            </w:r>
            <w:proofErr w:type="spellStart"/>
            <w:r>
              <w:rPr>
                <w:rFonts w:ascii="Arial" w:eastAsia="Arial" w:hAnsi="Arial" w:cs="Arial"/>
                <w:sz w:val="20"/>
                <w:szCs w:val="20"/>
              </w:rPr>
              <w:t>bB</w:t>
            </w:r>
            <w:proofErr w:type="spellEnd"/>
          </w:p>
        </w:tc>
      </w:tr>
      <w:tr w:rsidR="009C1ED2" w14:paraId="7ECB2954" w14:textId="77777777" w:rsidTr="00FA5B2E">
        <w:trPr>
          <w:trHeight w:val="397"/>
          <w:jc w:val="center"/>
        </w:trPr>
        <w:tc>
          <w:tcPr>
            <w:tcW w:w="519" w:type="pct"/>
            <w:tcBorders>
              <w:right w:val="single" w:sz="4" w:space="0" w:color="auto"/>
            </w:tcBorders>
          </w:tcPr>
          <w:p w14:paraId="5F6CEDA0"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224</w:t>
            </w:r>
          </w:p>
        </w:tc>
        <w:tc>
          <w:tcPr>
            <w:tcW w:w="802" w:type="pct"/>
            <w:tcBorders>
              <w:left w:val="single" w:sz="4" w:space="0" w:color="auto"/>
              <w:right w:val="single" w:sz="4" w:space="0" w:color="auto"/>
            </w:tcBorders>
          </w:tcPr>
          <w:p w14:paraId="70E506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1.331 </w:t>
            </w:r>
            <w:proofErr w:type="spellStart"/>
            <w:r>
              <w:rPr>
                <w:rFonts w:ascii="Arial" w:eastAsia="Arial" w:hAnsi="Arial" w:cs="Arial"/>
                <w:sz w:val="20"/>
                <w:szCs w:val="20"/>
              </w:rPr>
              <w:t>abA</w:t>
            </w:r>
            <w:proofErr w:type="spellEnd"/>
          </w:p>
        </w:tc>
        <w:tc>
          <w:tcPr>
            <w:tcW w:w="736" w:type="pct"/>
            <w:tcBorders>
              <w:left w:val="single" w:sz="4" w:space="0" w:color="auto"/>
              <w:right w:val="single" w:sz="4" w:space="0" w:color="auto"/>
            </w:tcBorders>
          </w:tcPr>
          <w:p w14:paraId="1D490487"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0.259 </w:t>
            </w:r>
            <w:proofErr w:type="spellStart"/>
            <w:r>
              <w:rPr>
                <w:rFonts w:ascii="Arial" w:eastAsia="Arial" w:hAnsi="Arial" w:cs="Arial"/>
                <w:sz w:val="20"/>
                <w:szCs w:val="20"/>
              </w:rPr>
              <w:t>bB</w:t>
            </w:r>
            <w:proofErr w:type="spellEnd"/>
          </w:p>
        </w:tc>
        <w:tc>
          <w:tcPr>
            <w:tcW w:w="736" w:type="pct"/>
            <w:tcBorders>
              <w:left w:val="single" w:sz="4" w:space="0" w:color="auto"/>
              <w:right w:val="single" w:sz="4" w:space="0" w:color="auto"/>
            </w:tcBorders>
          </w:tcPr>
          <w:p w14:paraId="153F7D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39.66 </w:t>
            </w:r>
            <w:proofErr w:type="spellStart"/>
            <w:r>
              <w:rPr>
                <w:rFonts w:ascii="Arial" w:eastAsia="Arial" w:hAnsi="Arial" w:cs="Arial"/>
                <w:sz w:val="20"/>
                <w:szCs w:val="20"/>
              </w:rPr>
              <w:t>abA</w:t>
            </w:r>
            <w:proofErr w:type="spellEnd"/>
          </w:p>
        </w:tc>
        <w:tc>
          <w:tcPr>
            <w:tcW w:w="664" w:type="pct"/>
            <w:tcBorders>
              <w:left w:val="single" w:sz="4" w:space="0" w:color="auto"/>
              <w:right w:val="single" w:sz="4" w:space="0" w:color="auto"/>
            </w:tcBorders>
          </w:tcPr>
          <w:p w14:paraId="3FCF6AA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133B7C4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14.43 </w:t>
            </w:r>
            <w:proofErr w:type="spellStart"/>
            <w:r>
              <w:rPr>
                <w:rFonts w:ascii="Arial" w:eastAsia="Arial" w:hAnsi="Arial" w:cs="Arial"/>
                <w:sz w:val="20"/>
                <w:szCs w:val="20"/>
              </w:rPr>
              <w:t>aA</w:t>
            </w:r>
            <w:proofErr w:type="spellEnd"/>
          </w:p>
        </w:tc>
        <w:tc>
          <w:tcPr>
            <w:tcW w:w="771" w:type="pct"/>
            <w:tcBorders>
              <w:left w:val="single" w:sz="4" w:space="0" w:color="auto"/>
            </w:tcBorders>
          </w:tcPr>
          <w:p w14:paraId="6C1BBA6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10.74 </w:t>
            </w:r>
            <w:proofErr w:type="spellStart"/>
            <w:r>
              <w:rPr>
                <w:rFonts w:ascii="Arial" w:eastAsia="Arial" w:hAnsi="Arial" w:cs="Arial"/>
                <w:sz w:val="20"/>
                <w:szCs w:val="20"/>
              </w:rPr>
              <w:t>bB</w:t>
            </w:r>
            <w:proofErr w:type="spellEnd"/>
          </w:p>
        </w:tc>
      </w:tr>
      <w:tr w:rsidR="009C1ED2" w14:paraId="00206F8E" w14:textId="77777777" w:rsidTr="00FA5B2E">
        <w:trPr>
          <w:trHeight w:val="397"/>
          <w:jc w:val="center"/>
        </w:trPr>
        <w:tc>
          <w:tcPr>
            <w:tcW w:w="519" w:type="pct"/>
            <w:tcBorders>
              <w:bottom w:val="single" w:sz="4" w:space="0" w:color="000000"/>
              <w:right w:val="single" w:sz="4" w:space="0" w:color="auto"/>
            </w:tcBorders>
          </w:tcPr>
          <w:p w14:paraId="52FD7DF7"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MKL 7</w:t>
            </w:r>
          </w:p>
        </w:tc>
        <w:tc>
          <w:tcPr>
            <w:tcW w:w="802" w:type="pct"/>
            <w:tcBorders>
              <w:left w:val="single" w:sz="4" w:space="0" w:color="auto"/>
              <w:bottom w:val="single" w:sz="4" w:space="0" w:color="000000"/>
              <w:right w:val="single" w:sz="4" w:space="0" w:color="auto"/>
            </w:tcBorders>
          </w:tcPr>
          <w:p w14:paraId="61D64FB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0.908 </w:t>
            </w:r>
            <w:proofErr w:type="spellStart"/>
            <w:r>
              <w:rPr>
                <w:rFonts w:ascii="Arial" w:eastAsia="Arial" w:hAnsi="Arial" w:cs="Arial"/>
                <w:sz w:val="20"/>
                <w:szCs w:val="20"/>
              </w:rPr>
              <w:t>bcA</w:t>
            </w:r>
            <w:proofErr w:type="spellEnd"/>
          </w:p>
        </w:tc>
        <w:tc>
          <w:tcPr>
            <w:tcW w:w="736" w:type="pct"/>
            <w:tcBorders>
              <w:left w:val="single" w:sz="4" w:space="0" w:color="auto"/>
              <w:bottom w:val="single" w:sz="4" w:space="0" w:color="000000"/>
              <w:right w:val="single" w:sz="4" w:space="0" w:color="auto"/>
            </w:tcBorders>
          </w:tcPr>
          <w:p w14:paraId="75BCD0E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0.788 </w:t>
            </w:r>
            <w:proofErr w:type="spellStart"/>
            <w:r>
              <w:rPr>
                <w:rFonts w:ascii="Arial" w:eastAsia="Arial" w:hAnsi="Arial" w:cs="Arial"/>
                <w:sz w:val="20"/>
                <w:szCs w:val="20"/>
              </w:rPr>
              <w:t>aA</w:t>
            </w:r>
            <w:proofErr w:type="spellEnd"/>
          </w:p>
        </w:tc>
        <w:tc>
          <w:tcPr>
            <w:tcW w:w="736" w:type="pct"/>
            <w:tcBorders>
              <w:left w:val="single" w:sz="4" w:space="0" w:color="auto"/>
              <w:bottom w:val="single" w:sz="4" w:space="0" w:color="000000"/>
              <w:right w:val="single" w:sz="4" w:space="0" w:color="auto"/>
            </w:tcBorders>
          </w:tcPr>
          <w:p w14:paraId="67A8362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33.20 </w:t>
            </w:r>
            <w:proofErr w:type="spellStart"/>
            <w:r>
              <w:rPr>
                <w:rFonts w:ascii="Arial" w:eastAsia="Arial" w:hAnsi="Arial" w:cs="Arial"/>
                <w:sz w:val="20"/>
                <w:szCs w:val="20"/>
              </w:rPr>
              <w:t>cA</w:t>
            </w:r>
            <w:proofErr w:type="spellEnd"/>
          </w:p>
        </w:tc>
        <w:tc>
          <w:tcPr>
            <w:tcW w:w="664" w:type="pct"/>
            <w:tcBorders>
              <w:left w:val="single" w:sz="4" w:space="0" w:color="auto"/>
              <w:bottom w:val="single" w:sz="4" w:space="0" w:color="000000"/>
              <w:right w:val="single" w:sz="4" w:space="0" w:color="auto"/>
            </w:tcBorders>
          </w:tcPr>
          <w:p w14:paraId="3B32E544"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31.10 </w:t>
            </w:r>
            <w:proofErr w:type="spellStart"/>
            <w:r>
              <w:rPr>
                <w:rFonts w:ascii="Arial" w:eastAsia="Arial" w:hAnsi="Arial" w:cs="Arial"/>
                <w:sz w:val="20"/>
                <w:szCs w:val="20"/>
              </w:rPr>
              <w:t>bB</w:t>
            </w:r>
            <w:proofErr w:type="spellEnd"/>
          </w:p>
        </w:tc>
        <w:tc>
          <w:tcPr>
            <w:tcW w:w="771" w:type="pct"/>
            <w:tcBorders>
              <w:left w:val="single" w:sz="4" w:space="0" w:color="auto"/>
              <w:bottom w:val="single" w:sz="4" w:space="0" w:color="000000"/>
              <w:right w:val="single" w:sz="4" w:space="0" w:color="auto"/>
            </w:tcBorders>
          </w:tcPr>
          <w:p w14:paraId="2A922CC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11.55 </w:t>
            </w:r>
            <w:proofErr w:type="spellStart"/>
            <w:r>
              <w:rPr>
                <w:rFonts w:ascii="Arial" w:eastAsia="Arial" w:hAnsi="Arial" w:cs="Arial"/>
                <w:sz w:val="20"/>
                <w:szCs w:val="20"/>
              </w:rPr>
              <w:t>bA</w:t>
            </w:r>
            <w:proofErr w:type="spellEnd"/>
          </w:p>
        </w:tc>
        <w:tc>
          <w:tcPr>
            <w:tcW w:w="771" w:type="pct"/>
            <w:tcBorders>
              <w:left w:val="single" w:sz="4" w:space="0" w:color="auto"/>
              <w:bottom w:val="single" w:sz="4" w:space="0" w:color="000000"/>
            </w:tcBorders>
          </w:tcPr>
          <w:p w14:paraId="44CCCE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10.02 </w:t>
            </w:r>
            <w:proofErr w:type="spellStart"/>
            <w:r>
              <w:rPr>
                <w:rFonts w:ascii="Arial" w:eastAsia="Arial" w:hAnsi="Arial" w:cs="Arial"/>
                <w:sz w:val="20"/>
                <w:szCs w:val="20"/>
              </w:rPr>
              <w:t>bB</w:t>
            </w:r>
            <w:proofErr w:type="spellEnd"/>
          </w:p>
        </w:tc>
      </w:tr>
    </w:tbl>
    <w:p w14:paraId="13862EAA" w14:textId="2A8947CE" w:rsidR="000C6E1C" w:rsidRPr="000C6E1C" w:rsidRDefault="000C6E1C">
      <w:pPr>
        <w:spacing w:line="276" w:lineRule="auto"/>
        <w:jc w:val="both"/>
        <w:rPr>
          <w:rFonts w:ascii="Arial" w:eastAsia="Arial" w:hAnsi="Arial" w:cs="Arial"/>
          <w:i/>
          <w:iCs/>
          <w:sz w:val="18"/>
          <w:szCs w:val="18"/>
        </w:rPr>
      </w:pPr>
      <w:r w:rsidRPr="000C6E1C">
        <w:rPr>
          <w:rFonts w:ascii="Arial" w:eastAsia="Arial" w:hAnsi="Arial" w:cs="Arial"/>
          <w:i/>
          <w:iCs/>
          <w:sz w:val="18"/>
          <w:szCs w:val="18"/>
        </w:rPr>
        <w:t xml:space="preserve">Means followed </w:t>
      </w:r>
      <w:r w:rsidR="00D14F1C">
        <w:rPr>
          <w:rFonts w:ascii="Arial" w:eastAsia="Arial" w:hAnsi="Arial" w:cs="Arial"/>
          <w:i/>
          <w:iCs/>
          <w:sz w:val="18"/>
          <w:szCs w:val="18"/>
        </w:rPr>
        <w:t>by d</w:t>
      </w:r>
      <w:r w:rsidR="00D14F1C" w:rsidRPr="00D14F1C">
        <w:rPr>
          <w:rFonts w:ascii="Arial" w:eastAsia="Arial" w:hAnsi="Arial" w:cs="Arial"/>
          <w:i/>
          <w:iCs/>
          <w:sz w:val="18"/>
          <w:szCs w:val="18"/>
        </w:rPr>
        <w:t>ifferent lowercase letters within columns and uppercase letters within rows denote significant differences according to Tukey’s test (p ≤ 0.05).</w:t>
      </w:r>
    </w:p>
    <w:p w14:paraId="3C12FBD9" w14:textId="77777777" w:rsidR="000C6E1C" w:rsidRDefault="000C6E1C">
      <w:pPr>
        <w:spacing w:line="276" w:lineRule="auto"/>
        <w:jc w:val="both"/>
        <w:rPr>
          <w:rFonts w:ascii="Arial" w:eastAsia="Arial" w:hAnsi="Arial" w:cs="Arial"/>
        </w:rPr>
      </w:pPr>
    </w:p>
    <w:p w14:paraId="640D127A" w14:textId="013D5B12"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3.3 </w:t>
      </w:r>
      <w:r w:rsidR="00DB27FA" w:rsidRPr="00DB27FA">
        <w:rPr>
          <w:rFonts w:ascii="Arial" w:eastAsia="Arial" w:hAnsi="Arial" w:cs="Arial"/>
          <w:b/>
          <w:sz w:val="22"/>
          <w:szCs w:val="22"/>
        </w:rPr>
        <w:t>Disease–yield relationships and seasonal effects</w:t>
      </w:r>
    </w:p>
    <w:p w14:paraId="6B0761A4" w14:textId="77777777" w:rsidR="00E91640" w:rsidRDefault="00E91640" w:rsidP="00E91640">
      <w:pPr>
        <w:spacing w:line="276" w:lineRule="auto"/>
        <w:jc w:val="both"/>
        <w:rPr>
          <w:rFonts w:ascii="Arial" w:eastAsia="Arial" w:hAnsi="Arial" w:cs="Arial"/>
        </w:rPr>
      </w:pPr>
      <w:r w:rsidRPr="00896D07">
        <w:rPr>
          <w:rFonts w:ascii="Arial" w:eastAsia="Arial" w:hAnsi="Arial" w:cs="Arial"/>
        </w:rPr>
        <w:t xml:space="preserve">Correlation analysis provided further insights into the relationship between disease pressure and yield (Table 2), showing </w:t>
      </w:r>
      <w:r w:rsidRPr="00464AD3">
        <w:rPr>
          <w:rFonts w:ascii="Arial" w:eastAsia="Arial" w:hAnsi="Arial" w:cs="Arial"/>
        </w:rPr>
        <w:t>that the impact of CLR on yield varied by both clone and season</w:t>
      </w:r>
      <w:r w:rsidRPr="00896D07">
        <w:rPr>
          <w:rFonts w:ascii="Arial" w:eastAsia="Arial" w:hAnsi="Arial" w:cs="Arial"/>
        </w:rPr>
        <w:t>.</w:t>
      </w:r>
    </w:p>
    <w:p w14:paraId="1539B19D" w14:textId="77777777" w:rsidR="00E91640" w:rsidRDefault="00E91640" w:rsidP="00E91640">
      <w:pPr>
        <w:spacing w:line="276" w:lineRule="auto"/>
        <w:jc w:val="both"/>
        <w:rPr>
          <w:rFonts w:ascii="Arial" w:eastAsia="Arial" w:hAnsi="Arial" w:cs="Arial"/>
        </w:rPr>
      </w:pPr>
    </w:p>
    <w:p w14:paraId="615F9033" w14:textId="77777777" w:rsidR="00E91640" w:rsidRDefault="00E91640" w:rsidP="00E91640">
      <w:pPr>
        <w:spacing w:line="276" w:lineRule="auto"/>
        <w:jc w:val="both"/>
        <w:rPr>
          <w:rFonts w:ascii="Arial" w:eastAsia="Arial" w:hAnsi="Arial" w:cs="Arial"/>
        </w:rPr>
      </w:pPr>
      <w:r w:rsidRPr="0043538E">
        <w:rPr>
          <w:rFonts w:ascii="Arial" w:eastAsia="Arial" w:hAnsi="Arial" w:cs="Arial"/>
        </w:rPr>
        <w:t xml:space="preserve">In Year 1 (July 2021–June 2022), </w:t>
      </w:r>
      <w:r w:rsidRPr="00E147AF">
        <w:rPr>
          <w:rFonts w:ascii="Arial" w:eastAsia="Arial" w:hAnsi="Arial" w:cs="Arial"/>
        </w:rPr>
        <w:t xml:space="preserve">no significant correlations were observed between yield and disease parameters (incidence or severity), </w:t>
      </w:r>
      <w:r w:rsidRPr="00464AD3">
        <w:rPr>
          <w:rFonts w:ascii="Arial" w:eastAsia="Arial" w:hAnsi="Arial" w:cs="Arial"/>
        </w:rPr>
        <w:t>indicating that yield was mainly driven by fruit load rather than disease.</w:t>
      </w:r>
      <w:r w:rsidRPr="00E147AF">
        <w:rPr>
          <w:rFonts w:ascii="Arial" w:eastAsia="Arial" w:hAnsi="Arial" w:cs="Arial"/>
        </w:rPr>
        <w:t xml:space="preserve"> </w:t>
      </w:r>
      <w:r w:rsidRPr="00963112">
        <w:rPr>
          <w:rFonts w:ascii="Arial" w:eastAsia="Arial" w:hAnsi="Arial" w:cs="Arial"/>
        </w:rPr>
        <w:t>Clone 211, for example,</w:t>
      </w:r>
      <w:r>
        <w:rPr>
          <w:rFonts w:ascii="Arial" w:eastAsia="Arial" w:hAnsi="Arial" w:cs="Arial"/>
        </w:rPr>
        <w:t xml:space="preserve"> </w:t>
      </w:r>
      <w:r w:rsidRPr="00E147AF">
        <w:rPr>
          <w:rFonts w:ascii="Arial" w:eastAsia="Arial" w:hAnsi="Arial" w:cs="Arial"/>
        </w:rPr>
        <w:t>showed negligible associations (INC: r = 0.27; DSI: r = –0.03), while clone 213 also displayed near-zero values (INC: r = 0.05; DSI: r = –0.10). Interestingly, MKL 7 even showed weak positive trends with both incidence and severity (r = 0.41; r = 0.22)</w:t>
      </w:r>
      <w:r w:rsidRPr="00963112">
        <w:rPr>
          <w:rFonts w:ascii="Arial" w:eastAsia="Arial" w:hAnsi="Arial" w:cs="Arial"/>
        </w:rPr>
        <w:t>, further indicating that CLR did not constrain yield in this season of high fruiting</w:t>
      </w:r>
      <w:r>
        <w:rPr>
          <w:rFonts w:ascii="Arial" w:eastAsia="Arial" w:hAnsi="Arial" w:cs="Arial"/>
        </w:rPr>
        <w:t>.</w:t>
      </w:r>
    </w:p>
    <w:p w14:paraId="2A2BEF43" w14:textId="77777777" w:rsidR="00E91640" w:rsidRDefault="00E91640" w:rsidP="00E91640">
      <w:pPr>
        <w:spacing w:line="276" w:lineRule="auto"/>
        <w:rPr>
          <w:rFonts w:ascii="Arial" w:eastAsia="Arial" w:hAnsi="Arial" w:cs="Arial"/>
        </w:rPr>
      </w:pPr>
    </w:p>
    <w:p w14:paraId="7286A50B" w14:textId="77777777" w:rsidR="00E91640" w:rsidRPr="00D922D1" w:rsidRDefault="00E91640" w:rsidP="00E91640">
      <w:pPr>
        <w:spacing w:line="276" w:lineRule="auto"/>
        <w:jc w:val="both"/>
        <w:rPr>
          <w:rFonts w:ascii="Arial" w:eastAsia="Arial" w:hAnsi="Arial" w:cs="Arial"/>
        </w:rPr>
      </w:pPr>
      <w:r>
        <w:rPr>
          <w:rFonts w:ascii="Arial" w:eastAsia="Arial" w:hAnsi="Arial" w:cs="Arial"/>
        </w:rPr>
        <w:t>I</w:t>
      </w:r>
      <w:r w:rsidRPr="0043538E">
        <w:rPr>
          <w:rFonts w:ascii="Arial" w:eastAsia="Arial" w:hAnsi="Arial" w:cs="Arial"/>
        </w:rPr>
        <w:t xml:space="preserve">n Year 2 (July 2022–June 2023), </w:t>
      </w:r>
      <w:r>
        <w:rPr>
          <w:rFonts w:ascii="Arial" w:eastAsia="Arial" w:hAnsi="Arial" w:cs="Arial"/>
        </w:rPr>
        <w:t xml:space="preserve">however, </w:t>
      </w:r>
      <w:r w:rsidRPr="00963112">
        <w:rPr>
          <w:rFonts w:ascii="Arial" w:eastAsia="Arial" w:hAnsi="Arial" w:cs="Arial"/>
        </w:rPr>
        <w:t>when overall yields declined due to biennial bearing and cumulative stress, correlations between disease and yield became more evident.</w:t>
      </w:r>
      <w:r w:rsidRPr="00DB27FA">
        <w:rPr>
          <w:rFonts w:ascii="Arial" w:eastAsia="Arial" w:hAnsi="Arial" w:cs="Arial"/>
        </w:rPr>
        <w:t xml:space="preserve"> Clone 211 showed weak negative correlations (INC: r = –0.23; DSI: r = –0.36), </w:t>
      </w:r>
      <w:r w:rsidRPr="00464AD3">
        <w:rPr>
          <w:rFonts w:ascii="Arial" w:eastAsia="Arial" w:hAnsi="Arial" w:cs="Arial"/>
        </w:rPr>
        <w:t>reflecting its susceptibility</w:t>
      </w:r>
      <w:r w:rsidRPr="00DB27FA">
        <w:rPr>
          <w:rFonts w:ascii="Arial" w:eastAsia="Arial" w:hAnsi="Arial" w:cs="Arial"/>
        </w:rPr>
        <w:t xml:space="preserve">. </w:t>
      </w:r>
      <w:r w:rsidRPr="00963112">
        <w:rPr>
          <w:rFonts w:ascii="Arial" w:eastAsia="Arial" w:hAnsi="Arial" w:cs="Arial"/>
        </w:rPr>
        <w:t>Clone 213, however, showed moderate positive correlations (INC: r = 0.57; DSI: r = 0.49), indicating that higher yields coincided with higher CLR levels, possibly reflecting its resistance mechanisms that minimi</w:t>
      </w:r>
      <w:r>
        <w:rPr>
          <w:rFonts w:ascii="Arial" w:eastAsia="Arial" w:hAnsi="Arial" w:cs="Arial"/>
        </w:rPr>
        <w:t>z</w:t>
      </w:r>
      <w:r w:rsidRPr="00963112">
        <w:rPr>
          <w:rFonts w:ascii="Arial" w:eastAsia="Arial" w:hAnsi="Arial" w:cs="Arial"/>
        </w:rPr>
        <w:t>ed yield losses despite infection.</w:t>
      </w:r>
      <w:r>
        <w:rPr>
          <w:rFonts w:ascii="Arial" w:eastAsia="Arial" w:hAnsi="Arial" w:cs="Arial"/>
        </w:rPr>
        <w:t xml:space="preserve"> </w:t>
      </w:r>
      <w:r w:rsidRPr="00963112">
        <w:rPr>
          <w:rFonts w:ascii="Arial" w:eastAsia="Arial" w:hAnsi="Arial" w:cs="Arial"/>
        </w:rPr>
        <w:t>Clone 222 showed weak positive associations, while clone 224 remained largely unaffected by disease pressure.</w:t>
      </w:r>
      <w:r>
        <w:rPr>
          <w:rFonts w:ascii="Arial" w:eastAsia="Arial" w:hAnsi="Arial" w:cs="Arial"/>
        </w:rPr>
        <w:t xml:space="preserve"> </w:t>
      </w:r>
      <w:r w:rsidRPr="00E147AF">
        <w:rPr>
          <w:rFonts w:ascii="Arial" w:eastAsia="Arial" w:hAnsi="Arial" w:cs="Arial"/>
        </w:rPr>
        <w:t xml:space="preserve">MKL 7 showed </w:t>
      </w:r>
      <w:r>
        <w:rPr>
          <w:rFonts w:ascii="Arial" w:eastAsia="Arial" w:hAnsi="Arial" w:cs="Arial"/>
        </w:rPr>
        <w:t xml:space="preserve">the </w:t>
      </w:r>
      <w:r w:rsidRPr="00963112">
        <w:rPr>
          <w:rFonts w:ascii="Arial" w:eastAsia="Arial" w:hAnsi="Arial" w:cs="Arial"/>
        </w:rPr>
        <w:t>most notable response</w:t>
      </w:r>
      <w:r>
        <w:rPr>
          <w:rFonts w:ascii="Arial" w:eastAsia="Arial" w:hAnsi="Arial" w:cs="Arial"/>
        </w:rPr>
        <w:t xml:space="preserve">, which displayed </w:t>
      </w:r>
      <w:r w:rsidRPr="00E147AF">
        <w:rPr>
          <w:rFonts w:ascii="Arial" w:eastAsia="Arial" w:hAnsi="Arial" w:cs="Arial"/>
        </w:rPr>
        <w:t xml:space="preserve">a significant negative correlation with incidence (r = –0.60, p &lt; 0.05), confirming its vulnerability to yield </w:t>
      </w:r>
      <w:r w:rsidRPr="00505FDC">
        <w:rPr>
          <w:rFonts w:ascii="Arial" w:eastAsia="Arial" w:hAnsi="Arial" w:cs="Arial"/>
        </w:rPr>
        <w:t>under elevated CLR pressure</w:t>
      </w:r>
      <w:r w:rsidRPr="00E147AF">
        <w:rPr>
          <w:rFonts w:ascii="Arial" w:eastAsia="Arial" w:hAnsi="Arial" w:cs="Arial"/>
        </w:rPr>
        <w:t>.</w:t>
      </w:r>
    </w:p>
    <w:p w14:paraId="327690AE" w14:textId="77777777" w:rsidR="00E91640" w:rsidRPr="00D922D1" w:rsidRDefault="00E91640" w:rsidP="00E91640">
      <w:pPr>
        <w:spacing w:line="276" w:lineRule="auto"/>
        <w:jc w:val="both"/>
        <w:rPr>
          <w:rFonts w:ascii="Arial" w:eastAsia="Arial" w:hAnsi="Arial" w:cs="Arial"/>
        </w:rPr>
      </w:pPr>
    </w:p>
    <w:p w14:paraId="09993C74" w14:textId="77777777" w:rsidR="00E91640" w:rsidRDefault="00E91640" w:rsidP="00E91640">
      <w:pPr>
        <w:spacing w:line="276" w:lineRule="auto"/>
        <w:jc w:val="both"/>
        <w:rPr>
          <w:rFonts w:ascii="Arial" w:hAnsi="Arial" w:cs="Arial"/>
        </w:rPr>
      </w:pPr>
      <w:r w:rsidRPr="00505FDC">
        <w:rPr>
          <w:rFonts w:ascii="Arial" w:eastAsia="Arial" w:hAnsi="Arial" w:cs="Arial"/>
        </w:rPr>
        <w:t>These contrasting seasonal patterns underscore that the relationship between CLR and yield is not uniform but instead shaped by host genotype × environment × pathogen interactions.</w:t>
      </w:r>
      <w:r>
        <w:rPr>
          <w:rFonts w:ascii="Arial" w:eastAsia="Arial" w:hAnsi="Arial" w:cs="Arial"/>
        </w:rPr>
        <w:t xml:space="preserve"> </w:t>
      </w:r>
      <w:bookmarkStart w:id="3" w:name="_Hlk206746927"/>
      <w:r w:rsidRPr="00505FDC">
        <w:rPr>
          <w:rFonts w:ascii="Arial" w:eastAsia="Arial" w:hAnsi="Arial" w:cs="Arial"/>
        </w:rPr>
        <w:t>The absence of significant correlations in Year 1 reflects the dominance of fruit load in regulating yield, while the stronger associations in Year 2 demonstrate how disease effects become more apparent when productivity declines. Such variability is consistent with reports that CLR epidemics are closely modulated by climatic drivers</w:t>
      </w:r>
      <w:r>
        <w:rPr>
          <w:rFonts w:ascii="Arial" w:eastAsia="Arial" w:hAnsi="Arial" w:cs="Arial"/>
        </w:rPr>
        <w:t>,</w:t>
      </w:r>
      <w:r w:rsidRPr="00505FDC">
        <w:rPr>
          <w:rFonts w:ascii="Arial" w:eastAsia="Arial" w:hAnsi="Arial" w:cs="Arial"/>
        </w:rPr>
        <w:t xml:space="preserve"> including rainfall, temperature, and relative humidity</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Sciences","id":"ITEM-1","issue":"2","issued":{"date-parts":[["2021"]]},"page":"301-308","title":"Vegetative vigour, yield and field tolerance to leaf rust in four F1 hybrids of coffee (&lt;i&gt;Coffea arabica&lt;/i&gt; L.) in India","type":"article-journal","volume":"16"},"uris":["http://www.mendeley.com/documents/?uuid=5b16aa51-5d97-4db1-9de8-c7dd839d441a","http://www.mendeley.com/documents/?uuid=323610d6-3b0d-4442-a2ea-29ae6b490a17"]},{"id":"ITEM-2","itemData":{"DOI":"10.1080/24694452.2020.1775543","ISSN":"24694460","abstract":"Since September 2012, the Jamaican coffee industry has been grappling with the coffee leaf rust (CLR) epidemic caused by the fungal pathogen Hemileia vastatrix. The first widespread outbreak affected more than one third of coffee plants across the island, resulting in millions of dollars in lost revenues for the sector. The emergence and spread of the disease have been linked to a confluence of factors ranging from changing climatic conditions to impacts from extreme weather events, improper farm management practices, and institutional and market constraints that restrict control measures. In this article, we use the case of the CLR epidemic to illustrate how its emergence and continued presence in the Jamaican Blue Mountains is inextricably tied to the wider political–economic and ecological conditions under which coffee production takes place and how H. vastatrix’s complex pathogenesis makes the disease difficult to control. Drawing on an empirical study comprising household surveys, focus groups, archival research, and interviews, we demonstrate how smallholder farmers’ ability to manage rust impacts was severely compromised by ecological pressures, resource constraints, bounded knowledge systems, and market and regulatory limitations.","author":[{"dropping-particle":"","family":"Rhiney","given":"Kevon","non-dropping-particle":"","parse-names":false,"suffix":""},{"dropping-particle":"","family":"Knudson","given":"Chris","non-dropping-particle":"","parse-names":false,"suffix":""},{"dropping-particle":"","family":"Guido","given":"Zack","non-dropping-particle":"","parse-names":false,"suffix":""}],"container-title":"Annals of the American Association of Geographers","id":"ITEM-2","issue":"2","issued":{"date-parts":[["2020"]]},"page":"440-458","publisher":"Routledge","title":"Cultivating crisis: Coffee, smallholder vulnerability, and the uneven sociomaterial consequences of the leaf rust epidemic in Jamaica","type":"article-journal","volume":"111"},"uris":["http://www.mendeley.com/documents/?uuid=5fb02058-cb5c-4f9a-b366-e6b46dd41a78","http://www.mendeley.com/documents/?uuid=1775a0fc-2963-4b4f-9988-8453751871a9"]},{"id":"ITEM-3","itemData":{"DOI":"10.15517/AM.V31I3.39726","ISBN":"0000000221","ISSN":"22153608","abstract":"Introduction. Coffee (Coffea arabica L.) is an important crop in producing countries like Peru, where approximately two million families depend on its production, distribution, and marketing. But in recent years, climate change has increased the presence of coffee leaf rust - CLR (H. vastatrix), a disease that has decreased Peruvian production by up to 27%. Objective. Monitor the severity of CLR in different genotypes of coffee cv. Typica from April-2017 to March-2018. Material and methods. The experiment was carried out in the coffee germplasm bank at the Development Regional Institute (IRD)-Selva of the Universidad Nacional Agraria La Molina. The severity and the area under the disease progress curve (AUDPC) in the lower, middle, and upper part of coffee trees were quantified. Result. There was high severity and AUDPC in the dry season (low precipitation) compared to the rainy season (high precipitation). Severity and AUDPC gradually decreased from the bottom to the top of the plant (lower&gt;middle&gt;upper). Also, UNACAF-24A, UNACAF-16, UNACAF-158, and UNACAF-162 genotypes stood out by showing lowest severity (0-1.1 %) and AUDPC (0-714) in the experiment. Conclusion. In this experiment, the genotypes in dry season presented high peaks of severity and UDPC of CLR, meanwhile, in rainy season the presence of CLR was lower. However, in both seasons, severity and AUDPC gradually decreased from the lower third to the upper thirf of the plant. Finally, UNACAF-24A, UNACAF-16, UNACAF-158, and UNACAF-162 presented the lowest degrees of severity of CLR.","author":[{"dropping-particle":"","family":"Alvarado-Huamán","given":"Leonel","non-dropping-particle":"","parse-names":false,"suffix":""},{"dropping-particle":"","family":"Borjas-Ventura","given":"Ricardo","non-dropping-particle":"","parse-names":false,"suffix":""},{"dropping-particle":"","family":"Castro-Cepero","given":"Viviana","non-dropping-particle":"","parse-names":false,"suffix":""},{"dropping-particle":"","family":"García-Nieves","given":"Leslie","non-dropping-particle":"","parse-names":false,"suffix":""},{"dropping-particle":"","family":"Jiménez-Dávalos","given":"Jorge","non-dropping-particle":"","parse-names":false,"suffix":""},{"dropping-particle":"","family":"Julca-Otiniano","given":"Alberto","non-dropping-particle":"","parse-names":false,"suffix":""},{"dropping-particle":"","family":"Gómez-Pando","given":"Luz","non-dropping-particle":"","parse-names":false,"suffix":""}],"container-title":"Agronomia Mesoamericana","id":"ITEM-3","issue":"3","issued":{"date-parts":[["2020"]]},"page":"517-529","title":"Dynamics of severity of coffee leaf rust (&lt;i&gt;Hemileia vastatrix&lt;/i&gt;) on Coffee, in Chanchamayo (Junin-Peru)","type":"article-journal","volume":"31"},"uris":["http://www.mendeley.com/documents/?uuid=f4b2821c-f5ce-47cc-b956-5df70f9991f6","http://www.mendeley.com/documents/?uuid=d63b4c5f-815f-4b30-94cb-c797a462d52d"]},{"id":"ITEM-4","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Security","id":"ITEM-4","issue":"2","issued":{"date-parts":[["2015"]]},"page":"303-321","title":"The coffee rust crises in Colombia and Central America (2008–2013): impacts, plausible causes and proposed solutions","type":"article-journal","volume":"7"},"uris":["http://www.mendeley.com/documents/?uuid=c4ef84d2-f551-4754-b7b1-9d794dda20e7","http://www.mendeley.com/documents/?uuid=ea0c346a-6bcd-4dc5-9f53-12facc371b55"]}],"mendeley":{"formattedCitation":"(Alvarado-Huamán et al., 2020; Avelino et al., 2015; Das et al., 2021; Rhiney et al., 2020)","manualFormatting":"(Alvarado-Huamán et al., 2020; Avelino et al., 2015; Das et al., 2021; Rhiney et al., 2020)","plainTextFormattedCitation":"(Alvarado-Huamán et al., 2020; Avelino et al., 2015; Das et al., 2021; Rhiney et al., 2020)","previouslyFormattedCitation":"(Alvarado-Huamán et al., 2020; Avelino et al., 2015; Das et al., 2021; Rhiney et al., 2020)"},"properties":{"noteIndex":0},"schema":"https://github.com/citation-style-language/schema/raw/master/csl-citation.json"}</w:instrText>
      </w:r>
      <w:r>
        <w:rPr>
          <w:rFonts w:ascii="Arial" w:hAnsi="Arial" w:cs="Arial"/>
        </w:rPr>
        <w:fldChar w:fldCharType="separate"/>
      </w:r>
      <w:r w:rsidRPr="00EC10CD">
        <w:rPr>
          <w:rFonts w:ascii="Arial" w:hAnsi="Arial" w:cs="Arial"/>
          <w:noProof/>
        </w:rPr>
        <w:t>(Alvarado-Huamán et al., 2020; Avelino et al., 2015; Das et al., 2021; Rhiney et al., 2020)</w:t>
      </w:r>
      <w:r>
        <w:rPr>
          <w:rFonts w:ascii="Arial" w:hAnsi="Arial" w:cs="Arial"/>
        </w:rPr>
        <w:fldChar w:fldCharType="end"/>
      </w:r>
      <w:r>
        <w:rPr>
          <w:rFonts w:ascii="Arial" w:hAnsi="Arial" w:cs="Arial"/>
        </w:rPr>
        <w:t>.</w:t>
      </w:r>
      <w:r w:rsidRPr="004617C9">
        <w:rPr>
          <w:rFonts w:ascii="Arial" w:hAnsi="Arial" w:cs="Arial"/>
        </w:rPr>
        <w:t xml:space="preserve"> </w:t>
      </w:r>
      <w:bookmarkEnd w:id="3"/>
      <w:r w:rsidRPr="00505FDC">
        <w:rPr>
          <w:rFonts w:ascii="Arial" w:hAnsi="Arial" w:cs="Arial"/>
        </w:rPr>
        <w:t>Epidemic development is particularly favo</w:t>
      </w:r>
      <w:r>
        <w:rPr>
          <w:rFonts w:ascii="Arial" w:hAnsi="Arial" w:cs="Arial"/>
        </w:rPr>
        <w:t>r</w:t>
      </w:r>
      <w:r w:rsidRPr="00505FDC">
        <w:rPr>
          <w:rFonts w:ascii="Arial" w:hAnsi="Arial" w:cs="Arial"/>
        </w:rPr>
        <w:t>ed when moderate temperatures (22–24 °C) coincide with high relative humidity (&gt;80%), conditions known to optimi</w:t>
      </w:r>
      <w:r>
        <w:rPr>
          <w:rFonts w:ascii="Arial" w:hAnsi="Arial" w:cs="Arial"/>
        </w:rPr>
        <w:t>z</w:t>
      </w:r>
      <w:r w:rsidRPr="00505FDC">
        <w:rPr>
          <w:rFonts w:ascii="Arial" w:hAnsi="Arial" w:cs="Arial"/>
        </w:rPr>
        <w:t>e spore germination and infection</w:t>
      </w:r>
      <w:r>
        <w:rPr>
          <w:rFonts w:ascii="Arial" w:hAnsi="Arial" w:cs="Arial"/>
        </w:rPr>
        <w:t xml:space="preserve"> </w:t>
      </w:r>
      <w:r w:rsidRPr="00D67622">
        <w:rPr>
          <w:rFonts w:ascii="Arial" w:hAnsi="Arial" w:cs="Arial"/>
        </w:rPr>
        <w:fldChar w:fldCharType="begin" w:fldLock="1"/>
      </w:r>
      <w:r>
        <w:rPr>
          <w:rFonts w:ascii="Arial" w:hAnsi="Arial" w:cs="Arial"/>
        </w:rPr>
        <w:instrText>ADDIN CSL_CITATION {"citationItems":[{"id":"ITEM-1","itemData":{"DOI":"10.1007/BF00021478","ISSN":"15735060","abstract":"Incomplete resistance of the hybrid coffee population Icatu to race II of coffee leaf rust (Hemileia vastatrix) was studied in the field, greenhouse and laboratory. The resistance components observed were: latency period (LP), lesion density (LD), sporulating lesion density (LSD) and relative sporulation lesion efficiency (RSLE=100. SLD/LD). RSLE is an indicator for the heterogeneity of the reaction. Disease score in the field was highly correlated with RSLE, less with LP and SLD, and not with LD. LP was highly correlated with RSLE. A new rust race (Is. 2), isolated in the field from Icatu in 1979, was more virulent than race II on some resistant, moderately resistant or moderately susceptible genotypes. This indicates that incomplete resistance, at different levels, can be race specific. Resistance was affected by leaf age and light intensity. Inheritance studies suggest that incomplete resistance in Icatu might be related to major genes, the effectiveness of which may depend on gene dose and genetic background. It is concluded that selection for incomplete resistance to coffee leaf rust in Icatu may not lead to durable resistance. © 1983 Veenman B.V., Wageningen.","author":[{"dropping-particle":"","family":"Eskes","given":"A. B.","non-dropping-particle":"","parse-names":false,"suffix":""},{"dropping-particle":"","family":"Costa","given":"W. M.","non-dropping-particle":"Da","parse-names":false,"suffix":""}],"container-title":"Euphytica","id":"ITEM-1","issue":"2","issued":{"date-parts":[["1983"]]},"page":"649-657","title":"8. Characterization of incomplete resistance to &lt;i&gt;Hemileia vastatrix&lt;/i&gt; in the Icatu coffee population","type":"article-journal","volume":"32"},"uris":["http://www.mendeley.com/documents/?uuid=2648fa4a-5ffe-4cc2-b434-c7c2a2434b2d","http://www.mendeley.com/documents/?uuid=dd32d38c-7342-4cf1-950e-c416fd8194d3"]},{"id":"ITEM-2","itemData":{"DOI":"10.1111/jph.12024","ISSN":"09311785","abstract":"Since 2008, Colombia has been experiencing an epidemic of the coffee rust Hemileia vastatrix. The altitude range of the disease has expanded, and nursery and young plants that were usually not attacked by the disease are now significantly affected. To determine whether this new epidemic has been caused by a new pathogenic isolate, the molecular diversity of the pathogen causing the epidemic in different regions of the country was assessed, using AFLP molecular markers on isolates collected from coffee fields prior and after the year 2008. We also evaluated the aggressiveness of isolates collected from diverse coffee-producing areas and from different coffee genotypes. Isolates collected before and during the present epidemic were quite similar both genetically and with regard to their aggressiveness. Out of a total of 349 fragments amplified from 6 AFLP primer combinations, 48 (13.2%) were polymorphic and only 18 were unique among H. vastatrix isolates representative of pre-2008 and post-2008 epidemic populations. We conclude that the epidemic was caused by the excessive rainfall that has occurred in Colombia since 2006 and that extended to 2011 and not by the arrival of a new isolate of the pathogen or a change in virulence of the species present in the country. © 2012 Blackwell Verlag GmbH.","author":[{"dropping-particle":"","family":"Rozo","given":"Yomara","non-dropping-particle":"","parse-names":false,"suffix":""},{"dropping-particle":"","family":"Escobar","given":"Carolina","non-dropping-particle":"","parse-names":false,"suffix":""},{"dropping-particle":"","family":"Gaitán","given":"Álvaro","non-dropping-particle":"","parse-names":false,"suffix":""},{"dropping-particle":"","family":"Cristancho","given":"Marco","non-dropping-particle":"","parse-names":false,"suffix":""}],"container-title":"Journal of Phytopathology","id":"ITEM-2","issue":"11-12","issued":{"date-parts":[["2012"]]},"page":"732-740","title":"Aggressiveness and genetic diversity of &lt;i&gt;Hemileia vastatrix&lt;/i&gt; during an epidemic in Colombia","type":"article-journal","volume":"160"},"uris":["http://www.mendeley.com/documents/?uuid=ab17320c-82b6-4c74-9622-a9ade56e6145","http://www.mendeley.com/documents/?uuid=7dcd257e-39ee-4cd0-93db-a97c54565c2b"]},{"id":"ITEM-3","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Sciences","id":"ITEM-3","issue":"2","issued":{"date-parts":[["2021"]]},"page":"301-308","title":"Vegetative vigour, yield and field tolerance to leaf rust in four F1 hybrids of coffee (&lt;i&gt;Coffea arabica&lt;/i&gt; L.) in India","type":"article-journal","volume":"16"},"uris":["http://www.mendeley.com/documents/?uuid=323610d6-3b0d-4442-a2ea-29ae6b490a17","http://www.mendeley.com/documents/?uuid=5b16aa51-5d97-4db1-9de8-c7dd839d441a"]}],"mendeley":{"formattedCitation":"(Das et al., 2021; Eskes &amp; Da Costa, 1983; Rozo et al., 2012)","manualFormatting":"(Das et al., 2021; Eskes and Da Costa, 1983; Rozo et al., 2012)","plainTextFormattedCitation":"(Das et al., 2021; Eskes &amp; Da Costa, 1983; Rozo et al., 2012)","previouslyFormattedCitation":"(Das et al., 2021; Eskes &amp; Da Costa, 1983; Rozo et al., 2012)"},"properties":{"noteIndex":0},"schema":"https://github.com/citation-style-language/schema/raw/master/csl-citation.json"}</w:instrText>
      </w:r>
      <w:r w:rsidRPr="00D67622">
        <w:rPr>
          <w:rFonts w:ascii="Arial" w:hAnsi="Arial" w:cs="Arial"/>
        </w:rPr>
        <w:fldChar w:fldCharType="separate"/>
      </w:r>
      <w:r w:rsidRPr="00D67622">
        <w:rPr>
          <w:rFonts w:ascii="Arial" w:hAnsi="Arial" w:cs="Arial"/>
          <w:noProof/>
        </w:rPr>
        <w:t>(Das et al., 2021; Eskes and Da Costa, 1983; Rozo et al., 2012)</w:t>
      </w:r>
      <w:r w:rsidRPr="00D67622">
        <w:rPr>
          <w:rFonts w:ascii="Arial" w:hAnsi="Arial" w:cs="Arial"/>
        </w:rPr>
        <w:fldChar w:fldCharType="end"/>
      </w:r>
      <w:r w:rsidRPr="00D67622">
        <w:rPr>
          <w:rFonts w:ascii="Arial" w:hAnsi="Arial" w:cs="Arial"/>
        </w:rPr>
        <w:t>.</w:t>
      </w:r>
    </w:p>
    <w:p w14:paraId="56B0EE6E" w14:textId="77777777" w:rsidR="00E91640" w:rsidRPr="0039128B" w:rsidRDefault="00E91640" w:rsidP="00E91640">
      <w:pPr>
        <w:spacing w:line="276" w:lineRule="auto"/>
        <w:jc w:val="both"/>
        <w:rPr>
          <w:rFonts w:ascii="Arial" w:hAnsi="Arial" w:cs="Arial"/>
        </w:rPr>
      </w:pPr>
    </w:p>
    <w:p w14:paraId="5CB7C5F4" w14:textId="77777777" w:rsidR="00E91640" w:rsidRDefault="00E91640" w:rsidP="00E91640">
      <w:pPr>
        <w:spacing w:line="276" w:lineRule="auto"/>
        <w:jc w:val="both"/>
        <w:rPr>
          <w:rFonts w:ascii="Arial" w:hAnsi="Arial" w:cs="Arial"/>
        </w:rPr>
      </w:pPr>
      <w:r>
        <w:rPr>
          <w:rFonts w:ascii="Arial" w:hAnsi="Arial" w:cs="Arial"/>
        </w:rPr>
        <w:t>Overall, c</w:t>
      </w:r>
      <w:r w:rsidRPr="0039128B">
        <w:rPr>
          <w:rFonts w:ascii="Arial" w:hAnsi="Arial" w:cs="Arial"/>
        </w:rPr>
        <w:t xml:space="preserve">lone 213 consistently demonstrated resilience, combining low CLR severity with stable yield, making it the most promising candidate for commercial planting. In contrast, the susceptibility of clones 211 and 222 and the unstable tolerance </w:t>
      </w:r>
      <w:r w:rsidRPr="0039128B">
        <w:rPr>
          <w:rFonts w:ascii="Arial" w:hAnsi="Arial" w:cs="Arial"/>
        </w:rPr>
        <w:lastRenderedPageBreak/>
        <w:t>of clone 224 emphasi</w:t>
      </w:r>
      <w:r>
        <w:rPr>
          <w:rFonts w:ascii="Arial" w:hAnsi="Arial" w:cs="Arial"/>
        </w:rPr>
        <w:t>z</w:t>
      </w:r>
      <w:r w:rsidRPr="0039128B">
        <w:rPr>
          <w:rFonts w:ascii="Arial" w:hAnsi="Arial" w:cs="Arial"/>
        </w:rPr>
        <w:t>e the need to balance genetic resistance with yield potential in clonal selection and breeding strategies. These findings underscore the importance of integrating host resistance with adaptive management practices that account for climatic variability in CLR-prone environments.</w:t>
      </w:r>
    </w:p>
    <w:p w14:paraId="13F2A6C9" w14:textId="77777777" w:rsidR="00896D07" w:rsidRDefault="00896D07">
      <w:pPr>
        <w:spacing w:line="276" w:lineRule="auto"/>
        <w:rPr>
          <w:rFonts w:ascii="Arial" w:eastAsia="Arial" w:hAnsi="Arial" w:cs="Arial"/>
        </w:rPr>
      </w:pPr>
    </w:p>
    <w:p w14:paraId="3DB02C93" w14:textId="2033FA81" w:rsidR="009C1ED2" w:rsidRDefault="00E37E9E">
      <w:pPr>
        <w:spacing w:line="276" w:lineRule="auto"/>
        <w:jc w:val="both"/>
        <w:rPr>
          <w:rFonts w:ascii="Arial" w:eastAsia="Arial" w:hAnsi="Arial" w:cs="Arial"/>
        </w:rPr>
      </w:pPr>
      <w:bookmarkStart w:id="4" w:name="_GoBack"/>
      <w:r>
        <w:rPr>
          <w:rFonts w:ascii="Arial" w:eastAsia="Arial" w:hAnsi="Arial" w:cs="Arial"/>
          <w:b/>
        </w:rPr>
        <w:t>Table</w:t>
      </w:r>
      <w:bookmarkEnd w:id="4"/>
      <w:r>
        <w:rPr>
          <w:rFonts w:ascii="Arial" w:eastAsia="Arial" w:hAnsi="Arial" w:cs="Arial"/>
          <w:b/>
        </w:rPr>
        <w:t xml:space="preserve"> 2.</w:t>
      </w:r>
      <w:r>
        <w:rPr>
          <w:rFonts w:ascii="Arial" w:eastAsia="Arial" w:hAnsi="Arial" w:cs="Arial"/>
        </w:rPr>
        <w:t xml:space="preserve"> </w:t>
      </w:r>
      <w:r w:rsidR="00505FDC" w:rsidRPr="00505FDC">
        <w:rPr>
          <w:rFonts w:ascii="Arial" w:eastAsia="Arial" w:hAnsi="Arial" w:cs="Arial"/>
        </w:rPr>
        <w:t xml:space="preserve">Pearson correlation coefficients (r) </w:t>
      </w:r>
      <w:r w:rsidR="00771C02">
        <w:rPr>
          <w:rFonts w:ascii="Arial" w:eastAsia="Arial" w:hAnsi="Arial" w:cs="Arial"/>
        </w:rPr>
        <w:t>b</w:t>
      </w:r>
      <w:r w:rsidR="00771C02" w:rsidRPr="00771C02">
        <w:rPr>
          <w:rFonts w:ascii="Arial" w:eastAsia="Arial" w:hAnsi="Arial" w:cs="Arial"/>
        </w:rPr>
        <w:t xml:space="preserve">etween fresh berry yield and coffee leaf rust incidence (INC) and disease severity index (DSI) in five </w:t>
      </w:r>
      <w:proofErr w:type="spellStart"/>
      <w:r w:rsidR="00771C02" w:rsidRPr="00771C02">
        <w:rPr>
          <w:rFonts w:ascii="Arial" w:eastAsia="Arial" w:hAnsi="Arial" w:cs="Arial"/>
          <w:i/>
          <w:iCs/>
        </w:rPr>
        <w:t>Coffea</w:t>
      </w:r>
      <w:proofErr w:type="spellEnd"/>
      <w:r w:rsidR="00771C02" w:rsidRPr="00771C02">
        <w:rPr>
          <w:rFonts w:ascii="Arial" w:eastAsia="Arial" w:hAnsi="Arial" w:cs="Arial"/>
          <w:i/>
          <w:iCs/>
        </w:rPr>
        <w:t xml:space="preserve"> </w:t>
      </w:r>
      <w:proofErr w:type="spellStart"/>
      <w:r w:rsidR="00771C02" w:rsidRPr="00771C02">
        <w:rPr>
          <w:rFonts w:ascii="Arial" w:eastAsia="Arial" w:hAnsi="Arial" w:cs="Arial"/>
          <w:i/>
          <w:iCs/>
        </w:rPr>
        <w:t>liberica</w:t>
      </w:r>
      <w:proofErr w:type="spellEnd"/>
      <w:r w:rsidR="00771C02" w:rsidRPr="00771C02">
        <w:rPr>
          <w:rFonts w:ascii="Arial" w:eastAsia="Arial" w:hAnsi="Arial" w:cs="Arial"/>
        </w:rPr>
        <w:t xml:space="preserve"> clones across two seasons.</w:t>
      </w:r>
    </w:p>
    <w:p w14:paraId="66E073E5" w14:textId="77777777" w:rsidR="009730DD" w:rsidRDefault="009730DD">
      <w:pPr>
        <w:spacing w:line="276" w:lineRule="auto"/>
        <w:jc w:val="both"/>
        <w:rPr>
          <w:rFonts w:ascii="Arial" w:eastAsia="Arial" w:hAnsi="Arial" w:cs="Arial"/>
        </w:rPr>
      </w:pP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5"/>
        <w:gridCol w:w="983"/>
        <w:gridCol w:w="983"/>
        <w:gridCol w:w="905"/>
        <w:gridCol w:w="983"/>
        <w:gridCol w:w="905"/>
        <w:gridCol w:w="983"/>
        <w:gridCol w:w="983"/>
        <w:gridCol w:w="983"/>
        <w:gridCol w:w="914"/>
        <w:gridCol w:w="983"/>
      </w:tblGrid>
      <w:tr w:rsidR="00844CF7" w14:paraId="759B8FA8" w14:textId="77777777" w:rsidTr="00760931">
        <w:tc>
          <w:tcPr>
            <w:tcW w:w="553" w:type="pct"/>
            <w:tcBorders>
              <w:top w:val="single" w:sz="4" w:space="0" w:color="auto"/>
              <w:left w:val="nil"/>
              <w:bottom w:val="single" w:sz="4" w:space="0" w:color="auto"/>
              <w:right w:val="single" w:sz="4" w:space="0" w:color="auto"/>
            </w:tcBorders>
          </w:tcPr>
          <w:p w14:paraId="23BD4F35" w14:textId="77777777" w:rsidR="00844CF7" w:rsidRDefault="00844CF7" w:rsidP="00CB6CFD">
            <w:pPr>
              <w:spacing w:line="276" w:lineRule="auto"/>
              <w:jc w:val="both"/>
              <w:rPr>
                <w:rFonts w:ascii="Arial Narrow" w:eastAsia="Arial Narrow" w:hAnsi="Arial Narrow" w:cs="Arial Narrow"/>
                <w:b/>
                <w:sz w:val="20"/>
                <w:szCs w:val="20"/>
              </w:rPr>
            </w:pPr>
          </w:p>
        </w:tc>
        <w:tc>
          <w:tcPr>
            <w:tcW w:w="910" w:type="pct"/>
            <w:gridSpan w:val="2"/>
            <w:tcBorders>
              <w:top w:val="single" w:sz="4" w:space="0" w:color="auto"/>
              <w:left w:val="single" w:sz="4" w:space="0" w:color="auto"/>
              <w:bottom w:val="single" w:sz="4" w:space="0" w:color="auto"/>
            </w:tcBorders>
          </w:tcPr>
          <w:p w14:paraId="3094652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211</w:t>
            </w:r>
          </w:p>
        </w:tc>
        <w:tc>
          <w:tcPr>
            <w:tcW w:w="874" w:type="pct"/>
            <w:gridSpan w:val="2"/>
            <w:tcBorders>
              <w:top w:val="single" w:sz="4" w:space="0" w:color="auto"/>
              <w:bottom w:val="single" w:sz="4" w:space="0" w:color="auto"/>
            </w:tcBorders>
          </w:tcPr>
          <w:p w14:paraId="47F9127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213</w:t>
            </w:r>
          </w:p>
        </w:tc>
        <w:tc>
          <w:tcPr>
            <w:tcW w:w="874" w:type="pct"/>
            <w:gridSpan w:val="2"/>
            <w:tcBorders>
              <w:top w:val="single" w:sz="4" w:space="0" w:color="auto"/>
              <w:bottom w:val="single" w:sz="4" w:space="0" w:color="auto"/>
            </w:tcBorders>
          </w:tcPr>
          <w:p w14:paraId="3946006D"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222</w:t>
            </w:r>
          </w:p>
        </w:tc>
        <w:tc>
          <w:tcPr>
            <w:tcW w:w="910" w:type="pct"/>
            <w:gridSpan w:val="2"/>
            <w:tcBorders>
              <w:top w:val="single" w:sz="4" w:space="0" w:color="auto"/>
              <w:bottom w:val="single" w:sz="4" w:space="0" w:color="auto"/>
              <w:right w:val="nil"/>
            </w:tcBorders>
          </w:tcPr>
          <w:p w14:paraId="4D8B1AFB"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224</w:t>
            </w:r>
          </w:p>
        </w:tc>
        <w:tc>
          <w:tcPr>
            <w:tcW w:w="878" w:type="pct"/>
            <w:gridSpan w:val="2"/>
            <w:tcBorders>
              <w:top w:val="single" w:sz="4" w:space="0" w:color="auto"/>
              <w:left w:val="nil"/>
              <w:bottom w:val="single" w:sz="4" w:space="0" w:color="auto"/>
              <w:right w:val="nil"/>
            </w:tcBorders>
          </w:tcPr>
          <w:p w14:paraId="6C96F0A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MKL 7</w:t>
            </w:r>
          </w:p>
        </w:tc>
      </w:tr>
      <w:tr w:rsidR="00844CF7" w14:paraId="1995D479" w14:textId="77777777" w:rsidTr="00760931">
        <w:tc>
          <w:tcPr>
            <w:tcW w:w="553" w:type="pct"/>
            <w:tcBorders>
              <w:top w:val="single" w:sz="4" w:space="0" w:color="auto"/>
              <w:left w:val="nil"/>
              <w:bottom w:val="single" w:sz="4" w:space="0" w:color="auto"/>
              <w:right w:val="single" w:sz="4" w:space="0" w:color="auto"/>
            </w:tcBorders>
          </w:tcPr>
          <w:p w14:paraId="6BE3216E" w14:textId="77777777" w:rsidR="00844CF7" w:rsidRDefault="00844CF7" w:rsidP="00CB6CFD">
            <w:pPr>
              <w:spacing w:line="276" w:lineRule="auto"/>
              <w:jc w:val="both"/>
              <w:rPr>
                <w:rFonts w:ascii="Arial Narrow" w:eastAsia="Arial Narrow" w:hAnsi="Arial Narrow" w:cs="Arial Narrow"/>
                <w:b/>
                <w:sz w:val="20"/>
                <w:szCs w:val="20"/>
              </w:rPr>
            </w:pPr>
          </w:p>
        </w:tc>
        <w:tc>
          <w:tcPr>
            <w:tcW w:w="455" w:type="pct"/>
            <w:tcBorders>
              <w:top w:val="single" w:sz="4" w:space="0" w:color="auto"/>
              <w:left w:val="single" w:sz="4" w:space="0" w:color="auto"/>
              <w:bottom w:val="single" w:sz="4" w:space="0" w:color="auto"/>
            </w:tcBorders>
          </w:tcPr>
          <w:p w14:paraId="03866D7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5722A62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674E09C7"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37D9F3A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3F6632A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4EB10AD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55" w:type="pct"/>
            <w:tcBorders>
              <w:top w:val="single" w:sz="4" w:space="0" w:color="auto"/>
              <w:bottom w:val="single" w:sz="4" w:space="0" w:color="auto"/>
            </w:tcBorders>
          </w:tcPr>
          <w:p w14:paraId="78FA2828"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2FE37401"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23" w:type="pct"/>
            <w:tcBorders>
              <w:top w:val="single" w:sz="4" w:space="0" w:color="auto"/>
              <w:bottom w:val="single" w:sz="4" w:space="0" w:color="auto"/>
              <w:right w:val="single" w:sz="4" w:space="0" w:color="auto"/>
            </w:tcBorders>
          </w:tcPr>
          <w:p w14:paraId="43E60C6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left w:val="single" w:sz="4" w:space="0" w:color="auto"/>
              <w:bottom w:val="single" w:sz="4" w:space="0" w:color="auto"/>
              <w:right w:val="nil"/>
            </w:tcBorders>
          </w:tcPr>
          <w:p w14:paraId="6B7599B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r>
      <w:tr w:rsidR="00844CF7" w14:paraId="0B64E384" w14:textId="77777777" w:rsidTr="00760931">
        <w:tc>
          <w:tcPr>
            <w:tcW w:w="553" w:type="pct"/>
            <w:tcBorders>
              <w:top w:val="single" w:sz="4" w:space="0" w:color="auto"/>
              <w:left w:val="nil"/>
              <w:bottom w:val="single" w:sz="4" w:space="0" w:color="auto"/>
              <w:right w:val="single" w:sz="4" w:space="0" w:color="auto"/>
            </w:tcBorders>
          </w:tcPr>
          <w:p w14:paraId="2404F037"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Y1</w:t>
            </w:r>
          </w:p>
        </w:tc>
        <w:tc>
          <w:tcPr>
            <w:tcW w:w="455" w:type="pct"/>
            <w:tcBorders>
              <w:top w:val="single" w:sz="4" w:space="0" w:color="auto"/>
              <w:left w:val="single" w:sz="4" w:space="0" w:color="auto"/>
              <w:bottom w:val="single" w:sz="4" w:space="0" w:color="auto"/>
            </w:tcBorders>
          </w:tcPr>
          <w:p w14:paraId="6C8021A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0A98F6C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-0.03</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940707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28281B5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-0.10</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5AEA238"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3791F3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-0.11</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752D7480"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6BDB50AD"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-0.37</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57B2F88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0.41</w:t>
            </w:r>
            <w:r>
              <w:rPr>
                <w:rFonts w:ascii="Arial Narrow" w:eastAsia="Arial Narrow" w:hAnsi="Arial Narrow" w:cs="Arial Narrow"/>
                <w:sz w:val="20"/>
                <w:szCs w:val="20"/>
                <w:vertAlign w:val="superscript"/>
              </w:rPr>
              <w:t>ns</w:t>
            </w:r>
          </w:p>
        </w:tc>
        <w:tc>
          <w:tcPr>
            <w:tcW w:w="455" w:type="pct"/>
            <w:tcBorders>
              <w:top w:val="single" w:sz="4" w:space="0" w:color="auto"/>
              <w:left w:val="single" w:sz="4" w:space="0" w:color="auto"/>
              <w:bottom w:val="single" w:sz="4" w:space="0" w:color="auto"/>
              <w:right w:val="nil"/>
            </w:tcBorders>
            <w:vAlign w:val="bottom"/>
          </w:tcPr>
          <w:p w14:paraId="07F6353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0.22</w:t>
            </w:r>
            <w:r>
              <w:rPr>
                <w:rFonts w:ascii="Arial Narrow" w:eastAsia="Arial Narrow" w:hAnsi="Arial Narrow" w:cs="Arial Narrow"/>
                <w:sz w:val="20"/>
                <w:szCs w:val="20"/>
                <w:vertAlign w:val="superscript"/>
              </w:rPr>
              <w:t>ns</w:t>
            </w:r>
          </w:p>
        </w:tc>
      </w:tr>
      <w:tr w:rsidR="00844CF7" w14:paraId="2D190A0A" w14:textId="77777777" w:rsidTr="00760931">
        <w:tc>
          <w:tcPr>
            <w:tcW w:w="553" w:type="pct"/>
            <w:tcBorders>
              <w:top w:val="single" w:sz="4" w:space="0" w:color="auto"/>
              <w:left w:val="nil"/>
              <w:bottom w:val="single" w:sz="4" w:space="0" w:color="auto"/>
              <w:right w:val="single" w:sz="4" w:space="0" w:color="auto"/>
            </w:tcBorders>
          </w:tcPr>
          <w:p w14:paraId="3878F294"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Y2</w:t>
            </w:r>
          </w:p>
        </w:tc>
        <w:tc>
          <w:tcPr>
            <w:tcW w:w="455" w:type="pct"/>
            <w:tcBorders>
              <w:top w:val="single" w:sz="4" w:space="0" w:color="auto"/>
              <w:left w:val="single" w:sz="4" w:space="0" w:color="auto"/>
              <w:bottom w:val="single" w:sz="4" w:space="0" w:color="auto"/>
            </w:tcBorders>
            <w:vAlign w:val="bottom"/>
          </w:tcPr>
          <w:p w14:paraId="12FEF761"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-0.23</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5A64EF05"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6D32882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469E2B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0.49</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vAlign w:val="bottom"/>
          </w:tcPr>
          <w:p w14:paraId="3CEDB2B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05EE752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2811C62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4CEC276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1AB074B6"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-0.60*</w:t>
            </w:r>
          </w:p>
        </w:tc>
        <w:tc>
          <w:tcPr>
            <w:tcW w:w="455" w:type="pct"/>
            <w:tcBorders>
              <w:top w:val="single" w:sz="4" w:space="0" w:color="auto"/>
              <w:left w:val="single" w:sz="4" w:space="0" w:color="auto"/>
              <w:bottom w:val="single" w:sz="4" w:space="0" w:color="auto"/>
              <w:right w:val="nil"/>
            </w:tcBorders>
            <w:vAlign w:val="bottom"/>
          </w:tcPr>
          <w:p w14:paraId="7E7A18D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-0.54</w:t>
            </w:r>
            <w:r>
              <w:rPr>
                <w:rFonts w:ascii="Arial Narrow" w:eastAsia="Arial Narrow" w:hAnsi="Arial Narrow" w:cs="Arial Narrow"/>
                <w:sz w:val="20"/>
                <w:szCs w:val="20"/>
                <w:vertAlign w:val="superscript"/>
              </w:rPr>
              <w:t>ns</w:t>
            </w:r>
          </w:p>
        </w:tc>
      </w:tr>
    </w:tbl>
    <w:p w14:paraId="300C2D34" w14:textId="0B93AC40" w:rsidR="009C1ED2" w:rsidRDefault="00505FDC">
      <w:pPr>
        <w:spacing w:line="276" w:lineRule="auto"/>
        <w:jc w:val="both"/>
        <w:rPr>
          <w:rFonts w:ascii="Arial" w:eastAsia="Arial" w:hAnsi="Arial" w:cs="Arial"/>
        </w:rPr>
      </w:pPr>
      <w:r w:rsidRPr="00505FDC">
        <w:rPr>
          <w:rFonts w:ascii="Arial" w:eastAsia="Arial" w:hAnsi="Arial" w:cs="Arial"/>
          <w:i/>
          <w:sz w:val="18"/>
          <w:szCs w:val="18"/>
        </w:rPr>
        <w:t>ns = not significant (P &gt; 0.05); * = significant (P &lt; 0.05). Correlation strength: 0.90–1.00 = very high, 0.70–0.89 = high, 0.50–0.69 = moderate, 0.30–0.49 = low, 0.00–0.29 = negligible</w:t>
      </w:r>
      <w:r w:rsidR="00E37E9E">
        <w:rPr>
          <w:rFonts w:ascii="Arial" w:eastAsia="Arial" w:hAnsi="Arial" w:cs="Arial"/>
        </w:rPr>
        <w:t>.</w:t>
      </w:r>
    </w:p>
    <w:p w14:paraId="5E2F01A0" w14:textId="77777777" w:rsidR="009C1ED2" w:rsidRDefault="009C1ED2">
      <w:pPr>
        <w:spacing w:line="276" w:lineRule="auto"/>
        <w:jc w:val="both"/>
        <w:rPr>
          <w:rFonts w:ascii="Arial" w:eastAsia="Arial" w:hAnsi="Arial" w:cs="Arial"/>
        </w:rPr>
      </w:pPr>
    </w:p>
    <w:p w14:paraId="642397E5" w14:textId="2999C571"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487188A"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6F4BC627" w14:textId="3DBE937F" w:rsidR="00BA403C" w:rsidRDefault="00E91640">
      <w:pPr>
        <w:keepNext/>
        <w:pBdr>
          <w:top w:val="nil"/>
          <w:left w:val="nil"/>
          <w:bottom w:val="nil"/>
          <w:right w:val="nil"/>
          <w:between w:val="nil"/>
        </w:pBdr>
        <w:spacing w:line="276" w:lineRule="auto"/>
        <w:jc w:val="both"/>
        <w:rPr>
          <w:rFonts w:ascii="Arial" w:eastAsia="Arial" w:hAnsi="Arial" w:cs="Arial"/>
          <w:color w:val="000000"/>
        </w:rPr>
      </w:pPr>
      <w:r w:rsidRPr="00B51CA7">
        <w:rPr>
          <w:rFonts w:ascii="Arial" w:eastAsia="Arial" w:hAnsi="Arial" w:cs="Arial"/>
          <w:color w:val="000000"/>
        </w:rPr>
        <w:t xml:space="preserve">This study </w:t>
      </w:r>
      <w:r>
        <w:rPr>
          <w:rFonts w:ascii="Arial" w:eastAsia="Arial" w:hAnsi="Arial" w:cs="Arial"/>
          <w:color w:val="000000"/>
        </w:rPr>
        <w:t>showed</w:t>
      </w:r>
      <w:r w:rsidRPr="00B51CA7">
        <w:rPr>
          <w:rFonts w:ascii="Arial" w:eastAsia="Arial" w:hAnsi="Arial" w:cs="Arial"/>
          <w:color w:val="000000"/>
        </w:rPr>
        <w:t xml:space="preserve"> </w:t>
      </w:r>
      <w:r>
        <w:rPr>
          <w:rFonts w:ascii="Arial" w:eastAsia="Arial" w:hAnsi="Arial" w:cs="Arial"/>
          <w:color w:val="000000"/>
        </w:rPr>
        <w:t xml:space="preserve">the impact of </w:t>
      </w:r>
      <w:r w:rsidRPr="00B51CA7">
        <w:rPr>
          <w:rFonts w:ascii="Arial" w:eastAsia="Arial" w:hAnsi="Arial" w:cs="Arial"/>
          <w:color w:val="000000"/>
        </w:rPr>
        <w:t xml:space="preserve">coffee leaf rust (CLR) on </w:t>
      </w:r>
      <w:r>
        <w:rPr>
          <w:rFonts w:ascii="Arial" w:eastAsia="Arial" w:hAnsi="Arial" w:cs="Arial"/>
          <w:color w:val="000000"/>
        </w:rPr>
        <w:t>the yield</w:t>
      </w:r>
      <w:r w:rsidRPr="00B51CA7">
        <w:rPr>
          <w:rFonts w:ascii="Arial" w:eastAsia="Arial" w:hAnsi="Arial" w:cs="Arial"/>
          <w:color w:val="000000"/>
        </w:rPr>
        <w:t xml:space="preserve"> </w:t>
      </w:r>
      <w:r>
        <w:rPr>
          <w:rFonts w:ascii="Arial" w:eastAsia="Arial" w:hAnsi="Arial" w:cs="Arial"/>
          <w:color w:val="000000"/>
        </w:rPr>
        <w:t xml:space="preserve">performance </w:t>
      </w:r>
      <w:r w:rsidRPr="00B51CA7">
        <w:rPr>
          <w:rFonts w:ascii="Arial" w:eastAsia="Arial" w:hAnsi="Arial" w:cs="Arial"/>
          <w:color w:val="000000"/>
        </w:rPr>
        <w:t xml:space="preserve">of newly developed </w:t>
      </w:r>
      <w:proofErr w:type="spellStart"/>
      <w:r w:rsidRPr="00B51CA7">
        <w:rPr>
          <w:rFonts w:ascii="Arial" w:eastAsia="Arial" w:hAnsi="Arial" w:cs="Arial"/>
          <w:i/>
          <w:iCs/>
          <w:color w:val="000000"/>
        </w:rPr>
        <w:t>Coffea</w:t>
      </w:r>
      <w:proofErr w:type="spellEnd"/>
      <w:r w:rsidRPr="00B51CA7">
        <w:rPr>
          <w:rFonts w:ascii="Arial" w:eastAsia="Arial" w:hAnsi="Arial" w:cs="Arial"/>
          <w:i/>
          <w:iCs/>
          <w:color w:val="000000"/>
        </w:rPr>
        <w:t xml:space="preserve"> </w:t>
      </w:r>
      <w:proofErr w:type="spellStart"/>
      <w:r w:rsidRPr="00B51CA7">
        <w:rPr>
          <w:rFonts w:ascii="Arial" w:eastAsia="Arial" w:hAnsi="Arial" w:cs="Arial"/>
          <w:i/>
          <w:iCs/>
          <w:color w:val="000000"/>
        </w:rPr>
        <w:t>liberica</w:t>
      </w:r>
      <w:proofErr w:type="spellEnd"/>
      <w:r w:rsidRPr="00B51CA7">
        <w:rPr>
          <w:rFonts w:ascii="Arial" w:eastAsia="Arial" w:hAnsi="Arial" w:cs="Arial"/>
          <w:color w:val="000000"/>
        </w:rPr>
        <w:t xml:space="preserve"> clones under Malaysian field conditions. </w:t>
      </w:r>
      <w:r>
        <w:rPr>
          <w:rFonts w:ascii="Arial" w:eastAsia="Arial" w:hAnsi="Arial" w:cs="Arial"/>
          <w:color w:val="000000"/>
        </w:rPr>
        <w:t>Clone</w:t>
      </w:r>
      <w:r w:rsidRPr="00B51CA7">
        <w:rPr>
          <w:rFonts w:ascii="Arial" w:eastAsia="Arial" w:hAnsi="Arial" w:cs="Arial"/>
          <w:color w:val="000000"/>
        </w:rPr>
        <w:t xml:space="preserve"> 213 consistently combined low rust severity with stable yields across two cropping cycles, making it the most promising candidate for sustainable cultivation. In contrast, clones 211 and 222 were highly susceptible, while clone 224, despite initial tolerance, showed strong environmental sensitivity. </w:t>
      </w:r>
      <w:r w:rsidRPr="002D6999">
        <w:rPr>
          <w:rFonts w:ascii="Arial" w:eastAsia="Arial" w:hAnsi="Arial" w:cs="Arial"/>
          <w:color w:val="000000"/>
        </w:rPr>
        <w:t>Correlation patterns indicated that CLR-driven yield losses varied with host resistance and environmental factors, with biennial bearing further amplifying seasonal fluctuations. These findings highlight the importance of integrating resistant clones with adaptive management practices to ensure stable productivity under rust pressure and climate variability.</w:t>
      </w:r>
      <w:r w:rsidRPr="00DA3FA1">
        <w:t xml:space="preserve"> </w:t>
      </w:r>
      <w:r w:rsidRPr="00DA3FA1">
        <w:rPr>
          <w:rFonts w:ascii="Arial" w:eastAsia="Arial" w:hAnsi="Arial" w:cs="Arial"/>
          <w:color w:val="000000"/>
        </w:rPr>
        <w:t xml:space="preserve">Looking forward, testing the long-term stability of clone 213 in different environments, alongside the use of genomic tools and improved field practices, will be key steps toward building a more resilient and sustainable </w:t>
      </w:r>
      <w:proofErr w:type="spellStart"/>
      <w:r w:rsidRPr="00DA3FA1">
        <w:rPr>
          <w:rFonts w:ascii="Arial" w:eastAsia="Arial" w:hAnsi="Arial" w:cs="Arial"/>
          <w:color w:val="000000"/>
        </w:rPr>
        <w:t>Liberica</w:t>
      </w:r>
      <w:proofErr w:type="spellEnd"/>
      <w:r w:rsidRPr="00DA3FA1">
        <w:rPr>
          <w:rFonts w:ascii="Arial" w:eastAsia="Arial" w:hAnsi="Arial" w:cs="Arial"/>
          <w:color w:val="000000"/>
        </w:rPr>
        <w:t xml:space="preserve"> coffee sector</w:t>
      </w:r>
      <w:r>
        <w:rPr>
          <w:rFonts w:ascii="Arial" w:eastAsia="Arial" w:hAnsi="Arial" w:cs="Arial"/>
          <w:color w:val="000000"/>
        </w:rPr>
        <w:t xml:space="preserve"> in Malaysia</w:t>
      </w:r>
      <w:r w:rsidRPr="00DA3FA1">
        <w:rPr>
          <w:rFonts w:ascii="Arial" w:eastAsia="Arial" w:hAnsi="Arial" w:cs="Arial"/>
          <w:color w:val="000000"/>
        </w:rPr>
        <w:t>.</w:t>
      </w:r>
    </w:p>
    <w:p w14:paraId="06760786" w14:textId="77777777" w:rsidR="009C1ED2" w:rsidRDefault="009C1ED2">
      <w:pPr>
        <w:pBdr>
          <w:top w:val="nil"/>
          <w:left w:val="nil"/>
          <w:bottom w:val="nil"/>
          <w:right w:val="nil"/>
          <w:between w:val="nil"/>
        </w:pBdr>
        <w:spacing w:line="276" w:lineRule="auto"/>
        <w:jc w:val="both"/>
        <w:rPr>
          <w:rFonts w:ascii="Arial" w:eastAsia="Arial" w:hAnsi="Arial" w:cs="Arial"/>
          <w:color w:val="000000"/>
        </w:rPr>
      </w:pPr>
    </w:p>
    <w:p w14:paraId="66D40336" w14:textId="77777777" w:rsidR="009C1ED2" w:rsidRDefault="009C1ED2">
      <w:pPr>
        <w:keepNext/>
        <w:pBdr>
          <w:top w:val="nil"/>
          <w:left w:val="nil"/>
          <w:bottom w:val="nil"/>
          <w:right w:val="nil"/>
          <w:between w:val="nil"/>
        </w:pBdr>
        <w:spacing w:line="276" w:lineRule="auto"/>
        <w:jc w:val="both"/>
        <w:rPr>
          <w:rFonts w:ascii="Arial" w:eastAsia="Arial" w:hAnsi="Arial" w:cs="Arial"/>
          <w:color w:val="000000"/>
        </w:rPr>
      </w:pPr>
    </w:p>
    <w:p w14:paraId="62018B99" w14:textId="70554931" w:rsidR="006F7365" w:rsidRDefault="006F7365">
      <w:pPr>
        <w:keepNext/>
        <w:pBdr>
          <w:top w:val="nil"/>
          <w:left w:val="nil"/>
          <w:bottom w:val="nil"/>
          <w:right w:val="nil"/>
          <w:between w:val="nil"/>
        </w:pBdr>
        <w:spacing w:line="276" w:lineRule="auto"/>
        <w:jc w:val="both"/>
        <w:rPr>
          <w:rFonts w:ascii="Arial" w:eastAsia="Arial" w:hAnsi="Arial" w:cs="Arial"/>
          <w:color w:val="000000"/>
        </w:rPr>
      </w:pPr>
    </w:p>
    <w:p w14:paraId="6DAC0CBC" w14:textId="77777777" w:rsidR="00E91640" w:rsidRPr="00200A1A" w:rsidRDefault="00E91640" w:rsidP="00E91640">
      <w:pPr>
        <w:rPr>
          <w:rFonts w:asciiTheme="minorHAnsi" w:hAnsiTheme="minorHAnsi"/>
          <w:b/>
          <w:highlight w:val="yellow"/>
        </w:rPr>
      </w:pPr>
      <w:r w:rsidRPr="00200A1A">
        <w:rPr>
          <w:b/>
          <w:highlight w:val="yellow"/>
        </w:rPr>
        <w:t>Disclaimer (Artificial intelligence)</w:t>
      </w:r>
    </w:p>
    <w:p w14:paraId="7C718280" w14:textId="77777777" w:rsidR="00E91640" w:rsidRDefault="00E91640" w:rsidP="00E91640">
      <w:pPr>
        <w:rPr>
          <w:highlight w:val="yellow"/>
        </w:rPr>
      </w:pPr>
    </w:p>
    <w:p w14:paraId="29A87298" w14:textId="77777777" w:rsidR="00E91640" w:rsidRDefault="00E91640" w:rsidP="00E91640">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12E5CA20" w14:textId="77777777" w:rsidR="006F7365" w:rsidRDefault="006F7365">
      <w:pPr>
        <w:keepNext/>
        <w:pBdr>
          <w:top w:val="nil"/>
          <w:left w:val="nil"/>
          <w:bottom w:val="nil"/>
          <w:right w:val="nil"/>
          <w:between w:val="nil"/>
        </w:pBdr>
        <w:spacing w:line="276" w:lineRule="auto"/>
        <w:jc w:val="both"/>
        <w:rPr>
          <w:rFonts w:ascii="Arial" w:eastAsia="Arial" w:hAnsi="Arial" w:cs="Arial"/>
          <w:color w:val="000000"/>
        </w:rPr>
      </w:pPr>
    </w:p>
    <w:p w14:paraId="722C9442"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40ABC7"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020D68F" w14:textId="38227AA0" w:rsidR="00550C29" w:rsidRPr="00550C29" w:rsidRDefault="004C17BF" w:rsidP="00550C29">
      <w:pPr>
        <w:widowControl w:val="0"/>
        <w:autoSpaceDE w:val="0"/>
        <w:autoSpaceDN w:val="0"/>
        <w:adjustRightInd w:val="0"/>
        <w:ind w:left="480" w:hanging="480"/>
        <w:jc w:val="both"/>
        <w:rPr>
          <w:rFonts w:ascii="Arial" w:hAnsi="Arial" w:cs="Arial"/>
          <w:noProof/>
        </w:rPr>
      </w:pPr>
      <w:r w:rsidRPr="00F2116B">
        <w:rPr>
          <w:rFonts w:ascii="Arial" w:eastAsia="Arial" w:hAnsi="Arial" w:cs="Arial"/>
          <w:b/>
          <w:smallCaps/>
          <w:color w:val="000000"/>
        </w:rPr>
        <w:fldChar w:fldCharType="begin" w:fldLock="1"/>
      </w:r>
      <w:r w:rsidRPr="00F2116B">
        <w:rPr>
          <w:rFonts w:ascii="Arial" w:eastAsia="Arial" w:hAnsi="Arial" w:cs="Arial"/>
          <w:b/>
          <w:smallCaps/>
          <w:color w:val="000000"/>
        </w:rPr>
        <w:instrText xml:space="preserve">ADDIN Mendeley Bibliography CSL_BIBLIOGRAPHY </w:instrText>
      </w:r>
      <w:r w:rsidRPr="00F2116B">
        <w:rPr>
          <w:rFonts w:ascii="Arial" w:eastAsia="Arial" w:hAnsi="Arial" w:cs="Arial"/>
          <w:b/>
          <w:smallCaps/>
          <w:color w:val="000000"/>
        </w:rPr>
        <w:fldChar w:fldCharType="separate"/>
      </w:r>
      <w:r w:rsidR="00550C29" w:rsidRPr="00550C29">
        <w:rPr>
          <w:rFonts w:ascii="Arial" w:hAnsi="Arial" w:cs="Arial"/>
          <w:noProof/>
        </w:rPr>
        <w:t>Alvarado-Huamán, L., Borjas-Ventura, R., Castro-Cepero, V., García-Nieves, L., Jiménez-Dávalos, J., Julca-Otiniano, A., &amp; Gómez-Pando, L. (2020). Dynamics of severity of coffee leaf rust (</w:t>
      </w:r>
      <w:r w:rsidR="00550C29" w:rsidRPr="00550C29">
        <w:rPr>
          <w:rFonts w:ascii="Arial" w:hAnsi="Arial" w:cs="Arial"/>
          <w:i/>
          <w:iCs/>
          <w:noProof/>
        </w:rPr>
        <w:t>Hemileia vastatrix</w:t>
      </w:r>
      <w:r w:rsidR="00550C29" w:rsidRPr="00550C29">
        <w:rPr>
          <w:rFonts w:ascii="Arial" w:hAnsi="Arial" w:cs="Arial"/>
          <w:noProof/>
        </w:rPr>
        <w:t xml:space="preserve">) on Coffee, in Chanchamayo (Junin-Peru). </w:t>
      </w:r>
      <w:r w:rsidR="00550C29" w:rsidRPr="00550C29">
        <w:rPr>
          <w:rFonts w:ascii="Arial" w:hAnsi="Arial" w:cs="Arial"/>
          <w:i/>
          <w:iCs/>
          <w:noProof/>
        </w:rPr>
        <w:t>Agronomia Mesoamericana</w:t>
      </w:r>
      <w:r w:rsidR="00550C29" w:rsidRPr="00550C29">
        <w:rPr>
          <w:rFonts w:ascii="Arial" w:hAnsi="Arial" w:cs="Arial"/>
          <w:noProof/>
        </w:rPr>
        <w:t xml:space="preserve">, </w:t>
      </w:r>
      <w:r w:rsidR="00550C29" w:rsidRPr="00550C29">
        <w:rPr>
          <w:rFonts w:ascii="Arial" w:hAnsi="Arial" w:cs="Arial"/>
          <w:i/>
          <w:iCs/>
          <w:noProof/>
        </w:rPr>
        <w:t>31</w:t>
      </w:r>
      <w:r w:rsidR="00550C29" w:rsidRPr="00550C29">
        <w:rPr>
          <w:rFonts w:ascii="Arial" w:hAnsi="Arial" w:cs="Arial"/>
          <w:noProof/>
        </w:rPr>
        <w:t>(3), 517–529. https://doi.org/10.15517/AM.V31I3.39726</w:t>
      </w:r>
    </w:p>
    <w:p w14:paraId="46D3F41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Amrouk, E. M., Palmeri, F., &amp; Magrini, E. (2025). Global coffee market and recent price developments. In </w:t>
      </w:r>
      <w:r w:rsidRPr="00550C29">
        <w:rPr>
          <w:rFonts w:ascii="Arial" w:hAnsi="Arial" w:cs="Arial"/>
          <w:i/>
          <w:iCs/>
          <w:noProof/>
        </w:rPr>
        <w:t>Food and Agriculture Organisation</w:t>
      </w:r>
      <w:r w:rsidRPr="00550C29">
        <w:rPr>
          <w:rFonts w:ascii="Arial" w:hAnsi="Arial" w:cs="Arial"/>
          <w:noProof/>
        </w:rPr>
        <w:t>.</w:t>
      </w:r>
    </w:p>
    <w:p w14:paraId="4C488693"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Angelo, P. C. da S., Sera, G. H., Shigueoka, L. H., &amp; Caixeta, E. T. (2023). Rust resistance SH3 loci in </w:t>
      </w:r>
      <w:r w:rsidRPr="00550C29">
        <w:rPr>
          <w:rFonts w:ascii="Arial" w:hAnsi="Arial" w:cs="Arial"/>
          <w:i/>
          <w:iCs/>
          <w:noProof/>
        </w:rPr>
        <w:t>Coffea</w:t>
      </w:r>
      <w:r w:rsidRPr="00550C29">
        <w:rPr>
          <w:rFonts w:ascii="Arial" w:hAnsi="Arial" w:cs="Arial"/>
          <w:noProof/>
        </w:rPr>
        <w:t xml:space="preserve"> spp. </w:t>
      </w:r>
      <w:r w:rsidRPr="00550C29">
        <w:rPr>
          <w:rFonts w:ascii="Arial" w:hAnsi="Arial" w:cs="Arial"/>
          <w:i/>
          <w:iCs/>
          <w:noProof/>
        </w:rPr>
        <w:t>Physiological and Molecular Plant Pathology</w:t>
      </w:r>
      <w:r w:rsidRPr="00550C29">
        <w:rPr>
          <w:rFonts w:ascii="Arial" w:hAnsi="Arial" w:cs="Arial"/>
          <w:noProof/>
        </w:rPr>
        <w:t xml:space="preserve">, </w:t>
      </w:r>
      <w:r w:rsidRPr="00550C29">
        <w:rPr>
          <w:rFonts w:ascii="Arial" w:hAnsi="Arial" w:cs="Arial"/>
          <w:i/>
          <w:iCs/>
          <w:noProof/>
        </w:rPr>
        <w:t>127</w:t>
      </w:r>
      <w:r w:rsidRPr="00550C29">
        <w:rPr>
          <w:rFonts w:ascii="Arial" w:hAnsi="Arial" w:cs="Arial"/>
          <w:noProof/>
        </w:rPr>
        <w:t>(102111).</w:t>
      </w:r>
    </w:p>
    <w:p w14:paraId="155F9C4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Allinne, C., Cerda, R., Willocquet, L., &amp; Savary, S. (2018). Multiple-disease system in coffee: From crop loss assessment to sustainable management. </w:t>
      </w:r>
      <w:r w:rsidRPr="00550C29">
        <w:rPr>
          <w:rFonts w:ascii="Arial" w:hAnsi="Arial" w:cs="Arial"/>
          <w:i/>
          <w:iCs/>
          <w:noProof/>
        </w:rPr>
        <w:t>Annual Review of Phytopathology</w:t>
      </w:r>
      <w:r w:rsidRPr="00550C29">
        <w:rPr>
          <w:rFonts w:ascii="Arial" w:hAnsi="Arial" w:cs="Arial"/>
          <w:noProof/>
        </w:rPr>
        <w:t xml:space="preserve">, </w:t>
      </w:r>
      <w:r w:rsidRPr="00550C29">
        <w:rPr>
          <w:rFonts w:ascii="Arial" w:hAnsi="Arial" w:cs="Arial"/>
          <w:i/>
          <w:iCs/>
          <w:noProof/>
        </w:rPr>
        <w:t>56</w:t>
      </w:r>
      <w:r w:rsidRPr="00550C29">
        <w:rPr>
          <w:rFonts w:ascii="Arial" w:hAnsi="Arial" w:cs="Arial"/>
          <w:noProof/>
        </w:rPr>
        <w:t>(June), 611–635. https://doi.org/10.1146/annurev-phyto-080417-050117</w:t>
      </w:r>
    </w:p>
    <w:p w14:paraId="0FFB38B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Cristancho, M., Georgiou, S., Imbach, P., Aguilar, L., Bornemann, G., Läderach, P., Anzueto, F., Hruska, A. J., &amp; Morales, C. (2015). The coffee rust crises in Colombia and Central America (2008–2013): impacts, plausible causes and proposed solutions. </w:t>
      </w:r>
      <w:r w:rsidRPr="00550C29">
        <w:rPr>
          <w:rFonts w:ascii="Arial" w:hAnsi="Arial" w:cs="Arial"/>
          <w:i/>
          <w:iCs/>
          <w:noProof/>
        </w:rPr>
        <w:t>Food Security</w:t>
      </w:r>
      <w:r w:rsidRPr="00550C29">
        <w:rPr>
          <w:rFonts w:ascii="Arial" w:hAnsi="Arial" w:cs="Arial"/>
          <w:noProof/>
        </w:rPr>
        <w:t xml:space="preserve">, </w:t>
      </w:r>
      <w:r w:rsidRPr="00550C29">
        <w:rPr>
          <w:rFonts w:ascii="Arial" w:hAnsi="Arial" w:cs="Arial"/>
          <w:i/>
          <w:iCs/>
          <w:noProof/>
        </w:rPr>
        <w:t>7</w:t>
      </w:r>
      <w:r w:rsidRPr="00550C29">
        <w:rPr>
          <w:rFonts w:ascii="Arial" w:hAnsi="Arial" w:cs="Arial"/>
          <w:noProof/>
        </w:rPr>
        <w:t>(2), 303–321. https://doi.org/10.1007/s12571-015-0446-9</w:t>
      </w:r>
    </w:p>
    <w:p w14:paraId="33BAC38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Zelaya, H., Merlo, A., Pineda, A., Ordoñez, M., &amp; Savary, S. (2006). The intensity of a coffee rust epidemic is dependent on production situations. </w:t>
      </w:r>
      <w:r w:rsidRPr="00550C29">
        <w:rPr>
          <w:rFonts w:ascii="Arial" w:hAnsi="Arial" w:cs="Arial"/>
          <w:i/>
          <w:iCs/>
          <w:noProof/>
        </w:rPr>
        <w:t>Ecological Modelling</w:t>
      </w:r>
      <w:r w:rsidRPr="00550C29">
        <w:rPr>
          <w:rFonts w:ascii="Arial" w:hAnsi="Arial" w:cs="Arial"/>
          <w:noProof/>
        </w:rPr>
        <w:t xml:space="preserve">, </w:t>
      </w:r>
      <w:r w:rsidRPr="00550C29">
        <w:rPr>
          <w:rFonts w:ascii="Arial" w:hAnsi="Arial" w:cs="Arial"/>
          <w:i/>
          <w:iCs/>
          <w:noProof/>
        </w:rPr>
        <w:t>197</w:t>
      </w:r>
      <w:r w:rsidRPr="00550C29">
        <w:rPr>
          <w:rFonts w:ascii="Arial" w:hAnsi="Arial" w:cs="Arial"/>
          <w:noProof/>
        </w:rPr>
        <w:t>(3–4), 431–447. https://doi.org/10.1016/j.ecolmodel.2006.03.013</w:t>
      </w:r>
    </w:p>
    <w:p w14:paraId="1EEBFB1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Bebber, D. P., Castillo, Á. D., &amp; Gurr, S. J. (2016). Modelling coffee leaf rust risk in Colombia with climate reanalysis data. </w:t>
      </w:r>
      <w:r w:rsidRPr="00550C29">
        <w:rPr>
          <w:rFonts w:ascii="Arial" w:hAnsi="Arial" w:cs="Arial"/>
          <w:i/>
          <w:iCs/>
          <w:noProof/>
        </w:rPr>
        <w:t>Philosophical Transactions of the Royal Society B: Biological Sciences</w:t>
      </w:r>
      <w:r w:rsidRPr="00550C29">
        <w:rPr>
          <w:rFonts w:ascii="Arial" w:hAnsi="Arial" w:cs="Arial"/>
          <w:noProof/>
        </w:rPr>
        <w:t xml:space="preserve">, </w:t>
      </w:r>
      <w:r w:rsidRPr="00550C29">
        <w:rPr>
          <w:rFonts w:ascii="Arial" w:hAnsi="Arial" w:cs="Arial"/>
          <w:i/>
          <w:iCs/>
          <w:noProof/>
        </w:rPr>
        <w:t>371</w:t>
      </w:r>
      <w:r w:rsidRPr="00550C29">
        <w:rPr>
          <w:rFonts w:ascii="Arial" w:hAnsi="Arial" w:cs="Arial"/>
          <w:noProof/>
        </w:rPr>
        <w:t>(1709). https://doi.org/10.1098/rstb.2015.0458</w:t>
      </w:r>
    </w:p>
    <w:p w14:paraId="5E0C948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Bernardes, T., Moreira, M. A., Adami, M., Giarolla, A., &amp; Rudorff, B. F. T. (2012). Monitoring biennial bearing effect on coffee </w:t>
      </w:r>
      <w:r w:rsidRPr="00550C29">
        <w:rPr>
          <w:rFonts w:ascii="Arial" w:hAnsi="Arial" w:cs="Arial"/>
          <w:noProof/>
        </w:rPr>
        <w:lastRenderedPageBreak/>
        <w:t xml:space="preserve">yield using MODIS remote sensing imagery. </w:t>
      </w:r>
      <w:r w:rsidRPr="00550C29">
        <w:rPr>
          <w:rFonts w:ascii="Arial" w:hAnsi="Arial" w:cs="Arial"/>
          <w:i/>
          <w:iCs/>
          <w:noProof/>
        </w:rPr>
        <w:t>Remote Sensing</w:t>
      </w:r>
      <w:r w:rsidRPr="00550C29">
        <w:rPr>
          <w:rFonts w:ascii="Arial" w:hAnsi="Arial" w:cs="Arial"/>
          <w:noProof/>
        </w:rPr>
        <w:t xml:space="preserve">, </w:t>
      </w:r>
      <w:r w:rsidRPr="00550C29">
        <w:rPr>
          <w:rFonts w:ascii="Arial" w:hAnsi="Arial" w:cs="Arial"/>
          <w:i/>
          <w:iCs/>
          <w:noProof/>
        </w:rPr>
        <w:t>4</w:t>
      </w:r>
      <w:r w:rsidRPr="00550C29">
        <w:rPr>
          <w:rFonts w:ascii="Arial" w:hAnsi="Arial" w:cs="Arial"/>
          <w:noProof/>
        </w:rPr>
        <w:t>(9), 2492–2509. https://doi.org/10.3390/rs4092492</w:t>
      </w:r>
    </w:p>
    <w:p w14:paraId="23AA932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Brinate, S. V. B., Martins, L. D., Rodrigues, W. N., Colodetti, T. V., Cunha, V. V., Rosa, G. N. G. P., Junior, W. C. J., &amp; Tomaz, M. A. (2015). Influence of copper sources on the management of leaf rust, growth and crop yield of Arabica coffee. </w:t>
      </w:r>
      <w:r w:rsidRPr="00550C29">
        <w:rPr>
          <w:rFonts w:ascii="Arial" w:hAnsi="Arial" w:cs="Arial"/>
          <w:i/>
          <w:iCs/>
          <w:noProof/>
        </w:rPr>
        <w:t>Journal of Food, Agriculture and Environment</w:t>
      </w:r>
      <w:r w:rsidRPr="00550C29">
        <w:rPr>
          <w:rFonts w:ascii="Arial" w:hAnsi="Arial" w:cs="Arial"/>
          <w:noProof/>
        </w:rPr>
        <w:t xml:space="preserve">, </w:t>
      </w:r>
      <w:r w:rsidRPr="00550C29">
        <w:rPr>
          <w:rFonts w:ascii="Arial" w:hAnsi="Arial" w:cs="Arial"/>
          <w:i/>
          <w:iCs/>
          <w:noProof/>
        </w:rPr>
        <w:t>13</w:t>
      </w:r>
      <w:r w:rsidRPr="00550C29">
        <w:rPr>
          <w:rFonts w:ascii="Arial" w:hAnsi="Arial" w:cs="Arial"/>
          <w:noProof/>
        </w:rPr>
        <w:t>(2), 184–189.</w:t>
      </w:r>
    </w:p>
    <w:p w14:paraId="61DB002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Brown, J. S., Whan, J. H., Kenny, M. K., &amp; Merriman, P. R. (1995). The effect of coffee leaf rust on foliation and yield of coffee in Papua New Guinea. </w:t>
      </w:r>
      <w:r w:rsidRPr="00550C29">
        <w:rPr>
          <w:rFonts w:ascii="Arial" w:hAnsi="Arial" w:cs="Arial"/>
          <w:i/>
          <w:iCs/>
          <w:noProof/>
        </w:rPr>
        <w:t>Crop Protection</w:t>
      </w:r>
      <w:r w:rsidRPr="00550C29">
        <w:rPr>
          <w:rFonts w:ascii="Arial" w:hAnsi="Arial" w:cs="Arial"/>
          <w:noProof/>
        </w:rPr>
        <w:t xml:space="preserve">, </w:t>
      </w:r>
      <w:r w:rsidRPr="00550C29">
        <w:rPr>
          <w:rFonts w:ascii="Arial" w:hAnsi="Arial" w:cs="Arial"/>
          <w:i/>
          <w:iCs/>
          <w:noProof/>
        </w:rPr>
        <w:t>14</w:t>
      </w:r>
      <w:r w:rsidRPr="00550C29">
        <w:rPr>
          <w:rFonts w:ascii="Arial" w:hAnsi="Arial" w:cs="Arial"/>
          <w:noProof/>
        </w:rPr>
        <w:t>(7), 589–592. https://doi.org/10.1016/0261-2194(95)00040-2</w:t>
      </w:r>
    </w:p>
    <w:p w14:paraId="29A2981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Bunn, C., Läderach, P., Guillermo, J., Jimenez, P., Montagnon, C., &amp; Schilling, T. (2015). Multiclass classification of agro-ecological zones for Arabica coffee: an improved understanding of the impacts of climate change. </w:t>
      </w:r>
      <w:r w:rsidRPr="00550C29">
        <w:rPr>
          <w:rFonts w:ascii="Arial" w:hAnsi="Arial" w:cs="Arial"/>
          <w:i/>
          <w:iCs/>
          <w:noProof/>
        </w:rPr>
        <w:t>PLoS ONE</w:t>
      </w:r>
      <w:r w:rsidRPr="00550C29">
        <w:rPr>
          <w:rFonts w:ascii="Arial" w:hAnsi="Arial" w:cs="Arial"/>
          <w:noProof/>
        </w:rPr>
        <w:t xml:space="preserve">, </w:t>
      </w:r>
      <w:r w:rsidRPr="00550C29">
        <w:rPr>
          <w:rFonts w:ascii="Arial" w:hAnsi="Arial" w:cs="Arial"/>
          <w:i/>
          <w:iCs/>
          <w:noProof/>
        </w:rPr>
        <w:t>10</w:t>
      </w:r>
      <w:r w:rsidRPr="00550C29">
        <w:rPr>
          <w:rFonts w:ascii="Arial" w:hAnsi="Arial" w:cs="Arial"/>
          <w:noProof/>
        </w:rPr>
        <w:t>(10), e0140490. https://doi.org/10.1371/journal.pone.0140490</w:t>
      </w:r>
    </w:p>
    <w:p w14:paraId="5DB25B3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Cao, E. P., Constantino-Santos, D. M., Ramos, L. A. P., Santos, B. S., Quilang, J. P., &amp; Mojica, R. M. (2014). Molecular and morphological differentiation among </w:t>
      </w:r>
      <w:r w:rsidRPr="00550C29">
        <w:rPr>
          <w:rFonts w:ascii="Arial" w:hAnsi="Arial" w:cs="Arial"/>
          <w:i/>
          <w:iCs/>
          <w:noProof/>
        </w:rPr>
        <w:t>Coffea</w:t>
      </w:r>
      <w:r w:rsidRPr="00550C29">
        <w:rPr>
          <w:rFonts w:ascii="Arial" w:hAnsi="Arial" w:cs="Arial"/>
          <w:noProof/>
        </w:rPr>
        <w:t xml:space="preserve"> (Rubiaceae) varieties grown in the farms of Cavite Province, Philippines. </w:t>
      </w:r>
      <w:r w:rsidRPr="00550C29">
        <w:rPr>
          <w:rFonts w:ascii="Arial" w:hAnsi="Arial" w:cs="Arial"/>
          <w:i/>
          <w:iCs/>
          <w:noProof/>
        </w:rPr>
        <w:t>Philippine Science Letters</w:t>
      </w:r>
      <w:r w:rsidRPr="00550C29">
        <w:rPr>
          <w:rFonts w:ascii="Arial" w:hAnsi="Arial" w:cs="Arial"/>
          <w:noProof/>
        </w:rPr>
        <w:t xml:space="preserve">, </w:t>
      </w:r>
      <w:r w:rsidRPr="00550C29">
        <w:rPr>
          <w:rFonts w:ascii="Arial" w:hAnsi="Arial" w:cs="Arial"/>
          <w:i/>
          <w:iCs/>
          <w:noProof/>
        </w:rPr>
        <w:t>7</w:t>
      </w:r>
      <w:r w:rsidRPr="00550C29">
        <w:rPr>
          <w:rFonts w:ascii="Arial" w:hAnsi="Arial" w:cs="Arial"/>
          <w:noProof/>
        </w:rPr>
        <w:t>(2), 387–397.</w:t>
      </w:r>
    </w:p>
    <w:p w14:paraId="1E6310A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Capucho, A. S., Zambolim, L., Duarte, H. S. S., &amp; Vaz, G. R. O. (2011). Development and validation of a standard area diagram set to estimate severity of leaf rust in </w:t>
      </w:r>
      <w:r w:rsidRPr="00550C29">
        <w:rPr>
          <w:rFonts w:ascii="Arial" w:hAnsi="Arial" w:cs="Arial"/>
          <w:i/>
          <w:iCs/>
          <w:noProof/>
        </w:rPr>
        <w:t>Coffea arabica</w:t>
      </w:r>
      <w:r w:rsidRPr="00550C29">
        <w:rPr>
          <w:rFonts w:ascii="Arial" w:hAnsi="Arial" w:cs="Arial"/>
          <w:noProof/>
        </w:rPr>
        <w:t xml:space="preserve"> and </w:t>
      </w:r>
      <w:r w:rsidRPr="00550C29">
        <w:rPr>
          <w:rFonts w:ascii="Arial" w:hAnsi="Arial" w:cs="Arial"/>
          <w:i/>
          <w:iCs/>
          <w:noProof/>
        </w:rPr>
        <w:t>C. canephora</w:t>
      </w:r>
      <w:r w:rsidRPr="00550C29">
        <w:rPr>
          <w:rFonts w:ascii="Arial" w:hAnsi="Arial" w:cs="Arial"/>
          <w:noProof/>
        </w:rPr>
        <w:t xml:space="preserve">. </w:t>
      </w:r>
      <w:r w:rsidRPr="00550C29">
        <w:rPr>
          <w:rFonts w:ascii="Arial" w:hAnsi="Arial" w:cs="Arial"/>
          <w:i/>
          <w:iCs/>
          <w:noProof/>
        </w:rPr>
        <w:t>Plant Pathology</w:t>
      </w:r>
      <w:r w:rsidRPr="00550C29">
        <w:rPr>
          <w:rFonts w:ascii="Arial" w:hAnsi="Arial" w:cs="Arial"/>
          <w:noProof/>
        </w:rPr>
        <w:t xml:space="preserve">, </w:t>
      </w:r>
      <w:r w:rsidRPr="00550C29">
        <w:rPr>
          <w:rFonts w:ascii="Arial" w:hAnsi="Arial" w:cs="Arial"/>
          <w:i/>
          <w:iCs/>
          <w:noProof/>
        </w:rPr>
        <w:t>60</w:t>
      </w:r>
      <w:r w:rsidRPr="00550C29">
        <w:rPr>
          <w:rFonts w:ascii="Arial" w:hAnsi="Arial" w:cs="Arial"/>
          <w:noProof/>
        </w:rPr>
        <w:t>(6), 1144–1150. https://doi.org/10.1111/j.1365-3059.2011.02472.x</w:t>
      </w:r>
    </w:p>
    <w:p w14:paraId="5983645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Cerda, R., Avelino, J., Gary, C., Tixier, P., Lechevallier, E., &amp; Allinne, C. (2017). Primary and secondary yield losses caused by pests and diseases: Assessment and modeling in coffee. </w:t>
      </w:r>
      <w:r w:rsidRPr="00550C29">
        <w:rPr>
          <w:rFonts w:ascii="Arial" w:hAnsi="Arial" w:cs="Arial"/>
          <w:i/>
          <w:iCs/>
          <w:noProof/>
        </w:rPr>
        <w:t>PLoS ONE</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(1), 1–17. https://doi.org/10.1371/journal.pone.0169133</w:t>
      </w:r>
    </w:p>
    <w:p w14:paraId="20AD068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Costa, M. J. N., Zambolim, L., &amp; Rodrigues, F. A. (2006). Effect of levels of coffee berry removals on the incidence of rust and on the level of nutrients, carbohydrates and reductor sugar. </w:t>
      </w:r>
      <w:r w:rsidRPr="00550C29">
        <w:rPr>
          <w:rFonts w:ascii="Arial" w:hAnsi="Arial" w:cs="Arial"/>
          <w:i/>
          <w:iCs/>
          <w:noProof/>
        </w:rPr>
        <w:t>Fitopatologia Brasileira</w:t>
      </w:r>
      <w:r w:rsidRPr="00550C29">
        <w:rPr>
          <w:rFonts w:ascii="Arial" w:hAnsi="Arial" w:cs="Arial"/>
          <w:noProof/>
        </w:rPr>
        <w:t xml:space="preserve">, </w:t>
      </w:r>
      <w:r w:rsidRPr="00550C29">
        <w:rPr>
          <w:rFonts w:ascii="Arial" w:hAnsi="Arial" w:cs="Arial"/>
          <w:i/>
          <w:iCs/>
          <w:noProof/>
        </w:rPr>
        <w:t>31</w:t>
      </w:r>
      <w:r w:rsidRPr="00550C29">
        <w:rPr>
          <w:rFonts w:ascii="Arial" w:hAnsi="Arial" w:cs="Arial"/>
          <w:noProof/>
        </w:rPr>
        <w:t>(6), 564–571.</w:t>
      </w:r>
    </w:p>
    <w:p w14:paraId="28DFD68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Daba, G., Helsen, K., Berecha, G., Lievens, B., Debela, A., &amp; Honnay, O. (2019). Seasonal and altitudinal differences in coffee leaf rust epidemics on coffee berry disease-resistant varieties in Southwest Ethiopia. </w:t>
      </w:r>
      <w:r w:rsidRPr="00550C29">
        <w:rPr>
          <w:rFonts w:ascii="Arial" w:hAnsi="Arial" w:cs="Arial"/>
          <w:i/>
          <w:iCs/>
          <w:noProof/>
        </w:rPr>
        <w:t>Tropical Plant Pathology</w:t>
      </w:r>
      <w:r w:rsidRPr="00550C29">
        <w:rPr>
          <w:rFonts w:ascii="Arial" w:hAnsi="Arial" w:cs="Arial"/>
          <w:noProof/>
        </w:rPr>
        <w:t xml:space="preserve">, </w:t>
      </w:r>
      <w:r w:rsidRPr="00550C29">
        <w:rPr>
          <w:rFonts w:ascii="Arial" w:hAnsi="Arial" w:cs="Arial"/>
          <w:i/>
          <w:iCs/>
          <w:noProof/>
        </w:rPr>
        <w:t>44</w:t>
      </w:r>
      <w:r w:rsidRPr="00550C29">
        <w:rPr>
          <w:rFonts w:ascii="Arial" w:hAnsi="Arial" w:cs="Arial"/>
          <w:noProof/>
        </w:rPr>
        <w:t>(3), 244–250. https://doi.org/10.1007/s40858-018-0271-8</w:t>
      </w:r>
    </w:p>
    <w:p w14:paraId="2E3624C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Das, D. K., Shivanna, M. B., &amp; Prakash, N. S. (2021). Vegetative vigour, yield and field tolerance to leaf rust in four F1 hybrids of coffee (</w:t>
      </w:r>
      <w:r w:rsidRPr="00550C29">
        <w:rPr>
          <w:rFonts w:ascii="Arial" w:hAnsi="Arial" w:cs="Arial"/>
          <w:i/>
          <w:iCs/>
          <w:noProof/>
        </w:rPr>
        <w:t>Coffea arabica</w:t>
      </w:r>
      <w:r w:rsidRPr="00550C29">
        <w:rPr>
          <w:rFonts w:ascii="Arial" w:hAnsi="Arial" w:cs="Arial"/>
          <w:noProof/>
        </w:rPr>
        <w:t xml:space="preserve"> L.) in India. </w:t>
      </w:r>
      <w:r w:rsidRPr="00550C29">
        <w:rPr>
          <w:rFonts w:ascii="Arial" w:hAnsi="Arial" w:cs="Arial"/>
          <w:i/>
          <w:iCs/>
          <w:noProof/>
        </w:rPr>
        <w:t>Journal of Horticultural Sciences</w:t>
      </w:r>
      <w:r w:rsidRPr="00550C29">
        <w:rPr>
          <w:rFonts w:ascii="Arial" w:hAnsi="Arial" w:cs="Arial"/>
          <w:noProof/>
        </w:rPr>
        <w:t xml:space="preserve">, </w:t>
      </w:r>
      <w:r w:rsidRPr="00550C29">
        <w:rPr>
          <w:rFonts w:ascii="Arial" w:hAnsi="Arial" w:cs="Arial"/>
          <w:i/>
          <w:iCs/>
          <w:noProof/>
        </w:rPr>
        <w:t>16</w:t>
      </w:r>
      <w:r w:rsidRPr="00550C29">
        <w:rPr>
          <w:rFonts w:ascii="Arial" w:hAnsi="Arial" w:cs="Arial"/>
          <w:noProof/>
        </w:rPr>
        <w:t>(2), 301–308. https://doi.org/10.24154/JHS.V16I2.968</w:t>
      </w:r>
    </w:p>
    <w:p w14:paraId="6E2DCC6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Davis, A. P., Gargiulo, R., Fay, M. F., Sarmu, D., &amp; Haggar, J. (2020). Lost and found species of West Africa: </w:t>
      </w:r>
      <w:r w:rsidRPr="00550C29">
        <w:rPr>
          <w:rFonts w:ascii="Arial" w:hAnsi="Arial" w:cs="Arial"/>
          <w:i/>
          <w:iCs/>
          <w:noProof/>
        </w:rPr>
        <w:t>Coffea stenophylla</w:t>
      </w:r>
      <w:r w:rsidRPr="00550C29">
        <w:rPr>
          <w:rFonts w:ascii="Arial" w:hAnsi="Arial" w:cs="Arial"/>
          <w:noProof/>
        </w:rPr>
        <w:t xml:space="preserve"> and </w:t>
      </w:r>
      <w:r w:rsidRPr="00550C29">
        <w:rPr>
          <w:rFonts w:ascii="Arial" w:hAnsi="Arial" w:cs="Arial"/>
          <w:i/>
          <w:iCs/>
          <w:noProof/>
        </w:rPr>
        <w:t>C. affinis</w:t>
      </w:r>
      <w:r w:rsidRPr="00550C29">
        <w:rPr>
          <w:rFonts w:ascii="Arial" w:hAnsi="Arial" w:cs="Arial"/>
          <w:noProof/>
        </w:rPr>
        <w:t xml:space="preserve">, the forgotten coffee crop. </w:t>
      </w:r>
      <w:r w:rsidRPr="00550C29">
        <w:rPr>
          <w:rFonts w:ascii="Arial" w:hAnsi="Arial" w:cs="Arial"/>
          <w:i/>
          <w:iCs/>
          <w:noProof/>
        </w:rPr>
        <w:t>Frontiers in Plant Science</w:t>
      </w:r>
      <w:r w:rsidRPr="00550C29">
        <w:rPr>
          <w:rFonts w:ascii="Arial" w:hAnsi="Arial" w:cs="Arial"/>
          <w:noProof/>
        </w:rPr>
        <w:t xml:space="preserve">, </w:t>
      </w:r>
      <w:r w:rsidRPr="00550C29">
        <w:rPr>
          <w:rFonts w:ascii="Arial" w:hAnsi="Arial" w:cs="Arial"/>
          <w:i/>
          <w:iCs/>
          <w:noProof/>
        </w:rPr>
        <w:t>11</w:t>
      </w:r>
      <w:r w:rsidRPr="00550C29">
        <w:rPr>
          <w:rFonts w:ascii="Arial" w:hAnsi="Arial" w:cs="Arial"/>
          <w:noProof/>
        </w:rPr>
        <w:t>(616), 1–18. https://doi.org/10.3389/fpls.2020.00616</w:t>
      </w:r>
    </w:p>
    <w:p w14:paraId="6E0814D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Davis, A. P., Kiwuka, C., Faruk, A., Walubiri, M. J., &amp; Kalema, J. (2022). The re-emergence of Liberica coffee as a major crop plant. </w:t>
      </w:r>
      <w:r w:rsidRPr="00550C29">
        <w:rPr>
          <w:rFonts w:ascii="Arial" w:hAnsi="Arial" w:cs="Arial"/>
          <w:i/>
          <w:iCs/>
          <w:noProof/>
        </w:rPr>
        <w:t>Nature Plants</w:t>
      </w:r>
      <w:r w:rsidRPr="00550C29">
        <w:rPr>
          <w:rFonts w:ascii="Arial" w:hAnsi="Arial" w:cs="Arial"/>
          <w:noProof/>
        </w:rPr>
        <w:t xml:space="preserve">, </w:t>
      </w:r>
      <w:r w:rsidRPr="00550C29">
        <w:rPr>
          <w:rFonts w:ascii="Arial" w:hAnsi="Arial" w:cs="Arial"/>
          <w:i/>
          <w:iCs/>
          <w:noProof/>
        </w:rPr>
        <w:t>8</w:t>
      </w:r>
      <w:r w:rsidRPr="00550C29">
        <w:rPr>
          <w:rFonts w:ascii="Arial" w:hAnsi="Arial" w:cs="Arial"/>
          <w:noProof/>
        </w:rPr>
        <w:t>(12), 1322–1328. https://doi.org/10.1038/s41477-022-01309-5</w:t>
      </w:r>
    </w:p>
    <w:p w14:paraId="471357C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Davis, A. P., &amp; Rakotonasolo, F. (2021). Six new species of coffee (</w:t>
      </w:r>
      <w:r w:rsidRPr="00550C29">
        <w:rPr>
          <w:rFonts w:ascii="Arial" w:hAnsi="Arial" w:cs="Arial"/>
          <w:i/>
          <w:iCs/>
          <w:noProof/>
        </w:rPr>
        <w:t>Coffea</w:t>
      </w:r>
      <w:r w:rsidRPr="00550C29">
        <w:rPr>
          <w:rFonts w:ascii="Arial" w:hAnsi="Arial" w:cs="Arial"/>
          <w:noProof/>
        </w:rPr>
        <w:t xml:space="preserve">) from northern Madagascar. </w:t>
      </w:r>
      <w:r w:rsidRPr="00550C29">
        <w:rPr>
          <w:rFonts w:ascii="Arial" w:hAnsi="Arial" w:cs="Arial"/>
          <w:i/>
          <w:iCs/>
          <w:noProof/>
        </w:rPr>
        <w:t>Kew Buletin</w:t>
      </w:r>
      <w:r w:rsidRPr="00550C29">
        <w:rPr>
          <w:rFonts w:ascii="Arial" w:hAnsi="Arial" w:cs="Arial"/>
          <w:noProof/>
        </w:rPr>
        <w:t xml:space="preserve">, </w:t>
      </w:r>
      <w:r w:rsidRPr="00550C29">
        <w:rPr>
          <w:rFonts w:ascii="Arial" w:hAnsi="Arial" w:cs="Arial"/>
          <w:i/>
          <w:iCs/>
          <w:noProof/>
        </w:rPr>
        <w:t>5974</w:t>
      </w:r>
      <w:r w:rsidRPr="00550C29">
        <w:rPr>
          <w:rFonts w:ascii="Arial" w:hAnsi="Arial" w:cs="Arial"/>
          <w:noProof/>
        </w:rPr>
        <w:t>, 497–511. https://doi.org/10.1007/S12225-021-09952-5</w:t>
      </w:r>
    </w:p>
    <w:p w14:paraId="4C1BAD5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Djuikem, C., Grognard, F., Wafo, R. T., Touzeau, S., &amp; Bowong, S. (2021). Modelling coffee leaf rust dynamics to control its spread. </w:t>
      </w:r>
      <w:r w:rsidRPr="00550C29">
        <w:rPr>
          <w:rFonts w:ascii="Arial" w:hAnsi="Arial" w:cs="Arial"/>
          <w:i/>
          <w:iCs/>
          <w:noProof/>
        </w:rPr>
        <w:t>Mathematical Modelling of Natural Phenomena</w:t>
      </w:r>
      <w:r w:rsidRPr="00550C29">
        <w:rPr>
          <w:rFonts w:ascii="Arial" w:hAnsi="Arial" w:cs="Arial"/>
          <w:noProof/>
        </w:rPr>
        <w:t xml:space="preserve">, </w:t>
      </w:r>
      <w:r w:rsidRPr="00550C29">
        <w:rPr>
          <w:rFonts w:ascii="Arial" w:hAnsi="Arial" w:cs="Arial"/>
          <w:i/>
          <w:iCs/>
          <w:noProof/>
        </w:rPr>
        <w:t>16</w:t>
      </w:r>
      <w:r w:rsidRPr="00550C29">
        <w:rPr>
          <w:rFonts w:ascii="Arial" w:hAnsi="Arial" w:cs="Arial"/>
          <w:noProof/>
        </w:rPr>
        <w:t>. https://doi.org/10.1051/mmnp/2021018</w:t>
      </w:r>
    </w:p>
    <w:p w14:paraId="5CD5849F"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Eskes, A. B., &amp; Carvalho, A. (1983). 6. Variation for incomplete resistance to </w:t>
      </w:r>
      <w:r w:rsidRPr="00550C29">
        <w:rPr>
          <w:rFonts w:ascii="Arial" w:hAnsi="Arial" w:cs="Arial"/>
          <w:i/>
          <w:iCs/>
          <w:noProof/>
        </w:rPr>
        <w:t>Hemileia vastatrix</w:t>
      </w:r>
      <w:r w:rsidRPr="00550C29">
        <w:rPr>
          <w:rFonts w:ascii="Arial" w:hAnsi="Arial" w:cs="Arial"/>
          <w:noProof/>
        </w:rPr>
        <w:t xml:space="preserve"> in Coffea arabica. </w:t>
      </w:r>
      <w:r w:rsidRPr="00550C29">
        <w:rPr>
          <w:rFonts w:ascii="Arial" w:hAnsi="Arial" w:cs="Arial"/>
          <w:i/>
          <w:iCs/>
          <w:noProof/>
        </w:rPr>
        <w:t>Euphytica</w:t>
      </w:r>
      <w:r w:rsidRPr="00550C29">
        <w:rPr>
          <w:rFonts w:ascii="Arial" w:hAnsi="Arial" w:cs="Arial"/>
          <w:noProof/>
        </w:rPr>
        <w:t xml:space="preserve">, </w:t>
      </w:r>
      <w:r w:rsidRPr="00550C29">
        <w:rPr>
          <w:rFonts w:ascii="Arial" w:hAnsi="Arial" w:cs="Arial"/>
          <w:i/>
          <w:iCs/>
          <w:noProof/>
        </w:rPr>
        <w:t>32</w:t>
      </w:r>
      <w:r w:rsidRPr="00550C29">
        <w:rPr>
          <w:rFonts w:ascii="Arial" w:hAnsi="Arial" w:cs="Arial"/>
          <w:noProof/>
        </w:rPr>
        <w:t>(2), 625–637. https://doi.org/10.1007/BF00021476</w:t>
      </w:r>
    </w:p>
    <w:p w14:paraId="064DB37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Eskes, A. B., &amp; Da Costa, W. M. (1983). 8. Characterization of incomplete resistance to </w:t>
      </w:r>
      <w:r w:rsidRPr="00550C29">
        <w:rPr>
          <w:rFonts w:ascii="Arial" w:hAnsi="Arial" w:cs="Arial"/>
          <w:i/>
          <w:iCs/>
          <w:noProof/>
        </w:rPr>
        <w:t>Hemileia vastatrix</w:t>
      </w:r>
      <w:r w:rsidRPr="00550C29">
        <w:rPr>
          <w:rFonts w:ascii="Arial" w:hAnsi="Arial" w:cs="Arial"/>
          <w:noProof/>
        </w:rPr>
        <w:t xml:space="preserve"> in the Icatu coffee population. </w:t>
      </w:r>
      <w:r w:rsidRPr="00550C29">
        <w:rPr>
          <w:rFonts w:ascii="Arial" w:hAnsi="Arial" w:cs="Arial"/>
          <w:i/>
          <w:iCs/>
          <w:noProof/>
        </w:rPr>
        <w:t>Euphytica</w:t>
      </w:r>
      <w:r w:rsidRPr="00550C29">
        <w:rPr>
          <w:rFonts w:ascii="Arial" w:hAnsi="Arial" w:cs="Arial"/>
          <w:noProof/>
        </w:rPr>
        <w:t xml:space="preserve">, </w:t>
      </w:r>
      <w:r w:rsidRPr="00550C29">
        <w:rPr>
          <w:rFonts w:ascii="Arial" w:hAnsi="Arial" w:cs="Arial"/>
          <w:i/>
          <w:iCs/>
          <w:noProof/>
        </w:rPr>
        <w:t>32</w:t>
      </w:r>
      <w:r w:rsidRPr="00550C29">
        <w:rPr>
          <w:rFonts w:ascii="Arial" w:hAnsi="Arial" w:cs="Arial"/>
          <w:noProof/>
        </w:rPr>
        <w:t>(2), 649–657. https://doi.org/10.1007/BF00021478</w:t>
      </w:r>
    </w:p>
    <w:p w14:paraId="6DE983D6"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Eskes, A. B., &amp; Toma-Braghini, M. (1981). Assessment methods for resistance to coffee leaf rust (</w:t>
      </w:r>
      <w:r w:rsidRPr="00550C29">
        <w:rPr>
          <w:rFonts w:ascii="Arial" w:hAnsi="Arial" w:cs="Arial"/>
          <w:i/>
          <w:iCs/>
          <w:noProof/>
        </w:rPr>
        <w:t>Hemileia vastatrix</w:t>
      </w:r>
      <w:r w:rsidRPr="00550C29">
        <w:rPr>
          <w:rFonts w:ascii="Arial" w:hAnsi="Arial" w:cs="Arial"/>
          <w:noProof/>
        </w:rPr>
        <w:t xml:space="preserve"> Berk. &amp; Br.). </w:t>
      </w:r>
      <w:r w:rsidRPr="00550C29">
        <w:rPr>
          <w:rFonts w:ascii="Arial" w:hAnsi="Arial" w:cs="Arial"/>
          <w:i/>
          <w:iCs/>
          <w:noProof/>
        </w:rPr>
        <w:t>Plant Protection Bulletin FAO</w:t>
      </w:r>
      <w:r w:rsidRPr="00550C29">
        <w:rPr>
          <w:rFonts w:ascii="Arial" w:hAnsi="Arial" w:cs="Arial"/>
          <w:noProof/>
        </w:rPr>
        <w:t xml:space="preserve">, </w:t>
      </w:r>
      <w:r w:rsidRPr="00550C29">
        <w:rPr>
          <w:rFonts w:ascii="Arial" w:hAnsi="Arial" w:cs="Arial"/>
          <w:i/>
          <w:iCs/>
          <w:noProof/>
        </w:rPr>
        <w:t>29</w:t>
      </w:r>
      <w:r w:rsidRPr="00550C29">
        <w:rPr>
          <w:rFonts w:ascii="Arial" w:hAnsi="Arial" w:cs="Arial"/>
          <w:noProof/>
        </w:rPr>
        <w:t>(3/4), 56–66.</w:t>
      </w:r>
    </w:p>
    <w:p w14:paraId="327392C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FAOSTAT. (2025). </w:t>
      </w:r>
      <w:r w:rsidRPr="00550C29">
        <w:rPr>
          <w:rFonts w:ascii="Arial" w:hAnsi="Arial" w:cs="Arial"/>
          <w:i/>
          <w:iCs/>
          <w:noProof/>
        </w:rPr>
        <w:t>Exports of top 5 exporters of Coffee, green</w:t>
      </w:r>
      <w:r w:rsidRPr="00550C29">
        <w:rPr>
          <w:rFonts w:ascii="Arial" w:hAnsi="Arial" w:cs="Arial"/>
          <w:noProof/>
        </w:rPr>
        <w:t>. https://www.fao.org/faostat/en/#data</w:t>
      </w:r>
    </w:p>
    <w:p w14:paraId="16D243F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Guerra-Guimarães, L., Diniz, I., Azinheira, H. G., Loureiro, A., Pereira, A. P., Tavares, S., Batista, D., Várzea, V., &amp; Silva, M. do C. L. da. (2023). Coffee leaf rust resistance: An overview. In I. L. W. Ingelbrecht, M. do C. L. da Silva, &amp; J. Jankowicz-Cieslak (Eds.), </w:t>
      </w:r>
      <w:r w:rsidRPr="00550C29">
        <w:rPr>
          <w:rFonts w:ascii="Arial" w:hAnsi="Arial" w:cs="Arial"/>
          <w:i/>
          <w:iCs/>
          <w:noProof/>
        </w:rPr>
        <w:t>Mutation Breeding in Coffee with Special Reference to Leaf Rust</w:t>
      </w:r>
      <w:r w:rsidRPr="00550C29">
        <w:rPr>
          <w:rFonts w:ascii="Arial" w:hAnsi="Arial" w:cs="Arial"/>
          <w:noProof/>
        </w:rPr>
        <w:t xml:space="preserve"> (pp. 11–38). Springer-Verlag GmbH, DE.</w:t>
      </w:r>
    </w:p>
    <w:p w14:paraId="1B854D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Haile, M., &amp; Kang, W. H. (2019). The role of microbes in coffee fermentation and their impact on coffee quality. </w:t>
      </w:r>
      <w:r w:rsidRPr="00550C29">
        <w:rPr>
          <w:rFonts w:ascii="Arial" w:hAnsi="Arial" w:cs="Arial"/>
          <w:i/>
          <w:iCs/>
          <w:noProof/>
        </w:rPr>
        <w:t>Journal of Food Quality</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(4836709), 1–6. https://doi.org/10.1155/2019/4836709</w:t>
      </w:r>
    </w:p>
    <w:p w14:paraId="63EC463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Harni, R., Taufiq, E., &amp; Martono, B. (2015). Ketahanan pohon induk kopi Liberika terhadap penyakit karat daun (</w:t>
      </w:r>
      <w:r w:rsidRPr="00550C29">
        <w:rPr>
          <w:rFonts w:ascii="Arial" w:hAnsi="Arial" w:cs="Arial"/>
          <w:i/>
          <w:iCs/>
          <w:noProof/>
        </w:rPr>
        <w:t>Hemileia vastatrix</w:t>
      </w:r>
      <w:r w:rsidRPr="00550C29">
        <w:rPr>
          <w:rFonts w:ascii="Arial" w:hAnsi="Arial" w:cs="Arial"/>
          <w:noProof/>
        </w:rPr>
        <w:t xml:space="preserve"> B. et Br.) di Kepulauan Meranti. </w:t>
      </w:r>
      <w:r w:rsidRPr="00550C29">
        <w:rPr>
          <w:rFonts w:ascii="Arial" w:hAnsi="Arial" w:cs="Arial"/>
          <w:i/>
          <w:iCs/>
          <w:noProof/>
        </w:rPr>
        <w:t>Jurnal Tanaman Industri Dan Penyegar</w:t>
      </w:r>
      <w:r w:rsidRPr="00550C29">
        <w:rPr>
          <w:rFonts w:ascii="Arial" w:hAnsi="Arial" w:cs="Arial"/>
          <w:noProof/>
        </w:rPr>
        <w:t xml:space="preserve">, </w:t>
      </w:r>
      <w:r w:rsidRPr="00550C29">
        <w:rPr>
          <w:rFonts w:ascii="Arial" w:hAnsi="Arial" w:cs="Arial"/>
          <w:i/>
          <w:iCs/>
          <w:noProof/>
        </w:rPr>
        <w:t>2</w:t>
      </w:r>
      <w:r w:rsidRPr="00550C29">
        <w:rPr>
          <w:rFonts w:ascii="Arial" w:hAnsi="Arial" w:cs="Arial"/>
          <w:noProof/>
        </w:rPr>
        <w:t>(1), 35–42.</w:t>
      </w:r>
    </w:p>
    <w:p w14:paraId="7A4DE53F"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Hinnah, F. D., Sentelhas, P. C., Meira, C. A. A., &amp; Paiva, R. N. (2018). Weather-based coffee leaf rust apparent infection rate modeling. </w:t>
      </w:r>
      <w:r w:rsidRPr="00550C29">
        <w:rPr>
          <w:rFonts w:ascii="Arial" w:hAnsi="Arial" w:cs="Arial"/>
          <w:i/>
          <w:iCs/>
          <w:noProof/>
        </w:rPr>
        <w:t>International Journal of Biometeorology</w:t>
      </w:r>
      <w:r w:rsidRPr="00550C29">
        <w:rPr>
          <w:rFonts w:ascii="Arial" w:hAnsi="Arial" w:cs="Arial"/>
          <w:noProof/>
        </w:rPr>
        <w:t xml:space="preserve">, </w:t>
      </w:r>
      <w:r w:rsidRPr="00550C29">
        <w:rPr>
          <w:rFonts w:ascii="Arial" w:hAnsi="Arial" w:cs="Arial"/>
          <w:i/>
          <w:iCs/>
          <w:noProof/>
        </w:rPr>
        <w:t>62</w:t>
      </w:r>
      <w:r w:rsidRPr="00550C29">
        <w:rPr>
          <w:rFonts w:ascii="Arial" w:hAnsi="Arial" w:cs="Arial"/>
          <w:noProof/>
        </w:rPr>
        <w:t>(10), 1847–1860. https://doi.org/10.1007/s00484-018-1587-2</w:t>
      </w:r>
    </w:p>
    <w:p w14:paraId="1960901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ICO. (2022). Coffee Market Report. In </w:t>
      </w:r>
      <w:r w:rsidRPr="00550C29">
        <w:rPr>
          <w:rFonts w:ascii="Arial" w:hAnsi="Arial" w:cs="Arial"/>
          <w:i/>
          <w:iCs/>
          <w:noProof/>
        </w:rPr>
        <w:t>International Coffee Organization</w:t>
      </w:r>
      <w:r w:rsidRPr="00550C29">
        <w:rPr>
          <w:rFonts w:ascii="Arial" w:hAnsi="Arial" w:cs="Arial"/>
          <w:noProof/>
        </w:rPr>
        <w:t xml:space="preserve"> (Issue June).</w:t>
      </w:r>
    </w:p>
    <w:p w14:paraId="28853D2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Koutouleas, A. (2023). Coffee leaf rust: wreaking havoc in coffee production areas across the tropics. In </w:t>
      </w:r>
      <w:r w:rsidRPr="00550C29">
        <w:rPr>
          <w:rFonts w:ascii="Arial" w:hAnsi="Arial" w:cs="Arial"/>
          <w:i/>
          <w:iCs/>
          <w:noProof/>
        </w:rPr>
        <w:t>Plant Health Cases</w:t>
      </w:r>
      <w:r w:rsidRPr="00550C29">
        <w:rPr>
          <w:rFonts w:ascii="Arial" w:hAnsi="Arial" w:cs="Arial"/>
          <w:noProof/>
        </w:rPr>
        <w:t xml:space="preserve"> (Issue May). The Author 2023. https://doi.org/10.1079/planthealthcases.2023.0005</w:t>
      </w:r>
    </w:p>
    <w:p w14:paraId="1A87660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McCook, S. (2006). Global rust belt: </w:t>
      </w:r>
      <w:r w:rsidRPr="00550C29">
        <w:rPr>
          <w:rFonts w:ascii="Arial" w:hAnsi="Arial" w:cs="Arial"/>
          <w:i/>
          <w:iCs/>
          <w:noProof/>
        </w:rPr>
        <w:t>Hemileia vastatrix</w:t>
      </w:r>
      <w:r w:rsidRPr="00550C29">
        <w:rPr>
          <w:rFonts w:ascii="Arial" w:hAnsi="Arial" w:cs="Arial"/>
          <w:noProof/>
        </w:rPr>
        <w:t xml:space="preserve"> and the ecological integration of world coffee production since 1850. </w:t>
      </w:r>
      <w:r w:rsidRPr="00550C29">
        <w:rPr>
          <w:rFonts w:ascii="Arial" w:hAnsi="Arial" w:cs="Arial"/>
          <w:i/>
          <w:iCs/>
          <w:noProof/>
        </w:rPr>
        <w:t>Journal of Global History</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(2), 177–195. https://doi.org/10.1017/S174002280600012X</w:t>
      </w:r>
    </w:p>
    <w:p w14:paraId="57629746"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Meira, C. A. A., Rodrigues, L. H. A., &amp; Moraes, S. A. (2008). Análise da epidemia da ferrugem do cafeeiro com árvore de decisão. </w:t>
      </w:r>
      <w:r w:rsidRPr="00550C29">
        <w:rPr>
          <w:rFonts w:ascii="Arial" w:hAnsi="Arial" w:cs="Arial"/>
          <w:i/>
          <w:iCs/>
          <w:noProof/>
        </w:rPr>
        <w:t>Tropical Plant Pathology</w:t>
      </w:r>
      <w:r w:rsidRPr="00550C29">
        <w:rPr>
          <w:rFonts w:ascii="Arial" w:hAnsi="Arial" w:cs="Arial"/>
          <w:noProof/>
        </w:rPr>
        <w:t xml:space="preserve">, </w:t>
      </w:r>
      <w:r w:rsidRPr="00550C29">
        <w:rPr>
          <w:rFonts w:ascii="Arial" w:hAnsi="Arial" w:cs="Arial"/>
          <w:i/>
          <w:iCs/>
          <w:noProof/>
        </w:rPr>
        <w:t>33</w:t>
      </w:r>
      <w:r w:rsidRPr="00550C29">
        <w:rPr>
          <w:rFonts w:ascii="Arial" w:hAnsi="Arial" w:cs="Arial"/>
          <w:noProof/>
        </w:rPr>
        <w:t>(2), 114–124. https://doi.org/10.1590/S1982-56762008000200005</w:t>
      </w:r>
    </w:p>
    <w:p w14:paraId="7C524C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lastRenderedPageBreak/>
        <w:t xml:space="preserve">Merle, I., Pico, J., Granados, E., Boudrot, A., Tixier, P., de Melo Virginio Filho, E., Cilas, C., &amp; Avelino, J. (2020). Unraveling the complexity of coffee leaf rust behavior and development in different Coffea arabica agroecosystems. </w:t>
      </w:r>
      <w:r w:rsidRPr="00550C29">
        <w:rPr>
          <w:rFonts w:ascii="Arial" w:hAnsi="Arial" w:cs="Arial"/>
          <w:i/>
          <w:iCs/>
          <w:noProof/>
        </w:rPr>
        <w:t>Phytopathology</w:t>
      </w:r>
      <w:r w:rsidRPr="00550C29">
        <w:rPr>
          <w:rFonts w:ascii="Arial" w:hAnsi="Arial" w:cs="Arial"/>
          <w:noProof/>
        </w:rPr>
        <w:t xml:space="preserve">, </w:t>
      </w:r>
      <w:r w:rsidRPr="00550C29">
        <w:rPr>
          <w:rFonts w:ascii="Arial" w:hAnsi="Arial" w:cs="Arial"/>
          <w:i/>
          <w:iCs/>
          <w:noProof/>
        </w:rPr>
        <w:t>110</w:t>
      </w:r>
      <w:r w:rsidRPr="00550C29">
        <w:rPr>
          <w:rFonts w:ascii="Arial" w:hAnsi="Arial" w:cs="Arial"/>
          <w:noProof/>
        </w:rPr>
        <w:t>(2), 418–427. https://doi.org/10.1094/PHYTO-03-19-0094-R</w:t>
      </w:r>
    </w:p>
    <w:p w14:paraId="7C3F06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Mulinge, S. K., &amp; Griffiths, E. (1974). Effects of fungicides on leaf rust, berry disease, foliation and yield of coffee. </w:t>
      </w:r>
      <w:r w:rsidRPr="00550C29">
        <w:rPr>
          <w:rFonts w:ascii="Arial" w:hAnsi="Arial" w:cs="Arial"/>
          <w:i/>
          <w:iCs/>
          <w:noProof/>
        </w:rPr>
        <w:t>Transactions of the British Mycological Society</w:t>
      </w:r>
      <w:r w:rsidRPr="00550C29">
        <w:rPr>
          <w:rFonts w:ascii="Arial" w:hAnsi="Arial" w:cs="Arial"/>
          <w:noProof/>
        </w:rPr>
        <w:t xml:space="preserve">, </w:t>
      </w:r>
      <w:r w:rsidRPr="00550C29">
        <w:rPr>
          <w:rFonts w:ascii="Arial" w:hAnsi="Arial" w:cs="Arial"/>
          <w:i/>
          <w:iCs/>
          <w:noProof/>
        </w:rPr>
        <w:t>62</w:t>
      </w:r>
      <w:r w:rsidRPr="00550C29">
        <w:rPr>
          <w:rFonts w:ascii="Arial" w:hAnsi="Arial" w:cs="Arial"/>
          <w:noProof/>
        </w:rPr>
        <w:t>(3), 495–507. https://doi.org/10.1016/s0007-1536(74)80061-6</w:t>
      </w:r>
    </w:p>
    <w:p w14:paraId="18DAAA6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Otiniano, A. J., Anyosa, C. E., Manyari, Y. L., Ventura, R. B., Janampa, R. C., Amez, S. B., &amp; Costa, R. C. (2013). Una revisión sobre la roya del café (Hemileia vastatrix) algunas experiencias y recomendaciones para el Perú. In </w:t>
      </w:r>
      <w:r w:rsidRPr="00550C29">
        <w:rPr>
          <w:rFonts w:ascii="Arial" w:hAnsi="Arial" w:cs="Arial"/>
          <w:i/>
          <w:iCs/>
          <w:noProof/>
        </w:rPr>
        <w:t>Universidad Nacional Agraria La Molina</w:t>
      </w:r>
      <w:r w:rsidRPr="00550C29">
        <w:rPr>
          <w:rFonts w:ascii="Arial" w:hAnsi="Arial" w:cs="Arial"/>
          <w:noProof/>
        </w:rPr>
        <w:t xml:space="preserve"> (Vol. 51, Issue May). https://www.researchgate.net/profile/Ricardo-Borjas/publication/325382050_Universidad_Nacional_Agraria_La_Molina_Instituto_Regional_de_Desarrollo_de_Selva_IRD-Selva_Una_revision_sobre_la_roya_del_cafe_Hemileia_vastatrix_algunas_experiencias_y_recomendacio</w:t>
      </w:r>
    </w:p>
    <w:p w14:paraId="17C814D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Partelli, F. L., Oliveira, M. G., Covre, A. M., Vieira, H. D., Machado Dias, J. R., &amp; Braun, H. (2018). Nutritional standards and nutritional diagnosis of the Conilon coffee plants in phenological growth stages. </w:t>
      </w:r>
      <w:r w:rsidRPr="00550C29">
        <w:rPr>
          <w:rFonts w:ascii="Arial" w:hAnsi="Arial" w:cs="Arial"/>
          <w:i/>
          <w:iCs/>
          <w:noProof/>
        </w:rPr>
        <w:t>Journal of Plant Nutrition</w:t>
      </w:r>
      <w:r w:rsidRPr="00550C29">
        <w:rPr>
          <w:rFonts w:ascii="Arial" w:hAnsi="Arial" w:cs="Arial"/>
          <w:noProof/>
        </w:rPr>
        <w:t xml:space="preserve">, </w:t>
      </w:r>
      <w:r w:rsidRPr="00550C29">
        <w:rPr>
          <w:rFonts w:ascii="Arial" w:hAnsi="Arial" w:cs="Arial"/>
          <w:i/>
          <w:iCs/>
          <w:noProof/>
        </w:rPr>
        <w:t>41</w:t>
      </w:r>
      <w:r w:rsidRPr="00550C29">
        <w:rPr>
          <w:rFonts w:ascii="Arial" w:hAnsi="Arial" w:cs="Arial"/>
          <w:noProof/>
        </w:rPr>
        <w:t>(19), 2536–2546. https://doi.org/10.1080/01904167.2018.1510513</w:t>
      </w:r>
    </w:p>
    <w:p w14:paraId="71D4A41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Picini, A. G. (1998). </w:t>
      </w:r>
      <w:r w:rsidRPr="00550C29">
        <w:rPr>
          <w:rFonts w:ascii="Arial" w:hAnsi="Arial" w:cs="Arial"/>
          <w:i/>
          <w:iCs/>
          <w:noProof/>
        </w:rPr>
        <w:t>Desenvolvimento e teste de modelos agrometeorológicos para a estimativa de produtividade do cafeeiro (</w:t>
      </w:r>
      <w:r w:rsidRPr="00550C29">
        <w:rPr>
          <w:rFonts w:ascii="Arial" w:hAnsi="Arial" w:cs="Arial"/>
          <w:noProof/>
        </w:rPr>
        <w:t>Coffea arabica</w:t>
      </w:r>
      <w:r w:rsidRPr="00550C29">
        <w:rPr>
          <w:rFonts w:ascii="Arial" w:hAnsi="Arial" w:cs="Arial"/>
          <w:i/>
          <w:iCs/>
          <w:noProof/>
        </w:rPr>
        <w:t xml:space="preserve"> L.) a partir do monitoramento da disponibilidade hidrica do solo</w:t>
      </w:r>
      <w:r w:rsidRPr="00550C29">
        <w:rPr>
          <w:rFonts w:ascii="Arial" w:hAnsi="Arial" w:cs="Arial"/>
          <w:noProof/>
        </w:rPr>
        <w:t>. Universidade de São Paulo.</w:t>
      </w:r>
    </w:p>
    <w:p w14:paraId="05A80FB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Pozza, E. A. A. (2008). Importância das doenças foliares do cafeeiro. Núcleo de estudos em fitopatologia. </w:t>
      </w:r>
      <w:r w:rsidRPr="00550C29">
        <w:rPr>
          <w:rFonts w:ascii="Arial" w:hAnsi="Arial" w:cs="Arial"/>
          <w:i/>
          <w:iCs/>
          <w:noProof/>
        </w:rPr>
        <w:t>Brasília: Sociedade Brasileira de Fitopatologia</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 81–94.</w:t>
      </w:r>
    </w:p>
    <w:p w14:paraId="1B6F1DE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Rhiney, K., Knudson, C., &amp; Guido, Z. (2020). Cultivating crisis: Coffee, smallholder vulnerability, and the uneven sociomaterial consequences of the leaf rust epidemic in Jamaica. </w:t>
      </w:r>
      <w:r w:rsidRPr="00550C29">
        <w:rPr>
          <w:rFonts w:ascii="Arial" w:hAnsi="Arial" w:cs="Arial"/>
          <w:i/>
          <w:iCs/>
          <w:noProof/>
        </w:rPr>
        <w:t>Annals of the American Association of Geographers</w:t>
      </w:r>
      <w:r w:rsidRPr="00550C29">
        <w:rPr>
          <w:rFonts w:ascii="Arial" w:hAnsi="Arial" w:cs="Arial"/>
          <w:noProof/>
        </w:rPr>
        <w:t xml:space="preserve">, </w:t>
      </w:r>
      <w:r w:rsidRPr="00550C29">
        <w:rPr>
          <w:rFonts w:ascii="Arial" w:hAnsi="Arial" w:cs="Arial"/>
          <w:i/>
          <w:iCs/>
          <w:noProof/>
        </w:rPr>
        <w:t>111</w:t>
      </w:r>
      <w:r w:rsidRPr="00550C29">
        <w:rPr>
          <w:rFonts w:ascii="Arial" w:hAnsi="Arial" w:cs="Arial"/>
          <w:noProof/>
        </w:rPr>
        <w:t>(2), 440–458. https://doi.org/10.1080/24694452.2020.1775543</w:t>
      </w:r>
    </w:p>
    <w:p w14:paraId="10DB9CB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Ribeyre, F., &amp; Avelino, J. (2012). Impact of field pests and diseases on coffee quality. </w:t>
      </w:r>
      <w:r w:rsidRPr="00550C29">
        <w:rPr>
          <w:rFonts w:ascii="Arial" w:hAnsi="Arial" w:cs="Arial"/>
          <w:i/>
          <w:iCs/>
          <w:noProof/>
        </w:rPr>
        <w:t>Specialty Coffee: Managing Quality</w:t>
      </w:r>
      <w:r w:rsidRPr="00550C29">
        <w:rPr>
          <w:rFonts w:ascii="Arial" w:hAnsi="Arial" w:cs="Arial"/>
          <w:noProof/>
        </w:rPr>
        <w:t xml:space="preserve">, </w:t>
      </w:r>
      <w:r w:rsidRPr="00550C29">
        <w:rPr>
          <w:rFonts w:ascii="Arial" w:hAnsi="Arial" w:cs="Arial"/>
          <w:i/>
          <w:iCs/>
          <w:noProof/>
        </w:rPr>
        <w:t>January</w:t>
      </w:r>
      <w:r w:rsidRPr="00550C29">
        <w:rPr>
          <w:rFonts w:ascii="Arial" w:hAnsi="Arial" w:cs="Arial"/>
          <w:noProof/>
        </w:rPr>
        <w:t>, 151–176.</w:t>
      </w:r>
    </w:p>
    <w:p w14:paraId="5416B70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Rozo, Y., Escobar, C., Gaitán, Á., &amp; Cristancho, M. (2012). Aggressiveness and genetic diversity of </w:t>
      </w:r>
      <w:r w:rsidRPr="00550C29">
        <w:rPr>
          <w:rFonts w:ascii="Arial" w:hAnsi="Arial" w:cs="Arial"/>
          <w:i/>
          <w:iCs/>
          <w:noProof/>
        </w:rPr>
        <w:t>Hemileia vastatrix</w:t>
      </w:r>
      <w:r w:rsidRPr="00550C29">
        <w:rPr>
          <w:rFonts w:ascii="Arial" w:hAnsi="Arial" w:cs="Arial"/>
          <w:noProof/>
        </w:rPr>
        <w:t xml:space="preserve"> during an epidemic in Colombia. </w:t>
      </w:r>
      <w:r w:rsidRPr="00550C29">
        <w:rPr>
          <w:rFonts w:ascii="Arial" w:hAnsi="Arial" w:cs="Arial"/>
          <w:i/>
          <w:iCs/>
          <w:noProof/>
        </w:rPr>
        <w:t>Journal of Phytopathology</w:t>
      </w:r>
      <w:r w:rsidRPr="00550C29">
        <w:rPr>
          <w:rFonts w:ascii="Arial" w:hAnsi="Arial" w:cs="Arial"/>
          <w:noProof/>
        </w:rPr>
        <w:t xml:space="preserve">, </w:t>
      </w:r>
      <w:r w:rsidRPr="00550C29">
        <w:rPr>
          <w:rFonts w:ascii="Arial" w:hAnsi="Arial" w:cs="Arial"/>
          <w:i/>
          <w:iCs/>
          <w:noProof/>
        </w:rPr>
        <w:t>160</w:t>
      </w:r>
      <w:r w:rsidRPr="00550C29">
        <w:rPr>
          <w:rFonts w:ascii="Arial" w:hAnsi="Arial" w:cs="Arial"/>
          <w:noProof/>
        </w:rPr>
        <w:t>(11–12), 732–740. https://doi.org/10.1111/jph.12024</w:t>
      </w:r>
    </w:p>
    <w:p w14:paraId="067825A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Sanders, M. (2019). Breeding for coffee leaf rust resilience in </w:t>
      </w:r>
      <w:r w:rsidRPr="00550C29">
        <w:rPr>
          <w:rFonts w:ascii="Arial" w:hAnsi="Arial" w:cs="Arial"/>
          <w:i/>
          <w:iCs/>
          <w:noProof/>
        </w:rPr>
        <w:t>Coffea sp</w:t>
      </w:r>
      <w:r w:rsidRPr="00550C29">
        <w:rPr>
          <w:rFonts w:ascii="Arial" w:hAnsi="Arial" w:cs="Arial"/>
          <w:noProof/>
        </w:rPr>
        <w:t xml:space="preserve">. </w:t>
      </w:r>
      <w:r w:rsidRPr="00550C29">
        <w:rPr>
          <w:rFonts w:ascii="Arial" w:hAnsi="Arial" w:cs="Arial"/>
          <w:i/>
          <w:iCs/>
          <w:noProof/>
        </w:rPr>
        <w:t>Natural Sciences Education</w:t>
      </w:r>
      <w:r w:rsidRPr="00550C29">
        <w:rPr>
          <w:rFonts w:ascii="Arial" w:hAnsi="Arial" w:cs="Arial"/>
          <w:noProof/>
        </w:rPr>
        <w:t xml:space="preserve">, </w:t>
      </w:r>
      <w:r w:rsidRPr="00550C29">
        <w:rPr>
          <w:rFonts w:ascii="Arial" w:hAnsi="Arial" w:cs="Arial"/>
          <w:i/>
          <w:iCs/>
          <w:noProof/>
        </w:rPr>
        <w:t>48</w:t>
      </w:r>
      <w:r w:rsidRPr="00550C29">
        <w:rPr>
          <w:rFonts w:ascii="Arial" w:hAnsi="Arial" w:cs="Arial"/>
          <w:noProof/>
        </w:rPr>
        <w:t>(1), 1–3. https://doi.org/10.4195/nse2019.01.0102</w:t>
      </w:r>
    </w:p>
    <w:p w14:paraId="4A49C559"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Sento, L., Kasim, A., &amp; Tashome, K. (2024). Status of coffee leaf rust diseases in coffee (</w:t>
      </w:r>
      <w:r w:rsidRPr="00550C29">
        <w:rPr>
          <w:rFonts w:ascii="Arial" w:hAnsi="Arial" w:cs="Arial"/>
          <w:i/>
          <w:iCs/>
          <w:noProof/>
        </w:rPr>
        <w:t>Coffea arabica</w:t>
      </w:r>
      <w:r w:rsidRPr="00550C29">
        <w:rPr>
          <w:rFonts w:ascii="Arial" w:hAnsi="Arial" w:cs="Arial"/>
          <w:noProof/>
        </w:rPr>
        <w:t xml:space="preserve"> L.) growing areas of Guji Zone. </w:t>
      </w:r>
      <w:r w:rsidRPr="00550C29">
        <w:rPr>
          <w:rFonts w:ascii="Arial" w:hAnsi="Arial" w:cs="Arial"/>
          <w:i/>
          <w:iCs/>
          <w:noProof/>
        </w:rPr>
        <w:t>Journal of Pathology &amp; Microbiology</w:t>
      </w:r>
      <w:r w:rsidRPr="00550C29">
        <w:rPr>
          <w:rFonts w:ascii="Arial" w:hAnsi="Arial" w:cs="Arial"/>
          <w:noProof/>
        </w:rPr>
        <w:t xml:space="preserve">, </w:t>
      </w:r>
      <w:r w:rsidRPr="00550C29">
        <w:rPr>
          <w:rFonts w:ascii="Arial" w:hAnsi="Arial" w:cs="Arial"/>
          <w:i/>
          <w:iCs/>
          <w:noProof/>
        </w:rPr>
        <w:t>6</w:t>
      </w:r>
      <w:r w:rsidRPr="00550C29">
        <w:rPr>
          <w:rFonts w:ascii="Arial" w:hAnsi="Arial" w:cs="Arial"/>
          <w:noProof/>
        </w:rPr>
        <w:t>(1), 13–15.</w:t>
      </w:r>
    </w:p>
    <w:p w14:paraId="0B24B1F7"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Silva, M. D. C., Guerra-Guimarães, L., Diniz, I., Loureiro, A., Azinheira, H., Pereira, A. P., Tavares, S., Batista, D., &amp; Várzea, V. (2022). An overview of the mechanisms involved in Coffee-</w:t>
      </w:r>
      <w:r w:rsidRPr="00550C29">
        <w:rPr>
          <w:rFonts w:ascii="Arial" w:hAnsi="Arial" w:cs="Arial"/>
          <w:i/>
          <w:iCs/>
          <w:noProof/>
        </w:rPr>
        <w:t>Hemileia vastatrix</w:t>
      </w:r>
      <w:r w:rsidRPr="00550C29">
        <w:rPr>
          <w:rFonts w:ascii="Arial" w:hAnsi="Arial" w:cs="Arial"/>
          <w:noProof/>
        </w:rPr>
        <w:t xml:space="preserve"> interactions: Plant and pathogen perspectives. </w:t>
      </w:r>
      <w:r w:rsidRPr="00550C29">
        <w:rPr>
          <w:rFonts w:ascii="Arial" w:hAnsi="Arial" w:cs="Arial"/>
          <w:i/>
          <w:iCs/>
          <w:noProof/>
        </w:rPr>
        <w:t>Agronomy</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(2), 1–31. https://doi.org/10.3390/agronomy12020326</w:t>
      </w:r>
    </w:p>
    <w:p w14:paraId="19CC00E9"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Silva, M. D. C., Várzea, V., Guerra-Guimarães, L., Azinheira, H. G., Fernandez, D., Petitot, A. S., Bertrand, B., Lashermes, P., &amp; Nicole, M. (2006). Coffee resistance to the main diseases: Leaf rust and coffee berry disease. </w:t>
      </w:r>
      <w:r w:rsidRPr="00550C29">
        <w:rPr>
          <w:rFonts w:ascii="Arial" w:hAnsi="Arial" w:cs="Arial"/>
          <w:i/>
          <w:iCs/>
          <w:noProof/>
        </w:rPr>
        <w:t>Brazilian Journal of Plant Physiology</w:t>
      </w:r>
      <w:r w:rsidRPr="00550C29">
        <w:rPr>
          <w:rFonts w:ascii="Arial" w:hAnsi="Arial" w:cs="Arial"/>
          <w:noProof/>
        </w:rPr>
        <w:t xml:space="preserve">, </w:t>
      </w:r>
      <w:r w:rsidRPr="00550C29">
        <w:rPr>
          <w:rFonts w:ascii="Arial" w:hAnsi="Arial" w:cs="Arial"/>
          <w:i/>
          <w:iCs/>
          <w:noProof/>
        </w:rPr>
        <w:t>18</w:t>
      </w:r>
      <w:r w:rsidRPr="00550C29">
        <w:rPr>
          <w:rFonts w:ascii="Arial" w:hAnsi="Arial" w:cs="Arial"/>
          <w:noProof/>
        </w:rPr>
        <w:t>(1), 119–147. https://doi.org/10.1590/s1677-04202006000100010</w:t>
      </w:r>
    </w:p>
    <w:p w14:paraId="424BBC9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Subroto, G., Kusbianto, D. E., Avivi, S., Slameto, S., &amp; Setiyono, S. (2019). Correlation of secondary metabolites of leaf with resistance to leaf rust (Hemileia vastatrix) on several Arabica coffee clones. </w:t>
      </w:r>
      <w:r w:rsidRPr="00550C29">
        <w:rPr>
          <w:rFonts w:ascii="Arial" w:hAnsi="Arial" w:cs="Arial"/>
          <w:i/>
          <w:iCs/>
          <w:noProof/>
        </w:rPr>
        <w:t>Ilmu Pertanian (Agricultural Science)</w:t>
      </w:r>
      <w:r w:rsidRPr="00550C29">
        <w:rPr>
          <w:rFonts w:ascii="Arial" w:hAnsi="Arial" w:cs="Arial"/>
          <w:noProof/>
        </w:rPr>
        <w:t xml:space="preserve">, </w:t>
      </w:r>
      <w:r w:rsidRPr="00550C29">
        <w:rPr>
          <w:rFonts w:ascii="Arial" w:hAnsi="Arial" w:cs="Arial"/>
          <w:i/>
          <w:iCs/>
          <w:noProof/>
        </w:rPr>
        <w:t>4</w:t>
      </w:r>
      <w:r w:rsidRPr="00550C29">
        <w:rPr>
          <w:rFonts w:ascii="Arial" w:hAnsi="Arial" w:cs="Arial"/>
          <w:noProof/>
        </w:rPr>
        <w:t>(2), 71. https://doi.org/10.22146/ipas.42124</w:t>
      </w:r>
    </w:p>
    <w:p w14:paraId="6E8FC84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Talhinhas, P., Batista, D., Diniz, I., Vieira, A., Silva, D. N., Loureiro, A., Tavares, S., Pereira, A. P., Azinheira, H. G., Guerra-Guimarães, L., Várzea, V., &amp; Silva, M. do C. (2017). The coffee leaf rust pathogen </w:t>
      </w:r>
      <w:r w:rsidRPr="00550C29">
        <w:rPr>
          <w:rFonts w:ascii="Arial" w:hAnsi="Arial" w:cs="Arial"/>
          <w:i/>
          <w:iCs/>
          <w:noProof/>
        </w:rPr>
        <w:t>Hemileia vastatrix</w:t>
      </w:r>
      <w:r w:rsidRPr="00550C29">
        <w:rPr>
          <w:rFonts w:ascii="Arial" w:hAnsi="Arial" w:cs="Arial"/>
          <w:noProof/>
        </w:rPr>
        <w:t xml:space="preserve">: one and a half centuries around the tropics. </w:t>
      </w:r>
      <w:r w:rsidRPr="00550C29">
        <w:rPr>
          <w:rFonts w:ascii="Arial" w:hAnsi="Arial" w:cs="Arial"/>
          <w:i/>
          <w:iCs/>
          <w:noProof/>
        </w:rPr>
        <w:t>Molecular Plant Pathology</w:t>
      </w:r>
      <w:r w:rsidRPr="00550C29">
        <w:rPr>
          <w:rFonts w:ascii="Arial" w:hAnsi="Arial" w:cs="Arial"/>
          <w:noProof/>
        </w:rPr>
        <w:t xml:space="preserve">, </w:t>
      </w:r>
      <w:r w:rsidRPr="00550C29">
        <w:rPr>
          <w:rFonts w:ascii="Arial" w:hAnsi="Arial" w:cs="Arial"/>
          <w:i/>
          <w:iCs/>
          <w:noProof/>
        </w:rPr>
        <w:t>18</w:t>
      </w:r>
      <w:r w:rsidRPr="00550C29">
        <w:rPr>
          <w:rFonts w:ascii="Arial" w:hAnsi="Arial" w:cs="Arial"/>
          <w:noProof/>
        </w:rPr>
        <w:t>(8), 1039–1051. https://doi.org/10.1111/mpp.12512</w:t>
      </w:r>
    </w:p>
    <w:p w14:paraId="1D03EFB7"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Wahab, M. A. M. A., &amp; Nor, N. A. A. M. (2016). Exploring the potential of coffee industry in Malaysia. </w:t>
      </w:r>
      <w:r w:rsidRPr="00550C29">
        <w:rPr>
          <w:rFonts w:ascii="Arial" w:hAnsi="Arial" w:cs="Arial"/>
          <w:i/>
          <w:iCs/>
          <w:noProof/>
        </w:rPr>
        <w:t>Economics and Social Science Research Centre</w:t>
      </w:r>
      <w:r w:rsidRPr="00550C29">
        <w:rPr>
          <w:rFonts w:ascii="Arial" w:hAnsi="Arial" w:cs="Arial"/>
          <w:noProof/>
        </w:rPr>
        <w:t xml:space="preserve">, </w:t>
      </w:r>
      <w:r w:rsidRPr="00550C29">
        <w:rPr>
          <w:rFonts w:ascii="Arial" w:hAnsi="Arial" w:cs="Arial"/>
          <w:i/>
          <w:iCs/>
          <w:noProof/>
        </w:rPr>
        <w:t>1016</w:t>
      </w:r>
      <w:r w:rsidRPr="00550C29">
        <w:rPr>
          <w:rFonts w:ascii="Arial" w:hAnsi="Arial" w:cs="Arial"/>
          <w:noProof/>
        </w:rPr>
        <w:t>, 1–5.</w:t>
      </w:r>
    </w:p>
    <w:p w14:paraId="3B100CB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Wahibah, N. N., Putri, R. P., Muflikhah, L., Martina, A., &amp; Arini. (2023). Analysis of resistance to fungal pathogen </w:t>
      </w:r>
      <w:r w:rsidRPr="00550C29">
        <w:rPr>
          <w:rFonts w:ascii="Arial" w:hAnsi="Arial" w:cs="Arial"/>
          <w:i/>
          <w:iCs/>
          <w:noProof/>
        </w:rPr>
        <w:t>Hemileia vastatrix</w:t>
      </w:r>
      <w:r w:rsidRPr="00550C29">
        <w:rPr>
          <w:rFonts w:ascii="Arial" w:hAnsi="Arial" w:cs="Arial"/>
          <w:noProof/>
        </w:rPr>
        <w:t xml:space="preserve"> of Liberica coffee based on functional marker. </w:t>
      </w:r>
      <w:r w:rsidRPr="00550C29">
        <w:rPr>
          <w:rFonts w:ascii="Arial" w:hAnsi="Arial" w:cs="Arial"/>
          <w:i/>
          <w:iCs/>
          <w:noProof/>
        </w:rPr>
        <w:t>International Journal of Phytopathology</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(1), 1–7. https://doi.org/10.33687/phytopath.012.01.4371</w:t>
      </w:r>
    </w:p>
    <w:p w14:paraId="14DF8532" w14:textId="50C21F87" w:rsidR="00550C29" w:rsidRDefault="004C17BF" w:rsidP="00550C29">
      <w:pPr>
        <w:keepNext/>
        <w:pBdr>
          <w:top w:val="nil"/>
          <w:left w:val="nil"/>
          <w:bottom w:val="nil"/>
          <w:right w:val="nil"/>
          <w:between w:val="nil"/>
        </w:pBdr>
        <w:spacing w:line="276" w:lineRule="auto"/>
        <w:jc w:val="both"/>
        <w:rPr>
          <w:rFonts w:ascii="Arial" w:eastAsia="Arial" w:hAnsi="Arial" w:cs="Arial"/>
          <w:smallCaps/>
          <w:color w:val="000000"/>
          <w:sz w:val="22"/>
          <w:szCs w:val="22"/>
        </w:rPr>
      </w:pPr>
      <w:r w:rsidRPr="00F2116B">
        <w:rPr>
          <w:rFonts w:ascii="Arial" w:eastAsia="Arial" w:hAnsi="Arial" w:cs="Arial"/>
          <w:b/>
          <w:smallCaps/>
          <w:color w:val="000000"/>
        </w:rPr>
        <w:fldChar w:fldCharType="end"/>
      </w:r>
    </w:p>
    <w:p w14:paraId="43C7C7D4" w14:textId="1DC72837" w:rsidR="003C0B3A" w:rsidRDefault="003C0B3A">
      <w:pPr>
        <w:keepNext/>
        <w:pBdr>
          <w:top w:val="nil"/>
          <w:left w:val="nil"/>
          <w:bottom w:val="nil"/>
          <w:right w:val="nil"/>
          <w:between w:val="nil"/>
        </w:pBdr>
        <w:spacing w:line="276" w:lineRule="auto"/>
        <w:jc w:val="both"/>
        <w:rPr>
          <w:rFonts w:ascii="Arial" w:eastAsia="Arial" w:hAnsi="Arial" w:cs="Arial"/>
          <w:smallCaps/>
          <w:color w:val="000000"/>
          <w:sz w:val="22"/>
          <w:szCs w:val="22"/>
        </w:rPr>
      </w:pPr>
    </w:p>
    <w:sectPr w:rsidR="003C0B3A" w:rsidSect="00D53D5F">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766C61" w16cex:dateUtc="2025-09-06T17:42:00Z"/>
  <w16cex:commentExtensible w16cex:durableId="2A18ED09" w16cex:dateUtc="2025-09-03T01:02:00Z"/>
  <w16cex:commentExtensible w16cex:durableId="3A2BFB71" w16cex:dateUtc="2025-09-03T01:14:00Z"/>
  <w16cex:commentExtensible w16cex:durableId="19FC89EC" w16cex:dateUtc="2025-09-06T17:35:00Z"/>
  <w16cex:commentExtensible w16cex:durableId="5D313AA5" w16cex:dateUtc="2025-09-06T19:13:00Z"/>
  <w16cex:commentExtensible w16cex:durableId="385F2D8B" w16cex:dateUtc="2025-09-06T19:13:00Z"/>
  <w16cex:commentExtensible w16cex:durableId="31B7A791" w16cex:dateUtc="2025-09-06T1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C81AC" w14:textId="77777777" w:rsidR="00804E93" w:rsidRDefault="00804E93">
      <w:r>
        <w:separator/>
      </w:r>
    </w:p>
  </w:endnote>
  <w:endnote w:type="continuationSeparator" w:id="0">
    <w:p w14:paraId="721C58F9" w14:textId="77777777" w:rsidR="00804E93" w:rsidRDefault="0080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ylfaen"/>
    <w:charset w:val="00"/>
    <w:family w:val="auto"/>
    <w:pitch w:val="default"/>
    <w:embedRegular r:id="rId1" w:fontKey="{D0B899AD-7FC0-4F6E-9203-5BEEADC453E1}"/>
    <w:embedBold r:id="rId2" w:fontKey="{475FB6D7-C616-4823-9847-802CC3769917}"/>
    <w:embedItalic r:id="rId3" w:fontKey="{F53DBFF3-B8F6-4262-9911-7AE7D0BEAB1F}"/>
  </w:font>
  <w:font w:name="Helvetica">
    <w:panose1 w:val="020B0604020202020204"/>
    <w:charset w:val="00"/>
    <w:family w:val="swiss"/>
    <w:pitch w:val="variable"/>
    <w:sig w:usb0="E0002EFF" w:usb1="C000785B" w:usb2="00000009" w:usb3="00000000" w:csb0="000001FF" w:csb1="00000000"/>
    <w:embedRegular r:id="rId4" w:fontKey="{8EA2BEF0-4563-4137-A84B-2AE97FC1BD91}"/>
    <w:embedBold r:id="rId5" w:fontKey="{6EDE3E33-84D4-4855-A891-F1DE9D8BDCF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05BEA12-4183-4A0F-B266-B4FC7B866E39}"/>
    <w:embedItalic r:id="rId7" w:fontKey="{A9A066C3-D7DC-44DB-BF68-7032D2847B5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BE3EE3CF-781E-47D8-BD81-F5F2840EBD60}"/>
    <w:embedBold r:id="rId9" w:fontKey="{F32BB3A0-B6E1-4CC1-8803-A41F38FE9CC5}"/>
  </w:font>
  <w:font w:name="Tahoma">
    <w:panose1 w:val="020B0604030504040204"/>
    <w:charset w:val="00"/>
    <w:family w:val="swiss"/>
    <w:pitch w:val="variable"/>
    <w:sig w:usb0="E1002EFF" w:usb1="C000605B" w:usb2="00000029" w:usb3="00000000" w:csb0="000101FF" w:csb1="00000000"/>
    <w:embedRegular r:id="rId10" w:fontKey="{262FE166-1ABA-4156-B568-98D874C5FA0A}"/>
  </w:font>
  <w:font w:name="Georgia">
    <w:panose1 w:val="02040502050405020303"/>
    <w:charset w:val="00"/>
    <w:family w:val="roman"/>
    <w:pitch w:val="variable"/>
    <w:sig w:usb0="00000287" w:usb1="00000000" w:usb2="00000000" w:usb3="00000000" w:csb0="0000009F" w:csb1="00000000"/>
    <w:embedRegular r:id="rId11" w:fontKey="{601B5019-5094-4C49-AD34-FDDF831E483D}"/>
    <w:embedItalic r:id="rId12" w:fontKey="{15B80618-3466-4507-926C-A9E0CE76D904}"/>
  </w:font>
  <w:font w:name="Cambria Math">
    <w:panose1 w:val="02040503050406030204"/>
    <w:charset w:val="00"/>
    <w:family w:val="roman"/>
    <w:pitch w:val="variable"/>
    <w:sig w:usb0="E00006FF" w:usb1="420024FF" w:usb2="02000000" w:usb3="00000000" w:csb0="0000019F" w:csb1="00000000"/>
    <w:embedRegular r:id="rId13" w:fontKey="{FF4E48CE-D01B-48D2-9554-2AEF749D31EE}"/>
    <w:embedItalic r:id="rId14" w:fontKey="{62B43AD9-6D9B-4B83-85DB-15D783DFF522}"/>
  </w:font>
  <w:font w:name="Arial Narrow">
    <w:panose1 w:val="020B0606020202030204"/>
    <w:charset w:val="00"/>
    <w:family w:val="swiss"/>
    <w:pitch w:val="variable"/>
    <w:sig w:usb0="00000287" w:usb1="00000800" w:usb2="00000000" w:usb3="00000000" w:csb0="0000009F" w:csb1="00000000"/>
    <w:embedRegular r:id="rId15" w:fontKey="{DC8A6ADB-7C5F-4A51-B4D0-20D911B82987}"/>
    <w:embedBold r:id="rId16" w:fontKey="{1FB1619B-EF59-44E8-A50A-35D993AA3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4A77A"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F99AC0B" w14:textId="77777777" w:rsidR="009C1ED2" w:rsidRDefault="00E37E9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569E8BB"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121364" w14:textId="77777777" w:rsidR="009C1ED2" w:rsidRDefault="00E37E9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7314" w14:textId="77777777" w:rsidR="009C1ED2" w:rsidRDefault="009C1ED2">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12262" w14:textId="77777777" w:rsidR="00804E93" w:rsidRDefault="00804E93">
      <w:r>
        <w:separator/>
      </w:r>
    </w:p>
  </w:footnote>
  <w:footnote w:type="continuationSeparator" w:id="0">
    <w:p w14:paraId="5B67ACBF" w14:textId="77777777" w:rsidR="00804E93" w:rsidRDefault="00804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C577" w14:textId="1AF550CD" w:rsidR="00D53D5F" w:rsidRDefault="00804E93">
    <w:pPr>
      <w:pStyle w:val="Header"/>
    </w:pPr>
    <w:r>
      <w:rPr>
        <w:noProof/>
      </w:rPr>
      <w:pict w14:anchorId="1707A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F3CF" w14:textId="2D3F8764" w:rsidR="00D53D5F" w:rsidRDefault="00804E93">
    <w:pPr>
      <w:pStyle w:val="Header"/>
    </w:pPr>
    <w:r>
      <w:rPr>
        <w:noProof/>
      </w:rPr>
      <w:pict w14:anchorId="64766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1DEF" w14:textId="1D11BD1B" w:rsidR="009C1ED2" w:rsidRDefault="00804E93">
    <w:pPr>
      <w:ind w:left="2160"/>
      <w:jc w:val="center"/>
      <w:rPr>
        <w:rFonts w:ascii="Times New Roman" w:eastAsia="Times New Roman" w:hAnsi="Times New Roman" w:cs="Times New Roman"/>
        <w:i/>
        <w:sz w:val="18"/>
        <w:szCs w:val="18"/>
      </w:rPr>
    </w:pPr>
    <w:r>
      <w:rPr>
        <w:noProof/>
      </w:rPr>
      <w:pict w14:anchorId="1C204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C52893" w14:textId="77777777" w:rsidR="009C1ED2" w:rsidRDefault="00E37E9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B26593"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BEF6789" w14:textId="77777777" w:rsidR="009C1ED2" w:rsidRDefault="00E37E9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A63AFE9"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D605FE0" w14:textId="77777777" w:rsidR="009C1ED2" w:rsidRDefault="00E37E9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54AF33C" w14:textId="77777777" w:rsidR="009C1ED2" w:rsidRDefault="00E37E9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7698" w14:textId="5167DE39" w:rsidR="00D53D5F" w:rsidRDefault="00804E93">
    <w:pPr>
      <w:pStyle w:val="Header"/>
    </w:pPr>
    <w:r>
      <w:rPr>
        <w:noProof/>
      </w:rPr>
      <w:pict w14:anchorId="4FE2F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166B" w14:textId="423BE22F" w:rsidR="00D53D5F" w:rsidRDefault="00804E93">
    <w:pPr>
      <w:pStyle w:val="Header"/>
    </w:pPr>
    <w:r>
      <w:rPr>
        <w:noProof/>
      </w:rPr>
      <w:pict w14:anchorId="1365C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299B3" w14:textId="3B4BA1BB" w:rsidR="00D53D5F" w:rsidRDefault="00804E93">
    <w:pPr>
      <w:pStyle w:val="Header"/>
    </w:pPr>
    <w:r>
      <w:rPr>
        <w:noProof/>
      </w:rPr>
      <w:pict w14:anchorId="53FA1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C69A3"/>
    <w:multiLevelType w:val="multilevel"/>
    <w:tmpl w:val="BF325CE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NDE0MjQyMjaxMDZT0lEKTi0uzszPAykwrAUAWWqBCywAAAA="/>
  </w:docVars>
  <w:rsids>
    <w:rsidRoot w:val="009C1ED2"/>
    <w:rsid w:val="00005D77"/>
    <w:rsid w:val="000112F0"/>
    <w:rsid w:val="00024432"/>
    <w:rsid w:val="00046888"/>
    <w:rsid w:val="00051FB6"/>
    <w:rsid w:val="0006342D"/>
    <w:rsid w:val="00065522"/>
    <w:rsid w:val="00080964"/>
    <w:rsid w:val="00090DC5"/>
    <w:rsid w:val="00094841"/>
    <w:rsid w:val="000B067D"/>
    <w:rsid w:val="000B6187"/>
    <w:rsid w:val="000B72C9"/>
    <w:rsid w:val="000C1A93"/>
    <w:rsid w:val="000C3C96"/>
    <w:rsid w:val="000C5602"/>
    <w:rsid w:val="000C5CA8"/>
    <w:rsid w:val="000C6E1C"/>
    <w:rsid w:val="000E29E5"/>
    <w:rsid w:val="00101554"/>
    <w:rsid w:val="00110713"/>
    <w:rsid w:val="0011413B"/>
    <w:rsid w:val="00117034"/>
    <w:rsid w:val="00121D64"/>
    <w:rsid w:val="00133233"/>
    <w:rsid w:val="00174DEF"/>
    <w:rsid w:val="00180FA5"/>
    <w:rsid w:val="00197607"/>
    <w:rsid w:val="001A1E09"/>
    <w:rsid w:val="001A3E32"/>
    <w:rsid w:val="001A60DA"/>
    <w:rsid w:val="001B724A"/>
    <w:rsid w:val="001D05E2"/>
    <w:rsid w:val="001D7735"/>
    <w:rsid w:val="001E413A"/>
    <w:rsid w:val="001F406E"/>
    <w:rsid w:val="001F42B3"/>
    <w:rsid w:val="001F607A"/>
    <w:rsid w:val="00200A1A"/>
    <w:rsid w:val="00214AA3"/>
    <w:rsid w:val="002211B8"/>
    <w:rsid w:val="00226E1C"/>
    <w:rsid w:val="00246B0F"/>
    <w:rsid w:val="002660A4"/>
    <w:rsid w:val="00270374"/>
    <w:rsid w:val="0028587E"/>
    <w:rsid w:val="002D6999"/>
    <w:rsid w:val="002F3838"/>
    <w:rsid w:val="00300BF9"/>
    <w:rsid w:val="00327C87"/>
    <w:rsid w:val="0034665E"/>
    <w:rsid w:val="003523A9"/>
    <w:rsid w:val="00352532"/>
    <w:rsid w:val="0035281F"/>
    <w:rsid w:val="003534B6"/>
    <w:rsid w:val="00357B01"/>
    <w:rsid w:val="003605F0"/>
    <w:rsid w:val="0036642B"/>
    <w:rsid w:val="00373CD1"/>
    <w:rsid w:val="00377EA6"/>
    <w:rsid w:val="0038665E"/>
    <w:rsid w:val="00390B89"/>
    <w:rsid w:val="0039128B"/>
    <w:rsid w:val="003914AA"/>
    <w:rsid w:val="00394E94"/>
    <w:rsid w:val="003A0EB6"/>
    <w:rsid w:val="003A7C15"/>
    <w:rsid w:val="003C0B3A"/>
    <w:rsid w:val="003F03F7"/>
    <w:rsid w:val="003F6DE1"/>
    <w:rsid w:val="004341B4"/>
    <w:rsid w:val="0043538E"/>
    <w:rsid w:val="00436AA8"/>
    <w:rsid w:val="0044435C"/>
    <w:rsid w:val="004617C9"/>
    <w:rsid w:val="00464AD3"/>
    <w:rsid w:val="004656BC"/>
    <w:rsid w:val="00475097"/>
    <w:rsid w:val="0048485D"/>
    <w:rsid w:val="004944CE"/>
    <w:rsid w:val="00497B05"/>
    <w:rsid w:val="004B331C"/>
    <w:rsid w:val="004B7342"/>
    <w:rsid w:val="004C17BF"/>
    <w:rsid w:val="004C335C"/>
    <w:rsid w:val="004C3DA0"/>
    <w:rsid w:val="004D1FCF"/>
    <w:rsid w:val="004D22C6"/>
    <w:rsid w:val="004D5680"/>
    <w:rsid w:val="00505FDC"/>
    <w:rsid w:val="00513081"/>
    <w:rsid w:val="00513675"/>
    <w:rsid w:val="005256FF"/>
    <w:rsid w:val="005261D5"/>
    <w:rsid w:val="005318AC"/>
    <w:rsid w:val="00550C29"/>
    <w:rsid w:val="00561C21"/>
    <w:rsid w:val="00563EB7"/>
    <w:rsid w:val="0056418C"/>
    <w:rsid w:val="00565BE3"/>
    <w:rsid w:val="00587FEE"/>
    <w:rsid w:val="005B0D8F"/>
    <w:rsid w:val="005C064D"/>
    <w:rsid w:val="005C333E"/>
    <w:rsid w:val="005C75D2"/>
    <w:rsid w:val="005D37F2"/>
    <w:rsid w:val="005F70AD"/>
    <w:rsid w:val="00601D90"/>
    <w:rsid w:val="00604B48"/>
    <w:rsid w:val="00647449"/>
    <w:rsid w:val="006617D9"/>
    <w:rsid w:val="00671A0F"/>
    <w:rsid w:val="00690688"/>
    <w:rsid w:val="00692FEE"/>
    <w:rsid w:val="006A3A2E"/>
    <w:rsid w:val="006A6FD8"/>
    <w:rsid w:val="006B1646"/>
    <w:rsid w:val="006B23D8"/>
    <w:rsid w:val="006C4B6E"/>
    <w:rsid w:val="006D39E5"/>
    <w:rsid w:val="006E3017"/>
    <w:rsid w:val="006E6F39"/>
    <w:rsid w:val="006F7365"/>
    <w:rsid w:val="0070639B"/>
    <w:rsid w:val="007155E7"/>
    <w:rsid w:val="0071753E"/>
    <w:rsid w:val="00746743"/>
    <w:rsid w:val="00751C63"/>
    <w:rsid w:val="007542ED"/>
    <w:rsid w:val="00760931"/>
    <w:rsid w:val="00771C02"/>
    <w:rsid w:val="0077248E"/>
    <w:rsid w:val="00772FEE"/>
    <w:rsid w:val="00782BA8"/>
    <w:rsid w:val="007A5576"/>
    <w:rsid w:val="007A7413"/>
    <w:rsid w:val="007C1A8C"/>
    <w:rsid w:val="007C6016"/>
    <w:rsid w:val="00804E93"/>
    <w:rsid w:val="00806862"/>
    <w:rsid w:val="00806AF4"/>
    <w:rsid w:val="00815732"/>
    <w:rsid w:val="00817F01"/>
    <w:rsid w:val="0082713B"/>
    <w:rsid w:val="00844CF7"/>
    <w:rsid w:val="0084658A"/>
    <w:rsid w:val="00861C66"/>
    <w:rsid w:val="008655C1"/>
    <w:rsid w:val="00871F29"/>
    <w:rsid w:val="0087733E"/>
    <w:rsid w:val="00882C78"/>
    <w:rsid w:val="00896D07"/>
    <w:rsid w:val="008C2EB2"/>
    <w:rsid w:val="008C7ECB"/>
    <w:rsid w:val="008D0795"/>
    <w:rsid w:val="00901100"/>
    <w:rsid w:val="009127B8"/>
    <w:rsid w:val="0092165F"/>
    <w:rsid w:val="00924082"/>
    <w:rsid w:val="00924579"/>
    <w:rsid w:val="00925117"/>
    <w:rsid w:val="00926112"/>
    <w:rsid w:val="00927DBD"/>
    <w:rsid w:val="009424B5"/>
    <w:rsid w:val="009464D6"/>
    <w:rsid w:val="0094701E"/>
    <w:rsid w:val="00954188"/>
    <w:rsid w:val="00963112"/>
    <w:rsid w:val="00964F90"/>
    <w:rsid w:val="00970AF9"/>
    <w:rsid w:val="009730DD"/>
    <w:rsid w:val="00987872"/>
    <w:rsid w:val="009B4F48"/>
    <w:rsid w:val="009B6BE8"/>
    <w:rsid w:val="009B71A6"/>
    <w:rsid w:val="009C0ED7"/>
    <w:rsid w:val="009C1ED2"/>
    <w:rsid w:val="00A13AC5"/>
    <w:rsid w:val="00A251D7"/>
    <w:rsid w:val="00A3404A"/>
    <w:rsid w:val="00A34550"/>
    <w:rsid w:val="00A3552E"/>
    <w:rsid w:val="00A615C1"/>
    <w:rsid w:val="00A70081"/>
    <w:rsid w:val="00A7572F"/>
    <w:rsid w:val="00A9055C"/>
    <w:rsid w:val="00A97C59"/>
    <w:rsid w:val="00AA61AA"/>
    <w:rsid w:val="00AA70B0"/>
    <w:rsid w:val="00AC1BD5"/>
    <w:rsid w:val="00AD41F7"/>
    <w:rsid w:val="00AD6789"/>
    <w:rsid w:val="00AF6CA0"/>
    <w:rsid w:val="00B00B85"/>
    <w:rsid w:val="00B10536"/>
    <w:rsid w:val="00B10B08"/>
    <w:rsid w:val="00B31800"/>
    <w:rsid w:val="00B51CA7"/>
    <w:rsid w:val="00B64EF2"/>
    <w:rsid w:val="00B66518"/>
    <w:rsid w:val="00BA403C"/>
    <w:rsid w:val="00BB5F98"/>
    <w:rsid w:val="00BB68D7"/>
    <w:rsid w:val="00BC20AC"/>
    <w:rsid w:val="00BD554D"/>
    <w:rsid w:val="00BE225C"/>
    <w:rsid w:val="00BE24C9"/>
    <w:rsid w:val="00C016B8"/>
    <w:rsid w:val="00C0400E"/>
    <w:rsid w:val="00C17ADA"/>
    <w:rsid w:val="00C2484E"/>
    <w:rsid w:val="00C3223F"/>
    <w:rsid w:val="00C44688"/>
    <w:rsid w:val="00C55E81"/>
    <w:rsid w:val="00C65A05"/>
    <w:rsid w:val="00C860E4"/>
    <w:rsid w:val="00C86D99"/>
    <w:rsid w:val="00C87F7E"/>
    <w:rsid w:val="00C91CC4"/>
    <w:rsid w:val="00CA2AF6"/>
    <w:rsid w:val="00CA4A39"/>
    <w:rsid w:val="00CA75FE"/>
    <w:rsid w:val="00CD28C5"/>
    <w:rsid w:val="00CD653F"/>
    <w:rsid w:val="00CD7A6B"/>
    <w:rsid w:val="00CF43B2"/>
    <w:rsid w:val="00D11D93"/>
    <w:rsid w:val="00D14F1C"/>
    <w:rsid w:val="00D45548"/>
    <w:rsid w:val="00D51169"/>
    <w:rsid w:val="00D5126D"/>
    <w:rsid w:val="00D53D5F"/>
    <w:rsid w:val="00D62381"/>
    <w:rsid w:val="00D62A6D"/>
    <w:rsid w:val="00D872B0"/>
    <w:rsid w:val="00D8739D"/>
    <w:rsid w:val="00D922D1"/>
    <w:rsid w:val="00DB27FA"/>
    <w:rsid w:val="00DB5DF1"/>
    <w:rsid w:val="00DC6B84"/>
    <w:rsid w:val="00DD4CD9"/>
    <w:rsid w:val="00DF57F6"/>
    <w:rsid w:val="00E147AF"/>
    <w:rsid w:val="00E16287"/>
    <w:rsid w:val="00E1786F"/>
    <w:rsid w:val="00E21A3C"/>
    <w:rsid w:val="00E24404"/>
    <w:rsid w:val="00E24520"/>
    <w:rsid w:val="00E37E9E"/>
    <w:rsid w:val="00E44C9E"/>
    <w:rsid w:val="00E5121F"/>
    <w:rsid w:val="00E54BFE"/>
    <w:rsid w:val="00E77C2D"/>
    <w:rsid w:val="00E91640"/>
    <w:rsid w:val="00EE71DE"/>
    <w:rsid w:val="00F203DF"/>
    <w:rsid w:val="00F2116B"/>
    <w:rsid w:val="00F27CA2"/>
    <w:rsid w:val="00F27DCD"/>
    <w:rsid w:val="00F52FBE"/>
    <w:rsid w:val="00F619A4"/>
    <w:rsid w:val="00F6524B"/>
    <w:rsid w:val="00F7305E"/>
    <w:rsid w:val="00F73D31"/>
    <w:rsid w:val="00F767FE"/>
    <w:rsid w:val="00F77919"/>
    <w:rsid w:val="00F90CAB"/>
    <w:rsid w:val="00F932CE"/>
    <w:rsid w:val="00F96154"/>
    <w:rsid w:val="00F96CD1"/>
    <w:rsid w:val="00FA5B2E"/>
    <w:rsid w:val="00FB050D"/>
    <w:rsid w:val="00FB603C"/>
    <w:rsid w:val="00FC438A"/>
    <w:rsid w:val="00FD0CD4"/>
    <w:rsid w:val="00FD11CB"/>
    <w:rsid w:val="00FD2F48"/>
    <w:rsid w:val="00FE58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BBA091"/>
  <w15:docId w15:val="{3A47E393-2D4D-47EA-9F48-C083245B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810D8"/>
    <w:pPr>
      <w:keepNext/>
      <w:keepLines/>
      <w:spacing w:before="40" w:line="259" w:lineRule="auto"/>
      <w:outlineLvl w:val="3"/>
    </w:pPr>
    <w:rPr>
      <w:rFonts w:asciiTheme="majorHAnsi" w:eastAsiaTheme="majorEastAsia" w:hAnsiTheme="majorHAnsi" w:cstheme="majorBidi"/>
      <w:i/>
      <w:iCs/>
      <w:color w:val="365F91" w:themeColor="accent1" w:themeShade="BF"/>
      <w:kern w:val="2"/>
      <w:sz w:val="22"/>
      <w:szCs w:val="22"/>
      <w:lang w:val="en-MY"/>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A4F5E"/>
    <w:pPr>
      <w:spacing w:before="100" w:beforeAutospacing="1" w:after="100" w:afterAutospacing="1"/>
    </w:pPr>
    <w:rPr>
      <w:rFonts w:ascii="Times New Roman" w:hAnsi="Times New Roman"/>
      <w:sz w:val="24"/>
      <w:szCs w:val="24"/>
      <w:lang w:val="en-MY"/>
    </w:rPr>
  </w:style>
  <w:style w:type="character" w:customStyle="1" w:styleId="Heading4Char">
    <w:name w:val="Heading 4 Char"/>
    <w:basedOn w:val="DefaultParagraphFont"/>
    <w:link w:val="Heading4"/>
    <w:uiPriority w:val="9"/>
    <w:semiHidden/>
    <w:rsid w:val="004810D8"/>
    <w:rPr>
      <w:rFonts w:asciiTheme="majorHAnsi" w:eastAsiaTheme="majorEastAsia" w:hAnsiTheme="majorHAnsi" w:cstheme="majorBidi"/>
      <w:i/>
      <w:iCs/>
      <w:color w:val="365F91" w:themeColor="accent1" w:themeShade="BF"/>
      <w:kern w:val="2"/>
      <w:sz w:val="22"/>
      <w:szCs w:val="22"/>
      <w:lang w:val="en-MY"/>
    </w:rPr>
  </w:style>
  <w:style w:type="character" w:customStyle="1" w:styleId="Heading1Char">
    <w:name w:val="Heading 1 Char"/>
    <w:basedOn w:val="DefaultParagraphFont"/>
    <w:link w:val="Heading1"/>
    <w:uiPriority w:val="9"/>
    <w:rsid w:val="004810D8"/>
    <w:rPr>
      <w:rFonts w:ascii="Arial" w:hAnsi="Arial"/>
      <w:b/>
      <w:kern w:val="28"/>
      <w:sz w:val="28"/>
    </w:rPr>
  </w:style>
  <w:style w:type="table" w:styleId="ListTable6Colorful">
    <w:name w:val="List Table 6 Colorful"/>
    <w:basedOn w:val="TableNormal"/>
    <w:uiPriority w:val="51"/>
    <w:rsid w:val="004810D8"/>
    <w:rPr>
      <w:rFonts w:asciiTheme="minorHAnsi" w:eastAsiaTheme="minorHAnsi" w:hAnsiTheme="minorHAnsi" w:cstheme="minorBidi"/>
      <w:color w:val="000000" w:themeColor="text1"/>
      <w:kern w:val="2"/>
      <w:sz w:val="22"/>
      <w:szCs w:val="22"/>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4810D8"/>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4810D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4810D8"/>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810D8"/>
    <w:pPr>
      <w:spacing w:after="100" w:line="259" w:lineRule="auto"/>
      <w:ind w:left="440"/>
    </w:pPr>
    <w:rPr>
      <w:rFonts w:asciiTheme="minorHAnsi" w:eastAsiaTheme="minorEastAsia" w:hAnsiTheme="minorHAnsi"/>
      <w:sz w:val="22"/>
      <w:szCs w:val="22"/>
    </w:rPr>
  </w:style>
  <w:style w:type="table" w:styleId="GridTable1Light">
    <w:name w:val="Grid Table 1 Light"/>
    <w:basedOn w:val="TableNormal"/>
    <w:uiPriority w:val="46"/>
    <w:rsid w:val="004810D8"/>
    <w:rPr>
      <w:rFonts w:asciiTheme="minorHAnsi" w:eastAsiaTheme="minorHAnsi" w:hAnsiTheme="minorHAnsi" w:cstheme="minorBidi"/>
      <w:kern w:val="2"/>
      <w:sz w:val="22"/>
      <w:szCs w:val="22"/>
      <w:lang w:val="en-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810D8"/>
    <w:rPr>
      <w:b/>
      <w:bCs/>
    </w:rPr>
  </w:style>
  <w:style w:type="table" w:styleId="ListTable7Colorful">
    <w:name w:val="List Table 7 Colorful"/>
    <w:basedOn w:val="TableNormal"/>
    <w:uiPriority w:val="52"/>
    <w:rsid w:val="004810D8"/>
    <w:rPr>
      <w:rFonts w:asciiTheme="minorHAnsi" w:eastAsiaTheme="minorHAnsi" w:hAnsiTheme="minorHAnsi" w:cstheme="minorBidi"/>
      <w:color w:val="000000" w:themeColor="text1"/>
      <w:kern w:val="2"/>
      <w:sz w:val="22"/>
      <w:szCs w:val="22"/>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
    <w:name w:val="Header Char"/>
    <w:basedOn w:val="DefaultParagraphFont"/>
    <w:link w:val="Header"/>
    <w:uiPriority w:val="99"/>
    <w:rsid w:val="004810D8"/>
    <w:rPr>
      <w:rFonts w:ascii="Helvetica" w:hAnsi="Helvetica"/>
    </w:rPr>
  </w:style>
  <w:style w:type="character" w:customStyle="1" w:styleId="FooterChar">
    <w:name w:val="Footer Char"/>
    <w:basedOn w:val="DefaultParagraphFont"/>
    <w:link w:val="Footer"/>
    <w:uiPriority w:val="99"/>
    <w:rsid w:val="004810D8"/>
    <w:rPr>
      <w:rFonts w:ascii="Helvetica" w:hAnsi="Helvetica"/>
    </w:rPr>
  </w:style>
  <w:style w:type="paragraph" w:styleId="Revision">
    <w:name w:val="Revision"/>
    <w:hidden/>
    <w:uiPriority w:val="99"/>
    <w:semiHidden/>
    <w:rsid w:val="004810D8"/>
    <w:rPr>
      <w:rFonts w:asciiTheme="minorHAnsi" w:eastAsiaTheme="minorHAnsi" w:hAnsiTheme="minorHAnsi" w:cstheme="minorBidi"/>
      <w:kern w:val="2"/>
      <w:sz w:val="22"/>
      <w:szCs w:val="22"/>
      <w:lang w:val="en-MY"/>
    </w:rPr>
  </w:style>
  <w:style w:type="paragraph" w:styleId="FootnoteText">
    <w:name w:val="footnote text"/>
    <w:basedOn w:val="Normal"/>
    <w:link w:val="FootnoteTextChar"/>
    <w:uiPriority w:val="99"/>
    <w:semiHidden/>
    <w:unhideWhenUsed/>
    <w:rsid w:val="004810D8"/>
    <w:rPr>
      <w:rFonts w:asciiTheme="minorHAnsi" w:eastAsiaTheme="minorHAnsi" w:hAnsiTheme="minorHAnsi" w:cstheme="minorBidi"/>
      <w:kern w:val="2"/>
      <w:lang w:val="en-MY"/>
    </w:rPr>
  </w:style>
  <w:style w:type="character" w:customStyle="1" w:styleId="FootnoteTextChar">
    <w:name w:val="Footnote Text Char"/>
    <w:basedOn w:val="DefaultParagraphFont"/>
    <w:link w:val="FootnoteText"/>
    <w:uiPriority w:val="99"/>
    <w:semiHidden/>
    <w:rsid w:val="004810D8"/>
    <w:rPr>
      <w:rFonts w:asciiTheme="minorHAnsi" w:eastAsiaTheme="minorHAnsi" w:hAnsiTheme="minorHAnsi" w:cstheme="minorBidi"/>
      <w:kern w:val="2"/>
      <w:lang w:val="en-MY"/>
    </w:rPr>
  </w:style>
  <w:style w:type="character" w:styleId="FootnoteReference">
    <w:name w:val="footnote reference"/>
    <w:basedOn w:val="DefaultParagraphFont"/>
    <w:uiPriority w:val="99"/>
    <w:semiHidden/>
    <w:unhideWhenUsed/>
    <w:rsid w:val="004810D8"/>
    <w:rPr>
      <w:vertAlign w:val="superscript"/>
    </w:rPr>
  </w:style>
  <w:style w:type="character" w:customStyle="1" w:styleId="anchor-text">
    <w:name w:val="anchor-text"/>
    <w:basedOn w:val="DefaultParagraphFont"/>
    <w:rsid w:val="004810D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rPr>
      <w:rFonts w:ascii="Calibri" w:eastAsia="Calibri" w:hAnsi="Calibri" w:cs="Calibri"/>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426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95FB3B-9312-4712-A7BC-3CFDC18BA38E}">
  <we:reference id="wa200001361" version="2.129.3.0" store="en-MY" storeType="OMEX"/>
  <we:alternateReferences>
    <we:reference id="wa200001361" version="2.129.3.0" store="WA200001361" storeType="OMEX"/>
  </we:alternateReferences>
  <we:properties>
    <we:property name="paperpal-document-id" value="&quot;ad326081-ec69-45af-a8ec-8ca9b1a41f6b&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E113C233-E20C-4CA6-89BA-460C426675E8}">
  <we:reference id="wa200000368" version="1.0.0.0" store="en-MY"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TDIFPhE+p9mk3wnNwLxGCUk6Q==">CgMxLjAaJAoBMBIfCh0IB0IZCgVBcmlhbBIQQXJpYWwgVW5pY29kZSBNUxokCgExEh8KHQgHQhkKBUFyaWFsEhBBcmlhbCBVbmljb2RlIE1TMghoLmdqZGd4czIJaC4zMGowemxsMgloLjFmb2I5dGUyCWguM3pueXNoNzIJaC4yZXQ5MnAwMghoLnR5amN3dDgAciExZVg3SU52X1BLUVl2Nk5OZVpiT3lTbHRIb0lXLXpDdzU=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020249-E156-4C27-81FF-6BE20C69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28467</Words>
  <Characters>162263</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dc:creator>
  <cp:keywords/>
  <dc:description/>
  <cp:lastModifiedBy>SDI 1183</cp:lastModifiedBy>
  <cp:revision>8</cp:revision>
  <dcterms:created xsi:type="dcterms:W3CDTF">2025-09-06T19:33:00Z</dcterms:created>
  <dcterms:modified xsi:type="dcterms:W3CDTF">2025-09-08T12:46:00Z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5a4ec725-a660-3554-82ea-ace865c4cb7f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