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771D" w14:textId="1A3FA7E9" w:rsidR="00364786" w:rsidRDefault="00364786" w:rsidP="00364786">
      <w:pPr>
        <w:spacing w:after="0" w:line="240" w:lineRule="auto"/>
        <w:jc w:val="center"/>
        <w:rPr>
          <w:rFonts w:ascii="Times New Roman" w:eastAsia="Times New Roman" w:hAnsi="Times New Roman" w:cs="Times New Roman"/>
          <w:b/>
          <w:bCs/>
          <w:sz w:val="32"/>
          <w:szCs w:val="32"/>
          <w:lang w:eastAsia="en-IN" w:bidi="ml-IN"/>
        </w:rPr>
      </w:pPr>
      <w:r w:rsidRPr="00E32939">
        <w:rPr>
          <w:rFonts w:ascii="Times New Roman" w:eastAsia="Times New Roman" w:hAnsi="Times New Roman" w:cs="Times New Roman"/>
          <w:b/>
          <w:bCs/>
          <w:sz w:val="32"/>
          <w:szCs w:val="32"/>
          <w:lang w:eastAsia="en-IN" w:bidi="ml-IN"/>
        </w:rPr>
        <w:t xml:space="preserve">Judging </w:t>
      </w:r>
      <w:r w:rsidR="00D028D6">
        <w:rPr>
          <w:rFonts w:ascii="Times New Roman" w:eastAsia="Times New Roman" w:hAnsi="Times New Roman" w:cs="Times New Roman"/>
          <w:b/>
          <w:bCs/>
          <w:sz w:val="32"/>
          <w:szCs w:val="32"/>
          <w:lang w:eastAsia="en-IN" w:bidi="ml-IN"/>
        </w:rPr>
        <w:t>t</w:t>
      </w:r>
      <w:r w:rsidRPr="00E32939">
        <w:rPr>
          <w:rFonts w:ascii="Times New Roman" w:eastAsia="Times New Roman" w:hAnsi="Times New Roman" w:cs="Times New Roman"/>
          <w:b/>
          <w:bCs/>
          <w:sz w:val="32"/>
          <w:szCs w:val="32"/>
          <w:lang w:eastAsia="en-IN" w:bidi="ml-IN"/>
        </w:rPr>
        <w:t xml:space="preserve">he Blazes </w:t>
      </w:r>
      <w:r w:rsidR="00D028D6">
        <w:rPr>
          <w:rFonts w:ascii="Times New Roman" w:eastAsia="Times New Roman" w:hAnsi="Times New Roman" w:cs="Times New Roman"/>
          <w:b/>
          <w:bCs/>
          <w:sz w:val="32"/>
          <w:szCs w:val="32"/>
          <w:lang w:eastAsia="en-IN" w:bidi="ml-IN"/>
        </w:rPr>
        <w:t>o</w:t>
      </w:r>
      <w:r w:rsidRPr="00E32939">
        <w:rPr>
          <w:rFonts w:ascii="Times New Roman" w:eastAsia="Times New Roman" w:hAnsi="Times New Roman" w:cs="Times New Roman"/>
          <w:b/>
          <w:bCs/>
          <w:sz w:val="32"/>
          <w:szCs w:val="32"/>
          <w:lang w:eastAsia="en-IN" w:bidi="ml-IN"/>
        </w:rPr>
        <w:t xml:space="preserve">f Satisfaction: An Analytical Study </w:t>
      </w:r>
      <w:r w:rsidR="00D028D6">
        <w:rPr>
          <w:rFonts w:ascii="Times New Roman" w:eastAsia="Times New Roman" w:hAnsi="Times New Roman" w:cs="Times New Roman"/>
          <w:b/>
          <w:bCs/>
          <w:sz w:val="32"/>
          <w:szCs w:val="32"/>
          <w:lang w:eastAsia="en-IN" w:bidi="ml-IN"/>
        </w:rPr>
        <w:t>a</w:t>
      </w:r>
      <w:r w:rsidR="00140A5B">
        <w:rPr>
          <w:rFonts w:ascii="Times New Roman" w:eastAsia="Times New Roman" w:hAnsi="Times New Roman" w:cs="Times New Roman"/>
          <w:b/>
          <w:bCs/>
          <w:sz w:val="32"/>
          <w:szCs w:val="32"/>
          <w:lang w:eastAsia="en-IN" w:bidi="ml-IN"/>
        </w:rPr>
        <w:t>bout</w:t>
      </w:r>
      <w:r w:rsidRPr="00E32939">
        <w:rPr>
          <w:rFonts w:ascii="Times New Roman" w:eastAsia="Times New Roman" w:hAnsi="Times New Roman" w:cs="Times New Roman"/>
          <w:b/>
          <w:bCs/>
          <w:sz w:val="32"/>
          <w:szCs w:val="32"/>
          <w:lang w:eastAsia="en-IN" w:bidi="ml-IN"/>
        </w:rPr>
        <w:t xml:space="preserve"> </w:t>
      </w:r>
      <w:r w:rsidR="001F4DAE">
        <w:rPr>
          <w:rFonts w:ascii="Times New Roman" w:eastAsia="Times New Roman" w:hAnsi="Times New Roman" w:cs="Times New Roman"/>
          <w:b/>
          <w:bCs/>
          <w:sz w:val="32"/>
          <w:szCs w:val="32"/>
          <w:lang w:eastAsia="en-IN" w:bidi="ml-IN"/>
        </w:rPr>
        <w:t xml:space="preserve">Domestic </w:t>
      </w:r>
      <w:r w:rsidRPr="00E32939">
        <w:rPr>
          <w:rFonts w:ascii="Times New Roman" w:eastAsia="Times New Roman" w:hAnsi="Times New Roman" w:cs="Times New Roman"/>
          <w:b/>
          <w:bCs/>
          <w:sz w:val="32"/>
          <w:szCs w:val="32"/>
          <w:lang w:eastAsia="en-IN" w:bidi="ml-IN"/>
        </w:rPr>
        <w:t xml:space="preserve">LPG Consumers </w:t>
      </w:r>
      <w:r w:rsidR="00D028D6">
        <w:rPr>
          <w:rFonts w:ascii="Times New Roman" w:eastAsia="Times New Roman" w:hAnsi="Times New Roman" w:cs="Times New Roman"/>
          <w:b/>
          <w:bCs/>
          <w:sz w:val="32"/>
          <w:szCs w:val="32"/>
          <w:lang w:eastAsia="en-IN" w:bidi="ml-IN"/>
        </w:rPr>
        <w:t>i</w:t>
      </w:r>
      <w:r w:rsidRPr="00E32939">
        <w:rPr>
          <w:rFonts w:ascii="Times New Roman" w:eastAsia="Times New Roman" w:hAnsi="Times New Roman" w:cs="Times New Roman"/>
          <w:b/>
          <w:bCs/>
          <w:sz w:val="32"/>
          <w:szCs w:val="32"/>
          <w:lang w:eastAsia="en-IN" w:bidi="ml-IN"/>
        </w:rPr>
        <w:t>n Kerala</w:t>
      </w:r>
      <w:r w:rsidR="00C471E7">
        <w:rPr>
          <w:rFonts w:ascii="Times New Roman" w:eastAsia="Times New Roman" w:hAnsi="Times New Roman" w:cs="Times New Roman"/>
          <w:b/>
          <w:bCs/>
          <w:sz w:val="32"/>
          <w:szCs w:val="32"/>
          <w:lang w:eastAsia="en-IN" w:bidi="ml-IN"/>
        </w:rPr>
        <w:t>, India</w:t>
      </w:r>
    </w:p>
    <w:p w14:paraId="56CFF1E9" w14:textId="77777777" w:rsidR="00AB582A" w:rsidRDefault="00AB582A" w:rsidP="00AB582A">
      <w:pPr>
        <w:spacing w:after="0" w:line="240" w:lineRule="auto"/>
        <w:jc w:val="both"/>
        <w:rPr>
          <w:rFonts w:ascii="Times New Roman" w:hAnsi="Times New Roman" w:cs="Times New Roman"/>
        </w:rPr>
      </w:pPr>
    </w:p>
    <w:p w14:paraId="018C419A" w14:textId="7CBD5283" w:rsidR="00FD2D8E" w:rsidRDefault="00E63F05" w:rsidP="00FD2D8E">
      <w:pPr>
        <w:spacing w:before="240" w:line="240" w:lineRule="auto"/>
        <w:jc w:val="center"/>
        <w:rPr>
          <w:rFonts w:ascii="Times New Roman" w:eastAsia="Times New Roman" w:hAnsi="Times New Roman" w:cs="Times New Roman"/>
          <w:b/>
          <w:bCs/>
          <w:sz w:val="24"/>
          <w:szCs w:val="24"/>
          <w:lang w:eastAsia="en-IN" w:bidi="ml-IN"/>
        </w:rPr>
      </w:pPr>
      <w:r w:rsidRPr="00E63F05">
        <w:rPr>
          <w:rFonts w:ascii="Times New Roman" w:eastAsia="Times New Roman" w:hAnsi="Times New Roman" w:cs="Times New Roman"/>
          <w:b/>
          <w:bCs/>
          <w:sz w:val="24"/>
          <w:szCs w:val="24"/>
          <w:lang w:eastAsia="en-IN" w:bidi="ml-IN"/>
        </w:rPr>
        <w:t>ABSTRACT</w:t>
      </w:r>
    </w:p>
    <w:p w14:paraId="07E7B355" w14:textId="77777777" w:rsidR="00210195" w:rsidRPr="002E4EEB" w:rsidRDefault="00F66DD5" w:rsidP="006525C7">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w:t>
      </w:r>
      <w:r w:rsidRPr="007952C4">
        <w:rPr>
          <w:rFonts w:ascii="Times New Roman" w:eastAsia="Times New Roman" w:hAnsi="Times New Roman" w:cs="Times New Roman"/>
          <w:sz w:val="24"/>
          <w:szCs w:val="24"/>
          <w:lang w:eastAsia="en-IN" w:bidi="ml-IN"/>
        </w:rPr>
        <w:t xml:space="preserve">he </w:t>
      </w:r>
      <w:r>
        <w:rPr>
          <w:rFonts w:ascii="Times New Roman" w:eastAsia="Times New Roman" w:hAnsi="Times New Roman" w:cs="Times New Roman"/>
          <w:sz w:val="24"/>
          <w:szCs w:val="24"/>
          <w:lang w:eastAsia="en-IN" w:bidi="ml-IN"/>
        </w:rPr>
        <w:t>present</w:t>
      </w:r>
      <w:r w:rsidRPr="007952C4">
        <w:rPr>
          <w:rFonts w:ascii="Times New Roman" w:eastAsia="Times New Roman" w:hAnsi="Times New Roman" w:cs="Times New Roman"/>
          <w:sz w:val="24"/>
          <w:szCs w:val="24"/>
          <w:lang w:eastAsia="en-IN" w:bidi="ml-IN"/>
        </w:rPr>
        <w:t xml:space="preserve"> study evaluates the degree of satisfaction of </w:t>
      </w:r>
      <w:r>
        <w:rPr>
          <w:rFonts w:ascii="Times New Roman" w:eastAsia="Times New Roman" w:hAnsi="Times New Roman" w:cs="Times New Roman"/>
          <w:sz w:val="24"/>
          <w:szCs w:val="24"/>
          <w:lang w:eastAsia="en-IN" w:bidi="ml-IN"/>
        </w:rPr>
        <w:t xml:space="preserve">consumers of </w:t>
      </w:r>
      <w:r w:rsidRPr="007952C4">
        <w:rPr>
          <w:rFonts w:ascii="Times New Roman" w:eastAsia="Times New Roman" w:hAnsi="Times New Roman" w:cs="Times New Roman"/>
          <w:sz w:val="24"/>
          <w:szCs w:val="24"/>
          <w:lang w:eastAsia="en-IN" w:bidi="ml-IN"/>
        </w:rPr>
        <w:t>Liqu</w:t>
      </w:r>
      <w:r w:rsidR="00DC47F1">
        <w:rPr>
          <w:rFonts w:ascii="Times New Roman" w:eastAsia="Times New Roman" w:hAnsi="Times New Roman" w:cs="Times New Roman"/>
          <w:sz w:val="24"/>
          <w:szCs w:val="24"/>
          <w:lang w:eastAsia="en-IN" w:bidi="ml-IN"/>
        </w:rPr>
        <w:t>e</w:t>
      </w:r>
      <w:r w:rsidRPr="007952C4">
        <w:rPr>
          <w:rFonts w:ascii="Times New Roman" w:eastAsia="Times New Roman" w:hAnsi="Times New Roman" w:cs="Times New Roman"/>
          <w:sz w:val="24"/>
          <w:szCs w:val="24"/>
          <w:lang w:eastAsia="en-IN" w:bidi="ml-IN"/>
        </w:rPr>
        <w:t xml:space="preserve">fied Petroleum Gas (LPG) </w:t>
      </w:r>
      <w:r>
        <w:rPr>
          <w:rFonts w:ascii="Times New Roman" w:eastAsia="Times New Roman" w:hAnsi="Times New Roman" w:cs="Times New Roman"/>
          <w:sz w:val="24"/>
          <w:szCs w:val="24"/>
          <w:lang w:eastAsia="en-IN" w:bidi="ml-IN"/>
        </w:rPr>
        <w:t>b</w:t>
      </w:r>
      <w:r w:rsidRPr="007952C4">
        <w:rPr>
          <w:rFonts w:ascii="Times New Roman" w:eastAsia="Times New Roman" w:hAnsi="Times New Roman" w:cs="Times New Roman"/>
          <w:sz w:val="24"/>
          <w:szCs w:val="24"/>
          <w:lang w:eastAsia="en-IN" w:bidi="ml-IN"/>
        </w:rPr>
        <w:t>y focusing on service-related factors like eas</w:t>
      </w:r>
      <w:r>
        <w:rPr>
          <w:rFonts w:ascii="Times New Roman" w:eastAsia="Times New Roman" w:hAnsi="Times New Roman" w:cs="Times New Roman"/>
          <w:sz w:val="24"/>
          <w:szCs w:val="24"/>
          <w:lang w:eastAsia="en-IN" w:bidi="ml-IN"/>
        </w:rPr>
        <w:t>iness</w:t>
      </w:r>
      <w:r w:rsidRPr="007952C4">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in </w:t>
      </w:r>
      <w:r w:rsidRPr="007952C4">
        <w:rPr>
          <w:rFonts w:ascii="Times New Roman" w:eastAsia="Times New Roman" w:hAnsi="Times New Roman" w:cs="Times New Roman"/>
          <w:sz w:val="24"/>
          <w:szCs w:val="24"/>
          <w:lang w:eastAsia="en-IN" w:bidi="ml-IN"/>
        </w:rPr>
        <w:t>booking, prompt</w:t>
      </w:r>
      <w:r>
        <w:rPr>
          <w:rFonts w:ascii="Times New Roman" w:eastAsia="Times New Roman" w:hAnsi="Times New Roman" w:cs="Times New Roman"/>
          <w:sz w:val="24"/>
          <w:szCs w:val="24"/>
          <w:lang w:eastAsia="en-IN" w:bidi="ml-IN"/>
        </w:rPr>
        <w:t>ness in</w:t>
      </w:r>
      <w:r w:rsidRPr="007952C4">
        <w:rPr>
          <w:rFonts w:ascii="Times New Roman" w:eastAsia="Times New Roman" w:hAnsi="Times New Roman" w:cs="Times New Roman"/>
          <w:sz w:val="24"/>
          <w:szCs w:val="24"/>
          <w:lang w:eastAsia="en-IN" w:bidi="ml-IN"/>
        </w:rPr>
        <w:t xml:space="preserve"> delivery, safety precautions, customer care services, and overall satisfaction, as well as demographic factors like gender, age, educational attainment, and monthly income</w:t>
      </w:r>
      <w:r>
        <w:rPr>
          <w:rFonts w:ascii="Times New Roman" w:eastAsia="Times New Roman" w:hAnsi="Times New Roman" w:cs="Times New Roman"/>
          <w:sz w:val="24"/>
          <w:szCs w:val="24"/>
          <w:lang w:eastAsia="en-IN" w:bidi="ml-IN"/>
        </w:rPr>
        <w:t xml:space="preserve">. </w:t>
      </w:r>
      <w:r w:rsidRPr="007952C4">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n</w:t>
      </w:r>
      <w:r w:rsidRPr="007952C4">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organised</w:t>
      </w:r>
      <w:r w:rsidRPr="007952C4">
        <w:rPr>
          <w:rFonts w:ascii="Times New Roman" w:eastAsia="Times New Roman" w:hAnsi="Times New Roman" w:cs="Times New Roman"/>
          <w:sz w:val="24"/>
          <w:szCs w:val="24"/>
          <w:lang w:eastAsia="en-IN" w:bidi="ml-IN"/>
        </w:rPr>
        <w:t xml:space="preserve"> questionnaire was </w:t>
      </w:r>
      <w:r>
        <w:rPr>
          <w:rFonts w:ascii="Times New Roman" w:eastAsia="Times New Roman" w:hAnsi="Times New Roman" w:cs="Times New Roman"/>
          <w:sz w:val="24"/>
          <w:szCs w:val="24"/>
          <w:lang w:eastAsia="en-IN" w:bidi="ml-IN"/>
        </w:rPr>
        <w:t>applied</w:t>
      </w:r>
      <w:r w:rsidRPr="007952C4">
        <w:rPr>
          <w:rFonts w:ascii="Times New Roman" w:eastAsia="Times New Roman" w:hAnsi="Times New Roman" w:cs="Times New Roman"/>
          <w:sz w:val="24"/>
          <w:szCs w:val="24"/>
          <w:lang w:eastAsia="en-IN" w:bidi="ml-IN"/>
        </w:rPr>
        <w:t xml:space="preserve"> to gather </w:t>
      </w:r>
      <w:r>
        <w:rPr>
          <w:rFonts w:ascii="Times New Roman" w:eastAsia="Times New Roman" w:hAnsi="Times New Roman" w:cs="Times New Roman"/>
          <w:sz w:val="24"/>
          <w:szCs w:val="24"/>
          <w:lang w:eastAsia="en-IN" w:bidi="ml-IN"/>
        </w:rPr>
        <w:t>first-hand</w:t>
      </w:r>
      <w:r w:rsidRPr="007952C4">
        <w:rPr>
          <w:rFonts w:ascii="Times New Roman" w:eastAsia="Times New Roman" w:hAnsi="Times New Roman" w:cs="Times New Roman"/>
          <w:sz w:val="24"/>
          <w:szCs w:val="24"/>
          <w:lang w:eastAsia="en-IN" w:bidi="ml-IN"/>
        </w:rPr>
        <w:t xml:space="preserve"> data from </w:t>
      </w:r>
      <w:r>
        <w:rPr>
          <w:rFonts w:ascii="Times New Roman" w:eastAsia="Times New Roman" w:hAnsi="Times New Roman" w:cs="Times New Roman"/>
          <w:sz w:val="24"/>
          <w:szCs w:val="24"/>
          <w:lang w:eastAsia="en-IN" w:bidi="ml-IN"/>
        </w:rPr>
        <w:t>210</w:t>
      </w:r>
      <w:r w:rsidRPr="007952C4">
        <w:rPr>
          <w:rFonts w:ascii="Times New Roman" w:eastAsia="Times New Roman" w:hAnsi="Times New Roman" w:cs="Times New Roman"/>
          <w:sz w:val="24"/>
          <w:szCs w:val="24"/>
          <w:lang w:eastAsia="en-IN" w:bidi="ml-IN"/>
        </w:rPr>
        <w:t xml:space="preserve"> home LPG customers, and chi-square tests, cross-tabulation, and descriptive statistics were used to evaluate the re</w:t>
      </w:r>
      <w:r>
        <w:rPr>
          <w:rFonts w:ascii="Times New Roman" w:eastAsia="Times New Roman" w:hAnsi="Times New Roman" w:cs="Times New Roman"/>
          <w:sz w:val="24"/>
          <w:szCs w:val="24"/>
          <w:lang w:eastAsia="en-IN" w:bidi="ml-IN"/>
        </w:rPr>
        <w:t xml:space="preserve">sponses. </w:t>
      </w:r>
      <w:r w:rsidRPr="007952C4">
        <w:rPr>
          <w:rFonts w:ascii="Times New Roman" w:eastAsia="Times New Roman" w:hAnsi="Times New Roman" w:cs="Times New Roman"/>
          <w:sz w:val="24"/>
          <w:szCs w:val="24"/>
          <w:lang w:eastAsia="en-IN" w:bidi="ml-IN"/>
        </w:rPr>
        <w:t>The findings show that while customer care service w</w:t>
      </w:r>
      <w:r>
        <w:rPr>
          <w:rFonts w:ascii="Times New Roman" w:eastAsia="Times New Roman" w:hAnsi="Times New Roman" w:cs="Times New Roman"/>
          <w:sz w:val="24"/>
          <w:szCs w:val="24"/>
          <w:lang w:eastAsia="en-IN" w:bidi="ml-IN"/>
        </w:rPr>
        <w:t>as</w:t>
      </w:r>
      <w:r w:rsidRPr="007952C4">
        <w:rPr>
          <w:rFonts w:ascii="Times New Roman" w:eastAsia="Times New Roman" w:hAnsi="Times New Roman" w:cs="Times New Roman"/>
          <w:sz w:val="24"/>
          <w:szCs w:val="24"/>
          <w:lang w:eastAsia="en-IN" w:bidi="ml-IN"/>
        </w:rPr>
        <w:t xml:space="preserve"> the least satisfactory aspect, </w:t>
      </w:r>
      <w:r>
        <w:rPr>
          <w:rFonts w:ascii="Times New Roman" w:eastAsia="Times New Roman" w:hAnsi="Times New Roman" w:cs="Times New Roman"/>
          <w:sz w:val="24"/>
          <w:szCs w:val="24"/>
          <w:lang w:eastAsia="en-IN" w:bidi="ml-IN"/>
        </w:rPr>
        <w:t>consumers</w:t>
      </w:r>
      <w:r w:rsidRPr="007952C4">
        <w:rPr>
          <w:rFonts w:ascii="Times New Roman" w:eastAsia="Times New Roman" w:hAnsi="Times New Roman" w:cs="Times New Roman"/>
          <w:sz w:val="24"/>
          <w:szCs w:val="24"/>
          <w:lang w:eastAsia="en-IN" w:bidi="ml-IN"/>
        </w:rPr>
        <w:t xml:space="preserve"> were very satisfied with the </w:t>
      </w:r>
      <w:r>
        <w:rPr>
          <w:rFonts w:ascii="Times New Roman" w:eastAsia="Times New Roman" w:hAnsi="Times New Roman" w:cs="Times New Roman"/>
          <w:sz w:val="24"/>
          <w:szCs w:val="24"/>
          <w:lang w:eastAsia="en-IN" w:bidi="ml-IN"/>
        </w:rPr>
        <w:t>easiness</w:t>
      </w:r>
      <w:r w:rsidRPr="007952C4">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in</w:t>
      </w:r>
      <w:r w:rsidRPr="007952C4">
        <w:rPr>
          <w:rFonts w:ascii="Times New Roman" w:eastAsia="Times New Roman" w:hAnsi="Times New Roman" w:cs="Times New Roman"/>
          <w:sz w:val="24"/>
          <w:szCs w:val="24"/>
          <w:lang w:eastAsia="en-IN" w:bidi="ml-IN"/>
        </w:rPr>
        <w:t xml:space="preserve"> booking and safety precautions, and </w:t>
      </w:r>
      <w:r>
        <w:rPr>
          <w:rFonts w:ascii="Times New Roman" w:eastAsia="Times New Roman" w:hAnsi="Times New Roman" w:cs="Times New Roman"/>
          <w:sz w:val="24"/>
          <w:szCs w:val="24"/>
          <w:lang w:eastAsia="en-IN" w:bidi="ml-IN"/>
        </w:rPr>
        <w:t>moderately</w:t>
      </w:r>
      <w:r w:rsidRPr="007952C4">
        <w:rPr>
          <w:rFonts w:ascii="Times New Roman" w:eastAsia="Times New Roman" w:hAnsi="Times New Roman" w:cs="Times New Roman"/>
          <w:sz w:val="24"/>
          <w:szCs w:val="24"/>
          <w:lang w:eastAsia="en-IN" w:bidi="ml-IN"/>
        </w:rPr>
        <w:t xml:space="preserve"> satisfied with the </w:t>
      </w:r>
      <w:r>
        <w:rPr>
          <w:rFonts w:ascii="Times New Roman" w:eastAsia="Times New Roman" w:hAnsi="Times New Roman" w:cs="Times New Roman"/>
          <w:sz w:val="24"/>
          <w:szCs w:val="24"/>
          <w:lang w:eastAsia="en-IN" w:bidi="ml-IN"/>
        </w:rPr>
        <w:t>promptness in</w:t>
      </w:r>
      <w:r w:rsidRPr="007952C4">
        <w:rPr>
          <w:rFonts w:ascii="Times New Roman" w:eastAsia="Times New Roman" w:hAnsi="Times New Roman" w:cs="Times New Roman"/>
          <w:sz w:val="24"/>
          <w:szCs w:val="24"/>
          <w:lang w:eastAsia="en-IN" w:bidi="ml-IN"/>
        </w:rPr>
        <w:t xml:space="preserve"> deliver</w:t>
      </w:r>
      <w:r>
        <w:rPr>
          <w:rFonts w:ascii="Times New Roman" w:eastAsia="Times New Roman" w:hAnsi="Times New Roman" w:cs="Times New Roman"/>
          <w:sz w:val="24"/>
          <w:szCs w:val="24"/>
          <w:lang w:eastAsia="en-IN" w:bidi="ml-IN"/>
        </w:rPr>
        <w:t>y</w:t>
      </w:r>
      <w:r w:rsidRPr="007952C4">
        <w:rPr>
          <w:rFonts w:ascii="Times New Roman" w:eastAsia="Times New Roman" w:hAnsi="Times New Roman" w:cs="Times New Roman"/>
          <w:sz w:val="24"/>
          <w:szCs w:val="24"/>
          <w:lang w:eastAsia="en-IN" w:bidi="ml-IN"/>
        </w:rPr>
        <w:t xml:space="preserve"> and overall services. Education and </w:t>
      </w:r>
      <w:r>
        <w:rPr>
          <w:rFonts w:ascii="Times New Roman" w:eastAsia="Times New Roman" w:hAnsi="Times New Roman" w:cs="Times New Roman"/>
          <w:sz w:val="24"/>
          <w:szCs w:val="24"/>
          <w:lang w:eastAsia="en-IN" w:bidi="ml-IN"/>
        </w:rPr>
        <w:t>monthly income</w:t>
      </w:r>
      <w:r w:rsidRPr="007952C4">
        <w:rPr>
          <w:rFonts w:ascii="Times New Roman" w:eastAsia="Times New Roman" w:hAnsi="Times New Roman" w:cs="Times New Roman"/>
          <w:sz w:val="24"/>
          <w:szCs w:val="24"/>
          <w:lang w:eastAsia="en-IN" w:bidi="ml-IN"/>
        </w:rPr>
        <w:t xml:space="preserve"> have a considerable impact on satisfaction levels, but gender and age</w:t>
      </w:r>
      <w:r>
        <w:rPr>
          <w:rFonts w:ascii="Times New Roman" w:eastAsia="Times New Roman" w:hAnsi="Times New Roman" w:cs="Times New Roman"/>
          <w:sz w:val="24"/>
          <w:szCs w:val="24"/>
          <w:lang w:eastAsia="en-IN" w:bidi="ml-IN"/>
        </w:rPr>
        <w:t xml:space="preserve"> group</w:t>
      </w:r>
      <w:r w:rsidRPr="007952C4">
        <w:rPr>
          <w:rFonts w:ascii="Times New Roman" w:eastAsia="Times New Roman" w:hAnsi="Times New Roman" w:cs="Times New Roman"/>
          <w:sz w:val="24"/>
          <w:szCs w:val="24"/>
          <w:lang w:eastAsia="en-IN" w:bidi="ml-IN"/>
        </w:rPr>
        <w:t xml:space="preserve"> have lower relationships, according to cross-tabulation and chi-square analysis.</w:t>
      </w:r>
      <w:r>
        <w:rPr>
          <w:rFonts w:ascii="Times New Roman" w:eastAsia="Times New Roman" w:hAnsi="Times New Roman" w:cs="Times New Roman"/>
          <w:sz w:val="24"/>
          <w:szCs w:val="24"/>
          <w:lang w:eastAsia="en-IN" w:bidi="ml-IN"/>
        </w:rPr>
        <w:t xml:space="preserve"> </w:t>
      </w:r>
      <w:r>
        <w:rPr>
          <w:rFonts w:ascii="Times New Roman" w:hAnsi="Times New Roman" w:cs="Times New Roman"/>
          <w:sz w:val="24"/>
          <w:szCs w:val="24"/>
        </w:rPr>
        <w:t xml:space="preserve">The study also found that the overall satisfaction level is comparatively higher among consumers with higher education status than that of lower education status. The study also observed that the consumers with low monthly income are comparatively highly satisfied than those with higher monthly income. </w:t>
      </w:r>
      <w:r>
        <w:rPr>
          <w:rFonts w:ascii="Times New Roman" w:eastAsia="Times New Roman" w:hAnsi="Times New Roman" w:cs="Times New Roman"/>
          <w:sz w:val="24"/>
          <w:szCs w:val="24"/>
          <w:lang w:eastAsia="en-IN" w:bidi="ml-IN"/>
        </w:rPr>
        <w:t xml:space="preserve">Moreover, the study concluded that the overall satisfaction level of consumers of Indane gas distributor is comparatively higher than that of Bharath gas and HP gas distributors. </w:t>
      </w:r>
      <w:r w:rsidR="00210195">
        <w:rPr>
          <w:rFonts w:ascii="Times New Roman" w:eastAsia="Times New Roman" w:hAnsi="Times New Roman" w:cs="Times New Roman"/>
          <w:sz w:val="24"/>
          <w:szCs w:val="24"/>
          <w:lang w:eastAsia="en-IN" w:bidi="ml-IN"/>
        </w:rPr>
        <w:t>A</w:t>
      </w:r>
      <w:r w:rsidR="00210195" w:rsidRPr="002E4EEB">
        <w:rPr>
          <w:rFonts w:ascii="Times New Roman" w:eastAsia="Times New Roman" w:hAnsi="Times New Roman" w:cs="Times New Roman"/>
          <w:sz w:val="24"/>
          <w:szCs w:val="24"/>
          <w:lang w:eastAsia="en-IN" w:bidi="ml-IN"/>
        </w:rPr>
        <w:t xml:space="preserve"> consumer satisfaction survey serves as a diagnostic tool</w:t>
      </w:r>
      <w:r w:rsidR="00210195">
        <w:rPr>
          <w:rFonts w:ascii="Times New Roman" w:eastAsia="Times New Roman" w:hAnsi="Times New Roman" w:cs="Times New Roman"/>
          <w:sz w:val="24"/>
          <w:szCs w:val="24"/>
          <w:lang w:eastAsia="en-IN" w:bidi="ml-IN"/>
        </w:rPr>
        <w:t xml:space="preserve"> for supply chain of LPG</w:t>
      </w:r>
      <w:r w:rsidR="00210195" w:rsidRPr="002E4EEB">
        <w:rPr>
          <w:rFonts w:ascii="Times New Roman" w:eastAsia="Times New Roman" w:hAnsi="Times New Roman" w:cs="Times New Roman"/>
          <w:sz w:val="24"/>
          <w:szCs w:val="24"/>
          <w:lang w:eastAsia="en-IN" w:bidi="ml-IN"/>
        </w:rPr>
        <w:t>. By identifying inefficiencies in booking, delivery, safety, and service, it assists distributors and O</w:t>
      </w:r>
      <w:r w:rsidR="00210195">
        <w:rPr>
          <w:rFonts w:ascii="Times New Roman" w:eastAsia="Times New Roman" w:hAnsi="Times New Roman" w:cs="Times New Roman"/>
          <w:sz w:val="24"/>
          <w:szCs w:val="24"/>
          <w:lang w:eastAsia="en-IN" w:bidi="ml-IN"/>
        </w:rPr>
        <w:t xml:space="preserve">il </w:t>
      </w:r>
      <w:r w:rsidR="00210195" w:rsidRPr="002E4EEB">
        <w:rPr>
          <w:rFonts w:ascii="Times New Roman" w:eastAsia="Times New Roman" w:hAnsi="Times New Roman" w:cs="Times New Roman"/>
          <w:sz w:val="24"/>
          <w:szCs w:val="24"/>
          <w:lang w:eastAsia="en-IN" w:bidi="ml-IN"/>
        </w:rPr>
        <w:t>M</w:t>
      </w:r>
      <w:r w:rsidR="00210195">
        <w:rPr>
          <w:rFonts w:ascii="Times New Roman" w:eastAsia="Times New Roman" w:hAnsi="Times New Roman" w:cs="Times New Roman"/>
          <w:sz w:val="24"/>
          <w:szCs w:val="24"/>
          <w:lang w:eastAsia="en-IN" w:bidi="ml-IN"/>
        </w:rPr>
        <w:t xml:space="preserve">arketing </w:t>
      </w:r>
      <w:r w:rsidR="00210195" w:rsidRPr="002E4EEB">
        <w:rPr>
          <w:rFonts w:ascii="Times New Roman" w:eastAsia="Times New Roman" w:hAnsi="Times New Roman" w:cs="Times New Roman"/>
          <w:sz w:val="24"/>
          <w:szCs w:val="24"/>
          <w:lang w:eastAsia="en-IN" w:bidi="ml-IN"/>
        </w:rPr>
        <w:t>C</w:t>
      </w:r>
      <w:r w:rsidR="00210195">
        <w:rPr>
          <w:rFonts w:ascii="Times New Roman" w:eastAsia="Times New Roman" w:hAnsi="Times New Roman" w:cs="Times New Roman"/>
          <w:sz w:val="24"/>
          <w:szCs w:val="24"/>
          <w:lang w:eastAsia="en-IN" w:bidi="ml-IN"/>
        </w:rPr>
        <w:t>ompanie</w:t>
      </w:r>
      <w:r w:rsidR="00210195" w:rsidRPr="002E4EEB">
        <w:rPr>
          <w:rFonts w:ascii="Times New Roman" w:eastAsia="Times New Roman" w:hAnsi="Times New Roman" w:cs="Times New Roman"/>
          <w:sz w:val="24"/>
          <w:szCs w:val="24"/>
          <w:lang w:eastAsia="en-IN" w:bidi="ml-IN"/>
        </w:rPr>
        <w:t>s</w:t>
      </w:r>
      <w:r w:rsidR="00210195">
        <w:rPr>
          <w:rFonts w:ascii="Times New Roman" w:eastAsia="Times New Roman" w:hAnsi="Times New Roman" w:cs="Times New Roman"/>
          <w:sz w:val="24"/>
          <w:szCs w:val="24"/>
          <w:lang w:eastAsia="en-IN" w:bidi="ml-IN"/>
        </w:rPr>
        <w:t xml:space="preserve"> (OMCs)</w:t>
      </w:r>
      <w:r w:rsidR="00210195" w:rsidRPr="002E4EEB">
        <w:rPr>
          <w:rFonts w:ascii="Times New Roman" w:eastAsia="Times New Roman" w:hAnsi="Times New Roman" w:cs="Times New Roman"/>
          <w:sz w:val="24"/>
          <w:szCs w:val="24"/>
          <w:lang w:eastAsia="en-IN" w:bidi="ml-IN"/>
        </w:rPr>
        <w:t xml:space="preserve"> in streamlining logistics, boosting consumer confidence, and improving service dependability</w:t>
      </w:r>
      <w:r w:rsidR="00210195">
        <w:rPr>
          <w:rFonts w:ascii="Times New Roman" w:eastAsia="Times New Roman" w:hAnsi="Times New Roman" w:cs="Times New Roman"/>
          <w:sz w:val="24"/>
          <w:szCs w:val="24"/>
          <w:lang w:eastAsia="en-IN" w:bidi="ml-IN"/>
        </w:rPr>
        <w:t>. All of these</w:t>
      </w:r>
      <w:r w:rsidR="00210195" w:rsidRPr="002E4EEB">
        <w:rPr>
          <w:rFonts w:ascii="Times New Roman" w:eastAsia="Times New Roman" w:hAnsi="Times New Roman" w:cs="Times New Roman"/>
          <w:sz w:val="24"/>
          <w:szCs w:val="24"/>
          <w:lang w:eastAsia="en-IN" w:bidi="ml-IN"/>
        </w:rPr>
        <w:t xml:space="preserve"> contribute to a more robust and customer-focused supply chain.</w:t>
      </w:r>
    </w:p>
    <w:p w14:paraId="5C900994" w14:textId="1CA1643D" w:rsidR="00140A5B" w:rsidRPr="00140A5B" w:rsidRDefault="00140A5B" w:rsidP="006525C7">
      <w:pPr>
        <w:spacing w:before="240" w:after="0" w:line="276" w:lineRule="auto"/>
        <w:jc w:val="both"/>
        <w:rPr>
          <w:rFonts w:ascii="Times New Roman" w:eastAsia="Times New Roman" w:hAnsi="Times New Roman" w:cs="Times New Roman"/>
          <w:sz w:val="24"/>
          <w:szCs w:val="24"/>
          <w:lang w:eastAsia="en-IN" w:bidi="ml-IN"/>
        </w:rPr>
      </w:pPr>
      <w:r w:rsidRPr="00140A5B">
        <w:rPr>
          <w:rFonts w:ascii="Times New Roman" w:eastAsia="Times New Roman" w:hAnsi="Times New Roman" w:cs="Times New Roman"/>
          <w:b/>
          <w:bCs/>
          <w:sz w:val="24"/>
          <w:szCs w:val="24"/>
          <w:lang w:eastAsia="en-IN" w:bidi="ml-IN"/>
        </w:rPr>
        <w:t>Key words:</w:t>
      </w:r>
      <w:r>
        <w:rPr>
          <w:rFonts w:ascii="Times New Roman" w:eastAsia="Times New Roman" w:hAnsi="Times New Roman" w:cs="Times New Roman"/>
          <w:b/>
          <w:bCs/>
          <w:sz w:val="24"/>
          <w:szCs w:val="24"/>
          <w:lang w:eastAsia="en-IN" w:bidi="ml-IN"/>
        </w:rPr>
        <w:t xml:space="preserve"> </w:t>
      </w:r>
      <w:r w:rsidRPr="00140A5B">
        <w:rPr>
          <w:rFonts w:ascii="Times New Roman" w:eastAsia="Times New Roman" w:hAnsi="Times New Roman" w:cs="Times New Roman"/>
          <w:sz w:val="24"/>
          <w:szCs w:val="24"/>
          <w:lang w:eastAsia="en-IN" w:bidi="ml-IN"/>
        </w:rPr>
        <w:t xml:space="preserve">LPG consumers, customer satisfaction, </w:t>
      </w:r>
      <w:r>
        <w:rPr>
          <w:rFonts w:ascii="Times New Roman" w:eastAsia="Times New Roman" w:hAnsi="Times New Roman" w:cs="Times New Roman"/>
          <w:sz w:val="24"/>
          <w:szCs w:val="24"/>
          <w:lang w:eastAsia="en-IN" w:bidi="ml-IN"/>
        </w:rPr>
        <w:t>service quality,</w:t>
      </w:r>
      <w:r w:rsidR="00AB7F2D">
        <w:rPr>
          <w:rFonts w:ascii="Times New Roman" w:eastAsia="Times New Roman" w:hAnsi="Times New Roman" w:cs="Times New Roman"/>
          <w:sz w:val="24"/>
          <w:szCs w:val="24"/>
          <w:lang w:eastAsia="en-IN" w:bidi="ml-IN"/>
        </w:rPr>
        <w:t xml:space="preserve"> </w:t>
      </w:r>
      <w:r w:rsidR="00C41AF0">
        <w:rPr>
          <w:rFonts w:ascii="Times New Roman" w:eastAsia="Times New Roman" w:hAnsi="Times New Roman" w:cs="Times New Roman"/>
          <w:sz w:val="24"/>
          <w:szCs w:val="24"/>
          <w:lang w:eastAsia="en-IN" w:bidi="ml-IN"/>
        </w:rPr>
        <w:t xml:space="preserve">Oil Marketing Companies, </w:t>
      </w:r>
      <w:r w:rsidR="00F42823">
        <w:rPr>
          <w:rFonts w:ascii="Times New Roman" w:eastAsia="Times New Roman" w:hAnsi="Times New Roman" w:cs="Times New Roman"/>
          <w:sz w:val="24"/>
          <w:szCs w:val="24"/>
          <w:lang w:eastAsia="en-IN" w:bidi="ml-IN"/>
        </w:rPr>
        <w:t>LPG distributors</w:t>
      </w:r>
      <w:r w:rsidR="001D07AB">
        <w:rPr>
          <w:rFonts w:ascii="Times New Roman" w:eastAsia="Times New Roman" w:hAnsi="Times New Roman" w:cs="Times New Roman"/>
          <w:sz w:val="24"/>
          <w:szCs w:val="24"/>
          <w:lang w:eastAsia="en-IN" w:bidi="ml-IN"/>
        </w:rPr>
        <w:t>.</w:t>
      </w:r>
    </w:p>
    <w:p w14:paraId="1F9D0BC9" w14:textId="77777777" w:rsidR="00E63F05" w:rsidRPr="00E63F05" w:rsidRDefault="00E63F05" w:rsidP="00C07614">
      <w:pPr>
        <w:spacing w:after="0" w:line="240" w:lineRule="auto"/>
        <w:rPr>
          <w:rFonts w:ascii="Times New Roman" w:eastAsia="Times New Roman" w:hAnsi="Times New Roman" w:cs="Times New Roman"/>
          <w:b/>
          <w:bCs/>
          <w:sz w:val="24"/>
          <w:szCs w:val="24"/>
          <w:lang w:eastAsia="en-IN" w:bidi="ml-IN"/>
        </w:rPr>
      </w:pPr>
    </w:p>
    <w:p w14:paraId="6E36F6CC" w14:textId="037789AA" w:rsidR="00364786" w:rsidRPr="00E47CF1" w:rsidRDefault="00364786" w:rsidP="00E47CF1">
      <w:pPr>
        <w:pStyle w:val="ListParagraph"/>
        <w:numPr>
          <w:ilvl w:val="0"/>
          <w:numId w:val="20"/>
        </w:numPr>
        <w:spacing w:line="240" w:lineRule="auto"/>
        <w:jc w:val="both"/>
        <w:rPr>
          <w:rFonts w:ascii="Times New Roman" w:eastAsia="Times New Roman" w:hAnsi="Times New Roman" w:cs="Times New Roman"/>
          <w:b/>
          <w:bCs/>
          <w:sz w:val="28"/>
          <w:szCs w:val="28"/>
          <w:lang w:eastAsia="en-IN" w:bidi="ml-IN"/>
        </w:rPr>
      </w:pPr>
      <w:r w:rsidRPr="006C71CB">
        <w:rPr>
          <w:rFonts w:ascii="Times New Roman" w:eastAsia="Times New Roman" w:hAnsi="Times New Roman" w:cs="Times New Roman"/>
          <w:b/>
          <w:bCs/>
          <w:sz w:val="28"/>
          <w:szCs w:val="28"/>
          <w:lang w:eastAsia="en-IN" w:bidi="ml-IN"/>
        </w:rPr>
        <w:t>Introduction</w:t>
      </w:r>
    </w:p>
    <w:p w14:paraId="637BAB16" w14:textId="50D5FAAB" w:rsidR="004A553F" w:rsidRPr="004A553F" w:rsidRDefault="00197B5F" w:rsidP="00E47CF1">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In India, </w:t>
      </w:r>
      <w:r w:rsidR="00D259C0" w:rsidRPr="00D259C0">
        <w:rPr>
          <w:rFonts w:ascii="Times New Roman" w:eastAsia="Times New Roman" w:hAnsi="Times New Roman" w:cs="Times New Roman"/>
          <w:sz w:val="24"/>
          <w:szCs w:val="24"/>
          <w:lang w:eastAsia="en-IN" w:bidi="ml-IN"/>
        </w:rPr>
        <w:t>L</w:t>
      </w:r>
      <w:r w:rsidR="003656D6">
        <w:rPr>
          <w:rFonts w:ascii="Times New Roman" w:eastAsia="Times New Roman" w:hAnsi="Times New Roman" w:cs="Times New Roman"/>
          <w:sz w:val="24"/>
          <w:szCs w:val="24"/>
          <w:lang w:eastAsia="en-IN" w:bidi="ml-IN"/>
        </w:rPr>
        <w:t xml:space="preserve">iquified </w:t>
      </w:r>
      <w:r w:rsidR="00D259C0" w:rsidRPr="00D259C0">
        <w:rPr>
          <w:rFonts w:ascii="Times New Roman" w:eastAsia="Times New Roman" w:hAnsi="Times New Roman" w:cs="Times New Roman"/>
          <w:sz w:val="24"/>
          <w:szCs w:val="24"/>
          <w:lang w:eastAsia="en-IN" w:bidi="ml-IN"/>
        </w:rPr>
        <w:t>P</w:t>
      </w:r>
      <w:r w:rsidR="003656D6">
        <w:rPr>
          <w:rFonts w:ascii="Times New Roman" w:eastAsia="Times New Roman" w:hAnsi="Times New Roman" w:cs="Times New Roman"/>
          <w:sz w:val="24"/>
          <w:szCs w:val="24"/>
          <w:lang w:eastAsia="en-IN" w:bidi="ml-IN"/>
        </w:rPr>
        <w:t xml:space="preserve">etroleum </w:t>
      </w:r>
      <w:r w:rsidR="00D259C0" w:rsidRPr="00D259C0">
        <w:rPr>
          <w:rFonts w:ascii="Times New Roman" w:eastAsia="Times New Roman" w:hAnsi="Times New Roman" w:cs="Times New Roman"/>
          <w:sz w:val="24"/>
          <w:szCs w:val="24"/>
          <w:lang w:eastAsia="en-IN" w:bidi="ml-IN"/>
        </w:rPr>
        <w:t>G</w:t>
      </w:r>
      <w:r w:rsidR="003656D6">
        <w:rPr>
          <w:rFonts w:ascii="Times New Roman" w:eastAsia="Times New Roman" w:hAnsi="Times New Roman" w:cs="Times New Roman"/>
          <w:sz w:val="24"/>
          <w:szCs w:val="24"/>
          <w:lang w:eastAsia="en-IN" w:bidi="ml-IN"/>
        </w:rPr>
        <w:t>as (LPG)</w:t>
      </w:r>
      <w:r w:rsidR="00D259C0" w:rsidRPr="00D259C0">
        <w:rPr>
          <w:rFonts w:ascii="Times New Roman" w:eastAsia="Times New Roman" w:hAnsi="Times New Roman" w:cs="Times New Roman"/>
          <w:sz w:val="24"/>
          <w:szCs w:val="24"/>
          <w:lang w:eastAsia="en-IN" w:bidi="ml-IN"/>
        </w:rPr>
        <w:t xml:space="preserve"> was the primary domestic cooking fuel for the middle-class and upper-class segments of our society until a few decades ago (Bansal et al., 2013).</w:t>
      </w:r>
      <w:r>
        <w:rPr>
          <w:rFonts w:ascii="Times New Roman" w:eastAsia="Times New Roman" w:hAnsi="Times New Roman" w:cs="Times New Roman"/>
          <w:sz w:val="24"/>
          <w:szCs w:val="24"/>
          <w:lang w:eastAsia="en-IN" w:bidi="ml-IN"/>
        </w:rPr>
        <w:t xml:space="preserve"> </w:t>
      </w:r>
      <w:r w:rsidR="00964D1B">
        <w:rPr>
          <w:rFonts w:ascii="Times New Roman" w:eastAsia="Times New Roman" w:hAnsi="Times New Roman" w:cs="Times New Roman"/>
          <w:sz w:val="24"/>
          <w:szCs w:val="24"/>
          <w:lang w:eastAsia="en-IN" w:bidi="ml-IN"/>
        </w:rPr>
        <w:t xml:space="preserve">But today the </w:t>
      </w:r>
      <w:r w:rsidR="00964D1B" w:rsidRPr="00364786">
        <w:rPr>
          <w:rFonts w:ascii="Times New Roman" w:eastAsia="Times New Roman" w:hAnsi="Times New Roman" w:cs="Times New Roman"/>
          <w:sz w:val="24"/>
          <w:szCs w:val="24"/>
          <w:lang w:eastAsia="en-IN" w:bidi="ml-IN"/>
        </w:rPr>
        <w:t>increasing use of LPG</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 xml:space="preserve"> as the main cooking fuel in India</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 xml:space="preserve"> has drastically altered the country</w:t>
      </w:r>
      <w:r w:rsidR="00964D1B">
        <w:rPr>
          <w:rFonts w:ascii="Times New Roman" w:eastAsia="Times New Roman" w:hAnsi="Times New Roman" w:cs="Times New Roman"/>
          <w:sz w:val="24"/>
          <w:szCs w:val="24"/>
          <w:lang w:eastAsia="en-IN" w:bidi="ml-IN"/>
        </w:rPr>
        <w:t>’</w:t>
      </w:r>
      <w:r w:rsidR="00964D1B" w:rsidRPr="00364786">
        <w:rPr>
          <w:rFonts w:ascii="Times New Roman" w:eastAsia="Times New Roman" w:hAnsi="Times New Roman" w:cs="Times New Roman"/>
          <w:sz w:val="24"/>
          <w:szCs w:val="24"/>
          <w:lang w:eastAsia="en-IN" w:bidi="ml-IN"/>
        </w:rPr>
        <w:t>s energy consumption habits.</w:t>
      </w:r>
      <w:r w:rsidR="004A553F" w:rsidRPr="004A553F">
        <w:rPr>
          <w:rFonts w:ascii="Times New Roman" w:eastAsia="Times New Roman" w:hAnsi="Times New Roman" w:cs="Times New Roman"/>
          <w:sz w:val="24"/>
          <w:szCs w:val="24"/>
          <w:lang w:eastAsia="en-IN" w:bidi="ml-IN"/>
        </w:rPr>
        <w:t xml:space="preserve"> </w:t>
      </w:r>
      <w:r w:rsidR="009E17C7" w:rsidRPr="006325D5">
        <w:rPr>
          <w:rFonts w:ascii="Times New Roman" w:eastAsia="Times New Roman" w:hAnsi="Times New Roman" w:cs="Times New Roman"/>
          <w:sz w:val="24"/>
          <w:szCs w:val="24"/>
          <w:lang w:eastAsia="en-IN" w:bidi="ml-IN"/>
        </w:rPr>
        <w:t>This offers significant health advantages by preventing the 1.6 million annual respiratory deaths brought on by smoke and other pollutants emitted by inefficient biomass burning in enclosed areas</w:t>
      </w:r>
      <w:r w:rsidR="009E17C7" w:rsidRPr="004A553F">
        <w:rPr>
          <w:rFonts w:ascii="Times New Roman" w:eastAsia="Times New Roman" w:hAnsi="Times New Roman" w:cs="Times New Roman"/>
          <w:sz w:val="24"/>
          <w:szCs w:val="24"/>
          <w:lang w:eastAsia="en-IN" w:bidi="ml-IN"/>
        </w:rPr>
        <w:t xml:space="preserve"> </w:t>
      </w:r>
      <w:r w:rsidR="009E17C7">
        <w:rPr>
          <w:rFonts w:ascii="Times New Roman" w:eastAsia="Times New Roman" w:hAnsi="Times New Roman" w:cs="Times New Roman"/>
          <w:sz w:val="24"/>
          <w:szCs w:val="24"/>
          <w:lang w:eastAsia="en-IN" w:bidi="ml-IN"/>
        </w:rPr>
        <w:t>(</w:t>
      </w:r>
      <w:proofErr w:type="spellStart"/>
      <w:r w:rsidR="00887742" w:rsidRPr="009E17C7">
        <w:rPr>
          <w:rFonts w:ascii="Times New Roman" w:hAnsi="Times New Roman" w:cs="Times New Roman"/>
          <w:color w:val="222222"/>
          <w:sz w:val="24"/>
          <w:szCs w:val="24"/>
          <w:shd w:val="clear" w:color="auto" w:fill="FFFFFF"/>
        </w:rPr>
        <w:t>Dhanabhakyam</w:t>
      </w:r>
      <w:proofErr w:type="spellEnd"/>
      <w:r w:rsidR="00887742" w:rsidRPr="009E17C7">
        <w:rPr>
          <w:rFonts w:ascii="Times New Roman" w:hAnsi="Times New Roman" w:cs="Times New Roman"/>
          <w:color w:val="222222"/>
          <w:sz w:val="24"/>
          <w:szCs w:val="24"/>
          <w:shd w:val="clear" w:color="auto" w:fill="FFFFFF"/>
        </w:rPr>
        <w:t xml:space="preserve"> &amp; Sumathi,</w:t>
      </w:r>
      <w:r w:rsidR="00887742">
        <w:rPr>
          <w:rFonts w:ascii="Times New Roman" w:hAnsi="Times New Roman" w:cs="Times New Roman"/>
          <w:color w:val="222222"/>
          <w:sz w:val="24"/>
          <w:szCs w:val="24"/>
          <w:shd w:val="clear" w:color="auto" w:fill="FFFFFF"/>
        </w:rPr>
        <w:t xml:space="preserve"> </w:t>
      </w:r>
      <w:r w:rsidR="00887742" w:rsidRPr="009E17C7">
        <w:rPr>
          <w:rFonts w:ascii="Times New Roman" w:hAnsi="Times New Roman" w:cs="Times New Roman"/>
          <w:color w:val="222222"/>
          <w:sz w:val="24"/>
          <w:szCs w:val="24"/>
          <w:shd w:val="clear" w:color="auto" w:fill="FFFFFF"/>
        </w:rPr>
        <w:t>2014).</w:t>
      </w:r>
      <w:r w:rsidR="00887742" w:rsidRPr="00887742">
        <w:rPr>
          <w:rFonts w:ascii="Times New Roman" w:eastAsia="Times New Roman" w:hAnsi="Times New Roman" w:cs="Times New Roman"/>
          <w:sz w:val="24"/>
          <w:szCs w:val="24"/>
          <w:lang w:eastAsia="en-IN" w:bidi="ml-IN"/>
        </w:rPr>
        <w:t xml:space="preserve"> </w:t>
      </w:r>
      <w:r w:rsidR="00887742" w:rsidRPr="006325D5">
        <w:rPr>
          <w:rFonts w:ascii="Times New Roman" w:eastAsia="Times New Roman" w:hAnsi="Times New Roman" w:cs="Times New Roman"/>
          <w:sz w:val="24"/>
          <w:szCs w:val="24"/>
          <w:lang w:eastAsia="en-IN" w:bidi="ml-IN"/>
        </w:rPr>
        <w:t xml:space="preserve">Additionally, it frees women and children from the laborious task of gathering fuel and the health risks that </w:t>
      </w:r>
      <w:r w:rsidR="00A45564">
        <w:rPr>
          <w:rFonts w:ascii="Times New Roman" w:eastAsia="Times New Roman" w:hAnsi="Times New Roman" w:cs="Times New Roman"/>
          <w:sz w:val="24"/>
          <w:szCs w:val="24"/>
          <w:lang w:eastAsia="en-IN" w:bidi="ml-IN"/>
        </w:rPr>
        <w:t>linked</w:t>
      </w:r>
      <w:r w:rsidR="00887742" w:rsidRPr="006325D5">
        <w:rPr>
          <w:rFonts w:ascii="Times New Roman" w:eastAsia="Times New Roman" w:hAnsi="Times New Roman" w:cs="Times New Roman"/>
          <w:sz w:val="24"/>
          <w:szCs w:val="24"/>
          <w:lang w:eastAsia="en-IN" w:bidi="ml-IN"/>
        </w:rPr>
        <w:t xml:space="preserve"> with hauling heavy bundles over long distances.</w:t>
      </w:r>
      <w:r w:rsidR="00887742" w:rsidRPr="009E17C7">
        <w:rPr>
          <w:rFonts w:ascii="Times New Roman" w:hAnsi="Times New Roman" w:cs="Times New Roman"/>
          <w:color w:val="222222"/>
          <w:sz w:val="24"/>
          <w:szCs w:val="24"/>
          <w:shd w:val="clear" w:color="auto" w:fill="FFFFFF"/>
        </w:rPr>
        <w:t xml:space="preserve"> </w:t>
      </w:r>
      <w:r w:rsidR="004A553F" w:rsidRPr="004A553F">
        <w:rPr>
          <w:rFonts w:ascii="Times New Roman" w:eastAsia="Times New Roman" w:hAnsi="Times New Roman" w:cs="Times New Roman"/>
          <w:sz w:val="24"/>
          <w:szCs w:val="24"/>
          <w:lang w:eastAsia="en-IN" w:bidi="ml-IN"/>
        </w:rPr>
        <w:t xml:space="preserve">The transition from </w:t>
      </w:r>
      <w:r w:rsidR="000C2D30">
        <w:rPr>
          <w:rFonts w:ascii="Times New Roman" w:eastAsia="Times New Roman" w:hAnsi="Times New Roman" w:cs="Times New Roman"/>
          <w:sz w:val="24"/>
          <w:szCs w:val="24"/>
          <w:lang w:eastAsia="en-IN" w:bidi="ml-IN"/>
        </w:rPr>
        <w:t xml:space="preserve">fossil fuel such as coke, charcoal, coal, etc., and </w:t>
      </w:r>
      <w:r w:rsidR="004A553F" w:rsidRPr="004A553F">
        <w:rPr>
          <w:rFonts w:ascii="Times New Roman" w:eastAsia="Times New Roman" w:hAnsi="Times New Roman" w:cs="Times New Roman"/>
          <w:sz w:val="24"/>
          <w:szCs w:val="24"/>
          <w:lang w:eastAsia="en-IN" w:bidi="ml-IN"/>
        </w:rPr>
        <w:t>traditional fuels like kerosene and firewood to cleaner alternatives has been largely facilitated by government initiatives and rising public awareness of environmental and health concerns.</w:t>
      </w:r>
    </w:p>
    <w:p w14:paraId="7C44F74E" w14:textId="379C21B7" w:rsidR="00584185" w:rsidRDefault="004714AB" w:rsidP="00ED2055">
      <w:pPr>
        <w:spacing w:line="276" w:lineRule="auto"/>
        <w:jc w:val="both"/>
        <w:rPr>
          <w:rFonts w:ascii="Times New Roman" w:eastAsia="Times New Roman" w:hAnsi="Times New Roman" w:cs="Times New Roman"/>
          <w:sz w:val="24"/>
          <w:szCs w:val="24"/>
          <w:lang w:eastAsia="en-IN" w:bidi="ml-IN"/>
        </w:rPr>
      </w:pPr>
      <w:r w:rsidRPr="00914245">
        <w:rPr>
          <w:rFonts w:ascii="Times New Roman" w:eastAsia="Times New Roman" w:hAnsi="Times New Roman" w:cs="Times New Roman"/>
          <w:sz w:val="24"/>
          <w:szCs w:val="24"/>
          <w:lang w:eastAsia="en-IN" w:bidi="ml-IN"/>
        </w:rPr>
        <w:lastRenderedPageBreak/>
        <w:t>According to the International Organi</w:t>
      </w:r>
      <w:r w:rsidR="001D6B8E">
        <w:rPr>
          <w:rFonts w:ascii="Times New Roman" w:eastAsia="Times New Roman" w:hAnsi="Times New Roman" w:cs="Times New Roman"/>
          <w:sz w:val="24"/>
          <w:szCs w:val="24"/>
          <w:lang w:eastAsia="en-IN" w:bidi="ml-IN"/>
        </w:rPr>
        <w:t>s</w:t>
      </w:r>
      <w:r w:rsidRPr="00914245">
        <w:rPr>
          <w:rFonts w:ascii="Times New Roman" w:eastAsia="Times New Roman" w:hAnsi="Times New Roman" w:cs="Times New Roman"/>
          <w:sz w:val="24"/>
          <w:szCs w:val="24"/>
          <w:lang w:eastAsia="en-IN" w:bidi="ml-IN"/>
        </w:rPr>
        <w:t>ation for Standardi</w:t>
      </w:r>
      <w:r w:rsidR="001D6B8E">
        <w:rPr>
          <w:rFonts w:ascii="Times New Roman" w:eastAsia="Times New Roman" w:hAnsi="Times New Roman" w:cs="Times New Roman"/>
          <w:sz w:val="24"/>
          <w:szCs w:val="24"/>
          <w:lang w:eastAsia="en-IN" w:bidi="ml-IN"/>
        </w:rPr>
        <w:t>s</w:t>
      </w:r>
      <w:r w:rsidRPr="00914245">
        <w:rPr>
          <w:rFonts w:ascii="Times New Roman" w:eastAsia="Times New Roman" w:hAnsi="Times New Roman" w:cs="Times New Roman"/>
          <w:sz w:val="24"/>
          <w:szCs w:val="24"/>
          <w:lang w:eastAsia="en-IN" w:bidi="ml-IN"/>
        </w:rPr>
        <w:t xml:space="preserve">ation, International Workshop Agreement 11 (ISO/IWA-11), LPG is a </w:t>
      </w:r>
      <w:r w:rsidR="001D6B8E" w:rsidRPr="00914245">
        <w:rPr>
          <w:rFonts w:ascii="Times New Roman" w:eastAsia="Times New Roman" w:hAnsi="Times New Roman" w:cs="Times New Roman"/>
          <w:sz w:val="24"/>
          <w:szCs w:val="24"/>
          <w:lang w:eastAsia="en-IN" w:bidi="ml-IN"/>
        </w:rPr>
        <w:t>hygienic</w:t>
      </w:r>
      <w:r w:rsidRPr="00914245">
        <w:rPr>
          <w:rFonts w:ascii="Times New Roman" w:eastAsia="Times New Roman" w:hAnsi="Times New Roman" w:cs="Times New Roman"/>
          <w:sz w:val="24"/>
          <w:szCs w:val="24"/>
          <w:lang w:eastAsia="en-IN" w:bidi="ml-IN"/>
        </w:rPr>
        <w:t xml:space="preserve"> fuel </w:t>
      </w:r>
      <w:r w:rsidR="001D6B8E">
        <w:rPr>
          <w:rFonts w:ascii="Times New Roman" w:eastAsia="Times New Roman" w:hAnsi="Times New Roman" w:cs="Times New Roman"/>
          <w:sz w:val="24"/>
          <w:szCs w:val="24"/>
          <w:lang w:eastAsia="en-IN" w:bidi="ml-IN"/>
        </w:rPr>
        <w:t>in all respect</w:t>
      </w:r>
      <w:r w:rsidRPr="00914245">
        <w:rPr>
          <w:rFonts w:ascii="Times New Roman" w:eastAsia="Times New Roman" w:hAnsi="Times New Roman" w:cs="Times New Roman"/>
          <w:sz w:val="24"/>
          <w:szCs w:val="24"/>
          <w:lang w:eastAsia="en-IN" w:bidi="ml-IN"/>
        </w:rPr>
        <w:t xml:space="preserve"> when compared to other major cooking </w:t>
      </w:r>
      <w:r w:rsidR="001D6B8E">
        <w:rPr>
          <w:rFonts w:ascii="Times New Roman" w:eastAsia="Times New Roman" w:hAnsi="Times New Roman" w:cs="Times New Roman"/>
          <w:sz w:val="24"/>
          <w:szCs w:val="24"/>
          <w:lang w:eastAsia="en-IN" w:bidi="ml-IN"/>
        </w:rPr>
        <w:t>mean</w:t>
      </w:r>
      <w:r w:rsidRPr="00914245">
        <w:rPr>
          <w:rFonts w:ascii="Times New Roman" w:eastAsia="Times New Roman" w:hAnsi="Times New Roman" w:cs="Times New Roman"/>
          <w:sz w:val="24"/>
          <w:szCs w:val="24"/>
          <w:lang w:eastAsia="en-IN" w:bidi="ml-IN"/>
        </w:rPr>
        <w:t>s, satisfying standards for the highest tier level (Tier 4)</w:t>
      </w:r>
      <w:r w:rsidRPr="004B6087">
        <w:rPr>
          <w:rFonts w:ascii="Georgia" w:hAnsi="Georgia"/>
          <w:color w:val="1F1F1F"/>
        </w:rPr>
        <w:t xml:space="preserve"> </w:t>
      </w:r>
      <w:r>
        <w:rPr>
          <w:rFonts w:ascii="Georgia" w:hAnsi="Georgia"/>
          <w:color w:val="1F1F1F"/>
        </w:rPr>
        <w:t>(</w:t>
      </w:r>
      <w:hyperlink r:id="rId8" w:anchor="bbb0230" w:history="1">
        <w:r w:rsidRPr="00204188">
          <w:rPr>
            <w:rFonts w:ascii="Times New Roman" w:eastAsia="Times New Roman" w:hAnsi="Times New Roman" w:cs="Times New Roman"/>
            <w:color w:val="0272B1"/>
            <w:sz w:val="24"/>
            <w:szCs w:val="24"/>
            <w:lang w:eastAsia="en-IN" w:bidi="ml-IN"/>
          </w:rPr>
          <w:t>Shen et al., 2018</w:t>
        </w:r>
      </w:hyperlink>
      <w:r>
        <w:rPr>
          <w:rFonts w:ascii="Georgia" w:hAnsi="Georgia"/>
          <w:color w:val="1F1F1F"/>
        </w:rPr>
        <w:t>).</w:t>
      </w:r>
      <w:r>
        <w:rPr>
          <w:rFonts w:ascii="Times New Roman" w:eastAsia="Times New Roman" w:hAnsi="Times New Roman" w:cs="Times New Roman"/>
          <w:color w:val="1F1F1F"/>
          <w:sz w:val="24"/>
          <w:szCs w:val="24"/>
          <w:lang w:eastAsia="en-IN" w:bidi="ml-IN"/>
        </w:rPr>
        <w:t xml:space="preserve"> </w:t>
      </w:r>
      <w:r w:rsidR="00364786" w:rsidRPr="00364786">
        <w:rPr>
          <w:rFonts w:ascii="Times New Roman" w:eastAsia="Times New Roman" w:hAnsi="Times New Roman" w:cs="Times New Roman"/>
          <w:sz w:val="24"/>
          <w:szCs w:val="24"/>
          <w:lang w:eastAsia="en-IN" w:bidi="ml-IN"/>
        </w:rPr>
        <w:t>By offering low-income households subsidi</w:t>
      </w:r>
      <w:r w:rsidR="006A2BA5">
        <w:rPr>
          <w:rFonts w:ascii="Times New Roman" w:eastAsia="Times New Roman" w:hAnsi="Times New Roman" w:cs="Times New Roman"/>
          <w:sz w:val="24"/>
          <w:szCs w:val="24"/>
          <w:lang w:eastAsia="en-IN" w:bidi="ml-IN"/>
        </w:rPr>
        <w:t>s</w:t>
      </w:r>
      <w:r w:rsidR="00364786" w:rsidRPr="00364786">
        <w:rPr>
          <w:rFonts w:ascii="Times New Roman" w:eastAsia="Times New Roman" w:hAnsi="Times New Roman" w:cs="Times New Roman"/>
          <w:sz w:val="24"/>
          <w:szCs w:val="24"/>
          <w:lang w:eastAsia="en-IN" w:bidi="ml-IN"/>
        </w:rPr>
        <w:t>ed connections, the government</w:t>
      </w:r>
      <w:r w:rsidR="006A2BA5">
        <w:rPr>
          <w:rFonts w:ascii="Times New Roman" w:eastAsia="Times New Roman" w:hAnsi="Times New Roman" w:cs="Times New Roman"/>
          <w:sz w:val="24"/>
          <w:szCs w:val="24"/>
          <w:lang w:eastAsia="en-IN" w:bidi="ml-IN"/>
        </w:rPr>
        <w:t>’</w:t>
      </w:r>
      <w:r w:rsidR="00364786" w:rsidRPr="00364786">
        <w:rPr>
          <w:rFonts w:ascii="Times New Roman" w:eastAsia="Times New Roman" w:hAnsi="Times New Roman" w:cs="Times New Roman"/>
          <w:sz w:val="24"/>
          <w:szCs w:val="24"/>
          <w:lang w:eastAsia="en-IN" w:bidi="ml-IN"/>
        </w:rPr>
        <w:t>s main initiative, the Pradhan Mantri Ujjwala Yojana (PMUY), has been instrumental in increasing the coverage of LPG</w:t>
      </w:r>
      <w:r w:rsidR="00D021C5">
        <w:rPr>
          <w:rFonts w:ascii="Times New Roman" w:eastAsia="Times New Roman" w:hAnsi="Times New Roman" w:cs="Times New Roman"/>
          <w:sz w:val="24"/>
          <w:szCs w:val="24"/>
          <w:lang w:eastAsia="en-IN" w:bidi="ml-IN"/>
        </w:rPr>
        <w:t>.</w:t>
      </w:r>
      <w:r w:rsidR="00914245" w:rsidRPr="00914245">
        <w:rPr>
          <w:rFonts w:ascii="Times New Roman" w:eastAsia="Times New Roman" w:hAnsi="Times New Roman" w:cs="Times New Roman"/>
          <w:sz w:val="24"/>
          <w:szCs w:val="24"/>
          <w:lang w:eastAsia="en-IN" w:bidi="ml-IN"/>
        </w:rPr>
        <w:t xml:space="preserve"> </w:t>
      </w:r>
      <w:r w:rsidR="002D2E00" w:rsidRPr="002D2E00">
        <w:rPr>
          <w:rFonts w:ascii="Times New Roman" w:eastAsia="Times New Roman" w:hAnsi="Times New Roman" w:cs="Times New Roman"/>
          <w:sz w:val="24"/>
          <w:szCs w:val="24"/>
          <w:lang w:eastAsia="en-IN" w:bidi="ml-IN"/>
        </w:rPr>
        <w:t>The Indian government has attempted to capitali</w:t>
      </w:r>
      <w:r w:rsidR="002D2E00">
        <w:rPr>
          <w:rFonts w:ascii="Times New Roman" w:eastAsia="Times New Roman" w:hAnsi="Times New Roman" w:cs="Times New Roman"/>
          <w:sz w:val="24"/>
          <w:szCs w:val="24"/>
          <w:lang w:eastAsia="en-IN" w:bidi="ml-IN"/>
        </w:rPr>
        <w:t>s</w:t>
      </w:r>
      <w:r w:rsidR="002D2E00" w:rsidRPr="002D2E00">
        <w:rPr>
          <w:rFonts w:ascii="Times New Roman" w:eastAsia="Times New Roman" w:hAnsi="Times New Roman" w:cs="Times New Roman"/>
          <w:sz w:val="24"/>
          <w:szCs w:val="24"/>
          <w:lang w:eastAsia="en-IN" w:bidi="ml-IN"/>
        </w:rPr>
        <w:t xml:space="preserve">e on the potential golden thread of cooking fuels, which can be connected to ten </w:t>
      </w:r>
      <w:r w:rsidR="002D2E00">
        <w:rPr>
          <w:rFonts w:ascii="Times New Roman" w:eastAsia="Times New Roman" w:hAnsi="Times New Roman" w:cs="Times New Roman"/>
          <w:sz w:val="24"/>
          <w:szCs w:val="24"/>
          <w:lang w:eastAsia="en-IN" w:bidi="ml-IN"/>
        </w:rPr>
        <w:t>s</w:t>
      </w:r>
      <w:r w:rsidR="002D2E00" w:rsidRPr="002D2E00">
        <w:rPr>
          <w:rFonts w:ascii="Times New Roman" w:eastAsia="Times New Roman" w:hAnsi="Times New Roman" w:cs="Times New Roman"/>
          <w:sz w:val="24"/>
          <w:szCs w:val="24"/>
          <w:lang w:eastAsia="en-IN" w:bidi="ml-IN"/>
        </w:rPr>
        <w:t xml:space="preserve">ustainable </w:t>
      </w:r>
      <w:r w:rsidR="002D2E00">
        <w:rPr>
          <w:rFonts w:ascii="Times New Roman" w:eastAsia="Times New Roman" w:hAnsi="Times New Roman" w:cs="Times New Roman"/>
          <w:sz w:val="24"/>
          <w:szCs w:val="24"/>
          <w:lang w:eastAsia="en-IN" w:bidi="ml-IN"/>
        </w:rPr>
        <w:t>d</w:t>
      </w:r>
      <w:r w:rsidR="002D2E00" w:rsidRPr="002D2E00">
        <w:rPr>
          <w:rFonts w:ascii="Times New Roman" w:eastAsia="Times New Roman" w:hAnsi="Times New Roman" w:cs="Times New Roman"/>
          <w:sz w:val="24"/>
          <w:szCs w:val="24"/>
          <w:lang w:eastAsia="en-IN" w:bidi="ml-IN"/>
        </w:rPr>
        <w:t xml:space="preserve">evelopment </w:t>
      </w:r>
      <w:r w:rsidR="002D2E00">
        <w:rPr>
          <w:rFonts w:ascii="Times New Roman" w:eastAsia="Times New Roman" w:hAnsi="Times New Roman" w:cs="Times New Roman"/>
          <w:sz w:val="24"/>
          <w:szCs w:val="24"/>
          <w:lang w:eastAsia="en-IN" w:bidi="ml-IN"/>
        </w:rPr>
        <w:t>g</w:t>
      </w:r>
      <w:r w:rsidR="002D2E00" w:rsidRPr="002D2E00">
        <w:rPr>
          <w:rFonts w:ascii="Times New Roman" w:eastAsia="Times New Roman" w:hAnsi="Times New Roman" w:cs="Times New Roman"/>
          <w:sz w:val="24"/>
          <w:szCs w:val="24"/>
          <w:lang w:eastAsia="en-IN" w:bidi="ml-IN"/>
        </w:rPr>
        <w:t>oals, through a number of policy programs that promote LPG access (</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Ujjwala</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 xml:space="preserve">) and increased subsidies for the poor </w:t>
      </w:r>
      <w:r w:rsidR="00D05F32">
        <w:rPr>
          <w:rFonts w:ascii="Times New Roman" w:eastAsia="Times New Roman" w:hAnsi="Times New Roman" w:cs="Times New Roman"/>
          <w:sz w:val="24"/>
          <w:szCs w:val="24"/>
          <w:lang w:eastAsia="en-IN" w:bidi="ml-IN"/>
        </w:rPr>
        <w:t xml:space="preserve">i.e., </w:t>
      </w:r>
      <w:r w:rsidR="002D2E00">
        <w:rPr>
          <w:rFonts w:ascii="Times New Roman" w:eastAsia="Times New Roman" w:hAnsi="Times New Roman" w:cs="Times New Roman"/>
          <w:sz w:val="24"/>
          <w:szCs w:val="24"/>
          <w:lang w:eastAsia="en-IN" w:bidi="ml-IN"/>
        </w:rPr>
        <w:t>“</w:t>
      </w:r>
      <w:r w:rsidR="002D2E00" w:rsidRPr="002D2E00">
        <w:rPr>
          <w:rFonts w:ascii="Times New Roman" w:eastAsia="Times New Roman" w:hAnsi="Times New Roman" w:cs="Times New Roman"/>
          <w:sz w:val="24"/>
          <w:szCs w:val="24"/>
          <w:lang w:eastAsia="en-IN" w:bidi="ml-IN"/>
        </w:rPr>
        <w:t>Give it Up</w:t>
      </w:r>
      <w:r w:rsidR="002D2E00">
        <w:rPr>
          <w:rFonts w:ascii="Times New Roman" w:eastAsia="Times New Roman" w:hAnsi="Times New Roman" w:cs="Times New Roman"/>
          <w:sz w:val="24"/>
          <w:szCs w:val="24"/>
          <w:lang w:eastAsia="en-IN" w:bidi="ml-IN"/>
        </w:rPr>
        <w:t>”</w:t>
      </w:r>
      <w:r w:rsidR="00D05F32">
        <w:rPr>
          <w:rFonts w:ascii="Times New Roman" w:eastAsia="Times New Roman" w:hAnsi="Times New Roman" w:cs="Times New Roman"/>
          <w:sz w:val="24"/>
          <w:szCs w:val="24"/>
          <w:lang w:eastAsia="en-IN" w:bidi="ml-IN"/>
        </w:rPr>
        <w:t xml:space="preserve"> </w:t>
      </w:r>
      <w:r w:rsidR="000B1F9A">
        <w:rPr>
          <w:rFonts w:ascii="Georgia" w:hAnsi="Georgia"/>
          <w:color w:val="1F1F1F"/>
        </w:rPr>
        <w:t>(</w:t>
      </w:r>
      <w:r w:rsidR="000B1F9A" w:rsidRPr="000B1F9A">
        <w:rPr>
          <w:rFonts w:ascii="Times New Roman" w:hAnsi="Times New Roman" w:cs="Times New Roman"/>
          <w:color w:val="222222"/>
          <w:sz w:val="24"/>
          <w:szCs w:val="24"/>
          <w:shd w:val="clear" w:color="auto" w:fill="FFFFFF"/>
        </w:rPr>
        <w:t>Gould</w:t>
      </w:r>
      <w:r w:rsidR="000B1F9A">
        <w:rPr>
          <w:rFonts w:ascii="Times New Roman" w:hAnsi="Times New Roman" w:cs="Times New Roman"/>
          <w:color w:val="222222"/>
          <w:sz w:val="24"/>
          <w:szCs w:val="24"/>
          <w:shd w:val="clear" w:color="auto" w:fill="FFFFFF"/>
        </w:rPr>
        <w:t xml:space="preserve"> &amp; </w:t>
      </w:r>
      <w:r w:rsidR="000B1F9A" w:rsidRPr="000B1F9A">
        <w:rPr>
          <w:rFonts w:ascii="Times New Roman" w:hAnsi="Times New Roman" w:cs="Times New Roman"/>
          <w:color w:val="222222"/>
          <w:sz w:val="24"/>
          <w:szCs w:val="24"/>
          <w:shd w:val="clear" w:color="auto" w:fill="FFFFFF"/>
        </w:rPr>
        <w:t>Urpelainen,</w:t>
      </w:r>
      <w:r w:rsidR="000B1F9A">
        <w:rPr>
          <w:rFonts w:ascii="Times New Roman" w:hAnsi="Times New Roman" w:cs="Times New Roman"/>
          <w:color w:val="222222"/>
          <w:sz w:val="24"/>
          <w:szCs w:val="24"/>
          <w:shd w:val="clear" w:color="auto" w:fill="FFFFFF"/>
        </w:rPr>
        <w:t xml:space="preserve"> </w:t>
      </w:r>
      <w:r w:rsidR="000B1F9A" w:rsidRPr="000B1F9A">
        <w:rPr>
          <w:rFonts w:ascii="Times New Roman" w:hAnsi="Times New Roman" w:cs="Times New Roman"/>
          <w:color w:val="222222"/>
          <w:sz w:val="24"/>
          <w:szCs w:val="24"/>
          <w:shd w:val="clear" w:color="auto" w:fill="FFFFFF"/>
        </w:rPr>
        <w:t>2018).</w:t>
      </w:r>
      <w:r w:rsidR="00F82731" w:rsidRPr="00F82731">
        <w:rPr>
          <w:rFonts w:ascii="Times New Roman" w:eastAsia="Times New Roman" w:hAnsi="Times New Roman" w:cs="Times New Roman"/>
          <w:sz w:val="24"/>
          <w:szCs w:val="24"/>
          <w:lang w:eastAsia="en-IN" w:bidi="ml-IN"/>
        </w:rPr>
        <w:t xml:space="preserve"> The percentage of Indian households using LPG increased from about 50% in 2015 to over 99.8% presently. The central and state governments subsequently introduced a number of </w:t>
      </w:r>
      <w:r w:rsidR="008526D7">
        <w:rPr>
          <w:rFonts w:ascii="Times New Roman" w:eastAsia="Times New Roman" w:hAnsi="Times New Roman" w:cs="Times New Roman"/>
          <w:sz w:val="24"/>
          <w:szCs w:val="24"/>
          <w:lang w:eastAsia="en-IN" w:bidi="ml-IN"/>
        </w:rPr>
        <w:t xml:space="preserve">variants of </w:t>
      </w:r>
      <w:r w:rsidR="00F82731" w:rsidRPr="00F82731">
        <w:rPr>
          <w:rFonts w:ascii="Times New Roman" w:eastAsia="Times New Roman" w:hAnsi="Times New Roman" w:cs="Times New Roman"/>
          <w:sz w:val="24"/>
          <w:szCs w:val="24"/>
          <w:lang w:eastAsia="en-IN" w:bidi="ml-IN"/>
        </w:rPr>
        <w:t xml:space="preserve">PMUY plan (Barua &amp; </w:t>
      </w:r>
      <w:proofErr w:type="spellStart"/>
      <w:r w:rsidR="00F82731" w:rsidRPr="00F82731">
        <w:rPr>
          <w:rFonts w:ascii="Times New Roman" w:eastAsia="Times New Roman" w:hAnsi="Times New Roman" w:cs="Times New Roman"/>
          <w:sz w:val="24"/>
          <w:szCs w:val="24"/>
          <w:lang w:eastAsia="en-IN" w:bidi="ml-IN"/>
        </w:rPr>
        <w:t>Agarwalla</w:t>
      </w:r>
      <w:proofErr w:type="spellEnd"/>
      <w:r w:rsidR="00F82731" w:rsidRPr="00F82731">
        <w:rPr>
          <w:rFonts w:ascii="Times New Roman" w:eastAsia="Times New Roman" w:hAnsi="Times New Roman" w:cs="Times New Roman"/>
          <w:sz w:val="24"/>
          <w:szCs w:val="24"/>
          <w:lang w:eastAsia="en-IN" w:bidi="ml-IN"/>
        </w:rPr>
        <w:t>, 2020).</w:t>
      </w:r>
      <w:r w:rsidR="000C4700">
        <w:rPr>
          <w:rFonts w:ascii="Times New Roman" w:eastAsia="Times New Roman" w:hAnsi="Times New Roman" w:cs="Times New Roman"/>
          <w:sz w:val="24"/>
          <w:szCs w:val="24"/>
          <w:lang w:eastAsia="en-IN" w:bidi="ml-IN"/>
        </w:rPr>
        <w:t xml:space="preserve"> </w:t>
      </w:r>
      <w:r w:rsidR="00C74DE5">
        <w:rPr>
          <w:rFonts w:ascii="Times New Roman" w:eastAsia="Times New Roman" w:hAnsi="Times New Roman" w:cs="Times New Roman"/>
          <w:sz w:val="24"/>
          <w:szCs w:val="24"/>
          <w:lang w:eastAsia="en-IN" w:bidi="ml-IN"/>
        </w:rPr>
        <w:t xml:space="preserve">As per the LPG profile report released by </w:t>
      </w:r>
      <w:r w:rsidR="00B32239">
        <w:rPr>
          <w:rFonts w:ascii="Times New Roman" w:eastAsia="Times New Roman" w:hAnsi="Times New Roman" w:cs="Times New Roman"/>
          <w:sz w:val="24"/>
          <w:szCs w:val="24"/>
          <w:lang w:eastAsia="en-IN" w:bidi="ml-IN"/>
        </w:rPr>
        <w:t>the Petroleum Planning and Analysis Cell (PPAC), t</w:t>
      </w:r>
      <w:r w:rsidR="000C4700">
        <w:rPr>
          <w:rFonts w:ascii="Times New Roman" w:eastAsia="Times New Roman" w:hAnsi="Times New Roman" w:cs="Times New Roman"/>
          <w:sz w:val="24"/>
          <w:szCs w:val="24"/>
          <w:lang w:eastAsia="en-IN" w:bidi="ml-IN"/>
        </w:rPr>
        <w:t>he total number of active domestic LPG consumers served by three government owned public sector Oil Marketing Companies, namely, Indian Oil Corporation Ltd (IOCL), Bharath Petroleum Corporation Ltd (BPCL), and Hindustan Petroleum Corporation Ltd (HPCL), stood at 32.97 crore on 1</w:t>
      </w:r>
      <w:r w:rsidR="000C4700" w:rsidRPr="000C4700">
        <w:rPr>
          <w:rFonts w:ascii="Times New Roman" w:eastAsia="Times New Roman" w:hAnsi="Times New Roman" w:cs="Times New Roman"/>
          <w:sz w:val="24"/>
          <w:szCs w:val="24"/>
          <w:vertAlign w:val="superscript"/>
          <w:lang w:eastAsia="en-IN" w:bidi="ml-IN"/>
        </w:rPr>
        <w:t>st</w:t>
      </w:r>
      <w:r w:rsidR="000C4700">
        <w:rPr>
          <w:rFonts w:ascii="Times New Roman" w:eastAsia="Times New Roman" w:hAnsi="Times New Roman" w:cs="Times New Roman"/>
          <w:sz w:val="24"/>
          <w:szCs w:val="24"/>
          <w:lang w:eastAsia="en-IN" w:bidi="ml-IN"/>
        </w:rPr>
        <w:t xml:space="preserve"> April 2025.</w:t>
      </w:r>
      <w:r w:rsidR="0021027C">
        <w:rPr>
          <w:rFonts w:ascii="Times New Roman" w:eastAsia="Times New Roman" w:hAnsi="Times New Roman" w:cs="Times New Roman"/>
          <w:sz w:val="24"/>
          <w:szCs w:val="24"/>
          <w:lang w:eastAsia="en-IN" w:bidi="ml-IN"/>
        </w:rPr>
        <w:t xml:space="preserve"> These consumers were served by a network of 25,542 LPG distributors.</w:t>
      </w:r>
    </w:p>
    <w:p w14:paraId="61CBC989" w14:textId="11867C60" w:rsidR="00584185" w:rsidRPr="00364786" w:rsidRDefault="003D2841" w:rsidP="00ED2055">
      <w:pPr>
        <w:spacing w:before="240" w:after="0" w:line="276" w:lineRule="auto"/>
        <w:jc w:val="both"/>
        <w:rPr>
          <w:rFonts w:ascii="Times New Roman" w:eastAsia="Times New Roman" w:hAnsi="Times New Roman" w:cs="Times New Roman"/>
          <w:sz w:val="24"/>
          <w:szCs w:val="24"/>
          <w:lang w:eastAsia="en-IN" w:bidi="ml-IN"/>
        </w:rPr>
      </w:pPr>
      <w:r w:rsidRPr="003D2841">
        <w:rPr>
          <w:rFonts w:ascii="Times New Roman" w:eastAsia="Times New Roman" w:hAnsi="Times New Roman" w:cs="Times New Roman"/>
          <w:sz w:val="24"/>
          <w:szCs w:val="24"/>
          <w:lang w:eastAsia="en-IN" w:bidi="ml-IN"/>
        </w:rPr>
        <w:t>Even if accessibility has increased, consumer happiness will determine how long LPG usage can continue to be sustainable. The concept of satisfaction is multifaceted and includes elements like booking simplicity, prompt delivery, subsidy credit transparency, safety precautions, and grievance redressal procedures. Customer happiness is a major factor in determining service loyalty and repeat business. When it comes to LPG services, measuring consumer satisfaction not only aids businesses such as Indane, Bharat Gas, and HP Gas in improving the quality of their services, but it also helps legislators create rules that are more customer-friendly</w:t>
      </w:r>
      <w:r w:rsidR="00D021C5">
        <w:rPr>
          <w:rFonts w:ascii="Times New Roman" w:eastAsia="Times New Roman" w:hAnsi="Times New Roman" w:cs="Times New Roman"/>
          <w:sz w:val="24"/>
          <w:szCs w:val="24"/>
          <w:lang w:eastAsia="en-IN" w:bidi="ml-IN"/>
        </w:rPr>
        <w:t>.</w:t>
      </w:r>
      <w:r w:rsidR="00796080" w:rsidRPr="00796080">
        <w:rPr>
          <w:rFonts w:ascii="Times New Roman" w:eastAsia="Times New Roman" w:hAnsi="Times New Roman" w:cs="Times New Roman"/>
          <w:sz w:val="24"/>
          <w:szCs w:val="24"/>
          <w:lang w:eastAsia="en-IN" w:bidi="ml-IN"/>
        </w:rPr>
        <w:t xml:space="preserve"> </w:t>
      </w:r>
      <w:r w:rsidR="00796080" w:rsidRPr="00706481">
        <w:rPr>
          <w:rFonts w:ascii="Times New Roman" w:eastAsia="Times New Roman" w:hAnsi="Times New Roman" w:cs="Times New Roman"/>
          <w:sz w:val="24"/>
          <w:szCs w:val="24"/>
          <w:lang w:eastAsia="en-IN" w:bidi="ml-IN"/>
        </w:rPr>
        <w:t xml:space="preserve">Furthermore, demographic variables like age, income, and education may have an impact on how </w:t>
      </w:r>
      <w:r w:rsidR="00796080">
        <w:rPr>
          <w:rFonts w:ascii="Times New Roman" w:eastAsia="Times New Roman" w:hAnsi="Times New Roman" w:cs="Times New Roman"/>
          <w:sz w:val="24"/>
          <w:szCs w:val="24"/>
          <w:lang w:eastAsia="en-IN" w:bidi="ml-IN"/>
        </w:rPr>
        <w:t>consumers perceive</w:t>
      </w:r>
      <w:r w:rsidR="00796080" w:rsidRPr="00706481">
        <w:rPr>
          <w:rFonts w:ascii="Times New Roman" w:eastAsia="Times New Roman" w:hAnsi="Times New Roman" w:cs="Times New Roman"/>
          <w:sz w:val="24"/>
          <w:szCs w:val="24"/>
          <w:lang w:eastAsia="en-IN" w:bidi="ml-IN"/>
        </w:rPr>
        <w:t xml:space="preserve"> overall happiness and service quality.</w:t>
      </w:r>
    </w:p>
    <w:p w14:paraId="24DF1974" w14:textId="21C4EB5F" w:rsidR="007E279F" w:rsidRPr="006525C7" w:rsidRDefault="00F40892" w:rsidP="006525C7">
      <w:pPr>
        <w:spacing w:before="240" w:after="0"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w:t>
      </w:r>
      <w:r w:rsidR="003D2841" w:rsidRPr="003D2841">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know more about</w:t>
      </w:r>
      <w:r w:rsidR="003D2841" w:rsidRPr="003D2841">
        <w:rPr>
          <w:rFonts w:ascii="Times New Roman" w:eastAsia="Times New Roman" w:hAnsi="Times New Roman" w:cs="Times New Roman"/>
          <w:sz w:val="24"/>
          <w:szCs w:val="24"/>
          <w:lang w:eastAsia="en-IN" w:bidi="ml-IN"/>
        </w:rPr>
        <w:t xml:space="preserve"> consumer behavio</w:t>
      </w:r>
      <w:r w:rsidR="00C5619B">
        <w:rPr>
          <w:rFonts w:ascii="Times New Roman" w:eastAsia="Times New Roman" w:hAnsi="Times New Roman" w:cs="Times New Roman"/>
          <w:sz w:val="24"/>
          <w:szCs w:val="24"/>
          <w:lang w:eastAsia="en-IN" w:bidi="ml-IN"/>
        </w:rPr>
        <w:t>u</w:t>
      </w:r>
      <w:r w:rsidR="003D2841" w:rsidRPr="003D2841">
        <w:rPr>
          <w:rFonts w:ascii="Times New Roman" w:eastAsia="Times New Roman" w:hAnsi="Times New Roman" w:cs="Times New Roman"/>
          <w:sz w:val="24"/>
          <w:szCs w:val="24"/>
          <w:lang w:eastAsia="en-IN" w:bidi="ml-IN"/>
        </w:rPr>
        <w:t xml:space="preserve">r in the energy industry, this </w:t>
      </w:r>
      <w:r>
        <w:rPr>
          <w:rFonts w:ascii="Times New Roman" w:eastAsia="Times New Roman" w:hAnsi="Times New Roman" w:cs="Times New Roman"/>
          <w:sz w:val="24"/>
          <w:szCs w:val="24"/>
          <w:lang w:eastAsia="en-IN" w:bidi="ml-IN"/>
        </w:rPr>
        <w:t>article</w:t>
      </w:r>
      <w:r w:rsidR="003D2841" w:rsidRPr="003D2841">
        <w:rPr>
          <w:rFonts w:ascii="Times New Roman" w:eastAsia="Times New Roman" w:hAnsi="Times New Roman" w:cs="Times New Roman"/>
          <w:sz w:val="24"/>
          <w:szCs w:val="24"/>
          <w:lang w:eastAsia="en-IN" w:bidi="ml-IN"/>
        </w:rPr>
        <w:t xml:space="preserve"> aims to analy</w:t>
      </w:r>
      <w:r w:rsidR="00C5619B">
        <w:rPr>
          <w:rFonts w:ascii="Times New Roman" w:eastAsia="Times New Roman" w:hAnsi="Times New Roman" w:cs="Times New Roman"/>
          <w:sz w:val="24"/>
          <w:szCs w:val="24"/>
          <w:lang w:eastAsia="en-IN" w:bidi="ml-IN"/>
        </w:rPr>
        <w:t>s</w:t>
      </w:r>
      <w:r w:rsidR="003D2841" w:rsidRPr="003D2841">
        <w:rPr>
          <w:rFonts w:ascii="Times New Roman" w:eastAsia="Times New Roman" w:hAnsi="Times New Roman" w:cs="Times New Roman"/>
          <w:sz w:val="24"/>
          <w:szCs w:val="24"/>
          <w:lang w:eastAsia="en-IN" w:bidi="ml-IN"/>
        </w:rPr>
        <w:t xml:space="preserve">e the degree of satisfaction of LPG consumers </w:t>
      </w:r>
      <w:r w:rsidR="00510ABD">
        <w:rPr>
          <w:rFonts w:ascii="Times New Roman" w:eastAsia="Times New Roman" w:hAnsi="Times New Roman" w:cs="Times New Roman"/>
          <w:sz w:val="24"/>
          <w:szCs w:val="24"/>
          <w:lang w:eastAsia="en-IN" w:bidi="ml-IN"/>
        </w:rPr>
        <w:t xml:space="preserve">in Kerala </w:t>
      </w:r>
      <w:r w:rsidR="003D2841" w:rsidRPr="003D2841">
        <w:rPr>
          <w:rFonts w:ascii="Times New Roman" w:eastAsia="Times New Roman" w:hAnsi="Times New Roman" w:cs="Times New Roman"/>
          <w:sz w:val="24"/>
          <w:szCs w:val="24"/>
          <w:lang w:eastAsia="en-IN" w:bidi="ml-IN"/>
        </w:rPr>
        <w:t xml:space="preserve">with regard to demographic characteristics and service </w:t>
      </w:r>
      <w:r w:rsidR="00510ABD">
        <w:rPr>
          <w:rFonts w:ascii="Times New Roman" w:eastAsia="Times New Roman" w:hAnsi="Times New Roman" w:cs="Times New Roman"/>
          <w:sz w:val="24"/>
          <w:szCs w:val="24"/>
          <w:lang w:eastAsia="en-IN" w:bidi="ml-IN"/>
        </w:rPr>
        <w:t>attributes</w:t>
      </w:r>
      <w:r w:rsidR="003D2841" w:rsidRPr="003D2841">
        <w:rPr>
          <w:rFonts w:ascii="Times New Roman" w:eastAsia="Times New Roman" w:hAnsi="Times New Roman" w:cs="Times New Roman"/>
          <w:sz w:val="24"/>
          <w:szCs w:val="24"/>
          <w:lang w:eastAsia="en-IN" w:bidi="ml-IN"/>
        </w:rPr>
        <w:t>.</w:t>
      </w:r>
    </w:p>
    <w:p w14:paraId="4599BB34" w14:textId="77777777" w:rsidR="006525C7" w:rsidRPr="004F693A" w:rsidRDefault="006525C7" w:rsidP="006525C7">
      <w:pPr>
        <w:spacing w:before="240" w:after="0" w:line="276" w:lineRule="auto"/>
        <w:jc w:val="both"/>
        <w:rPr>
          <w:rFonts w:ascii="Times New Roman" w:eastAsia="Times New Roman" w:hAnsi="Times New Roman" w:cs="Times New Roman"/>
          <w:sz w:val="24"/>
          <w:szCs w:val="24"/>
          <w:lang w:eastAsia="en-IN" w:bidi="ml-IN"/>
        </w:rPr>
      </w:pPr>
      <w:r w:rsidRPr="004F693A">
        <w:rPr>
          <w:rFonts w:ascii="Times New Roman" w:eastAsia="Times New Roman" w:hAnsi="Times New Roman" w:cs="Times New Roman"/>
          <w:b/>
          <w:bCs/>
          <w:sz w:val="24"/>
          <w:szCs w:val="24"/>
          <w:lang w:eastAsia="en-IN" w:bidi="ml-IN"/>
        </w:rPr>
        <w:t>Literature Review</w:t>
      </w:r>
    </w:p>
    <w:p w14:paraId="35AF8CC3" w14:textId="77777777" w:rsidR="006525C7" w:rsidRPr="00EA3547" w:rsidRDefault="006525C7" w:rsidP="006525C7">
      <w:pPr>
        <w:spacing w:before="240" w:after="0" w:line="360" w:lineRule="auto"/>
        <w:jc w:val="both"/>
        <w:rPr>
          <w:rFonts w:ascii="Times New Roman" w:eastAsia="Times New Roman" w:hAnsi="Times New Roman" w:cs="Times New Roman"/>
          <w:sz w:val="24"/>
          <w:szCs w:val="24"/>
          <w:lang w:eastAsia="en-IN" w:bidi="ml-IN"/>
        </w:rPr>
      </w:pPr>
      <w:r w:rsidRPr="00670DCA">
        <w:rPr>
          <w:rFonts w:ascii="Times New Roman" w:eastAsia="Times New Roman" w:hAnsi="Times New Roman" w:cs="Times New Roman"/>
          <w:sz w:val="24"/>
          <w:szCs w:val="24"/>
          <w:lang w:eastAsia="en-IN" w:bidi="ml-IN"/>
        </w:rPr>
        <w:t xml:space="preserve">The </w:t>
      </w:r>
      <w:r>
        <w:rPr>
          <w:rFonts w:ascii="Times New Roman" w:eastAsia="Times New Roman" w:hAnsi="Times New Roman" w:cs="Times New Roman"/>
          <w:sz w:val="24"/>
          <w:szCs w:val="24"/>
          <w:lang w:eastAsia="en-IN" w:bidi="ml-IN"/>
        </w:rPr>
        <w:t>slogan</w:t>
      </w:r>
      <w:r w:rsidRPr="00670DCA">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r w:rsidRPr="00670DCA">
        <w:rPr>
          <w:rFonts w:ascii="Times New Roman" w:eastAsia="Times New Roman" w:hAnsi="Times New Roman" w:cs="Times New Roman"/>
          <w:sz w:val="24"/>
          <w:szCs w:val="24"/>
          <w:lang w:eastAsia="en-IN" w:bidi="ml-IN"/>
        </w:rPr>
        <w:t>customer satisfaction</w:t>
      </w:r>
      <w:r>
        <w:rPr>
          <w:rFonts w:ascii="Times New Roman" w:eastAsia="Times New Roman" w:hAnsi="Times New Roman" w:cs="Times New Roman"/>
          <w:sz w:val="24"/>
          <w:szCs w:val="24"/>
          <w:lang w:eastAsia="en-IN" w:bidi="ml-IN"/>
        </w:rPr>
        <w:t>”</w:t>
      </w:r>
      <w:r w:rsidRPr="00670DCA">
        <w:rPr>
          <w:rFonts w:ascii="Times New Roman" w:eastAsia="Times New Roman" w:hAnsi="Times New Roman" w:cs="Times New Roman"/>
          <w:sz w:val="24"/>
          <w:szCs w:val="24"/>
          <w:lang w:eastAsia="en-IN" w:bidi="ml-IN"/>
        </w:rPr>
        <w:t xml:space="preserve"> is the primary objective of any organi</w:t>
      </w:r>
      <w:r>
        <w:rPr>
          <w:rFonts w:ascii="Times New Roman" w:eastAsia="Times New Roman" w:hAnsi="Times New Roman" w:cs="Times New Roman"/>
          <w:sz w:val="24"/>
          <w:szCs w:val="24"/>
          <w:lang w:eastAsia="en-IN" w:bidi="ml-IN"/>
        </w:rPr>
        <w:t>s</w:t>
      </w:r>
      <w:r w:rsidRPr="00670DCA">
        <w:rPr>
          <w:rFonts w:ascii="Times New Roman" w:eastAsia="Times New Roman" w:hAnsi="Times New Roman" w:cs="Times New Roman"/>
          <w:sz w:val="24"/>
          <w:szCs w:val="24"/>
          <w:lang w:eastAsia="en-IN" w:bidi="ml-IN"/>
        </w:rPr>
        <w:t xml:space="preserve">ation worldwide. A company can only advance if the performance of its product can satisfy its </w:t>
      </w:r>
      <w:r>
        <w:rPr>
          <w:rFonts w:ascii="Times New Roman" w:eastAsia="Times New Roman" w:hAnsi="Times New Roman" w:cs="Times New Roman"/>
          <w:sz w:val="24"/>
          <w:szCs w:val="24"/>
          <w:lang w:eastAsia="en-IN" w:bidi="ml-IN"/>
        </w:rPr>
        <w:t>consumers</w:t>
      </w:r>
      <w:r w:rsidRPr="00670DCA">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A customer</w:t>
      </w:r>
      <w:r w:rsidRPr="00670DCA">
        <w:rPr>
          <w:rFonts w:ascii="Times New Roman" w:eastAsia="Times New Roman" w:hAnsi="Times New Roman" w:cs="Times New Roman"/>
          <w:sz w:val="24"/>
          <w:szCs w:val="24"/>
          <w:lang w:eastAsia="en-IN" w:bidi="ml-IN"/>
        </w:rPr>
        <w:t xml:space="preserve"> is satisfied </w:t>
      </w:r>
      <w:r>
        <w:rPr>
          <w:rFonts w:ascii="Times New Roman" w:eastAsia="Times New Roman" w:hAnsi="Times New Roman" w:cs="Times New Roman"/>
          <w:sz w:val="24"/>
          <w:szCs w:val="24"/>
          <w:lang w:eastAsia="en-IN" w:bidi="ml-IN"/>
        </w:rPr>
        <w:t xml:space="preserve">only </w:t>
      </w:r>
      <w:r w:rsidRPr="00670DCA">
        <w:rPr>
          <w:rFonts w:ascii="Times New Roman" w:eastAsia="Times New Roman" w:hAnsi="Times New Roman" w:cs="Times New Roman"/>
          <w:sz w:val="24"/>
          <w:szCs w:val="24"/>
          <w:lang w:eastAsia="en-IN" w:bidi="ml-IN"/>
        </w:rPr>
        <w:t>when the goods they purchased has fulfilled their expectations. Khan et al. (2009)</w:t>
      </w:r>
      <w:r>
        <w:rPr>
          <w:rFonts w:ascii="Times New Roman" w:eastAsia="Times New Roman" w:hAnsi="Times New Roman" w:cs="Times New Roman"/>
          <w:sz w:val="24"/>
          <w:szCs w:val="24"/>
          <w:lang w:eastAsia="en-IN" w:bidi="ml-IN"/>
        </w:rPr>
        <w:t xml:space="preserve"> stated</w:t>
      </w:r>
      <w:r w:rsidRPr="00670DCA">
        <w:rPr>
          <w:rFonts w:ascii="Times New Roman" w:eastAsia="Times New Roman" w:hAnsi="Times New Roman" w:cs="Times New Roman"/>
          <w:sz w:val="24"/>
          <w:szCs w:val="24"/>
          <w:lang w:eastAsia="en-IN" w:bidi="ml-IN"/>
        </w:rPr>
        <w:t xml:space="preserve"> this expectation can include things like cheap cost, high performance, high resistivity, rigidity, etc. with reference to internet banking in India. </w:t>
      </w:r>
      <w:r>
        <w:rPr>
          <w:rFonts w:ascii="Times New Roman" w:eastAsia="Times New Roman" w:hAnsi="Times New Roman" w:cs="Times New Roman"/>
          <w:sz w:val="24"/>
          <w:szCs w:val="24"/>
          <w:lang w:eastAsia="en-IN" w:bidi="ml-IN"/>
        </w:rPr>
        <w:t xml:space="preserve">In a study on </w:t>
      </w:r>
      <w:r w:rsidRPr="00670DCA">
        <w:rPr>
          <w:rFonts w:ascii="Times New Roman" w:eastAsia="Times New Roman" w:hAnsi="Times New Roman" w:cs="Times New Roman"/>
          <w:sz w:val="24"/>
          <w:szCs w:val="24"/>
          <w:lang w:eastAsia="en-IN" w:bidi="ml-IN"/>
        </w:rPr>
        <w:t>telecom sector</w:t>
      </w:r>
      <w:r>
        <w:rPr>
          <w:rFonts w:ascii="Times New Roman" w:eastAsia="Times New Roman" w:hAnsi="Times New Roman" w:cs="Times New Roman"/>
          <w:sz w:val="24"/>
          <w:szCs w:val="24"/>
          <w:lang w:eastAsia="en-IN" w:bidi="ml-IN"/>
        </w:rPr>
        <w:t xml:space="preserve">, </w:t>
      </w:r>
      <w:r w:rsidRPr="00670DCA">
        <w:rPr>
          <w:rFonts w:ascii="Times New Roman" w:eastAsia="Times New Roman" w:hAnsi="Times New Roman" w:cs="Times New Roman"/>
          <w:sz w:val="24"/>
          <w:szCs w:val="24"/>
          <w:lang w:eastAsia="en-IN" w:bidi="ml-IN"/>
        </w:rPr>
        <w:t>Ojo (2010)</w:t>
      </w:r>
      <w:r>
        <w:rPr>
          <w:rFonts w:ascii="Times New Roman" w:eastAsia="Times New Roman" w:hAnsi="Times New Roman" w:cs="Times New Roman"/>
          <w:sz w:val="24"/>
          <w:szCs w:val="24"/>
          <w:lang w:eastAsia="en-IN" w:bidi="ml-IN"/>
        </w:rPr>
        <w:t xml:space="preserve"> found that</w:t>
      </w:r>
      <w:r w:rsidRPr="00670DCA">
        <w:rPr>
          <w:rFonts w:ascii="Times New Roman" w:eastAsia="Times New Roman" w:hAnsi="Times New Roman" w:cs="Times New Roman"/>
          <w:sz w:val="24"/>
          <w:szCs w:val="24"/>
          <w:lang w:eastAsia="en-IN" w:bidi="ml-IN"/>
        </w:rPr>
        <w:t xml:space="preserve"> customer satisfaction and service quality are positively correlated.</w:t>
      </w:r>
      <w:r w:rsidRPr="007025A9">
        <w:rPr>
          <w:rFonts w:ascii="Times New Roman" w:eastAsia="Times New Roman" w:hAnsi="Times New Roman" w:cs="Times New Roman"/>
          <w:sz w:val="24"/>
          <w:szCs w:val="24"/>
          <w:lang w:eastAsia="en-IN" w:bidi="ml-IN"/>
        </w:rPr>
        <w:t xml:space="preserve"> Sandhu and Bala (2011)</w:t>
      </w:r>
      <w:r>
        <w:rPr>
          <w:rFonts w:ascii="Times New Roman" w:eastAsia="Times New Roman" w:hAnsi="Times New Roman" w:cs="Times New Roman"/>
          <w:sz w:val="24"/>
          <w:szCs w:val="24"/>
          <w:lang w:eastAsia="en-IN" w:bidi="ml-IN"/>
        </w:rPr>
        <w:t xml:space="preserve"> affirms that</w:t>
      </w:r>
      <w:r w:rsidRPr="007025A9">
        <w:rPr>
          <w:rFonts w:ascii="Times New Roman" w:eastAsia="Times New Roman" w:hAnsi="Times New Roman" w:cs="Times New Roman"/>
          <w:sz w:val="24"/>
          <w:szCs w:val="24"/>
          <w:lang w:eastAsia="en-IN" w:bidi="ml-IN"/>
        </w:rPr>
        <w:t xml:space="preserve"> service quality becomes a</w:t>
      </w:r>
      <w:r>
        <w:rPr>
          <w:rFonts w:ascii="Times New Roman" w:eastAsia="Times New Roman" w:hAnsi="Times New Roman" w:cs="Times New Roman"/>
          <w:sz w:val="24"/>
          <w:szCs w:val="24"/>
          <w:lang w:eastAsia="en-IN" w:bidi="ml-IN"/>
        </w:rPr>
        <w:t>n instrumental coefficient</w:t>
      </w:r>
      <w:r w:rsidRPr="007025A9">
        <w:rPr>
          <w:rFonts w:ascii="Times New Roman" w:eastAsia="Times New Roman" w:hAnsi="Times New Roman" w:cs="Times New Roman"/>
          <w:sz w:val="24"/>
          <w:szCs w:val="24"/>
          <w:lang w:eastAsia="en-IN" w:bidi="ml-IN"/>
        </w:rPr>
        <w:t xml:space="preserve"> in today</w:t>
      </w:r>
      <w:r>
        <w:rPr>
          <w:rFonts w:ascii="Times New Roman" w:eastAsia="Times New Roman" w:hAnsi="Times New Roman" w:cs="Times New Roman"/>
          <w:sz w:val="24"/>
          <w:szCs w:val="24"/>
          <w:lang w:eastAsia="en-IN" w:bidi="ml-IN"/>
        </w:rPr>
        <w:t>’</w:t>
      </w:r>
      <w:r w:rsidRPr="007025A9">
        <w:rPr>
          <w:rFonts w:ascii="Times New Roman" w:eastAsia="Times New Roman" w:hAnsi="Times New Roman" w:cs="Times New Roman"/>
          <w:sz w:val="24"/>
          <w:szCs w:val="24"/>
          <w:lang w:eastAsia="en-IN" w:bidi="ml-IN"/>
        </w:rPr>
        <w:t>s cut</w:t>
      </w:r>
      <w:r>
        <w:rPr>
          <w:rFonts w:ascii="Times New Roman" w:eastAsia="Times New Roman" w:hAnsi="Times New Roman" w:cs="Times New Roman"/>
          <w:sz w:val="24"/>
          <w:szCs w:val="24"/>
          <w:lang w:eastAsia="en-IN" w:bidi="ml-IN"/>
        </w:rPr>
        <w:t>-</w:t>
      </w:r>
      <w:r w:rsidRPr="007025A9">
        <w:rPr>
          <w:rFonts w:ascii="Times New Roman" w:eastAsia="Times New Roman" w:hAnsi="Times New Roman" w:cs="Times New Roman"/>
          <w:sz w:val="24"/>
          <w:szCs w:val="24"/>
          <w:lang w:eastAsia="en-IN" w:bidi="ml-IN"/>
        </w:rPr>
        <w:t xml:space="preserve">throat economy. </w:t>
      </w:r>
      <w:proofErr w:type="spellStart"/>
      <w:r w:rsidRPr="007025A9">
        <w:rPr>
          <w:rFonts w:ascii="Times New Roman" w:eastAsia="Times New Roman" w:hAnsi="Times New Roman" w:cs="Times New Roman"/>
          <w:sz w:val="24"/>
          <w:szCs w:val="24"/>
          <w:lang w:eastAsia="en-IN" w:bidi="ml-IN"/>
        </w:rPr>
        <w:t>Charoenpong</w:t>
      </w:r>
      <w:proofErr w:type="spellEnd"/>
      <w:r w:rsidRPr="007025A9">
        <w:rPr>
          <w:rFonts w:ascii="Times New Roman" w:eastAsia="Times New Roman" w:hAnsi="Times New Roman" w:cs="Times New Roman"/>
          <w:sz w:val="24"/>
          <w:szCs w:val="24"/>
          <w:lang w:eastAsia="en-IN" w:bidi="ml-IN"/>
        </w:rPr>
        <w:t xml:space="preserve"> (2003) asserts that customer satisfaction is measured </w:t>
      </w:r>
      <w:r w:rsidRPr="007025A9">
        <w:rPr>
          <w:rFonts w:ascii="Times New Roman" w:eastAsia="Times New Roman" w:hAnsi="Times New Roman" w:cs="Times New Roman"/>
          <w:sz w:val="24"/>
          <w:szCs w:val="24"/>
          <w:lang w:eastAsia="en-IN" w:bidi="ml-IN"/>
        </w:rPr>
        <w:lastRenderedPageBreak/>
        <w:t xml:space="preserve">by the quality of the services </w:t>
      </w:r>
      <w:r>
        <w:rPr>
          <w:rFonts w:ascii="Times New Roman" w:eastAsia="Times New Roman" w:hAnsi="Times New Roman" w:cs="Times New Roman"/>
          <w:sz w:val="24"/>
          <w:szCs w:val="24"/>
          <w:lang w:eastAsia="en-IN" w:bidi="ml-IN"/>
        </w:rPr>
        <w:t>offer</w:t>
      </w:r>
      <w:r w:rsidRPr="007025A9">
        <w:rPr>
          <w:rFonts w:ascii="Times New Roman" w:eastAsia="Times New Roman" w:hAnsi="Times New Roman" w:cs="Times New Roman"/>
          <w:sz w:val="24"/>
          <w:szCs w:val="24"/>
          <w:lang w:eastAsia="en-IN" w:bidi="ml-IN"/>
        </w:rPr>
        <w:t>ed.</w:t>
      </w:r>
      <w:r w:rsidRPr="00DE2168">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In the present day hyper competitive business world, the s</w:t>
      </w:r>
      <w:r w:rsidRPr="00FA0F92">
        <w:rPr>
          <w:rFonts w:ascii="Times New Roman" w:eastAsia="Times New Roman" w:hAnsi="Times New Roman" w:cs="Times New Roman"/>
          <w:sz w:val="24"/>
          <w:szCs w:val="24"/>
          <w:lang w:eastAsia="en-IN" w:bidi="ml-IN"/>
        </w:rPr>
        <w:t xml:space="preserve">ervice quality has emerged as the success </w:t>
      </w:r>
      <w:r>
        <w:rPr>
          <w:rFonts w:ascii="Times New Roman" w:eastAsia="Times New Roman" w:hAnsi="Times New Roman" w:cs="Times New Roman"/>
          <w:sz w:val="24"/>
          <w:szCs w:val="24"/>
          <w:lang w:eastAsia="en-IN" w:bidi="ml-IN"/>
        </w:rPr>
        <w:t>mantra for all services sector (Vinayagamoorthy et al., 2007). Anyon (2009)</w:t>
      </w:r>
      <w:r w:rsidRPr="00A3210B">
        <w:rPr>
          <w:rFonts w:ascii="Times New Roman" w:eastAsia="Times New Roman" w:hAnsi="Times New Roman" w:cs="Times New Roman"/>
          <w:sz w:val="24"/>
          <w:szCs w:val="24"/>
          <w:lang w:eastAsia="en-IN" w:bidi="ml-IN"/>
        </w:rPr>
        <w:t xml:space="preserve"> came to the conclusion that, in addition to lowering the cost of providing social services and health care, gains in public health brought about by the use of cleaner fuels also benefit the larger economy by preventing the negative effects of decreased productivity.</w:t>
      </w:r>
      <w:r w:rsidRPr="00BD681A">
        <w:rPr>
          <w:rFonts w:ascii="Times New Roman" w:eastAsia="Times New Roman" w:hAnsi="Times New Roman" w:cs="Times New Roman"/>
          <w:sz w:val="24"/>
          <w:szCs w:val="24"/>
          <w:lang w:eastAsia="en-IN" w:bidi="ml-IN"/>
        </w:rPr>
        <w:t xml:space="preserve"> </w:t>
      </w:r>
      <w:r w:rsidRPr="00382240">
        <w:rPr>
          <w:rFonts w:ascii="Times New Roman" w:eastAsia="Times New Roman" w:hAnsi="Times New Roman" w:cs="Times New Roman"/>
          <w:sz w:val="24"/>
          <w:szCs w:val="24"/>
          <w:lang w:eastAsia="en-IN" w:bidi="ml-IN"/>
        </w:rPr>
        <w:t>Johnson (2012) predicted that 445 million people would switch to LP Gas for cooking by 2015, and that 730 million more would do the same by 2030.</w:t>
      </w:r>
      <w:r w:rsidRPr="002544DB">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Cavalcanti &amp; Lins (2011) reported that b</w:t>
      </w:r>
      <w:r w:rsidRPr="00382240">
        <w:rPr>
          <w:rFonts w:ascii="Times New Roman" w:eastAsia="Times New Roman" w:hAnsi="Times New Roman" w:cs="Times New Roman"/>
          <w:sz w:val="24"/>
          <w:szCs w:val="24"/>
          <w:lang w:eastAsia="en-IN" w:bidi="ml-IN"/>
        </w:rPr>
        <w:t>y providing customers with useful information about how to handle LPG, LPG distributors can improve their relationships with customers. In order to demonstrate to customers that they are truly making an impact, it is critical for businesses to regularly deliver favo</w:t>
      </w:r>
      <w:r>
        <w:rPr>
          <w:rFonts w:ascii="Times New Roman" w:eastAsia="Times New Roman" w:hAnsi="Times New Roman" w:cs="Times New Roman"/>
          <w:sz w:val="24"/>
          <w:szCs w:val="24"/>
          <w:lang w:eastAsia="en-IN" w:bidi="ml-IN"/>
        </w:rPr>
        <w:t>u</w:t>
      </w:r>
      <w:r w:rsidRPr="00382240">
        <w:rPr>
          <w:rFonts w:ascii="Times New Roman" w:eastAsia="Times New Roman" w:hAnsi="Times New Roman" w:cs="Times New Roman"/>
          <w:sz w:val="24"/>
          <w:szCs w:val="24"/>
          <w:lang w:eastAsia="en-IN" w:bidi="ml-IN"/>
        </w:rPr>
        <w:t>rable feedback.</w:t>
      </w:r>
      <w:r>
        <w:rPr>
          <w:rFonts w:ascii="Times New Roman" w:eastAsia="Times New Roman" w:hAnsi="Times New Roman" w:cs="Times New Roman"/>
          <w:sz w:val="24"/>
          <w:szCs w:val="24"/>
          <w:lang w:eastAsia="en-IN" w:bidi="ml-IN"/>
        </w:rPr>
        <w:t xml:space="preserve"> </w:t>
      </w:r>
      <w:r w:rsidRPr="00050668">
        <w:rPr>
          <w:rFonts w:ascii="Times New Roman" w:eastAsia="Times New Roman" w:hAnsi="Times New Roman" w:cs="Times New Roman"/>
          <w:sz w:val="24"/>
          <w:szCs w:val="24"/>
          <w:lang w:eastAsia="en-IN" w:bidi="ml-IN"/>
        </w:rPr>
        <w:t xml:space="preserve">Chikwendu (2011) </w:t>
      </w:r>
      <w:r>
        <w:rPr>
          <w:rFonts w:ascii="Times New Roman" w:eastAsia="Times New Roman" w:hAnsi="Times New Roman" w:cs="Times New Roman"/>
          <w:sz w:val="24"/>
          <w:szCs w:val="24"/>
          <w:lang w:eastAsia="en-IN" w:bidi="ml-IN"/>
        </w:rPr>
        <w:t>remarked that m</w:t>
      </w:r>
      <w:r w:rsidRPr="00050668">
        <w:rPr>
          <w:rFonts w:ascii="Times New Roman" w:eastAsia="Times New Roman" w:hAnsi="Times New Roman" w:cs="Times New Roman"/>
          <w:sz w:val="24"/>
          <w:szCs w:val="24"/>
          <w:lang w:eastAsia="en-IN" w:bidi="ml-IN"/>
        </w:rPr>
        <w:t>aking LPG accessible to all across socioeconomic groups can be achieved by strategically placing LPG depots across the country to assure uninterrupted product availability and price stability</w:t>
      </w:r>
      <w:r>
        <w:rPr>
          <w:rFonts w:ascii="Times New Roman" w:eastAsia="Times New Roman" w:hAnsi="Times New Roman" w:cs="Times New Roman"/>
          <w:sz w:val="24"/>
          <w:szCs w:val="24"/>
          <w:lang w:eastAsia="en-IN" w:bidi="ml-IN"/>
        </w:rPr>
        <w:t>. Kutty (2012)</w:t>
      </w:r>
      <w:r w:rsidRPr="00050668">
        <w:rPr>
          <w:rFonts w:ascii="Times New Roman" w:eastAsia="Times New Roman" w:hAnsi="Times New Roman" w:cs="Times New Roman"/>
          <w:sz w:val="24"/>
          <w:szCs w:val="24"/>
          <w:lang w:eastAsia="en-IN" w:bidi="ml-IN"/>
        </w:rPr>
        <w:t xml:space="preserve"> came to the conclusion that LPG is now the safest residential fuel as the number of domestic accidents caused by it has decreased to a negligible 0.23 ppm.</w:t>
      </w:r>
      <w:r>
        <w:rPr>
          <w:rFonts w:ascii="Times New Roman" w:eastAsia="Times New Roman" w:hAnsi="Times New Roman" w:cs="Times New Roman"/>
          <w:sz w:val="24"/>
          <w:szCs w:val="24"/>
          <w:lang w:eastAsia="en-IN" w:bidi="ml-IN"/>
        </w:rPr>
        <w:t xml:space="preserve"> </w:t>
      </w:r>
      <w:r w:rsidRPr="00351E09">
        <w:rPr>
          <w:rFonts w:ascii="Times New Roman" w:eastAsia="Times New Roman" w:hAnsi="Times New Roman" w:cs="Times New Roman"/>
          <w:sz w:val="24"/>
          <w:szCs w:val="24"/>
          <w:lang w:eastAsia="en-IN" w:bidi="ml-IN"/>
        </w:rPr>
        <w:t xml:space="preserve">According to </w:t>
      </w:r>
      <w:proofErr w:type="spellStart"/>
      <w:r w:rsidRPr="00351E09">
        <w:rPr>
          <w:rFonts w:ascii="Times New Roman" w:eastAsia="Times New Roman" w:hAnsi="Times New Roman" w:cs="Times New Roman"/>
          <w:sz w:val="24"/>
          <w:szCs w:val="24"/>
          <w:lang w:eastAsia="en-IN" w:bidi="ml-IN"/>
        </w:rPr>
        <w:t>Jarurungsipong</w:t>
      </w:r>
      <w:proofErr w:type="spellEnd"/>
      <w:r w:rsidRPr="00351E09">
        <w:rPr>
          <w:rFonts w:ascii="Times New Roman" w:eastAsia="Times New Roman" w:hAnsi="Times New Roman" w:cs="Times New Roman"/>
          <w:sz w:val="24"/>
          <w:szCs w:val="24"/>
          <w:lang w:eastAsia="en-IN" w:bidi="ml-IN"/>
        </w:rPr>
        <w:t xml:space="preserve"> &amp; </w:t>
      </w:r>
      <w:proofErr w:type="spellStart"/>
      <w:r w:rsidRPr="00351E09">
        <w:rPr>
          <w:rFonts w:ascii="Times New Roman" w:eastAsia="Times New Roman" w:hAnsi="Times New Roman" w:cs="Times New Roman"/>
          <w:sz w:val="24"/>
          <w:szCs w:val="24"/>
          <w:lang w:eastAsia="en-IN" w:bidi="ml-IN"/>
        </w:rPr>
        <w:t>Rakthum</w:t>
      </w:r>
      <w:proofErr w:type="spellEnd"/>
      <w:r w:rsidRPr="00351E09">
        <w:rPr>
          <w:rFonts w:ascii="Times New Roman" w:eastAsia="Times New Roman" w:hAnsi="Times New Roman" w:cs="Times New Roman"/>
          <w:sz w:val="24"/>
          <w:szCs w:val="24"/>
          <w:lang w:eastAsia="en-IN" w:bidi="ml-IN"/>
        </w:rPr>
        <w:t xml:space="preserve"> (2012), if the government permits retail LPG prices in all categories to increase to market pricing, LPG use will be drastically decreased.</w:t>
      </w:r>
      <w:r w:rsidRPr="00D171CA">
        <w:rPr>
          <w:rFonts w:ascii="Times New Roman" w:eastAsia="Times New Roman" w:hAnsi="Times New Roman" w:cs="Times New Roman"/>
          <w:sz w:val="24"/>
          <w:szCs w:val="24"/>
          <w:lang w:eastAsia="en-IN" w:bidi="ml-IN"/>
        </w:rPr>
        <w:t xml:space="preserve"> </w:t>
      </w:r>
      <w:r w:rsidRPr="00EA3547">
        <w:rPr>
          <w:rFonts w:ascii="Times New Roman" w:eastAsia="Times New Roman" w:hAnsi="Times New Roman" w:cs="Times New Roman"/>
          <w:sz w:val="24"/>
          <w:szCs w:val="24"/>
          <w:lang w:eastAsia="en-IN" w:bidi="ml-IN"/>
        </w:rPr>
        <w:t>Patil (2012)</w:t>
      </w:r>
      <w:r>
        <w:rPr>
          <w:rFonts w:ascii="Times New Roman" w:eastAsia="Times New Roman" w:hAnsi="Times New Roman" w:cs="Times New Roman"/>
          <w:sz w:val="24"/>
          <w:szCs w:val="24"/>
          <w:lang w:eastAsia="en-IN" w:bidi="ml-IN"/>
        </w:rPr>
        <w:t xml:space="preserve"> observed that</w:t>
      </w:r>
      <w:r w:rsidRPr="00EA3547">
        <w:rPr>
          <w:rFonts w:ascii="Times New Roman" w:eastAsia="Times New Roman" w:hAnsi="Times New Roman" w:cs="Times New Roman"/>
          <w:sz w:val="24"/>
          <w:szCs w:val="24"/>
          <w:lang w:eastAsia="en-IN" w:bidi="ml-IN"/>
        </w:rPr>
        <w:t xml:space="preserve"> the gas agency has a solid track record of offering its clients acceptable after-sales services. According to the observations, the majority of consumers have a favo</w:t>
      </w:r>
      <w:r>
        <w:rPr>
          <w:rFonts w:ascii="Times New Roman" w:eastAsia="Times New Roman" w:hAnsi="Times New Roman" w:cs="Times New Roman"/>
          <w:sz w:val="24"/>
          <w:szCs w:val="24"/>
          <w:lang w:eastAsia="en-IN" w:bidi="ml-IN"/>
        </w:rPr>
        <w:t>u</w:t>
      </w:r>
      <w:r w:rsidRPr="00EA3547">
        <w:rPr>
          <w:rFonts w:ascii="Times New Roman" w:eastAsia="Times New Roman" w:hAnsi="Times New Roman" w:cs="Times New Roman"/>
          <w:sz w:val="24"/>
          <w:szCs w:val="24"/>
          <w:lang w:eastAsia="en-IN" w:bidi="ml-IN"/>
        </w:rPr>
        <w:t>rable opinion of that specific gas company and are happy with its services, which include trained mechanics, staff support, and timely and safe delivery.</w:t>
      </w:r>
      <w:r w:rsidRPr="00E0037D">
        <w:rPr>
          <w:rFonts w:ascii="Times New Roman" w:eastAsia="Times New Roman" w:hAnsi="Times New Roman" w:cs="Times New Roman"/>
          <w:sz w:val="24"/>
          <w:szCs w:val="24"/>
          <w:lang w:eastAsia="en-IN" w:bidi="ml-IN"/>
        </w:rPr>
        <w:t xml:space="preserve"> </w:t>
      </w:r>
      <w:r w:rsidRPr="0066516C">
        <w:rPr>
          <w:rFonts w:ascii="Times New Roman" w:eastAsia="Times New Roman" w:hAnsi="Times New Roman" w:cs="Times New Roman"/>
          <w:sz w:val="24"/>
          <w:szCs w:val="24"/>
          <w:lang w:eastAsia="en-IN" w:bidi="ml-IN"/>
        </w:rPr>
        <w:t xml:space="preserve">Through the use of a novel, environmentally friendly technology based on methane fermentation and the market segmentation technique, </w:t>
      </w:r>
      <w:r>
        <w:rPr>
          <w:rFonts w:ascii="Times New Roman" w:eastAsia="Times New Roman" w:hAnsi="Times New Roman" w:cs="Times New Roman"/>
          <w:sz w:val="24"/>
          <w:szCs w:val="24"/>
          <w:lang w:eastAsia="en-IN" w:bidi="ml-IN"/>
        </w:rPr>
        <w:t>Coello, et al. (2022)</w:t>
      </w:r>
      <w:r w:rsidRPr="0066516C">
        <w:rPr>
          <w:rFonts w:ascii="Times New Roman" w:eastAsia="Times New Roman" w:hAnsi="Times New Roman" w:cs="Times New Roman"/>
          <w:sz w:val="24"/>
          <w:szCs w:val="24"/>
          <w:lang w:eastAsia="en-IN" w:bidi="ml-IN"/>
        </w:rPr>
        <w:t xml:space="preserve"> have uncovered how the families in the marginal urban area view the reality of </w:t>
      </w:r>
      <w:r>
        <w:rPr>
          <w:rFonts w:ascii="Times New Roman" w:eastAsia="Times New Roman" w:hAnsi="Times New Roman" w:cs="Times New Roman"/>
          <w:sz w:val="24"/>
          <w:szCs w:val="24"/>
          <w:lang w:eastAsia="en-IN" w:bidi="ml-IN"/>
        </w:rPr>
        <w:t xml:space="preserve">use of </w:t>
      </w:r>
      <w:r w:rsidRPr="0066516C">
        <w:rPr>
          <w:rFonts w:ascii="Times New Roman" w:eastAsia="Times New Roman" w:hAnsi="Times New Roman" w:cs="Times New Roman"/>
          <w:sz w:val="24"/>
          <w:szCs w:val="24"/>
          <w:lang w:eastAsia="en-IN" w:bidi="ml-IN"/>
        </w:rPr>
        <w:t>LPG gas</w:t>
      </w:r>
      <w:r>
        <w:rPr>
          <w:rFonts w:ascii="Times New Roman" w:eastAsia="Times New Roman" w:hAnsi="Times New Roman" w:cs="Times New Roman"/>
          <w:sz w:val="24"/>
          <w:szCs w:val="24"/>
          <w:lang w:eastAsia="en-IN" w:bidi="ml-IN"/>
        </w:rPr>
        <w:t xml:space="preserve"> </w:t>
      </w:r>
      <w:r w:rsidRPr="0066516C">
        <w:rPr>
          <w:rFonts w:ascii="Times New Roman" w:eastAsia="Times New Roman" w:hAnsi="Times New Roman" w:cs="Times New Roman"/>
          <w:sz w:val="24"/>
          <w:szCs w:val="24"/>
          <w:lang w:eastAsia="en-IN" w:bidi="ml-IN"/>
        </w:rPr>
        <w:t>in order to analy</w:t>
      </w:r>
      <w:r>
        <w:rPr>
          <w:rFonts w:ascii="Times New Roman" w:eastAsia="Times New Roman" w:hAnsi="Times New Roman" w:cs="Times New Roman"/>
          <w:sz w:val="24"/>
          <w:szCs w:val="24"/>
          <w:lang w:eastAsia="en-IN" w:bidi="ml-IN"/>
        </w:rPr>
        <w:t>s</w:t>
      </w:r>
      <w:r w:rsidRPr="0066516C">
        <w:rPr>
          <w:rFonts w:ascii="Times New Roman" w:eastAsia="Times New Roman" w:hAnsi="Times New Roman" w:cs="Times New Roman"/>
          <w:sz w:val="24"/>
          <w:szCs w:val="24"/>
          <w:lang w:eastAsia="en-IN" w:bidi="ml-IN"/>
        </w:rPr>
        <w:t>e the beliefs, habits, and consumption patterns. Promoting the use of urban biomass as an alternative to LPG gas is intended to encourage sustainable behavio</w:t>
      </w:r>
      <w:r>
        <w:rPr>
          <w:rFonts w:ascii="Times New Roman" w:eastAsia="Times New Roman" w:hAnsi="Times New Roman" w:cs="Times New Roman"/>
          <w:sz w:val="24"/>
          <w:szCs w:val="24"/>
          <w:lang w:eastAsia="en-IN" w:bidi="ml-IN"/>
        </w:rPr>
        <w:t>u</w:t>
      </w:r>
      <w:r w:rsidRPr="0066516C">
        <w:rPr>
          <w:rFonts w:ascii="Times New Roman" w:eastAsia="Times New Roman" w:hAnsi="Times New Roman" w:cs="Times New Roman"/>
          <w:sz w:val="24"/>
          <w:szCs w:val="24"/>
          <w:lang w:eastAsia="en-IN" w:bidi="ml-IN"/>
        </w:rPr>
        <w:t xml:space="preserve">r among inhabitants, as home gas consumption is expensive without the </w:t>
      </w:r>
      <w:r>
        <w:rPr>
          <w:rFonts w:ascii="Times New Roman" w:eastAsia="Times New Roman" w:hAnsi="Times New Roman" w:cs="Times New Roman"/>
          <w:sz w:val="24"/>
          <w:szCs w:val="24"/>
          <w:lang w:eastAsia="en-IN" w:bidi="ml-IN"/>
        </w:rPr>
        <w:t xml:space="preserve">subsidy of </w:t>
      </w:r>
      <w:r w:rsidRPr="0066516C">
        <w:rPr>
          <w:rFonts w:ascii="Times New Roman" w:eastAsia="Times New Roman" w:hAnsi="Times New Roman" w:cs="Times New Roman"/>
          <w:sz w:val="24"/>
          <w:szCs w:val="24"/>
          <w:lang w:eastAsia="en-IN" w:bidi="ml-IN"/>
        </w:rPr>
        <w:t>Ecuadorian government.</w:t>
      </w:r>
      <w:r>
        <w:rPr>
          <w:rFonts w:ascii="Times New Roman" w:eastAsia="Times New Roman" w:hAnsi="Times New Roman" w:cs="Times New Roman"/>
          <w:sz w:val="24"/>
          <w:szCs w:val="24"/>
          <w:lang w:eastAsia="en-IN" w:bidi="ml-IN"/>
        </w:rPr>
        <w:t xml:space="preserve"> </w:t>
      </w:r>
    </w:p>
    <w:p w14:paraId="2AB7EAA2" w14:textId="77777777" w:rsidR="006525C7" w:rsidRPr="00351E09" w:rsidRDefault="006525C7" w:rsidP="006525C7">
      <w:pPr>
        <w:spacing w:after="0" w:line="360" w:lineRule="auto"/>
        <w:jc w:val="both"/>
        <w:rPr>
          <w:rFonts w:ascii="Times New Roman" w:eastAsia="Times New Roman" w:hAnsi="Times New Roman" w:cs="Times New Roman"/>
          <w:sz w:val="24"/>
          <w:szCs w:val="24"/>
          <w:lang w:eastAsia="en-IN" w:bidi="ml-IN"/>
        </w:rPr>
      </w:pPr>
    </w:p>
    <w:p w14:paraId="6CB121DD" w14:textId="3F3BEDE9" w:rsidR="006525C7" w:rsidRDefault="006525C7" w:rsidP="006525C7">
      <w:pPr>
        <w:spacing w:line="360" w:lineRule="auto"/>
        <w:jc w:val="both"/>
        <w:rPr>
          <w:rFonts w:ascii="Times New Roman" w:eastAsia="Times New Roman" w:hAnsi="Times New Roman" w:cs="Times New Roman"/>
          <w:sz w:val="24"/>
          <w:szCs w:val="24"/>
          <w:lang w:eastAsia="en-IN" w:bidi="ml-IN"/>
        </w:rPr>
      </w:pPr>
      <w:r w:rsidRPr="002553AC">
        <w:rPr>
          <w:rFonts w:ascii="Times New Roman" w:eastAsia="Times New Roman" w:hAnsi="Times New Roman" w:cs="Times New Roman"/>
          <w:sz w:val="24"/>
          <w:szCs w:val="24"/>
          <w:lang w:eastAsia="en-IN" w:bidi="ml-IN"/>
        </w:rPr>
        <w:t xml:space="preserve">In the name of the women of households living below the poverty line, the Government of India </w:t>
      </w:r>
      <w:r>
        <w:rPr>
          <w:rFonts w:ascii="Times New Roman" w:eastAsia="Times New Roman" w:hAnsi="Times New Roman" w:cs="Times New Roman"/>
          <w:sz w:val="24"/>
          <w:szCs w:val="24"/>
          <w:lang w:eastAsia="en-IN" w:bidi="ml-IN"/>
        </w:rPr>
        <w:t>encourages</w:t>
      </w:r>
      <w:r w:rsidRPr="002553AC">
        <w:rPr>
          <w:rFonts w:ascii="Times New Roman" w:eastAsia="Times New Roman" w:hAnsi="Times New Roman" w:cs="Times New Roman"/>
          <w:sz w:val="24"/>
          <w:szCs w:val="24"/>
          <w:lang w:eastAsia="en-IN" w:bidi="ml-IN"/>
        </w:rPr>
        <w:t xml:space="preserve"> the promotion of LPG as a hygienic cooking fuel through PMUY, its flagship welfare program. Subsidized LPG connections have been provided to 10.3 crore (103 million) homes since its launch on May 1st, 2016, increasing India</w:t>
      </w:r>
      <w:r>
        <w:rPr>
          <w:rFonts w:ascii="Times New Roman" w:eastAsia="Times New Roman" w:hAnsi="Times New Roman" w:cs="Times New Roman"/>
          <w:sz w:val="24"/>
          <w:szCs w:val="24"/>
          <w:lang w:eastAsia="en-IN" w:bidi="ml-IN"/>
        </w:rPr>
        <w:t>’</w:t>
      </w:r>
      <w:r w:rsidRPr="002553AC">
        <w:rPr>
          <w:rFonts w:ascii="Times New Roman" w:eastAsia="Times New Roman" w:hAnsi="Times New Roman" w:cs="Times New Roman"/>
          <w:sz w:val="24"/>
          <w:szCs w:val="24"/>
          <w:lang w:eastAsia="en-IN" w:bidi="ml-IN"/>
        </w:rPr>
        <w:t>s active domestic user base from 14.52 crore (145.2 million) in 2014 to 31.99 crore (319.9 million) in 2024 (Kumar, 2023)</w:t>
      </w:r>
      <w:r>
        <w:rPr>
          <w:rFonts w:ascii="Times New Roman" w:eastAsia="Times New Roman" w:hAnsi="Times New Roman" w:cs="Times New Roman"/>
          <w:sz w:val="24"/>
          <w:szCs w:val="24"/>
          <w:lang w:eastAsia="en-IN" w:bidi="ml-IN"/>
        </w:rPr>
        <w:t xml:space="preserve">. </w:t>
      </w:r>
      <w:r w:rsidRPr="00286D4D">
        <w:rPr>
          <w:rFonts w:ascii="Times New Roman" w:eastAsia="Times New Roman" w:hAnsi="Times New Roman" w:cs="Times New Roman"/>
          <w:sz w:val="24"/>
          <w:szCs w:val="24"/>
          <w:lang w:eastAsia="en-IN" w:bidi="ml-IN"/>
        </w:rPr>
        <w:t>The majority of the existing literature on LPG in India has focused on how government program</w:t>
      </w:r>
      <w:r>
        <w:rPr>
          <w:rFonts w:ascii="Times New Roman" w:eastAsia="Times New Roman" w:hAnsi="Times New Roman" w:cs="Times New Roman"/>
          <w:sz w:val="24"/>
          <w:szCs w:val="24"/>
          <w:lang w:eastAsia="en-IN" w:bidi="ml-IN"/>
        </w:rPr>
        <w:t>me</w:t>
      </w:r>
      <w:r w:rsidRPr="00286D4D">
        <w:rPr>
          <w:rFonts w:ascii="Times New Roman" w:eastAsia="Times New Roman" w:hAnsi="Times New Roman" w:cs="Times New Roman"/>
          <w:sz w:val="24"/>
          <w:szCs w:val="24"/>
          <w:lang w:eastAsia="en-IN" w:bidi="ml-IN"/>
        </w:rPr>
        <w:t xml:space="preserve">s </w:t>
      </w:r>
      <w:r w:rsidRPr="00286D4D">
        <w:rPr>
          <w:rFonts w:ascii="Times New Roman" w:eastAsia="Times New Roman" w:hAnsi="Times New Roman" w:cs="Times New Roman"/>
          <w:sz w:val="24"/>
          <w:szCs w:val="24"/>
          <w:lang w:eastAsia="en-IN" w:bidi="ml-IN"/>
        </w:rPr>
        <w:lastRenderedPageBreak/>
        <w:t>such as DBTL program</w:t>
      </w:r>
      <w:r>
        <w:rPr>
          <w:rFonts w:ascii="Times New Roman" w:eastAsia="Times New Roman" w:hAnsi="Times New Roman" w:cs="Times New Roman"/>
          <w:sz w:val="24"/>
          <w:szCs w:val="24"/>
          <w:lang w:eastAsia="en-IN" w:bidi="ml-IN"/>
        </w:rPr>
        <w:t>mes</w:t>
      </w:r>
      <w:r w:rsidRPr="00286D4D">
        <w:rPr>
          <w:rFonts w:ascii="Times New Roman" w:eastAsia="Times New Roman" w:hAnsi="Times New Roman" w:cs="Times New Roman"/>
          <w:sz w:val="24"/>
          <w:szCs w:val="24"/>
          <w:lang w:eastAsia="en-IN" w:bidi="ml-IN"/>
        </w:rPr>
        <w:t xml:space="preserve"> and PMUY facilitate access to and adoption of LPG (Mani et al., 2020).</w:t>
      </w:r>
      <w:r>
        <w:rPr>
          <w:rFonts w:ascii="Times New Roman" w:eastAsia="Times New Roman" w:hAnsi="Times New Roman" w:cs="Times New Roman"/>
          <w:sz w:val="24"/>
          <w:szCs w:val="24"/>
          <w:lang w:eastAsia="en-IN" w:bidi="ml-IN"/>
        </w:rPr>
        <w:t xml:space="preserve"> </w:t>
      </w:r>
      <w:r w:rsidR="0021027C">
        <w:rPr>
          <w:rFonts w:ascii="Times New Roman" w:eastAsia="Times New Roman" w:hAnsi="Times New Roman" w:cs="Times New Roman"/>
          <w:sz w:val="24"/>
          <w:szCs w:val="24"/>
          <w:lang w:eastAsia="en-IN" w:bidi="ml-IN"/>
        </w:rPr>
        <w:t xml:space="preserve">As on April 2025, 10.33 crore beneficiaries had been covered under PMUY since its launch in May 2016. </w:t>
      </w:r>
    </w:p>
    <w:p w14:paraId="626D1365" w14:textId="77777777" w:rsidR="006525C7" w:rsidRDefault="006525C7" w:rsidP="006525C7">
      <w:pPr>
        <w:spacing w:before="100" w:beforeAutospacing="1" w:after="100" w:afterAutospacing="1" w:line="360" w:lineRule="auto"/>
        <w:jc w:val="both"/>
        <w:rPr>
          <w:rFonts w:ascii="Times New Roman" w:eastAsia="Times New Roman" w:hAnsi="Times New Roman" w:cs="Times New Roman"/>
          <w:sz w:val="24"/>
          <w:szCs w:val="24"/>
          <w:lang w:eastAsia="en-IN" w:bidi="ml-IN"/>
        </w:rPr>
      </w:pPr>
      <w:r w:rsidRPr="0017712E">
        <w:rPr>
          <w:rFonts w:ascii="Times New Roman" w:eastAsia="Times New Roman" w:hAnsi="Times New Roman" w:cs="Times New Roman"/>
          <w:b/>
          <w:bCs/>
          <w:i/>
          <w:iCs/>
          <w:sz w:val="24"/>
          <w:szCs w:val="24"/>
          <w:lang w:eastAsia="en-IN" w:bidi="ml-IN"/>
        </w:rPr>
        <w:t>Research Gap:</w:t>
      </w:r>
      <w:r>
        <w:rPr>
          <w:rFonts w:ascii="Times New Roman" w:eastAsia="Times New Roman" w:hAnsi="Times New Roman" w:cs="Times New Roman"/>
          <w:sz w:val="24"/>
          <w:szCs w:val="24"/>
          <w:lang w:eastAsia="en-IN" w:bidi="ml-IN"/>
        </w:rPr>
        <w:t xml:space="preserve"> Only</w:t>
      </w:r>
      <w:r w:rsidRPr="003C2680">
        <w:rPr>
          <w:rFonts w:ascii="Times New Roman" w:eastAsia="Times New Roman" w:hAnsi="Times New Roman" w:cs="Times New Roman"/>
          <w:sz w:val="24"/>
          <w:szCs w:val="24"/>
          <w:lang w:eastAsia="en-IN" w:bidi="ml-IN"/>
        </w:rPr>
        <w:t xml:space="preserve"> </w:t>
      </w:r>
      <w:r w:rsidRPr="002C4928">
        <w:rPr>
          <w:rFonts w:ascii="Times New Roman" w:eastAsia="Times New Roman" w:hAnsi="Times New Roman" w:cs="Times New Roman"/>
          <w:sz w:val="24"/>
          <w:szCs w:val="24"/>
          <w:lang w:eastAsia="en-IN" w:bidi="ml-IN"/>
        </w:rPr>
        <w:t xml:space="preserve">fewer studies focus on customer satisfaction </w:t>
      </w:r>
      <w:r>
        <w:rPr>
          <w:rFonts w:ascii="Times New Roman" w:eastAsia="Times New Roman" w:hAnsi="Times New Roman" w:cs="Times New Roman"/>
          <w:sz w:val="24"/>
          <w:szCs w:val="24"/>
          <w:lang w:eastAsia="en-IN" w:bidi="ml-IN"/>
        </w:rPr>
        <w:t xml:space="preserve">regarding </w:t>
      </w:r>
      <w:r w:rsidRPr="002C4928">
        <w:rPr>
          <w:rFonts w:ascii="Times New Roman" w:eastAsia="Times New Roman" w:hAnsi="Times New Roman" w:cs="Times New Roman"/>
          <w:sz w:val="24"/>
          <w:szCs w:val="24"/>
          <w:lang w:eastAsia="en-IN" w:bidi="ml-IN"/>
        </w:rPr>
        <w:t xml:space="preserve">service </w:t>
      </w:r>
      <w:r>
        <w:rPr>
          <w:rFonts w:ascii="Times New Roman" w:eastAsia="Times New Roman" w:hAnsi="Times New Roman" w:cs="Times New Roman"/>
          <w:sz w:val="24"/>
          <w:szCs w:val="24"/>
          <w:lang w:eastAsia="en-IN" w:bidi="ml-IN"/>
        </w:rPr>
        <w:t>quality</w:t>
      </w:r>
      <w:r w:rsidRPr="002C4928">
        <w:rPr>
          <w:rFonts w:ascii="Times New Roman" w:eastAsia="Times New Roman" w:hAnsi="Times New Roman" w:cs="Times New Roman"/>
          <w:sz w:val="24"/>
          <w:szCs w:val="24"/>
          <w:lang w:eastAsia="en-IN" w:bidi="ml-IN"/>
        </w:rPr>
        <w:t xml:space="preserve"> attributes</w:t>
      </w:r>
      <w:r w:rsidRPr="003C2680">
        <w:rPr>
          <w:rFonts w:ascii="Times New Roman" w:eastAsia="Times New Roman" w:hAnsi="Times New Roman" w:cs="Times New Roman"/>
          <w:sz w:val="24"/>
          <w:szCs w:val="24"/>
          <w:lang w:eastAsia="en-IN" w:bidi="ml-IN"/>
        </w:rPr>
        <w:t xml:space="preserve"> such as </w:t>
      </w:r>
      <w:r>
        <w:rPr>
          <w:rFonts w:ascii="Times New Roman" w:eastAsia="Times New Roman" w:hAnsi="Times New Roman" w:cs="Times New Roman"/>
          <w:sz w:val="24"/>
          <w:szCs w:val="24"/>
          <w:lang w:eastAsia="en-IN" w:bidi="ml-IN"/>
        </w:rPr>
        <w:t>easiness in booking</w:t>
      </w:r>
      <w:r w:rsidRPr="003C2680">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promptness in </w:t>
      </w:r>
      <w:r w:rsidRPr="003C2680">
        <w:rPr>
          <w:rFonts w:ascii="Times New Roman" w:eastAsia="Times New Roman" w:hAnsi="Times New Roman" w:cs="Times New Roman"/>
          <w:sz w:val="24"/>
          <w:szCs w:val="24"/>
          <w:lang w:eastAsia="en-IN" w:bidi="ml-IN"/>
        </w:rPr>
        <w:t xml:space="preserve">delivery, </w:t>
      </w:r>
      <w:r>
        <w:rPr>
          <w:rFonts w:ascii="Times New Roman" w:eastAsia="Times New Roman" w:hAnsi="Times New Roman" w:cs="Times New Roman"/>
          <w:sz w:val="24"/>
          <w:szCs w:val="24"/>
          <w:lang w:eastAsia="en-IN" w:bidi="ml-IN"/>
        </w:rPr>
        <w:t>openness in pricing/</w:t>
      </w:r>
      <w:r w:rsidRPr="003C2680">
        <w:rPr>
          <w:rFonts w:ascii="Times New Roman" w:eastAsia="Times New Roman" w:hAnsi="Times New Roman" w:cs="Times New Roman"/>
          <w:sz w:val="24"/>
          <w:szCs w:val="24"/>
          <w:lang w:eastAsia="en-IN" w:bidi="ml-IN"/>
        </w:rPr>
        <w:t>subsidy, and customer support</w:t>
      </w:r>
      <w:r>
        <w:rPr>
          <w:rFonts w:ascii="Times New Roman" w:eastAsia="Times New Roman" w:hAnsi="Times New Roman" w:cs="Times New Roman"/>
          <w:sz w:val="24"/>
          <w:szCs w:val="24"/>
          <w:lang w:eastAsia="en-IN" w:bidi="ml-IN"/>
        </w:rPr>
        <w:t>.</w:t>
      </w:r>
      <w:r w:rsidRPr="003C2680">
        <w:rPr>
          <w:rFonts w:ascii="Times New Roman" w:eastAsia="Times New Roman" w:hAnsi="Times New Roman" w:cs="Times New Roman"/>
          <w:sz w:val="24"/>
          <w:szCs w:val="24"/>
          <w:lang w:eastAsia="en-IN" w:bidi="ml-IN"/>
        </w:rPr>
        <w:t xml:space="preserve"> Moreover, the</w:t>
      </w:r>
      <w:r>
        <w:rPr>
          <w:rFonts w:ascii="Times New Roman" w:eastAsia="Times New Roman" w:hAnsi="Times New Roman" w:cs="Times New Roman"/>
          <w:sz w:val="24"/>
          <w:szCs w:val="24"/>
          <w:lang w:eastAsia="en-IN" w:bidi="ml-IN"/>
        </w:rPr>
        <w:t xml:space="preserve"> </w:t>
      </w:r>
      <w:r w:rsidRPr="002C4928">
        <w:rPr>
          <w:rFonts w:ascii="Times New Roman" w:eastAsia="Times New Roman" w:hAnsi="Times New Roman" w:cs="Times New Roman"/>
          <w:sz w:val="24"/>
          <w:szCs w:val="24"/>
          <w:lang w:eastAsia="en-IN" w:bidi="ml-IN"/>
        </w:rPr>
        <w:t xml:space="preserve">comparative research across leading </w:t>
      </w:r>
      <w:r>
        <w:rPr>
          <w:rFonts w:ascii="Times New Roman" w:eastAsia="Times New Roman" w:hAnsi="Times New Roman" w:cs="Times New Roman"/>
          <w:sz w:val="24"/>
          <w:szCs w:val="24"/>
          <w:lang w:eastAsia="en-IN" w:bidi="ml-IN"/>
        </w:rPr>
        <w:t xml:space="preserve">LPG </w:t>
      </w:r>
      <w:r w:rsidRPr="002C4928">
        <w:rPr>
          <w:rFonts w:ascii="Times New Roman" w:eastAsia="Times New Roman" w:hAnsi="Times New Roman" w:cs="Times New Roman"/>
          <w:sz w:val="24"/>
          <w:szCs w:val="24"/>
          <w:lang w:eastAsia="en-IN" w:bidi="ml-IN"/>
        </w:rPr>
        <w:t>distributors</w:t>
      </w:r>
      <w:r>
        <w:rPr>
          <w:rFonts w:ascii="Times New Roman" w:eastAsia="Times New Roman" w:hAnsi="Times New Roman" w:cs="Times New Roman"/>
          <w:sz w:val="24"/>
          <w:szCs w:val="24"/>
          <w:lang w:eastAsia="en-IN" w:bidi="ml-IN"/>
        </w:rPr>
        <w:t xml:space="preserve">, namely </w:t>
      </w:r>
      <w:r w:rsidRPr="002C4928">
        <w:rPr>
          <w:rFonts w:ascii="Times New Roman" w:eastAsia="Times New Roman" w:hAnsi="Times New Roman" w:cs="Times New Roman"/>
          <w:sz w:val="24"/>
          <w:szCs w:val="24"/>
          <w:lang w:eastAsia="en-IN" w:bidi="ml-IN"/>
        </w:rPr>
        <w:t>Indane, Bharat Gas, and HP G</w:t>
      </w:r>
      <w:r>
        <w:rPr>
          <w:rFonts w:ascii="Times New Roman" w:eastAsia="Times New Roman" w:hAnsi="Times New Roman" w:cs="Times New Roman"/>
          <w:sz w:val="24"/>
          <w:szCs w:val="24"/>
          <w:lang w:eastAsia="en-IN" w:bidi="ml-IN"/>
        </w:rPr>
        <w:t xml:space="preserve">as is the minimum. </w:t>
      </w:r>
      <w:r w:rsidRPr="003C2680">
        <w:rPr>
          <w:rFonts w:ascii="Times New Roman" w:eastAsia="Times New Roman" w:hAnsi="Times New Roman" w:cs="Times New Roman"/>
          <w:sz w:val="24"/>
          <w:szCs w:val="24"/>
          <w:lang w:eastAsia="en-IN" w:bidi="ml-IN"/>
        </w:rPr>
        <w:t>This creates a gap in understanding how satisfaction differs not only across distributors but also among demographic groups, which is crucial for designing effective service improvements and policy interventions. The present study addresses this gap by systematically analy</w:t>
      </w:r>
      <w:r>
        <w:rPr>
          <w:rFonts w:ascii="Times New Roman" w:eastAsia="Times New Roman" w:hAnsi="Times New Roman" w:cs="Times New Roman"/>
          <w:sz w:val="24"/>
          <w:szCs w:val="24"/>
          <w:lang w:eastAsia="en-IN" w:bidi="ml-IN"/>
        </w:rPr>
        <w:t>s</w:t>
      </w:r>
      <w:r w:rsidRPr="003C2680">
        <w:rPr>
          <w:rFonts w:ascii="Times New Roman" w:eastAsia="Times New Roman" w:hAnsi="Times New Roman" w:cs="Times New Roman"/>
          <w:sz w:val="24"/>
          <w:szCs w:val="24"/>
          <w:lang w:eastAsia="en-IN" w:bidi="ml-IN"/>
        </w:rPr>
        <w:t>ing customer satisfaction with LPG services, testing the influence of demographic variables, and examining distributor-wise differences in satisfaction levels.</w:t>
      </w:r>
    </w:p>
    <w:p w14:paraId="273F1773" w14:textId="77777777" w:rsidR="00284EF0" w:rsidRDefault="00284EF0" w:rsidP="00603ABF">
      <w:pPr>
        <w:spacing w:after="0" w:line="240" w:lineRule="auto"/>
        <w:jc w:val="both"/>
        <w:rPr>
          <w:rFonts w:ascii="Times New Roman" w:eastAsia="Times New Roman" w:hAnsi="Times New Roman" w:cs="Times New Roman"/>
          <w:sz w:val="24"/>
          <w:szCs w:val="24"/>
          <w:lang w:eastAsia="en-IN" w:bidi="ml-IN"/>
        </w:rPr>
      </w:pPr>
    </w:p>
    <w:p w14:paraId="3CF24E44" w14:textId="5815B1F3" w:rsidR="005C3208" w:rsidRPr="00284EF0" w:rsidRDefault="00284EF0" w:rsidP="004F693A">
      <w:pPr>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2.1 </w:t>
      </w:r>
      <w:r w:rsidR="005C3208" w:rsidRPr="00284EF0">
        <w:rPr>
          <w:rFonts w:ascii="Times New Roman" w:eastAsia="Times New Roman" w:hAnsi="Times New Roman" w:cs="Times New Roman"/>
          <w:b/>
          <w:bCs/>
          <w:sz w:val="24"/>
          <w:szCs w:val="24"/>
          <w:lang w:eastAsia="en-IN" w:bidi="ml-IN"/>
        </w:rPr>
        <w:t>Objectives</w:t>
      </w:r>
    </w:p>
    <w:p w14:paraId="4C53375E" w14:textId="5E2EDC76" w:rsidR="005C3208" w:rsidRPr="00BE6240" w:rsidRDefault="005C3208" w:rsidP="00BE6240">
      <w:pPr>
        <w:pStyle w:val="ListParagraph"/>
        <w:numPr>
          <w:ilvl w:val="0"/>
          <w:numId w:val="14"/>
        </w:numPr>
        <w:spacing w:before="240" w:after="0" w:line="276" w:lineRule="auto"/>
        <w:jc w:val="both"/>
        <w:rPr>
          <w:rFonts w:ascii="Times New Roman" w:eastAsia="Times New Roman" w:hAnsi="Times New Roman" w:cs="Times New Roman"/>
          <w:sz w:val="24"/>
          <w:szCs w:val="24"/>
          <w:lang w:eastAsia="en-IN" w:bidi="ml-IN"/>
        </w:rPr>
      </w:pPr>
      <w:r w:rsidRPr="00BE6240">
        <w:rPr>
          <w:rFonts w:ascii="Times New Roman" w:eastAsia="Times New Roman" w:hAnsi="Times New Roman" w:cs="Times New Roman"/>
          <w:sz w:val="24"/>
          <w:szCs w:val="24"/>
          <w:lang w:eastAsia="en-IN" w:bidi="ml-IN"/>
        </w:rPr>
        <w:t xml:space="preserve">To examine the level of satisfaction among LPG </w:t>
      </w:r>
      <w:r w:rsidR="00361BE9" w:rsidRPr="00BE6240">
        <w:rPr>
          <w:rFonts w:ascii="Times New Roman" w:eastAsia="Times New Roman" w:hAnsi="Times New Roman" w:cs="Times New Roman"/>
          <w:sz w:val="24"/>
          <w:szCs w:val="24"/>
          <w:lang w:eastAsia="en-IN" w:bidi="ml-IN"/>
        </w:rPr>
        <w:t>consumers</w:t>
      </w:r>
      <w:r w:rsidRPr="00BE6240">
        <w:rPr>
          <w:rFonts w:ascii="Times New Roman" w:eastAsia="Times New Roman" w:hAnsi="Times New Roman" w:cs="Times New Roman"/>
          <w:sz w:val="24"/>
          <w:szCs w:val="24"/>
          <w:lang w:eastAsia="en-IN" w:bidi="ml-IN"/>
        </w:rPr>
        <w:t xml:space="preserve"> regarding key service quality dimensions such as </w:t>
      </w:r>
      <w:r w:rsidR="007B0730" w:rsidRPr="00BE6240">
        <w:rPr>
          <w:rFonts w:ascii="Times New Roman" w:eastAsia="Times New Roman" w:hAnsi="Times New Roman" w:cs="Times New Roman"/>
          <w:sz w:val="24"/>
          <w:szCs w:val="24"/>
          <w:lang w:eastAsia="en-IN" w:bidi="ml-IN"/>
        </w:rPr>
        <w:t xml:space="preserve">easiness in </w:t>
      </w:r>
      <w:r w:rsidRPr="00BE6240">
        <w:rPr>
          <w:rFonts w:ascii="Times New Roman" w:eastAsia="Times New Roman" w:hAnsi="Times New Roman" w:cs="Times New Roman"/>
          <w:sz w:val="24"/>
          <w:szCs w:val="24"/>
          <w:lang w:eastAsia="en-IN" w:bidi="ml-IN"/>
        </w:rPr>
        <w:t xml:space="preserve">booking, </w:t>
      </w:r>
      <w:r w:rsidR="007B0730" w:rsidRPr="00BE6240">
        <w:rPr>
          <w:rFonts w:ascii="Times New Roman" w:eastAsia="Times New Roman" w:hAnsi="Times New Roman" w:cs="Times New Roman"/>
          <w:sz w:val="24"/>
          <w:szCs w:val="24"/>
          <w:lang w:eastAsia="en-IN" w:bidi="ml-IN"/>
        </w:rPr>
        <w:t xml:space="preserve">promptness in </w:t>
      </w:r>
      <w:r w:rsidRPr="00BE6240">
        <w:rPr>
          <w:rFonts w:ascii="Times New Roman" w:eastAsia="Times New Roman" w:hAnsi="Times New Roman" w:cs="Times New Roman"/>
          <w:sz w:val="24"/>
          <w:szCs w:val="24"/>
          <w:lang w:eastAsia="en-IN" w:bidi="ml-IN"/>
        </w:rPr>
        <w:t>delivery, subsidy, safety</w:t>
      </w:r>
      <w:r w:rsidR="007B0730" w:rsidRPr="00BE6240">
        <w:rPr>
          <w:rFonts w:ascii="Times New Roman" w:eastAsia="Times New Roman" w:hAnsi="Times New Roman" w:cs="Times New Roman"/>
          <w:sz w:val="24"/>
          <w:szCs w:val="24"/>
          <w:lang w:eastAsia="en-IN" w:bidi="ml-IN"/>
        </w:rPr>
        <w:t xml:space="preserve"> precautions</w:t>
      </w:r>
      <w:r w:rsidRPr="00BE6240">
        <w:rPr>
          <w:rFonts w:ascii="Times New Roman" w:eastAsia="Times New Roman" w:hAnsi="Times New Roman" w:cs="Times New Roman"/>
          <w:sz w:val="24"/>
          <w:szCs w:val="24"/>
          <w:lang w:eastAsia="en-IN" w:bidi="ml-IN"/>
        </w:rPr>
        <w:t>, and customer service.</w:t>
      </w:r>
    </w:p>
    <w:p w14:paraId="2F7FF58E" w14:textId="368D488E" w:rsidR="005C3208" w:rsidRDefault="005C3208" w:rsidP="00E47CF1">
      <w:pPr>
        <w:numPr>
          <w:ilvl w:val="0"/>
          <w:numId w:val="14"/>
        </w:numPr>
        <w:spacing w:before="240"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 analyse whether</w:t>
      </w:r>
      <w:r w:rsidRPr="003C2680">
        <w:rPr>
          <w:rFonts w:ascii="Times New Roman" w:eastAsia="Times New Roman" w:hAnsi="Times New Roman" w:cs="Times New Roman"/>
          <w:sz w:val="24"/>
          <w:szCs w:val="24"/>
          <w:lang w:eastAsia="en-IN" w:bidi="ml-IN"/>
        </w:rPr>
        <w:t xml:space="preserve"> demographic </w:t>
      </w:r>
      <w:r w:rsidR="004673DB">
        <w:rPr>
          <w:rFonts w:ascii="Times New Roman" w:eastAsia="Times New Roman" w:hAnsi="Times New Roman" w:cs="Times New Roman"/>
          <w:sz w:val="24"/>
          <w:szCs w:val="24"/>
          <w:lang w:eastAsia="en-IN" w:bidi="ml-IN"/>
        </w:rPr>
        <w:t>element</w:t>
      </w:r>
      <w:r w:rsidRPr="003C2680">
        <w:rPr>
          <w:rFonts w:ascii="Times New Roman" w:eastAsia="Times New Roman" w:hAnsi="Times New Roman" w:cs="Times New Roman"/>
          <w:sz w:val="24"/>
          <w:szCs w:val="24"/>
          <w:lang w:eastAsia="en-IN" w:bidi="ml-IN"/>
        </w:rPr>
        <w:t xml:space="preserve">s </w:t>
      </w:r>
      <w:r w:rsidR="004673DB">
        <w:rPr>
          <w:rFonts w:ascii="Times New Roman" w:eastAsia="Times New Roman" w:hAnsi="Times New Roman" w:cs="Times New Roman"/>
          <w:sz w:val="24"/>
          <w:szCs w:val="24"/>
          <w:lang w:eastAsia="en-IN" w:bidi="ml-IN"/>
        </w:rPr>
        <w:t>like</w:t>
      </w:r>
      <w:r w:rsidRPr="003C2680">
        <w:rPr>
          <w:rFonts w:ascii="Times New Roman" w:eastAsia="Times New Roman" w:hAnsi="Times New Roman" w:cs="Times New Roman"/>
          <w:sz w:val="24"/>
          <w:szCs w:val="24"/>
          <w:lang w:eastAsia="en-IN" w:bidi="ml-IN"/>
        </w:rPr>
        <w:t xml:space="preserve"> gender, age</w:t>
      </w:r>
      <w:r w:rsidR="004673DB">
        <w:rPr>
          <w:rFonts w:ascii="Times New Roman" w:eastAsia="Times New Roman" w:hAnsi="Times New Roman" w:cs="Times New Roman"/>
          <w:sz w:val="24"/>
          <w:szCs w:val="24"/>
          <w:lang w:eastAsia="en-IN" w:bidi="ml-IN"/>
        </w:rPr>
        <w:t>-group</w:t>
      </w:r>
      <w:r w:rsidRPr="003C2680">
        <w:rPr>
          <w:rFonts w:ascii="Times New Roman" w:eastAsia="Times New Roman" w:hAnsi="Times New Roman" w:cs="Times New Roman"/>
          <w:sz w:val="24"/>
          <w:szCs w:val="24"/>
          <w:lang w:eastAsia="en-IN" w:bidi="ml-IN"/>
        </w:rPr>
        <w:t>, income</w:t>
      </w:r>
      <w:r w:rsidR="004673DB">
        <w:rPr>
          <w:rFonts w:ascii="Times New Roman" w:eastAsia="Times New Roman" w:hAnsi="Times New Roman" w:cs="Times New Roman"/>
          <w:sz w:val="24"/>
          <w:szCs w:val="24"/>
          <w:lang w:eastAsia="en-IN" w:bidi="ml-IN"/>
        </w:rPr>
        <w:t>-level</w:t>
      </w:r>
      <w:r w:rsidRPr="003C2680">
        <w:rPr>
          <w:rFonts w:ascii="Times New Roman" w:eastAsia="Times New Roman" w:hAnsi="Times New Roman" w:cs="Times New Roman"/>
          <w:sz w:val="24"/>
          <w:szCs w:val="24"/>
          <w:lang w:eastAsia="en-IN" w:bidi="ml-IN"/>
        </w:rPr>
        <w:t>, and education</w:t>
      </w:r>
      <w:r w:rsidR="004673DB">
        <w:rPr>
          <w:rFonts w:ascii="Times New Roman" w:eastAsia="Times New Roman" w:hAnsi="Times New Roman" w:cs="Times New Roman"/>
          <w:sz w:val="24"/>
          <w:szCs w:val="24"/>
          <w:lang w:eastAsia="en-IN" w:bidi="ml-IN"/>
        </w:rPr>
        <w:t>-status</w:t>
      </w:r>
      <w:r w:rsidRPr="003C2680">
        <w:rPr>
          <w:rFonts w:ascii="Times New Roman" w:eastAsia="Times New Roman" w:hAnsi="Times New Roman" w:cs="Times New Roman"/>
          <w:sz w:val="24"/>
          <w:szCs w:val="24"/>
          <w:lang w:eastAsia="en-IN" w:bidi="ml-IN"/>
        </w:rPr>
        <w:t xml:space="preserve"> influence the satisfaction levels of LPG </w:t>
      </w:r>
      <w:r w:rsidR="00361BE9">
        <w:rPr>
          <w:rFonts w:ascii="Times New Roman" w:eastAsia="Times New Roman" w:hAnsi="Times New Roman" w:cs="Times New Roman"/>
          <w:sz w:val="24"/>
          <w:szCs w:val="24"/>
          <w:lang w:eastAsia="en-IN" w:bidi="ml-IN"/>
        </w:rPr>
        <w:t>consu</w:t>
      </w:r>
      <w:r w:rsidRPr="003C2680">
        <w:rPr>
          <w:rFonts w:ascii="Times New Roman" w:eastAsia="Times New Roman" w:hAnsi="Times New Roman" w:cs="Times New Roman"/>
          <w:sz w:val="24"/>
          <w:szCs w:val="24"/>
          <w:lang w:eastAsia="en-IN" w:bidi="ml-IN"/>
        </w:rPr>
        <w:t>mers</w:t>
      </w:r>
      <w:r>
        <w:rPr>
          <w:rFonts w:ascii="Times New Roman" w:eastAsia="Times New Roman" w:hAnsi="Times New Roman" w:cs="Times New Roman"/>
          <w:sz w:val="24"/>
          <w:szCs w:val="24"/>
          <w:lang w:eastAsia="en-IN" w:bidi="ml-IN"/>
        </w:rPr>
        <w:t>.</w:t>
      </w:r>
    </w:p>
    <w:p w14:paraId="38F51323" w14:textId="0FDF288A" w:rsidR="00E44C55" w:rsidRDefault="004673DB" w:rsidP="00284EF0">
      <w:pPr>
        <w:pStyle w:val="ListParagraph"/>
        <w:numPr>
          <w:ilvl w:val="0"/>
          <w:numId w:val="14"/>
        </w:numPr>
        <w:spacing w:before="240" w:line="240" w:lineRule="auto"/>
        <w:jc w:val="both"/>
        <w:rPr>
          <w:rFonts w:ascii="Times New Roman" w:eastAsia="Times New Roman" w:hAnsi="Times New Roman" w:cs="Times New Roman"/>
          <w:sz w:val="24"/>
          <w:szCs w:val="24"/>
          <w:lang w:eastAsia="en-IN" w:bidi="ml-IN"/>
        </w:rPr>
      </w:pPr>
      <w:r w:rsidRPr="004673DB">
        <w:rPr>
          <w:rFonts w:ascii="Times New Roman" w:eastAsia="Times New Roman" w:hAnsi="Times New Roman" w:cs="Times New Roman"/>
          <w:sz w:val="24"/>
          <w:szCs w:val="24"/>
          <w:lang w:eastAsia="en-IN" w:bidi="ml-IN"/>
        </w:rPr>
        <w:t xml:space="preserve">To investigate </w:t>
      </w:r>
      <w:r>
        <w:rPr>
          <w:rFonts w:ascii="Times New Roman" w:eastAsia="Times New Roman" w:hAnsi="Times New Roman" w:cs="Times New Roman"/>
          <w:sz w:val="24"/>
          <w:szCs w:val="24"/>
          <w:lang w:eastAsia="en-IN" w:bidi="ml-IN"/>
        </w:rPr>
        <w:t>whether</w:t>
      </w:r>
      <w:r w:rsidRPr="004673DB">
        <w:rPr>
          <w:rFonts w:ascii="Times New Roman" w:eastAsia="Times New Roman" w:hAnsi="Times New Roman" w:cs="Times New Roman"/>
          <w:sz w:val="24"/>
          <w:szCs w:val="24"/>
          <w:lang w:eastAsia="en-IN" w:bidi="ml-IN"/>
        </w:rPr>
        <w:t xml:space="preserve"> customers of the three main LPG distributors</w:t>
      </w:r>
      <w:r>
        <w:rPr>
          <w:rFonts w:ascii="Times New Roman" w:eastAsia="Times New Roman" w:hAnsi="Times New Roman" w:cs="Times New Roman"/>
          <w:sz w:val="24"/>
          <w:szCs w:val="24"/>
          <w:lang w:eastAsia="en-IN" w:bidi="ml-IN"/>
        </w:rPr>
        <w:t xml:space="preserve">, namely </w:t>
      </w:r>
      <w:r w:rsidRPr="004673DB">
        <w:rPr>
          <w:rFonts w:ascii="Times New Roman" w:eastAsia="Times New Roman" w:hAnsi="Times New Roman" w:cs="Times New Roman"/>
          <w:sz w:val="24"/>
          <w:szCs w:val="24"/>
          <w:lang w:eastAsia="en-IN" w:bidi="ml-IN"/>
        </w:rPr>
        <w:t>Indane, Bharat Gas, and HP Gas</w:t>
      </w:r>
      <w:r>
        <w:rPr>
          <w:rFonts w:ascii="Times New Roman" w:eastAsia="Times New Roman" w:hAnsi="Times New Roman" w:cs="Times New Roman"/>
          <w:sz w:val="24"/>
          <w:szCs w:val="24"/>
          <w:lang w:eastAsia="en-IN" w:bidi="ml-IN"/>
        </w:rPr>
        <w:t xml:space="preserve">, </w:t>
      </w:r>
      <w:r w:rsidRPr="004673DB">
        <w:rPr>
          <w:rFonts w:ascii="Times New Roman" w:eastAsia="Times New Roman" w:hAnsi="Times New Roman" w:cs="Times New Roman"/>
          <w:sz w:val="24"/>
          <w:szCs w:val="24"/>
          <w:lang w:eastAsia="en-IN" w:bidi="ml-IN"/>
        </w:rPr>
        <w:t>have significantly different levels of satisfaction.</w:t>
      </w:r>
    </w:p>
    <w:p w14:paraId="7CEF87C0" w14:textId="5EBAA40B" w:rsidR="00E47CF1" w:rsidRPr="00284EF0" w:rsidRDefault="00284EF0" w:rsidP="00284EF0">
      <w:pPr>
        <w:spacing w:before="240" w:line="276" w:lineRule="auto"/>
        <w:outlineLvl w:val="1"/>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2.2 </w:t>
      </w:r>
      <w:r w:rsidR="00D157BC" w:rsidRPr="00284EF0">
        <w:rPr>
          <w:rFonts w:ascii="Times New Roman" w:eastAsia="Times New Roman" w:hAnsi="Times New Roman" w:cs="Times New Roman"/>
          <w:b/>
          <w:bCs/>
          <w:sz w:val="24"/>
          <w:szCs w:val="24"/>
          <w:lang w:eastAsia="en-IN" w:bidi="ml-IN"/>
        </w:rPr>
        <w:t>Variables</w:t>
      </w:r>
    </w:p>
    <w:p w14:paraId="646665AD" w14:textId="05BFD3FA" w:rsidR="00AE7C43" w:rsidRPr="00AE7C43" w:rsidRDefault="00AE7C43" w:rsidP="00AE7C43">
      <w:pPr>
        <w:spacing w:before="240" w:after="0" w:line="276" w:lineRule="auto"/>
        <w:ind w:firstLine="360"/>
        <w:outlineLvl w:val="1"/>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t>Table 1: Variables used for the study</w:t>
      </w:r>
    </w:p>
    <w:tbl>
      <w:tblPr>
        <w:tblStyle w:val="TableGrid"/>
        <w:tblW w:w="0" w:type="auto"/>
        <w:tblInd w:w="426" w:type="dxa"/>
        <w:tblBorders>
          <w:left w:val="none" w:sz="0" w:space="0" w:color="auto"/>
          <w:right w:val="none" w:sz="0" w:space="0" w:color="auto"/>
          <w:insideH w:val="none" w:sz="0" w:space="0" w:color="auto"/>
        </w:tblBorders>
        <w:tblLook w:val="04A0" w:firstRow="1" w:lastRow="0" w:firstColumn="1" w:lastColumn="0" w:noHBand="0" w:noVBand="1"/>
      </w:tblPr>
      <w:tblGrid>
        <w:gridCol w:w="850"/>
        <w:gridCol w:w="3969"/>
        <w:gridCol w:w="3781"/>
      </w:tblGrid>
      <w:tr w:rsidR="002F446E" w14:paraId="564CF0F0" w14:textId="77777777" w:rsidTr="0016219E">
        <w:tc>
          <w:tcPr>
            <w:tcW w:w="850" w:type="dxa"/>
            <w:tcBorders>
              <w:top w:val="single" w:sz="4" w:space="0" w:color="auto"/>
              <w:bottom w:val="single" w:sz="4" w:space="0" w:color="auto"/>
              <w:right w:val="nil"/>
            </w:tcBorders>
            <w:shd w:val="clear" w:color="auto" w:fill="E7E6E6" w:themeFill="background2"/>
          </w:tcPr>
          <w:p w14:paraId="030A94AF" w14:textId="31377EE2"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Sl. No.</w:t>
            </w:r>
          </w:p>
        </w:tc>
        <w:tc>
          <w:tcPr>
            <w:tcW w:w="3969" w:type="dxa"/>
            <w:tcBorders>
              <w:top w:val="single" w:sz="4" w:space="0" w:color="auto"/>
              <w:bottom w:val="single" w:sz="4" w:space="0" w:color="auto"/>
              <w:right w:val="nil"/>
            </w:tcBorders>
            <w:shd w:val="clear" w:color="auto" w:fill="E7E6E6" w:themeFill="background2"/>
          </w:tcPr>
          <w:p w14:paraId="1FD39654" w14:textId="2CFD0DE3"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sidRPr="00B978D8">
              <w:rPr>
                <w:rFonts w:ascii="Times New Roman" w:eastAsia="Times New Roman" w:hAnsi="Times New Roman" w:cs="Times New Roman"/>
                <w:b/>
                <w:bCs/>
                <w:lang w:eastAsia="en-IN" w:bidi="ml-IN"/>
              </w:rPr>
              <w:t>Independent Variables</w:t>
            </w:r>
          </w:p>
        </w:tc>
        <w:tc>
          <w:tcPr>
            <w:tcW w:w="3781" w:type="dxa"/>
            <w:tcBorders>
              <w:top w:val="single" w:sz="4" w:space="0" w:color="auto"/>
              <w:left w:val="nil"/>
              <w:bottom w:val="single" w:sz="4" w:space="0" w:color="auto"/>
            </w:tcBorders>
            <w:shd w:val="clear" w:color="auto" w:fill="E7E6E6" w:themeFill="background2"/>
          </w:tcPr>
          <w:p w14:paraId="133AEAC3" w14:textId="17756012" w:rsidR="002F446E" w:rsidRPr="00B978D8" w:rsidRDefault="002F446E" w:rsidP="00341392">
            <w:pPr>
              <w:spacing w:before="100" w:beforeAutospacing="1" w:line="276" w:lineRule="auto"/>
              <w:jc w:val="center"/>
              <w:rPr>
                <w:rFonts w:ascii="Times New Roman" w:eastAsia="Times New Roman" w:hAnsi="Times New Roman" w:cs="Times New Roman"/>
                <w:b/>
                <w:bCs/>
                <w:lang w:eastAsia="en-IN" w:bidi="ml-IN"/>
              </w:rPr>
            </w:pPr>
            <w:r w:rsidRPr="00B978D8">
              <w:rPr>
                <w:rFonts w:ascii="Times New Roman" w:eastAsia="Times New Roman" w:hAnsi="Times New Roman" w:cs="Times New Roman"/>
                <w:b/>
                <w:bCs/>
                <w:lang w:eastAsia="en-IN" w:bidi="ml-IN"/>
              </w:rPr>
              <w:t>Dependent Variable</w:t>
            </w:r>
          </w:p>
        </w:tc>
      </w:tr>
      <w:tr w:rsidR="002F446E" w14:paraId="7BA2E7BD" w14:textId="77777777" w:rsidTr="0016219E">
        <w:tc>
          <w:tcPr>
            <w:tcW w:w="850" w:type="dxa"/>
            <w:tcBorders>
              <w:top w:val="single" w:sz="4" w:space="0" w:color="auto"/>
              <w:bottom w:val="nil"/>
              <w:right w:val="nil"/>
            </w:tcBorders>
          </w:tcPr>
          <w:p w14:paraId="606B74F2" w14:textId="22B86C2C"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1</w:t>
            </w:r>
          </w:p>
        </w:tc>
        <w:tc>
          <w:tcPr>
            <w:tcW w:w="3969" w:type="dxa"/>
            <w:tcBorders>
              <w:top w:val="single" w:sz="4" w:space="0" w:color="auto"/>
              <w:bottom w:val="nil"/>
              <w:right w:val="nil"/>
            </w:tcBorders>
          </w:tcPr>
          <w:p w14:paraId="5B3CF1A5" w14:textId="1333010B"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Eas</w:t>
            </w:r>
            <w:r w:rsidR="00D43D00">
              <w:rPr>
                <w:rFonts w:ascii="Times New Roman" w:eastAsia="Times New Roman" w:hAnsi="Times New Roman" w:cs="Times New Roman"/>
                <w:sz w:val="24"/>
                <w:szCs w:val="24"/>
                <w:lang w:eastAsia="en-IN" w:bidi="ml-IN"/>
              </w:rPr>
              <w:t>iness in</w:t>
            </w:r>
            <w:r w:rsidRPr="002F446E">
              <w:rPr>
                <w:rFonts w:ascii="Times New Roman" w:eastAsia="Times New Roman" w:hAnsi="Times New Roman" w:cs="Times New Roman"/>
                <w:sz w:val="24"/>
                <w:szCs w:val="24"/>
                <w:lang w:eastAsia="en-IN" w:bidi="ml-IN"/>
              </w:rPr>
              <w:t xml:space="preserve"> booking</w:t>
            </w:r>
          </w:p>
        </w:tc>
        <w:tc>
          <w:tcPr>
            <w:tcW w:w="3781" w:type="dxa"/>
            <w:tcBorders>
              <w:top w:val="single" w:sz="4" w:space="0" w:color="auto"/>
              <w:left w:val="nil"/>
              <w:bottom w:val="nil"/>
            </w:tcBorders>
          </w:tcPr>
          <w:p w14:paraId="4C0F2247" w14:textId="0EEA63AE" w:rsidR="002F446E" w:rsidRPr="002F446E" w:rsidRDefault="002F446E" w:rsidP="002F446E">
            <w:pPr>
              <w:spacing w:line="276" w:lineRule="auto"/>
              <w:jc w:val="both"/>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 xml:space="preserve"> </w:t>
            </w:r>
            <w:r w:rsidR="00BC6099">
              <w:rPr>
                <w:rFonts w:ascii="Times New Roman" w:eastAsia="Times New Roman" w:hAnsi="Times New Roman" w:cs="Times New Roman"/>
                <w:sz w:val="24"/>
                <w:szCs w:val="24"/>
                <w:lang w:eastAsia="en-IN" w:bidi="ml-IN"/>
              </w:rPr>
              <w:t>S</w:t>
            </w:r>
            <w:r w:rsidRPr="002F446E">
              <w:rPr>
                <w:rFonts w:ascii="Times New Roman" w:eastAsia="Times New Roman" w:hAnsi="Times New Roman" w:cs="Times New Roman"/>
                <w:sz w:val="24"/>
                <w:szCs w:val="24"/>
                <w:lang w:eastAsia="en-IN" w:bidi="ml-IN"/>
              </w:rPr>
              <w:t>atisfaction of LPG</w:t>
            </w:r>
            <w:r w:rsidR="00BC6099">
              <w:rPr>
                <w:rFonts w:ascii="Times New Roman" w:eastAsia="Times New Roman" w:hAnsi="Times New Roman" w:cs="Times New Roman"/>
                <w:sz w:val="24"/>
                <w:szCs w:val="24"/>
                <w:lang w:eastAsia="en-IN" w:bidi="ml-IN"/>
              </w:rPr>
              <w:t xml:space="preserve"> consumers</w:t>
            </w:r>
          </w:p>
        </w:tc>
      </w:tr>
      <w:tr w:rsidR="002F446E" w14:paraId="09A3D22F" w14:textId="77777777" w:rsidTr="0016219E">
        <w:tc>
          <w:tcPr>
            <w:tcW w:w="850" w:type="dxa"/>
            <w:tcBorders>
              <w:top w:val="nil"/>
              <w:bottom w:val="nil"/>
              <w:right w:val="nil"/>
            </w:tcBorders>
          </w:tcPr>
          <w:p w14:paraId="5B0F3DC2" w14:textId="77D51FC1"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969" w:type="dxa"/>
            <w:tcBorders>
              <w:top w:val="nil"/>
              <w:bottom w:val="nil"/>
              <w:right w:val="nil"/>
            </w:tcBorders>
          </w:tcPr>
          <w:p w14:paraId="4AE363A3" w14:textId="6BE15678" w:rsidR="002F446E" w:rsidRPr="002F446E" w:rsidRDefault="00D43D00" w:rsidP="002F446E">
            <w:pPr>
              <w:spacing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Promptness</w:t>
            </w:r>
            <w:r w:rsidR="002F446E" w:rsidRPr="002F446E">
              <w:rPr>
                <w:rFonts w:ascii="Times New Roman" w:eastAsia="Times New Roman" w:hAnsi="Times New Roman" w:cs="Times New Roman"/>
                <w:sz w:val="24"/>
                <w:szCs w:val="24"/>
                <w:lang w:eastAsia="en-IN" w:bidi="ml-IN"/>
              </w:rPr>
              <w:t xml:space="preserve"> in delivery</w:t>
            </w:r>
          </w:p>
        </w:tc>
        <w:tc>
          <w:tcPr>
            <w:tcW w:w="3781" w:type="dxa"/>
            <w:tcBorders>
              <w:top w:val="nil"/>
              <w:left w:val="nil"/>
              <w:bottom w:val="nil"/>
            </w:tcBorders>
          </w:tcPr>
          <w:p w14:paraId="10723D3C" w14:textId="3FC076F6" w:rsidR="002F446E" w:rsidRPr="00B978D8" w:rsidRDefault="002F446E" w:rsidP="00341392">
            <w:pPr>
              <w:spacing w:line="276" w:lineRule="auto"/>
              <w:jc w:val="both"/>
              <w:rPr>
                <w:rFonts w:ascii="Times New Roman" w:eastAsia="Times New Roman" w:hAnsi="Times New Roman" w:cs="Times New Roman"/>
                <w:sz w:val="24"/>
                <w:szCs w:val="24"/>
                <w:lang w:eastAsia="en-IN" w:bidi="ml-IN"/>
              </w:rPr>
            </w:pPr>
          </w:p>
        </w:tc>
      </w:tr>
      <w:tr w:rsidR="002F446E" w14:paraId="1BD3AFDE" w14:textId="77777777" w:rsidTr="0016219E">
        <w:tc>
          <w:tcPr>
            <w:tcW w:w="850" w:type="dxa"/>
            <w:tcBorders>
              <w:top w:val="nil"/>
              <w:bottom w:val="nil"/>
              <w:right w:val="nil"/>
            </w:tcBorders>
          </w:tcPr>
          <w:p w14:paraId="76FF17B4" w14:textId="4FF06754"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3</w:t>
            </w:r>
          </w:p>
        </w:tc>
        <w:tc>
          <w:tcPr>
            <w:tcW w:w="3969" w:type="dxa"/>
            <w:tcBorders>
              <w:top w:val="nil"/>
              <w:bottom w:val="nil"/>
              <w:right w:val="nil"/>
            </w:tcBorders>
          </w:tcPr>
          <w:p w14:paraId="1225EFA5" w14:textId="477D2392" w:rsidR="002F446E" w:rsidRPr="002F446E" w:rsidRDefault="00D43D00" w:rsidP="002F446E">
            <w:pPr>
              <w:spacing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Openness</w:t>
            </w:r>
            <w:r w:rsidR="002F446E" w:rsidRPr="002F446E">
              <w:rPr>
                <w:rFonts w:ascii="Times New Roman" w:eastAsia="Times New Roman" w:hAnsi="Times New Roman" w:cs="Times New Roman"/>
                <w:sz w:val="24"/>
                <w:szCs w:val="24"/>
                <w:lang w:eastAsia="en-IN" w:bidi="ml-IN"/>
              </w:rPr>
              <w:t xml:space="preserve"> in pricing/subsidy</w:t>
            </w:r>
          </w:p>
        </w:tc>
        <w:tc>
          <w:tcPr>
            <w:tcW w:w="3781" w:type="dxa"/>
            <w:tcBorders>
              <w:top w:val="nil"/>
              <w:left w:val="nil"/>
              <w:bottom w:val="nil"/>
            </w:tcBorders>
          </w:tcPr>
          <w:p w14:paraId="54675924" w14:textId="55A08EFC"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r w:rsidR="002F446E" w14:paraId="1BCD6B32" w14:textId="77777777" w:rsidTr="0016219E">
        <w:tc>
          <w:tcPr>
            <w:tcW w:w="850" w:type="dxa"/>
            <w:tcBorders>
              <w:top w:val="nil"/>
              <w:bottom w:val="nil"/>
              <w:right w:val="nil"/>
            </w:tcBorders>
          </w:tcPr>
          <w:p w14:paraId="516D6DC7" w14:textId="54B8D7E8"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4</w:t>
            </w:r>
          </w:p>
        </w:tc>
        <w:tc>
          <w:tcPr>
            <w:tcW w:w="3969" w:type="dxa"/>
            <w:tcBorders>
              <w:top w:val="nil"/>
              <w:bottom w:val="nil"/>
              <w:right w:val="nil"/>
            </w:tcBorders>
          </w:tcPr>
          <w:p w14:paraId="0315789B" w14:textId="5A2972EF"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Safety</w:t>
            </w:r>
            <w:r w:rsidR="00D43D00">
              <w:rPr>
                <w:rFonts w:ascii="Times New Roman" w:eastAsia="Times New Roman" w:hAnsi="Times New Roman" w:cs="Times New Roman"/>
                <w:sz w:val="24"/>
                <w:szCs w:val="24"/>
                <w:lang w:eastAsia="en-IN" w:bidi="ml-IN"/>
              </w:rPr>
              <w:t xml:space="preserve"> precautions</w:t>
            </w:r>
          </w:p>
        </w:tc>
        <w:tc>
          <w:tcPr>
            <w:tcW w:w="3781" w:type="dxa"/>
            <w:tcBorders>
              <w:top w:val="nil"/>
              <w:left w:val="nil"/>
              <w:bottom w:val="nil"/>
            </w:tcBorders>
          </w:tcPr>
          <w:p w14:paraId="69C092D2" w14:textId="0B9A4EAA"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r w:rsidR="002F446E" w14:paraId="487B140E" w14:textId="77777777" w:rsidTr="0016219E">
        <w:tc>
          <w:tcPr>
            <w:tcW w:w="850" w:type="dxa"/>
            <w:tcBorders>
              <w:top w:val="nil"/>
              <w:bottom w:val="single" w:sz="4" w:space="0" w:color="auto"/>
              <w:right w:val="nil"/>
            </w:tcBorders>
          </w:tcPr>
          <w:p w14:paraId="5B445219" w14:textId="523FC9AE" w:rsidR="002F446E" w:rsidRPr="002F446E" w:rsidRDefault="002F446E" w:rsidP="002F446E">
            <w:pPr>
              <w:spacing w:line="276" w:lineRule="auto"/>
              <w:jc w:val="center"/>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5</w:t>
            </w:r>
          </w:p>
        </w:tc>
        <w:tc>
          <w:tcPr>
            <w:tcW w:w="3969" w:type="dxa"/>
            <w:tcBorders>
              <w:top w:val="nil"/>
              <w:bottom w:val="single" w:sz="4" w:space="0" w:color="auto"/>
              <w:right w:val="nil"/>
            </w:tcBorders>
          </w:tcPr>
          <w:p w14:paraId="4170DC1B" w14:textId="6E194A4D" w:rsidR="002F446E" w:rsidRPr="002F446E" w:rsidRDefault="002F446E" w:rsidP="002F446E">
            <w:pPr>
              <w:spacing w:line="276" w:lineRule="auto"/>
              <w:rPr>
                <w:rFonts w:ascii="Times New Roman" w:eastAsia="Times New Roman" w:hAnsi="Times New Roman" w:cs="Times New Roman"/>
                <w:sz w:val="24"/>
                <w:szCs w:val="24"/>
                <w:lang w:eastAsia="en-IN" w:bidi="ml-IN"/>
              </w:rPr>
            </w:pPr>
            <w:r w:rsidRPr="002F446E">
              <w:rPr>
                <w:rFonts w:ascii="Times New Roman" w:eastAsia="Times New Roman" w:hAnsi="Times New Roman" w:cs="Times New Roman"/>
                <w:sz w:val="24"/>
                <w:szCs w:val="24"/>
                <w:lang w:eastAsia="en-IN" w:bidi="ml-IN"/>
              </w:rPr>
              <w:t>Customer care services</w:t>
            </w:r>
          </w:p>
        </w:tc>
        <w:tc>
          <w:tcPr>
            <w:tcW w:w="3781" w:type="dxa"/>
            <w:tcBorders>
              <w:top w:val="nil"/>
              <w:left w:val="nil"/>
              <w:bottom w:val="single" w:sz="4" w:space="0" w:color="auto"/>
            </w:tcBorders>
          </w:tcPr>
          <w:p w14:paraId="21B8C570" w14:textId="39C87F90" w:rsidR="002F446E" w:rsidRPr="00640F13" w:rsidRDefault="002F446E" w:rsidP="00341392">
            <w:pPr>
              <w:pStyle w:val="ListParagraph"/>
              <w:spacing w:line="276" w:lineRule="auto"/>
              <w:jc w:val="both"/>
              <w:rPr>
                <w:rFonts w:ascii="Times New Roman" w:eastAsia="Times New Roman" w:hAnsi="Times New Roman" w:cs="Times New Roman"/>
                <w:sz w:val="24"/>
                <w:szCs w:val="24"/>
                <w:lang w:eastAsia="en-IN" w:bidi="ml-IN"/>
              </w:rPr>
            </w:pPr>
          </w:p>
        </w:tc>
      </w:tr>
    </w:tbl>
    <w:p w14:paraId="1802085F" w14:textId="26AE28B8" w:rsidR="006C71CB" w:rsidRPr="00284EF0" w:rsidRDefault="00284EF0"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b/>
          <w:bCs/>
          <w:sz w:val="24"/>
          <w:szCs w:val="24"/>
          <w:lang w:eastAsia="en-IN" w:bidi="ml-IN"/>
        </w:rPr>
        <w:t xml:space="preserve">2.3 </w:t>
      </w:r>
      <w:r w:rsidR="006C71CB" w:rsidRPr="00284EF0">
        <w:rPr>
          <w:rFonts w:ascii="Times New Roman" w:eastAsia="Times New Roman" w:hAnsi="Times New Roman" w:cs="Times New Roman"/>
          <w:b/>
          <w:bCs/>
          <w:sz w:val="24"/>
          <w:szCs w:val="24"/>
          <w:lang w:eastAsia="en-IN" w:bidi="ml-IN"/>
        </w:rPr>
        <w:t>Hypotheses</w:t>
      </w:r>
    </w:p>
    <w:p w14:paraId="2107D598" w14:textId="04831B0C" w:rsidR="006C71CB" w:rsidRPr="00EC06E3" w:rsidRDefault="00CC57DD" w:rsidP="00CF6718">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bookmarkStart w:id="0" w:name="_Hlk207707028"/>
      <w:r>
        <w:rPr>
          <w:rFonts w:ascii="Times New Roman" w:eastAsia="Times New Roman" w:hAnsi="Times New Roman" w:cs="Times New Roman"/>
          <w:sz w:val="24"/>
          <w:szCs w:val="24"/>
          <w:lang w:eastAsia="en-IN" w:bidi="ml-IN"/>
        </w:rPr>
        <w:t xml:space="preserve">H0: </w:t>
      </w:r>
      <w:r w:rsidR="006C71CB"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 xml:space="preserve">association between gender and </w:t>
      </w:r>
      <w:r w:rsidR="00645ACC">
        <w:rPr>
          <w:rFonts w:ascii="Times New Roman" w:eastAsia="Times New Roman" w:hAnsi="Times New Roman" w:cs="Times New Roman"/>
          <w:sz w:val="24"/>
          <w:szCs w:val="24"/>
          <w:lang w:eastAsia="en-IN" w:bidi="ml-IN"/>
        </w:rPr>
        <w:t>satisfaction level of LPG consumers</w:t>
      </w:r>
      <w:r>
        <w:rPr>
          <w:rFonts w:ascii="Times New Roman" w:eastAsia="Times New Roman" w:hAnsi="Times New Roman" w:cs="Times New Roman"/>
          <w:sz w:val="24"/>
          <w:szCs w:val="24"/>
          <w:lang w:eastAsia="en-IN" w:bidi="ml-IN"/>
        </w:rPr>
        <w:t>.</w:t>
      </w:r>
    </w:p>
    <w:bookmarkEnd w:id="0"/>
    <w:p w14:paraId="6F9C9B84" w14:textId="016D6DFB" w:rsidR="00CF6718" w:rsidRPr="00EC06E3" w:rsidRDefault="00CC57DD" w:rsidP="00CF6718">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lastRenderedPageBreak/>
        <w:t xml:space="preserve">H0: </w:t>
      </w:r>
      <w:r w:rsidR="00CF6718" w:rsidRPr="00EC06E3">
        <w:rPr>
          <w:rFonts w:ascii="Times New Roman" w:eastAsia="Times New Roman" w:hAnsi="Times New Roman" w:cs="Times New Roman"/>
          <w:sz w:val="24"/>
          <w:szCs w:val="24"/>
          <w:lang w:eastAsia="en-IN" w:bidi="ml-IN"/>
        </w:rPr>
        <w:t xml:space="preserve">There is no significant difference in </w:t>
      </w:r>
      <w:r w:rsidR="00CF6718">
        <w:rPr>
          <w:rFonts w:ascii="Times New Roman" w:eastAsia="Times New Roman" w:hAnsi="Times New Roman" w:cs="Times New Roman"/>
          <w:sz w:val="24"/>
          <w:szCs w:val="24"/>
          <w:lang w:eastAsia="en-IN" w:bidi="ml-IN"/>
        </w:rPr>
        <w:t xml:space="preserve">the satisfaction level of LPG consumers </w:t>
      </w:r>
      <w:r w:rsidR="009A097E">
        <w:rPr>
          <w:rFonts w:ascii="Times New Roman" w:eastAsia="Times New Roman" w:hAnsi="Times New Roman" w:cs="Times New Roman"/>
          <w:sz w:val="24"/>
          <w:szCs w:val="24"/>
          <w:lang w:eastAsia="en-IN" w:bidi="ml-IN"/>
        </w:rPr>
        <w:t>of different</w:t>
      </w:r>
      <w:r w:rsidR="00CF6718" w:rsidRPr="00EC06E3">
        <w:rPr>
          <w:rFonts w:ascii="Times New Roman" w:eastAsia="Times New Roman" w:hAnsi="Times New Roman" w:cs="Times New Roman"/>
          <w:sz w:val="24"/>
          <w:szCs w:val="24"/>
          <w:lang w:eastAsia="en-IN" w:bidi="ml-IN"/>
        </w:rPr>
        <w:t xml:space="preserve"> </w:t>
      </w:r>
      <w:r w:rsidR="00CF6718">
        <w:rPr>
          <w:rFonts w:ascii="Times New Roman" w:eastAsia="Times New Roman" w:hAnsi="Times New Roman" w:cs="Times New Roman"/>
          <w:sz w:val="24"/>
          <w:szCs w:val="24"/>
          <w:lang w:eastAsia="en-IN" w:bidi="ml-IN"/>
        </w:rPr>
        <w:t>age groups</w:t>
      </w:r>
      <w:r w:rsidR="00CF6718" w:rsidRPr="00EC06E3">
        <w:rPr>
          <w:rFonts w:ascii="Times New Roman" w:eastAsia="Times New Roman" w:hAnsi="Times New Roman" w:cs="Times New Roman"/>
          <w:sz w:val="24"/>
          <w:szCs w:val="24"/>
          <w:lang w:eastAsia="en-IN" w:bidi="ml-IN"/>
        </w:rPr>
        <w:t>.</w:t>
      </w:r>
    </w:p>
    <w:p w14:paraId="0028F047" w14:textId="356A4191" w:rsidR="00CC57DD" w:rsidRPr="00EC06E3" w:rsidRDefault="00CC57DD" w:rsidP="00CC57DD">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H0: </w:t>
      </w:r>
      <w:r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association between education status and satisfaction level of LPG consumers.</w:t>
      </w:r>
    </w:p>
    <w:p w14:paraId="2DC7A495" w14:textId="77777777" w:rsidR="00C471E7" w:rsidRDefault="00CC57DD" w:rsidP="00C471E7">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H0: </w:t>
      </w:r>
      <w:r w:rsidRPr="00EC06E3">
        <w:rPr>
          <w:rFonts w:ascii="Times New Roman" w:eastAsia="Times New Roman" w:hAnsi="Times New Roman" w:cs="Times New Roman"/>
          <w:sz w:val="24"/>
          <w:szCs w:val="24"/>
          <w:lang w:eastAsia="en-IN" w:bidi="ml-IN"/>
        </w:rPr>
        <w:t xml:space="preserve">There is no significant </w:t>
      </w:r>
      <w:r>
        <w:rPr>
          <w:rFonts w:ascii="Times New Roman" w:eastAsia="Times New Roman" w:hAnsi="Times New Roman" w:cs="Times New Roman"/>
          <w:sz w:val="24"/>
          <w:szCs w:val="24"/>
          <w:lang w:eastAsia="en-IN" w:bidi="ml-IN"/>
        </w:rPr>
        <w:t>association between monthly income and satisfaction level of LPG consumers.</w:t>
      </w:r>
    </w:p>
    <w:p w14:paraId="02755DAA" w14:textId="22D057DE" w:rsidR="00C471E7" w:rsidRPr="00C471E7" w:rsidRDefault="00C471E7" w:rsidP="00C471E7">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C471E7">
        <w:rPr>
          <w:rFonts w:ascii="Times New Roman" w:eastAsia="Times New Roman" w:hAnsi="Times New Roman" w:cs="Times New Roman"/>
          <w:b/>
          <w:bCs/>
          <w:sz w:val="28"/>
          <w:szCs w:val="28"/>
          <w:lang w:eastAsia="en-IN" w:bidi="ml-IN"/>
        </w:rPr>
        <w:t>Material and Methods</w:t>
      </w:r>
    </w:p>
    <w:p w14:paraId="49C5599A" w14:textId="48D950CC" w:rsidR="00DC0712" w:rsidRPr="00284EF0" w:rsidRDefault="00DC0712" w:rsidP="00284EF0">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8D3122">
        <w:rPr>
          <w:rFonts w:ascii="Times New Roman" w:eastAsia="Times New Roman" w:hAnsi="Times New Roman" w:cs="Times New Roman"/>
          <w:b/>
          <w:bCs/>
          <w:sz w:val="24"/>
          <w:szCs w:val="24"/>
          <w:lang w:eastAsia="en-IN" w:bidi="ml-IN"/>
        </w:rPr>
        <w:t>Research Design</w:t>
      </w:r>
    </w:p>
    <w:p w14:paraId="05F5BA0E" w14:textId="77777777" w:rsidR="00C471E7" w:rsidRDefault="00DC0712" w:rsidP="00C471E7">
      <w:pPr>
        <w:spacing w:before="240" w:after="0" w:line="276" w:lineRule="auto"/>
        <w:jc w:val="both"/>
        <w:rPr>
          <w:rFonts w:ascii="Times New Roman" w:eastAsia="Times New Roman" w:hAnsi="Times New Roman" w:cs="Times New Roman"/>
          <w:sz w:val="24"/>
          <w:szCs w:val="24"/>
          <w:lang w:eastAsia="en-IN" w:bidi="ml-IN"/>
        </w:rPr>
      </w:pPr>
      <w:r w:rsidRPr="007F0215">
        <w:rPr>
          <w:rFonts w:ascii="Times New Roman" w:eastAsia="Times New Roman" w:hAnsi="Times New Roman" w:cs="Times New Roman"/>
          <w:sz w:val="24"/>
          <w:szCs w:val="24"/>
          <w:lang w:eastAsia="en-IN" w:bidi="ml-IN"/>
        </w:rPr>
        <w:t xml:space="preserve">The research design used in this study is both descriptive and analytical. While the analytical technique was utilized to test the hypotheses about satisfaction across various groups, the descriptive approach was utilized to profile the demographic characteristics of LPG </w:t>
      </w:r>
      <w:r w:rsidR="007D13D6">
        <w:rPr>
          <w:rFonts w:ascii="Times New Roman" w:eastAsia="Times New Roman" w:hAnsi="Times New Roman" w:cs="Times New Roman"/>
          <w:sz w:val="24"/>
          <w:szCs w:val="24"/>
          <w:lang w:eastAsia="en-IN" w:bidi="ml-IN"/>
        </w:rPr>
        <w:t>consumers</w:t>
      </w:r>
      <w:r w:rsidRPr="007F0215">
        <w:rPr>
          <w:rFonts w:ascii="Times New Roman" w:eastAsia="Times New Roman" w:hAnsi="Times New Roman" w:cs="Times New Roman"/>
          <w:sz w:val="24"/>
          <w:szCs w:val="24"/>
          <w:lang w:eastAsia="en-IN" w:bidi="ml-IN"/>
        </w:rPr>
        <w:t>.</w:t>
      </w:r>
    </w:p>
    <w:p w14:paraId="53DF95BD" w14:textId="7CE20564" w:rsidR="00DC0712" w:rsidRPr="00C471E7" w:rsidRDefault="00DC0712" w:rsidP="00C471E7">
      <w:pPr>
        <w:spacing w:before="240" w:after="0" w:line="276" w:lineRule="auto"/>
        <w:jc w:val="both"/>
        <w:rPr>
          <w:rFonts w:ascii="Times New Roman" w:eastAsia="Times New Roman" w:hAnsi="Times New Roman" w:cs="Times New Roman"/>
          <w:sz w:val="24"/>
          <w:szCs w:val="24"/>
          <w:lang w:eastAsia="en-IN" w:bidi="ml-IN"/>
        </w:rPr>
      </w:pPr>
      <w:r w:rsidRPr="00DE6068">
        <w:rPr>
          <w:rFonts w:ascii="Times New Roman" w:eastAsia="Times New Roman" w:hAnsi="Times New Roman" w:cs="Times New Roman"/>
          <w:b/>
          <w:bCs/>
          <w:sz w:val="24"/>
          <w:szCs w:val="24"/>
          <w:lang w:eastAsia="en-IN" w:bidi="ml-IN"/>
        </w:rPr>
        <w:t>Population</w:t>
      </w:r>
    </w:p>
    <w:p w14:paraId="438063FA" w14:textId="7B870F58" w:rsidR="00DC0712" w:rsidRDefault="00DC0712" w:rsidP="00341392">
      <w:pPr>
        <w:spacing w:before="240" w:after="0" w:line="276" w:lineRule="auto"/>
        <w:jc w:val="both"/>
        <w:rPr>
          <w:rFonts w:ascii="Times New Roman" w:eastAsia="Times New Roman" w:hAnsi="Times New Roman" w:cs="Times New Roman"/>
          <w:sz w:val="24"/>
          <w:szCs w:val="24"/>
          <w:lang w:eastAsia="en-IN" w:bidi="ml-IN"/>
        </w:rPr>
      </w:pPr>
      <w:r w:rsidRPr="00DD2976">
        <w:rPr>
          <w:rFonts w:ascii="Times New Roman" w:eastAsia="Times New Roman" w:hAnsi="Times New Roman" w:cs="Times New Roman"/>
          <w:sz w:val="24"/>
          <w:szCs w:val="24"/>
          <w:lang w:eastAsia="en-IN" w:bidi="ml-IN"/>
        </w:rPr>
        <w:t>Domestic LPG consumers who are registered with India</w:t>
      </w:r>
      <w:r>
        <w:rPr>
          <w:rFonts w:ascii="Times New Roman" w:eastAsia="Times New Roman" w:hAnsi="Times New Roman" w:cs="Times New Roman"/>
          <w:sz w:val="24"/>
          <w:szCs w:val="24"/>
          <w:lang w:eastAsia="en-IN" w:bidi="ml-IN"/>
        </w:rPr>
        <w:t>’</w:t>
      </w:r>
      <w:r w:rsidRPr="00DD2976">
        <w:rPr>
          <w:rFonts w:ascii="Times New Roman" w:eastAsia="Times New Roman" w:hAnsi="Times New Roman" w:cs="Times New Roman"/>
          <w:sz w:val="24"/>
          <w:szCs w:val="24"/>
          <w:lang w:eastAsia="en-IN" w:bidi="ml-IN"/>
        </w:rPr>
        <w:t xml:space="preserve">s three main distributors, Indane, Bharat </w:t>
      </w:r>
      <w:r w:rsidR="0010784F">
        <w:rPr>
          <w:rFonts w:ascii="Times New Roman" w:eastAsia="Times New Roman" w:hAnsi="Times New Roman" w:cs="Times New Roman"/>
          <w:sz w:val="24"/>
          <w:szCs w:val="24"/>
          <w:lang w:eastAsia="en-IN" w:bidi="ml-IN"/>
        </w:rPr>
        <w:t>g</w:t>
      </w:r>
      <w:r w:rsidRPr="00DD2976">
        <w:rPr>
          <w:rFonts w:ascii="Times New Roman" w:eastAsia="Times New Roman" w:hAnsi="Times New Roman" w:cs="Times New Roman"/>
          <w:sz w:val="24"/>
          <w:szCs w:val="24"/>
          <w:lang w:eastAsia="en-IN" w:bidi="ml-IN"/>
        </w:rPr>
        <w:t xml:space="preserve">as, and HP </w:t>
      </w:r>
      <w:r w:rsidR="0010784F">
        <w:rPr>
          <w:rFonts w:ascii="Times New Roman" w:eastAsia="Times New Roman" w:hAnsi="Times New Roman" w:cs="Times New Roman"/>
          <w:sz w:val="24"/>
          <w:szCs w:val="24"/>
          <w:lang w:eastAsia="en-IN" w:bidi="ml-IN"/>
        </w:rPr>
        <w:t>g</w:t>
      </w:r>
      <w:r w:rsidRPr="00DD2976">
        <w:rPr>
          <w:rFonts w:ascii="Times New Roman" w:eastAsia="Times New Roman" w:hAnsi="Times New Roman" w:cs="Times New Roman"/>
          <w:sz w:val="24"/>
          <w:szCs w:val="24"/>
          <w:lang w:eastAsia="en-IN" w:bidi="ml-IN"/>
        </w:rPr>
        <w:t xml:space="preserve">as, constitute the </w:t>
      </w:r>
      <w:r>
        <w:rPr>
          <w:rFonts w:ascii="Times New Roman" w:eastAsia="Times New Roman" w:hAnsi="Times New Roman" w:cs="Times New Roman"/>
          <w:sz w:val="24"/>
          <w:szCs w:val="24"/>
          <w:lang w:eastAsia="en-IN" w:bidi="ml-IN"/>
        </w:rPr>
        <w:t xml:space="preserve">population for the </w:t>
      </w:r>
      <w:r w:rsidRPr="00DD2976">
        <w:rPr>
          <w:rFonts w:ascii="Times New Roman" w:eastAsia="Times New Roman" w:hAnsi="Times New Roman" w:cs="Times New Roman"/>
          <w:sz w:val="24"/>
          <w:szCs w:val="24"/>
          <w:lang w:eastAsia="en-IN" w:bidi="ml-IN"/>
        </w:rPr>
        <w:t>study</w:t>
      </w:r>
      <w:r>
        <w:rPr>
          <w:rFonts w:ascii="Times New Roman" w:eastAsia="Times New Roman" w:hAnsi="Times New Roman" w:cs="Times New Roman"/>
          <w:sz w:val="24"/>
          <w:szCs w:val="24"/>
          <w:lang w:eastAsia="en-IN" w:bidi="ml-IN"/>
        </w:rPr>
        <w:t>.</w:t>
      </w:r>
    </w:p>
    <w:p w14:paraId="2F885260" w14:textId="60A46711" w:rsidR="00DC0712" w:rsidRDefault="00DC0712" w:rsidP="00341392">
      <w:pPr>
        <w:spacing w:before="240" w:after="0" w:line="276" w:lineRule="auto"/>
        <w:jc w:val="both"/>
        <w:rPr>
          <w:rFonts w:ascii="Times New Roman" w:eastAsia="Times New Roman" w:hAnsi="Times New Roman" w:cs="Times New Roman"/>
          <w:b/>
          <w:bCs/>
          <w:sz w:val="24"/>
          <w:szCs w:val="24"/>
          <w:lang w:eastAsia="en-IN" w:bidi="ml-IN"/>
        </w:rPr>
      </w:pPr>
      <w:r w:rsidRPr="007F3128">
        <w:rPr>
          <w:rFonts w:ascii="Times New Roman" w:eastAsia="Times New Roman" w:hAnsi="Times New Roman" w:cs="Times New Roman"/>
          <w:b/>
          <w:bCs/>
          <w:sz w:val="24"/>
          <w:szCs w:val="24"/>
          <w:lang w:eastAsia="en-IN" w:bidi="ml-IN"/>
        </w:rPr>
        <w:t xml:space="preserve">Sample </w:t>
      </w:r>
      <w:r w:rsidR="00934203">
        <w:rPr>
          <w:rFonts w:ascii="Times New Roman" w:eastAsia="Times New Roman" w:hAnsi="Times New Roman" w:cs="Times New Roman"/>
          <w:b/>
          <w:bCs/>
          <w:sz w:val="24"/>
          <w:szCs w:val="24"/>
          <w:lang w:eastAsia="en-IN" w:bidi="ml-IN"/>
        </w:rPr>
        <w:t>S</w:t>
      </w:r>
      <w:r w:rsidRPr="007F3128">
        <w:rPr>
          <w:rFonts w:ascii="Times New Roman" w:eastAsia="Times New Roman" w:hAnsi="Times New Roman" w:cs="Times New Roman"/>
          <w:b/>
          <w:bCs/>
          <w:sz w:val="24"/>
          <w:szCs w:val="24"/>
          <w:lang w:eastAsia="en-IN" w:bidi="ml-IN"/>
        </w:rPr>
        <w:t>ize</w:t>
      </w:r>
    </w:p>
    <w:p w14:paraId="4B885029" w14:textId="77777777" w:rsidR="00C471E7" w:rsidRDefault="00DC0712" w:rsidP="00C471E7">
      <w:pPr>
        <w:spacing w:before="240" w:after="0"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w:t>
      </w:r>
      <w:r w:rsidRPr="007F3128">
        <w:rPr>
          <w:rFonts w:ascii="Times New Roman" w:eastAsia="Times New Roman" w:hAnsi="Times New Roman" w:cs="Times New Roman"/>
          <w:sz w:val="24"/>
          <w:szCs w:val="24"/>
          <w:lang w:eastAsia="en-IN" w:bidi="ml-IN"/>
        </w:rPr>
        <w:t xml:space="preserve">he </w:t>
      </w:r>
      <w:r w:rsidR="00934203">
        <w:rPr>
          <w:rFonts w:ascii="Times New Roman" w:eastAsia="Times New Roman" w:hAnsi="Times New Roman" w:cs="Times New Roman"/>
          <w:sz w:val="24"/>
          <w:szCs w:val="24"/>
          <w:lang w:eastAsia="en-IN" w:bidi="ml-IN"/>
        </w:rPr>
        <w:t xml:space="preserve">size of </w:t>
      </w:r>
      <w:r w:rsidRPr="007F3128">
        <w:rPr>
          <w:rFonts w:ascii="Times New Roman" w:eastAsia="Times New Roman" w:hAnsi="Times New Roman" w:cs="Times New Roman"/>
          <w:sz w:val="24"/>
          <w:szCs w:val="24"/>
          <w:lang w:eastAsia="en-IN" w:bidi="ml-IN"/>
        </w:rPr>
        <w:t>sample</w:t>
      </w:r>
      <w:r w:rsidR="00934203">
        <w:rPr>
          <w:rFonts w:ascii="Times New Roman" w:eastAsia="Times New Roman" w:hAnsi="Times New Roman" w:cs="Times New Roman"/>
          <w:sz w:val="24"/>
          <w:szCs w:val="24"/>
          <w:lang w:eastAsia="en-IN" w:bidi="ml-IN"/>
        </w:rPr>
        <w:t xml:space="preserve"> </w:t>
      </w:r>
      <w:r w:rsidRPr="007F3128">
        <w:rPr>
          <w:rFonts w:ascii="Times New Roman" w:eastAsia="Times New Roman" w:hAnsi="Times New Roman" w:cs="Times New Roman"/>
          <w:sz w:val="24"/>
          <w:szCs w:val="24"/>
          <w:lang w:eastAsia="en-IN" w:bidi="ml-IN"/>
        </w:rPr>
        <w:t xml:space="preserve">for the study </w:t>
      </w:r>
      <w:r w:rsidR="00934203">
        <w:rPr>
          <w:rFonts w:ascii="Times New Roman" w:eastAsia="Times New Roman" w:hAnsi="Times New Roman" w:cs="Times New Roman"/>
          <w:sz w:val="24"/>
          <w:szCs w:val="24"/>
          <w:lang w:eastAsia="en-IN" w:bidi="ml-IN"/>
        </w:rPr>
        <w:t>includes</w:t>
      </w:r>
      <w:r>
        <w:rPr>
          <w:rFonts w:ascii="Times New Roman" w:eastAsia="Times New Roman" w:hAnsi="Times New Roman" w:cs="Times New Roman"/>
          <w:sz w:val="24"/>
          <w:szCs w:val="24"/>
          <w:lang w:eastAsia="en-IN" w:bidi="ml-IN"/>
        </w:rPr>
        <w:t xml:space="preserve"> </w:t>
      </w:r>
      <w:r w:rsidRPr="007F3128">
        <w:rPr>
          <w:rFonts w:ascii="Times New Roman" w:eastAsia="Times New Roman" w:hAnsi="Times New Roman" w:cs="Times New Roman"/>
          <w:sz w:val="24"/>
          <w:szCs w:val="24"/>
          <w:lang w:eastAsia="en-IN" w:bidi="ml-IN"/>
        </w:rPr>
        <w:t xml:space="preserve">210 </w:t>
      </w:r>
      <w:r>
        <w:rPr>
          <w:rFonts w:ascii="Times New Roman" w:eastAsia="Times New Roman" w:hAnsi="Times New Roman" w:cs="Times New Roman"/>
          <w:sz w:val="24"/>
          <w:szCs w:val="24"/>
          <w:lang w:eastAsia="en-IN" w:bidi="ml-IN"/>
        </w:rPr>
        <w:t xml:space="preserve">LPG </w:t>
      </w:r>
      <w:r w:rsidR="007D13D6">
        <w:rPr>
          <w:rFonts w:ascii="Times New Roman" w:eastAsia="Times New Roman" w:hAnsi="Times New Roman" w:cs="Times New Roman"/>
          <w:sz w:val="24"/>
          <w:szCs w:val="24"/>
          <w:lang w:eastAsia="en-IN" w:bidi="ml-IN"/>
        </w:rPr>
        <w:t>consumers</w:t>
      </w:r>
      <w:r w:rsidRPr="007F3128">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in Kozhikode district of Kerala</w:t>
      </w:r>
      <w:r w:rsidRPr="007F3128">
        <w:rPr>
          <w:rFonts w:ascii="Times New Roman" w:eastAsia="Times New Roman" w:hAnsi="Times New Roman" w:cs="Times New Roman"/>
          <w:sz w:val="24"/>
          <w:szCs w:val="24"/>
          <w:lang w:eastAsia="en-IN" w:bidi="ml-IN"/>
        </w:rPr>
        <w:t>.</w:t>
      </w:r>
    </w:p>
    <w:p w14:paraId="2228BBEF" w14:textId="0DECABD2" w:rsidR="00DC0712" w:rsidRPr="00C471E7" w:rsidRDefault="00DC0712" w:rsidP="00C471E7">
      <w:pPr>
        <w:spacing w:before="240" w:after="0" w:line="276" w:lineRule="auto"/>
        <w:jc w:val="both"/>
        <w:rPr>
          <w:rFonts w:ascii="Times New Roman" w:eastAsia="Times New Roman" w:hAnsi="Times New Roman" w:cs="Times New Roman"/>
          <w:sz w:val="24"/>
          <w:szCs w:val="24"/>
          <w:lang w:eastAsia="en-IN" w:bidi="ml-IN"/>
        </w:rPr>
      </w:pPr>
      <w:r w:rsidRPr="00C471E7">
        <w:rPr>
          <w:rFonts w:ascii="Times New Roman" w:eastAsia="Times New Roman" w:hAnsi="Times New Roman" w:cs="Times New Roman"/>
          <w:b/>
          <w:bCs/>
          <w:sz w:val="24"/>
          <w:szCs w:val="24"/>
          <w:lang w:eastAsia="en-IN" w:bidi="ml-IN"/>
        </w:rPr>
        <w:t>Sampling Design</w:t>
      </w:r>
    </w:p>
    <w:p w14:paraId="628DD4F4" w14:textId="77777777" w:rsidR="00284EF0" w:rsidRDefault="00DC0712" w:rsidP="00284EF0">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Stratifie</w:t>
      </w:r>
      <w:r w:rsidR="00DA43FF">
        <w:rPr>
          <w:rFonts w:ascii="Times New Roman" w:eastAsia="Times New Roman" w:hAnsi="Times New Roman" w:cs="Times New Roman"/>
          <w:sz w:val="24"/>
          <w:szCs w:val="24"/>
          <w:lang w:eastAsia="en-IN" w:bidi="ml-IN"/>
        </w:rPr>
        <w:t>d</w:t>
      </w:r>
      <w:r>
        <w:rPr>
          <w:rFonts w:ascii="Times New Roman" w:eastAsia="Times New Roman" w:hAnsi="Times New Roman" w:cs="Times New Roman"/>
          <w:sz w:val="24"/>
          <w:szCs w:val="24"/>
          <w:lang w:eastAsia="en-IN" w:bidi="ml-IN"/>
        </w:rPr>
        <w:t xml:space="preserve"> random sampling technique is used for selecting the samples for the study. </w:t>
      </w:r>
      <w:r w:rsidRPr="005D3109">
        <w:rPr>
          <w:rFonts w:ascii="Times New Roman" w:eastAsia="Times New Roman" w:hAnsi="Times New Roman" w:cs="Times New Roman"/>
          <w:sz w:val="24"/>
          <w:szCs w:val="24"/>
          <w:lang w:eastAsia="en-IN" w:bidi="ml-IN"/>
        </w:rPr>
        <w:t xml:space="preserve">One unit of each of the three gas </w:t>
      </w:r>
      <w:r>
        <w:rPr>
          <w:rFonts w:ascii="Times New Roman" w:eastAsia="Times New Roman" w:hAnsi="Times New Roman" w:cs="Times New Roman"/>
          <w:sz w:val="24"/>
          <w:szCs w:val="24"/>
          <w:lang w:eastAsia="en-IN" w:bidi="ml-IN"/>
        </w:rPr>
        <w:t>distributor</w:t>
      </w:r>
      <w:r w:rsidRPr="005D3109">
        <w:rPr>
          <w:rFonts w:ascii="Times New Roman" w:eastAsia="Times New Roman" w:hAnsi="Times New Roman" w:cs="Times New Roman"/>
          <w:sz w:val="24"/>
          <w:szCs w:val="24"/>
          <w:lang w:eastAsia="en-IN" w:bidi="ml-IN"/>
        </w:rPr>
        <w:t xml:space="preserve">s (Indane, Bharat Gas and HP Gas) were randomly </w:t>
      </w:r>
      <w:r>
        <w:rPr>
          <w:rFonts w:ascii="Times New Roman" w:eastAsia="Times New Roman" w:hAnsi="Times New Roman" w:cs="Times New Roman"/>
          <w:sz w:val="24"/>
          <w:szCs w:val="24"/>
          <w:lang w:eastAsia="en-IN" w:bidi="ml-IN"/>
        </w:rPr>
        <w:t>chosen</w:t>
      </w:r>
      <w:r w:rsidRPr="005D3109">
        <w:rPr>
          <w:rFonts w:ascii="Times New Roman" w:eastAsia="Times New Roman" w:hAnsi="Times New Roman" w:cs="Times New Roman"/>
          <w:sz w:val="24"/>
          <w:szCs w:val="24"/>
          <w:lang w:eastAsia="en-IN" w:bidi="ml-IN"/>
        </w:rPr>
        <w:t xml:space="preserve"> from Kozhikode district in Kerala. Then, </w:t>
      </w:r>
      <w:r>
        <w:rPr>
          <w:rFonts w:ascii="Times New Roman" w:eastAsia="Times New Roman" w:hAnsi="Times New Roman" w:cs="Times New Roman"/>
          <w:sz w:val="24"/>
          <w:szCs w:val="24"/>
          <w:lang w:eastAsia="en-IN" w:bidi="ml-IN"/>
        </w:rPr>
        <w:t>7</w:t>
      </w:r>
      <w:r w:rsidRPr="005D3109">
        <w:rPr>
          <w:rFonts w:ascii="Times New Roman" w:eastAsia="Times New Roman" w:hAnsi="Times New Roman" w:cs="Times New Roman"/>
          <w:sz w:val="24"/>
          <w:szCs w:val="24"/>
          <w:lang w:eastAsia="en-IN" w:bidi="ml-IN"/>
        </w:rPr>
        <w:t xml:space="preserve">0 </w:t>
      </w:r>
      <w:r w:rsidR="007D13D6">
        <w:rPr>
          <w:rFonts w:ascii="Times New Roman" w:eastAsia="Times New Roman" w:hAnsi="Times New Roman" w:cs="Times New Roman"/>
          <w:sz w:val="24"/>
          <w:szCs w:val="24"/>
          <w:lang w:eastAsia="en-IN" w:bidi="ml-IN"/>
        </w:rPr>
        <w:t>consumers</w:t>
      </w:r>
      <w:r w:rsidRPr="005D3109">
        <w:rPr>
          <w:rFonts w:ascii="Times New Roman" w:eastAsia="Times New Roman" w:hAnsi="Times New Roman" w:cs="Times New Roman"/>
          <w:sz w:val="24"/>
          <w:szCs w:val="24"/>
          <w:lang w:eastAsia="en-IN" w:bidi="ml-IN"/>
        </w:rPr>
        <w:t xml:space="preserve"> are selected </w:t>
      </w:r>
      <w:r>
        <w:rPr>
          <w:rFonts w:ascii="Times New Roman" w:eastAsia="Times New Roman" w:hAnsi="Times New Roman" w:cs="Times New Roman"/>
          <w:sz w:val="24"/>
          <w:szCs w:val="24"/>
          <w:lang w:eastAsia="en-IN" w:bidi="ml-IN"/>
        </w:rPr>
        <w:t xml:space="preserve">from each of those </w:t>
      </w:r>
      <w:r w:rsidRPr="005D3109">
        <w:rPr>
          <w:rFonts w:ascii="Times New Roman" w:eastAsia="Times New Roman" w:hAnsi="Times New Roman" w:cs="Times New Roman"/>
          <w:sz w:val="24"/>
          <w:szCs w:val="24"/>
          <w:lang w:eastAsia="en-IN" w:bidi="ml-IN"/>
        </w:rPr>
        <w:t xml:space="preserve">gas </w:t>
      </w:r>
      <w:r>
        <w:rPr>
          <w:rFonts w:ascii="Times New Roman" w:eastAsia="Times New Roman" w:hAnsi="Times New Roman" w:cs="Times New Roman"/>
          <w:sz w:val="24"/>
          <w:szCs w:val="24"/>
          <w:lang w:eastAsia="en-IN" w:bidi="ml-IN"/>
        </w:rPr>
        <w:t>distributor</w:t>
      </w:r>
      <w:r w:rsidRPr="005D3109">
        <w:rPr>
          <w:rFonts w:ascii="Times New Roman" w:eastAsia="Times New Roman" w:hAnsi="Times New Roman" w:cs="Times New Roman"/>
          <w:sz w:val="24"/>
          <w:szCs w:val="24"/>
          <w:lang w:eastAsia="en-IN" w:bidi="ml-IN"/>
        </w:rPr>
        <w:t xml:space="preserve">s. </w:t>
      </w:r>
      <w:r w:rsidRPr="00892CF9">
        <w:rPr>
          <w:rFonts w:ascii="Times New Roman" w:eastAsia="Times New Roman" w:hAnsi="Times New Roman" w:cs="Times New Roman"/>
          <w:sz w:val="24"/>
          <w:szCs w:val="24"/>
          <w:lang w:eastAsia="en-IN" w:bidi="ml-IN"/>
        </w:rPr>
        <w:t>To ensure that various demographic categories, including age, gender, income, and education, were adequately represented, the stratified random sampling technique was used.</w:t>
      </w:r>
    </w:p>
    <w:p w14:paraId="18E41C71" w14:textId="186AC749" w:rsidR="00DC0712" w:rsidRPr="00284EF0" w:rsidRDefault="00934203" w:rsidP="00284EF0">
      <w:pPr>
        <w:spacing w:line="276" w:lineRule="auto"/>
        <w:jc w:val="both"/>
        <w:rPr>
          <w:rFonts w:ascii="Times New Roman" w:eastAsia="Times New Roman" w:hAnsi="Times New Roman" w:cs="Times New Roman"/>
          <w:sz w:val="24"/>
          <w:szCs w:val="24"/>
          <w:lang w:eastAsia="en-IN" w:bidi="ml-IN"/>
        </w:rPr>
      </w:pPr>
      <w:r w:rsidRPr="00284EF0">
        <w:rPr>
          <w:rFonts w:ascii="Times New Roman" w:eastAsia="Times New Roman" w:hAnsi="Times New Roman" w:cs="Times New Roman"/>
          <w:b/>
          <w:bCs/>
          <w:sz w:val="24"/>
          <w:szCs w:val="24"/>
          <w:lang w:eastAsia="en-IN" w:bidi="ml-IN"/>
        </w:rPr>
        <w:t xml:space="preserve">Data </w:t>
      </w:r>
      <w:r w:rsidR="00DC0712" w:rsidRPr="00284EF0">
        <w:rPr>
          <w:rFonts w:ascii="Times New Roman" w:eastAsia="Times New Roman" w:hAnsi="Times New Roman" w:cs="Times New Roman"/>
          <w:b/>
          <w:bCs/>
          <w:sz w:val="24"/>
          <w:szCs w:val="24"/>
          <w:lang w:eastAsia="en-IN" w:bidi="ml-IN"/>
        </w:rPr>
        <w:t>Source</w:t>
      </w:r>
    </w:p>
    <w:p w14:paraId="0223C816" w14:textId="32654548" w:rsidR="00DC0712" w:rsidRPr="00EC06E3" w:rsidRDefault="00DC071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3017E4">
        <w:rPr>
          <w:rFonts w:ascii="Times New Roman" w:eastAsia="Times New Roman" w:hAnsi="Times New Roman" w:cs="Times New Roman"/>
          <w:b/>
          <w:bCs/>
          <w:i/>
          <w:iCs/>
          <w:sz w:val="24"/>
          <w:szCs w:val="24"/>
          <w:lang w:eastAsia="en-IN" w:bidi="ml-IN"/>
        </w:rPr>
        <w:t>Primary Data:</w:t>
      </w:r>
      <w:r w:rsidRPr="003017E4">
        <w:rPr>
          <w:rFonts w:ascii="Times New Roman" w:eastAsia="Times New Roman" w:hAnsi="Times New Roman" w:cs="Times New Roman"/>
          <w:i/>
          <w:iCs/>
          <w:sz w:val="24"/>
          <w:szCs w:val="24"/>
          <w:lang w:eastAsia="en-IN" w:bidi="ml-IN"/>
        </w:rPr>
        <w:t xml:space="preserve"> </w:t>
      </w:r>
      <w:r>
        <w:rPr>
          <w:rFonts w:ascii="Times New Roman" w:eastAsia="Times New Roman" w:hAnsi="Times New Roman" w:cs="Times New Roman"/>
          <w:sz w:val="24"/>
          <w:szCs w:val="24"/>
          <w:lang w:eastAsia="en-IN" w:bidi="ml-IN"/>
        </w:rPr>
        <w:t>Primary data are c</w:t>
      </w:r>
      <w:r w:rsidRPr="00EC06E3">
        <w:rPr>
          <w:rFonts w:ascii="Times New Roman" w:eastAsia="Times New Roman" w:hAnsi="Times New Roman" w:cs="Times New Roman"/>
          <w:sz w:val="24"/>
          <w:szCs w:val="24"/>
          <w:lang w:eastAsia="en-IN" w:bidi="ml-IN"/>
        </w:rPr>
        <w:t xml:space="preserve">ollected </w:t>
      </w:r>
      <w:r>
        <w:rPr>
          <w:rFonts w:ascii="Times New Roman" w:eastAsia="Times New Roman" w:hAnsi="Times New Roman" w:cs="Times New Roman"/>
          <w:sz w:val="24"/>
          <w:szCs w:val="24"/>
          <w:lang w:eastAsia="en-IN" w:bidi="ml-IN"/>
        </w:rPr>
        <w:t>using</w:t>
      </w:r>
      <w:r w:rsidRPr="00EC06E3">
        <w:rPr>
          <w:rFonts w:ascii="Times New Roman" w:eastAsia="Times New Roman" w:hAnsi="Times New Roman" w:cs="Times New Roman"/>
          <w:sz w:val="24"/>
          <w:szCs w:val="24"/>
          <w:lang w:eastAsia="en-IN" w:bidi="ml-IN"/>
        </w:rPr>
        <w:t xml:space="preserve"> a </w:t>
      </w:r>
      <w:r w:rsidR="007849F1">
        <w:rPr>
          <w:rFonts w:ascii="Times New Roman" w:eastAsia="Times New Roman" w:hAnsi="Times New Roman" w:cs="Times New Roman"/>
          <w:sz w:val="24"/>
          <w:szCs w:val="24"/>
          <w:lang w:eastAsia="en-IN" w:bidi="ml-IN"/>
        </w:rPr>
        <w:t>well-</w:t>
      </w:r>
      <w:r w:rsidRPr="003017E4">
        <w:rPr>
          <w:rFonts w:ascii="Times New Roman" w:eastAsia="Times New Roman" w:hAnsi="Times New Roman" w:cs="Times New Roman"/>
          <w:sz w:val="24"/>
          <w:szCs w:val="24"/>
          <w:lang w:eastAsia="en-IN" w:bidi="ml-IN"/>
        </w:rPr>
        <w:t>structured questionnaire</w:t>
      </w:r>
      <w:r w:rsidRPr="00EC06E3">
        <w:rPr>
          <w:rFonts w:ascii="Times New Roman" w:eastAsia="Times New Roman" w:hAnsi="Times New Roman" w:cs="Times New Roman"/>
          <w:sz w:val="24"/>
          <w:szCs w:val="24"/>
          <w:lang w:eastAsia="en-IN" w:bidi="ml-IN"/>
        </w:rPr>
        <w:t xml:space="preserve"> consisting of t</w:t>
      </w:r>
      <w:r w:rsidR="00E22AFF">
        <w:rPr>
          <w:rFonts w:ascii="Times New Roman" w:eastAsia="Times New Roman" w:hAnsi="Times New Roman" w:cs="Times New Roman"/>
          <w:sz w:val="24"/>
          <w:szCs w:val="24"/>
          <w:lang w:eastAsia="en-IN" w:bidi="ml-IN"/>
        </w:rPr>
        <w:t>wo</w:t>
      </w:r>
      <w:r w:rsidRPr="00EC06E3">
        <w:rPr>
          <w:rFonts w:ascii="Times New Roman" w:eastAsia="Times New Roman" w:hAnsi="Times New Roman" w:cs="Times New Roman"/>
          <w:sz w:val="24"/>
          <w:szCs w:val="24"/>
          <w:lang w:eastAsia="en-IN" w:bidi="ml-IN"/>
        </w:rPr>
        <w:t xml:space="preserve"> </w:t>
      </w:r>
      <w:r w:rsidR="007849F1">
        <w:rPr>
          <w:rFonts w:ascii="Times New Roman" w:eastAsia="Times New Roman" w:hAnsi="Times New Roman" w:cs="Times New Roman"/>
          <w:sz w:val="24"/>
          <w:szCs w:val="24"/>
          <w:lang w:eastAsia="en-IN" w:bidi="ml-IN"/>
        </w:rPr>
        <w:t>part</w:t>
      </w:r>
      <w:r w:rsidRPr="00EC06E3">
        <w:rPr>
          <w:rFonts w:ascii="Times New Roman" w:eastAsia="Times New Roman" w:hAnsi="Times New Roman" w:cs="Times New Roman"/>
          <w:sz w:val="24"/>
          <w:szCs w:val="24"/>
          <w:lang w:eastAsia="en-IN" w:bidi="ml-IN"/>
        </w:rPr>
        <w:t>s</w:t>
      </w:r>
      <w:r w:rsidR="00E22AFF">
        <w:rPr>
          <w:rFonts w:ascii="Times New Roman" w:eastAsia="Times New Roman" w:hAnsi="Times New Roman" w:cs="Times New Roman"/>
          <w:sz w:val="24"/>
          <w:szCs w:val="24"/>
          <w:lang w:eastAsia="en-IN" w:bidi="ml-IN"/>
        </w:rPr>
        <w:t xml:space="preserve">. The first </w:t>
      </w:r>
      <w:r w:rsidR="007849F1">
        <w:rPr>
          <w:rFonts w:ascii="Times New Roman" w:eastAsia="Times New Roman" w:hAnsi="Times New Roman" w:cs="Times New Roman"/>
          <w:sz w:val="24"/>
          <w:szCs w:val="24"/>
          <w:lang w:eastAsia="en-IN" w:bidi="ml-IN"/>
        </w:rPr>
        <w:t>part</w:t>
      </w:r>
      <w:r w:rsidR="00E22AFF">
        <w:rPr>
          <w:rFonts w:ascii="Times New Roman" w:eastAsia="Times New Roman" w:hAnsi="Times New Roman" w:cs="Times New Roman"/>
          <w:sz w:val="24"/>
          <w:szCs w:val="24"/>
          <w:lang w:eastAsia="en-IN" w:bidi="ml-IN"/>
        </w:rPr>
        <w:t xml:space="preserve"> regarding the</w:t>
      </w:r>
      <w:r>
        <w:rPr>
          <w:rFonts w:ascii="Times New Roman" w:eastAsia="Times New Roman" w:hAnsi="Times New Roman" w:cs="Times New Roman"/>
          <w:sz w:val="24"/>
          <w:szCs w:val="24"/>
          <w:lang w:eastAsia="en-IN" w:bidi="ml-IN"/>
        </w:rPr>
        <w:t xml:space="preserve"> d</w:t>
      </w:r>
      <w:r w:rsidRPr="00892CF9">
        <w:rPr>
          <w:rFonts w:ascii="Times New Roman" w:eastAsia="Times New Roman" w:hAnsi="Times New Roman" w:cs="Times New Roman"/>
          <w:sz w:val="24"/>
          <w:szCs w:val="24"/>
          <w:lang w:eastAsia="en-IN" w:bidi="ml-IN"/>
        </w:rPr>
        <w:t xml:space="preserve">emographic </w:t>
      </w:r>
      <w:r w:rsidR="007849F1">
        <w:rPr>
          <w:rFonts w:ascii="Times New Roman" w:eastAsia="Times New Roman" w:hAnsi="Times New Roman" w:cs="Times New Roman"/>
          <w:sz w:val="24"/>
          <w:szCs w:val="24"/>
          <w:lang w:eastAsia="en-IN" w:bidi="ml-IN"/>
        </w:rPr>
        <w:t>characteristics</w:t>
      </w:r>
      <w:r w:rsidRPr="00892CF9">
        <w:rPr>
          <w:rFonts w:ascii="Times New Roman" w:eastAsia="Times New Roman" w:hAnsi="Times New Roman" w:cs="Times New Roman"/>
          <w:sz w:val="24"/>
          <w:szCs w:val="24"/>
          <w:lang w:eastAsia="en-IN" w:bidi="ml-IN"/>
        </w:rPr>
        <w:t xml:space="preserve"> of respondents </w:t>
      </w:r>
      <w:r w:rsidR="007849F1">
        <w:rPr>
          <w:rFonts w:ascii="Times New Roman" w:eastAsia="Times New Roman" w:hAnsi="Times New Roman" w:cs="Times New Roman"/>
          <w:sz w:val="24"/>
          <w:szCs w:val="24"/>
          <w:lang w:eastAsia="en-IN" w:bidi="ml-IN"/>
        </w:rPr>
        <w:t>like</w:t>
      </w:r>
      <w:r w:rsidR="00E22AFF">
        <w:rPr>
          <w:rFonts w:ascii="Times New Roman" w:eastAsia="Times New Roman" w:hAnsi="Times New Roman" w:cs="Times New Roman"/>
          <w:sz w:val="24"/>
          <w:szCs w:val="24"/>
          <w:lang w:eastAsia="en-IN" w:bidi="ml-IN"/>
        </w:rPr>
        <w:t xml:space="preserve"> </w:t>
      </w:r>
      <w:r w:rsidRPr="00892CF9">
        <w:rPr>
          <w:rFonts w:ascii="Times New Roman" w:eastAsia="Times New Roman" w:hAnsi="Times New Roman" w:cs="Times New Roman"/>
          <w:sz w:val="24"/>
          <w:szCs w:val="24"/>
          <w:lang w:eastAsia="en-IN" w:bidi="ml-IN"/>
        </w:rPr>
        <w:t>gender, age</w:t>
      </w:r>
      <w:r w:rsidR="007849F1">
        <w:rPr>
          <w:rFonts w:ascii="Times New Roman" w:eastAsia="Times New Roman" w:hAnsi="Times New Roman" w:cs="Times New Roman"/>
          <w:sz w:val="24"/>
          <w:szCs w:val="24"/>
          <w:lang w:eastAsia="en-IN" w:bidi="ml-IN"/>
        </w:rPr>
        <w:t>-group</w:t>
      </w:r>
      <w:r w:rsidRPr="00892CF9">
        <w:rPr>
          <w:rFonts w:ascii="Times New Roman" w:eastAsia="Times New Roman" w:hAnsi="Times New Roman" w:cs="Times New Roman"/>
          <w:sz w:val="24"/>
          <w:szCs w:val="24"/>
          <w:lang w:eastAsia="en-IN" w:bidi="ml-IN"/>
        </w:rPr>
        <w:t>, education</w:t>
      </w:r>
      <w:r>
        <w:rPr>
          <w:rFonts w:ascii="Times New Roman" w:eastAsia="Times New Roman" w:hAnsi="Times New Roman" w:cs="Times New Roman"/>
          <w:sz w:val="24"/>
          <w:szCs w:val="24"/>
          <w:lang w:eastAsia="en-IN" w:bidi="ml-IN"/>
        </w:rPr>
        <w:t xml:space="preserve"> and</w:t>
      </w:r>
      <w:r w:rsidRPr="00892CF9">
        <w:rPr>
          <w:rFonts w:ascii="Times New Roman" w:eastAsia="Times New Roman" w:hAnsi="Times New Roman" w:cs="Times New Roman"/>
          <w:sz w:val="24"/>
          <w:szCs w:val="24"/>
          <w:lang w:eastAsia="en-IN" w:bidi="ml-IN"/>
        </w:rPr>
        <w:t xml:space="preserve"> income</w:t>
      </w:r>
      <w:r w:rsidR="00E22AFF">
        <w:rPr>
          <w:rFonts w:ascii="Times New Roman" w:eastAsia="Times New Roman" w:hAnsi="Times New Roman" w:cs="Times New Roman"/>
          <w:sz w:val="24"/>
          <w:szCs w:val="24"/>
          <w:lang w:eastAsia="en-IN" w:bidi="ml-IN"/>
        </w:rPr>
        <w:t xml:space="preserve">. The second section regarding customer satisfaction across varied </w:t>
      </w:r>
      <w:r>
        <w:rPr>
          <w:rFonts w:ascii="Times New Roman" w:eastAsia="Times New Roman" w:hAnsi="Times New Roman" w:cs="Times New Roman"/>
          <w:sz w:val="24"/>
          <w:szCs w:val="24"/>
          <w:lang w:eastAsia="en-IN" w:bidi="ml-IN"/>
        </w:rPr>
        <w:t>s</w:t>
      </w:r>
      <w:r w:rsidRPr="00EC06E3">
        <w:rPr>
          <w:rFonts w:ascii="Times New Roman" w:eastAsia="Times New Roman" w:hAnsi="Times New Roman" w:cs="Times New Roman"/>
          <w:sz w:val="24"/>
          <w:szCs w:val="24"/>
          <w:lang w:eastAsia="en-IN" w:bidi="ml-IN"/>
        </w:rPr>
        <w:t>ervice</w:t>
      </w:r>
      <w:r w:rsidR="00E22AFF">
        <w:rPr>
          <w:rFonts w:ascii="Times New Roman" w:eastAsia="Times New Roman" w:hAnsi="Times New Roman" w:cs="Times New Roman"/>
          <w:sz w:val="24"/>
          <w:szCs w:val="24"/>
          <w:lang w:eastAsia="en-IN" w:bidi="ml-IN"/>
        </w:rPr>
        <w:t xml:space="preserve"> quality attributes such as eas</w:t>
      </w:r>
      <w:r w:rsidR="003345A6">
        <w:rPr>
          <w:rFonts w:ascii="Times New Roman" w:eastAsia="Times New Roman" w:hAnsi="Times New Roman" w:cs="Times New Roman"/>
          <w:sz w:val="24"/>
          <w:szCs w:val="24"/>
          <w:lang w:eastAsia="en-IN" w:bidi="ml-IN"/>
        </w:rPr>
        <w:t>iness</w:t>
      </w:r>
      <w:r w:rsidR="00E22AFF">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in</w:t>
      </w:r>
      <w:r w:rsidR="00E22AFF">
        <w:rPr>
          <w:rFonts w:ascii="Times New Roman" w:eastAsia="Times New Roman" w:hAnsi="Times New Roman" w:cs="Times New Roman"/>
          <w:sz w:val="24"/>
          <w:szCs w:val="24"/>
          <w:lang w:eastAsia="en-IN" w:bidi="ml-IN"/>
        </w:rPr>
        <w:t xml:space="preserve"> </w:t>
      </w:r>
      <w:r w:rsidRPr="00EC06E3">
        <w:rPr>
          <w:rFonts w:ascii="Times New Roman" w:eastAsia="Times New Roman" w:hAnsi="Times New Roman" w:cs="Times New Roman"/>
          <w:sz w:val="24"/>
          <w:szCs w:val="24"/>
          <w:lang w:eastAsia="en-IN" w:bidi="ml-IN"/>
        </w:rPr>
        <w:t xml:space="preserve">booking, </w:t>
      </w:r>
      <w:r w:rsidR="003345A6">
        <w:rPr>
          <w:rFonts w:ascii="Times New Roman" w:eastAsia="Times New Roman" w:hAnsi="Times New Roman" w:cs="Times New Roman"/>
          <w:sz w:val="24"/>
          <w:szCs w:val="24"/>
          <w:lang w:eastAsia="en-IN" w:bidi="ml-IN"/>
        </w:rPr>
        <w:t>promptnes</w:t>
      </w:r>
      <w:r w:rsidRPr="00EC06E3">
        <w:rPr>
          <w:rFonts w:ascii="Times New Roman" w:eastAsia="Times New Roman" w:hAnsi="Times New Roman" w:cs="Times New Roman"/>
          <w:sz w:val="24"/>
          <w:szCs w:val="24"/>
          <w:lang w:eastAsia="en-IN" w:bidi="ml-IN"/>
        </w:rPr>
        <w:t>s</w:t>
      </w:r>
      <w:r w:rsidR="00E22AFF">
        <w:rPr>
          <w:rFonts w:ascii="Times New Roman" w:eastAsia="Times New Roman" w:hAnsi="Times New Roman" w:cs="Times New Roman"/>
          <w:sz w:val="24"/>
          <w:szCs w:val="24"/>
          <w:lang w:eastAsia="en-IN" w:bidi="ml-IN"/>
        </w:rPr>
        <w:t xml:space="preserve"> in delivery</w:t>
      </w:r>
      <w:r w:rsidRPr="00EC06E3">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 xml:space="preserve">openness in </w:t>
      </w:r>
      <w:r w:rsidR="00E22AFF">
        <w:rPr>
          <w:rFonts w:ascii="Times New Roman" w:eastAsia="Times New Roman" w:hAnsi="Times New Roman" w:cs="Times New Roman"/>
          <w:sz w:val="24"/>
          <w:szCs w:val="24"/>
          <w:lang w:eastAsia="en-IN" w:bidi="ml-IN"/>
        </w:rPr>
        <w:t>pricing/</w:t>
      </w:r>
      <w:r w:rsidRPr="00EC06E3">
        <w:rPr>
          <w:rFonts w:ascii="Times New Roman" w:eastAsia="Times New Roman" w:hAnsi="Times New Roman" w:cs="Times New Roman"/>
          <w:sz w:val="24"/>
          <w:szCs w:val="24"/>
          <w:lang w:eastAsia="en-IN" w:bidi="ml-IN"/>
        </w:rPr>
        <w:t xml:space="preserve">subsidy, safety </w:t>
      </w:r>
      <w:r w:rsidR="003345A6">
        <w:rPr>
          <w:rFonts w:ascii="Times New Roman" w:eastAsia="Times New Roman" w:hAnsi="Times New Roman" w:cs="Times New Roman"/>
          <w:sz w:val="24"/>
          <w:szCs w:val="24"/>
          <w:lang w:eastAsia="en-IN" w:bidi="ml-IN"/>
        </w:rPr>
        <w:t>precautions</w:t>
      </w:r>
      <w:r w:rsidRPr="00EC06E3">
        <w:rPr>
          <w:rFonts w:ascii="Times New Roman" w:eastAsia="Times New Roman" w:hAnsi="Times New Roman" w:cs="Times New Roman"/>
          <w:sz w:val="24"/>
          <w:szCs w:val="24"/>
          <w:lang w:eastAsia="en-IN" w:bidi="ml-IN"/>
        </w:rPr>
        <w:t>, and customer care</w:t>
      </w:r>
      <w:r w:rsidR="00E22AFF">
        <w:rPr>
          <w:rFonts w:ascii="Times New Roman" w:eastAsia="Times New Roman" w:hAnsi="Times New Roman" w:cs="Times New Roman"/>
          <w:sz w:val="24"/>
          <w:szCs w:val="24"/>
          <w:lang w:eastAsia="en-IN" w:bidi="ml-IN"/>
        </w:rPr>
        <w:t xml:space="preserve"> services.</w:t>
      </w:r>
      <w:r>
        <w:rPr>
          <w:rFonts w:ascii="Times New Roman" w:eastAsia="Times New Roman" w:hAnsi="Times New Roman" w:cs="Times New Roman"/>
          <w:sz w:val="24"/>
          <w:szCs w:val="24"/>
          <w:lang w:eastAsia="en-IN" w:bidi="ml-IN"/>
        </w:rPr>
        <w:t xml:space="preserve"> The level of customer satisfaction was </w:t>
      </w:r>
      <w:r w:rsidRPr="00EC06E3">
        <w:rPr>
          <w:rFonts w:ascii="Times New Roman" w:eastAsia="Times New Roman" w:hAnsi="Times New Roman" w:cs="Times New Roman"/>
          <w:sz w:val="24"/>
          <w:szCs w:val="24"/>
          <w:lang w:eastAsia="en-IN" w:bidi="ml-IN"/>
        </w:rPr>
        <w:t xml:space="preserve">measured on a </w:t>
      </w:r>
      <w:r w:rsidR="007849F1">
        <w:rPr>
          <w:rFonts w:ascii="Times New Roman" w:eastAsia="Times New Roman" w:hAnsi="Times New Roman" w:cs="Times New Roman"/>
          <w:sz w:val="24"/>
          <w:szCs w:val="24"/>
          <w:lang w:eastAsia="en-IN" w:bidi="ml-IN"/>
        </w:rPr>
        <w:t>three</w:t>
      </w:r>
      <w:r w:rsidRPr="003C5071">
        <w:rPr>
          <w:rFonts w:ascii="Times New Roman" w:eastAsia="Times New Roman" w:hAnsi="Times New Roman" w:cs="Times New Roman"/>
          <w:sz w:val="24"/>
          <w:szCs w:val="24"/>
          <w:lang w:eastAsia="en-IN" w:bidi="ml-IN"/>
        </w:rPr>
        <w:t>-point Likert scale</w:t>
      </w:r>
      <w:r w:rsidRPr="00EC06E3">
        <w:rPr>
          <w:rFonts w:ascii="Times New Roman" w:eastAsia="Times New Roman" w:hAnsi="Times New Roman" w:cs="Times New Roman"/>
          <w:sz w:val="24"/>
          <w:szCs w:val="24"/>
          <w:lang w:eastAsia="en-IN" w:bidi="ml-IN"/>
        </w:rPr>
        <w:t xml:space="preserve"> (1 = </w:t>
      </w:r>
      <w:r w:rsidR="007849F1">
        <w:rPr>
          <w:rFonts w:ascii="Times New Roman" w:eastAsia="Times New Roman" w:hAnsi="Times New Roman" w:cs="Times New Roman"/>
          <w:sz w:val="24"/>
          <w:szCs w:val="24"/>
          <w:lang w:eastAsia="en-IN" w:bidi="ml-IN"/>
        </w:rPr>
        <w:t>l</w:t>
      </w:r>
      <w:r w:rsidR="00CA2E56">
        <w:rPr>
          <w:rFonts w:ascii="Times New Roman" w:eastAsia="Times New Roman" w:hAnsi="Times New Roman" w:cs="Times New Roman"/>
          <w:sz w:val="24"/>
          <w:szCs w:val="24"/>
          <w:lang w:eastAsia="en-IN" w:bidi="ml-IN"/>
        </w:rPr>
        <w:t>ow</w:t>
      </w:r>
      <w:r w:rsidRPr="00EC06E3">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2 = </w:t>
      </w:r>
      <w:r w:rsidR="007849F1">
        <w:rPr>
          <w:rFonts w:ascii="Times New Roman" w:eastAsia="Times New Roman" w:hAnsi="Times New Roman" w:cs="Times New Roman"/>
          <w:sz w:val="24"/>
          <w:szCs w:val="24"/>
          <w:lang w:eastAsia="en-IN" w:bidi="ml-IN"/>
        </w:rPr>
        <w:t>m</w:t>
      </w:r>
      <w:r w:rsidR="00CA2E56">
        <w:rPr>
          <w:rFonts w:ascii="Times New Roman" w:eastAsia="Times New Roman" w:hAnsi="Times New Roman" w:cs="Times New Roman"/>
          <w:sz w:val="24"/>
          <w:szCs w:val="24"/>
          <w:lang w:eastAsia="en-IN" w:bidi="ml-IN"/>
        </w:rPr>
        <w:t>oderate</w:t>
      </w:r>
      <w:r>
        <w:rPr>
          <w:rFonts w:ascii="Times New Roman" w:eastAsia="Times New Roman" w:hAnsi="Times New Roman" w:cs="Times New Roman"/>
          <w:sz w:val="24"/>
          <w:szCs w:val="24"/>
          <w:lang w:eastAsia="en-IN" w:bidi="ml-IN"/>
        </w:rPr>
        <w:t xml:space="preserve">, 3 = </w:t>
      </w:r>
      <w:r w:rsidR="007849F1">
        <w:rPr>
          <w:rFonts w:ascii="Times New Roman" w:eastAsia="Times New Roman" w:hAnsi="Times New Roman" w:cs="Times New Roman"/>
          <w:sz w:val="24"/>
          <w:szCs w:val="24"/>
          <w:lang w:eastAsia="en-IN" w:bidi="ml-IN"/>
        </w:rPr>
        <w:t>h</w:t>
      </w:r>
      <w:r>
        <w:rPr>
          <w:rFonts w:ascii="Times New Roman" w:eastAsia="Times New Roman" w:hAnsi="Times New Roman" w:cs="Times New Roman"/>
          <w:sz w:val="24"/>
          <w:szCs w:val="24"/>
          <w:lang w:eastAsia="en-IN" w:bidi="ml-IN"/>
        </w:rPr>
        <w:t>igh</w:t>
      </w:r>
      <w:r w:rsidRPr="00EC06E3">
        <w:rPr>
          <w:rFonts w:ascii="Times New Roman" w:eastAsia="Times New Roman" w:hAnsi="Times New Roman" w:cs="Times New Roman"/>
          <w:sz w:val="24"/>
          <w:szCs w:val="24"/>
          <w:lang w:eastAsia="en-IN" w:bidi="ml-IN"/>
        </w:rPr>
        <w:t>).</w:t>
      </w:r>
    </w:p>
    <w:p w14:paraId="31BFADD7" w14:textId="4D26F384" w:rsidR="00DC0712" w:rsidRPr="00B075C0" w:rsidRDefault="00DC0712" w:rsidP="00341392">
      <w:pPr>
        <w:spacing w:line="276" w:lineRule="auto"/>
        <w:jc w:val="both"/>
        <w:rPr>
          <w:rFonts w:ascii="Times New Roman" w:eastAsia="Times New Roman" w:hAnsi="Times New Roman" w:cs="Times New Roman"/>
          <w:sz w:val="24"/>
          <w:szCs w:val="24"/>
          <w:lang w:eastAsia="en-IN" w:bidi="ml-IN"/>
        </w:rPr>
      </w:pPr>
      <w:r w:rsidRPr="003017E4">
        <w:rPr>
          <w:rFonts w:ascii="Times New Roman" w:eastAsia="Times New Roman" w:hAnsi="Times New Roman" w:cs="Times New Roman"/>
          <w:b/>
          <w:bCs/>
          <w:i/>
          <w:iCs/>
          <w:sz w:val="24"/>
          <w:szCs w:val="24"/>
          <w:lang w:eastAsia="en-IN" w:bidi="ml-IN"/>
        </w:rPr>
        <w:t>Secondary Data:</w:t>
      </w:r>
      <w:r w:rsidRPr="00EC06E3">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The secondary data are g</w:t>
      </w:r>
      <w:r w:rsidRPr="00B075C0">
        <w:rPr>
          <w:rFonts w:ascii="Times New Roman" w:eastAsia="Times New Roman" w:hAnsi="Times New Roman" w:cs="Times New Roman"/>
          <w:sz w:val="24"/>
          <w:szCs w:val="24"/>
          <w:lang w:eastAsia="en-IN" w:bidi="ml-IN"/>
        </w:rPr>
        <w:t xml:space="preserve">athered from government publications </w:t>
      </w:r>
      <w:r>
        <w:rPr>
          <w:rFonts w:ascii="Times New Roman" w:eastAsia="Times New Roman" w:hAnsi="Times New Roman" w:cs="Times New Roman"/>
          <w:sz w:val="24"/>
          <w:szCs w:val="24"/>
          <w:lang w:eastAsia="en-IN" w:bidi="ml-IN"/>
        </w:rPr>
        <w:t>and</w:t>
      </w:r>
      <w:r w:rsidRPr="00B075C0">
        <w:rPr>
          <w:rFonts w:ascii="Times New Roman" w:eastAsia="Times New Roman" w:hAnsi="Times New Roman" w:cs="Times New Roman"/>
          <w:sz w:val="24"/>
          <w:szCs w:val="24"/>
          <w:lang w:eastAsia="en-IN" w:bidi="ml-IN"/>
        </w:rPr>
        <w:t xml:space="preserve"> scholarly publications</w:t>
      </w:r>
      <w:r>
        <w:rPr>
          <w:rFonts w:ascii="Times New Roman" w:eastAsia="Times New Roman" w:hAnsi="Times New Roman" w:cs="Times New Roman"/>
          <w:sz w:val="24"/>
          <w:szCs w:val="24"/>
          <w:lang w:eastAsia="en-IN" w:bidi="ml-IN"/>
        </w:rPr>
        <w:t xml:space="preserve"> </w:t>
      </w:r>
      <w:r w:rsidRPr="00B075C0">
        <w:rPr>
          <w:rFonts w:ascii="Times New Roman" w:eastAsia="Times New Roman" w:hAnsi="Times New Roman" w:cs="Times New Roman"/>
          <w:sz w:val="24"/>
          <w:szCs w:val="24"/>
          <w:lang w:eastAsia="en-IN" w:bidi="ml-IN"/>
        </w:rPr>
        <w:t>on customer satisfaction</w:t>
      </w:r>
      <w:r>
        <w:rPr>
          <w:rFonts w:ascii="Times New Roman" w:eastAsia="Times New Roman" w:hAnsi="Times New Roman" w:cs="Times New Roman"/>
          <w:sz w:val="24"/>
          <w:szCs w:val="24"/>
          <w:lang w:eastAsia="en-IN" w:bidi="ml-IN"/>
        </w:rPr>
        <w:t xml:space="preserve"> in </w:t>
      </w:r>
      <w:r w:rsidRPr="00B075C0">
        <w:rPr>
          <w:rFonts w:ascii="Times New Roman" w:eastAsia="Times New Roman" w:hAnsi="Times New Roman" w:cs="Times New Roman"/>
          <w:sz w:val="24"/>
          <w:szCs w:val="24"/>
          <w:lang w:eastAsia="en-IN" w:bidi="ml-IN"/>
        </w:rPr>
        <w:t>energy industry.</w:t>
      </w:r>
    </w:p>
    <w:p w14:paraId="217CCD47" w14:textId="38F57F8C" w:rsidR="00DC0712" w:rsidRPr="003017E4" w:rsidRDefault="00284EF0" w:rsidP="00341392">
      <w:pPr>
        <w:spacing w:before="100" w:beforeAutospacing="1" w:after="100" w:afterAutospacing="1" w:line="276" w:lineRule="auto"/>
        <w:outlineLvl w:val="2"/>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 xml:space="preserve">2.9 </w:t>
      </w:r>
      <w:r w:rsidR="00DC0712" w:rsidRPr="003017E4">
        <w:rPr>
          <w:rFonts w:ascii="Times New Roman" w:eastAsia="Times New Roman" w:hAnsi="Times New Roman" w:cs="Times New Roman"/>
          <w:b/>
          <w:bCs/>
          <w:sz w:val="24"/>
          <w:szCs w:val="24"/>
          <w:lang w:eastAsia="en-IN" w:bidi="ml-IN"/>
        </w:rPr>
        <w:t xml:space="preserve">Tools </w:t>
      </w:r>
      <w:r w:rsidR="00DC0712">
        <w:rPr>
          <w:rFonts w:ascii="Times New Roman" w:eastAsia="Times New Roman" w:hAnsi="Times New Roman" w:cs="Times New Roman"/>
          <w:b/>
          <w:bCs/>
          <w:sz w:val="24"/>
          <w:szCs w:val="24"/>
          <w:lang w:eastAsia="en-IN" w:bidi="ml-IN"/>
        </w:rPr>
        <w:t xml:space="preserve">Used for </w:t>
      </w:r>
      <w:r w:rsidR="00DC0712" w:rsidRPr="003017E4">
        <w:rPr>
          <w:rFonts w:ascii="Times New Roman" w:eastAsia="Times New Roman" w:hAnsi="Times New Roman" w:cs="Times New Roman"/>
          <w:b/>
          <w:bCs/>
          <w:sz w:val="24"/>
          <w:szCs w:val="24"/>
          <w:lang w:eastAsia="en-IN" w:bidi="ml-IN"/>
        </w:rPr>
        <w:t>Analysis</w:t>
      </w:r>
    </w:p>
    <w:p w14:paraId="4C47EE53" w14:textId="43BD05F1" w:rsidR="00CF5628" w:rsidRDefault="00DC0712" w:rsidP="006525C7">
      <w:pPr>
        <w:spacing w:after="0" w:line="276" w:lineRule="auto"/>
        <w:jc w:val="both"/>
        <w:rPr>
          <w:rFonts w:ascii="Times New Roman" w:eastAsia="Times New Roman" w:hAnsi="Times New Roman" w:cs="Times New Roman"/>
          <w:sz w:val="24"/>
          <w:szCs w:val="24"/>
          <w:lang w:eastAsia="en-IN" w:bidi="ml-IN"/>
        </w:rPr>
      </w:pPr>
      <w:r w:rsidRPr="00B075C0">
        <w:rPr>
          <w:rFonts w:ascii="Times New Roman" w:eastAsia="Times New Roman" w:hAnsi="Times New Roman" w:cs="Times New Roman"/>
          <w:sz w:val="24"/>
          <w:szCs w:val="24"/>
          <w:lang w:eastAsia="en-IN" w:bidi="ml-IN"/>
        </w:rPr>
        <w:lastRenderedPageBreak/>
        <w:t>Both descriptive and inferential statistic</w:t>
      </w:r>
      <w:r w:rsidR="00C30131">
        <w:rPr>
          <w:rFonts w:ascii="Times New Roman" w:eastAsia="Times New Roman" w:hAnsi="Times New Roman" w:cs="Times New Roman"/>
          <w:sz w:val="24"/>
          <w:szCs w:val="24"/>
          <w:lang w:eastAsia="en-IN" w:bidi="ml-IN"/>
        </w:rPr>
        <w:t>al tools</w:t>
      </w:r>
      <w:r w:rsidRPr="00B075C0">
        <w:rPr>
          <w:rFonts w:ascii="Times New Roman" w:eastAsia="Times New Roman" w:hAnsi="Times New Roman" w:cs="Times New Roman"/>
          <w:sz w:val="24"/>
          <w:szCs w:val="24"/>
          <w:lang w:eastAsia="en-IN" w:bidi="ml-IN"/>
        </w:rPr>
        <w:t xml:space="preserve"> were used to analy</w:t>
      </w:r>
      <w:r>
        <w:rPr>
          <w:rFonts w:ascii="Times New Roman" w:eastAsia="Times New Roman" w:hAnsi="Times New Roman" w:cs="Times New Roman"/>
          <w:sz w:val="24"/>
          <w:szCs w:val="24"/>
          <w:lang w:eastAsia="en-IN" w:bidi="ml-IN"/>
        </w:rPr>
        <w:t>s</w:t>
      </w:r>
      <w:r w:rsidRPr="00B075C0">
        <w:rPr>
          <w:rFonts w:ascii="Times New Roman" w:eastAsia="Times New Roman" w:hAnsi="Times New Roman" w:cs="Times New Roman"/>
          <w:sz w:val="24"/>
          <w:szCs w:val="24"/>
          <w:lang w:eastAsia="en-IN" w:bidi="ml-IN"/>
        </w:rPr>
        <w:t>e the data</w:t>
      </w:r>
      <w:r w:rsidR="00C30131">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 xml:space="preserve">Demographic information and </w:t>
      </w:r>
      <w:r w:rsidR="00C30131">
        <w:rPr>
          <w:rFonts w:ascii="Times New Roman" w:eastAsia="Times New Roman" w:hAnsi="Times New Roman" w:cs="Times New Roman"/>
          <w:sz w:val="24"/>
          <w:szCs w:val="24"/>
          <w:lang w:eastAsia="en-IN" w:bidi="ml-IN"/>
        </w:rPr>
        <w:t xml:space="preserve">data regarding consumers </w:t>
      </w:r>
      <w:r w:rsidR="00C30131" w:rsidRPr="00B075C0">
        <w:rPr>
          <w:rFonts w:ascii="Times New Roman" w:eastAsia="Times New Roman" w:hAnsi="Times New Roman" w:cs="Times New Roman"/>
          <w:sz w:val="24"/>
          <w:szCs w:val="24"/>
          <w:lang w:eastAsia="en-IN" w:bidi="ml-IN"/>
        </w:rPr>
        <w:t>satisfaction were compiled using percentages,</w:t>
      </w:r>
      <w:r w:rsidR="00F7731D">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mean scores</w:t>
      </w:r>
      <w:r w:rsidR="00C30131">
        <w:rPr>
          <w:rFonts w:ascii="Times New Roman" w:eastAsia="Times New Roman" w:hAnsi="Times New Roman" w:cs="Times New Roman"/>
          <w:sz w:val="24"/>
          <w:szCs w:val="24"/>
          <w:lang w:eastAsia="en-IN" w:bidi="ml-IN"/>
        </w:rPr>
        <w:t xml:space="preserve">, </w:t>
      </w:r>
      <w:r w:rsidR="00C30131" w:rsidRPr="00B075C0">
        <w:rPr>
          <w:rFonts w:ascii="Times New Roman" w:eastAsia="Times New Roman" w:hAnsi="Times New Roman" w:cs="Times New Roman"/>
          <w:sz w:val="24"/>
          <w:szCs w:val="24"/>
          <w:lang w:eastAsia="en-IN" w:bidi="ml-IN"/>
        </w:rPr>
        <w:t>frequency distribution</w:t>
      </w:r>
      <w:r w:rsidR="00C30131">
        <w:rPr>
          <w:rFonts w:ascii="Times New Roman" w:eastAsia="Times New Roman" w:hAnsi="Times New Roman" w:cs="Times New Roman"/>
          <w:sz w:val="24"/>
          <w:szCs w:val="24"/>
          <w:lang w:eastAsia="en-IN" w:bidi="ml-IN"/>
        </w:rPr>
        <w:t xml:space="preserve"> and bar charts</w:t>
      </w:r>
      <w:r w:rsidR="00C30131" w:rsidRPr="00B075C0">
        <w:rPr>
          <w:rFonts w:ascii="Times New Roman" w:eastAsia="Times New Roman" w:hAnsi="Times New Roman" w:cs="Times New Roman"/>
          <w:sz w:val="24"/>
          <w:szCs w:val="24"/>
          <w:lang w:eastAsia="en-IN" w:bidi="ml-IN"/>
        </w:rPr>
        <w:t>.</w:t>
      </w:r>
      <w:r w:rsidR="00C30131">
        <w:rPr>
          <w:rFonts w:ascii="Times New Roman" w:eastAsia="Times New Roman" w:hAnsi="Times New Roman" w:cs="Times New Roman"/>
          <w:sz w:val="24"/>
          <w:szCs w:val="24"/>
          <w:lang w:eastAsia="en-IN" w:bidi="ml-IN"/>
        </w:rPr>
        <w:t xml:space="preserve"> The inferential tools such as Chi-square test, one-way</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ANOVA,</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cross-tabulation</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tables,</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etc</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are</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also</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used</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for</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analysing</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the</w:t>
      </w:r>
      <w:r w:rsidR="00F7731D">
        <w:rPr>
          <w:rFonts w:ascii="Times New Roman" w:eastAsia="Times New Roman" w:hAnsi="Times New Roman" w:cs="Times New Roman"/>
          <w:sz w:val="24"/>
          <w:szCs w:val="24"/>
          <w:lang w:eastAsia="en-IN" w:bidi="ml-IN"/>
        </w:rPr>
        <w:t xml:space="preserve"> </w:t>
      </w:r>
      <w:r w:rsidR="00C30131">
        <w:rPr>
          <w:rFonts w:ascii="Times New Roman" w:eastAsia="Times New Roman" w:hAnsi="Times New Roman" w:cs="Times New Roman"/>
          <w:sz w:val="24"/>
          <w:szCs w:val="24"/>
          <w:lang w:eastAsia="en-IN" w:bidi="ml-IN"/>
        </w:rPr>
        <w:t>data.</w:t>
      </w:r>
      <w:r w:rsidR="00C30131" w:rsidRPr="00B075C0">
        <w:rPr>
          <w:rFonts w:ascii="Times New Roman" w:eastAsia="Times New Roman" w:hAnsi="Times New Roman" w:cs="Times New Roman"/>
          <w:sz w:val="24"/>
          <w:szCs w:val="24"/>
          <w:lang w:eastAsia="en-IN" w:bidi="ml-IN"/>
        </w:rPr>
        <w:br/>
      </w:r>
      <w:r w:rsidRPr="00B075C0">
        <w:rPr>
          <w:rFonts w:ascii="Times New Roman" w:eastAsia="Times New Roman" w:hAnsi="Times New Roman" w:cs="Times New Roman"/>
          <w:sz w:val="24"/>
          <w:szCs w:val="24"/>
          <w:lang w:eastAsia="en-IN" w:bidi="ml-IN"/>
        </w:rPr>
        <w:br/>
      </w:r>
    </w:p>
    <w:p w14:paraId="289BB61C" w14:textId="099FA77E" w:rsidR="00E30984" w:rsidRPr="00615ED7" w:rsidRDefault="00284EF0" w:rsidP="00603ABF">
      <w:pPr>
        <w:spacing w:after="0" w:line="240" w:lineRule="auto"/>
        <w:jc w:val="both"/>
        <w:rPr>
          <w:rFonts w:ascii="Times New Roman" w:eastAsia="Times New Roman" w:hAnsi="Times New Roman" w:cs="Times New Roman"/>
          <w:b/>
          <w:bCs/>
          <w:sz w:val="28"/>
          <w:szCs w:val="28"/>
          <w:lang w:eastAsia="en-IN" w:bidi="ml-IN"/>
        </w:rPr>
      </w:pPr>
      <w:r>
        <w:rPr>
          <w:rFonts w:ascii="Times New Roman" w:eastAsia="Times New Roman" w:hAnsi="Times New Roman" w:cs="Times New Roman"/>
          <w:b/>
          <w:bCs/>
          <w:sz w:val="28"/>
          <w:szCs w:val="28"/>
          <w:lang w:eastAsia="en-IN" w:bidi="ml-IN"/>
        </w:rPr>
        <w:t xml:space="preserve">3. </w:t>
      </w:r>
      <w:r w:rsidR="00615ED7" w:rsidRPr="00615ED7">
        <w:rPr>
          <w:rFonts w:ascii="Times New Roman" w:eastAsia="Times New Roman" w:hAnsi="Times New Roman" w:cs="Times New Roman"/>
          <w:b/>
          <w:bCs/>
          <w:sz w:val="28"/>
          <w:szCs w:val="28"/>
          <w:lang w:eastAsia="en-IN" w:bidi="ml-IN"/>
        </w:rPr>
        <w:t>Results and Discussion</w:t>
      </w:r>
      <w:r>
        <w:rPr>
          <w:rFonts w:ascii="Times New Roman" w:eastAsia="Times New Roman" w:hAnsi="Times New Roman" w:cs="Times New Roman"/>
          <w:b/>
          <w:bCs/>
          <w:sz w:val="28"/>
          <w:szCs w:val="28"/>
          <w:lang w:eastAsia="en-IN" w:bidi="ml-IN"/>
        </w:rPr>
        <w:t>s</w:t>
      </w:r>
    </w:p>
    <w:p w14:paraId="43F8A67D" w14:textId="2E63659E" w:rsidR="003017E4" w:rsidRDefault="00284EF0" w:rsidP="004C0859">
      <w:pPr>
        <w:spacing w:before="100" w:beforeAutospacing="1" w:after="100" w:afterAutospacing="1" w:line="240" w:lineRule="auto"/>
        <w:jc w:val="both"/>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3</w:t>
      </w:r>
      <w:r w:rsidR="00615ED7" w:rsidRPr="00615ED7">
        <w:rPr>
          <w:rFonts w:ascii="Times New Roman" w:eastAsia="Times New Roman" w:hAnsi="Times New Roman" w:cs="Times New Roman"/>
          <w:b/>
          <w:bCs/>
          <w:sz w:val="24"/>
          <w:szCs w:val="24"/>
          <w:lang w:eastAsia="en-IN" w:bidi="ml-IN"/>
        </w:rPr>
        <w:t xml:space="preserve">.1 </w:t>
      </w:r>
      <w:r w:rsidR="00850560" w:rsidRPr="00615ED7">
        <w:rPr>
          <w:rFonts w:ascii="Times New Roman" w:eastAsia="Times New Roman" w:hAnsi="Times New Roman" w:cs="Times New Roman"/>
          <w:b/>
          <w:bCs/>
          <w:sz w:val="24"/>
          <w:szCs w:val="24"/>
          <w:lang w:eastAsia="en-IN" w:bidi="ml-IN"/>
        </w:rPr>
        <w:t xml:space="preserve">Demographic </w:t>
      </w:r>
      <w:r w:rsidR="00E40503">
        <w:rPr>
          <w:rFonts w:ascii="Times New Roman" w:eastAsia="Times New Roman" w:hAnsi="Times New Roman" w:cs="Times New Roman"/>
          <w:b/>
          <w:bCs/>
          <w:sz w:val="24"/>
          <w:szCs w:val="24"/>
          <w:lang w:eastAsia="en-IN" w:bidi="ml-IN"/>
        </w:rPr>
        <w:t>characteristics</w:t>
      </w:r>
      <w:r w:rsidR="00883B82" w:rsidRPr="00615ED7">
        <w:rPr>
          <w:rFonts w:ascii="Times New Roman" w:eastAsia="Times New Roman" w:hAnsi="Times New Roman" w:cs="Times New Roman"/>
          <w:b/>
          <w:bCs/>
          <w:sz w:val="24"/>
          <w:szCs w:val="24"/>
          <w:lang w:eastAsia="en-IN" w:bidi="ml-IN"/>
        </w:rPr>
        <w:t xml:space="preserve"> of </w:t>
      </w:r>
      <w:r w:rsidR="00E03B43">
        <w:rPr>
          <w:rFonts w:ascii="Times New Roman" w:eastAsia="Times New Roman" w:hAnsi="Times New Roman" w:cs="Times New Roman"/>
          <w:b/>
          <w:bCs/>
          <w:sz w:val="24"/>
          <w:szCs w:val="24"/>
          <w:lang w:eastAsia="en-IN" w:bidi="ml-IN"/>
        </w:rPr>
        <w:t>r</w:t>
      </w:r>
      <w:r w:rsidR="00883B82" w:rsidRPr="00615ED7">
        <w:rPr>
          <w:rFonts w:ascii="Times New Roman" w:eastAsia="Times New Roman" w:hAnsi="Times New Roman" w:cs="Times New Roman"/>
          <w:b/>
          <w:bCs/>
          <w:sz w:val="24"/>
          <w:szCs w:val="24"/>
          <w:lang w:eastAsia="en-IN" w:bidi="ml-IN"/>
        </w:rPr>
        <w:t>espondents</w:t>
      </w:r>
    </w:p>
    <w:p w14:paraId="7EAED9BE" w14:textId="26D73551" w:rsidR="00AE7C43" w:rsidRPr="00AE7C43" w:rsidRDefault="00AE7C43" w:rsidP="00AE7C43">
      <w:pPr>
        <w:spacing w:before="100" w:beforeAutospacing="1" w:after="0" w:line="240" w:lineRule="auto"/>
        <w:jc w:val="both"/>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t xml:space="preserve">Table 2: Demographic </w:t>
      </w:r>
      <w:r w:rsidR="00481C93">
        <w:rPr>
          <w:rFonts w:ascii="Times New Roman" w:eastAsia="Times New Roman" w:hAnsi="Times New Roman" w:cs="Times New Roman"/>
          <w:b/>
          <w:bCs/>
          <w:i/>
          <w:iCs/>
          <w:sz w:val="24"/>
          <w:szCs w:val="24"/>
          <w:lang w:eastAsia="en-IN" w:bidi="ml-IN"/>
        </w:rPr>
        <w:t>char</w:t>
      </w:r>
      <w:r w:rsidR="00957822">
        <w:rPr>
          <w:rFonts w:ascii="Times New Roman" w:eastAsia="Times New Roman" w:hAnsi="Times New Roman" w:cs="Times New Roman"/>
          <w:b/>
          <w:bCs/>
          <w:i/>
          <w:iCs/>
          <w:sz w:val="24"/>
          <w:szCs w:val="24"/>
          <w:lang w:eastAsia="en-IN" w:bidi="ml-IN"/>
        </w:rPr>
        <w:t>a</w:t>
      </w:r>
      <w:r w:rsidR="00481C93">
        <w:rPr>
          <w:rFonts w:ascii="Times New Roman" w:eastAsia="Times New Roman" w:hAnsi="Times New Roman" w:cs="Times New Roman"/>
          <w:b/>
          <w:bCs/>
          <w:i/>
          <w:iCs/>
          <w:sz w:val="24"/>
          <w:szCs w:val="24"/>
          <w:lang w:eastAsia="en-IN" w:bidi="ml-IN"/>
        </w:rPr>
        <w:t>cteristics</w:t>
      </w:r>
      <w:r w:rsidRPr="00AE7C43">
        <w:rPr>
          <w:rFonts w:ascii="Times New Roman" w:eastAsia="Times New Roman" w:hAnsi="Times New Roman" w:cs="Times New Roman"/>
          <w:b/>
          <w:bCs/>
          <w:i/>
          <w:iCs/>
          <w:sz w:val="24"/>
          <w:szCs w:val="24"/>
          <w:lang w:eastAsia="en-IN" w:bidi="ml-IN"/>
        </w:rPr>
        <w:t xml:space="preserve"> </w:t>
      </w:r>
    </w:p>
    <w:tbl>
      <w:tblPr>
        <w:tblStyle w:val="TableGrid"/>
        <w:tblW w:w="0" w:type="auto"/>
        <w:tblLook w:val="04A0" w:firstRow="1" w:lastRow="0" w:firstColumn="1" w:lastColumn="0" w:noHBand="0" w:noVBand="1"/>
      </w:tblPr>
      <w:tblGrid>
        <w:gridCol w:w="2405"/>
        <w:gridCol w:w="2835"/>
        <w:gridCol w:w="1985"/>
        <w:gridCol w:w="1791"/>
      </w:tblGrid>
      <w:tr w:rsidR="008C39E1" w14:paraId="7CD0EB69" w14:textId="77777777" w:rsidTr="003F7E77">
        <w:trPr>
          <w:trHeight w:val="389"/>
        </w:trPr>
        <w:tc>
          <w:tcPr>
            <w:tcW w:w="2405" w:type="dxa"/>
            <w:tcBorders>
              <w:left w:val="nil"/>
              <w:bottom w:val="single" w:sz="4" w:space="0" w:color="auto"/>
              <w:right w:val="nil"/>
            </w:tcBorders>
            <w:shd w:val="clear" w:color="auto" w:fill="E7E6E6" w:themeFill="background2"/>
          </w:tcPr>
          <w:p w14:paraId="40C4A58E" w14:textId="7837776F" w:rsidR="008C39E1" w:rsidRPr="007B2412" w:rsidRDefault="00CF14EE" w:rsidP="00341392">
            <w:pPr>
              <w:spacing w:line="276" w:lineRule="auto"/>
              <w:jc w:val="both"/>
              <w:rPr>
                <w:rFonts w:ascii="Times New Roman" w:eastAsia="Times New Roman" w:hAnsi="Times New Roman" w:cs="Times New Roman"/>
                <w:b/>
                <w:bCs/>
                <w:sz w:val="24"/>
                <w:szCs w:val="24"/>
                <w:lang w:eastAsia="en-IN" w:bidi="ml-IN"/>
              </w:rPr>
            </w:pPr>
            <w:r w:rsidRPr="007B2412">
              <w:rPr>
                <w:rFonts w:ascii="Times New Roman" w:eastAsia="Times New Roman" w:hAnsi="Times New Roman" w:cs="Times New Roman"/>
                <w:b/>
                <w:bCs/>
                <w:sz w:val="24"/>
                <w:szCs w:val="24"/>
                <w:lang w:eastAsia="en-IN" w:bidi="ml-IN"/>
              </w:rPr>
              <w:t>Constructs</w:t>
            </w:r>
          </w:p>
        </w:tc>
        <w:tc>
          <w:tcPr>
            <w:tcW w:w="2835" w:type="dxa"/>
            <w:tcBorders>
              <w:left w:val="nil"/>
              <w:bottom w:val="single" w:sz="4" w:space="0" w:color="auto"/>
              <w:right w:val="nil"/>
            </w:tcBorders>
            <w:shd w:val="clear" w:color="auto" w:fill="E7E6E6" w:themeFill="background2"/>
          </w:tcPr>
          <w:p w14:paraId="530FFF18" w14:textId="342AE4FE" w:rsidR="008C39E1" w:rsidRPr="007B2412" w:rsidRDefault="0077211F" w:rsidP="00341392">
            <w:pPr>
              <w:spacing w:line="276" w:lineRule="auto"/>
              <w:jc w:val="both"/>
              <w:rPr>
                <w:rFonts w:ascii="Times New Roman" w:eastAsia="Times New Roman" w:hAnsi="Times New Roman" w:cs="Times New Roman"/>
                <w:b/>
                <w:bCs/>
                <w:sz w:val="24"/>
                <w:szCs w:val="24"/>
                <w:lang w:eastAsia="en-IN" w:bidi="ml-IN"/>
              </w:rPr>
            </w:pPr>
            <w:r w:rsidRPr="007B2412">
              <w:rPr>
                <w:rFonts w:ascii="Times New Roman" w:eastAsia="Times New Roman" w:hAnsi="Times New Roman" w:cs="Times New Roman"/>
                <w:b/>
                <w:bCs/>
                <w:sz w:val="24"/>
                <w:szCs w:val="24"/>
                <w:lang w:eastAsia="en-IN" w:bidi="ml-IN"/>
              </w:rPr>
              <w:t>Variables</w:t>
            </w:r>
          </w:p>
        </w:tc>
        <w:tc>
          <w:tcPr>
            <w:tcW w:w="1985" w:type="dxa"/>
            <w:tcBorders>
              <w:left w:val="nil"/>
              <w:bottom w:val="single" w:sz="4" w:space="0" w:color="auto"/>
              <w:right w:val="nil"/>
            </w:tcBorders>
            <w:shd w:val="clear" w:color="auto" w:fill="E7E6E6" w:themeFill="background2"/>
          </w:tcPr>
          <w:p w14:paraId="27BA12A3" w14:textId="158904F8" w:rsidR="008C39E1" w:rsidRPr="007B2412" w:rsidRDefault="00957822" w:rsidP="00341392">
            <w:pPr>
              <w:spacing w:line="276" w:lineRule="auto"/>
              <w:jc w:val="center"/>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Number</w:t>
            </w:r>
          </w:p>
        </w:tc>
        <w:tc>
          <w:tcPr>
            <w:tcW w:w="1791" w:type="dxa"/>
            <w:tcBorders>
              <w:left w:val="nil"/>
              <w:bottom w:val="single" w:sz="4" w:space="0" w:color="auto"/>
              <w:right w:val="nil"/>
            </w:tcBorders>
            <w:shd w:val="clear" w:color="auto" w:fill="E7E6E6" w:themeFill="background2"/>
          </w:tcPr>
          <w:p w14:paraId="2869C5AB" w14:textId="71762A1C" w:rsidR="008C39E1" w:rsidRPr="007B2412" w:rsidRDefault="00957822" w:rsidP="00341392">
            <w:pPr>
              <w:spacing w:line="276" w:lineRule="auto"/>
              <w:jc w:val="center"/>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w:t>
            </w:r>
          </w:p>
        </w:tc>
      </w:tr>
      <w:tr w:rsidR="00CF14EE" w14:paraId="398A753B" w14:textId="77777777" w:rsidTr="00EF5F39">
        <w:tc>
          <w:tcPr>
            <w:tcW w:w="2405" w:type="dxa"/>
            <w:vMerge w:val="restart"/>
            <w:tcBorders>
              <w:left w:val="nil"/>
              <w:right w:val="nil"/>
            </w:tcBorders>
            <w:shd w:val="clear" w:color="auto" w:fill="E2EFD9" w:themeFill="accent6" w:themeFillTint="33"/>
          </w:tcPr>
          <w:p w14:paraId="1B527BE2" w14:textId="77777777" w:rsidR="002410B3" w:rsidRDefault="002410B3" w:rsidP="00341392">
            <w:pPr>
              <w:spacing w:line="276" w:lineRule="auto"/>
              <w:jc w:val="both"/>
              <w:rPr>
                <w:rFonts w:ascii="Times New Roman" w:eastAsia="Times New Roman" w:hAnsi="Times New Roman" w:cs="Times New Roman"/>
                <w:sz w:val="24"/>
                <w:szCs w:val="24"/>
                <w:lang w:eastAsia="en-IN" w:bidi="ml-IN"/>
              </w:rPr>
            </w:pPr>
          </w:p>
          <w:p w14:paraId="75E4277B" w14:textId="736F9921" w:rsidR="00CF14EE" w:rsidRDefault="00CF14EE" w:rsidP="00341392">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Gender</w:t>
            </w:r>
          </w:p>
        </w:tc>
        <w:tc>
          <w:tcPr>
            <w:tcW w:w="2835" w:type="dxa"/>
            <w:tcBorders>
              <w:top w:val="single" w:sz="4" w:space="0" w:color="auto"/>
              <w:left w:val="nil"/>
              <w:bottom w:val="nil"/>
              <w:right w:val="nil"/>
            </w:tcBorders>
            <w:shd w:val="clear" w:color="auto" w:fill="E2EFD9" w:themeFill="accent6" w:themeFillTint="33"/>
          </w:tcPr>
          <w:p w14:paraId="4CCBA221" w14:textId="32028C97" w:rsidR="00CF14EE" w:rsidRDefault="00CF14EE" w:rsidP="00341392">
            <w:pPr>
              <w:spacing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Male</w:t>
            </w:r>
          </w:p>
        </w:tc>
        <w:tc>
          <w:tcPr>
            <w:tcW w:w="1985" w:type="dxa"/>
            <w:tcBorders>
              <w:top w:val="single" w:sz="4" w:space="0" w:color="auto"/>
              <w:left w:val="nil"/>
              <w:bottom w:val="nil"/>
              <w:right w:val="nil"/>
            </w:tcBorders>
            <w:shd w:val="clear" w:color="auto" w:fill="E2EFD9" w:themeFill="accent6" w:themeFillTint="33"/>
          </w:tcPr>
          <w:p w14:paraId="3B179CFD" w14:textId="3567A81B" w:rsidR="00CF14EE" w:rsidRDefault="00CF14EE" w:rsidP="00341392">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113</w:t>
            </w:r>
          </w:p>
        </w:tc>
        <w:tc>
          <w:tcPr>
            <w:tcW w:w="1791" w:type="dxa"/>
            <w:tcBorders>
              <w:top w:val="single" w:sz="4" w:space="0" w:color="auto"/>
              <w:left w:val="nil"/>
              <w:bottom w:val="nil"/>
              <w:right w:val="nil"/>
            </w:tcBorders>
            <w:shd w:val="clear" w:color="auto" w:fill="E2EFD9" w:themeFill="accent6" w:themeFillTint="33"/>
          </w:tcPr>
          <w:p w14:paraId="13EE56F3" w14:textId="743892E0" w:rsidR="00CF14EE" w:rsidRDefault="00CF14EE" w:rsidP="00341392">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53.81</w:t>
            </w:r>
          </w:p>
        </w:tc>
      </w:tr>
      <w:tr w:rsidR="00CF14EE" w14:paraId="43D37EDF" w14:textId="77777777" w:rsidTr="00EF5F39">
        <w:tc>
          <w:tcPr>
            <w:tcW w:w="2405" w:type="dxa"/>
            <w:vMerge/>
            <w:tcBorders>
              <w:left w:val="nil"/>
              <w:right w:val="nil"/>
            </w:tcBorders>
            <w:shd w:val="clear" w:color="auto" w:fill="E2EFD9" w:themeFill="accent6" w:themeFillTint="33"/>
          </w:tcPr>
          <w:p w14:paraId="0FC020D1"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58B7B73C" w14:textId="2D95FBE3"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Female</w:t>
            </w:r>
          </w:p>
        </w:tc>
        <w:tc>
          <w:tcPr>
            <w:tcW w:w="1985" w:type="dxa"/>
            <w:tcBorders>
              <w:top w:val="nil"/>
              <w:left w:val="nil"/>
              <w:bottom w:val="nil"/>
              <w:right w:val="nil"/>
            </w:tcBorders>
            <w:shd w:val="clear" w:color="auto" w:fill="E2EFD9" w:themeFill="accent6" w:themeFillTint="33"/>
          </w:tcPr>
          <w:p w14:paraId="1AFD5350" w14:textId="734C9C12"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97</w:t>
            </w:r>
          </w:p>
        </w:tc>
        <w:tc>
          <w:tcPr>
            <w:tcW w:w="1791" w:type="dxa"/>
            <w:tcBorders>
              <w:top w:val="nil"/>
              <w:left w:val="nil"/>
              <w:bottom w:val="nil"/>
              <w:right w:val="nil"/>
            </w:tcBorders>
            <w:shd w:val="clear" w:color="auto" w:fill="E2EFD9" w:themeFill="accent6" w:themeFillTint="33"/>
          </w:tcPr>
          <w:p w14:paraId="0371E7BA" w14:textId="141255CF"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46.19</w:t>
            </w:r>
          </w:p>
        </w:tc>
      </w:tr>
      <w:tr w:rsidR="00CF14EE" w14:paraId="740EC396" w14:textId="77777777" w:rsidTr="00E149EB">
        <w:trPr>
          <w:trHeight w:val="307"/>
        </w:trPr>
        <w:tc>
          <w:tcPr>
            <w:tcW w:w="2405" w:type="dxa"/>
            <w:vMerge/>
            <w:tcBorders>
              <w:left w:val="nil"/>
              <w:right w:val="nil"/>
            </w:tcBorders>
            <w:shd w:val="clear" w:color="auto" w:fill="E2EFD9" w:themeFill="accent6" w:themeFillTint="33"/>
          </w:tcPr>
          <w:p w14:paraId="1368DC56"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2EFD9" w:themeFill="accent6" w:themeFillTint="33"/>
          </w:tcPr>
          <w:p w14:paraId="38D9984C" w14:textId="6CA12FD7"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2EFD9" w:themeFill="accent6" w:themeFillTint="33"/>
          </w:tcPr>
          <w:p w14:paraId="0EB47946" w14:textId="5E86C55C"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2EFD9" w:themeFill="accent6" w:themeFillTint="33"/>
          </w:tcPr>
          <w:p w14:paraId="3C9D27DB" w14:textId="1054B9BA"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4D45563C" w14:textId="77777777" w:rsidTr="00EF5F39">
        <w:tc>
          <w:tcPr>
            <w:tcW w:w="2405" w:type="dxa"/>
            <w:vMerge w:val="restart"/>
            <w:tcBorders>
              <w:left w:val="nil"/>
              <w:right w:val="nil"/>
            </w:tcBorders>
            <w:shd w:val="clear" w:color="auto" w:fill="E7E6E6" w:themeFill="background2"/>
          </w:tcPr>
          <w:p w14:paraId="02AE4A93"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23B7029C" w14:textId="5BD7D90A"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Age</w:t>
            </w:r>
          </w:p>
        </w:tc>
        <w:tc>
          <w:tcPr>
            <w:tcW w:w="2835" w:type="dxa"/>
            <w:tcBorders>
              <w:top w:val="single" w:sz="4" w:space="0" w:color="auto"/>
              <w:left w:val="nil"/>
              <w:bottom w:val="nil"/>
              <w:right w:val="nil"/>
            </w:tcBorders>
            <w:shd w:val="clear" w:color="auto" w:fill="E7E6E6" w:themeFill="background2"/>
          </w:tcPr>
          <w:p w14:paraId="3EEBED18" w14:textId="6880C743"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Below 30 yrs</w:t>
            </w:r>
          </w:p>
        </w:tc>
        <w:tc>
          <w:tcPr>
            <w:tcW w:w="1985" w:type="dxa"/>
            <w:tcBorders>
              <w:top w:val="single" w:sz="4" w:space="0" w:color="auto"/>
              <w:left w:val="nil"/>
              <w:bottom w:val="nil"/>
              <w:right w:val="nil"/>
            </w:tcBorders>
            <w:shd w:val="clear" w:color="auto" w:fill="E7E6E6" w:themeFill="background2"/>
          </w:tcPr>
          <w:p w14:paraId="7BF38410" w14:textId="2D73C22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w:t>
            </w:r>
          </w:p>
        </w:tc>
        <w:tc>
          <w:tcPr>
            <w:tcW w:w="1791" w:type="dxa"/>
            <w:tcBorders>
              <w:top w:val="single" w:sz="4" w:space="0" w:color="auto"/>
              <w:left w:val="nil"/>
              <w:bottom w:val="nil"/>
              <w:right w:val="nil"/>
            </w:tcBorders>
            <w:shd w:val="clear" w:color="auto" w:fill="E7E6E6" w:themeFill="background2"/>
          </w:tcPr>
          <w:p w14:paraId="481E4B8E" w14:textId="18353BA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20.48</w:t>
            </w:r>
          </w:p>
        </w:tc>
      </w:tr>
      <w:tr w:rsidR="00CF14EE" w14:paraId="086F2489" w14:textId="77777777" w:rsidTr="00EF5F39">
        <w:tc>
          <w:tcPr>
            <w:tcW w:w="2405" w:type="dxa"/>
            <w:vMerge/>
            <w:tcBorders>
              <w:left w:val="nil"/>
              <w:right w:val="nil"/>
            </w:tcBorders>
            <w:shd w:val="clear" w:color="auto" w:fill="E7E6E6" w:themeFill="background2"/>
          </w:tcPr>
          <w:p w14:paraId="780A18D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36687A54" w14:textId="315B092F"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30 – 50    yrs</w:t>
            </w:r>
          </w:p>
        </w:tc>
        <w:tc>
          <w:tcPr>
            <w:tcW w:w="1985" w:type="dxa"/>
            <w:tcBorders>
              <w:top w:val="nil"/>
              <w:left w:val="nil"/>
              <w:bottom w:val="nil"/>
              <w:right w:val="nil"/>
            </w:tcBorders>
            <w:shd w:val="clear" w:color="auto" w:fill="E7E6E6" w:themeFill="background2"/>
          </w:tcPr>
          <w:p w14:paraId="6129AA3A" w14:textId="146AC4C1"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92</w:t>
            </w:r>
          </w:p>
        </w:tc>
        <w:tc>
          <w:tcPr>
            <w:tcW w:w="1791" w:type="dxa"/>
            <w:tcBorders>
              <w:top w:val="nil"/>
              <w:left w:val="nil"/>
              <w:bottom w:val="nil"/>
              <w:right w:val="nil"/>
            </w:tcBorders>
            <w:shd w:val="clear" w:color="auto" w:fill="E7E6E6" w:themeFill="background2"/>
          </w:tcPr>
          <w:p w14:paraId="16745860" w14:textId="3B2710EF"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43.81</w:t>
            </w:r>
          </w:p>
        </w:tc>
      </w:tr>
      <w:tr w:rsidR="00CF14EE" w14:paraId="0C1FB2A3" w14:textId="77777777" w:rsidTr="00EF5F39">
        <w:tc>
          <w:tcPr>
            <w:tcW w:w="2405" w:type="dxa"/>
            <w:vMerge/>
            <w:tcBorders>
              <w:left w:val="nil"/>
              <w:right w:val="nil"/>
            </w:tcBorders>
            <w:shd w:val="clear" w:color="auto" w:fill="E7E6E6" w:themeFill="background2"/>
          </w:tcPr>
          <w:p w14:paraId="2AD93E17"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6B2FB32C" w14:textId="0D3417A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 50 yrs</w:t>
            </w:r>
          </w:p>
        </w:tc>
        <w:tc>
          <w:tcPr>
            <w:tcW w:w="1985" w:type="dxa"/>
            <w:tcBorders>
              <w:top w:val="nil"/>
              <w:left w:val="nil"/>
              <w:bottom w:val="nil"/>
              <w:right w:val="nil"/>
            </w:tcBorders>
            <w:shd w:val="clear" w:color="auto" w:fill="E7E6E6" w:themeFill="background2"/>
          </w:tcPr>
          <w:p w14:paraId="1FF98F61" w14:textId="773BCD7B"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75</w:t>
            </w:r>
          </w:p>
        </w:tc>
        <w:tc>
          <w:tcPr>
            <w:tcW w:w="1791" w:type="dxa"/>
            <w:tcBorders>
              <w:top w:val="nil"/>
              <w:left w:val="nil"/>
              <w:bottom w:val="nil"/>
              <w:right w:val="nil"/>
            </w:tcBorders>
            <w:shd w:val="clear" w:color="auto" w:fill="E7E6E6" w:themeFill="background2"/>
          </w:tcPr>
          <w:p w14:paraId="43FE4166" w14:textId="53945727"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35.71</w:t>
            </w:r>
          </w:p>
        </w:tc>
      </w:tr>
      <w:tr w:rsidR="00CF14EE" w14:paraId="0C7034F9" w14:textId="77777777" w:rsidTr="00E149EB">
        <w:trPr>
          <w:trHeight w:val="341"/>
        </w:trPr>
        <w:tc>
          <w:tcPr>
            <w:tcW w:w="2405" w:type="dxa"/>
            <w:vMerge/>
            <w:tcBorders>
              <w:left w:val="nil"/>
              <w:right w:val="nil"/>
            </w:tcBorders>
            <w:shd w:val="clear" w:color="auto" w:fill="E7E6E6" w:themeFill="background2"/>
          </w:tcPr>
          <w:p w14:paraId="492E7A29"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7E6E6" w:themeFill="background2"/>
          </w:tcPr>
          <w:p w14:paraId="171158C1" w14:textId="2E39F291"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7E6E6" w:themeFill="background2"/>
          </w:tcPr>
          <w:p w14:paraId="0F86A022" w14:textId="1BE9CC7C"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7E6E6" w:themeFill="background2"/>
          </w:tcPr>
          <w:p w14:paraId="3AB9FEC9" w14:textId="5887267E"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6B9E85B7" w14:textId="77777777" w:rsidTr="00EF5F39">
        <w:tc>
          <w:tcPr>
            <w:tcW w:w="2405" w:type="dxa"/>
            <w:vMerge w:val="restart"/>
            <w:tcBorders>
              <w:left w:val="nil"/>
              <w:right w:val="nil"/>
            </w:tcBorders>
            <w:shd w:val="clear" w:color="auto" w:fill="E2EFD9" w:themeFill="accent6" w:themeFillTint="33"/>
          </w:tcPr>
          <w:p w14:paraId="65F842C9"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3714BCC1" w14:textId="671684F9"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Educational Status</w:t>
            </w:r>
          </w:p>
        </w:tc>
        <w:tc>
          <w:tcPr>
            <w:tcW w:w="2835" w:type="dxa"/>
            <w:tcBorders>
              <w:left w:val="nil"/>
              <w:bottom w:val="nil"/>
              <w:right w:val="nil"/>
            </w:tcBorders>
            <w:shd w:val="clear" w:color="auto" w:fill="E2EFD9" w:themeFill="accent6" w:themeFillTint="33"/>
          </w:tcPr>
          <w:p w14:paraId="319A1207" w14:textId="1A446BAC"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Up to Higher secondary</w:t>
            </w:r>
          </w:p>
        </w:tc>
        <w:tc>
          <w:tcPr>
            <w:tcW w:w="1985" w:type="dxa"/>
            <w:tcBorders>
              <w:left w:val="nil"/>
              <w:bottom w:val="nil"/>
              <w:right w:val="nil"/>
            </w:tcBorders>
            <w:shd w:val="clear" w:color="auto" w:fill="E2EFD9" w:themeFill="accent6" w:themeFillTint="33"/>
          </w:tcPr>
          <w:p w14:paraId="7EB26F2E" w14:textId="03396103"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38</w:t>
            </w:r>
          </w:p>
        </w:tc>
        <w:tc>
          <w:tcPr>
            <w:tcW w:w="1791" w:type="dxa"/>
            <w:tcBorders>
              <w:left w:val="nil"/>
              <w:bottom w:val="nil"/>
              <w:right w:val="nil"/>
            </w:tcBorders>
            <w:shd w:val="clear" w:color="auto" w:fill="E2EFD9" w:themeFill="accent6" w:themeFillTint="33"/>
          </w:tcPr>
          <w:p w14:paraId="1E603358" w14:textId="08BECAE6"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18.09</w:t>
            </w:r>
          </w:p>
        </w:tc>
      </w:tr>
      <w:tr w:rsidR="00CF14EE" w14:paraId="18ABFAF9" w14:textId="77777777" w:rsidTr="00EF5F39">
        <w:tc>
          <w:tcPr>
            <w:tcW w:w="2405" w:type="dxa"/>
            <w:vMerge/>
            <w:tcBorders>
              <w:left w:val="nil"/>
              <w:right w:val="nil"/>
            </w:tcBorders>
            <w:shd w:val="clear" w:color="auto" w:fill="E2EFD9" w:themeFill="accent6" w:themeFillTint="33"/>
          </w:tcPr>
          <w:p w14:paraId="3B7CBA03"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3AF8DABC" w14:textId="1C34DFDE"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Graduation</w:t>
            </w:r>
          </w:p>
        </w:tc>
        <w:tc>
          <w:tcPr>
            <w:tcW w:w="1985" w:type="dxa"/>
            <w:tcBorders>
              <w:top w:val="nil"/>
              <w:left w:val="nil"/>
              <w:bottom w:val="nil"/>
              <w:right w:val="nil"/>
            </w:tcBorders>
            <w:shd w:val="clear" w:color="auto" w:fill="E2EFD9" w:themeFill="accent6" w:themeFillTint="33"/>
          </w:tcPr>
          <w:p w14:paraId="77EC295F" w14:textId="5CA07D33"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116</w:t>
            </w:r>
          </w:p>
        </w:tc>
        <w:tc>
          <w:tcPr>
            <w:tcW w:w="1791" w:type="dxa"/>
            <w:tcBorders>
              <w:top w:val="nil"/>
              <w:left w:val="nil"/>
              <w:bottom w:val="nil"/>
              <w:right w:val="nil"/>
            </w:tcBorders>
            <w:shd w:val="clear" w:color="auto" w:fill="E2EFD9" w:themeFill="accent6" w:themeFillTint="33"/>
          </w:tcPr>
          <w:p w14:paraId="39FC21DD" w14:textId="1D6C2C82"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55.24</w:t>
            </w:r>
          </w:p>
        </w:tc>
      </w:tr>
      <w:tr w:rsidR="00CF14EE" w14:paraId="4779C655" w14:textId="77777777" w:rsidTr="00EF5F39">
        <w:tc>
          <w:tcPr>
            <w:tcW w:w="2405" w:type="dxa"/>
            <w:vMerge/>
            <w:tcBorders>
              <w:left w:val="nil"/>
              <w:right w:val="nil"/>
            </w:tcBorders>
            <w:shd w:val="clear" w:color="auto" w:fill="E2EFD9" w:themeFill="accent6" w:themeFillTint="33"/>
          </w:tcPr>
          <w:p w14:paraId="18C7D436"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4524E678" w14:textId="04F55B41"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Postgraduation &amp; </w:t>
            </w:r>
            <w:r w:rsidR="008F3C0E">
              <w:rPr>
                <w:rFonts w:ascii="Times New Roman" w:eastAsia="Times New Roman" w:hAnsi="Times New Roman" w:cs="Times New Roman"/>
                <w:sz w:val="24"/>
                <w:szCs w:val="24"/>
                <w:lang w:eastAsia="en-IN" w:bidi="ml-IN"/>
              </w:rPr>
              <w:t>above</w:t>
            </w:r>
          </w:p>
        </w:tc>
        <w:tc>
          <w:tcPr>
            <w:tcW w:w="1985" w:type="dxa"/>
            <w:tcBorders>
              <w:top w:val="nil"/>
              <w:left w:val="nil"/>
              <w:bottom w:val="nil"/>
              <w:right w:val="nil"/>
            </w:tcBorders>
            <w:shd w:val="clear" w:color="auto" w:fill="E2EFD9" w:themeFill="accent6" w:themeFillTint="33"/>
          </w:tcPr>
          <w:p w14:paraId="33AA750B" w14:textId="7C44E74A"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56</w:t>
            </w:r>
          </w:p>
        </w:tc>
        <w:tc>
          <w:tcPr>
            <w:tcW w:w="1791" w:type="dxa"/>
            <w:tcBorders>
              <w:top w:val="nil"/>
              <w:left w:val="nil"/>
              <w:bottom w:val="nil"/>
              <w:right w:val="nil"/>
            </w:tcBorders>
            <w:shd w:val="clear" w:color="auto" w:fill="E2EFD9" w:themeFill="accent6" w:themeFillTint="33"/>
          </w:tcPr>
          <w:p w14:paraId="2D58EC9B" w14:textId="33561A43"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26.67</w:t>
            </w:r>
          </w:p>
        </w:tc>
      </w:tr>
      <w:tr w:rsidR="00CF14EE" w14:paraId="43F6D7D3" w14:textId="77777777" w:rsidTr="00E149EB">
        <w:trPr>
          <w:trHeight w:val="247"/>
        </w:trPr>
        <w:tc>
          <w:tcPr>
            <w:tcW w:w="2405" w:type="dxa"/>
            <w:vMerge/>
            <w:tcBorders>
              <w:left w:val="nil"/>
              <w:right w:val="nil"/>
            </w:tcBorders>
            <w:shd w:val="clear" w:color="auto" w:fill="E2EFD9" w:themeFill="accent6" w:themeFillTint="33"/>
          </w:tcPr>
          <w:p w14:paraId="103D3708"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2EFD9" w:themeFill="accent6" w:themeFillTint="33"/>
          </w:tcPr>
          <w:p w14:paraId="1774D77F" w14:textId="0D608375"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2EFD9" w:themeFill="accent6" w:themeFillTint="33"/>
          </w:tcPr>
          <w:p w14:paraId="787BCF57" w14:textId="4DB6F092"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2EFD9" w:themeFill="accent6" w:themeFillTint="33"/>
          </w:tcPr>
          <w:p w14:paraId="40CE4340" w14:textId="36E11F93"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11803350" w14:textId="77777777" w:rsidTr="00EF5F39">
        <w:tc>
          <w:tcPr>
            <w:tcW w:w="2405" w:type="dxa"/>
            <w:vMerge w:val="restart"/>
            <w:tcBorders>
              <w:left w:val="nil"/>
              <w:right w:val="nil"/>
            </w:tcBorders>
            <w:shd w:val="clear" w:color="auto" w:fill="E7E6E6" w:themeFill="background2"/>
          </w:tcPr>
          <w:p w14:paraId="72A9E34C" w14:textId="77777777" w:rsidR="002410B3" w:rsidRDefault="002410B3"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p w14:paraId="25BA846C" w14:textId="5C46C474"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Monthly Income</w:t>
            </w:r>
          </w:p>
        </w:tc>
        <w:tc>
          <w:tcPr>
            <w:tcW w:w="2835" w:type="dxa"/>
            <w:tcBorders>
              <w:left w:val="nil"/>
              <w:bottom w:val="nil"/>
              <w:right w:val="nil"/>
            </w:tcBorders>
            <w:shd w:val="clear" w:color="auto" w:fill="E7E6E6" w:themeFill="background2"/>
          </w:tcPr>
          <w:p w14:paraId="7F76D908" w14:textId="7A2F1172" w:rsidR="00CF14EE" w:rsidRDefault="0095782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Less than</w:t>
            </w:r>
            <w:r w:rsidR="00CF14EE">
              <w:rPr>
                <w:rFonts w:ascii="Times New Roman" w:eastAsia="Times New Roman" w:hAnsi="Times New Roman" w:cs="Times New Roman"/>
                <w:sz w:val="24"/>
                <w:szCs w:val="24"/>
                <w:lang w:eastAsia="en-IN" w:bidi="ml-IN"/>
              </w:rPr>
              <w:t xml:space="preserve"> Rs.25,000</w:t>
            </w:r>
          </w:p>
        </w:tc>
        <w:tc>
          <w:tcPr>
            <w:tcW w:w="1985" w:type="dxa"/>
            <w:tcBorders>
              <w:left w:val="nil"/>
              <w:bottom w:val="nil"/>
              <w:right w:val="nil"/>
            </w:tcBorders>
            <w:shd w:val="clear" w:color="auto" w:fill="E7E6E6" w:themeFill="background2"/>
          </w:tcPr>
          <w:p w14:paraId="0D70F1C9" w14:textId="410F98D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61</w:t>
            </w:r>
          </w:p>
        </w:tc>
        <w:tc>
          <w:tcPr>
            <w:tcW w:w="1791" w:type="dxa"/>
            <w:tcBorders>
              <w:left w:val="nil"/>
              <w:bottom w:val="nil"/>
              <w:right w:val="nil"/>
            </w:tcBorders>
            <w:shd w:val="clear" w:color="auto" w:fill="E7E6E6" w:themeFill="background2"/>
          </w:tcPr>
          <w:p w14:paraId="40F85275" w14:textId="3F55956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29.05</w:t>
            </w:r>
          </w:p>
        </w:tc>
      </w:tr>
      <w:tr w:rsidR="00CF14EE" w14:paraId="5718C48D" w14:textId="77777777" w:rsidTr="00EF5F39">
        <w:tc>
          <w:tcPr>
            <w:tcW w:w="2405" w:type="dxa"/>
            <w:vMerge/>
            <w:tcBorders>
              <w:left w:val="nil"/>
              <w:right w:val="nil"/>
            </w:tcBorders>
            <w:shd w:val="clear" w:color="auto" w:fill="E7E6E6" w:themeFill="background2"/>
          </w:tcPr>
          <w:p w14:paraId="7E3D519C"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1170CDCD" w14:textId="0DAFBA9B"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Rs.25,000 – </w:t>
            </w:r>
            <w:r w:rsidR="00957822">
              <w:rPr>
                <w:rFonts w:ascii="Times New Roman" w:eastAsia="Times New Roman" w:hAnsi="Times New Roman" w:cs="Times New Roman"/>
                <w:sz w:val="24"/>
                <w:szCs w:val="24"/>
                <w:lang w:eastAsia="en-IN" w:bidi="ml-IN"/>
              </w:rPr>
              <w:t>Rs.</w:t>
            </w:r>
            <w:r>
              <w:rPr>
                <w:rFonts w:ascii="Times New Roman" w:eastAsia="Times New Roman" w:hAnsi="Times New Roman" w:cs="Times New Roman"/>
                <w:sz w:val="24"/>
                <w:szCs w:val="24"/>
                <w:lang w:eastAsia="en-IN" w:bidi="ml-IN"/>
              </w:rPr>
              <w:t>50,000</w:t>
            </w:r>
          </w:p>
        </w:tc>
        <w:tc>
          <w:tcPr>
            <w:tcW w:w="1985" w:type="dxa"/>
            <w:tcBorders>
              <w:top w:val="nil"/>
              <w:left w:val="nil"/>
              <w:bottom w:val="nil"/>
              <w:right w:val="nil"/>
            </w:tcBorders>
            <w:shd w:val="clear" w:color="auto" w:fill="E7E6E6" w:themeFill="background2"/>
          </w:tcPr>
          <w:p w14:paraId="2F93FC54" w14:textId="3B50ECCC"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96</w:t>
            </w:r>
          </w:p>
        </w:tc>
        <w:tc>
          <w:tcPr>
            <w:tcW w:w="1791" w:type="dxa"/>
            <w:tcBorders>
              <w:top w:val="nil"/>
              <w:left w:val="nil"/>
              <w:bottom w:val="nil"/>
              <w:right w:val="nil"/>
            </w:tcBorders>
            <w:shd w:val="clear" w:color="auto" w:fill="E7E6E6" w:themeFill="background2"/>
          </w:tcPr>
          <w:p w14:paraId="5B43E799" w14:textId="7B32307D"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45.71</w:t>
            </w:r>
          </w:p>
        </w:tc>
      </w:tr>
      <w:tr w:rsidR="00CF14EE" w14:paraId="329CFC1C" w14:textId="77777777" w:rsidTr="00EF5F39">
        <w:tc>
          <w:tcPr>
            <w:tcW w:w="2405" w:type="dxa"/>
            <w:vMerge/>
            <w:tcBorders>
              <w:left w:val="nil"/>
              <w:right w:val="nil"/>
            </w:tcBorders>
            <w:shd w:val="clear" w:color="auto" w:fill="E7E6E6" w:themeFill="background2"/>
          </w:tcPr>
          <w:p w14:paraId="6C394B9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7E6E6" w:themeFill="background2"/>
          </w:tcPr>
          <w:p w14:paraId="6D167935" w14:textId="29968D6C"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 Rs.50,000</w:t>
            </w:r>
          </w:p>
        </w:tc>
        <w:tc>
          <w:tcPr>
            <w:tcW w:w="1985" w:type="dxa"/>
            <w:tcBorders>
              <w:top w:val="nil"/>
              <w:left w:val="nil"/>
              <w:bottom w:val="nil"/>
              <w:right w:val="nil"/>
            </w:tcBorders>
            <w:shd w:val="clear" w:color="auto" w:fill="E7E6E6" w:themeFill="background2"/>
          </w:tcPr>
          <w:p w14:paraId="1234E8DB" w14:textId="38BBB2B6" w:rsidR="00CF14EE"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53</w:t>
            </w:r>
          </w:p>
        </w:tc>
        <w:tc>
          <w:tcPr>
            <w:tcW w:w="1791" w:type="dxa"/>
            <w:tcBorders>
              <w:top w:val="nil"/>
              <w:left w:val="nil"/>
              <w:bottom w:val="nil"/>
              <w:right w:val="nil"/>
            </w:tcBorders>
            <w:shd w:val="clear" w:color="auto" w:fill="E7E6E6" w:themeFill="background2"/>
          </w:tcPr>
          <w:p w14:paraId="12D5E41E" w14:textId="59117C84"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25.24</w:t>
            </w:r>
          </w:p>
        </w:tc>
      </w:tr>
      <w:tr w:rsidR="00CF14EE" w14:paraId="130B2BE6" w14:textId="77777777" w:rsidTr="00E149EB">
        <w:trPr>
          <w:trHeight w:val="351"/>
        </w:trPr>
        <w:tc>
          <w:tcPr>
            <w:tcW w:w="2405" w:type="dxa"/>
            <w:vMerge/>
            <w:tcBorders>
              <w:left w:val="nil"/>
              <w:right w:val="nil"/>
            </w:tcBorders>
            <w:shd w:val="clear" w:color="auto" w:fill="E7E6E6" w:themeFill="background2"/>
          </w:tcPr>
          <w:p w14:paraId="2C8F628B"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single" w:sz="4" w:space="0" w:color="auto"/>
              <w:right w:val="nil"/>
            </w:tcBorders>
            <w:shd w:val="clear" w:color="auto" w:fill="E7E6E6" w:themeFill="background2"/>
          </w:tcPr>
          <w:p w14:paraId="13C43322" w14:textId="46F3E3A4" w:rsidR="00CF14EE" w:rsidRPr="007B2412"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bottom w:val="single" w:sz="4" w:space="0" w:color="auto"/>
              <w:right w:val="nil"/>
            </w:tcBorders>
            <w:shd w:val="clear" w:color="auto" w:fill="E7E6E6" w:themeFill="background2"/>
          </w:tcPr>
          <w:p w14:paraId="68EA6183" w14:textId="6120E4F1" w:rsidR="00CF14EE" w:rsidRPr="007B2412" w:rsidRDefault="00CF14EE"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bottom w:val="single" w:sz="4" w:space="0" w:color="auto"/>
              <w:right w:val="nil"/>
            </w:tcBorders>
            <w:shd w:val="clear" w:color="auto" w:fill="E7E6E6" w:themeFill="background2"/>
          </w:tcPr>
          <w:p w14:paraId="02ABC758" w14:textId="647E904E" w:rsidR="00CF14EE" w:rsidRPr="007B2412"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r w:rsidR="00CF14EE" w14:paraId="3F666223" w14:textId="77777777" w:rsidTr="00EF5F39">
        <w:tc>
          <w:tcPr>
            <w:tcW w:w="2405" w:type="dxa"/>
            <w:vMerge w:val="restart"/>
            <w:tcBorders>
              <w:left w:val="nil"/>
              <w:right w:val="nil"/>
            </w:tcBorders>
            <w:shd w:val="clear" w:color="auto" w:fill="E2EFD9" w:themeFill="accent6" w:themeFillTint="33"/>
          </w:tcPr>
          <w:p w14:paraId="0059C830" w14:textId="1BD1022D" w:rsidR="00AB4EB9" w:rsidRDefault="00957822"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 </w:t>
            </w:r>
          </w:p>
          <w:p w14:paraId="3EBF8121" w14:textId="5044F43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LPG Distributor</w:t>
            </w:r>
          </w:p>
        </w:tc>
        <w:tc>
          <w:tcPr>
            <w:tcW w:w="2835" w:type="dxa"/>
            <w:tcBorders>
              <w:left w:val="nil"/>
              <w:bottom w:val="nil"/>
              <w:right w:val="nil"/>
            </w:tcBorders>
            <w:shd w:val="clear" w:color="auto" w:fill="E2EFD9" w:themeFill="accent6" w:themeFillTint="33"/>
          </w:tcPr>
          <w:p w14:paraId="53C9A6BA" w14:textId="2E81FD1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Indane (IOCL)</w:t>
            </w:r>
          </w:p>
        </w:tc>
        <w:tc>
          <w:tcPr>
            <w:tcW w:w="1985" w:type="dxa"/>
            <w:tcBorders>
              <w:left w:val="nil"/>
              <w:bottom w:val="nil"/>
              <w:right w:val="nil"/>
            </w:tcBorders>
            <w:shd w:val="clear" w:color="auto" w:fill="E2EFD9" w:themeFill="accent6" w:themeFillTint="33"/>
          </w:tcPr>
          <w:p w14:paraId="7A0E224E" w14:textId="27626D98" w:rsidR="00CF14EE" w:rsidRDefault="00E56807"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2F5D72">
              <w:rPr>
                <w:rFonts w:ascii="Times New Roman" w:eastAsia="Times New Roman" w:hAnsi="Times New Roman" w:cs="Times New Roman"/>
                <w:sz w:val="24"/>
                <w:szCs w:val="24"/>
                <w:lang w:eastAsia="en-IN" w:bidi="ml-IN"/>
              </w:rPr>
              <w:t>0</w:t>
            </w:r>
          </w:p>
        </w:tc>
        <w:tc>
          <w:tcPr>
            <w:tcW w:w="1791" w:type="dxa"/>
            <w:tcBorders>
              <w:left w:val="nil"/>
              <w:bottom w:val="nil"/>
              <w:right w:val="nil"/>
            </w:tcBorders>
            <w:shd w:val="clear" w:color="auto" w:fill="E2EFD9" w:themeFill="accent6" w:themeFillTint="33"/>
          </w:tcPr>
          <w:p w14:paraId="0B470A64" w14:textId="1EC7C8E0" w:rsidR="00CF14EE" w:rsidRDefault="002F5D72"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33.33</w:t>
            </w:r>
          </w:p>
        </w:tc>
      </w:tr>
      <w:tr w:rsidR="00CF14EE" w14:paraId="293275B8" w14:textId="77777777" w:rsidTr="00EF5F39">
        <w:tc>
          <w:tcPr>
            <w:tcW w:w="2405" w:type="dxa"/>
            <w:vMerge/>
            <w:tcBorders>
              <w:left w:val="nil"/>
              <w:right w:val="nil"/>
            </w:tcBorders>
            <w:shd w:val="clear" w:color="auto" w:fill="E2EFD9" w:themeFill="accent6" w:themeFillTint="33"/>
          </w:tcPr>
          <w:p w14:paraId="4241F252"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76FA0708" w14:textId="36E6FC75"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Bharath Gas (BPCL)</w:t>
            </w:r>
          </w:p>
        </w:tc>
        <w:tc>
          <w:tcPr>
            <w:tcW w:w="1985" w:type="dxa"/>
            <w:tcBorders>
              <w:top w:val="nil"/>
              <w:left w:val="nil"/>
              <w:bottom w:val="nil"/>
              <w:right w:val="nil"/>
            </w:tcBorders>
            <w:shd w:val="clear" w:color="auto" w:fill="E2EFD9" w:themeFill="accent6" w:themeFillTint="33"/>
          </w:tcPr>
          <w:p w14:paraId="70ECB68A" w14:textId="5F78C155" w:rsidR="00CF14EE" w:rsidRDefault="002F5D72"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w:t>
            </w:r>
          </w:p>
        </w:tc>
        <w:tc>
          <w:tcPr>
            <w:tcW w:w="1791" w:type="dxa"/>
            <w:tcBorders>
              <w:top w:val="nil"/>
              <w:left w:val="nil"/>
              <w:bottom w:val="nil"/>
              <w:right w:val="nil"/>
            </w:tcBorders>
            <w:shd w:val="clear" w:color="auto" w:fill="E2EFD9" w:themeFill="accent6" w:themeFillTint="33"/>
          </w:tcPr>
          <w:p w14:paraId="4423B70E" w14:textId="56B7DF8A" w:rsidR="00CF14EE" w:rsidRDefault="00CF14EE"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w:t>
            </w:r>
            <w:r w:rsidR="002F5D72">
              <w:rPr>
                <w:rFonts w:ascii="Times New Roman" w:eastAsia="Times New Roman" w:hAnsi="Times New Roman" w:cs="Times New Roman"/>
                <w:sz w:val="24"/>
                <w:szCs w:val="24"/>
                <w:lang w:eastAsia="en-IN" w:bidi="ml-IN"/>
              </w:rPr>
              <w:t>3.33</w:t>
            </w:r>
          </w:p>
        </w:tc>
      </w:tr>
      <w:tr w:rsidR="00CF14EE" w14:paraId="3E3CCAD7" w14:textId="77777777" w:rsidTr="00EF5F39">
        <w:tc>
          <w:tcPr>
            <w:tcW w:w="2405" w:type="dxa"/>
            <w:vMerge/>
            <w:tcBorders>
              <w:left w:val="nil"/>
              <w:right w:val="nil"/>
            </w:tcBorders>
            <w:shd w:val="clear" w:color="auto" w:fill="E2EFD9" w:themeFill="accent6" w:themeFillTint="33"/>
          </w:tcPr>
          <w:p w14:paraId="5766F3AF" w14:textId="77777777"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bottom w:val="nil"/>
              <w:right w:val="nil"/>
            </w:tcBorders>
            <w:shd w:val="clear" w:color="auto" w:fill="E2EFD9" w:themeFill="accent6" w:themeFillTint="33"/>
          </w:tcPr>
          <w:p w14:paraId="239F6475" w14:textId="5ED52E82" w:rsidR="00CF14EE" w:rsidRDefault="00CF14EE" w:rsidP="0034139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HP Gas (HPCL)</w:t>
            </w:r>
          </w:p>
        </w:tc>
        <w:tc>
          <w:tcPr>
            <w:tcW w:w="1985" w:type="dxa"/>
            <w:tcBorders>
              <w:top w:val="nil"/>
              <w:left w:val="nil"/>
              <w:bottom w:val="nil"/>
              <w:right w:val="nil"/>
            </w:tcBorders>
            <w:shd w:val="clear" w:color="auto" w:fill="E2EFD9" w:themeFill="accent6" w:themeFillTint="33"/>
          </w:tcPr>
          <w:p w14:paraId="34DD94DA" w14:textId="7916ADBB" w:rsidR="00CF14EE" w:rsidRDefault="002F5D72" w:rsidP="00341392">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w:t>
            </w:r>
          </w:p>
        </w:tc>
        <w:tc>
          <w:tcPr>
            <w:tcW w:w="1791" w:type="dxa"/>
            <w:tcBorders>
              <w:top w:val="nil"/>
              <w:left w:val="nil"/>
              <w:bottom w:val="nil"/>
              <w:right w:val="nil"/>
            </w:tcBorders>
            <w:shd w:val="clear" w:color="auto" w:fill="E2EFD9" w:themeFill="accent6" w:themeFillTint="33"/>
          </w:tcPr>
          <w:p w14:paraId="33A43973" w14:textId="5BB9798E" w:rsidR="00CF14EE" w:rsidRDefault="002F5D72" w:rsidP="0034139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33.33</w:t>
            </w:r>
          </w:p>
        </w:tc>
      </w:tr>
      <w:tr w:rsidR="00CF14EE" w14:paraId="1528E992" w14:textId="77777777" w:rsidTr="00E149EB">
        <w:trPr>
          <w:trHeight w:val="285"/>
        </w:trPr>
        <w:tc>
          <w:tcPr>
            <w:tcW w:w="2405" w:type="dxa"/>
            <w:vMerge/>
            <w:tcBorders>
              <w:left w:val="nil"/>
              <w:right w:val="nil"/>
            </w:tcBorders>
            <w:shd w:val="clear" w:color="auto" w:fill="E2EFD9" w:themeFill="accent6" w:themeFillTint="33"/>
          </w:tcPr>
          <w:p w14:paraId="0F3CF7FA" w14:textId="77777777" w:rsidR="00CF14EE" w:rsidRDefault="00CF14EE" w:rsidP="00341392">
            <w:pPr>
              <w:spacing w:after="100" w:afterAutospacing="1" w:line="276" w:lineRule="auto"/>
              <w:jc w:val="both"/>
              <w:rPr>
                <w:rFonts w:ascii="Times New Roman" w:eastAsia="Times New Roman" w:hAnsi="Times New Roman" w:cs="Times New Roman"/>
                <w:sz w:val="24"/>
                <w:szCs w:val="24"/>
                <w:lang w:eastAsia="en-IN" w:bidi="ml-IN"/>
              </w:rPr>
            </w:pPr>
          </w:p>
        </w:tc>
        <w:tc>
          <w:tcPr>
            <w:tcW w:w="2835" w:type="dxa"/>
            <w:tcBorders>
              <w:top w:val="nil"/>
              <w:left w:val="nil"/>
              <w:right w:val="nil"/>
            </w:tcBorders>
            <w:shd w:val="clear" w:color="auto" w:fill="E2EFD9" w:themeFill="accent6" w:themeFillTint="33"/>
          </w:tcPr>
          <w:p w14:paraId="3101F269" w14:textId="49B1C61C" w:rsidR="00CF14EE" w:rsidRPr="007B2412" w:rsidRDefault="00CF14EE" w:rsidP="00341392">
            <w:pPr>
              <w:spacing w:after="100" w:afterAutospacing="1" w:line="276" w:lineRule="auto"/>
              <w:jc w:val="both"/>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5" w:type="dxa"/>
            <w:tcBorders>
              <w:top w:val="nil"/>
              <w:left w:val="nil"/>
              <w:right w:val="nil"/>
            </w:tcBorders>
            <w:shd w:val="clear" w:color="auto" w:fill="E2EFD9" w:themeFill="accent6" w:themeFillTint="33"/>
          </w:tcPr>
          <w:p w14:paraId="32BD6FA6" w14:textId="6BE03E18" w:rsidR="00CF14EE" w:rsidRPr="007B2412" w:rsidRDefault="00CF14EE" w:rsidP="00341392">
            <w:pPr>
              <w:spacing w:after="100" w:afterAutospacing="1" w:line="276" w:lineRule="auto"/>
              <w:jc w:val="center"/>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p>
        </w:tc>
        <w:tc>
          <w:tcPr>
            <w:tcW w:w="1791" w:type="dxa"/>
            <w:tcBorders>
              <w:top w:val="nil"/>
              <w:left w:val="nil"/>
              <w:right w:val="nil"/>
            </w:tcBorders>
            <w:shd w:val="clear" w:color="auto" w:fill="E2EFD9" w:themeFill="accent6" w:themeFillTint="33"/>
          </w:tcPr>
          <w:p w14:paraId="2871146A" w14:textId="43CCC7F6" w:rsidR="00CF14EE" w:rsidRPr="007B2412" w:rsidRDefault="00CF14EE" w:rsidP="00341392">
            <w:pPr>
              <w:spacing w:after="100" w:afterAutospacing="1" w:line="276" w:lineRule="auto"/>
              <w:jc w:val="right"/>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100.00</w:t>
            </w:r>
          </w:p>
        </w:tc>
      </w:tr>
    </w:tbl>
    <w:p w14:paraId="411546F2" w14:textId="06FC79AA" w:rsidR="001B679D" w:rsidRDefault="001B679D" w:rsidP="00341392">
      <w:pPr>
        <w:spacing w:after="100" w:afterAutospacing="1" w:line="276" w:lineRule="auto"/>
        <w:outlineLvl w:val="1"/>
        <w:rPr>
          <w:rFonts w:ascii="Times New Roman" w:eastAsia="Times New Roman" w:hAnsi="Times New Roman" w:cs="Times New Roman"/>
          <w:lang w:eastAsia="en-IN" w:bidi="ml-IN"/>
        </w:rPr>
      </w:pPr>
      <w:r w:rsidRPr="001B679D">
        <w:rPr>
          <w:rFonts w:ascii="Times New Roman" w:eastAsia="Times New Roman" w:hAnsi="Times New Roman" w:cs="Times New Roman"/>
          <w:lang w:eastAsia="en-IN" w:bidi="ml-IN"/>
        </w:rPr>
        <w:t>Source: Primary data</w:t>
      </w:r>
    </w:p>
    <w:p w14:paraId="1ED4344B" w14:textId="1CBA6568" w:rsidR="00664A35" w:rsidRPr="00664A35" w:rsidRDefault="00664A35" w:rsidP="00664A35">
      <w:pPr>
        <w:spacing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Table 2 portrays that male and female composition in the respondents are 53.81% and 46.19% respectively. Regarding classification based on</w:t>
      </w:r>
      <w:r w:rsidRPr="00664A35">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age group, highest composition falls under 30 – 50 age group. Majority of the respondents are graduates (i.e., 55.24%). In respect of monthly income, higher proportion of respondents are falling </w:t>
      </w:r>
      <w:r w:rsidR="00AD0B6E">
        <w:rPr>
          <w:rFonts w:ascii="Times New Roman" w:eastAsia="Times New Roman" w:hAnsi="Times New Roman" w:cs="Times New Roman"/>
          <w:sz w:val="24"/>
          <w:szCs w:val="24"/>
          <w:lang w:eastAsia="en-IN" w:bidi="ml-IN"/>
        </w:rPr>
        <w:t>u</w:t>
      </w:r>
      <w:r>
        <w:rPr>
          <w:rFonts w:ascii="Times New Roman" w:eastAsia="Times New Roman" w:hAnsi="Times New Roman" w:cs="Times New Roman"/>
          <w:sz w:val="24"/>
          <w:szCs w:val="24"/>
          <w:lang w:eastAsia="en-IN" w:bidi="ml-IN"/>
        </w:rPr>
        <w:t xml:space="preserve">nder </w:t>
      </w:r>
      <w:r w:rsidR="00AD0B6E">
        <w:rPr>
          <w:rFonts w:ascii="Times New Roman" w:eastAsia="Times New Roman" w:hAnsi="Times New Roman" w:cs="Times New Roman"/>
          <w:sz w:val="24"/>
          <w:szCs w:val="24"/>
          <w:lang w:eastAsia="en-IN" w:bidi="ml-IN"/>
        </w:rPr>
        <w:t xml:space="preserve">the category of Rs. 25,000 – Rs. 50,000. Equal number of respondents (i.e., 70 each) who are the consumers of Indane, Bharath gas and HP gas were selected as the sample for the study.   </w:t>
      </w:r>
    </w:p>
    <w:p w14:paraId="2FA5B367" w14:textId="0A0F0436" w:rsidR="00D370E5" w:rsidRDefault="00284EF0" w:rsidP="0009412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3</w:t>
      </w:r>
      <w:r w:rsidR="00EC7CFB">
        <w:rPr>
          <w:rFonts w:ascii="Times New Roman" w:eastAsia="Times New Roman" w:hAnsi="Times New Roman" w:cs="Times New Roman"/>
          <w:b/>
          <w:bCs/>
          <w:sz w:val="24"/>
          <w:szCs w:val="24"/>
          <w:lang w:eastAsia="en-IN" w:bidi="ml-IN"/>
        </w:rPr>
        <w:t xml:space="preserve">.2 </w:t>
      </w:r>
      <w:r w:rsidR="00EC7CFB" w:rsidRPr="00EC7CFB">
        <w:rPr>
          <w:rFonts w:ascii="Times New Roman" w:eastAsia="Times New Roman" w:hAnsi="Times New Roman" w:cs="Times New Roman"/>
          <w:b/>
          <w:bCs/>
          <w:sz w:val="24"/>
          <w:szCs w:val="24"/>
          <w:lang w:eastAsia="en-IN" w:bidi="ml-IN"/>
        </w:rPr>
        <w:t xml:space="preserve">Level of Customer </w:t>
      </w:r>
      <w:r w:rsidR="005059BB">
        <w:rPr>
          <w:rFonts w:ascii="Times New Roman" w:eastAsia="Times New Roman" w:hAnsi="Times New Roman" w:cs="Times New Roman"/>
          <w:b/>
          <w:bCs/>
          <w:sz w:val="24"/>
          <w:szCs w:val="24"/>
          <w:lang w:eastAsia="en-IN" w:bidi="ml-IN"/>
        </w:rPr>
        <w:t>s</w:t>
      </w:r>
      <w:r w:rsidR="00EC7CFB" w:rsidRPr="00EC7CFB">
        <w:rPr>
          <w:rFonts w:ascii="Times New Roman" w:eastAsia="Times New Roman" w:hAnsi="Times New Roman" w:cs="Times New Roman"/>
          <w:b/>
          <w:bCs/>
          <w:sz w:val="24"/>
          <w:szCs w:val="24"/>
          <w:lang w:eastAsia="en-IN" w:bidi="ml-IN"/>
        </w:rPr>
        <w:t>atisfaction across service</w:t>
      </w:r>
      <w:r w:rsidR="00717A32">
        <w:rPr>
          <w:rFonts w:ascii="Times New Roman" w:eastAsia="Times New Roman" w:hAnsi="Times New Roman" w:cs="Times New Roman"/>
          <w:b/>
          <w:bCs/>
          <w:sz w:val="24"/>
          <w:szCs w:val="24"/>
          <w:lang w:eastAsia="en-IN" w:bidi="ml-IN"/>
        </w:rPr>
        <w:t>-</w:t>
      </w:r>
      <w:r w:rsidR="00EC7CFB" w:rsidRPr="00EC7CFB">
        <w:rPr>
          <w:rFonts w:ascii="Times New Roman" w:eastAsia="Times New Roman" w:hAnsi="Times New Roman" w:cs="Times New Roman"/>
          <w:b/>
          <w:bCs/>
          <w:sz w:val="24"/>
          <w:szCs w:val="24"/>
          <w:lang w:eastAsia="en-IN" w:bidi="ml-IN"/>
        </w:rPr>
        <w:t xml:space="preserve">quality </w:t>
      </w:r>
      <w:r w:rsidR="00097143">
        <w:rPr>
          <w:rFonts w:ascii="Times New Roman" w:eastAsia="Times New Roman" w:hAnsi="Times New Roman" w:cs="Times New Roman"/>
          <w:b/>
          <w:bCs/>
          <w:sz w:val="24"/>
          <w:szCs w:val="24"/>
          <w:lang w:eastAsia="en-IN" w:bidi="ml-IN"/>
        </w:rPr>
        <w:t>attributes</w:t>
      </w:r>
    </w:p>
    <w:p w14:paraId="4DC91502" w14:textId="74721880" w:rsidR="00AE7C43" w:rsidRPr="00AE7C43" w:rsidRDefault="00AE7C43" w:rsidP="00AE7C43">
      <w:pPr>
        <w:spacing w:before="100" w:beforeAutospacing="1" w:after="0" w:line="240" w:lineRule="auto"/>
        <w:jc w:val="both"/>
        <w:outlineLvl w:val="1"/>
        <w:rPr>
          <w:rFonts w:ascii="Times New Roman" w:eastAsia="Times New Roman" w:hAnsi="Times New Roman" w:cs="Times New Roman"/>
          <w:b/>
          <w:bCs/>
          <w:i/>
          <w:iCs/>
          <w:sz w:val="24"/>
          <w:szCs w:val="24"/>
          <w:lang w:eastAsia="en-IN" w:bidi="ml-IN"/>
        </w:rPr>
      </w:pPr>
      <w:r w:rsidRPr="00AE7C43">
        <w:rPr>
          <w:rFonts w:ascii="Times New Roman" w:eastAsia="Times New Roman" w:hAnsi="Times New Roman" w:cs="Times New Roman"/>
          <w:b/>
          <w:bCs/>
          <w:i/>
          <w:iCs/>
          <w:sz w:val="24"/>
          <w:szCs w:val="24"/>
          <w:lang w:eastAsia="en-IN" w:bidi="ml-IN"/>
        </w:rPr>
        <w:t>Table 3: Customer satisfaction across varied service</w:t>
      </w:r>
      <w:r w:rsidR="00717A32">
        <w:rPr>
          <w:rFonts w:ascii="Times New Roman" w:eastAsia="Times New Roman" w:hAnsi="Times New Roman" w:cs="Times New Roman"/>
          <w:b/>
          <w:bCs/>
          <w:i/>
          <w:iCs/>
          <w:sz w:val="24"/>
          <w:szCs w:val="24"/>
          <w:lang w:eastAsia="en-IN" w:bidi="ml-IN"/>
        </w:rPr>
        <w:t>-</w:t>
      </w:r>
      <w:r w:rsidRPr="00AE7C43">
        <w:rPr>
          <w:rFonts w:ascii="Times New Roman" w:eastAsia="Times New Roman" w:hAnsi="Times New Roman" w:cs="Times New Roman"/>
          <w:b/>
          <w:bCs/>
          <w:i/>
          <w:iCs/>
          <w:sz w:val="24"/>
          <w:szCs w:val="24"/>
          <w:lang w:eastAsia="en-IN" w:bidi="ml-IN"/>
        </w:rPr>
        <w:t xml:space="preserve">quality </w:t>
      </w:r>
      <w:r w:rsidR="00957822">
        <w:rPr>
          <w:rFonts w:ascii="Times New Roman" w:eastAsia="Times New Roman" w:hAnsi="Times New Roman" w:cs="Times New Roman"/>
          <w:b/>
          <w:bCs/>
          <w:i/>
          <w:iCs/>
          <w:sz w:val="24"/>
          <w:szCs w:val="24"/>
          <w:lang w:eastAsia="en-IN" w:bidi="ml-IN"/>
        </w:rPr>
        <w:t>attributes</w:t>
      </w:r>
    </w:p>
    <w:tbl>
      <w:tblPr>
        <w:tblStyle w:val="TableGrid"/>
        <w:tblW w:w="9209" w:type="dxa"/>
        <w:tblLook w:val="04A0" w:firstRow="1" w:lastRow="0" w:firstColumn="1" w:lastColumn="0" w:noHBand="0" w:noVBand="1"/>
      </w:tblPr>
      <w:tblGrid>
        <w:gridCol w:w="3442"/>
        <w:gridCol w:w="1515"/>
        <w:gridCol w:w="1417"/>
        <w:gridCol w:w="1559"/>
        <w:gridCol w:w="1276"/>
      </w:tblGrid>
      <w:tr w:rsidR="000B7FD7" w14:paraId="6E4DCD7E" w14:textId="77777777" w:rsidTr="00341392">
        <w:tc>
          <w:tcPr>
            <w:tcW w:w="3442" w:type="dxa"/>
            <w:vMerge w:val="restart"/>
            <w:tcBorders>
              <w:left w:val="nil"/>
              <w:bottom w:val="nil"/>
              <w:right w:val="nil"/>
            </w:tcBorders>
            <w:shd w:val="clear" w:color="auto" w:fill="E7E6E6" w:themeFill="background2"/>
          </w:tcPr>
          <w:p w14:paraId="7BF2F4C2" w14:textId="415B6395"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Service quality dimension</w:t>
            </w:r>
          </w:p>
        </w:tc>
        <w:tc>
          <w:tcPr>
            <w:tcW w:w="4491" w:type="dxa"/>
            <w:gridSpan w:val="3"/>
            <w:tcBorders>
              <w:left w:val="nil"/>
              <w:bottom w:val="nil"/>
              <w:right w:val="nil"/>
            </w:tcBorders>
            <w:shd w:val="clear" w:color="auto" w:fill="E7E6E6" w:themeFill="background2"/>
          </w:tcPr>
          <w:p w14:paraId="12C61123" w14:textId="457D85C3"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Level of Satisfaction</w:t>
            </w:r>
          </w:p>
        </w:tc>
        <w:tc>
          <w:tcPr>
            <w:tcW w:w="1276" w:type="dxa"/>
            <w:vMerge w:val="restart"/>
            <w:tcBorders>
              <w:left w:val="nil"/>
              <w:bottom w:val="nil"/>
              <w:right w:val="nil"/>
            </w:tcBorders>
            <w:shd w:val="clear" w:color="auto" w:fill="E7E6E6" w:themeFill="background2"/>
          </w:tcPr>
          <w:p w14:paraId="70830B1A" w14:textId="67A2D8E9" w:rsidR="000B7FD7" w:rsidRPr="00C90F3B" w:rsidRDefault="000B7FD7" w:rsidP="00AE7C43">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Total</w:t>
            </w:r>
          </w:p>
        </w:tc>
      </w:tr>
      <w:tr w:rsidR="0072258A" w14:paraId="7165D97F" w14:textId="77777777" w:rsidTr="00341392">
        <w:tc>
          <w:tcPr>
            <w:tcW w:w="3442" w:type="dxa"/>
            <w:vMerge/>
            <w:tcBorders>
              <w:top w:val="nil"/>
              <w:left w:val="nil"/>
              <w:bottom w:val="single" w:sz="4" w:space="0" w:color="auto"/>
              <w:right w:val="nil"/>
            </w:tcBorders>
            <w:shd w:val="clear" w:color="auto" w:fill="E7E6E6" w:themeFill="background2"/>
          </w:tcPr>
          <w:p w14:paraId="39D14E17" w14:textId="77777777" w:rsidR="000B7FD7" w:rsidRPr="000B7FD7" w:rsidRDefault="000B7FD7" w:rsidP="00341392">
            <w:pPr>
              <w:spacing w:line="276" w:lineRule="auto"/>
              <w:outlineLvl w:val="1"/>
              <w:rPr>
                <w:rFonts w:ascii="Times New Roman" w:eastAsia="Times New Roman" w:hAnsi="Times New Roman" w:cs="Times New Roman"/>
                <w:b/>
                <w:bCs/>
                <w:lang w:eastAsia="en-IN" w:bidi="ml-IN"/>
              </w:rPr>
            </w:pPr>
          </w:p>
        </w:tc>
        <w:tc>
          <w:tcPr>
            <w:tcW w:w="1515" w:type="dxa"/>
            <w:tcBorders>
              <w:top w:val="nil"/>
              <w:left w:val="nil"/>
              <w:bottom w:val="single" w:sz="4" w:space="0" w:color="auto"/>
              <w:right w:val="nil"/>
            </w:tcBorders>
            <w:shd w:val="clear" w:color="auto" w:fill="E7E6E6" w:themeFill="background2"/>
          </w:tcPr>
          <w:p w14:paraId="2DAD90D0" w14:textId="15E86156"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Low</w:t>
            </w:r>
          </w:p>
        </w:tc>
        <w:tc>
          <w:tcPr>
            <w:tcW w:w="1417" w:type="dxa"/>
            <w:tcBorders>
              <w:top w:val="nil"/>
              <w:left w:val="nil"/>
              <w:bottom w:val="single" w:sz="4" w:space="0" w:color="auto"/>
              <w:right w:val="nil"/>
            </w:tcBorders>
            <w:shd w:val="clear" w:color="auto" w:fill="E7E6E6" w:themeFill="background2"/>
          </w:tcPr>
          <w:p w14:paraId="339F98B4" w14:textId="4A25A1BD"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Moderate</w:t>
            </w:r>
          </w:p>
        </w:tc>
        <w:tc>
          <w:tcPr>
            <w:tcW w:w="1559" w:type="dxa"/>
            <w:tcBorders>
              <w:top w:val="nil"/>
              <w:left w:val="nil"/>
              <w:bottom w:val="single" w:sz="4" w:space="0" w:color="auto"/>
              <w:right w:val="nil"/>
            </w:tcBorders>
            <w:shd w:val="clear" w:color="auto" w:fill="E7E6E6" w:themeFill="background2"/>
          </w:tcPr>
          <w:p w14:paraId="4507E4C5" w14:textId="340C057B" w:rsidR="000B7FD7" w:rsidRPr="00C90F3B" w:rsidRDefault="000B7FD7" w:rsidP="00341392">
            <w:pPr>
              <w:spacing w:line="276" w:lineRule="auto"/>
              <w:jc w:val="center"/>
              <w:outlineLvl w:val="1"/>
              <w:rPr>
                <w:rFonts w:ascii="Times New Roman" w:eastAsia="Times New Roman" w:hAnsi="Times New Roman" w:cs="Times New Roman"/>
                <w:b/>
                <w:bCs/>
                <w:sz w:val="24"/>
                <w:szCs w:val="24"/>
                <w:lang w:eastAsia="en-IN" w:bidi="ml-IN"/>
              </w:rPr>
            </w:pPr>
            <w:r w:rsidRPr="00C90F3B">
              <w:rPr>
                <w:rFonts w:ascii="Times New Roman" w:eastAsia="Times New Roman" w:hAnsi="Times New Roman" w:cs="Times New Roman"/>
                <w:b/>
                <w:bCs/>
                <w:sz w:val="24"/>
                <w:szCs w:val="24"/>
                <w:lang w:eastAsia="en-IN" w:bidi="ml-IN"/>
              </w:rPr>
              <w:t>High</w:t>
            </w:r>
          </w:p>
        </w:tc>
        <w:tc>
          <w:tcPr>
            <w:tcW w:w="1276" w:type="dxa"/>
            <w:vMerge/>
            <w:tcBorders>
              <w:top w:val="nil"/>
              <w:left w:val="nil"/>
              <w:bottom w:val="single" w:sz="4" w:space="0" w:color="auto"/>
              <w:right w:val="nil"/>
            </w:tcBorders>
            <w:shd w:val="clear" w:color="auto" w:fill="E7E6E6" w:themeFill="background2"/>
          </w:tcPr>
          <w:p w14:paraId="769947D6" w14:textId="538C3631" w:rsidR="000B7FD7" w:rsidRPr="000B7FD7" w:rsidRDefault="000B7FD7" w:rsidP="00341392">
            <w:pPr>
              <w:spacing w:line="276" w:lineRule="auto"/>
              <w:jc w:val="center"/>
              <w:outlineLvl w:val="1"/>
              <w:rPr>
                <w:rFonts w:ascii="Times New Roman" w:eastAsia="Times New Roman" w:hAnsi="Times New Roman" w:cs="Times New Roman"/>
                <w:b/>
                <w:bCs/>
                <w:lang w:eastAsia="en-IN" w:bidi="ml-IN"/>
              </w:rPr>
            </w:pPr>
          </w:p>
        </w:tc>
      </w:tr>
      <w:tr w:rsidR="006D51F9" w14:paraId="3851F542" w14:textId="77777777" w:rsidTr="00341392">
        <w:tc>
          <w:tcPr>
            <w:tcW w:w="3442" w:type="dxa"/>
            <w:tcBorders>
              <w:left w:val="nil"/>
              <w:bottom w:val="nil"/>
              <w:right w:val="nil"/>
            </w:tcBorders>
            <w:shd w:val="clear" w:color="auto" w:fill="E7E6E6" w:themeFill="background2"/>
          </w:tcPr>
          <w:p w14:paraId="6B55C79C" w14:textId="1AE3854D" w:rsidR="000B7FD7" w:rsidRPr="000B7FD7" w:rsidRDefault="000B7FD7" w:rsidP="00341392">
            <w:pPr>
              <w:spacing w:line="276" w:lineRule="auto"/>
              <w:outlineLvl w:val="1"/>
              <w:rPr>
                <w:rFonts w:ascii="Times New Roman" w:eastAsia="Times New Roman" w:hAnsi="Times New Roman" w:cs="Times New Roman"/>
                <w:sz w:val="24"/>
                <w:szCs w:val="24"/>
                <w:lang w:eastAsia="en-IN" w:bidi="ml-IN"/>
              </w:rPr>
            </w:pPr>
            <w:r w:rsidRPr="000B7FD7">
              <w:rPr>
                <w:rFonts w:ascii="Times New Roman" w:eastAsia="Times New Roman" w:hAnsi="Times New Roman" w:cs="Times New Roman"/>
                <w:sz w:val="24"/>
                <w:szCs w:val="24"/>
                <w:lang w:eastAsia="en-IN" w:bidi="ml-IN"/>
              </w:rPr>
              <w:t>Eas</w:t>
            </w:r>
            <w:r w:rsidR="003345A6">
              <w:rPr>
                <w:rFonts w:ascii="Times New Roman" w:eastAsia="Times New Roman" w:hAnsi="Times New Roman" w:cs="Times New Roman"/>
                <w:sz w:val="24"/>
                <w:szCs w:val="24"/>
                <w:lang w:eastAsia="en-IN" w:bidi="ml-IN"/>
              </w:rPr>
              <w:t>iness</w:t>
            </w:r>
            <w:r w:rsidRPr="000B7FD7">
              <w:rPr>
                <w:rFonts w:ascii="Times New Roman" w:eastAsia="Times New Roman" w:hAnsi="Times New Roman" w:cs="Times New Roman"/>
                <w:sz w:val="24"/>
                <w:szCs w:val="24"/>
                <w:lang w:eastAsia="en-IN" w:bidi="ml-IN"/>
              </w:rPr>
              <w:t xml:space="preserve"> </w:t>
            </w:r>
            <w:r w:rsidR="003345A6">
              <w:rPr>
                <w:rFonts w:ascii="Times New Roman" w:eastAsia="Times New Roman" w:hAnsi="Times New Roman" w:cs="Times New Roman"/>
                <w:sz w:val="24"/>
                <w:szCs w:val="24"/>
                <w:lang w:eastAsia="en-IN" w:bidi="ml-IN"/>
              </w:rPr>
              <w:t xml:space="preserve">in </w:t>
            </w:r>
            <w:r w:rsidRPr="000B7FD7">
              <w:rPr>
                <w:rFonts w:ascii="Times New Roman" w:eastAsia="Times New Roman" w:hAnsi="Times New Roman" w:cs="Times New Roman"/>
                <w:sz w:val="24"/>
                <w:szCs w:val="24"/>
                <w:lang w:eastAsia="en-IN" w:bidi="ml-IN"/>
              </w:rPr>
              <w:t>Booking</w:t>
            </w:r>
          </w:p>
        </w:tc>
        <w:tc>
          <w:tcPr>
            <w:tcW w:w="1515" w:type="dxa"/>
            <w:tcBorders>
              <w:left w:val="nil"/>
              <w:bottom w:val="nil"/>
              <w:right w:val="nil"/>
            </w:tcBorders>
          </w:tcPr>
          <w:p w14:paraId="54D789DB" w14:textId="71100F0A" w:rsidR="000B7FD7" w:rsidRPr="000B7FD7" w:rsidRDefault="00E865B8"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19</w:t>
            </w:r>
            <w:r w:rsidR="0072258A">
              <w:rPr>
                <w:rFonts w:ascii="Times New Roman" w:eastAsia="Times New Roman" w:hAnsi="Times New Roman" w:cs="Times New Roman"/>
                <w:lang w:eastAsia="en-IN" w:bidi="ml-IN"/>
              </w:rPr>
              <w:t xml:space="preserve"> (9.05%)</w:t>
            </w:r>
          </w:p>
        </w:tc>
        <w:tc>
          <w:tcPr>
            <w:tcW w:w="1417" w:type="dxa"/>
            <w:tcBorders>
              <w:left w:val="nil"/>
              <w:bottom w:val="nil"/>
              <w:right w:val="nil"/>
            </w:tcBorders>
          </w:tcPr>
          <w:p w14:paraId="20ED9B94" w14:textId="23BAEFDC" w:rsidR="000B7FD7" w:rsidRPr="000B7FD7" w:rsidRDefault="0072258A"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34 (16.19%)</w:t>
            </w:r>
          </w:p>
        </w:tc>
        <w:tc>
          <w:tcPr>
            <w:tcW w:w="1559" w:type="dxa"/>
            <w:tcBorders>
              <w:left w:val="nil"/>
              <w:bottom w:val="nil"/>
              <w:right w:val="nil"/>
            </w:tcBorders>
          </w:tcPr>
          <w:p w14:paraId="662F4DCE" w14:textId="3D6D5647" w:rsidR="000B7FD7" w:rsidRPr="000B7FD7" w:rsidRDefault="0072258A" w:rsidP="00341392">
            <w:pPr>
              <w:spacing w:line="276" w:lineRule="auto"/>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157 (74.76%)</w:t>
            </w:r>
          </w:p>
        </w:tc>
        <w:tc>
          <w:tcPr>
            <w:tcW w:w="1276" w:type="dxa"/>
            <w:tcBorders>
              <w:left w:val="nil"/>
              <w:bottom w:val="nil"/>
              <w:right w:val="nil"/>
            </w:tcBorders>
          </w:tcPr>
          <w:p w14:paraId="6BD07CD5" w14:textId="459DBC72" w:rsidR="000B7FD7" w:rsidRPr="000B7FD7" w:rsidRDefault="00526B4E" w:rsidP="00341392">
            <w:pPr>
              <w:spacing w:line="276" w:lineRule="auto"/>
              <w:jc w:val="center"/>
              <w:outlineLvl w:val="1"/>
              <w:rPr>
                <w:rFonts w:ascii="Times New Roman" w:eastAsia="Times New Roman" w:hAnsi="Times New Roman" w:cs="Times New Roman"/>
                <w:lang w:eastAsia="en-IN" w:bidi="ml-IN"/>
              </w:rPr>
            </w:pPr>
            <w:r>
              <w:rPr>
                <w:rFonts w:ascii="Times New Roman" w:eastAsia="Times New Roman" w:hAnsi="Times New Roman" w:cs="Times New Roman"/>
                <w:lang w:eastAsia="en-IN" w:bidi="ml-IN"/>
              </w:rPr>
              <w:t>210</w:t>
            </w:r>
            <w:r w:rsidR="00FD32B6">
              <w:rPr>
                <w:rFonts w:ascii="Times New Roman" w:eastAsia="Times New Roman" w:hAnsi="Times New Roman" w:cs="Times New Roman"/>
                <w:lang w:eastAsia="en-IN" w:bidi="ml-IN"/>
              </w:rPr>
              <w:t xml:space="preserve"> (100%)</w:t>
            </w:r>
          </w:p>
        </w:tc>
      </w:tr>
      <w:tr w:rsidR="00586A79" w14:paraId="7D824DE6" w14:textId="77777777" w:rsidTr="00341392">
        <w:tc>
          <w:tcPr>
            <w:tcW w:w="3442" w:type="dxa"/>
            <w:tcBorders>
              <w:top w:val="nil"/>
              <w:left w:val="nil"/>
              <w:bottom w:val="nil"/>
              <w:right w:val="nil"/>
            </w:tcBorders>
            <w:shd w:val="clear" w:color="auto" w:fill="E7E6E6" w:themeFill="background2"/>
          </w:tcPr>
          <w:p w14:paraId="3B3AC4CF" w14:textId="53469998" w:rsidR="00FD32B6" w:rsidRPr="000B7FD7" w:rsidRDefault="003345A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Promptness</w:t>
            </w:r>
            <w:r w:rsidR="00FD32B6">
              <w:rPr>
                <w:rFonts w:ascii="Times New Roman" w:eastAsia="Times New Roman" w:hAnsi="Times New Roman" w:cs="Times New Roman"/>
                <w:sz w:val="24"/>
                <w:szCs w:val="24"/>
                <w:lang w:eastAsia="en-IN" w:bidi="ml-IN"/>
              </w:rPr>
              <w:t xml:space="preserve"> in Delivery</w:t>
            </w:r>
          </w:p>
        </w:tc>
        <w:tc>
          <w:tcPr>
            <w:tcW w:w="1515" w:type="dxa"/>
            <w:tcBorders>
              <w:top w:val="nil"/>
              <w:left w:val="nil"/>
              <w:bottom w:val="nil"/>
              <w:right w:val="nil"/>
            </w:tcBorders>
          </w:tcPr>
          <w:p w14:paraId="589D1F40" w14:textId="36FEB7C2"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 (26.19%)</w:t>
            </w:r>
          </w:p>
        </w:tc>
        <w:tc>
          <w:tcPr>
            <w:tcW w:w="1417" w:type="dxa"/>
            <w:tcBorders>
              <w:top w:val="nil"/>
              <w:left w:val="nil"/>
              <w:bottom w:val="nil"/>
              <w:right w:val="nil"/>
            </w:tcBorders>
          </w:tcPr>
          <w:p w14:paraId="1369DB0E" w14:textId="32B90243"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73 (34.76%)</w:t>
            </w:r>
          </w:p>
        </w:tc>
        <w:tc>
          <w:tcPr>
            <w:tcW w:w="1559" w:type="dxa"/>
            <w:tcBorders>
              <w:top w:val="nil"/>
              <w:left w:val="nil"/>
              <w:bottom w:val="nil"/>
              <w:right w:val="nil"/>
            </w:tcBorders>
          </w:tcPr>
          <w:p w14:paraId="13ED0DA6" w14:textId="5D781B28"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82 (39.05%)</w:t>
            </w:r>
          </w:p>
        </w:tc>
        <w:tc>
          <w:tcPr>
            <w:tcW w:w="1276" w:type="dxa"/>
            <w:tcBorders>
              <w:top w:val="nil"/>
              <w:left w:val="nil"/>
              <w:bottom w:val="nil"/>
              <w:right w:val="nil"/>
            </w:tcBorders>
          </w:tcPr>
          <w:p w14:paraId="1EC4C33A" w14:textId="4F533FE6"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1B50C74B" w14:textId="77777777" w:rsidTr="00341392">
        <w:tc>
          <w:tcPr>
            <w:tcW w:w="3442" w:type="dxa"/>
            <w:tcBorders>
              <w:top w:val="nil"/>
              <w:left w:val="nil"/>
              <w:bottom w:val="nil"/>
              <w:right w:val="nil"/>
            </w:tcBorders>
            <w:shd w:val="clear" w:color="auto" w:fill="E7E6E6" w:themeFill="background2"/>
          </w:tcPr>
          <w:p w14:paraId="0AF37BDA" w14:textId="4C952B58" w:rsidR="00FD32B6" w:rsidRPr="000B7FD7" w:rsidRDefault="003345A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Openness</w:t>
            </w:r>
            <w:r w:rsidR="00FD32B6">
              <w:rPr>
                <w:rFonts w:ascii="Times New Roman" w:eastAsia="Times New Roman" w:hAnsi="Times New Roman" w:cs="Times New Roman"/>
                <w:sz w:val="24"/>
                <w:szCs w:val="24"/>
                <w:lang w:eastAsia="en-IN" w:bidi="ml-IN"/>
              </w:rPr>
              <w:t xml:space="preserve"> in Pricing/Subsidy</w:t>
            </w:r>
          </w:p>
        </w:tc>
        <w:tc>
          <w:tcPr>
            <w:tcW w:w="1515" w:type="dxa"/>
            <w:tcBorders>
              <w:top w:val="nil"/>
              <w:left w:val="nil"/>
              <w:bottom w:val="nil"/>
              <w:right w:val="nil"/>
            </w:tcBorders>
          </w:tcPr>
          <w:p w14:paraId="39E30115" w14:textId="7D76A075"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32 (15.24%)</w:t>
            </w:r>
          </w:p>
        </w:tc>
        <w:tc>
          <w:tcPr>
            <w:tcW w:w="1417" w:type="dxa"/>
            <w:tcBorders>
              <w:top w:val="nil"/>
              <w:left w:val="nil"/>
              <w:bottom w:val="nil"/>
              <w:right w:val="nil"/>
            </w:tcBorders>
          </w:tcPr>
          <w:p w14:paraId="6C8DA9DC" w14:textId="6D0EC2C8"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51 (24.29%)</w:t>
            </w:r>
          </w:p>
        </w:tc>
        <w:tc>
          <w:tcPr>
            <w:tcW w:w="1559" w:type="dxa"/>
            <w:tcBorders>
              <w:top w:val="nil"/>
              <w:left w:val="nil"/>
              <w:bottom w:val="nil"/>
              <w:right w:val="nil"/>
            </w:tcBorders>
          </w:tcPr>
          <w:p w14:paraId="675B3AD1" w14:textId="00515E07"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127 (60.48%)</w:t>
            </w:r>
          </w:p>
        </w:tc>
        <w:tc>
          <w:tcPr>
            <w:tcW w:w="1276" w:type="dxa"/>
            <w:tcBorders>
              <w:top w:val="nil"/>
              <w:left w:val="nil"/>
              <w:bottom w:val="nil"/>
              <w:right w:val="nil"/>
            </w:tcBorders>
          </w:tcPr>
          <w:p w14:paraId="54AD66E2" w14:textId="47C73644"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32D90418" w14:textId="77777777" w:rsidTr="00341392">
        <w:tc>
          <w:tcPr>
            <w:tcW w:w="3442" w:type="dxa"/>
            <w:tcBorders>
              <w:top w:val="nil"/>
              <w:left w:val="nil"/>
              <w:bottom w:val="nil"/>
              <w:right w:val="nil"/>
            </w:tcBorders>
            <w:shd w:val="clear" w:color="auto" w:fill="E7E6E6" w:themeFill="background2"/>
          </w:tcPr>
          <w:p w14:paraId="04FA3DE6" w14:textId="420AB26A" w:rsidR="00FD32B6" w:rsidRPr="000B7FD7" w:rsidRDefault="00FD32B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Safety </w:t>
            </w:r>
            <w:r w:rsidR="003345A6">
              <w:rPr>
                <w:rFonts w:ascii="Times New Roman" w:eastAsia="Times New Roman" w:hAnsi="Times New Roman" w:cs="Times New Roman"/>
                <w:sz w:val="24"/>
                <w:szCs w:val="24"/>
                <w:lang w:eastAsia="en-IN" w:bidi="ml-IN"/>
              </w:rPr>
              <w:t>Precautions</w:t>
            </w:r>
          </w:p>
        </w:tc>
        <w:tc>
          <w:tcPr>
            <w:tcW w:w="1515" w:type="dxa"/>
            <w:tcBorders>
              <w:top w:val="nil"/>
              <w:left w:val="nil"/>
              <w:bottom w:val="nil"/>
              <w:right w:val="nil"/>
            </w:tcBorders>
          </w:tcPr>
          <w:p w14:paraId="0F255622" w14:textId="081A5614"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13 (6.19%)</w:t>
            </w:r>
          </w:p>
        </w:tc>
        <w:tc>
          <w:tcPr>
            <w:tcW w:w="1417" w:type="dxa"/>
            <w:tcBorders>
              <w:top w:val="nil"/>
              <w:left w:val="nil"/>
              <w:bottom w:val="nil"/>
              <w:right w:val="nil"/>
            </w:tcBorders>
          </w:tcPr>
          <w:p w14:paraId="342376ED" w14:textId="60F701D6"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 (13.33%)</w:t>
            </w:r>
          </w:p>
        </w:tc>
        <w:tc>
          <w:tcPr>
            <w:tcW w:w="1559" w:type="dxa"/>
            <w:tcBorders>
              <w:top w:val="nil"/>
              <w:left w:val="nil"/>
              <w:bottom w:val="nil"/>
              <w:right w:val="nil"/>
            </w:tcBorders>
          </w:tcPr>
          <w:p w14:paraId="517FDD8D" w14:textId="1665A022"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169 (80.48%)</w:t>
            </w:r>
          </w:p>
        </w:tc>
        <w:tc>
          <w:tcPr>
            <w:tcW w:w="1276" w:type="dxa"/>
            <w:tcBorders>
              <w:top w:val="nil"/>
              <w:left w:val="nil"/>
              <w:bottom w:val="nil"/>
              <w:right w:val="nil"/>
            </w:tcBorders>
          </w:tcPr>
          <w:p w14:paraId="266604F5" w14:textId="4079B521"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792BC15A" w14:textId="77777777" w:rsidTr="00341392">
        <w:tc>
          <w:tcPr>
            <w:tcW w:w="3442" w:type="dxa"/>
            <w:tcBorders>
              <w:top w:val="nil"/>
              <w:left w:val="nil"/>
              <w:bottom w:val="nil"/>
              <w:right w:val="nil"/>
            </w:tcBorders>
            <w:shd w:val="clear" w:color="auto" w:fill="E7E6E6" w:themeFill="background2"/>
          </w:tcPr>
          <w:p w14:paraId="4A7EE56F" w14:textId="7734DC41" w:rsidR="00FD32B6" w:rsidRPr="000B7FD7" w:rsidRDefault="00FD32B6"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Customer Care Services</w:t>
            </w:r>
          </w:p>
        </w:tc>
        <w:tc>
          <w:tcPr>
            <w:tcW w:w="1515" w:type="dxa"/>
            <w:tcBorders>
              <w:top w:val="nil"/>
              <w:left w:val="nil"/>
              <w:bottom w:val="nil"/>
              <w:right w:val="nil"/>
            </w:tcBorders>
          </w:tcPr>
          <w:p w14:paraId="0134AF91" w14:textId="5CADE05B"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72 (34.28%)</w:t>
            </w:r>
          </w:p>
        </w:tc>
        <w:tc>
          <w:tcPr>
            <w:tcW w:w="1417" w:type="dxa"/>
            <w:tcBorders>
              <w:top w:val="nil"/>
              <w:left w:val="nil"/>
              <w:bottom w:val="nil"/>
              <w:right w:val="nil"/>
            </w:tcBorders>
          </w:tcPr>
          <w:p w14:paraId="51105D29" w14:textId="78B57CB7"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90 (42.86%)</w:t>
            </w:r>
          </w:p>
        </w:tc>
        <w:tc>
          <w:tcPr>
            <w:tcW w:w="1559" w:type="dxa"/>
            <w:tcBorders>
              <w:top w:val="nil"/>
              <w:left w:val="nil"/>
              <w:bottom w:val="nil"/>
              <w:right w:val="nil"/>
            </w:tcBorders>
          </w:tcPr>
          <w:p w14:paraId="4AE02CD5" w14:textId="6FDFA8A9" w:rsidR="00FD32B6" w:rsidRPr="000B7FD7" w:rsidRDefault="0072258A"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 (22.86%)</w:t>
            </w:r>
          </w:p>
        </w:tc>
        <w:tc>
          <w:tcPr>
            <w:tcW w:w="1276" w:type="dxa"/>
            <w:tcBorders>
              <w:top w:val="nil"/>
              <w:left w:val="nil"/>
              <w:bottom w:val="nil"/>
              <w:right w:val="nil"/>
            </w:tcBorders>
          </w:tcPr>
          <w:p w14:paraId="5D3FF1CA" w14:textId="18269872" w:rsidR="00FD32B6" w:rsidRPr="000B7FD7" w:rsidRDefault="00FD32B6"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r w:rsidR="00586A79" w14:paraId="4EF66F34" w14:textId="77777777" w:rsidTr="00341392">
        <w:tc>
          <w:tcPr>
            <w:tcW w:w="3442" w:type="dxa"/>
            <w:tcBorders>
              <w:top w:val="nil"/>
              <w:left w:val="nil"/>
              <w:right w:val="nil"/>
            </w:tcBorders>
            <w:shd w:val="clear" w:color="auto" w:fill="E7E6E6" w:themeFill="background2"/>
          </w:tcPr>
          <w:p w14:paraId="1EA57F60" w14:textId="0D770CC8" w:rsidR="00586A79" w:rsidRPr="000B7FD7" w:rsidRDefault="00586A79"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Overall Satisfaction</w:t>
            </w:r>
          </w:p>
        </w:tc>
        <w:tc>
          <w:tcPr>
            <w:tcW w:w="1515" w:type="dxa"/>
            <w:tcBorders>
              <w:top w:val="nil"/>
              <w:left w:val="nil"/>
              <w:right w:val="nil"/>
            </w:tcBorders>
          </w:tcPr>
          <w:p w14:paraId="4E144C15" w14:textId="75578F96" w:rsidR="00586A79" w:rsidRPr="000B7FD7" w:rsidRDefault="00586A79" w:rsidP="00341392">
            <w:pPr>
              <w:spacing w:before="100" w:beforeAutospacing="1"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 (18.57%)</w:t>
            </w:r>
          </w:p>
        </w:tc>
        <w:tc>
          <w:tcPr>
            <w:tcW w:w="1417" w:type="dxa"/>
            <w:tcBorders>
              <w:top w:val="nil"/>
              <w:left w:val="nil"/>
              <w:right w:val="nil"/>
            </w:tcBorders>
          </w:tcPr>
          <w:p w14:paraId="62870EF9" w14:textId="4321EECD" w:rsidR="00586A79" w:rsidRPr="000B7FD7" w:rsidRDefault="00586A79" w:rsidP="00341392">
            <w:pPr>
              <w:spacing w:before="100" w:beforeAutospacing="1"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91(43.33%)</w:t>
            </w:r>
          </w:p>
        </w:tc>
        <w:tc>
          <w:tcPr>
            <w:tcW w:w="1559" w:type="dxa"/>
            <w:tcBorders>
              <w:top w:val="nil"/>
              <w:left w:val="nil"/>
              <w:right w:val="nil"/>
            </w:tcBorders>
          </w:tcPr>
          <w:p w14:paraId="41204FF8" w14:textId="105E866F" w:rsidR="00586A79" w:rsidRPr="000B7FD7" w:rsidRDefault="00586A79" w:rsidP="00341392">
            <w:pPr>
              <w:spacing w:before="100" w:beforeAutospacing="1" w:after="100" w:afterAutospacing="1" w:line="276" w:lineRule="auto"/>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 (38.10%)</w:t>
            </w:r>
          </w:p>
        </w:tc>
        <w:tc>
          <w:tcPr>
            <w:tcW w:w="1276" w:type="dxa"/>
            <w:tcBorders>
              <w:top w:val="nil"/>
              <w:left w:val="nil"/>
              <w:right w:val="nil"/>
            </w:tcBorders>
          </w:tcPr>
          <w:p w14:paraId="7BB7A308" w14:textId="1BB2FEA5" w:rsidR="00586A79" w:rsidRPr="000B7FD7" w:rsidRDefault="00586A79" w:rsidP="00341392">
            <w:pPr>
              <w:spacing w:before="100" w:beforeAutospacing="1" w:after="100" w:afterAutospacing="1" w:line="276" w:lineRule="auto"/>
              <w:jc w:val="center"/>
              <w:outlineLvl w:val="1"/>
              <w:rPr>
                <w:rFonts w:ascii="Times New Roman" w:eastAsia="Times New Roman" w:hAnsi="Times New Roman" w:cs="Times New Roman"/>
                <w:sz w:val="24"/>
                <w:szCs w:val="24"/>
                <w:lang w:eastAsia="en-IN" w:bidi="ml-IN"/>
              </w:rPr>
            </w:pPr>
            <w:r w:rsidRPr="00200701">
              <w:rPr>
                <w:rFonts w:ascii="Times New Roman" w:eastAsia="Times New Roman" w:hAnsi="Times New Roman" w:cs="Times New Roman"/>
                <w:lang w:eastAsia="en-IN" w:bidi="ml-IN"/>
              </w:rPr>
              <w:t>210 (100%)</w:t>
            </w:r>
          </w:p>
        </w:tc>
      </w:tr>
    </w:tbl>
    <w:p w14:paraId="0AD989A1" w14:textId="1B3F7FF7" w:rsidR="00D370E5" w:rsidRDefault="001B679D" w:rsidP="005059BB">
      <w:pPr>
        <w:spacing w:after="100" w:afterAutospacing="1" w:line="240" w:lineRule="auto"/>
        <w:outlineLvl w:val="1"/>
        <w:rPr>
          <w:rFonts w:ascii="Times New Roman" w:eastAsia="Times New Roman" w:hAnsi="Times New Roman" w:cs="Times New Roman"/>
          <w:lang w:eastAsia="en-IN" w:bidi="ml-IN"/>
        </w:rPr>
      </w:pPr>
      <w:r w:rsidRPr="000B78CD">
        <w:rPr>
          <w:rFonts w:ascii="Times New Roman" w:eastAsia="Times New Roman" w:hAnsi="Times New Roman" w:cs="Times New Roman"/>
          <w:lang w:eastAsia="en-IN" w:bidi="ml-IN"/>
        </w:rPr>
        <w:t>Source: Primary data</w:t>
      </w:r>
    </w:p>
    <w:p w14:paraId="0FC71363" w14:textId="0B0885D9" w:rsidR="004F6A4C" w:rsidRDefault="004F6A4C" w:rsidP="00340C1A">
      <w:pPr>
        <w:spacing w:after="100" w:afterAutospacing="1" w:line="276" w:lineRule="auto"/>
        <w:jc w:val="both"/>
        <w:outlineLvl w:val="1"/>
        <w:rPr>
          <w:rFonts w:ascii="Times New Roman" w:eastAsia="Times New Roman" w:hAnsi="Times New Roman" w:cs="Times New Roman"/>
          <w:sz w:val="24"/>
          <w:szCs w:val="24"/>
          <w:lang w:eastAsia="en-IN" w:bidi="ml-IN"/>
        </w:rPr>
      </w:pPr>
      <w:r>
        <w:rPr>
          <w:noProof/>
        </w:rPr>
        <w:drawing>
          <wp:inline distT="0" distB="0" distL="0" distR="0" wp14:anchorId="6103815D" wp14:editId="03A6C310">
            <wp:extent cx="5814060" cy="3276600"/>
            <wp:effectExtent l="0" t="0" r="15240" b="0"/>
            <wp:docPr id="1" name="Chart 1">
              <a:extLst xmlns:a="http://schemas.openxmlformats.org/drawingml/2006/main">
                <a:ext uri="{FF2B5EF4-FFF2-40B4-BE49-F238E27FC236}">
                  <a16:creationId xmlns:a16="http://schemas.microsoft.com/office/drawing/2014/main" id="{FC985580-6BA4-4978-8DCB-9F8801AFD5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94315C" w14:textId="65742102" w:rsidR="00C471E7" w:rsidRDefault="00C471E7" w:rsidP="00340C1A">
      <w:pPr>
        <w:spacing w:after="100" w:afterAutospacing="1" w:line="276" w:lineRule="auto"/>
        <w:jc w:val="both"/>
        <w:outlineLvl w:val="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Fig 1. </w:t>
      </w:r>
      <w:r w:rsidRPr="00C471E7">
        <w:rPr>
          <w:rFonts w:ascii="Times New Roman" w:eastAsia="Times New Roman" w:hAnsi="Times New Roman" w:cs="Times New Roman"/>
          <w:sz w:val="24"/>
          <w:szCs w:val="24"/>
          <w:lang w:eastAsia="en-IN" w:bidi="ml-IN"/>
        </w:rPr>
        <w:t>Chart showing satisfaction of LPG consumers regarding varied service quality dimensions</w:t>
      </w:r>
    </w:p>
    <w:p w14:paraId="0BB7D2D8" w14:textId="289CFC9F" w:rsidR="000A1947" w:rsidRDefault="000A1947" w:rsidP="00340C1A">
      <w:pPr>
        <w:spacing w:after="100" w:afterAutospacing="1" w:line="276" w:lineRule="auto"/>
        <w:jc w:val="both"/>
        <w:outlineLvl w:val="1"/>
        <w:rPr>
          <w:rFonts w:ascii="Times New Roman" w:eastAsia="Times New Roman" w:hAnsi="Times New Roman" w:cs="Times New Roman"/>
          <w:sz w:val="24"/>
          <w:szCs w:val="24"/>
          <w:lang w:eastAsia="en-IN" w:bidi="ml-IN"/>
        </w:rPr>
      </w:pPr>
      <w:r w:rsidRPr="000A1947">
        <w:rPr>
          <w:rFonts w:ascii="Times New Roman" w:eastAsia="Times New Roman" w:hAnsi="Times New Roman" w:cs="Times New Roman"/>
          <w:sz w:val="24"/>
          <w:szCs w:val="24"/>
          <w:lang w:eastAsia="en-IN" w:bidi="ml-IN"/>
        </w:rPr>
        <w:t xml:space="preserve">Table 3 demonstrates the satisfaction level respondents regarding the various service quality dimensions. Regarding “safety measures”, while 80.48% of respondents are highly satisfied, it is only 22.86% in case of “customer care service”. While 74.76% of the respondents are highly satisfied in respect of “ease of booking”, 60.48% are highly satisfied regarding “transparency in pricing/subsidy”. Regarding overall satisfaction, </w:t>
      </w:r>
      <w:r w:rsidR="00BF6939">
        <w:rPr>
          <w:rFonts w:ascii="Times New Roman" w:eastAsia="Times New Roman" w:hAnsi="Times New Roman" w:cs="Times New Roman"/>
          <w:sz w:val="24"/>
          <w:szCs w:val="24"/>
          <w:lang w:eastAsia="en-IN" w:bidi="ml-IN"/>
        </w:rPr>
        <w:t>38.1</w:t>
      </w:r>
      <w:r w:rsidRPr="000A1947">
        <w:rPr>
          <w:rFonts w:ascii="Times New Roman" w:eastAsia="Times New Roman" w:hAnsi="Times New Roman" w:cs="Times New Roman"/>
          <w:sz w:val="24"/>
          <w:szCs w:val="24"/>
          <w:lang w:eastAsia="en-IN" w:bidi="ml-IN"/>
        </w:rPr>
        <w:t xml:space="preserve">% </w:t>
      </w:r>
      <w:r w:rsidR="007D13D6">
        <w:rPr>
          <w:rFonts w:ascii="Times New Roman" w:eastAsia="Times New Roman" w:hAnsi="Times New Roman" w:cs="Times New Roman"/>
          <w:sz w:val="24"/>
          <w:szCs w:val="24"/>
          <w:lang w:eastAsia="en-IN" w:bidi="ml-IN"/>
        </w:rPr>
        <w:t>consumers</w:t>
      </w:r>
      <w:r w:rsidRPr="000A1947">
        <w:rPr>
          <w:rFonts w:ascii="Times New Roman" w:eastAsia="Times New Roman" w:hAnsi="Times New Roman" w:cs="Times New Roman"/>
          <w:sz w:val="24"/>
          <w:szCs w:val="24"/>
          <w:lang w:eastAsia="en-IN" w:bidi="ml-IN"/>
        </w:rPr>
        <w:t xml:space="preserve"> are </w:t>
      </w:r>
      <w:r w:rsidR="00BF6939">
        <w:rPr>
          <w:rFonts w:ascii="Times New Roman" w:eastAsia="Times New Roman" w:hAnsi="Times New Roman" w:cs="Times New Roman"/>
          <w:sz w:val="24"/>
          <w:szCs w:val="24"/>
          <w:lang w:eastAsia="en-IN" w:bidi="ml-IN"/>
        </w:rPr>
        <w:t>high</w:t>
      </w:r>
      <w:r w:rsidRPr="000A1947">
        <w:rPr>
          <w:rFonts w:ascii="Times New Roman" w:eastAsia="Times New Roman" w:hAnsi="Times New Roman" w:cs="Times New Roman"/>
          <w:sz w:val="24"/>
          <w:szCs w:val="24"/>
          <w:lang w:eastAsia="en-IN" w:bidi="ml-IN"/>
        </w:rPr>
        <w:t xml:space="preserve">ly satisfied and </w:t>
      </w:r>
      <w:r w:rsidR="00BF6939">
        <w:rPr>
          <w:rFonts w:ascii="Times New Roman" w:eastAsia="Times New Roman" w:hAnsi="Times New Roman" w:cs="Times New Roman"/>
          <w:sz w:val="24"/>
          <w:szCs w:val="24"/>
          <w:lang w:eastAsia="en-IN" w:bidi="ml-IN"/>
        </w:rPr>
        <w:t>43.33</w:t>
      </w:r>
      <w:r w:rsidRPr="000A1947">
        <w:rPr>
          <w:rFonts w:ascii="Times New Roman" w:eastAsia="Times New Roman" w:hAnsi="Times New Roman" w:cs="Times New Roman"/>
          <w:sz w:val="24"/>
          <w:szCs w:val="24"/>
          <w:lang w:eastAsia="en-IN" w:bidi="ml-IN"/>
        </w:rPr>
        <w:t xml:space="preserve">% are </w:t>
      </w:r>
      <w:r w:rsidR="00BF6939">
        <w:rPr>
          <w:rFonts w:ascii="Times New Roman" w:eastAsia="Times New Roman" w:hAnsi="Times New Roman" w:cs="Times New Roman"/>
          <w:sz w:val="24"/>
          <w:szCs w:val="24"/>
          <w:lang w:eastAsia="en-IN" w:bidi="ml-IN"/>
        </w:rPr>
        <w:t>moderately</w:t>
      </w:r>
      <w:r w:rsidRPr="000A1947">
        <w:rPr>
          <w:rFonts w:ascii="Times New Roman" w:eastAsia="Times New Roman" w:hAnsi="Times New Roman" w:cs="Times New Roman"/>
          <w:sz w:val="24"/>
          <w:szCs w:val="24"/>
          <w:lang w:eastAsia="en-IN" w:bidi="ml-IN"/>
        </w:rPr>
        <w:t xml:space="preserve"> satisfied.</w:t>
      </w:r>
    </w:p>
    <w:p w14:paraId="796B5AD8" w14:textId="7D08C9B6" w:rsidR="00025C80" w:rsidRPr="00D464A9" w:rsidRDefault="00284EF0" w:rsidP="00483075">
      <w:pPr>
        <w:spacing w:after="100" w:afterAutospacing="1" w:line="240" w:lineRule="auto"/>
        <w:jc w:val="both"/>
        <w:outlineLvl w:val="1"/>
        <w:rPr>
          <w:rFonts w:ascii="Times New Roman" w:eastAsia="Times New Roman" w:hAnsi="Times New Roman" w:cs="Times New Roman"/>
          <w:b/>
          <w:bCs/>
          <w:sz w:val="24"/>
          <w:szCs w:val="24"/>
          <w:lang w:eastAsia="en-IN" w:bidi="ml-IN"/>
        </w:rPr>
      </w:pPr>
      <w:r>
        <w:rPr>
          <w:rFonts w:ascii="Times New Roman" w:eastAsia="Times New Roman" w:hAnsi="Times New Roman" w:cs="Times New Roman"/>
          <w:b/>
          <w:bCs/>
          <w:sz w:val="24"/>
          <w:szCs w:val="24"/>
          <w:lang w:eastAsia="en-IN" w:bidi="ml-IN"/>
        </w:rPr>
        <w:t>3</w:t>
      </w:r>
      <w:r w:rsidR="00340C1A">
        <w:rPr>
          <w:rFonts w:ascii="Times New Roman" w:eastAsia="Times New Roman" w:hAnsi="Times New Roman" w:cs="Times New Roman"/>
          <w:b/>
          <w:bCs/>
          <w:sz w:val="24"/>
          <w:szCs w:val="24"/>
          <w:lang w:eastAsia="en-IN" w:bidi="ml-IN"/>
        </w:rPr>
        <w:t xml:space="preserve">.3 </w:t>
      </w:r>
      <w:r w:rsidR="00D464A9">
        <w:rPr>
          <w:rFonts w:ascii="Times New Roman" w:eastAsia="Times New Roman" w:hAnsi="Times New Roman" w:cs="Times New Roman"/>
          <w:b/>
          <w:bCs/>
          <w:sz w:val="24"/>
          <w:szCs w:val="24"/>
          <w:lang w:eastAsia="en-IN" w:bidi="ml-IN"/>
        </w:rPr>
        <w:t xml:space="preserve">Cross-tabulation of </w:t>
      </w:r>
      <w:r w:rsidR="00025C80" w:rsidRPr="00D464A9">
        <w:rPr>
          <w:rFonts w:ascii="Times New Roman" w:eastAsia="Times New Roman" w:hAnsi="Times New Roman" w:cs="Times New Roman"/>
          <w:b/>
          <w:bCs/>
          <w:sz w:val="24"/>
          <w:szCs w:val="24"/>
          <w:lang w:eastAsia="en-IN" w:bidi="ml-IN"/>
        </w:rPr>
        <w:t xml:space="preserve">Gender vs. </w:t>
      </w:r>
      <w:r w:rsidR="00BC5518" w:rsidRPr="00D464A9">
        <w:rPr>
          <w:rFonts w:ascii="Times New Roman" w:eastAsia="Times New Roman" w:hAnsi="Times New Roman" w:cs="Times New Roman"/>
          <w:b/>
          <w:bCs/>
          <w:sz w:val="24"/>
          <w:szCs w:val="24"/>
          <w:lang w:eastAsia="en-IN" w:bidi="ml-IN"/>
        </w:rPr>
        <w:t xml:space="preserve">Overall </w:t>
      </w:r>
      <w:r w:rsidR="00025C80" w:rsidRPr="00D464A9">
        <w:rPr>
          <w:rFonts w:ascii="Times New Roman" w:eastAsia="Times New Roman" w:hAnsi="Times New Roman" w:cs="Times New Roman"/>
          <w:b/>
          <w:bCs/>
          <w:sz w:val="24"/>
          <w:szCs w:val="24"/>
          <w:lang w:eastAsia="en-IN" w:bidi="ml-IN"/>
        </w:rPr>
        <w:t>Satisfaction Level</w:t>
      </w:r>
    </w:p>
    <w:p w14:paraId="60C05A4C" w14:textId="40F3C653" w:rsidR="00DD24F1"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bookmarkStart w:id="1" w:name="_Hlk207708102"/>
      <w:r w:rsidRPr="00434AF5">
        <w:rPr>
          <w:rFonts w:ascii="Times New Roman" w:eastAsia="Times New Roman" w:hAnsi="Times New Roman" w:cs="Times New Roman"/>
          <w:b/>
          <w:bCs/>
          <w:i/>
          <w:iCs/>
          <w:sz w:val="24"/>
          <w:szCs w:val="24"/>
          <w:lang w:eastAsia="en-IN" w:bidi="ml-IN"/>
        </w:rPr>
        <w:t>Table 4: Overall satisfaction of LPG consumers across gender</w:t>
      </w:r>
    </w:p>
    <w:tbl>
      <w:tblPr>
        <w:tblStyle w:val="TableGrid"/>
        <w:tblW w:w="0" w:type="auto"/>
        <w:tblInd w:w="-5" w:type="dxa"/>
        <w:tblLook w:val="04A0" w:firstRow="1" w:lastRow="0" w:firstColumn="1" w:lastColumn="0" w:noHBand="0" w:noVBand="1"/>
      </w:tblPr>
      <w:tblGrid>
        <w:gridCol w:w="2699"/>
        <w:gridCol w:w="1984"/>
        <w:gridCol w:w="1843"/>
        <w:gridCol w:w="2410"/>
      </w:tblGrid>
      <w:tr w:rsidR="00B85BA5" w14:paraId="4F2A65FD" w14:textId="77777777" w:rsidTr="00AE5762">
        <w:trPr>
          <w:trHeight w:val="431"/>
        </w:trPr>
        <w:tc>
          <w:tcPr>
            <w:tcW w:w="2699" w:type="dxa"/>
            <w:tcBorders>
              <w:left w:val="nil"/>
              <w:bottom w:val="nil"/>
              <w:right w:val="nil"/>
            </w:tcBorders>
            <w:shd w:val="clear" w:color="auto" w:fill="E7E6E6" w:themeFill="background2"/>
          </w:tcPr>
          <w:bookmarkEnd w:id="1"/>
          <w:p w14:paraId="621ED6CA" w14:textId="61CAFC45" w:rsidR="00B85BA5" w:rsidRPr="00AE5762" w:rsidRDefault="00671841" w:rsidP="00341392">
            <w:pPr>
              <w:pStyle w:val="ListParagraph"/>
              <w:spacing w:before="100" w:beforeAutospacing="1" w:after="100" w:afterAutospacing="1" w:line="276" w:lineRule="auto"/>
              <w:ind w:left="0"/>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lang w:eastAsia="en-IN" w:bidi="ml-IN"/>
              </w:rPr>
              <w:t>Overall Satisfaction Level</w:t>
            </w:r>
          </w:p>
        </w:tc>
        <w:tc>
          <w:tcPr>
            <w:tcW w:w="1984" w:type="dxa"/>
            <w:tcBorders>
              <w:left w:val="nil"/>
              <w:bottom w:val="nil"/>
              <w:right w:val="nil"/>
            </w:tcBorders>
            <w:shd w:val="clear" w:color="auto" w:fill="E7E6E6" w:themeFill="background2"/>
          </w:tcPr>
          <w:p w14:paraId="5422F4F9" w14:textId="3BF07200" w:rsidR="00B85BA5" w:rsidRPr="00AE5762" w:rsidRDefault="00671841"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Male</w:t>
            </w:r>
          </w:p>
        </w:tc>
        <w:tc>
          <w:tcPr>
            <w:tcW w:w="1843" w:type="dxa"/>
            <w:tcBorders>
              <w:left w:val="nil"/>
              <w:bottom w:val="nil"/>
              <w:right w:val="nil"/>
            </w:tcBorders>
            <w:shd w:val="clear" w:color="auto" w:fill="E7E6E6" w:themeFill="background2"/>
          </w:tcPr>
          <w:p w14:paraId="5C1CDC62" w14:textId="37FCAAFA" w:rsidR="00B85BA5" w:rsidRPr="00AE5762" w:rsidRDefault="00671841"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Female</w:t>
            </w:r>
          </w:p>
        </w:tc>
        <w:tc>
          <w:tcPr>
            <w:tcW w:w="2410" w:type="dxa"/>
            <w:tcBorders>
              <w:left w:val="nil"/>
              <w:bottom w:val="nil"/>
              <w:right w:val="nil"/>
            </w:tcBorders>
            <w:shd w:val="clear" w:color="auto" w:fill="E7E6E6" w:themeFill="background2"/>
          </w:tcPr>
          <w:p w14:paraId="5A3F72F7" w14:textId="3D798B42" w:rsidR="00B85BA5" w:rsidRPr="00AE5762" w:rsidRDefault="00B85BA5" w:rsidP="00341392">
            <w:pPr>
              <w:pStyle w:val="ListParagraph"/>
              <w:spacing w:before="100" w:beforeAutospacing="1" w:after="100" w:afterAutospacing="1" w:line="276" w:lineRule="auto"/>
              <w:ind w:left="0"/>
              <w:jc w:val="center"/>
              <w:outlineLvl w:val="2"/>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Total</w:t>
            </w:r>
          </w:p>
        </w:tc>
      </w:tr>
      <w:tr w:rsidR="00B85BA5" w14:paraId="1661B58B" w14:textId="22C95CC9" w:rsidTr="00E149EB">
        <w:trPr>
          <w:trHeight w:val="289"/>
        </w:trPr>
        <w:tc>
          <w:tcPr>
            <w:tcW w:w="2699" w:type="dxa"/>
            <w:tcBorders>
              <w:left w:val="nil"/>
              <w:bottom w:val="nil"/>
              <w:right w:val="nil"/>
            </w:tcBorders>
            <w:shd w:val="clear" w:color="auto" w:fill="E7E6E6" w:themeFill="background2"/>
          </w:tcPr>
          <w:p w14:paraId="338437D4" w14:textId="4FF87690"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Low</w:t>
            </w:r>
            <w:r>
              <w:rPr>
                <w:rFonts w:ascii="Times New Roman" w:eastAsia="Times New Roman" w:hAnsi="Times New Roman" w:cs="Times New Roman"/>
                <w:sz w:val="24"/>
                <w:szCs w:val="24"/>
                <w:lang w:eastAsia="en-IN" w:bidi="ml-IN"/>
              </w:rPr>
              <w:t xml:space="preserve"> (1)</w:t>
            </w:r>
          </w:p>
        </w:tc>
        <w:tc>
          <w:tcPr>
            <w:tcW w:w="1984" w:type="dxa"/>
            <w:tcBorders>
              <w:left w:val="nil"/>
              <w:bottom w:val="nil"/>
              <w:right w:val="nil"/>
            </w:tcBorders>
          </w:tcPr>
          <w:p w14:paraId="725E943B" w14:textId="3C61985C"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22</w:t>
            </w:r>
            <w:r>
              <w:rPr>
                <w:rFonts w:ascii="Times New Roman" w:eastAsia="Times New Roman" w:hAnsi="Times New Roman" w:cs="Times New Roman"/>
                <w:sz w:val="24"/>
                <w:szCs w:val="24"/>
                <w:lang w:eastAsia="en-IN" w:bidi="ml-IN"/>
              </w:rPr>
              <w:t xml:space="preserve"> (56.41%)</w:t>
            </w:r>
          </w:p>
        </w:tc>
        <w:tc>
          <w:tcPr>
            <w:tcW w:w="1843" w:type="dxa"/>
            <w:tcBorders>
              <w:left w:val="nil"/>
              <w:bottom w:val="nil"/>
              <w:right w:val="nil"/>
            </w:tcBorders>
          </w:tcPr>
          <w:p w14:paraId="3169A1EE" w14:textId="634B7AF1"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17</w:t>
            </w:r>
            <w:r>
              <w:rPr>
                <w:rFonts w:ascii="Times New Roman" w:eastAsia="Times New Roman" w:hAnsi="Times New Roman" w:cs="Times New Roman"/>
                <w:sz w:val="24"/>
                <w:szCs w:val="24"/>
                <w:lang w:eastAsia="en-IN" w:bidi="ml-IN"/>
              </w:rPr>
              <w:t xml:space="preserve"> (43.59%)</w:t>
            </w:r>
          </w:p>
        </w:tc>
        <w:tc>
          <w:tcPr>
            <w:tcW w:w="2410" w:type="dxa"/>
            <w:tcBorders>
              <w:left w:val="nil"/>
              <w:bottom w:val="nil"/>
              <w:right w:val="nil"/>
            </w:tcBorders>
          </w:tcPr>
          <w:p w14:paraId="3C760319" w14:textId="359B68F8"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39</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075ABC7A" w14:textId="7693C99E" w:rsidTr="00E149EB">
        <w:trPr>
          <w:trHeight w:val="261"/>
        </w:trPr>
        <w:tc>
          <w:tcPr>
            <w:tcW w:w="2699" w:type="dxa"/>
            <w:tcBorders>
              <w:top w:val="nil"/>
              <w:left w:val="nil"/>
              <w:bottom w:val="nil"/>
              <w:right w:val="nil"/>
            </w:tcBorders>
            <w:shd w:val="clear" w:color="auto" w:fill="E7E6E6" w:themeFill="background2"/>
          </w:tcPr>
          <w:p w14:paraId="3D7E58B5" w14:textId="0EDF7AE9"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Moderate</w:t>
            </w:r>
            <w:r>
              <w:rPr>
                <w:rFonts w:ascii="Times New Roman" w:eastAsia="Times New Roman" w:hAnsi="Times New Roman" w:cs="Times New Roman"/>
                <w:sz w:val="24"/>
                <w:szCs w:val="24"/>
                <w:lang w:eastAsia="en-IN" w:bidi="ml-IN"/>
              </w:rPr>
              <w:t xml:space="preserve"> (2)</w:t>
            </w:r>
          </w:p>
        </w:tc>
        <w:tc>
          <w:tcPr>
            <w:tcW w:w="1984" w:type="dxa"/>
            <w:tcBorders>
              <w:top w:val="nil"/>
              <w:left w:val="nil"/>
              <w:bottom w:val="nil"/>
              <w:right w:val="nil"/>
            </w:tcBorders>
          </w:tcPr>
          <w:p w14:paraId="331DEEF9" w14:textId="7B3A2C0C"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47</w:t>
            </w:r>
            <w:r w:rsidR="00671841">
              <w:rPr>
                <w:rFonts w:ascii="Times New Roman" w:eastAsia="Times New Roman" w:hAnsi="Times New Roman" w:cs="Times New Roman"/>
                <w:sz w:val="24"/>
                <w:szCs w:val="24"/>
                <w:lang w:eastAsia="en-IN" w:bidi="ml-IN"/>
              </w:rPr>
              <w:t xml:space="preserve"> (51.65%)</w:t>
            </w:r>
          </w:p>
        </w:tc>
        <w:tc>
          <w:tcPr>
            <w:tcW w:w="1843" w:type="dxa"/>
            <w:tcBorders>
              <w:top w:val="nil"/>
              <w:left w:val="nil"/>
              <w:bottom w:val="nil"/>
              <w:right w:val="nil"/>
            </w:tcBorders>
          </w:tcPr>
          <w:p w14:paraId="1E658A6B" w14:textId="4A1F876A"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44</w:t>
            </w:r>
            <w:r w:rsidR="00671841">
              <w:rPr>
                <w:rFonts w:ascii="Times New Roman" w:eastAsia="Times New Roman" w:hAnsi="Times New Roman" w:cs="Times New Roman"/>
                <w:sz w:val="24"/>
                <w:szCs w:val="24"/>
                <w:lang w:eastAsia="en-IN" w:bidi="ml-IN"/>
              </w:rPr>
              <w:t xml:space="preserve"> (48.35%)</w:t>
            </w:r>
          </w:p>
        </w:tc>
        <w:tc>
          <w:tcPr>
            <w:tcW w:w="2410" w:type="dxa"/>
            <w:tcBorders>
              <w:top w:val="nil"/>
              <w:left w:val="nil"/>
              <w:bottom w:val="nil"/>
              <w:right w:val="nil"/>
            </w:tcBorders>
          </w:tcPr>
          <w:p w14:paraId="387BFB0C" w14:textId="79B876D6"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91</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68DC8A18" w14:textId="1572F10B" w:rsidTr="00E149EB">
        <w:trPr>
          <w:trHeight w:val="237"/>
        </w:trPr>
        <w:tc>
          <w:tcPr>
            <w:tcW w:w="2699" w:type="dxa"/>
            <w:tcBorders>
              <w:top w:val="nil"/>
              <w:left w:val="nil"/>
              <w:bottom w:val="nil"/>
              <w:right w:val="nil"/>
            </w:tcBorders>
            <w:shd w:val="clear" w:color="auto" w:fill="E7E6E6" w:themeFill="background2"/>
          </w:tcPr>
          <w:p w14:paraId="3EFD41E1" w14:textId="64D23470" w:rsidR="00B85BA5" w:rsidRPr="00DD24F1"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High</w:t>
            </w:r>
            <w:r>
              <w:rPr>
                <w:rFonts w:ascii="Times New Roman" w:eastAsia="Times New Roman" w:hAnsi="Times New Roman" w:cs="Times New Roman"/>
                <w:sz w:val="24"/>
                <w:szCs w:val="24"/>
                <w:lang w:eastAsia="en-IN" w:bidi="ml-IN"/>
              </w:rPr>
              <w:t xml:space="preserve"> (3)</w:t>
            </w:r>
          </w:p>
        </w:tc>
        <w:tc>
          <w:tcPr>
            <w:tcW w:w="1984" w:type="dxa"/>
            <w:tcBorders>
              <w:top w:val="nil"/>
              <w:left w:val="nil"/>
              <w:bottom w:val="nil"/>
              <w:right w:val="nil"/>
            </w:tcBorders>
          </w:tcPr>
          <w:p w14:paraId="14D51900" w14:textId="0B5A2F6E"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4</w:t>
            </w:r>
            <w:r w:rsidR="00671841">
              <w:rPr>
                <w:rFonts w:ascii="Times New Roman" w:eastAsia="Times New Roman" w:hAnsi="Times New Roman" w:cs="Times New Roman"/>
                <w:sz w:val="24"/>
                <w:szCs w:val="24"/>
                <w:lang w:eastAsia="en-IN" w:bidi="ml-IN"/>
              </w:rPr>
              <w:t>5 (56.25%)</w:t>
            </w:r>
          </w:p>
        </w:tc>
        <w:tc>
          <w:tcPr>
            <w:tcW w:w="1843" w:type="dxa"/>
            <w:tcBorders>
              <w:top w:val="nil"/>
              <w:left w:val="nil"/>
              <w:bottom w:val="nil"/>
              <w:right w:val="nil"/>
            </w:tcBorders>
          </w:tcPr>
          <w:p w14:paraId="4E2CDAAF" w14:textId="4204B84F"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3</w:t>
            </w:r>
            <w:r w:rsidR="00671841">
              <w:rPr>
                <w:rFonts w:ascii="Times New Roman" w:eastAsia="Times New Roman" w:hAnsi="Times New Roman" w:cs="Times New Roman"/>
                <w:sz w:val="24"/>
                <w:szCs w:val="24"/>
                <w:lang w:eastAsia="en-IN" w:bidi="ml-IN"/>
              </w:rPr>
              <w:t>5 (43.75%)</w:t>
            </w:r>
          </w:p>
        </w:tc>
        <w:tc>
          <w:tcPr>
            <w:tcW w:w="2410" w:type="dxa"/>
            <w:tcBorders>
              <w:top w:val="nil"/>
              <w:left w:val="nil"/>
              <w:bottom w:val="nil"/>
              <w:right w:val="nil"/>
            </w:tcBorders>
          </w:tcPr>
          <w:p w14:paraId="29CE4291" w14:textId="0FE30477" w:rsidR="00B85BA5" w:rsidRPr="00DD24F1"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DD24F1">
              <w:rPr>
                <w:rFonts w:ascii="Times New Roman" w:eastAsia="Times New Roman" w:hAnsi="Times New Roman" w:cs="Times New Roman"/>
                <w:sz w:val="24"/>
                <w:szCs w:val="24"/>
                <w:lang w:eastAsia="en-IN" w:bidi="ml-IN"/>
              </w:rPr>
              <w:t>80</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B85BA5" w14:paraId="78EB1D60" w14:textId="13B19661" w:rsidTr="00E149EB">
        <w:trPr>
          <w:trHeight w:val="271"/>
        </w:trPr>
        <w:tc>
          <w:tcPr>
            <w:tcW w:w="2699" w:type="dxa"/>
            <w:tcBorders>
              <w:top w:val="nil"/>
              <w:left w:val="nil"/>
              <w:bottom w:val="nil"/>
              <w:right w:val="nil"/>
            </w:tcBorders>
            <w:shd w:val="clear" w:color="auto" w:fill="E7E6E6" w:themeFill="background2"/>
          </w:tcPr>
          <w:p w14:paraId="6FAA9741" w14:textId="53303292" w:rsidR="00B85BA5" w:rsidRPr="007B2412" w:rsidRDefault="00B85BA5"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Total</w:t>
            </w:r>
          </w:p>
        </w:tc>
        <w:tc>
          <w:tcPr>
            <w:tcW w:w="1984" w:type="dxa"/>
            <w:tcBorders>
              <w:top w:val="nil"/>
              <w:left w:val="nil"/>
              <w:bottom w:val="nil"/>
              <w:right w:val="nil"/>
            </w:tcBorders>
          </w:tcPr>
          <w:p w14:paraId="7E797EF6" w14:textId="1F41CE06"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11</w:t>
            </w:r>
            <w:r w:rsidR="00671841">
              <w:rPr>
                <w:rFonts w:ascii="Times New Roman" w:eastAsia="Times New Roman" w:hAnsi="Times New Roman" w:cs="Times New Roman"/>
                <w:sz w:val="24"/>
                <w:szCs w:val="24"/>
                <w:lang w:eastAsia="en-IN" w:bidi="ml-IN"/>
              </w:rPr>
              <w:t>4 (54.29%)</w:t>
            </w:r>
          </w:p>
        </w:tc>
        <w:tc>
          <w:tcPr>
            <w:tcW w:w="1843" w:type="dxa"/>
            <w:tcBorders>
              <w:top w:val="nil"/>
              <w:left w:val="nil"/>
              <w:bottom w:val="nil"/>
              <w:right w:val="nil"/>
            </w:tcBorders>
          </w:tcPr>
          <w:p w14:paraId="1608A85E" w14:textId="203C9F20"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9</w:t>
            </w:r>
            <w:r w:rsidR="00671841">
              <w:rPr>
                <w:rFonts w:ascii="Times New Roman" w:eastAsia="Times New Roman" w:hAnsi="Times New Roman" w:cs="Times New Roman"/>
                <w:sz w:val="24"/>
                <w:szCs w:val="24"/>
                <w:lang w:eastAsia="en-IN" w:bidi="ml-IN"/>
              </w:rPr>
              <w:t>6 (45.71%)</w:t>
            </w:r>
          </w:p>
        </w:tc>
        <w:tc>
          <w:tcPr>
            <w:tcW w:w="2410" w:type="dxa"/>
            <w:tcBorders>
              <w:top w:val="nil"/>
              <w:left w:val="nil"/>
              <w:bottom w:val="nil"/>
              <w:right w:val="nil"/>
            </w:tcBorders>
          </w:tcPr>
          <w:p w14:paraId="652FE182" w14:textId="62FB5718" w:rsidR="00B85BA5" w:rsidRPr="007B2412" w:rsidRDefault="00B85BA5"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sidRPr="007B2412">
              <w:rPr>
                <w:rFonts w:ascii="Times New Roman" w:eastAsia="Times New Roman" w:hAnsi="Times New Roman" w:cs="Times New Roman"/>
                <w:sz w:val="24"/>
                <w:szCs w:val="24"/>
                <w:lang w:eastAsia="en-IN" w:bidi="ml-IN"/>
              </w:rPr>
              <w:t>210</w:t>
            </w:r>
            <w:r>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w:t>
            </w:r>
          </w:p>
        </w:tc>
      </w:tr>
      <w:tr w:rsidR="009B5553" w14:paraId="05A0FB24" w14:textId="77777777" w:rsidTr="00E149EB">
        <w:trPr>
          <w:trHeight w:val="233"/>
        </w:trPr>
        <w:tc>
          <w:tcPr>
            <w:tcW w:w="2699" w:type="dxa"/>
            <w:tcBorders>
              <w:top w:val="nil"/>
              <w:left w:val="nil"/>
              <w:bottom w:val="single" w:sz="4" w:space="0" w:color="auto"/>
              <w:right w:val="nil"/>
            </w:tcBorders>
            <w:shd w:val="clear" w:color="auto" w:fill="E7E6E6" w:themeFill="background2"/>
          </w:tcPr>
          <w:p w14:paraId="012E533E" w14:textId="353E8870" w:rsidR="009B5553" w:rsidRPr="007B2412" w:rsidRDefault="009B5553" w:rsidP="00E149EB">
            <w:pPr>
              <w:pStyle w:val="ListParagraph"/>
              <w:spacing w:before="100" w:beforeAutospacing="1" w:after="100" w:afterAutospacing="1" w:line="276" w:lineRule="auto"/>
              <w:ind w:left="0"/>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lastRenderedPageBreak/>
              <w:t>Mean Score</w:t>
            </w:r>
          </w:p>
        </w:tc>
        <w:tc>
          <w:tcPr>
            <w:tcW w:w="1984" w:type="dxa"/>
            <w:tcBorders>
              <w:top w:val="nil"/>
              <w:left w:val="nil"/>
              <w:bottom w:val="single" w:sz="4" w:space="0" w:color="auto"/>
              <w:right w:val="nil"/>
            </w:tcBorders>
          </w:tcPr>
          <w:p w14:paraId="693C22E6" w14:textId="58496F1E"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2.2018</w:t>
            </w:r>
          </w:p>
        </w:tc>
        <w:tc>
          <w:tcPr>
            <w:tcW w:w="1843" w:type="dxa"/>
            <w:tcBorders>
              <w:top w:val="nil"/>
              <w:left w:val="nil"/>
              <w:bottom w:val="single" w:sz="4" w:space="0" w:color="auto"/>
              <w:right w:val="nil"/>
            </w:tcBorders>
          </w:tcPr>
          <w:p w14:paraId="4313C64B" w14:textId="2000F82D"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2.1875</w:t>
            </w:r>
          </w:p>
        </w:tc>
        <w:tc>
          <w:tcPr>
            <w:tcW w:w="2410" w:type="dxa"/>
            <w:tcBorders>
              <w:top w:val="nil"/>
              <w:left w:val="nil"/>
              <w:bottom w:val="single" w:sz="4" w:space="0" w:color="auto"/>
              <w:right w:val="nil"/>
            </w:tcBorders>
          </w:tcPr>
          <w:p w14:paraId="68AB1066" w14:textId="3F15C66F" w:rsidR="009B5553" w:rsidRPr="007B2412" w:rsidRDefault="009B5553" w:rsidP="00E149EB">
            <w:pPr>
              <w:pStyle w:val="ListParagraph"/>
              <w:spacing w:before="100" w:beforeAutospacing="1" w:after="100" w:afterAutospacing="1" w:line="276" w:lineRule="auto"/>
              <w:ind w:left="0"/>
              <w:jc w:val="right"/>
              <w:outlineLvl w:val="2"/>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49F858DD" w14:textId="5D3B3F23"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44F21508" w14:textId="14643C5D" w:rsidR="006475E0" w:rsidRPr="006475E0" w:rsidRDefault="006475E0" w:rsidP="00463180">
      <w:pPr>
        <w:spacing w:after="100" w:afterAutospacing="1" w:line="240" w:lineRule="auto"/>
        <w:jc w:val="both"/>
        <w:rPr>
          <w:rFonts w:ascii="Times New Roman" w:eastAsia="Times New Roman" w:hAnsi="Times New Roman" w:cs="Times New Roman"/>
          <w:sz w:val="24"/>
          <w:szCs w:val="24"/>
          <w:lang w:eastAsia="en-IN" w:bidi="ml-IN"/>
        </w:rPr>
      </w:pPr>
      <w:r w:rsidRPr="006475E0">
        <w:rPr>
          <w:rFonts w:ascii="Times New Roman" w:eastAsia="Times New Roman" w:hAnsi="Times New Roman" w:cs="Times New Roman"/>
          <w:sz w:val="24"/>
          <w:szCs w:val="24"/>
          <w:lang w:eastAsia="en-IN" w:bidi="ml-IN"/>
        </w:rPr>
        <w:t xml:space="preserve">Table 4 </w:t>
      </w:r>
      <w:r w:rsidR="00463180">
        <w:rPr>
          <w:rFonts w:ascii="Times New Roman" w:eastAsia="Times New Roman" w:hAnsi="Times New Roman" w:cs="Times New Roman"/>
          <w:sz w:val="24"/>
          <w:szCs w:val="24"/>
          <w:lang w:eastAsia="en-IN" w:bidi="ml-IN"/>
        </w:rPr>
        <w:t>state</w:t>
      </w:r>
      <w:r w:rsidRPr="006475E0">
        <w:rPr>
          <w:rFonts w:ascii="Times New Roman" w:eastAsia="Times New Roman" w:hAnsi="Times New Roman" w:cs="Times New Roman"/>
          <w:sz w:val="24"/>
          <w:szCs w:val="24"/>
          <w:lang w:eastAsia="en-IN" w:bidi="ml-IN"/>
        </w:rPr>
        <w:t xml:space="preserve">s that the </w:t>
      </w:r>
      <w:r w:rsidR="00463180">
        <w:rPr>
          <w:rFonts w:ascii="Times New Roman" w:eastAsia="Times New Roman" w:hAnsi="Times New Roman" w:cs="Times New Roman"/>
          <w:sz w:val="24"/>
          <w:szCs w:val="24"/>
          <w:lang w:eastAsia="en-IN" w:bidi="ml-IN"/>
        </w:rPr>
        <w:t xml:space="preserve">males are comparatively more satisfied than female regarding the </w:t>
      </w:r>
      <w:r w:rsidRPr="006475E0">
        <w:rPr>
          <w:rFonts w:ascii="Times New Roman" w:eastAsia="Times New Roman" w:hAnsi="Times New Roman" w:cs="Times New Roman"/>
          <w:sz w:val="24"/>
          <w:szCs w:val="24"/>
          <w:lang w:eastAsia="en-IN" w:bidi="ml-IN"/>
        </w:rPr>
        <w:t>overall consumer satisfaction</w:t>
      </w:r>
      <w:r w:rsidR="00463180">
        <w:rPr>
          <w:rFonts w:ascii="Times New Roman" w:eastAsia="Times New Roman" w:hAnsi="Times New Roman" w:cs="Times New Roman"/>
          <w:sz w:val="24"/>
          <w:szCs w:val="24"/>
          <w:lang w:eastAsia="en-IN" w:bidi="ml-IN"/>
        </w:rPr>
        <w:t>.</w:t>
      </w:r>
      <w:r w:rsidRPr="006475E0">
        <w:rPr>
          <w:rFonts w:ascii="Times New Roman" w:eastAsia="Times New Roman" w:hAnsi="Times New Roman" w:cs="Times New Roman"/>
          <w:sz w:val="24"/>
          <w:szCs w:val="24"/>
          <w:lang w:eastAsia="en-IN" w:bidi="ml-IN"/>
        </w:rPr>
        <w:t xml:space="preserve"> </w:t>
      </w:r>
    </w:p>
    <w:p w14:paraId="5F334596" w14:textId="3D68C201" w:rsidR="003E261E" w:rsidRPr="009A097E" w:rsidRDefault="009A097E" w:rsidP="009A097E">
      <w:pPr>
        <w:spacing w:before="100" w:beforeAutospacing="1" w:after="0" w:line="240" w:lineRule="auto"/>
        <w:jc w:val="both"/>
        <w:rPr>
          <w:rFonts w:ascii="Times New Roman" w:eastAsia="Times New Roman" w:hAnsi="Times New Roman" w:cs="Times New Roman"/>
          <w:b/>
          <w:bCs/>
          <w:i/>
          <w:iCs/>
          <w:sz w:val="32"/>
          <w:szCs w:val="32"/>
          <w:lang w:eastAsia="en-IN" w:bidi="ml-IN"/>
        </w:rPr>
      </w:pPr>
      <w:bookmarkStart w:id="2" w:name="_Hlk207708931"/>
      <w:r w:rsidRPr="009A097E">
        <w:rPr>
          <w:rFonts w:ascii="Times New Roman" w:eastAsia="Times New Roman" w:hAnsi="Times New Roman" w:cs="Times New Roman"/>
          <w:b/>
          <w:bCs/>
          <w:i/>
          <w:iCs/>
          <w:sz w:val="24"/>
          <w:szCs w:val="24"/>
          <w:lang w:eastAsia="en-IN" w:bidi="ml-IN"/>
        </w:rPr>
        <w:t xml:space="preserve">Table 5: </w:t>
      </w:r>
      <w:r w:rsidR="006A01C3" w:rsidRPr="009A097E">
        <w:rPr>
          <w:rFonts w:ascii="Times New Roman" w:eastAsia="Times New Roman" w:hAnsi="Times New Roman" w:cs="Times New Roman"/>
          <w:b/>
          <w:bCs/>
          <w:i/>
          <w:iCs/>
          <w:sz w:val="24"/>
          <w:szCs w:val="24"/>
          <w:lang w:eastAsia="en-IN" w:bidi="ml-IN"/>
        </w:rPr>
        <w:t>Chi-square</w:t>
      </w:r>
      <w:r>
        <w:rPr>
          <w:rFonts w:ascii="Times New Roman" w:eastAsia="Times New Roman" w:hAnsi="Times New Roman" w:cs="Times New Roman"/>
          <w:b/>
          <w:bCs/>
          <w:i/>
          <w:iCs/>
          <w:sz w:val="24"/>
          <w:szCs w:val="24"/>
          <w:lang w:eastAsia="en-IN" w:bidi="ml-IN"/>
        </w:rPr>
        <w:t xml:space="preserve"> </w:t>
      </w:r>
      <w:r w:rsidR="006A01C3" w:rsidRPr="009A097E">
        <w:rPr>
          <w:rFonts w:ascii="Times New Roman" w:eastAsia="Times New Roman" w:hAnsi="Times New Roman" w:cs="Times New Roman"/>
          <w:b/>
          <w:bCs/>
          <w:i/>
          <w:iCs/>
          <w:sz w:val="24"/>
          <w:szCs w:val="24"/>
          <w:lang w:eastAsia="en-IN" w:bidi="ml-IN"/>
        </w:rPr>
        <w:t>results</w:t>
      </w:r>
      <w:r w:rsidR="00816BF6" w:rsidRPr="009A097E">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gender and </w:t>
      </w:r>
      <w:r w:rsidR="00EA630A">
        <w:rPr>
          <w:rFonts w:ascii="Times New Roman" w:eastAsia="Times New Roman" w:hAnsi="Times New Roman" w:cs="Times New Roman"/>
          <w:b/>
          <w:bCs/>
          <w:i/>
          <w:iCs/>
          <w:sz w:val="24"/>
          <w:szCs w:val="24"/>
          <w:lang w:eastAsia="en-IN" w:bidi="ml-IN"/>
        </w:rPr>
        <w:t>satisfaction-</w:t>
      </w:r>
      <w:r w:rsidRPr="009A097E">
        <w:rPr>
          <w:rFonts w:ascii="Times New Roman" w:eastAsia="Times New Roman" w:hAnsi="Times New Roman" w:cs="Times New Roman"/>
          <w:b/>
          <w:bCs/>
          <w:i/>
          <w:iCs/>
          <w:sz w:val="24"/>
          <w:szCs w:val="24"/>
          <w:lang w:eastAsia="en-IN" w:bidi="ml-IN"/>
        </w:rPr>
        <w:t>level of LPG consumers</w:t>
      </w:r>
    </w:p>
    <w:tbl>
      <w:tblPr>
        <w:tblStyle w:val="TableGrid"/>
        <w:tblW w:w="0" w:type="auto"/>
        <w:tblLook w:val="04A0" w:firstRow="1" w:lastRow="0" w:firstColumn="1" w:lastColumn="0" w:noHBand="0" w:noVBand="1"/>
      </w:tblPr>
      <w:tblGrid>
        <w:gridCol w:w="3261"/>
        <w:gridCol w:w="992"/>
        <w:gridCol w:w="850"/>
        <w:gridCol w:w="3828"/>
      </w:tblGrid>
      <w:tr w:rsidR="003E261E" w14:paraId="4CA7AD59" w14:textId="77777777" w:rsidTr="00340C1A">
        <w:trPr>
          <w:trHeight w:val="399"/>
        </w:trPr>
        <w:tc>
          <w:tcPr>
            <w:tcW w:w="3261" w:type="dxa"/>
            <w:tcBorders>
              <w:left w:val="nil"/>
              <w:bottom w:val="single" w:sz="4" w:space="0" w:color="auto"/>
              <w:right w:val="nil"/>
            </w:tcBorders>
            <w:shd w:val="clear" w:color="auto" w:fill="E7E6E6" w:themeFill="background2"/>
          </w:tcPr>
          <w:bookmarkEnd w:id="2"/>
          <w:p w14:paraId="4F0A42FF" w14:textId="65F315FC"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992" w:type="dxa"/>
            <w:tcBorders>
              <w:left w:val="nil"/>
              <w:bottom w:val="single" w:sz="4" w:space="0" w:color="auto"/>
              <w:right w:val="nil"/>
            </w:tcBorders>
            <w:shd w:val="clear" w:color="auto" w:fill="E7E6E6" w:themeFill="background2"/>
          </w:tcPr>
          <w:p w14:paraId="57B90980" w14:textId="2B76A55B" w:rsidR="003E261E" w:rsidRPr="004C7EB1" w:rsidRDefault="00EA630A"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6A01C3" w:rsidRPr="004C7EB1">
              <w:rPr>
                <w:rFonts w:ascii="Times New Roman" w:eastAsia="Times New Roman" w:hAnsi="Times New Roman" w:cs="Times New Roman"/>
                <w:b/>
                <w:bCs/>
                <w:lang w:eastAsia="en-IN" w:bidi="ml-IN"/>
              </w:rPr>
              <w:t>alue</w:t>
            </w:r>
          </w:p>
        </w:tc>
        <w:tc>
          <w:tcPr>
            <w:tcW w:w="850" w:type="dxa"/>
            <w:tcBorders>
              <w:left w:val="nil"/>
              <w:bottom w:val="single" w:sz="4" w:space="0" w:color="auto"/>
              <w:right w:val="nil"/>
            </w:tcBorders>
            <w:shd w:val="clear" w:color="auto" w:fill="E7E6E6" w:themeFill="background2"/>
          </w:tcPr>
          <w:p w14:paraId="70AE5DAC" w14:textId="7E37D02A"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828" w:type="dxa"/>
            <w:tcBorders>
              <w:left w:val="nil"/>
              <w:bottom w:val="single" w:sz="4" w:space="0" w:color="auto"/>
              <w:right w:val="nil"/>
            </w:tcBorders>
            <w:shd w:val="clear" w:color="auto" w:fill="E7E6E6" w:themeFill="background2"/>
          </w:tcPr>
          <w:p w14:paraId="6C4C7815" w14:textId="1728FD76" w:rsidR="003E261E" w:rsidRPr="004C7EB1" w:rsidRDefault="006A01C3" w:rsidP="00340C1A">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EA630A">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EA630A">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3E261E" w14:paraId="6E947725" w14:textId="77777777" w:rsidTr="00340C1A">
        <w:trPr>
          <w:trHeight w:val="277"/>
        </w:trPr>
        <w:tc>
          <w:tcPr>
            <w:tcW w:w="3261" w:type="dxa"/>
            <w:tcBorders>
              <w:left w:val="nil"/>
              <w:bottom w:val="nil"/>
              <w:right w:val="nil"/>
            </w:tcBorders>
            <w:shd w:val="clear" w:color="auto" w:fill="E7E6E6" w:themeFill="background2"/>
          </w:tcPr>
          <w:p w14:paraId="57B20294" w14:textId="25570831"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EA630A">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EA630A">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992" w:type="dxa"/>
            <w:tcBorders>
              <w:left w:val="nil"/>
              <w:bottom w:val="nil"/>
              <w:right w:val="nil"/>
            </w:tcBorders>
          </w:tcPr>
          <w:p w14:paraId="6319BA09" w14:textId="631896FF"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450</w:t>
            </w:r>
          </w:p>
        </w:tc>
        <w:tc>
          <w:tcPr>
            <w:tcW w:w="850" w:type="dxa"/>
            <w:tcBorders>
              <w:left w:val="nil"/>
              <w:bottom w:val="nil"/>
              <w:right w:val="nil"/>
            </w:tcBorders>
          </w:tcPr>
          <w:p w14:paraId="6D02D60A" w14:textId="52270069"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828" w:type="dxa"/>
            <w:tcBorders>
              <w:left w:val="nil"/>
              <w:bottom w:val="nil"/>
              <w:right w:val="nil"/>
            </w:tcBorders>
          </w:tcPr>
          <w:p w14:paraId="20DA379E" w14:textId="0E2292A3"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798</w:t>
            </w:r>
          </w:p>
        </w:tc>
      </w:tr>
      <w:tr w:rsidR="003E261E" w14:paraId="7A6D45BA" w14:textId="77777777" w:rsidTr="00340C1A">
        <w:trPr>
          <w:trHeight w:val="249"/>
        </w:trPr>
        <w:tc>
          <w:tcPr>
            <w:tcW w:w="3261" w:type="dxa"/>
            <w:tcBorders>
              <w:top w:val="nil"/>
              <w:left w:val="nil"/>
              <w:bottom w:val="nil"/>
              <w:right w:val="nil"/>
            </w:tcBorders>
            <w:shd w:val="clear" w:color="auto" w:fill="E7E6E6" w:themeFill="background2"/>
          </w:tcPr>
          <w:p w14:paraId="50ABC2F9" w14:textId="303B3B43"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Likelihood</w:t>
            </w:r>
            <w:r w:rsidR="00EA630A">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992" w:type="dxa"/>
            <w:tcBorders>
              <w:top w:val="nil"/>
              <w:left w:val="nil"/>
              <w:bottom w:val="nil"/>
              <w:right w:val="nil"/>
            </w:tcBorders>
          </w:tcPr>
          <w:p w14:paraId="6863A019" w14:textId="2CC454D0"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450</w:t>
            </w:r>
          </w:p>
        </w:tc>
        <w:tc>
          <w:tcPr>
            <w:tcW w:w="850" w:type="dxa"/>
            <w:tcBorders>
              <w:top w:val="nil"/>
              <w:left w:val="nil"/>
              <w:bottom w:val="nil"/>
              <w:right w:val="nil"/>
            </w:tcBorders>
          </w:tcPr>
          <w:p w14:paraId="5101D086" w14:textId="3D4792D6"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p>
        </w:tc>
        <w:tc>
          <w:tcPr>
            <w:tcW w:w="3828" w:type="dxa"/>
            <w:tcBorders>
              <w:top w:val="nil"/>
              <w:left w:val="nil"/>
              <w:bottom w:val="nil"/>
              <w:right w:val="nil"/>
            </w:tcBorders>
          </w:tcPr>
          <w:p w14:paraId="4DA97EAB" w14:textId="2C6E48C3"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798</w:t>
            </w:r>
          </w:p>
        </w:tc>
      </w:tr>
      <w:tr w:rsidR="003E261E" w14:paraId="28BB43BF" w14:textId="77777777" w:rsidTr="00340C1A">
        <w:trPr>
          <w:trHeight w:val="353"/>
        </w:trPr>
        <w:tc>
          <w:tcPr>
            <w:tcW w:w="3261" w:type="dxa"/>
            <w:tcBorders>
              <w:top w:val="nil"/>
              <w:left w:val="nil"/>
              <w:bottom w:val="nil"/>
              <w:right w:val="nil"/>
            </w:tcBorders>
            <w:shd w:val="clear" w:color="auto" w:fill="E7E6E6" w:themeFill="background2"/>
          </w:tcPr>
          <w:p w14:paraId="4D18E815" w14:textId="322AD70E"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EA630A">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EA630A">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992" w:type="dxa"/>
            <w:tcBorders>
              <w:top w:val="nil"/>
              <w:left w:val="nil"/>
              <w:bottom w:val="nil"/>
              <w:right w:val="nil"/>
            </w:tcBorders>
          </w:tcPr>
          <w:p w14:paraId="4F8C3CAD" w14:textId="379D5EFC"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w:t>
            </w:r>
            <w:r w:rsidR="00FC2C27">
              <w:rPr>
                <w:rFonts w:ascii="Times New Roman" w:eastAsia="Times New Roman" w:hAnsi="Times New Roman" w:cs="Times New Roman"/>
                <w:sz w:val="24"/>
                <w:szCs w:val="24"/>
                <w:lang w:eastAsia="en-IN" w:bidi="ml-IN"/>
              </w:rPr>
              <w:t>54</w:t>
            </w:r>
          </w:p>
        </w:tc>
        <w:tc>
          <w:tcPr>
            <w:tcW w:w="850" w:type="dxa"/>
            <w:tcBorders>
              <w:top w:val="nil"/>
              <w:left w:val="nil"/>
              <w:bottom w:val="nil"/>
              <w:right w:val="nil"/>
            </w:tcBorders>
          </w:tcPr>
          <w:p w14:paraId="5200AAE3" w14:textId="7DD8FBA6"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828" w:type="dxa"/>
            <w:tcBorders>
              <w:top w:val="nil"/>
              <w:left w:val="nil"/>
              <w:bottom w:val="nil"/>
              <w:right w:val="nil"/>
            </w:tcBorders>
          </w:tcPr>
          <w:p w14:paraId="7EA8B1D5" w14:textId="2B2B6539"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FC2C27">
              <w:rPr>
                <w:rFonts w:ascii="Times New Roman" w:eastAsia="Times New Roman" w:hAnsi="Times New Roman" w:cs="Times New Roman"/>
                <w:sz w:val="24"/>
                <w:szCs w:val="24"/>
                <w:lang w:eastAsia="en-IN" w:bidi="ml-IN"/>
              </w:rPr>
              <w:t>816</w:t>
            </w:r>
          </w:p>
        </w:tc>
      </w:tr>
      <w:tr w:rsidR="003E261E" w14:paraId="7E07B401" w14:textId="77777777" w:rsidTr="00C97F2B">
        <w:tc>
          <w:tcPr>
            <w:tcW w:w="3261" w:type="dxa"/>
            <w:tcBorders>
              <w:top w:val="nil"/>
              <w:left w:val="nil"/>
              <w:right w:val="nil"/>
            </w:tcBorders>
            <w:shd w:val="clear" w:color="auto" w:fill="E7E6E6" w:themeFill="background2"/>
          </w:tcPr>
          <w:p w14:paraId="3322CA88" w14:textId="3A8FFCDF" w:rsidR="003E261E" w:rsidRDefault="006A01C3" w:rsidP="00340C1A">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EA630A">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EA630A">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EA630A">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992" w:type="dxa"/>
            <w:tcBorders>
              <w:top w:val="nil"/>
              <w:left w:val="nil"/>
              <w:right w:val="nil"/>
            </w:tcBorders>
          </w:tcPr>
          <w:p w14:paraId="58C09C92" w14:textId="736BA96D" w:rsidR="003E261E" w:rsidRDefault="006A01C3"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850" w:type="dxa"/>
            <w:tcBorders>
              <w:top w:val="nil"/>
              <w:left w:val="nil"/>
              <w:right w:val="nil"/>
            </w:tcBorders>
          </w:tcPr>
          <w:p w14:paraId="70436CB8" w14:textId="77777777" w:rsidR="003E261E" w:rsidRDefault="003E261E"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c>
          <w:tcPr>
            <w:tcW w:w="3828" w:type="dxa"/>
            <w:tcBorders>
              <w:top w:val="nil"/>
              <w:left w:val="nil"/>
              <w:right w:val="nil"/>
            </w:tcBorders>
          </w:tcPr>
          <w:p w14:paraId="65AECD52" w14:textId="77777777" w:rsidR="003E261E" w:rsidRDefault="003E261E" w:rsidP="00340C1A">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r>
    </w:tbl>
    <w:p w14:paraId="2FB82140" w14:textId="77777777" w:rsidR="00340C1A" w:rsidRPr="00340C1A" w:rsidRDefault="00FE00E4" w:rsidP="00340C1A">
      <w:pPr>
        <w:spacing w:before="100" w:beforeAutospacing="1" w:after="100" w:afterAutospacing="1" w:line="240" w:lineRule="auto"/>
        <w:jc w:val="both"/>
        <w:rPr>
          <w:rStyle w:val="Strong"/>
          <w:rFonts w:ascii="Times New Roman" w:eastAsia="Times New Roman" w:hAnsi="Times New Roman" w:cs="Times New Roman"/>
          <w:b w:val="0"/>
          <w:bCs w:val="0"/>
          <w:sz w:val="24"/>
          <w:szCs w:val="24"/>
          <w:lang w:eastAsia="en-IN" w:bidi="ml-IN"/>
        </w:rPr>
      </w:pPr>
      <w:r w:rsidRPr="00340C1A">
        <w:rPr>
          <w:rStyle w:val="Strong"/>
          <w:rFonts w:ascii="Times New Roman" w:hAnsi="Times New Roman" w:cs="Times New Roman"/>
          <w:b w:val="0"/>
          <w:bCs w:val="0"/>
          <w:sz w:val="24"/>
          <w:szCs w:val="24"/>
        </w:rPr>
        <w:t xml:space="preserve">Table 5 reveals, since p = 0.798 &gt; 0.05, there is no statistically significant association between gender and overall satisfaction. This denotes that gender does not significantly affect overall satisfaction level of LPG consumers. In other words, the slight increase in the mean score of males is only due to the sampling fluctuations.  </w:t>
      </w:r>
    </w:p>
    <w:p w14:paraId="1790AEB1" w14:textId="32667B8F" w:rsidR="00DD24F1" w:rsidRPr="00284EF0" w:rsidRDefault="00D464A9" w:rsidP="00284EF0">
      <w:pPr>
        <w:pStyle w:val="ListParagraph"/>
        <w:numPr>
          <w:ilvl w:val="1"/>
          <w:numId w:val="14"/>
        </w:num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284EF0">
        <w:rPr>
          <w:rFonts w:ascii="Times New Roman" w:eastAsia="Times New Roman" w:hAnsi="Times New Roman" w:cs="Times New Roman"/>
          <w:b/>
          <w:bCs/>
          <w:sz w:val="24"/>
          <w:szCs w:val="24"/>
          <w:lang w:eastAsia="en-IN" w:bidi="ml-IN"/>
        </w:rPr>
        <w:t xml:space="preserve">Cross-tabulation of </w:t>
      </w:r>
      <w:r w:rsidR="00041168" w:rsidRPr="00284EF0">
        <w:rPr>
          <w:rFonts w:ascii="Times New Roman" w:eastAsia="Times New Roman" w:hAnsi="Times New Roman" w:cs="Times New Roman"/>
          <w:b/>
          <w:bCs/>
          <w:sz w:val="24"/>
          <w:szCs w:val="24"/>
          <w:lang w:eastAsia="en-IN" w:bidi="ml-IN"/>
        </w:rPr>
        <w:t xml:space="preserve">Age Group vs. </w:t>
      </w:r>
      <w:r w:rsidR="00BC5518" w:rsidRPr="00284EF0">
        <w:rPr>
          <w:rFonts w:ascii="Times New Roman" w:eastAsia="Times New Roman" w:hAnsi="Times New Roman" w:cs="Times New Roman"/>
          <w:b/>
          <w:bCs/>
          <w:sz w:val="24"/>
          <w:szCs w:val="24"/>
          <w:lang w:eastAsia="en-IN" w:bidi="ml-IN"/>
        </w:rPr>
        <w:t xml:space="preserve">Overall </w:t>
      </w:r>
      <w:r w:rsidR="00041168" w:rsidRPr="00284EF0">
        <w:rPr>
          <w:rFonts w:ascii="Times New Roman" w:eastAsia="Times New Roman" w:hAnsi="Times New Roman" w:cs="Times New Roman"/>
          <w:b/>
          <w:bCs/>
          <w:sz w:val="24"/>
          <w:szCs w:val="24"/>
          <w:lang w:eastAsia="en-IN" w:bidi="ml-IN"/>
        </w:rPr>
        <w:t>Satisfaction Level</w:t>
      </w:r>
    </w:p>
    <w:p w14:paraId="02CCCD25" w14:textId="789F791A" w:rsidR="00434AF5"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r w:rsidRPr="00434AF5">
        <w:rPr>
          <w:rFonts w:ascii="Times New Roman" w:eastAsia="Times New Roman" w:hAnsi="Times New Roman" w:cs="Times New Roman"/>
          <w:b/>
          <w:bCs/>
          <w:i/>
          <w:iCs/>
          <w:sz w:val="24"/>
          <w:szCs w:val="24"/>
          <w:lang w:eastAsia="en-IN" w:bidi="ml-IN"/>
        </w:rPr>
        <w:t xml:space="preserve">Table </w:t>
      </w:r>
      <w:r w:rsidR="009A097E">
        <w:rPr>
          <w:rFonts w:ascii="Times New Roman" w:eastAsia="Times New Roman" w:hAnsi="Times New Roman" w:cs="Times New Roman"/>
          <w:b/>
          <w:bCs/>
          <w:i/>
          <w:iCs/>
          <w:sz w:val="24"/>
          <w:szCs w:val="24"/>
          <w:lang w:eastAsia="en-IN" w:bidi="ml-IN"/>
        </w:rPr>
        <w:t>6</w:t>
      </w:r>
      <w:r w:rsidRPr="00434AF5">
        <w:rPr>
          <w:rFonts w:ascii="Times New Roman" w:eastAsia="Times New Roman" w:hAnsi="Times New Roman" w:cs="Times New Roman"/>
          <w:b/>
          <w:bCs/>
          <w:i/>
          <w:iCs/>
          <w:sz w:val="24"/>
          <w:szCs w:val="24"/>
          <w:lang w:eastAsia="en-IN" w:bidi="ml-IN"/>
        </w:rPr>
        <w:t xml:space="preserve">: Overall satisfaction of LPG consumers across </w:t>
      </w:r>
      <w:r>
        <w:rPr>
          <w:rFonts w:ascii="Times New Roman" w:eastAsia="Times New Roman" w:hAnsi="Times New Roman" w:cs="Times New Roman"/>
          <w:b/>
          <w:bCs/>
          <w:i/>
          <w:iCs/>
          <w:sz w:val="24"/>
          <w:szCs w:val="24"/>
          <w:lang w:eastAsia="en-IN" w:bidi="ml-IN"/>
        </w:rPr>
        <w:t>varied age groups</w:t>
      </w:r>
    </w:p>
    <w:tbl>
      <w:tblPr>
        <w:tblStyle w:val="TableGrid"/>
        <w:tblW w:w="9072" w:type="dxa"/>
        <w:tblLook w:val="04A0" w:firstRow="1" w:lastRow="0" w:firstColumn="1" w:lastColumn="0" w:noHBand="0" w:noVBand="1"/>
      </w:tblPr>
      <w:tblGrid>
        <w:gridCol w:w="2694"/>
        <w:gridCol w:w="1559"/>
        <w:gridCol w:w="1701"/>
        <w:gridCol w:w="1559"/>
        <w:gridCol w:w="1559"/>
      </w:tblGrid>
      <w:tr w:rsidR="00682395" w14:paraId="4E124C8A" w14:textId="77777777" w:rsidTr="00AE5762">
        <w:trPr>
          <w:trHeight w:val="429"/>
        </w:trPr>
        <w:tc>
          <w:tcPr>
            <w:tcW w:w="2694" w:type="dxa"/>
            <w:tcBorders>
              <w:left w:val="nil"/>
              <w:bottom w:val="nil"/>
              <w:right w:val="nil"/>
            </w:tcBorders>
            <w:shd w:val="clear" w:color="auto" w:fill="E7E6E6" w:themeFill="background2"/>
          </w:tcPr>
          <w:p w14:paraId="255E4DE2" w14:textId="491772EF" w:rsidR="00682395" w:rsidRPr="00AE5762" w:rsidRDefault="00682395" w:rsidP="00B46317">
            <w:pPr>
              <w:spacing w:before="100" w:beforeAutospacing="1" w:after="100" w:afterAutospacing="1"/>
              <w:jc w:val="both"/>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lang w:eastAsia="en-IN" w:bidi="ml-IN"/>
              </w:rPr>
              <w:t>Overall Satisfaction Level</w:t>
            </w:r>
          </w:p>
        </w:tc>
        <w:tc>
          <w:tcPr>
            <w:tcW w:w="1559" w:type="dxa"/>
            <w:tcBorders>
              <w:left w:val="nil"/>
              <w:bottom w:val="nil"/>
              <w:right w:val="nil"/>
            </w:tcBorders>
            <w:shd w:val="clear" w:color="auto" w:fill="E7E6E6" w:themeFill="background2"/>
          </w:tcPr>
          <w:p w14:paraId="2DDEA990" w14:textId="4D58D7D5" w:rsidR="00682395" w:rsidRPr="00AE5762" w:rsidRDefault="00682395" w:rsidP="00C97F2B">
            <w:pPr>
              <w:spacing w:before="100" w:beforeAutospacing="1" w:after="100" w:afterAutospacing="1"/>
              <w:jc w:val="right"/>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Below 30 yrs</w:t>
            </w:r>
          </w:p>
        </w:tc>
        <w:tc>
          <w:tcPr>
            <w:tcW w:w="1701" w:type="dxa"/>
            <w:tcBorders>
              <w:left w:val="nil"/>
              <w:bottom w:val="nil"/>
              <w:right w:val="nil"/>
            </w:tcBorders>
            <w:shd w:val="clear" w:color="auto" w:fill="E7E6E6" w:themeFill="background2"/>
          </w:tcPr>
          <w:p w14:paraId="521BBBF6" w14:textId="67B94410" w:rsidR="00682395" w:rsidRPr="00AE5762" w:rsidRDefault="00682395" w:rsidP="00682395">
            <w:pPr>
              <w:spacing w:before="100" w:beforeAutospacing="1" w:after="100" w:afterAutospacing="1"/>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30</w:t>
            </w:r>
            <w:r w:rsidR="00AE5762">
              <w:rPr>
                <w:rFonts w:ascii="Times New Roman" w:eastAsia="Times New Roman" w:hAnsi="Times New Roman" w:cs="Times New Roman"/>
                <w:b/>
                <w:bCs/>
                <w:sz w:val="24"/>
                <w:szCs w:val="24"/>
                <w:lang w:eastAsia="en-IN" w:bidi="ml-IN"/>
              </w:rPr>
              <w:t xml:space="preserve"> </w:t>
            </w:r>
            <w:r w:rsidRPr="00AE5762">
              <w:rPr>
                <w:rFonts w:ascii="Times New Roman" w:eastAsia="Times New Roman" w:hAnsi="Times New Roman" w:cs="Times New Roman"/>
                <w:b/>
                <w:bCs/>
                <w:sz w:val="24"/>
                <w:szCs w:val="24"/>
                <w:lang w:eastAsia="en-IN" w:bidi="ml-IN"/>
              </w:rPr>
              <w:t>yrs – 50</w:t>
            </w:r>
            <w:r w:rsidR="00AE5762">
              <w:rPr>
                <w:rFonts w:ascii="Times New Roman" w:eastAsia="Times New Roman" w:hAnsi="Times New Roman" w:cs="Times New Roman"/>
                <w:b/>
                <w:bCs/>
                <w:sz w:val="24"/>
                <w:szCs w:val="24"/>
                <w:lang w:eastAsia="en-IN" w:bidi="ml-IN"/>
              </w:rPr>
              <w:t xml:space="preserve"> </w:t>
            </w:r>
            <w:r w:rsidRPr="00AE5762">
              <w:rPr>
                <w:rFonts w:ascii="Times New Roman" w:eastAsia="Times New Roman" w:hAnsi="Times New Roman" w:cs="Times New Roman"/>
                <w:b/>
                <w:bCs/>
                <w:sz w:val="24"/>
                <w:szCs w:val="24"/>
                <w:lang w:eastAsia="en-IN" w:bidi="ml-IN"/>
              </w:rPr>
              <w:t>yrs</w:t>
            </w:r>
          </w:p>
        </w:tc>
        <w:tc>
          <w:tcPr>
            <w:tcW w:w="1559" w:type="dxa"/>
            <w:tcBorders>
              <w:left w:val="nil"/>
              <w:bottom w:val="nil"/>
              <w:right w:val="nil"/>
            </w:tcBorders>
            <w:shd w:val="clear" w:color="auto" w:fill="E7E6E6" w:themeFill="background2"/>
          </w:tcPr>
          <w:p w14:paraId="0D06A8DF" w14:textId="328D6574" w:rsidR="00682395" w:rsidRPr="00AE5762" w:rsidRDefault="00682395" w:rsidP="00C97F2B">
            <w:pPr>
              <w:spacing w:before="100" w:beforeAutospacing="1" w:after="100" w:afterAutospacing="1"/>
              <w:jc w:val="right"/>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Above 50 yrs</w:t>
            </w:r>
          </w:p>
        </w:tc>
        <w:tc>
          <w:tcPr>
            <w:tcW w:w="1559" w:type="dxa"/>
            <w:tcBorders>
              <w:left w:val="nil"/>
              <w:bottom w:val="nil"/>
              <w:right w:val="nil"/>
            </w:tcBorders>
            <w:shd w:val="clear" w:color="auto" w:fill="E7E6E6" w:themeFill="background2"/>
          </w:tcPr>
          <w:p w14:paraId="53891C5F" w14:textId="0672F8A2" w:rsidR="00682395" w:rsidRPr="00AE5762" w:rsidRDefault="00D572F9" w:rsidP="00D572F9">
            <w:pPr>
              <w:spacing w:before="100" w:beforeAutospacing="1" w:after="100" w:afterAutospacing="1"/>
              <w:jc w:val="center"/>
              <w:rPr>
                <w:rFonts w:ascii="Times New Roman" w:eastAsia="Times New Roman" w:hAnsi="Times New Roman" w:cs="Times New Roman"/>
                <w:b/>
                <w:bCs/>
                <w:sz w:val="24"/>
                <w:szCs w:val="24"/>
                <w:lang w:eastAsia="en-IN" w:bidi="ml-IN"/>
              </w:rPr>
            </w:pPr>
            <w:r w:rsidRPr="00AE5762">
              <w:rPr>
                <w:rFonts w:ascii="Times New Roman" w:eastAsia="Times New Roman" w:hAnsi="Times New Roman" w:cs="Times New Roman"/>
                <w:b/>
                <w:bCs/>
                <w:sz w:val="24"/>
                <w:szCs w:val="24"/>
                <w:lang w:eastAsia="en-IN" w:bidi="ml-IN"/>
              </w:rPr>
              <w:t>Total</w:t>
            </w:r>
          </w:p>
        </w:tc>
      </w:tr>
      <w:tr w:rsidR="009B5553" w14:paraId="30D3F20C" w14:textId="278EDA12" w:rsidTr="00AE5762">
        <w:trPr>
          <w:trHeight w:val="429"/>
        </w:trPr>
        <w:tc>
          <w:tcPr>
            <w:tcW w:w="2694" w:type="dxa"/>
            <w:tcBorders>
              <w:left w:val="nil"/>
              <w:bottom w:val="nil"/>
              <w:right w:val="nil"/>
            </w:tcBorders>
            <w:shd w:val="clear" w:color="auto" w:fill="E7E6E6" w:themeFill="background2"/>
          </w:tcPr>
          <w:p w14:paraId="1E4CAE6B" w14:textId="7462C22D"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7ECC04A0" w14:textId="7374F779"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 (5</w:t>
            </w:r>
            <w:r w:rsidR="00C97F2B">
              <w:rPr>
                <w:rFonts w:ascii="Times New Roman" w:eastAsia="Times New Roman" w:hAnsi="Times New Roman" w:cs="Times New Roman"/>
                <w:sz w:val="24"/>
                <w:szCs w:val="24"/>
                <w:lang w:eastAsia="en-IN" w:bidi="ml-IN"/>
              </w:rPr>
              <w:t>1</w:t>
            </w:r>
            <w:r>
              <w:rPr>
                <w:rFonts w:ascii="Times New Roman" w:eastAsia="Times New Roman" w:hAnsi="Times New Roman" w:cs="Times New Roman"/>
                <w:sz w:val="24"/>
                <w:szCs w:val="24"/>
                <w:lang w:eastAsia="en-IN" w:bidi="ml-IN"/>
              </w:rPr>
              <w:t>.</w:t>
            </w:r>
            <w:r w:rsidR="00C97F2B">
              <w:rPr>
                <w:rFonts w:ascii="Times New Roman" w:eastAsia="Times New Roman" w:hAnsi="Times New Roman" w:cs="Times New Roman"/>
                <w:sz w:val="24"/>
                <w:szCs w:val="24"/>
                <w:lang w:eastAsia="en-IN" w:bidi="ml-IN"/>
              </w:rPr>
              <w:t>28</w:t>
            </w:r>
            <w:r>
              <w:rPr>
                <w:rFonts w:ascii="Times New Roman" w:eastAsia="Times New Roman" w:hAnsi="Times New Roman" w:cs="Times New Roman"/>
                <w:sz w:val="24"/>
                <w:szCs w:val="24"/>
                <w:lang w:eastAsia="en-IN" w:bidi="ml-IN"/>
              </w:rPr>
              <w:t>%)</w:t>
            </w:r>
          </w:p>
        </w:tc>
        <w:tc>
          <w:tcPr>
            <w:tcW w:w="1701" w:type="dxa"/>
            <w:tcBorders>
              <w:left w:val="nil"/>
              <w:bottom w:val="nil"/>
              <w:right w:val="nil"/>
            </w:tcBorders>
          </w:tcPr>
          <w:p w14:paraId="73DA7272" w14:textId="73BC413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11</w:t>
            </w:r>
            <w:r w:rsidR="00C97F2B">
              <w:rPr>
                <w:rFonts w:ascii="Times New Roman" w:eastAsia="Times New Roman" w:hAnsi="Times New Roman" w:cs="Times New Roman"/>
                <w:sz w:val="24"/>
                <w:szCs w:val="24"/>
                <w:lang w:eastAsia="en-IN" w:bidi="ml-IN"/>
              </w:rPr>
              <w:t xml:space="preserve"> (28.21%)</w:t>
            </w:r>
          </w:p>
        </w:tc>
        <w:tc>
          <w:tcPr>
            <w:tcW w:w="1559" w:type="dxa"/>
            <w:tcBorders>
              <w:left w:val="nil"/>
              <w:bottom w:val="nil"/>
              <w:right w:val="nil"/>
            </w:tcBorders>
          </w:tcPr>
          <w:p w14:paraId="1E65773A" w14:textId="34089EAB"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w:t>
            </w:r>
            <w:r w:rsidR="00C97F2B">
              <w:rPr>
                <w:rFonts w:ascii="Times New Roman" w:eastAsia="Times New Roman" w:hAnsi="Times New Roman" w:cs="Times New Roman"/>
                <w:sz w:val="24"/>
                <w:szCs w:val="24"/>
                <w:lang w:eastAsia="en-IN" w:bidi="ml-IN"/>
              </w:rPr>
              <w:t xml:space="preserve"> (20.51%)</w:t>
            </w:r>
          </w:p>
        </w:tc>
        <w:tc>
          <w:tcPr>
            <w:tcW w:w="1559" w:type="dxa"/>
            <w:tcBorders>
              <w:left w:val="nil"/>
              <w:bottom w:val="nil"/>
              <w:right w:val="nil"/>
            </w:tcBorders>
          </w:tcPr>
          <w:p w14:paraId="359BB0A1" w14:textId="0D15BC7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9B5553" w14:paraId="402CE440" w14:textId="68BE96C4" w:rsidTr="00AE5762">
        <w:trPr>
          <w:trHeight w:val="421"/>
        </w:trPr>
        <w:tc>
          <w:tcPr>
            <w:tcW w:w="2694" w:type="dxa"/>
            <w:tcBorders>
              <w:top w:val="nil"/>
              <w:left w:val="nil"/>
              <w:bottom w:val="nil"/>
              <w:right w:val="nil"/>
            </w:tcBorders>
            <w:shd w:val="clear" w:color="auto" w:fill="E7E6E6" w:themeFill="background2"/>
          </w:tcPr>
          <w:p w14:paraId="4DF97CDE" w14:textId="74B7B12A"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77382790" w14:textId="29936BDA"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 (17.</w:t>
            </w:r>
            <w:r w:rsidR="00C97F2B">
              <w:rPr>
                <w:rFonts w:ascii="Times New Roman" w:eastAsia="Times New Roman" w:hAnsi="Times New Roman" w:cs="Times New Roman"/>
                <w:sz w:val="24"/>
                <w:szCs w:val="24"/>
                <w:lang w:eastAsia="en-IN" w:bidi="ml-IN"/>
              </w:rPr>
              <w:t>58%)</w:t>
            </w:r>
          </w:p>
        </w:tc>
        <w:tc>
          <w:tcPr>
            <w:tcW w:w="1701" w:type="dxa"/>
            <w:tcBorders>
              <w:top w:val="nil"/>
              <w:left w:val="nil"/>
              <w:bottom w:val="nil"/>
              <w:right w:val="nil"/>
            </w:tcBorders>
          </w:tcPr>
          <w:p w14:paraId="4052B420" w14:textId="1D452878"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47</w:t>
            </w:r>
            <w:r w:rsidR="00C97F2B">
              <w:rPr>
                <w:rFonts w:ascii="Times New Roman" w:eastAsia="Times New Roman" w:hAnsi="Times New Roman" w:cs="Times New Roman"/>
                <w:sz w:val="24"/>
                <w:szCs w:val="24"/>
                <w:lang w:eastAsia="en-IN" w:bidi="ml-IN"/>
              </w:rPr>
              <w:t xml:space="preserve"> (51.65%)</w:t>
            </w:r>
          </w:p>
        </w:tc>
        <w:tc>
          <w:tcPr>
            <w:tcW w:w="1559" w:type="dxa"/>
            <w:tcBorders>
              <w:top w:val="nil"/>
              <w:left w:val="nil"/>
              <w:bottom w:val="nil"/>
              <w:right w:val="nil"/>
            </w:tcBorders>
          </w:tcPr>
          <w:p w14:paraId="3FD5105C" w14:textId="3B5B968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w:t>
            </w:r>
            <w:r w:rsidR="00C97F2B">
              <w:rPr>
                <w:rFonts w:ascii="Times New Roman" w:eastAsia="Times New Roman" w:hAnsi="Times New Roman" w:cs="Times New Roman"/>
                <w:sz w:val="24"/>
                <w:szCs w:val="24"/>
                <w:lang w:eastAsia="en-IN" w:bidi="ml-IN"/>
              </w:rPr>
              <w:t xml:space="preserve"> (30.77%)</w:t>
            </w:r>
          </w:p>
        </w:tc>
        <w:tc>
          <w:tcPr>
            <w:tcW w:w="1559" w:type="dxa"/>
            <w:tcBorders>
              <w:top w:val="nil"/>
              <w:left w:val="nil"/>
              <w:bottom w:val="nil"/>
              <w:right w:val="nil"/>
            </w:tcBorders>
          </w:tcPr>
          <w:p w14:paraId="6BE16001" w14:textId="74A3B96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9B5553" w14:paraId="102A0430" w14:textId="1B0EC93B" w:rsidTr="00AE5762">
        <w:trPr>
          <w:trHeight w:val="413"/>
        </w:trPr>
        <w:tc>
          <w:tcPr>
            <w:tcW w:w="2694" w:type="dxa"/>
            <w:tcBorders>
              <w:top w:val="nil"/>
              <w:left w:val="nil"/>
              <w:bottom w:val="nil"/>
              <w:right w:val="nil"/>
            </w:tcBorders>
            <w:shd w:val="clear" w:color="auto" w:fill="E7E6E6" w:themeFill="background2"/>
          </w:tcPr>
          <w:p w14:paraId="153D35A8" w14:textId="5F6ECCBE" w:rsidR="009B5553"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68402FAB" w14:textId="0C85F97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C97F2B">
              <w:rPr>
                <w:rFonts w:ascii="Times New Roman" w:eastAsia="Times New Roman" w:hAnsi="Times New Roman" w:cs="Times New Roman"/>
                <w:sz w:val="24"/>
                <w:szCs w:val="24"/>
                <w:lang w:eastAsia="en-IN" w:bidi="ml-IN"/>
              </w:rPr>
              <w:t xml:space="preserve"> (8.75%)</w:t>
            </w:r>
          </w:p>
        </w:tc>
        <w:tc>
          <w:tcPr>
            <w:tcW w:w="1701" w:type="dxa"/>
            <w:tcBorders>
              <w:top w:val="nil"/>
              <w:left w:val="nil"/>
              <w:bottom w:val="nil"/>
              <w:right w:val="nil"/>
            </w:tcBorders>
          </w:tcPr>
          <w:p w14:paraId="01719176" w14:textId="20DEE775"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32</w:t>
            </w:r>
            <w:r w:rsidR="00C97F2B">
              <w:rPr>
                <w:rFonts w:ascii="Times New Roman" w:eastAsia="Times New Roman" w:hAnsi="Times New Roman" w:cs="Times New Roman"/>
                <w:sz w:val="24"/>
                <w:szCs w:val="24"/>
                <w:lang w:eastAsia="en-IN" w:bidi="ml-IN"/>
              </w:rPr>
              <w:t xml:space="preserve"> (40.00%)</w:t>
            </w:r>
          </w:p>
        </w:tc>
        <w:tc>
          <w:tcPr>
            <w:tcW w:w="1559" w:type="dxa"/>
            <w:tcBorders>
              <w:top w:val="nil"/>
              <w:left w:val="nil"/>
              <w:bottom w:val="nil"/>
              <w:right w:val="nil"/>
            </w:tcBorders>
          </w:tcPr>
          <w:p w14:paraId="7CE60347" w14:textId="01B58BC8"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41</w:t>
            </w:r>
            <w:r w:rsidR="00C97F2B">
              <w:rPr>
                <w:rFonts w:ascii="Times New Roman" w:eastAsia="Times New Roman" w:hAnsi="Times New Roman" w:cs="Times New Roman"/>
                <w:sz w:val="24"/>
                <w:szCs w:val="24"/>
                <w:lang w:eastAsia="en-IN" w:bidi="ml-IN"/>
              </w:rPr>
              <w:t>(51.25%)</w:t>
            </w:r>
          </w:p>
        </w:tc>
        <w:tc>
          <w:tcPr>
            <w:tcW w:w="1559" w:type="dxa"/>
            <w:tcBorders>
              <w:top w:val="nil"/>
              <w:left w:val="nil"/>
              <w:bottom w:val="nil"/>
              <w:right w:val="nil"/>
            </w:tcBorders>
          </w:tcPr>
          <w:p w14:paraId="1F18A977" w14:textId="29253A4F" w:rsidR="009B5553"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AE5762" w14:paraId="48687D68" w14:textId="455A257D" w:rsidTr="00AE5762">
        <w:trPr>
          <w:trHeight w:val="404"/>
        </w:trPr>
        <w:tc>
          <w:tcPr>
            <w:tcW w:w="2694" w:type="dxa"/>
            <w:tcBorders>
              <w:top w:val="nil"/>
              <w:left w:val="nil"/>
              <w:bottom w:val="nil"/>
              <w:right w:val="nil"/>
            </w:tcBorders>
            <w:shd w:val="clear" w:color="auto" w:fill="E7E6E6" w:themeFill="background2"/>
          </w:tcPr>
          <w:p w14:paraId="36EF63A1" w14:textId="67F4F905" w:rsidR="009B5553" w:rsidRPr="00CE3A40" w:rsidRDefault="009B5553" w:rsidP="00B46317">
            <w:pPr>
              <w:spacing w:before="100" w:beforeAutospacing="1" w:after="100" w:afterAutospacing="1"/>
              <w:jc w:val="both"/>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18CDE830" w14:textId="0B6FD7F9"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43</w:t>
            </w:r>
            <w:r w:rsidR="00C97F2B">
              <w:rPr>
                <w:rFonts w:ascii="Times New Roman" w:eastAsia="Times New Roman" w:hAnsi="Times New Roman" w:cs="Times New Roman"/>
                <w:sz w:val="24"/>
                <w:szCs w:val="24"/>
                <w:lang w:eastAsia="en-IN" w:bidi="ml-IN"/>
              </w:rPr>
              <w:t xml:space="preserve"> (20.48%)</w:t>
            </w:r>
          </w:p>
        </w:tc>
        <w:tc>
          <w:tcPr>
            <w:tcW w:w="1701" w:type="dxa"/>
            <w:tcBorders>
              <w:top w:val="nil"/>
              <w:left w:val="nil"/>
              <w:bottom w:val="nil"/>
              <w:right w:val="nil"/>
            </w:tcBorders>
          </w:tcPr>
          <w:p w14:paraId="2E5144F7" w14:textId="4A5CD476"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9</w:t>
            </w:r>
            <w:r>
              <w:rPr>
                <w:rFonts w:ascii="Times New Roman" w:eastAsia="Times New Roman" w:hAnsi="Times New Roman" w:cs="Times New Roman"/>
                <w:sz w:val="24"/>
                <w:szCs w:val="24"/>
                <w:lang w:eastAsia="en-IN" w:bidi="ml-IN"/>
              </w:rPr>
              <w:t>0</w:t>
            </w:r>
            <w:r w:rsidR="00C97F2B">
              <w:rPr>
                <w:rFonts w:ascii="Times New Roman" w:eastAsia="Times New Roman" w:hAnsi="Times New Roman" w:cs="Times New Roman"/>
                <w:sz w:val="24"/>
                <w:szCs w:val="24"/>
                <w:lang w:eastAsia="en-IN" w:bidi="ml-IN"/>
              </w:rPr>
              <w:t xml:space="preserve"> (42.86%)</w:t>
            </w:r>
          </w:p>
        </w:tc>
        <w:tc>
          <w:tcPr>
            <w:tcW w:w="1559" w:type="dxa"/>
            <w:tcBorders>
              <w:top w:val="nil"/>
              <w:left w:val="nil"/>
              <w:bottom w:val="nil"/>
              <w:right w:val="nil"/>
            </w:tcBorders>
          </w:tcPr>
          <w:p w14:paraId="7ECF952A" w14:textId="46DBD930"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7</w:t>
            </w:r>
            <w:r>
              <w:rPr>
                <w:rFonts w:ascii="Times New Roman" w:eastAsia="Times New Roman" w:hAnsi="Times New Roman" w:cs="Times New Roman"/>
                <w:sz w:val="24"/>
                <w:szCs w:val="24"/>
                <w:lang w:eastAsia="en-IN" w:bidi="ml-IN"/>
              </w:rPr>
              <w:t>7</w:t>
            </w:r>
            <w:r w:rsidR="00C97F2B">
              <w:rPr>
                <w:rFonts w:ascii="Times New Roman" w:eastAsia="Times New Roman" w:hAnsi="Times New Roman" w:cs="Times New Roman"/>
                <w:sz w:val="24"/>
                <w:szCs w:val="24"/>
                <w:lang w:eastAsia="en-IN" w:bidi="ml-IN"/>
              </w:rPr>
              <w:t xml:space="preserve"> (36.67%)</w:t>
            </w:r>
          </w:p>
        </w:tc>
        <w:tc>
          <w:tcPr>
            <w:tcW w:w="1559" w:type="dxa"/>
            <w:tcBorders>
              <w:top w:val="nil"/>
              <w:left w:val="nil"/>
              <w:bottom w:val="nil"/>
              <w:right w:val="nil"/>
            </w:tcBorders>
          </w:tcPr>
          <w:p w14:paraId="7C9A5980" w14:textId="02BAFF17" w:rsidR="009B5553" w:rsidRPr="00CE3A40" w:rsidRDefault="009B5553" w:rsidP="00C97F2B">
            <w:pPr>
              <w:spacing w:before="100" w:beforeAutospacing="1" w:after="100" w:afterAutospacing="1"/>
              <w:jc w:val="right"/>
              <w:rPr>
                <w:rFonts w:ascii="Times New Roman" w:eastAsia="Times New Roman" w:hAnsi="Times New Roman" w:cs="Times New Roman"/>
                <w:sz w:val="24"/>
                <w:szCs w:val="24"/>
                <w:lang w:eastAsia="en-IN" w:bidi="ml-IN"/>
              </w:rPr>
            </w:pPr>
            <w:r w:rsidRPr="00CE3A40">
              <w:rPr>
                <w:rFonts w:ascii="Times New Roman" w:eastAsia="Times New Roman" w:hAnsi="Times New Roman" w:cs="Times New Roman"/>
                <w:sz w:val="24"/>
                <w:szCs w:val="24"/>
                <w:lang w:eastAsia="en-IN" w:bidi="ml-IN"/>
              </w:rPr>
              <w:t>210</w:t>
            </w:r>
            <w:r w:rsidR="00C97F2B">
              <w:rPr>
                <w:rFonts w:ascii="Times New Roman" w:eastAsia="Times New Roman" w:hAnsi="Times New Roman" w:cs="Times New Roman"/>
                <w:sz w:val="24"/>
                <w:szCs w:val="24"/>
                <w:lang w:eastAsia="en-IN" w:bidi="ml-IN"/>
              </w:rPr>
              <w:t xml:space="preserve"> (100</w:t>
            </w:r>
            <w:r w:rsidR="00727D0D">
              <w:rPr>
                <w:rFonts w:ascii="Times New Roman" w:eastAsia="Times New Roman" w:hAnsi="Times New Roman" w:cs="Times New Roman"/>
                <w:sz w:val="24"/>
                <w:szCs w:val="24"/>
                <w:lang w:eastAsia="en-IN" w:bidi="ml-IN"/>
              </w:rPr>
              <w:t xml:space="preserve"> </w:t>
            </w:r>
            <w:r w:rsidR="00C97F2B">
              <w:rPr>
                <w:rFonts w:ascii="Times New Roman" w:eastAsia="Times New Roman" w:hAnsi="Times New Roman" w:cs="Times New Roman"/>
                <w:sz w:val="24"/>
                <w:szCs w:val="24"/>
                <w:lang w:eastAsia="en-IN" w:bidi="ml-IN"/>
              </w:rPr>
              <w:t>%)</w:t>
            </w:r>
          </w:p>
        </w:tc>
      </w:tr>
      <w:tr w:rsidR="00570A58" w14:paraId="4B6E35DD" w14:textId="77777777" w:rsidTr="00AE5762">
        <w:trPr>
          <w:trHeight w:val="404"/>
        </w:trPr>
        <w:tc>
          <w:tcPr>
            <w:tcW w:w="2694" w:type="dxa"/>
            <w:tcBorders>
              <w:top w:val="nil"/>
              <w:left w:val="nil"/>
              <w:bottom w:val="single" w:sz="4" w:space="0" w:color="auto"/>
              <w:right w:val="nil"/>
            </w:tcBorders>
            <w:shd w:val="clear" w:color="auto" w:fill="E7E6E6" w:themeFill="background2"/>
          </w:tcPr>
          <w:p w14:paraId="0BA1A1F1" w14:textId="0F5DD01D" w:rsidR="00570A58" w:rsidRPr="00CE3A40" w:rsidRDefault="00570A58" w:rsidP="00B46317">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52CE5FC9" w14:textId="23814699"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1.6977</w:t>
            </w:r>
          </w:p>
        </w:tc>
        <w:tc>
          <w:tcPr>
            <w:tcW w:w="1701" w:type="dxa"/>
            <w:tcBorders>
              <w:top w:val="nil"/>
              <w:left w:val="nil"/>
              <w:bottom w:val="single" w:sz="4" w:space="0" w:color="auto"/>
              <w:right w:val="nil"/>
            </w:tcBorders>
          </w:tcPr>
          <w:p w14:paraId="523D7590" w14:textId="42481461"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2.2333</w:t>
            </w:r>
          </w:p>
        </w:tc>
        <w:tc>
          <w:tcPr>
            <w:tcW w:w="1559" w:type="dxa"/>
            <w:tcBorders>
              <w:top w:val="nil"/>
              <w:left w:val="nil"/>
              <w:bottom w:val="single" w:sz="4" w:space="0" w:color="auto"/>
              <w:right w:val="nil"/>
            </w:tcBorders>
          </w:tcPr>
          <w:p w14:paraId="1AD40376" w14:textId="3030DC35"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2.4286</w:t>
            </w:r>
          </w:p>
        </w:tc>
        <w:tc>
          <w:tcPr>
            <w:tcW w:w="1559" w:type="dxa"/>
            <w:tcBorders>
              <w:top w:val="nil"/>
              <w:left w:val="nil"/>
              <w:bottom w:val="single" w:sz="4" w:space="0" w:color="auto"/>
              <w:right w:val="nil"/>
            </w:tcBorders>
          </w:tcPr>
          <w:p w14:paraId="529579CB" w14:textId="1127A2AB" w:rsidR="00570A58" w:rsidRPr="00CE3A40" w:rsidRDefault="003826AB" w:rsidP="00C97F2B">
            <w:pPr>
              <w:spacing w:before="100" w:beforeAutospacing="1" w:after="100" w:afterAutospacing="1"/>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01F149B9" w14:textId="4D5AA4BA"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296E4F0F" w14:textId="64ABF6A0" w:rsidR="00563592" w:rsidRPr="00563592" w:rsidRDefault="005C5CAB" w:rsidP="00563592">
      <w:pPr>
        <w:spacing w:after="100" w:afterAutospacing="1" w:line="240" w:lineRule="auto"/>
        <w:jc w:val="both"/>
        <w:rPr>
          <w:rFonts w:ascii="Times New Roman" w:eastAsia="Times New Roman" w:hAnsi="Times New Roman" w:cs="Times New Roman"/>
          <w:sz w:val="24"/>
          <w:szCs w:val="24"/>
          <w:lang w:eastAsia="en-IN" w:bidi="ml-IN"/>
        </w:rPr>
      </w:pPr>
      <w:r w:rsidRPr="005C5CAB">
        <w:rPr>
          <w:rFonts w:ascii="Times New Roman" w:eastAsia="Times New Roman" w:hAnsi="Times New Roman" w:cs="Times New Roman"/>
          <w:sz w:val="24"/>
          <w:szCs w:val="24"/>
          <w:lang w:eastAsia="en-IN" w:bidi="ml-IN"/>
        </w:rPr>
        <w:t>Table 6 points out that, among the LPG consumers of above 50 years, 51.25% are highly satisfied with regard to overall satisfaction. The figures are 40% and 8.75% in case of 30-50 age group and below 30 age group respectively. The mean score is 2.4286 in case of above 50 age group.</w:t>
      </w:r>
      <w:r>
        <w:rPr>
          <w:rFonts w:ascii="Times New Roman" w:eastAsia="Times New Roman" w:hAnsi="Times New Roman" w:cs="Times New Roman"/>
          <w:sz w:val="24"/>
          <w:szCs w:val="24"/>
          <w:lang w:eastAsia="en-IN" w:bidi="ml-IN"/>
        </w:rPr>
        <w:t xml:space="preserve"> </w:t>
      </w:r>
      <w:r w:rsidR="00A75A9A">
        <w:rPr>
          <w:rFonts w:ascii="Times New Roman" w:eastAsia="Times New Roman" w:hAnsi="Times New Roman" w:cs="Times New Roman"/>
          <w:sz w:val="24"/>
          <w:szCs w:val="24"/>
          <w:lang w:eastAsia="en-IN" w:bidi="ml-IN"/>
        </w:rPr>
        <w:t>But</w:t>
      </w:r>
      <w:r>
        <w:rPr>
          <w:rFonts w:ascii="Times New Roman" w:eastAsia="Times New Roman" w:hAnsi="Times New Roman" w:cs="Times New Roman"/>
          <w:sz w:val="24"/>
          <w:szCs w:val="24"/>
          <w:lang w:eastAsia="en-IN" w:bidi="ml-IN"/>
        </w:rPr>
        <w:t xml:space="preserve"> the mean score is </w:t>
      </w:r>
      <w:r w:rsidR="00A75A9A">
        <w:rPr>
          <w:rFonts w:ascii="Times New Roman" w:eastAsia="Times New Roman" w:hAnsi="Times New Roman" w:cs="Times New Roman"/>
          <w:sz w:val="24"/>
          <w:szCs w:val="24"/>
          <w:lang w:eastAsia="en-IN" w:bidi="ml-IN"/>
        </w:rPr>
        <w:t>only 1.6977</w:t>
      </w:r>
      <w:r>
        <w:rPr>
          <w:rFonts w:ascii="Times New Roman" w:eastAsia="Times New Roman" w:hAnsi="Times New Roman" w:cs="Times New Roman"/>
          <w:sz w:val="24"/>
          <w:szCs w:val="24"/>
          <w:lang w:eastAsia="en-IN" w:bidi="ml-IN"/>
        </w:rPr>
        <w:t xml:space="preserve"> in case of </w:t>
      </w:r>
      <w:r w:rsidR="00A75A9A">
        <w:rPr>
          <w:rFonts w:ascii="Times New Roman" w:eastAsia="Times New Roman" w:hAnsi="Times New Roman" w:cs="Times New Roman"/>
          <w:sz w:val="24"/>
          <w:szCs w:val="24"/>
          <w:lang w:eastAsia="en-IN" w:bidi="ml-IN"/>
        </w:rPr>
        <w:t xml:space="preserve">respondents of below 30 </w:t>
      </w:r>
      <w:r>
        <w:rPr>
          <w:rFonts w:ascii="Times New Roman" w:eastAsia="Times New Roman" w:hAnsi="Times New Roman" w:cs="Times New Roman"/>
          <w:sz w:val="24"/>
          <w:szCs w:val="24"/>
          <w:lang w:eastAsia="en-IN" w:bidi="ml-IN"/>
        </w:rPr>
        <w:t>age group</w:t>
      </w:r>
      <w:r w:rsidR="00A75A9A">
        <w:rPr>
          <w:rFonts w:ascii="Times New Roman" w:eastAsia="Times New Roman" w:hAnsi="Times New Roman" w:cs="Times New Roman"/>
          <w:sz w:val="24"/>
          <w:szCs w:val="24"/>
          <w:lang w:eastAsia="en-IN" w:bidi="ml-IN"/>
        </w:rPr>
        <w:t>.</w:t>
      </w:r>
    </w:p>
    <w:p w14:paraId="532EA6CC" w14:textId="21B5AE98" w:rsidR="009A097E" w:rsidRPr="009A097E" w:rsidRDefault="009A097E" w:rsidP="009A097E">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t xml:space="preserve">Table </w:t>
      </w:r>
      <w:r>
        <w:rPr>
          <w:rFonts w:ascii="Times New Roman" w:eastAsia="Times New Roman" w:hAnsi="Times New Roman" w:cs="Times New Roman"/>
          <w:b/>
          <w:bCs/>
          <w:i/>
          <w:iCs/>
          <w:sz w:val="24"/>
          <w:szCs w:val="24"/>
          <w:lang w:eastAsia="en-IN" w:bidi="ml-IN"/>
        </w:rPr>
        <w:t>7</w:t>
      </w:r>
      <w:r w:rsidRPr="009A097E">
        <w:rPr>
          <w:rFonts w:ascii="Times New Roman" w:eastAsia="Times New Roman" w:hAnsi="Times New Roman" w:cs="Times New Roman"/>
          <w:b/>
          <w:bCs/>
          <w:i/>
          <w:iCs/>
          <w:sz w:val="24"/>
          <w:szCs w:val="24"/>
          <w:lang w:eastAsia="en-IN" w:bidi="ml-IN"/>
        </w:rPr>
        <w:t xml:space="preserve">: </w:t>
      </w:r>
      <w:r>
        <w:rPr>
          <w:rFonts w:ascii="Times New Roman" w:eastAsia="Times New Roman" w:hAnsi="Times New Roman" w:cs="Times New Roman"/>
          <w:b/>
          <w:bCs/>
          <w:i/>
          <w:iCs/>
          <w:sz w:val="24"/>
          <w:szCs w:val="24"/>
          <w:lang w:eastAsia="en-IN" w:bidi="ml-IN"/>
        </w:rPr>
        <w:t xml:space="preserve">ANOVA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w:t>
      </w:r>
      <w:r>
        <w:rPr>
          <w:rFonts w:ascii="Times New Roman" w:eastAsia="Times New Roman" w:hAnsi="Times New Roman" w:cs="Times New Roman"/>
          <w:b/>
          <w:bCs/>
          <w:i/>
          <w:iCs/>
          <w:sz w:val="24"/>
          <w:szCs w:val="24"/>
          <w:lang w:eastAsia="en-IN" w:bidi="ml-IN"/>
        </w:rPr>
        <w:t>difference</w:t>
      </w:r>
      <w:r w:rsidRPr="009A097E">
        <w:rPr>
          <w:rFonts w:ascii="Times New Roman" w:eastAsia="Times New Roman" w:hAnsi="Times New Roman" w:cs="Times New Roman"/>
          <w:b/>
          <w:bCs/>
          <w:i/>
          <w:iCs/>
          <w:sz w:val="24"/>
          <w:szCs w:val="24"/>
          <w:lang w:eastAsia="en-IN" w:bidi="ml-IN"/>
        </w:rPr>
        <w:t xml:space="preserve"> </w:t>
      </w:r>
      <w:r>
        <w:rPr>
          <w:rFonts w:ascii="Times New Roman" w:eastAsia="Times New Roman" w:hAnsi="Times New Roman" w:cs="Times New Roman"/>
          <w:b/>
          <w:bCs/>
          <w:i/>
          <w:iCs/>
          <w:sz w:val="24"/>
          <w:szCs w:val="24"/>
          <w:lang w:eastAsia="en-IN" w:bidi="ml-IN"/>
        </w:rPr>
        <w:t xml:space="preserve">in the satisfaction level of LPG consumers of </w:t>
      </w:r>
      <w:r w:rsidR="00E45897">
        <w:rPr>
          <w:rFonts w:ascii="Times New Roman" w:eastAsia="Times New Roman" w:hAnsi="Times New Roman" w:cs="Times New Roman"/>
          <w:b/>
          <w:bCs/>
          <w:i/>
          <w:iCs/>
          <w:sz w:val="24"/>
          <w:szCs w:val="24"/>
          <w:lang w:eastAsia="en-IN" w:bidi="ml-IN"/>
        </w:rPr>
        <w:t>varied</w:t>
      </w:r>
      <w:r>
        <w:rPr>
          <w:rFonts w:ascii="Times New Roman" w:eastAsia="Times New Roman" w:hAnsi="Times New Roman" w:cs="Times New Roman"/>
          <w:b/>
          <w:bCs/>
          <w:i/>
          <w:iCs/>
          <w:sz w:val="24"/>
          <w:szCs w:val="24"/>
          <w:lang w:eastAsia="en-IN" w:bidi="ml-IN"/>
        </w:rPr>
        <w:t xml:space="preserve"> age groups</w:t>
      </w:r>
    </w:p>
    <w:tbl>
      <w:tblPr>
        <w:tblStyle w:val="TableGrid"/>
        <w:tblW w:w="0" w:type="auto"/>
        <w:tblLook w:val="04A0" w:firstRow="1" w:lastRow="0" w:firstColumn="1" w:lastColumn="0" w:noHBand="0" w:noVBand="1"/>
      </w:tblPr>
      <w:tblGrid>
        <w:gridCol w:w="1980"/>
        <w:gridCol w:w="1843"/>
        <w:gridCol w:w="992"/>
        <w:gridCol w:w="1701"/>
        <w:gridCol w:w="1276"/>
        <w:gridCol w:w="1224"/>
      </w:tblGrid>
      <w:tr w:rsidR="004C7191" w14:paraId="5E716D96" w14:textId="77777777" w:rsidTr="0045346D">
        <w:trPr>
          <w:trHeight w:val="416"/>
        </w:trPr>
        <w:tc>
          <w:tcPr>
            <w:tcW w:w="1980" w:type="dxa"/>
            <w:tcBorders>
              <w:left w:val="nil"/>
              <w:bottom w:val="single" w:sz="4" w:space="0" w:color="auto"/>
              <w:right w:val="nil"/>
            </w:tcBorders>
            <w:shd w:val="clear" w:color="auto" w:fill="E7E6E6" w:themeFill="background2"/>
          </w:tcPr>
          <w:p w14:paraId="0256A721" w14:textId="0D5B0069"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Source</w:t>
            </w:r>
          </w:p>
        </w:tc>
        <w:tc>
          <w:tcPr>
            <w:tcW w:w="1843" w:type="dxa"/>
            <w:tcBorders>
              <w:left w:val="nil"/>
              <w:bottom w:val="single" w:sz="4" w:space="0" w:color="auto"/>
              <w:right w:val="nil"/>
            </w:tcBorders>
            <w:shd w:val="clear" w:color="auto" w:fill="E7E6E6" w:themeFill="background2"/>
          </w:tcPr>
          <w:p w14:paraId="51566059" w14:textId="5C2817E5"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Sum of </w:t>
            </w:r>
            <w:r w:rsidR="00E45897">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quares</w:t>
            </w:r>
          </w:p>
        </w:tc>
        <w:tc>
          <w:tcPr>
            <w:tcW w:w="992" w:type="dxa"/>
            <w:tcBorders>
              <w:left w:val="nil"/>
              <w:bottom w:val="single" w:sz="4" w:space="0" w:color="auto"/>
              <w:right w:val="nil"/>
            </w:tcBorders>
            <w:shd w:val="clear" w:color="auto" w:fill="E7E6E6" w:themeFill="background2"/>
          </w:tcPr>
          <w:p w14:paraId="79BB1B7C" w14:textId="38E766CE"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1701" w:type="dxa"/>
            <w:tcBorders>
              <w:left w:val="nil"/>
              <w:bottom w:val="single" w:sz="4" w:space="0" w:color="auto"/>
              <w:right w:val="nil"/>
            </w:tcBorders>
            <w:shd w:val="clear" w:color="auto" w:fill="E7E6E6" w:themeFill="background2"/>
          </w:tcPr>
          <w:p w14:paraId="1A1A5D22" w14:textId="1AD95DA1"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Mean </w:t>
            </w:r>
            <w:r w:rsidR="00E45897">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quare</w:t>
            </w:r>
          </w:p>
        </w:tc>
        <w:tc>
          <w:tcPr>
            <w:tcW w:w="1276" w:type="dxa"/>
            <w:tcBorders>
              <w:left w:val="nil"/>
              <w:bottom w:val="single" w:sz="4" w:space="0" w:color="auto"/>
              <w:right w:val="nil"/>
            </w:tcBorders>
            <w:shd w:val="clear" w:color="auto" w:fill="E7E6E6" w:themeFill="background2"/>
          </w:tcPr>
          <w:p w14:paraId="0073A936" w14:textId="36A0119B"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F</w:t>
            </w:r>
            <w:r w:rsidR="00E45897">
              <w:rPr>
                <w:rFonts w:ascii="Times New Roman" w:eastAsia="Times New Roman" w:hAnsi="Times New Roman" w:cs="Times New Roman"/>
                <w:b/>
                <w:bCs/>
                <w:lang w:eastAsia="en-IN" w:bidi="ml-IN"/>
              </w:rPr>
              <w:t>-value</w:t>
            </w:r>
          </w:p>
        </w:tc>
        <w:tc>
          <w:tcPr>
            <w:tcW w:w="1224" w:type="dxa"/>
            <w:tcBorders>
              <w:left w:val="nil"/>
              <w:bottom w:val="single" w:sz="4" w:space="0" w:color="auto"/>
              <w:right w:val="nil"/>
            </w:tcBorders>
            <w:shd w:val="clear" w:color="auto" w:fill="E7E6E6" w:themeFill="background2"/>
          </w:tcPr>
          <w:p w14:paraId="702F3782" w14:textId="7A7A37AD" w:rsidR="004C7191" w:rsidRPr="004C7EB1" w:rsidRDefault="004C7191" w:rsidP="004C7191">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Sig.</w:t>
            </w:r>
          </w:p>
        </w:tc>
      </w:tr>
      <w:tr w:rsidR="00F63894" w14:paraId="616DC9A5" w14:textId="77777777" w:rsidTr="009E6D46">
        <w:trPr>
          <w:trHeight w:val="341"/>
        </w:trPr>
        <w:tc>
          <w:tcPr>
            <w:tcW w:w="1980" w:type="dxa"/>
            <w:tcBorders>
              <w:left w:val="nil"/>
              <w:bottom w:val="nil"/>
              <w:right w:val="nil"/>
            </w:tcBorders>
            <w:shd w:val="clear" w:color="auto" w:fill="E7E6E6" w:themeFill="background2"/>
          </w:tcPr>
          <w:p w14:paraId="40860682" w14:textId="2B89718E" w:rsidR="00F63894" w:rsidRPr="004C7191" w:rsidRDefault="00F63894" w:rsidP="00F63894">
            <w:pPr>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 xml:space="preserve">Between </w:t>
            </w:r>
            <w:r w:rsidR="00E45897">
              <w:rPr>
                <w:rFonts w:ascii="Times New Roman" w:eastAsia="Times New Roman" w:hAnsi="Times New Roman" w:cs="Times New Roman"/>
                <w:sz w:val="24"/>
                <w:szCs w:val="24"/>
                <w:lang w:eastAsia="en-IN" w:bidi="ml-IN"/>
              </w:rPr>
              <w:t>g</w:t>
            </w:r>
            <w:r w:rsidRPr="004C7191">
              <w:rPr>
                <w:rFonts w:ascii="Times New Roman" w:eastAsia="Times New Roman" w:hAnsi="Times New Roman" w:cs="Times New Roman"/>
                <w:sz w:val="24"/>
                <w:szCs w:val="24"/>
                <w:lang w:eastAsia="en-IN" w:bidi="ml-IN"/>
              </w:rPr>
              <w:t>roups</w:t>
            </w:r>
          </w:p>
        </w:tc>
        <w:tc>
          <w:tcPr>
            <w:tcW w:w="1843" w:type="dxa"/>
            <w:tcBorders>
              <w:left w:val="nil"/>
              <w:bottom w:val="nil"/>
              <w:right w:val="nil"/>
            </w:tcBorders>
          </w:tcPr>
          <w:p w14:paraId="70B47C18" w14:textId="7D29F4A5" w:rsidR="00F63894" w:rsidRPr="00B46317" w:rsidRDefault="00F63894" w:rsidP="00F63894">
            <w:pPr>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100.22</w:t>
            </w:r>
          </w:p>
        </w:tc>
        <w:tc>
          <w:tcPr>
            <w:tcW w:w="992" w:type="dxa"/>
            <w:tcBorders>
              <w:left w:val="nil"/>
              <w:bottom w:val="nil"/>
              <w:right w:val="nil"/>
            </w:tcBorders>
          </w:tcPr>
          <w:p w14:paraId="5709A0E0" w14:textId="1B94E40B" w:rsidR="00F63894" w:rsidRPr="00B46317" w:rsidRDefault="00F63894" w:rsidP="00F63894">
            <w:pPr>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2</w:t>
            </w:r>
          </w:p>
        </w:tc>
        <w:tc>
          <w:tcPr>
            <w:tcW w:w="1701" w:type="dxa"/>
            <w:tcBorders>
              <w:left w:val="nil"/>
              <w:bottom w:val="nil"/>
              <w:right w:val="nil"/>
            </w:tcBorders>
          </w:tcPr>
          <w:p w14:paraId="276D8A77" w14:textId="152BC4D5" w:rsidR="00F63894" w:rsidRPr="00B46317" w:rsidRDefault="00F63894" w:rsidP="00F63894">
            <w:pPr>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50.11</w:t>
            </w:r>
            <w:r w:rsidR="00B16FB7">
              <w:rPr>
                <w:rFonts w:ascii="Times New Roman" w:eastAsia="Times New Roman" w:hAnsi="Times New Roman" w:cs="Times New Roman"/>
                <w:sz w:val="24"/>
                <w:szCs w:val="24"/>
                <w:lang w:eastAsia="en-IN" w:bidi="ml-IN"/>
              </w:rPr>
              <w:t>1</w:t>
            </w:r>
          </w:p>
        </w:tc>
        <w:tc>
          <w:tcPr>
            <w:tcW w:w="1276" w:type="dxa"/>
            <w:vMerge w:val="restart"/>
            <w:tcBorders>
              <w:left w:val="nil"/>
              <w:right w:val="nil"/>
            </w:tcBorders>
          </w:tcPr>
          <w:p w14:paraId="382293D6" w14:textId="77777777" w:rsidR="00F63894" w:rsidRDefault="00F63894" w:rsidP="00F63894">
            <w:pPr>
              <w:jc w:val="center"/>
              <w:rPr>
                <w:rFonts w:ascii="Times New Roman" w:eastAsia="Times New Roman" w:hAnsi="Times New Roman" w:cs="Times New Roman"/>
                <w:sz w:val="24"/>
                <w:szCs w:val="24"/>
                <w:lang w:eastAsia="en-IN" w:bidi="ml-IN"/>
              </w:rPr>
            </w:pPr>
          </w:p>
          <w:p w14:paraId="3065CFF2" w14:textId="0A9603F5" w:rsidR="00F63894" w:rsidRPr="00B46317" w:rsidRDefault="00F63894" w:rsidP="00F63894">
            <w:pPr>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0.</w:t>
            </w:r>
            <w:r>
              <w:rPr>
                <w:rFonts w:ascii="Times New Roman" w:eastAsia="Times New Roman" w:hAnsi="Times New Roman" w:cs="Times New Roman"/>
                <w:sz w:val="24"/>
                <w:szCs w:val="24"/>
                <w:lang w:eastAsia="en-IN" w:bidi="ml-IN"/>
              </w:rPr>
              <w:t>909</w:t>
            </w:r>
          </w:p>
        </w:tc>
        <w:tc>
          <w:tcPr>
            <w:tcW w:w="1224" w:type="dxa"/>
            <w:vMerge w:val="restart"/>
            <w:tcBorders>
              <w:left w:val="nil"/>
              <w:right w:val="nil"/>
            </w:tcBorders>
          </w:tcPr>
          <w:p w14:paraId="6DAC5CA8" w14:textId="77777777" w:rsidR="00F63894" w:rsidRDefault="00F63894" w:rsidP="00F63894">
            <w:pPr>
              <w:jc w:val="center"/>
              <w:rPr>
                <w:rFonts w:ascii="Times New Roman" w:eastAsia="Times New Roman" w:hAnsi="Times New Roman" w:cs="Times New Roman"/>
                <w:sz w:val="24"/>
                <w:szCs w:val="24"/>
                <w:lang w:eastAsia="en-IN" w:bidi="ml-IN"/>
              </w:rPr>
            </w:pPr>
          </w:p>
          <w:p w14:paraId="4CE75326" w14:textId="218E5DAC" w:rsidR="00F63894" w:rsidRPr="00723DE6" w:rsidRDefault="00F63894" w:rsidP="00F63894">
            <w:pPr>
              <w:jc w:val="center"/>
              <w:rPr>
                <w:rFonts w:ascii="Times New Roman" w:eastAsia="Times New Roman" w:hAnsi="Times New Roman" w:cs="Times New Roman"/>
                <w:sz w:val="24"/>
                <w:szCs w:val="24"/>
                <w:lang w:eastAsia="en-IN" w:bidi="ml-IN"/>
              </w:rPr>
            </w:pPr>
            <w:r w:rsidRPr="00723DE6">
              <w:rPr>
                <w:rFonts w:ascii="Times New Roman" w:eastAsia="Times New Roman" w:hAnsi="Times New Roman" w:cs="Times New Roman"/>
                <w:sz w:val="24"/>
                <w:szCs w:val="24"/>
                <w:lang w:eastAsia="en-IN" w:bidi="ml-IN"/>
              </w:rPr>
              <w:t>0.452</w:t>
            </w:r>
          </w:p>
        </w:tc>
      </w:tr>
      <w:tr w:rsidR="00F63894" w14:paraId="755D1F55" w14:textId="77777777" w:rsidTr="009E6D46">
        <w:trPr>
          <w:trHeight w:val="275"/>
        </w:trPr>
        <w:tc>
          <w:tcPr>
            <w:tcW w:w="1980" w:type="dxa"/>
            <w:tcBorders>
              <w:top w:val="nil"/>
              <w:left w:val="nil"/>
              <w:bottom w:val="nil"/>
              <w:right w:val="nil"/>
            </w:tcBorders>
            <w:shd w:val="clear" w:color="auto" w:fill="E7E6E6" w:themeFill="background2"/>
          </w:tcPr>
          <w:p w14:paraId="4BDDADE9" w14:textId="7ADFFE60" w:rsidR="00F63894" w:rsidRPr="004C7191" w:rsidRDefault="00F63894" w:rsidP="00352948">
            <w:pPr>
              <w:spacing w:before="100" w:beforeAutospacing="1" w:after="100" w:afterAutospacing="1"/>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 xml:space="preserve">Within </w:t>
            </w:r>
            <w:r w:rsidR="00E45897">
              <w:rPr>
                <w:rFonts w:ascii="Times New Roman" w:eastAsia="Times New Roman" w:hAnsi="Times New Roman" w:cs="Times New Roman"/>
                <w:sz w:val="24"/>
                <w:szCs w:val="24"/>
                <w:lang w:eastAsia="en-IN" w:bidi="ml-IN"/>
              </w:rPr>
              <w:t>g</w:t>
            </w:r>
            <w:r w:rsidRPr="004C7191">
              <w:rPr>
                <w:rFonts w:ascii="Times New Roman" w:eastAsia="Times New Roman" w:hAnsi="Times New Roman" w:cs="Times New Roman"/>
                <w:sz w:val="24"/>
                <w:szCs w:val="24"/>
                <w:lang w:eastAsia="en-IN" w:bidi="ml-IN"/>
              </w:rPr>
              <w:t>roups</w:t>
            </w:r>
          </w:p>
        </w:tc>
        <w:tc>
          <w:tcPr>
            <w:tcW w:w="1843" w:type="dxa"/>
            <w:tcBorders>
              <w:top w:val="nil"/>
              <w:left w:val="nil"/>
              <w:bottom w:val="nil"/>
              <w:right w:val="nil"/>
            </w:tcBorders>
          </w:tcPr>
          <w:p w14:paraId="12659DDC" w14:textId="768C3DC0"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330.67</w:t>
            </w:r>
          </w:p>
        </w:tc>
        <w:tc>
          <w:tcPr>
            <w:tcW w:w="992" w:type="dxa"/>
            <w:tcBorders>
              <w:top w:val="nil"/>
              <w:left w:val="nil"/>
              <w:bottom w:val="nil"/>
              <w:right w:val="nil"/>
            </w:tcBorders>
          </w:tcPr>
          <w:p w14:paraId="5F65CF12" w14:textId="39FD45F9"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sidRPr="00B46317">
              <w:rPr>
                <w:rFonts w:ascii="Times New Roman" w:eastAsia="Times New Roman" w:hAnsi="Times New Roman" w:cs="Times New Roman"/>
                <w:sz w:val="24"/>
                <w:szCs w:val="24"/>
                <w:lang w:eastAsia="en-IN" w:bidi="ml-IN"/>
              </w:rPr>
              <w:t>6</w:t>
            </w:r>
          </w:p>
        </w:tc>
        <w:tc>
          <w:tcPr>
            <w:tcW w:w="1701" w:type="dxa"/>
            <w:tcBorders>
              <w:top w:val="nil"/>
              <w:left w:val="nil"/>
              <w:bottom w:val="nil"/>
              <w:right w:val="nil"/>
            </w:tcBorders>
          </w:tcPr>
          <w:p w14:paraId="5FC5D0AF" w14:textId="4B2ADED8"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55.11</w:t>
            </w:r>
            <w:r w:rsidR="00B16FB7">
              <w:rPr>
                <w:rFonts w:ascii="Times New Roman" w:eastAsia="Times New Roman" w:hAnsi="Times New Roman" w:cs="Times New Roman"/>
                <w:sz w:val="24"/>
                <w:szCs w:val="24"/>
                <w:lang w:eastAsia="en-IN" w:bidi="ml-IN"/>
              </w:rPr>
              <w:t>1</w:t>
            </w:r>
          </w:p>
        </w:tc>
        <w:tc>
          <w:tcPr>
            <w:tcW w:w="1276" w:type="dxa"/>
            <w:vMerge/>
            <w:tcBorders>
              <w:left w:val="nil"/>
              <w:right w:val="nil"/>
            </w:tcBorders>
          </w:tcPr>
          <w:p w14:paraId="42E3C009"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24" w:type="dxa"/>
            <w:vMerge/>
            <w:tcBorders>
              <w:left w:val="nil"/>
              <w:right w:val="nil"/>
            </w:tcBorders>
          </w:tcPr>
          <w:p w14:paraId="364AF9C7"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r>
      <w:tr w:rsidR="00F63894" w14:paraId="30681CBF" w14:textId="77777777" w:rsidTr="009E6D46">
        <w:trPr>
          <w:trHeight w:val="265"/>
        </w:trPr>
        <w:tc>
          <w:tcPr>
            <w:tcW w:w="1980" w:type="dxa"/>
            <w:tcBorders>
              <w:top w:val="nil"/>
              <w:left w:val="nil"/>
              <w:right w:val="nil"/>
            </w:tcBorders>
            <w:shd w:val="clear" w:color="auto" w:fill="E7E6E6" w:themeFill="background2"/>
          </w:tcPr>
          <w:p w14:paraId="1087EA21" w14:textId="244A01DB" w:rsidR="00F63894" w:rsidRPr="004C7191" w:rsidRDefault="00F63894" w:rsidP="00352948">
            <w:pPr>
              <w:spacing w:before="100" w:beforeAutospacing="1" w:after="100" w:afterAutospacing="1"/>
              <w:rPr>
                <w:rFonts w:ascii="Times New Roman" w:eastAsia="Times New Roman" w:hAnsi="Times New Roman" w:cs="Times New Roman"/>
                <w:sz w:val="24"/>
                <w:szCs w:val="24"/>
                <w:lang w:eastAsia="en-IN" w:bidi="ml-IN"/>
              </w:rPr>
            </w:pPr>
            <w:r w:rsidRPr="004C7191">
              <w:rPr>
                <w:rFonts w:ascii="Times New Roman" w:eastAsia="Times New Roman" w:hAnsi="Times New Roman" w:cs="Times New Roman"/>
                <w:sz w:val="24"/>
                <w:szCs w:val="24"/>
                <w:lang w:eastAsia="en-IN" w:bidi="ml-IN"/>
              </w:rPr>
              <w:t>Total</w:t>
            </w:r>
          </w:p>
        </w:tc>
        <w:tc>
          <w:tcPr>
            <w:tcW w:w="1843" w:type="dxa"/>
            <w:tcBorders>
              <w:top w:val="nil"/>
              <w:left w:val="nil"/>
              <w:right w:val="nil"/>
            </w:tcBorders>
          </w:tcPr>
          <w:p w14:paraId="492DBD58" w14:textId="29406CB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430.89</w:t>
            </w:r>
          </w:p>
        </w:tc>
        <w:tc>
          <w:tcPr>
            <w:tcW w:w="992" w:type="dxa"/>
            <w:tcBorders>
              <w:top w:val="nil"/>
              <w:left w:val="nil"/>
              <w:right w:val="nil"/>
            </w:tcBorders>
          </w:tcPr>
          <w:p w14:paraId="7AC5AC23" w14:textId="27977176"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w:t>
            </w:r>
          </w:p>
        </w:tc>
        <w:tc>
          <w:tcPr>
            <w:tcW w:w="1701" w:type="dxa"/>
            <w:tcBorders>
              <w:top w:val="nil"/>
              <w:left w:val="nil"/>
              <w:right w:val="nil"/>
            </w:tcBorders>
          </w:tcPr>
          <w:p w14:paraId="0C69AC62"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76" w:type="dxa"/>
            <w:vMerge/>
            <w:tcBorders>
              <w:left w:val="nil"/>
              <w:right w:val="nil"/>
            </w:tcBorders>
          </w:tcPr>
          <w:p w14:paraId="4D06F435"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c>
          <w:tcPr>
            <w:tcW w:w="1224" w:type="dxa"/>
            <w:vMerge/>
            <w:tcBorders>
              <w:left w:val="nil"/>
              <w:right w:val="nil"/>
            </w:tcBorders>
          </w:tcPr>
          <w:p w14:paraId="1ED36F78" w14:textId="77777777" w:rsidR="00F63894" w:rsidRPr="00B46317" w:rsidRDefault="00F63894" w:rsidP="00B46317">
            <w:pPr>
              <w:spacing w:before="100" w:beforeAutospacing="1" w:after="100" w:afterAutospacing="1"/>
              <w:jc w:val="center"/>
              <w:rPr>
                <w:rFonts w:ascii="Times New Roman" w:eastAsia="Times New Roman" w:hAnsi="Times New Roman" w:cs="Times New Roman"/>
                <w:sz w:val="24"/>
                <w:szCs w:val="24"/>
                <w:lang w:eastAsia="en-IN" w:bidi="ml-IN"/>
              </w:rPr>
            </w:pPr>
          </w:p>
        </w:tc>
      </w:tr>
    </w:tbl>
    <w:p w14:paraId="65439456" w14:textId="6C9EA6B1" w:rsidR="00F750EE" w:rsidRDefault="00F750EE" w:rsidP="00F750EE">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F750EE">
        <w:rPr>
          <w:rFonts w:ascii="Times New Roman" w:eastAsia="Times New Roman" w:hAnsi="Times New Roman" w:cs="Times New Roman"/>
          <w:sz w:val="24"/>
          <w:szCs w:val="24"/>
          <w:lang w:eastAsia="en-IN" w:bidi="ml-IN"/>
        </w:rPr>
        <w:lastRenderedPageBreak/>
        <w:t>Table 7 depicts that since p = 0.452 which is more than 0.05, there is no statistically significant difference between the three age groups regarding their overall satisfaction. The difference in mean scores is only due to sampling flu</w:t>
      </w:r>
      <w:r>
        <w:rPr>
          <w:rFonts w:ascii="Times New Roman" w:eastAsia="Times New Roman" w:hAnsi="Times New Roman" w:cs="Times New Roman"/>
          <w:sz w:val="24"/>
          <w:szCs w:val="24"/>
          <w:lang w:eastAsia="en-IN" w:bidi="ml-IN"/>
        </w:rPr>
        <w:t>c</w:t>
      </w:r>
      <w:r w:rsidRPr="00F750EE">
        <w:rPr>
          <w:rFonts w:ascii="Times New Roman" w:eastAsia="Times New Roman" w:hAnsi="Times New Roman" w:cs="Times New Roman"/>
          <w:sz w:val="24"/>
          <w:szCs w:val="24"/>
          <w:lang w:eastAsia="en-IN" w:bidi="ml-IN"/>
        </w:rPr>
        <w:t xml:space="preserve">tuations. </w:t>
      </w:r>
    </w:p>
    <w:p w14:paraId="36FB8B27" w14:textId="6CEEAAD0" w:rsidR="0099756C" w:rsidRPr="00284EF0" w:rsidRDefault="00D464A9" w:rsidP="00284EF0">
      <w:pPr>
        <w:pStyle w:val="ListParagraph"/>
        <w:numPr>
          <w:ilvl w:val="1"/>
          <w:numId w:val="14"/>
        </w:numPr>
        <w:spacing w:before="100" w:beforeAutospacing="1" w:after="100" w:afterAutospacing="1" w:line="240" w:lineRule="auto"/>
        <w:outlineLvl w:val="1"/>
        <w:rPr>
          <w:rFonts w:ascii="Times New Roman" w:eastAsia="Times New Roman" w:hAnsi="Times New Roman" w:cs="Times New Roman"/>
          <w:sz w:val="24"/>
          <w:szCs w:val="24"/>
          <w:lang w:eastAsia="en-IN" w:bidi="ml-IN"/>
        </w:rPr>
      </w:pPr>
      <w:r w:rsidRPr="00284EF0">
        <w:rPr>
          <w:rFonts w:ascii="Times New Roman" w:eastAsia="Times New Roman" w:hAnsi="Times New Roman" w:cs="Times New Roman"/>
          <w:b/>
          <w:bCs/>
          <w:sz w:val="24"/>
          <w:szCs w:val="24"/>
          <w:lang w:eastAsia="en-IN" w:bidi="ml-IN"/>
        </w:rPr>
        <w:t xml:space="preserve">Cross-tabulation of </w:t>
      </w:r>
      <w:r w:rsidR="00402935" w:rsidRPr="00284EF0">
        <w:rPr>
          <w:rFonts w:ascii="Times New Roman" w:eastAsia="Times New Roman" w:hAnsi="Times New Roman" w:cs="Times New Roman"/>
          <w:b/>
          <w:bCs/>
          <w:sz w:val="24"/>
          <w:szCs w:val="24"/>
          <w:lang w:eastAsia="en-IN" w:bidi="ml-IN"/>
        </w:rPr>
        <w:t>Education Status</w:t>
      </w:r>
      <w:r w:rsidR="00352948" w:rsidRPr="00284EF0">
        <w:rPr>
          <w:rFonts w:ascii="Times New Roman" w:eastAsia="Times New Roman" w:hAnsi="Times New Roman" w:cs="Times New Roman"/>
          <w:b/>
          <w:bCs/>
          <w:sz w:val="24"/>
          <w:szCs w:val="24"/>
          <w:lang w:eastAsia="en-IN" w:bidi="ml-IN"/>
        </w:rPr>
        <w:t xml:space="preserve"> vs. </w:t>
      </w:r>
      <w:r w:rsidR="00BC5518" w:rsidRPr="00284EF0">
        <w:rPr>
          <w:rFonts w:ascii="Times New Roman" w:eastAsia="Times New Roman" w:hAnsi="Times New Roman" w:cs="Times New Roman"/>
          <w:b/>
          <w:bCs/>
          <w:sz w:val="24"/>
          <w:szCs w:val="24"/>
          <w:lang w:eastAsia="en-IN" w:bidi="ml-IN"/>
        </w:rPr>
        <w:t xml:space="preserve">Overall </w:t>
      </w:r>
      <w:r w:rsidR="00352948" w:rsidRPr="00284EF0">
        <w:rPr>
          <w:rFonts w:ascii="Times New Roman" w:eastAsia="Times New Roman" w:hAnsi="Times New Roman" w:cs="Times New Roman"/>
          <w:b/>
          <w:bCs/>
          <w:sz w:val="24"/>
          <w:szCs w:val="24"/>
          <w:lang w:eastAsia="en-IN" w:bidi="ml-IN"/>
        </w:rPr>
        <w:t>Satisfaction Level</w:t>
      </w:r>
    </w:p>
    <w:p w14:paraId="5EADF96A" w14:textId="0D8BD789" w:rsidR="00434AF5" w:rsidRPr="00434AF5" w:rsidRDefault="00434AF5" w:rsidP="00434AF5">
      <w:pPr>
        <w:spacing w:before="100" w:beforeAutospacing="1" w:after="0" w:line="276" w:lineRule="auto"/>
        <w:jc w:val="both"/>
        <w:outlineLvl w:val="2"/>
        <w:rPr>
          <w:rFonts w:ascii="Times New Roman" w:eastAsia="Times New Roman" w:hAnsi="Times New Roman" w:cs="Times New Roman"/>
          <w:b/>
          <w:bCs/>
          <w:i/>
          <w:iCs/>
          <w:sz w:val="24"/>
          <w:szCs w:val="24"/>
          <w:lang w:eastAsia="en-IN" w:bidi="ml-IN"/>
        </w:rPr>
      </w:pPr>
      <w:r w:rsidRPr="00434AF5">
        <w:rPr>
          <w:rFonts w:ascii="Times New Roman" w:eastAsia="Times New Roman" w:hAnsi="Times New Roman" w:cs="Times New Roman"/>
          <w:b/>
          <w:bCs/>
          <w:i/>
          <w:iCs/>
          <w:sz w:val="24"/>
          <w:szCs w:val="24"/>
          <w:lang w:eastAsia="en-IN" w:bidi="ml-IN"/>
        </w:rPr>
        <w:t xml:space="preserve">Table </w:t>
      </w:r>
      <w:r w:rsidR="009C4BBD">
        <w:rPr>
          <w:rFonts w:ascii="Times New Roman" w:eastAsia="Times New Roman" w:hAnsi="Times New Roman" w:cs="Times New Roman"/>
          <w:b/>
          <w:bCs/>
          <w:i/>
          <w:iCs/>
          <w:sz w:val="24"/>
          <w:szCs w:val="24"/>
          <w:lang w:eastAsia="en-IN" w:bidi="ml-IN"/>
        </w:rPr>
        <w:t>8</w:t>
      </w:r>
      <w:r w:rsidRPr="00434AF5">
        <w:rPr>
          <w:rFonts w:ascii="Times New Roman" w:eastAsia="Times New Roman" w:hAnsi="Times New Roman" w:cs="Times New Roman"/>
          <w:b/>
          <w:bCs/>
          <w:i/>
          <w:iCs/>
          <w:sz w:val="24"/>
          <w:szCs w:val="24"/>
          <w:lang w:eastAsia="en-IN" w:bidi="ml-IN"/>
        </w:rPr>
        <w:t xml:space="preserve">: </w:t>
      </w:r>
      <w:bookmarkStart w:id="3" w:name="_Hlk207708296"/>
      <w:r w:rsidRPr="00434AF5">
        <w:rPr>
          <w:rFonts w:ascii="Times New Roman" w:eastAsia="Times New Roman" w:hAnsi="Times New Roman" w:cs="Times New Roman"/>
          <w:b/>
          <w:bCs/>
          <w:i/>
          <w:iCs/>
          <w:sz w:val="24"/>
          <w:szCs w:val="24"/>
          <w:lang w:eastAsia="en-IN" w:bidi="ml-IN"/>
        </w:rPr>
        <w:t xml:space="preserve">Overall satisfaction of LPG consumers across </w:t>
      </w:r>
      <w:r>
        <w:rPr>
          <w:rFonts w:ascii="Times New Roman" w:eastAsia="Times New Roman" w:hAnsi="Times New Roman" w:cs="Times New Roman"/>
          <w:b/>
          <w:bCs/>
          <w:i/>
          <w:iCs/>
          <w:sz w:val="24"/>
          <w:szCs w:val="24"/>
          <w:lang w:eastAsia="en-IN" w:bidi="ml-IN"/>
        </w:rPr>
        <w:t>varied education status</w:t>
      </w:r>
      <w:bookmarkEnd w:id="3"/>
    </w:p>
    <w:tbl>
      <w:tblPr>
        <w:tblStyle w:val="TableGrid"/>
        <w:tblW w:w="9072" w:type="dxa"/>
        <w:tblLook w:val="04A0" w:firstRow="1" w:lastRow="0" w:firstColumn="1" w:lastColumn="0" w:noHBand="0" w:noVBand="1"/>
      </w:tblPr>
      <w:tblGrid>
        <w:gridCol w:w="2694"/>
        <w:gridCol w:w="1559"/>
        <w:gridCol w:w="1559"/>
        <w:gridCol w:w="1843"/>
        <w:gridCol w:w="1417"/>
      </w:tblGrid>
      <w:tr w:rsidR="003C67E0" w14:paraId="1CC9B7C9" w14:textId="77777777" w:rsidTr="00AE5762">
        <w:trPr>
          <w:trHeight w:val="418"/>
        </w:trPr>
        <w:tc>
          <w:tcPr>
            <w:tcW w:w="2694" w:type="dxa"/>
            <w:tcBorders>
              <w:left w:val="nil"/>
              <w:bottom w:val="nil"/>
              <w:right w:val="nil"/>
            </w:tcBorders>
            <w:shd w:val="clear" w:color="auto" w:fill="E7E6E6" w:themeFill="background2"/>
          </w:tcPr>
          <w:p w14:paraId="032A452D" w14:textId="782EBDA4" w:rsidR="003C67E0" w:rsidRDefault="003C67E0"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1559" w:type="dxa"/>
            <w:tcBorders>
              <w:left w:val="nil"/>
              <w:bottom w:val="nil"/>
              <w:right w:val="nil"/>
            </w:tcBorders>
            <w:shd w:val="clear" w:color="auto" w:fill="E7E6E6" w:themeFill="background2"/>
          </w:tcPr>
          <w:p w14:paraId="07AC7EB5" w14:textId="53A7CB35"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Up to Higher Secondary</w:t>
            </w:r>
          </w:p>
        </w:tc>
        <w:tc>
          <w:tcPr>
            <w:tcW w:w="1559" w:type="dxa"/>
            <w:tcBorders>
              <w:left w:val="nil"/>
              <w:bottom w:val="nil"/>
              <w:right w:val="nil"/>
            </w:tcBorders>
            <w:shd w:val="clear" w:color="auto" w:fill="E7E6E6" w:themeFill="background2"/>
          </w:tcPr>
          <w:p w14:paraId="7F859170" w14:textId="2F838F53" w:rsidR="003C67E0" w:rsidRPr="00AE5762" w:rsidRDefault="003C67E0" w:rsidP="003C67E0">
            <w:pPr>
              <w:spacing w:before="100" w:beforeAutospacing="1" w:after="100" w:afterAutospacing="1"/>
              <w:jc w:val="right"/>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Graduation</w:t>
            </w:r>
          </w:p>
        </w:tc>
        <w:tc>
          <w:tcPr>
            <w:tcW w:w="1843" w:type="dxa"/>
            <w:tcBorders>
              <w:left w:val="nil"/>
              <w:bottom w:val="nil"/>
              <w:right w:val="nil"/>
            </w:tcBorders>
            <w:shd w:val="clear" w:color="auto" w:fill="E7E6E6" w:themeFill="background2"/>
          </w:tcPr>
          <w:p w14:paraId="4229628D" w14:textId="10C3CA8B"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Post-graduation &amp; above</w:t>
            </w:r>
          </w:p>
        </w:tc>
        <w:tc>
          <w:tcPr>
            <w:tcW w:w="1417" w:type="dxa"/>
            <w:tcBorders>
              <w:left w:val="nil"/>
              <w:bottom w:val="nil"/>
              <w:right w:val="nil"/>
            </w:tcBorders>
            <w:shd w:val="clear" w:color="auto" w:fill="E7E6E6" w:themeFill="background2"/>
          </w:tcPr>
          <w:p w14:paraId="48B682EE" w14:textId="5E169FC8" w:rsidR="003C67E0" w:rsidRPr="00AE5762" w:rsidRDefault="003C67E0" w:rsidP="003C67E0">
            <w:pPr>
              <w:spacing w:before="100" w:beforeAutospacing="1" w:after="100" w:afterAutospacing="1"/>
              <w:jc w:val="center"/>
              <w:rPr>
                <w:rFonts w:ascii="Times New Roman" w:eastAsia="Times New Roman" w:hAnsi="Times New Roman" w:cs="Times New Roman"/>
                <w:b/>
                <w:bCs/>
                <w:lang w:eastAsia="en-IN" w:bidi="ml-IN"/>
              </w:rPr>
            </w:pPr>
            <w:r w:rsidRPr="00AE5762">
              <w:rPr>
                <w:rFonts w:ascii="Times New Roman" w:eastAsia="Times New Roman" w:hAnsi="Times New Roman" w:cs="Times New Roman"/>
                <w:b/>
                <w:bCs/>
                <w:lang w:eastAsia="en-IN" w:bidi="ml-IN"/>
              </w:rPr>
              <w:t>Total</w:t>
            </w:r>
          </w:p>
        </w:tc>
      </w:tr>
      <w:tr w:rsidR="00895A57" w14:paraId="40C7D7A0" w14:textId="594B9412" w:rsidTr="00123831">
        <w:trPr>
          <w:trHeight w:val="309"/>
        </w:trPr>
        <w:tc>
          <w:tcPr>
            <w:tcW w:w="2694" w:type="dxa"/>
            <w:tcBorders>
              <w:left w:val="nil"/>
              <w:bottom w:val="nil"/>
              <w:right w:val="nil"/>
            </w:tcBorders>
            <w:shd w:val="clear" w:color="auto" w:fill="E7E6E6" w:themeFill="background2"/>
          </w:tcPr>
          <w:p w14:paraId="216787D7" w14:textId="2641F749"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1BD30D96" w14:textId="2E9AEB80"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13</w:t>
            </w:r>
            <w:r w:rsidR="00727D0D">
              <w:rPr>
                <w:rFonts w:ascii="Times New Roman" w:eastAsia="Times New Roman" w:hAnsi="Times New Roman" w:cs="Times New Roman"/>
                <w:sz w:val="24"/>
                <w:szCs w:val="24"/>
                <w:lang w:eastAsia="en-IN" w:bidi="ml-IN"/>
              </w:rPr>
              <w:t xml:space="preserve"> (33.33%)</w:t>
            </w:r>
          </w:p>
        </w:tc>
        <w:tc>
          <w:tcPr>
            <w:tcW w:w="1559" w:type="dxa"/>
            <w:tcBorders>
              <w:left w:val="nil"/>
              <w:bottom w:val="nil"/>
              <w:right w:val="nil"/>
            </w:tcBorders>
          </w:tcPr>
          <w:p w14:paraId="0ABCFC1A" w14:textId="24FC9499"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w:t>
            </w:r>
            <w:r w:rsidR="00727D0D">
              <w:rPr>
                <w:rFonts w:ascii="Times New Roman" w:eastAsia="Times New Roman" w:hAnsi="Times New Roman" w:cs="Times New Roman"/>
                <w:sz w:val="24"/>
                <w:szCs w:val="24"/>
                <w:lang w:eastAsia="en-IN" w:bidi="ml-IN"/>
              </w:rPr>
              <w:t xml:space="preserve"> (48.72</w:t>
            </w:r>
            <w:r w:rsidR="003C67E0">
              <w:rPr>
                <w:rFonts w:ascii="Times New Roman" w:eastAsia="Times New Roman" w:hAnsi="Times New Roman" w:cs="Times New Roman"/>
                <w:sz w:val="24"/>
                <w:szCs w:val="24"/>
                <w:lang w:eastAsia="en-IN" w:bidi="ml-IN"/>
              </w:rPr>
              <w:t>%</w:t>
            </w:r>
            <w:r w:rsidR="00727D0D">
              <w:rPr>
                <w:rFonts w:ascii="Times New Roman" w:eastAsia="Times New Roman" w:hAnsi="Times New Roman" w:cs="Times New Roman"/>
                <w:sz w:val="24"/>
                <w:szCs w:val="24"/>
                <w:lang w:eastAsia="en-IN" w:bidi="ml-IN"/>
              </w:rPr>
              <w:t>)</w:t>
            </w:r>
          </w:p>
        </w:tc>
        <w:tc>
          <w:tcPr>
            <w:tcW w:w="1843" w:type="dxa"/>
            <w:tcBorders>
              <w:left w:val="nil"/>
              <w:bottom w:val="nil"/>
              <w:right w:val="nil"/>
            </w:tcBorders>
          </w:tcPr>
          <w:p w14:paraId="0F20254D" w14:textId="08DD7C5D"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727D0D">
              <w:rPr>
                <w:rFonts w:ascii="Times New Roman" w:eastAsia="Times New Roman" w:hAnsi="Times New Roman" w:cs="Times New Roman"/>
                <w:sz w:val="24"/>
                <w:szCs w:val="24"/>
                <w:lang w:eastAsia="en-IN" w:bidi="ml-IN"/>
              </w:rPr>
              <w:t xml:space="preserve"> (17.95</w:t>
            </w:r>
            <w:r w:rsidR="003C67E0">
              <w:rPr>
                <w:rFonts w:ascii="Times New Roman" w:eastAsia="Times New Roman" w:hAnsi="Times New Roman" w:cs="Times New Roman"/>
                <w:sz w:val="24"/>
                <w:szCs w:val="24"/>
                <w:lang w:eastAsia="en-IN" w:bidi="ml-IN"/>
              </w:rPr>
              <w:t>%</w:t>
            </w:r>
            <w:r w:rsidR="00727D0D">
              <w:rPr>
                <w:rFonts w:ascii="Times New Roman" w:eastAsia="Times New Roman" w:hAnsi="Times New Roman" w:cs="Times New Roman"/>
                <w:sz w:val="24"/>
                <w:szCs w:val="24"/>
                <w:lang w:eastAsia="en-IN" w:bidi="ml-IN"/>
              </w:rPr>
              <w:t>)</w:t>
            </w:r>
          </w:p>
        </w:tc>
        <w:tc>
          <w:tcPr>
            <w:tcW w:w="1417" w:type="dxa"/>
            <w:tcBorders>
              <w:left w:val="nil"/>
              <w:bottom w:val="nil"/>
              <w:right w:val="nil"/>
            </w:tcBorders>
          </w:tcPr>
          <w:p w14:paraId="5F43A2C2" w14:textId="55AB5E0E"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727D0D">
              <w:rPr>
                <w:rFonts w:ascii="Times New Roman" w:eastAsia="Times New Roman" w:hAnsi="Times New Roman" w:cs="Times New Roman"/>
                <w:sz w:val="24"/>
                <w:szCs w:val="24"/>
                <w:lang w:eastAsia="en-IN" w:bidi="ml-IN"/>
              </w:rPr>
              <w:t xml:space="preserve"> (100 %)</w:t>
            </w:r>
          </w:p>
        </w:tc>
      </w:tr>
      <w:tr w:rsidR="00895A57" w14:paraId="744599D5" w14:textId="1785787A" w:rsidTr="00123831">
        <w:trPr>
          <w:trHeight w:val="281"/>
        </w:trPr>
        <w:tc>
          <w:tcPr>
            <w:tcW w:w="2694" w:type="dxa"/>
            <w:tcBorders>
              <w:top w:val="nil"/>
              <w:left w:val="nil"/>
              <w:bottom w:val="nil"/>
              <w:right w:val="nil"/>
            </w:tcBorders>
            <w:shd w:val="clear" w:color="auto" w:fill="E7E6E6" w:themeFill="background2"/>
          </w:tcPr>
          <w:p w14:paraId="4DA7E539" w14:textId="5DC1CA8B"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3D119C37" w14:textId="5D6DAF4E"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28</w:t>
            </w:r>
            <w:r w:rsidR="00727D0D">
              <w:rPr>
                <w:rFonts w:ascii="Times New Roman" w:eastAsia="Times New Roman" w:hAnsi="Times New Roman" w:cs="Times New Roman"/>
                <w:sz w:val="24"/>
                <w:szCs w:val="24"/>
                <w:lang w:eastAsia="en-IN" w:bidi="ml-IN"/>
              </w:rPr>
              <w:t xml:space="preserve"> (30.77%)</w:t>
            </w:r>
          </w:p>
        </w:tc>
        <w:tc>
          <w:tcPr>
            <w:tcW w:w="1559" w:type="dxa"/>
            <w:tcBorders>
              <w:top w:val="nil"/>
              <w:left w:val="nil"/>
              <w:bottom w:val="nil"/>
              <w:right w:val="nil"/>
            </w:tcBorders>
          </w:tcPr>
          <w:p w14:paraId="67A2C205" w14:textId="080F5B99"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47</w:t>
            </w:r>
            <w:r w:rsidR="00727D0D">
              <w:rPr>
                <w:rFonts w:ascii="Times New Roman" w:eastAsia="Times New Roman" w:hAnsi="Times New Roman" w:cs="Times New Roman"/>
                <w:sz w:val="24"/>
                <w:szCs w:val="24"/>
                <w:lang w:eastAsia="en-IN" w:bidi="ml-IN"/>
              </w:rPr>
              <w:t xml:space="preserve"> (51.65%)</w:t>
            </w:r>
          </w:p>
        </w:tc>
        <w:tc>
          <w:tcPr>
            <w:tcW w:w="1843" w:type="dxa"/>
            <w:tcBorders>
              <w:top w:val="nil"/>
              <w:left w:val="nil"/>
              <w:bottom w:val="nil"/>
              <w:right w:val="nil"/>
            </w:tcBorders>
          </w:tcPr>
          <w:p w14:paraId="69FA2410" w14:textId="639A0DC5"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w:t>
            </w:r>
            <w:r w:rsidR="00727D0D">
              <w:rPr>
                <w:rFonts w:ascii="Times New Roman" w:eastAsia="Times New Roman" w:hAnsi="Times New Roman" w:cs="Times New Roman"/>
                <w:sz w:val="24"/>
                <w:szCs w:val="24"/>
                <w:lang w:eastAsia="en-IN" w:bidi="ml-IN"/>
              </w:rPr>
              <w:t xml:space="preserve"> (17.58%)</w:t>
            </w:r>
          </w:p>
        </w:tc>
        <w:tc>
          <w:tcPr>
            <w:tcW w:w="1417" w:type="dxa"/>
            <w:tcBorders>
              <w:top w:val="nil"/>
              <w:left w:val="nil"/>
              <w:bottom w:val="nil"/>
              <w:right w:val="nil"/>
            </w:tcBorders>
          </w:tcPr>
          <w:p w14:paraId="3C466962" w14:textId="7EADE2F3"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727D0D">
              <w:rPr>
                <w:rFonts w:ascii="Times New Roman" w:eastAsia="Times New Roman" w:hAnsi="Times New Roman" w:cs="Times New Roman"/>
                <w:sz w:val="24"/>
                <w:szCs w:val="24"/>
                <w:lang w:eastAsia="en-IN" w:bidi="ml-IN"/>
              </w:rPr>
              <w:t xml:space="preserve"> (100 %)</w:t>
            </w:r>
          </w:p>
        </w:tc>
      </w:tr>
      <w:tr w:rsidR="00895A57" w14:paraId="7CF521F4" w14:textId="189BC494" w:rsidTr="003C67E0">
        <w:trPr>
          <w:trHeight w:val="317"/>
        </w:trPr>
        <w:tc>
          <w:tcPr>
            <w:tcW w:w="2694" w:type="dxa"/>
            <w:tcBorders>
              <w:top w:val="nil"/>
              <w:left w:val="nil"/>
              <w:bottom w:val="nil"/>
              <w:right w:val="nil"/>
            </w:tcBorders>
            <w:shd w:val="clear" w:color="auto" w:fill="E7E6E6" w:themeFill="background2"/>
          </w:tcPr>
          <w:p w14:paraId="2D2B7A4A" w14:textId="71024BD5" w:rsidR="00895A57"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77FF30BC" w14:textId="29211800"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w:t>
            </w:r>
            <w:r w:rsidR="00727D0D">
              <w:rPr>
                <w:rFonts w:ascii="Times New Roman" w:eastAsia="Times New Roman" w:hAnsi="Times New Roman" w:cs="Times New Roman"/>
                <w:sz w:val="24"/>
                <w:szCs w:val="24"/>
                <w:lang w:eastAsia="en-IN" w:bidi="ml-IN"/>
              </w:rPr>
              <w:t xml:space="preserve"> (8.75%)</w:t>
            </w:r>
          </w:p>
        </w:tc>
        <w:tc>
          <w:tcPr>
            <w:tcW w:w="1559" w:type="dxa"/>
            <w:tcBorders>
              <w:top w:val="nil"/>
              <w:left w:val="nil"/>
              <w:bottom w:val="nil"/>
              <w:right w:val="nil"/>
            </w:tcBorders>
          </w:tcPr>
          <w:p w14:paraId="13FDA3EC" w14:textId="2C7447EA"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727D0D">
              <w:rPr>
                <w:rFonts w:ascii="Times New Roman" w:eastAsia="Times New Roman" w:hAnsi="Times New Roman" w:cs="Times New Roman"/>
                <w:sz w:val="24"/>
                <w:szCs w:val="24"/>
                <w:lang w:eastAsia="en-IN" w:bidi="ml-IN"/>
              </w:rPr>
              <w:t xml:space="preserve"> (60.00%)</w:t>
            </w:r>
          </w:p>
        </w:tc>
        <w:tc>
          <w:tcPr>
            <w:tcW w:w="1843" w:type="dxa"/>
            <w:tcBorders>
              <w:top w:val="nil"/>
              <w:left w:val="nil"/>
              <w:bottom w:val="nil"/>
              <w:right w:val="nil"/>
            </w:tcBorders>
          </w:tcPr>
          <w:p w14:paraId="04863F86" w14:textId="0A3DC466"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25</w:t>
            </w:r>
            <w:r w:rsidR="00727D0D">
              <w:rPr>
                <w:rFonts w:ascii="Times New Roman" w:eastAsia="Times New Roman" w:hAnsi="Times New Roman" w:cs="Times New Roman"/>
                <w:sz w:val="24"/>
                <w:szCs w:val="24"/>
                <w:lang w:eastAsia="en-IN" w:bidi="ml-IN"/>
              </w:rPr>
              <w:t xml:space="preserve"> (31.25%)</w:t>
            </w:r>
          </w:p>
        </w:tc>
        <w:tc>
          <w:tcPr>
            <w:tcW w:w="1417" w:type="dxa"/>
            <w:tcBorders>
              <w:top w:val="nil"/>
              <w:left w:val="nil"/>
              <w:bottom w:val="nil"/>
              <w:right w:val="nil"/>
            </w:tcBorders>
          </w:tcPr>
          <w:p w14:paraId="2D3FA04B" w14:textId="47AB1A1D" w:rsidR="00895A57"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727D0D">
              <w:rPr>
                <w:rFonts w:ascii="Times New Roman" w:eastAsia="Times New Roman" w:hAnsi="Times New Roman" w:cs="Times New Roman"/>
                <w:sz w:val="24"/>
                <w:szCs w:val="24"/>
                <w:lang w:eastAsia="en-IN" w:bidi="ml-IN"/>
              </w:rPr>
              <w:t xml:space="preserve"> (100 %)</w:t>
            </w:r>
          </w:p>
        </w:tc>
      </w:tr>
      <w:tr w:rsidR="00895A57" w14:paraId="2E199DD7" w14:textId="3137480F" w:rsidTr="00123831">
        <w:trPr>
          <w:trHeight w:val="261"/>
        </w:trPr>
        <w:tc>
          <w:tcPr>
            <w:tcW w:w="2694" w:type="dxa"/>
            <w:tcBorders>
              <w:top w:val="nil"/>
              <w:left w:val="nil"/>
              <w:bottom w:val="nil"/>
              <w:right w:val="nil"/>
            </w:tcBorders>
            <w:shd w:val="clear" w:color="auto" w:fill="E7E6E6" w:themeFill="background2"/>
          </w:tcPr>
          <w:p w14:paraId="63247D22" w14:textId="77777777" w:rsidR="00895A57" w:rsidRPr="00727D0D" w:rsidRDefault="00895A57"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09E165FC" w14:textId="1265A4FF" w:rsidR="00895A57" w:rsidRPr="00727D0D" w:rsidRDefault="00220356"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r w:rsidR="0015044A">
              <w:rPr>
                <w:rFonts w:ascii="Times New Roman" w:eastAsia="Times New Roman" w:hAnsi="Times New Roman" w:cs="Times New Roman"/>
                <w:sz w:val="24"/>
                <w:szCs w:val="24"/>
                <w:lang w:eastAsia="en-IN" w:bidi="ml-IN"/>
              </w:rPr>
              <w:t>8</w:t>
            </w:r>
            <w:r w:rsidR="00727D0D" w:rsidRPr="00727D0D">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22</w:t>
            </w:r>
            <w:r w:rsidR="00727D0D">
              <w:rPr>
                <w:rFonts w:ascii="Times New Roman" w:eastAsia="Times New Roman" w:hAnsi="Times New Roman" w:cs="Times New Roman"/>
                <w:sz w:val="24"/>
                <w:szCs w:val="24"/>
                <w:lang w:eastAsia="en-IN" w:bidi="ml-IN"/>
              </w:rPr>
              <w:t>.</w:t>
            </w:r>
            <w:r>
              <w:rPr>
                <w:rFonts w:ascii="Times New Roman" w:eastAsia="Times New Roman" w:hAnsi="Times New Roman" w:cs="Times New Roman"/>
                <w:sz w:val="24"/>
                <w:szCs w:val="24"/>
                <w:lang w:eastAsia="en-IN" w:bidi="ml-IN"/>
              </w:rPr>
              <w:t>86</w:t>
            </w:r>
            <w:r w:rsidR="00727D0D" w:rsidRPr="00727D0D">
              <w:rPr>
                <w:rFonts w:ascii="Times New Roman" w:eastAsia="Times New Roman" w:hAnsi="Times New Roman" w:cs="Times New Roman"/>
                <w:sz w:val="24"/>
                <w:szCs w:val="24"/>
                <w:lang w:eastAsia="en-IN" w:bidi="ml-IN"/>
              </w:rPr>
              <w:t>%)</w:t>
            </w:r>
          </w:p>
        </w:tc>
        <w:tc>
          <w:tcPr>
            <w:tcW w:w="1559" w:type="dxa"/>
            <w:tcBorders>
              <w:top w:val="nil"/>
              <w:left w:val="nil"/>
              <w:bottom w:val="nil"/>
              <w:right w:val="nil"/>
            </w:tcBorders>
          </w:tcPr>
          <w:p w14:paraId="271225DA" w14:textId="14CB9476" w:rsidR="00895A57" w:rsidRPr="00727D0D"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11</w:t>
            </w:r>
            <w:r w:rsidR="00220356">
              <w:rPr>
                <w:rFonts w:ascii="Times New Roman" w:eastAsia="Times New Roman" w:hAnsi="Times New Roman" w:cs="Times New Roman"/>
                <w:sz w:val="24"/>
                <w:szCs w:val="24"/>
                <w:lang w:eastAsia="en-IN" w:bidi="ml-IN"/>
              </w:rPr>
              <w:t>4</w:t>
            </w:r>
            <w:r w:rsidR="00727D0D">
              <w:rPr>
                <w:rFonts w:ascii="Times New Roman" w:eastAsia="Times New Roman" w:hAnsi="Times New Roman" w:cs="Times New Roman"/>
                <w:sz w:val="24"/>
                <w:szCs w:val="24"/>
                <w:lang w:eastAsia="en-IN" w:bidi="ml-IN"/>
              </w:rPr>
              <w:t xml:space="preserve"> (5</w:t>
            </w:r>
            <w:r w:rsidR="00220356">
              <w:rPr>
                <w:rFonts w:ascii="Times New Roman" w:eastAsia="Times New Roman" w:hAnsi="Times New Roman" w:cs="Times New Roman"/>
                <w:sz w:val="24"/>
                <w:szCs w:val="24"/>
                <w:lang w:eastAsia="en-IN" w:bidi="ml-IN"/>
              </w:rPr>
              <w:t>4</w:t>
            </w:r>
            <w:r w:rsidR="00727D0D">
              <w:rPr>
                <w:rFonts w:ascii="Times New Roman" w:eastAsia="Times New Roman" w:hAnsi="Times New Roman" w:cs="Times New Roman"/>
                <w:sz w:val="24"/>
                <w:szCs w:val="24"/>
                <w:lang w:eastAsia="en-IN" w:bidi="ml-IN"/>
              </w:rPr>
              <w:t>.</w:t>
            </w:r>
            <w:r w:rsidR="00220356">
              <w:rPr>
                <w:rFonts w:ascii="Times New Roman" w:eastAsia="Times New Roman" w:hAnsi="Times New Roman" w:cs="Times New Roman"/>
                <w:sz w:val="24"/>
                <w:szCs w:val="24"/>
                <w:lang w:eastAsia="en-IN" w:bidi="ml-IN"/>
              </w:rPr>
              <w:t>29</w:t>
            </w:r>
            <w:r w:rsidR="00727D0D">
              <w:rPr>
                <w:rFonts w:ascii="Times New Roman" w:eastAsia="Times New Roman" w:hAnsi="Times New Roman" w:cs="Times New Roman"/>
                <w:sz w:val="24"/>
                <w:szCs w:val="24"/>
                <w:lang w:eastAsia="en-IN" w:bidi="ml-IN"/>
              </w:rPr>
              <w:t>%)</w:t>
            </w:r>
          </w:p>
        </w:tc>
        <w:tc>
          <w:tcPr>
            <w:tcW w:w="1843" w:type="dxa"/>
            <w:tcBorders>
              <w:top w:val="nil"/>
              <w:left w:val="nil"/>
              <w:bottom w:val="nil"/>
              <w:right w:val="nil"/>
            </w:tcBorders>
          </w:tcPr>
          <w:p w14:paraId="7E42E399" w14:textId="28128BB6" w:rsidR="00895A57" w:rsidRPr="00727D0D" w:rsidRDefault="00220356"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727D0D">
              <w:rPr>
                <w:rFonts w:ascii="Times New Roman" w:eastAsia="Times New Roman" w:hAnsi="Times New Roman" w:cs="Times New Roman"/>
                <w:sz w:val="24"/>
                <w:szCs w:val="24"/>
                <w:lang w:eastAsia="en-IN" w:bidi="ml-IN"/>
              </w:rPr>
              <w:t xml:space="preserve"> (2</w:t>
            </w:r>
            <w:r>
              <w:rPr>
                <w:rFonts w:ascii="Times New Roman" w:eastAsia="Times New Roman" w:hAnsi="Times New Roman" w:cs="Times New Roman"/>
                <w:sz w:val="24"/>
                <w:szCs w:val="24"/>
                <w:lang w:eastAsia="en-IN" w:bidi="ml-IN"/>
              </w:rPr>
              <w:t>2</w:t>
            </w:r>
            <w:r w:rsidR="00727D0D">
              <w:rPr>
                <w:rFonts w:ascii="Times New Roman" w:eastAsia="Times New Roman" w:hAnsi="Times New Roman" w:cs="Times New Roman"/>
                <w:sz w:val="24"/>
                <w:szCs w:val="24"/>
                <w:lang w:eastAsia="en-IN" w:bidi="ml-IN"/>
              </w:rPr>
              <w:t>.</w:t>
            </w:r>
            <w:r>
              <w:rPr>
                <w:rFonts w:ascii="Times New Roman" w:eastAsia="Times New Roman" w:hAnsi="Times New Roman" w:cs="Times New Roman"/>
                <w:sz w:val="24"/>
                <w:szCs w:val="24"/>
                <w:lang w:eastAsia="en-IN" w:bidi="ml-IN"/>
              </w:rPr>
              <w:t>86</w:t>
            </w:r>
            <w:r w:rsidR="00727D0D">
              <w:rPr>
                <w:rFonts w:ascii="Times New Roman" w:eastAsia="Times New Roman" w:hAnsi="Times New Roman" w:cs="Times New Roman"/>
                <w:sz w:val="24"/>
                <w:szCs w:val="24"/>
                <w:lang w:eastAsia="en-IN" w:bidi="ml-IN"/>
              </w:rPr>
              <w:t>%)</w:t>
            </w:r>
          </w:p>
        </w:tc>
        <w:tc>
          <w:tcPr>
            <w:tcW w:w="1417" w:type="dxa"/>
            <w:tcBorders>
              <w:top w:val="nil"/>
              <w:left w:val="nil"/>
              <w:bottom w:val="nil"/>
              <w:right w:val="nil"/>
            </w:tcBorders>
          </w:tcPr>
          <w:p w14:paraId="672268C1" w14:textId="727B60BD" w:rsidR="00895A57" w:rsidRPr="00727D0D" w:rsidRDefault="00895A5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727D0D">
              <w:rPr>
                <w:rFonts w:ascii="Times New Roman" w:eastAsia="Times New Roman" w:hAnsi="Times New Roman" w:cs="Times New Roman"/>
                <w:sz w:val="24"/>
                <w:szCs w:val="24"/>
                <w:lang w:eastAsia="en-IN" w:bidi="ml-IN"/>
              </w:rPr>
              <w:t>210</w:t>
            </w:r>
            <w:r w:rsidR="00727D0D">
              <w:rPr>
                <w:rFonts w:ascii="Times New Roman" w:eastAsia="Times New Roman" w:hAnsi="Times New Roman" w:cs="Times New Roman"/>
                <w:sz w:val="24"/>
                <w:szCs w:val="24"/>
                <w:lang w:eastAsia="en-IN" w:bidi="ml-IN"/>
              </w:rPr>
              <w:t xml:space="preserve"> (</w:t>
            </w:r>
            <w:r w:rsidR="003C67E0">
              <w:rPr>
                <w:rFonts w:ascii="Times New Roman" w:eastAsia="Times New Roman" w:hAnsi="Times New Roman" w:cs="Times New Roman"/>
                <w:sz w:val="24"/>
                <w:szCs w:val="24"/>
                <w:lang w:eastAsia="en-IN" w:bidi="ml-IN"/>
              </w:rPr>
              <w:t>100 %)</w:t>
            </w:r>
          </w:p>
        </w:tc>
      </w:tr>
      <w:tr w:rsidR="003C67E0" w14:paraId="6809818B" w14:textId="77777777" w:rsidTr="00123831">
        <w:trPr>
          <w:trHeight w:val="265"/>
        </w:trPr>
        <w:tc>
          <w:tcPr>
            <w:tcW w:w="2694" w:type="dxa"/>
            <w:tcBorders>
              <w:top w:val="nil"/>
              <w:left w:val="nil"/>
              <w:bottom w:val="single" w:sz="4" w:space="0" w:color="auto"/>
              <w:right w:val="nil"/>
            </w:tcBorders>
            <w:shd w:val="clear" w:color="auto" w:fill="E7E6E6" w:themeFill="background2"/>
          </w:tcPr>
          <w:p w14:paraId="6727DCB2" w14:textId="7E04CD62" w:rsidR="003C67E0" w:rsidRPr="00727D0D" w:rsidRDefault="003C67E0" w:rsidP="00123831">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7F4A8216" w14:textId="0C8FB659" w:rsidR="003C67E0" w:rsidRPr="00727D0D" w:rsidRDefault="00164DA7"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1.87</w:t>
            </w:r>
            <w:r w:rsidR="0081197C">
              <w:rPr>
                <w:rFonts w:ascii="Times New Roman" w:eastAsia="Times New Roman" w:hAnsi="Times New Roman" w:cs="Times New Roman"/>
                <w:sz w:val="24"/>
                <w:szCs w:val="24"/>
                <w:lang w:eastAsia="en-IN" w:bidi="ml-IN"/>
              </w:rPr>
              <w:t>50</w:t>
            </w:r>
          </w:p>
        </w:tc>
        <w:tc>
          <w:tcPr>
            <w:tcW w:w="1559" w:type="dxa"/>
            <w:tcBorders>
              <w:top w:val="nil"/>
              <w:left w:val="nil"/>
              <w:bottom w:val="single" w:sz="4" w:space="0" w:color="auto"/>
              <w:right w:val="nil"/>
            </w:tcBorders>
          </w:tcPr>
          <w:p w14:paraId="686D75A2" w14:textId="31492CB2" w:rsidR="003C67E0" w:rsidRPr="00727D0D" w:rsidRDefault="006753C3"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2.2544</w:t>
            </w:r>
          </w:p>
        </w:tc>
        <w:tc>
          <w:tcPr>
            <w:tcW w:w="1843" w:type="dxa"/>
            <w:tcBorders>
              <w:top w:val="nil"/>
              <w:left w:val="nil"/>
              <w:bottom w:val="single" w:sz="4" w:space="0" w:color="auto"/>
              <w:right w:val="nil"/>
            </w:tcBorders>
          </w:tcPr>
          <w:p w14:paraId="4A46BA91" w14:textId="2FB673BE" w:rsidR="003C67E0" w:rsidRPr="00727D0D" w:rsidRDefault="003C67E0"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w:t>
            </w:r>
            <w:r w:rsidR="006753C3">
              <w:rPr>
                <w:rFonts w:ascii="Times New Roman" w:eastAsia="Times New Roman" w:hAnsi="Times New Roman" w:cs="Times New Roman"/>
                <w:sz w:val="24"/>
                <w:szCs w:val="24"/>
                <w:lang w:eastAsia="en-IN" w:bidi="ml-IN"/>
              </w:rPr>
              <w:t>3750</w:t>
            </w:r>
          </w:p>
        </w:tc>
        <w:tc>
          <w:tcPr>
            <w:tcW w:w="1417" w:type="dxa"/>
            <w:tcBorders>
              <w:top w:val="nil"/>
              <w:left w:val="nil"/>
              <w:bottom w:val="single" w:sz="4" w:space="0" w:color="auto"/>
              <w:right w:val="nil"/>
            </w:tcBorders>
          </w:tcPr>
          <w:p w14:paraId="16702A0A" w14:textId="6DAF9166" w:rsidR="003C67E0" w:rsidRPr="00727D0D" w:rsidRDefault="003C67E0" w:rsidP="00123831">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30C1433D" w14:textId="32B2786F"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03C2FC6A" w14:textId="6D673CB7" w:rsidR="00123831" w:rsidRPr="00123831" w:rsidRDefault="00C0524E" w:rsidP="00F20244">
      <w:pPr>
        <w:spacing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The mean score of overall satisfaction is the highest among </w:t>
      </w:r>
      <w:r w:rsidR="00F20244">
        <w:rPr>
          <w:rFonts w:ascii="Times New Roman" w:eastAsia="Times New Roman" w:hAnsi="Times New Roman" w:cs="Times New Roman"/>
          <w:sz w:val="24"/>
          <w:szCs w:val="24"/>
          <w:lang w:eastAsia="en-IN" w:bidi="ml-IN"/>
        </w:rPr>
        <w:t xml:space="preserve">LPG consumers with education status of “post-graduation and above.” </w:t>
      </w:r>
      <w:r w:rsidR="00D64DFE">
        <w:rPr>
          <w:rFonts w:ascii="Times New Roman" w:eastAsia="Times New Roman" w:hAnsi="Times New Roman" w:cs="Times New Roman"/>
          <w:sz w:val="24"/>
          <w:szCs w:val="24"/>
          <w:lang w:eastAsia="en-IN" w:bidi="ml-IN"/>
        </w:rPr>
        <w:t>But the figure is the minimum (i.e., 1.875) in case of respondents of “up to higher secondary” education status.</w:t>
      </w:r>
      <w:r w:rsidR="004D2FE7">
        <w:rPr>
          <w:rFonts w:ascii="Times New Roman" w:eastAsia="Times New Roman" w:hAnsi="Times New Roman" w:cs="Times New Roman"/>
          <w:sz w:val="24"/>
          <w:szCs w:val="24"/>
          <w:lang w:eastAsia="en-IN" w:bidi="ml-IN"/>
        </w:rPr>
        <w:t xml:space="preserve"> </w:t>
      </w:r>
      <w:r w:rsidR="00D64DFE">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 </w:t>
      </w:r>
    </w:p>
    <w:p w14:paraId="77262DAE" w14:textId="34EE3D4D" w:rsidR="00D66976" w:rsidRPr="009A097E" w:rsidRDefault="00D66976" w:rsidP="00D66976">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t xml:space="preserve">Table </w:t>
      </w:r>
      <w:r>
        <w:rPr>
          <w:rFonts w:ascii="Times New Roman" w:eastAsia="Times New Roman" w:hAnsi="Times New Roman" w:cs="Times New Roman"/>
          <w:b/>
          <w:bCs/>
          <w:i/>
          <w:iCs/>
          <w:sz w:val="24"/>
          <w:szCs w:val="24"/>
          <w:lang w:eastAsia="en-IN" w:bidi="ml-IN"/>
        </w:rPr>
        <w:t>9</w:t>
      </w:r>
      <w:r w:rsidRPr="009A097E">
        <w:rPr>
          <w:rFonts w:ascii="Times New Roman" w:eastAsia="Times New Roman" w:hAnsi="Times New Roman" w:cs="Times New Roman"/>
          <w:b/>
          <w:bCs/>
          <w:i/>
          <w:iCs/>
          <w:sz w:val="24"/>
          <w:szCs w:val="24"/>
          <w:lang w:eastAsia="en-IN" w:bidi="ml-IN"/>
        </w:rPr>
        <w:t>: Chi-square</w:t>
      </w:r>
      <w:r>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w:t>
      </w:r>
      <w:r w:rsidR="00123831">
        <w:rPr>
          <w:rFonts w:ascii="Times New Roman" w:eastAsia="Times New Roman" w:hAnsi="Times New Roman" w:cs="Times New Roman"/>
          <w:b/>
          <w:bCs/>
          <w:i/>
          <w:iCs/>
          <w:sz w:val="24"/>
          <w:szCs w:val="24"/>
          <w:lang w:eastAsia="en-IN" w:bidi="ml-IN"/>
        </w:rPr>
        <w:t>education status</w:t>
      </w:r>
      <w:r w:rsidRPr="009A097E">
        <w:rPr>
          <w:rFonts w:ascii="Times New Roman" w:eastAsia="Times New Roman" w:hAnsi="Times New Roman" w:cs="Times New Roman"/>
          <w:b/>
          <w:bCs/>
          <w:i/>
          <w:iCs/>
          <w:sz w:val="24"/>
          <w:szCs w:val="24"/>
          <w:lang w:eastAsia="en-IN" w:bidi="ml-IN"/>
        </w:rPr>
        <w:t xml:space="preserve"> and level of satisfaction of LPG consumers</w:t>
      </w:r>
    </w:p>
    <w:tbl>
      <w:tblPr>
        <w:tblStyle w:val="TableGrid"/>
        <w:tblW w:w="9072" w:type="dxa"/>
        <w:tblLook w:val="04A0" w:firstRow="1" w:lastRow="0" w:firstColumn="1" w:lastColumn="0" w:noHBand="0" w:noVBand="1"/>
      </w:tblPr>
      <w:tblGrid>
        <w:gridCol w:w="3261"/>
        <w:gridCol w:w="1275"/>
        <w:gridCol w:w="993"/>
        <w:gridCol w:w="3543"/>
      </w:tblGrid>
      <w:tr w:rsidR="00701AAA" w:rsidRPr="004C7EB1" w14:paraId="19E9AA0D" w14:textId="77777777" w:rsidTr="00C11037">
        <w:trPr>
          <w:trHeight w:val="453"/>
        </w:trPr>
        <w:tc>
          <w:tcPr>
            <w:tcW w:w="3261" w:type="dxa"/>
            <w:tcBorders>
              <w:left w:val="nil"/>
              <w:bottom w:val="single" w:sz="4" w:space="0" w:color="auto"/>
              <w:right w:val="nil"/>
            </w:tcBorders>
            <w:shd w:val="clear" w:color="auto" w:fill="E7E6E6" w:themeFill="background2"/>
          </w:tcPr>
          <w:p w14:paraId="028E55EA" w14:textId="77777777"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1275" w:type="dxa"/>
            <w:tcBorders>
              <w:left w:val="nil"/>
              <w:bottom w:val="single" w:sz="4" w:space="0" w:color="auto"/>
              <w:right w:val="nil"/>
            </w:tcBorders>
            <w:shd w:val="clear" w:color="auto" w:fill="E7E6E6" w:themeFill="background2"/>
          </w:tcPr>
          <w:p w14:paraId="2982A38A" w14:textId="0DDD63B7" w:rsidR="00701AAA" w:rsidRPr="004C7EB1" w:rsidRDefault="009B7068" w:rsidP="00CF5628">
            <w:pPr>
              <w:spacing w:before="100" w:beforeAutospacing="1" w:after="100" w:afterAutospacing="1"/>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701AAA" w:rsidRPr="004C7EB1">
              <w:rPr>
                <w:rFonts w:ascii="Times New Roman" w:eastAsia="Times New Roman" w:hAnsi="Times New Roman" w:cs="Times New Roman"/>
                <w:b/>
                <w:bCs/>
                <w:lang w:eastAsia="en-IN" w:bidi="ml-IN"/>
              </w:rPr>
              <w:t>alue</w:t>
            </w:r>
          </w:p>
        </w:tc>
        <w:tc>
          <w:tcPr>
            <w:tcW w:w="993" w:type="dxa"/>
            <w:tcBorders>
              <w:left w:val="nil"/>
              <w:bottom w:val="single" w:sz="4" w:space="0" w:color="auto"/>
              <w:right w:val="nil"/>
            </w:tcBorders>
            <w:shd w:val="clear" w:color="auto" w:fill="E7E6E6" w:themeFill="background2"/>
          </w:tcPr>
          <w:p w14:paraId="13C89B16" w14:textId="77777777"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543" w:type="dxa"/>
            <w:tcBorders>
              <w:left w:val="nil"/>
              <w:bottom w:val="single" w:sz="4" w:space="0" w:color="auto"/>
              <w:right w:val="nil"/>
            </w:tcBorders>
            <w:shd w:val="clear" w:color="auto" w:fill="E7E6E6" w:themeFill="background2"/>
          </w:tcPr>
          <w:p w14:paraId="11F25D15" w14:textId="68229206" w:rsidR="00701AAA" w:rsidRPr="004C7EB1" w:rsidRDefault="00701AAA" w:rsidP="00CF5628">
            <w:pPr>
              <w:spacing w:before="100" w:beforeAutospacing="1" w:after="100" w:afterAutospacing="1"/>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2274D2">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2274D2">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701AAA" w14:paraId="71649015" w14:textId="77777777" w:rsidTr="00B719E4">
        <w:trPr>
          <w:trHeight w:val="274"/>
        </w:trPr>
        <w:tc>
          <w:tcPr>
            <w:tcW w:w="3261" w:type="dxa"/>
            <w:tcBorders>
              <w:left w:val="nil"/>
              <w:bottom w:val="nil"/>
              <w:right w:val="nil"/>
            </w:tcBorders>
            <w:shd w:val="clear" w:color="auto" w:fill="E7E6E6" w:themeFill="background2"/>
          </w:tcPr>
          <w:p w14:paraId="342D69C6" w14:textId="5CCC4995"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9B7068">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9B7068">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1275" w:type="dxa"/>
            <w:tcBorders>
              <w:left w:val="nil"/>
              <w:bottom w:val="nil"/>
              <w:right w:val="nil"/>
            </w:tcBorders>
          </w:tcPr>
          <w:p w14:paraId="4D3F9B7C" w14:textId="2792930D"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16.1</w:t>
            </w:r>
            <w:r w:rsidR="00DE2975">
              <w:rPr>
                <w:rFonts w:ascii="Times New Roman" w:eastAsia="Times New Roman" w:hAnsi="Times New Roman" w:cs="Times New Roman"/>
                <w:sz w:val="24"/>
                <w:szCs w:val="24"/>
                <w:lang w:eastAsia="en-IN" w:bidi="ml-IN"/>
              </w:rPr>
              <w:t>35</w:t>
            </w:r>
          </w:p>
        </w:tc>
        <w:tc>
          <w:tcPr>
            <w:tcW w:w="993" w:type="dxa"/>
            <w:tcBorders>
              <w:left w:val="nil"/>
              <w:bottom w:val="nil"/>
              <w:right w:val="nil"/>
            </w:tcBorders>
          </w:tcPr>
          <w:p w14:paraId="1C3CB3A0" w14:textId="76D9BF74"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543" w:type="dxa"/>
            <w:tcBorders>
              <w:left w:val="nil"/>
              <w:bottom w:val="nil"/>
              <w:right w:val="nil"/>
            </w:tcBorders>
          </w:tcPr>
          <w:p w14:paraId="5FC3B0DA" w14:textId="732C0E38"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0.003</w:t>
            </w:r>
          </w:p>
        </w:tc>
      </w:tr>
      <w:tr w:rsidR="00701AAA" w14:paraId="0DED93C5" w14:textId="77777777" w:rsidTr="00B719E4">
        <w:trPr>
          <w:trHeight w:val="273"/>
        </w:trPr>
        <w:tc>
          <w:tcPr>
            <w:tcW w:w="3261" w:type="dxa"/>
            <w:tcBorders>
              <w:top w:val="nil"/>
              <w:left w:val="nil"/>
              <w:bottom w:val="nil"/>
              <w:right w:val="nil"/>
            </w:tcBorders>
            <w:shd w:val="clear" w:color="auto" w:fill="E7E6E6" w:themeFill="background2"/>
          </w:tcPr>
          <w:p w14:paraId="39F85D41" w14:textId="555EE0DA"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Likelihood </w:t>
            </w:r>
            <w:r w:rsidR="009B7068">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1275" w:type="dxa"/>
            <w:tcBorders>
              <w:top w:val="nil"/>
              <w:left w:val="nil"/>
              <w:bottom w:val="nil"/>
              <w:right w:val="nil"/>
            </w:tcBorders>
          </w:tcPr>
          <w:p w14:paraId="081E688C" w14:textId="3EDDCA20"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16.2</w:t>
            </w:r>
            <w:r w:rsidR="00B054C3">
              <w:rPr>
                <w:rFonts w:ascii="Times New Roman" w:eastAsia="Times New Roman" w:hAnsi="Times New Roman" w:cs="Times New Roman"/>
                <w:sz w:val="24"/>
                <w:szCs w:val="24"/>
                <w:lang w:eastAsia="en-IN" w:bidi="ml-IN"/>
              </w:rPr>
              <w:t>64</w:t>
            </w:r>
          </w:p>
        </w:tc>
        <w:tc>
          <w:tcPr>
            <w:tcW w:w="993" w:type="dxa"/>
            <w:tcBorders>
              <w:top w:val="nil"/>
              <w:left w:val="nil"/>
              <w:bottom w:val="nil"/>
              <w:right w:val="nil"/>
            </w:tcBorders>
          </w:tcPr>
          <w:p w14:paraId="119D85D9" w14:textId="0822FB54"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543" w:type="dxa"/>
            <w:tcBorders>
              <w:top w:val="nil"/>
              <w:left w:val="nil"/>
              <w:bottom w:val="nil"/>
              <w:right w:val="nil"/>
            </w:tcBorders>
          </w:tcPr>
          <w:p w14:paraId="63249824" w14:textId="7E83E908"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0.003</w:t>
            </w:r>
          </w:p>
        </w:tc>
      </w:tr>
      <w:tr w:rsidR="00701AAA" w14:paraId="62991353" w14:textId="77777777" w:rsidTr="00B719E4">
        <w:trPr>
          <w:trHeight w:val="292"/>
        </w:trPr>
        <w:tc>
          <w:tcPr>
            <w:tcW w:w="3261" w:type="dxa"/>
            <w:tcBorders>
              <w:top w:val="nil"/>
              <w:left w:val="nil"/>
              <w:bottom w:val="nil"/>
              <w:right w:val="nil"/>
            </w:tcBorders>
            <w:shd w:val="clear" w:color="auto" w:fill="E7E6E6" w:themeFill="background2"/>
          </w:tcPr>
          <w:p w14:paraId="6E4A9540" w14:textId="40B0B31E"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9B7068">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9B7068">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1275" w:type="dxa"/>
            <w:tcBorders>
              <w:top w:val="nil"/>
              <w:left w:val="nil"/>
              <w:bottom w:val="nil"/>
              <w:right w:val="nil"/>
            </w:tcBorders>
          </w:tcPr>
          <w:p w14:paraId="3E4CAA4B" w14:textId="6B950882" w:rsidR="00701AAA" w:rsidRDefault="00B054C3"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0.022</w:t>
            </w:r>
          </w:p>
        </w:tc>
        <w:tc>
          <w:tcPr>
            <w:tcW w:w="993" w:type="dxa"/>
            <w:tcBorders>
              <w:top w:val="nil"/>
              <w:left w:val="nil"/>
              <w:bottom w:val="nil"/>
              <w:right w:val="nil"/>
            </w:tcBorders>
          </w:tcPr>
          <w:p w14:paraId="1E2DC468"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543" w:type="dxa"/>
            <w:tcBorders>
              <w:top w:val="nil"/>
              <w:left w:val="nil"/>
              <w:bottom w:val="nil"/>
              <w:right w:val="nil"/>
            </w:tcBorders>
          </w:tcPr>
          <w:p w14:paraId="5CD4965B" w14:textId="4E0B7E7E"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w:t>
            </w:r>
            <w:r w:rsidR="00B054C3">
              <w:rPr>
                <w:rFonts w:ascii="Times New Roman" w:eastAsia="Times New Roman" w:hAnsi="Times New Roman" w:cs="Times New Roman"/>
                <w:sz w:val="24"/>
                <w:szCs w:val="24"/>
                <w:lang w:eastAsia="en-IN" w:bidi="ml-IN"/>
              </w:rPr>
              <w:t>883</w:t>
            </w:r>
          </w:p>
        </w:tc>
      </w:tr>
      <w:tr w:rsidR="00701AAA" w14:paraId="1DCA5770" w14:textId="77777777" w:rsidTr="00C11037">
        <w:tc>
          <w:tcPr>
            <w:tcW w:w="3261" w:type="dxa"/>
            <w:tcBorders>
              <w:top w:val="nil"/>
              <w:left w:val="nil"/>
              <w:right w:val="nil"/>
            </w:tcBorders>
            <w:shd w:val="clear" w:color="auto" w:fill="E7E6E6" w:themeFill="background2"/>
          </w:tcPr>
          <w:p w14:paraId="25873111" w14:textId="1E75C73E" w:rsidR="00701AAA" w:rsidRDefault="00701AAA" w:rsidP="00CF5628">
            <w:pPr>
              <w:spacing w:before="100" w:beforeAutospacing="1" w:after="100" w:afterAutospacing="1"/>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9B7068">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9B7068">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9B7068">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1275" w:type="dxa"/>
            <w:tcBorders>
              <w:top w:val="nil"/>
              <w:left w:val="nil"/>
              <w:right w:val="nil"/>
            </w:tcBorders>
          </w:tcPr>
          <w:p w14:paraId="4E7231D1"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993" w:type="dxa"/>
            <w:tcBorders>
              <w:top w:val="nil"/>
              <w:left w:val="nil"/>
              <w:right w:val="nil"/>
            </w:tcBorders>
          </w:tcPr>
          <w:p w14:paraId="0DEDF433"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p>
        </w:tc>
        <w:tc>
          <w:tcPr>
            <w:tcW w:w="3543" w:type="dxa"/>
            <w:tcBorders>
              <w:top w:val="nil"/>
              <w:left w:val="nil"/>
              <w:right w:val="nil"/>
            </w:tcBorders>
          </w:tcPr>
          <w:p w14:paraId="7CBDF0C3" w14:textId="77777777" w:rsidR="00701AAA" w:rsidRDefault="00701AAA" w:rsidP="00CF5628">
            <w:pPr>
              <w:spacing w:before="100" w:beforeAutospacing="1" w:after="100" w:afterAutospacing="1"/>
              <w:jc w:val="center"/>
              <w:rPr>
                <w:rFonts w:ascii="Times New Roman" w:eastAsia="Times New Roman" w:hAnsi="Times New Roman" w:cs="Times New Roman"/>
                <w:sz w:val="24"/>
                <w:szCs w:val="24"/>
                <w:lang w:eastAsia="en-IN" w:bidi="ml-IN"/>
              </w:rPr>
            </w:pPr>
          </w:p>
        </w:tc>
      </w:tr>
    </w:tbl>
    <w:p w14:paraId="27DA06DB" w14:textId="1B22067C" w:rsidR="00D64DFE" w:rsidRDefault="00D64DFE" w:rsidP="00780B20">
      <w:pPr>
        <w:spacing w:before="100" w:beforeAutospacing="1" w:after="100" w:afterAutospacing="1" w:line="24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Since the one-way ANOVA table shows a p-value of 0.003 which is less than 0.05, there is a statistically significant association between overall satisfaction level and education status of consumers.</w:t>
      </w:r>
    </w:p>
    <w:p w14:paraId="488CD772" w14:textId="44B3BF08" w:rsidR="00097592" w:rsidRPr="00284EF0" w:rsidRDefault="00D464A9" w:rsidP="00284EF0">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lang w:eastAsia="en-IN" w:bidi="ml-IN"/>
        </w:rPr>
      </w:pPr>
      <w:r w:rsidRPr="00284EF0">
        <w:rPr>
          <w:rFonts w:ascii="Times New Roman" w:eastAsia="Times New Roman" w:hAnsi="Times New Roman" w:cs="Times New Roman"/>
          <w:b/>
          <w:bCs/>
          <w:sz w:val="24"/>
          <w:szCs w:val="24"/>
          <w:lang w:eastAsia="en-IN" w:bidi="ml-IN"/>
        </w:rPr>
        <w:t>Cross tabulation of</w:t>
      </w:r>
      <w:r w:rsidR="006E604D" w:rsidRPr="00284EF0">
        <w:rPr>
          <w:rFonts w:ascii="Times New Roman" w:eastAsia="Times New Roman" w:hAnsi="Times New Roman" w:cs="Times New Roman"/>
          <w:b/>
          <w:bCs/>
          <w:sz w:val="24"/>
          <w:szCs w:val="24"/>
          <w:lang w:eastAsia="en-IN" w:bidi="ml-IN"/>
        </w:rPr>
        <w:t xml:space="preserve"> </w:t>
      </w:r>
      <w:r w:rsidR="00812ACF" w:rsidRPr="00284EF0">
        <w:rPr>
          <w:rFonts w:ascii="Times New Roman" w:eastAsia="Times New Roman" w:hAnsi="Times New Roman" w:cs="Times New Roman"/>
          <w:b/>
          <w:bCs/>
          <w:sz w:val="24"/>
          <w:szCs w:val="24"/>
          <w:lang w:eastAsia="en-IN" w:bidi="ml-IN"/>
        </w:rPr>
        <w:t xml:space="preserve">Monthly Income vs. </w:t>
      </w:r>
      <w:r w:rsidR="00BC5518" w:rsidRPr="00284EF0">
        <w:rPr>
          <w:rFonts w:ascii="Times New Roman" w:eastAsia="Times New Roman" w:hAnsi="Times New Roman" w:cs="Times New Roman"/>
          <w:b/>
          <w:bCs/>
          <w:sz w:val="24"/>
          <w:szCs w:val="24"/>
          <w:lang w:eastAsia="en-IN" w:bidi="ml-IN"/>
        </w:rPr>
        <w:t xml:space="preserve">Overall </w:t>
      </w:r>
      <w:r w:rsidR="00812ACF" w:rsidRPr="00284EF0">
        <w:rPr>
          <w:rFonts w:ascii="Times New Roman" w:eastAsia="Times New Roman" w:hAnsi="Times New Roman" w:cs="Times New Roman"/>
          <w:b/>
          <w:bCs/>
          <w:sz w:val="24"/>
          <w:szCs w:val="24"/>
          <w:lang w:eastAsia="en-IN" w:bidi="ml-IN"/>
        </w:rPr>
        <w:t>Satisfaction Level</w:t>
      </w:r>
    </w:p>
    <w:p w14:paraId="2C9ADACB" w14:textId="024E2A71" w:rsidR="00434AF5" w:rsidRPr="00434AF5" w:rsidRDefault="00434AF5" w:rsidP="00434AF5">
      <w:pPr>
        <w:spacing w:before="100" w:beforeAutospacing="1" w:after="0"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i/>
          <w:iCs/>
          <w:sz w:val="24"/>
          <w:szCs w:val="24"/>
          <w:lang w:eastAsia="en-IN" w:bidi="ml-IN"/>
        </w:rPr>
        <w:t xml:space="preserve">Table </w:t>
      </w:r>
      <w:r w:rsidR="00E04C53">
        <w:rPr>
          <w:rFonts w:ascii="Times New Roman" w:eastAsia="Times New Roman" w:hAnsi="Times New Roman" w:cs="Times New Roman"/>
          <w:b/>
          <w:bCs/>
          <w:i/>
          <w:iCs/>
          <w:sz w:val="24"/>
          <w:szCs w:val="24"/>
          <w:lang w:eastAsia="en-IN" w:bidi="ml-IN"/>
        </w:rPr>
        <w:t>10</w:t>
      </w:r>
      <w:r>
        <w:rPr>
          <w:rFonts w:ascii="Times New Roman" w:eastAsia="Times New Roman" w:hAnsi="Times New Roman" w:cs="Times New Roman"/>
          <w:b/>
          <w:bCs/>
          <w:i/>
          <w:iCs/>
          <w:sz w:val="24"/>
          <w:szCs w:val="24"/>
          <w:lang w:eastAsia="en-IN" w:bidi="ml-IN"/>
        </w:rPr>
        <w:t xml:space="preserve">: </w:t>
      </w:r>
      <w:r w:rsidRPr="00434AF5">
        <w:rPr>
          <w:rFonts w:ascii="Times New Roman" w:eastAsia="Times New Roman" w:hAnsi="Times New Roman" w:cs="Times New Roman"/>
          <w:b/>
          <w:bCs/>
          <w:i/>
          <w:iCs/>
          <w:sz w:val="24"/>
          <w:szCs w:val="24"/>
          <w:lang w:eastAsia="en-IN" w:bidi="ml-IN"/>
        </w:rPr>
        <w:t xml:space="preserve">Overall satisfaction of LPG consumers across </w:t>
      </w:r>
      <w:r>
        <w:rPr>
          <w:rFonts w:ascii="Times New Roman" w:eastAsia="Times New Roman" w:hAnsi="Times New Roman" w:cs="Times New Roman"/>
          <w:b/>
          <w:bCs/>
          <w:i/>
          <w:iCs/>
          <w:sz w:val="24"/>
          <w:szCs w:val="24"/>
          <w:lang w:eastAsia="en-IN" w:bidi="ml-IN"/>
        </w:rPr>
        <w:t>varied income levels</w:t>
      </w:r>
    </w:p>
    <w:tbl>
      <w:tblPr>
        <w:tblStyle w:val="TableGrid"/>
        <w:tblW w:w="9072" w:type="dxa"/>
        <w:tblLayout w:type="fixed"/>
        <w:tblLook w:val="04A0" w:firstRow="1" w:lastRow="0" w:firstColumn="1" w:lastColumn="0" w:noHBand="0" w:noVBand="1"/>
      </w:tblPr>
      <w:tblGrid>
        <w:gridCol w:w="2694"/>
        <w:gridCol w:w="1559"/>
        <w:gridCol w:w="1984"/>
        <w:gridCol w:w="1418"/>
        <w:gridCol w:w="1417"/>
      </w:tblGrid>
      <w:tr w:rsidR="00BF7E03" w14:paraId="0F346A9E" w14:textId="77777777" w:rsidTr="00B719E4">
        <w:trPr>
          <w:trHeight w:val="604"/>
        </w:trPr>
        <w:tc>
          <w:tcPr>
            <w:tcW w:w="2694" w:type="dxa"/>
            <w:tcBorders>
              <w:left w:val="nil"/>
              <w:bottom w:val="nil"/>
              <w:right w:val="nil"/>
            </w:tcBorders>
            <w:shd w:val="clear" w:color="auto" w:fill="E7E6E6" w:themeFill="background2"/>
          </w:tcPr>
          <w:p w14:paraId="1FC74F38" w14:textId="79AF79C1" w:rsidR="00BF7E03" w:rsidRDefault="00BF7E03" w:rsidP="001B3741">
            <w:pPr>
              <w:spacing w:before="100" w:beforeAutospacing="1" w:after="100" w:afterAutospacing="1" w:line="36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1559" w:type="dxa"/>
            <w:tcBorders>
              <w:left w:val="nil"/>
              <w:bottom w:val="nil"/>
              <w:right w:val="nil"/>
            </w:tcBorders>
            <w:shd w:val="clear" w:color="auto" w:fill="E7E6E6" w:themeFill="background2"/>
          </w:tcPr>
          <w:p w14:paraId="68A911D7" w14:textId="77777777"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Below </w:t>
            </w:r>
          </w:p>
          <w:p w14:paraId="3C36D16A" w14:textId="3E296691"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Rs.25,000</w:t>
            </w:r>
          </w:p>
        </w:tc>
        <w:tc>
          <w:tcPr>
            <w:tcW w:w="1984" w:type="dxa"/>
            <w:tcBorders>
              <w:left w:val="nil"/>
              <w:bottom w:val="nil"/>
              <w:right w:val="nil"/>
            </w:tcBorders>
            <w:shd w:val="clear" w:color="auto" w:fill="E7E6E6" w:themeFill="background2"/>
          </w:tcPr>
          <w:p w14:paraId="771C38F9" w14:textId="1212ACA5"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Rs.25,000 – </w:t>
            </w:r>
          </w:p>
          <w:p w14:paraId="1E0CA095" w14:textId="5550A68F"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Rs.50,000</w:t>
            </w:r>
          </w:p>
        </w:tc>
        <w:tc>
          <w:tcPr>
            <w:tcW w:w="1418" w:type="dxa"/>
            <w:tcBorders>
              <w:left w:val="nil"/>
              <w:bottom w:val="nil"/>
              <w:right w:val="nil"/>
            </w:tcBorders>
            <w:shd w:val="clear" w:color="auto" w:fill="E7E6E6" w:themeFill="background2"/>
          </w:tcPr>
          <w:p w14:paraId="57FA903F" w14:textId="6ED860BB"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Above</w:t>
            </w:r>
          </w:p>
          <w:p w14:paraId="65793C22" w14:textId="7175F09C" w:rsidR="00BF7E03" w:rsidRDefault="00BF7E03" w:rsidP="00B719E4">
            <w:pPr>
              <w:spacing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Rs.50,000</w:t>
            </w:r>
          </w:p>
        </w:tc>
        <w:tc>
          <w:tcPr>
            <w:tcW w:w="1417" w:type="dxa"/>
            <w:tcBorders>
              <w:left w:val="nil"/>
              <w:bottom w:val="nil"/>
              <w:right w:val="nil"/>
            </w:tcBorders>
            <w:shd w:val="clear" w:color="auto" w:fill="E7E6E6" w:themeFill="background2"/>
          </w:tcPr>
          <w:p w14:paraId="7704D38B" w14:textId="6F728FF7" w:rsidR="00BF7E03" w:rsidRDefault="00BF7E03" w:rsidP="00B719E4">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Total</w:t>
            </w:r>
          </w:p>
        </w:tc>
      </w:tr>
      <w:tr w:rsidR="00850F82" w14:paraId="27417207" w14:textId="3E8EDE5B" w:rsidTr="003A5DA2">
        <w:trPr>
          <w:trHeight w:val="297"/>
        </w:trPr>
        <w:tc>
          <w:tcPr>
            <w:tcW w:w="2694" w:type="dxa"/>
            <w:tcBorders>
              <w:left w:val="nil"/>
              <w:bottom w:val="nil"/>
              <w:right w:val="nil"/>
            </w:tcBorders>
            <w:shd w:val="clear" w:color="auto" w:fill="E7E6E6" w:themeFill="background2"/>
          </w:tcPr>
          <w:p w14:paraId="71C8CFC1" w14:textId="2C81B258"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3FD7259C" w14:textId="1D4355DB"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w:t>
            </w:r>
            <w:r w:rsidR="00400B41">
              <w:rPr>
                <w:rFonts w:ascii="Times New Roman" w:eastAsia="Times New Roman" w:hAnsi="Times New Roman" w:cs="Times New Roman"/>
                <w:sz w:val="24"/>
                <w:szCs w:val="24"/>
                <w:lang w:eastAsia="en-IN" w:bidi="ml-IN"/>
              </w:rPr>
              <w:t xml:space="preserve"> (12.82%)</w:t>
            </w:r>
          </w:p>
        </w:tc>
        <w:tc>
          <w:tcPr>
            <w:tcW w:w="1984" w:type="dxa"/>
            <w:tcBorders>
              <w:left w:val="nil"/>
              <w:bottom w:val="nil"/>
              <w:right w:val="nil"/>
            </w:tcBorders>
          </w:tcPr>
          <w:p w14:paraId="3BCAAD4F" w14:textId="5AD7F53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14</w:t>
            </w:r>
            <w:r w:rsidR="00400B41">
              <w:rPr>
                <w:rFonts w:ascii="Times New Roman" w:eastAsia="Times New Roman" w:hAnsi="Times New Roman" w:cs="Times New Roman"/>
                <w:sz w:val="24"/>
                <w:szCs w:val="24"/>
                <w:lang w:eastAsia="en-IN" w:bidi="ml-IN"/>
              </w:rPr>
              <w:t xml:space="preserve"> (35.90%</w:t>
            </w:r>
          </w:p>
        </w:tc>
        <w:tc>
          <w:tcPr>
            <w:tcW w:w="1418" w:type="dxa"/>
            <w:tcBorders>
              <w:left w:val="nil"/>
              <w:bottom w:val="nil"/>
              <w:right w:val="nil"/>
            </w:tcBorders>
          </w:tcPr>
          <w:p w14:paraId="69678F28" w14:textId="5D8D098B"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w:t>
            </w:r>
            <w:r w:rsidR="00400B41">
              <w:rPr>
                <w:rFonts w:ascii="Times New Roman" w:eastAsia="Times New Roman" w:hAnsi="Times New Roman" w:cs="Times New Roman"/>
                <w:sz w:val="24"/>
                <w:szCs w:val="24"/>
                <w:lang w:eastAsia="en-IN" w:bidi="ml-IN"/>
              </w:rPr>
              <w:t xml:space="preserve"> (51.28%)</w:t>
            </w:r>
          </w:p>
        </w:tc>
        <w:tc>
          <w:tcPr>
            <w:tcW w:w="1417" w:type="dxa"/>
            <w:tcBorders>
              <w:left w:val="nil"/>
              <w:bottom w:val="nil"/>
              <w:right w:val="nil"/>
            </w:tcBorders>
          </w:tcPr>
          <w:p w14:paraId="44EBDB1B" w14:textId="67EC124C"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w:t>
            </w:r>
            <w:r w:rsidR="00400B41">
              <w:rPr>
                <w:rFonts w:ascii="Times New Roman" w:eastAsia="Times New Roman" w:hAnsi="Times New Roman" w:cs="Times New Roman"/>
                <w:sz w:val="24"/>
                <w:szCs w:val="24"/>
                <w:lang w:eastAsia="en-IN" w:bidi="ml-IN"/>
              </w:rPr>
              <w:t xml:space="preserve"> (100 %)</w:t>
            </w:r>
          </w:p>
        </w:tc>
      </w:tr>
      <w:tr w:rsidR="00850F82" w14:paraId="3E66070D" w14:textId="1BBEA970" w:rsidTr="003A5DA2">
        <w:trPr>
          <w:trHeight w:val="313"/>
        </w:trPr>
        <w:tc>
          <w:tcPr>
            <w:tcW w:w="2694" w:type="dxa"/>
            <w:tcBorders>
              <w:top w:val="nil"/>
              <w:left w:val="nil"/>
              <w:bottom w:val="nil"/>
              <w:right w:val="nil"/>
            </w:tcBorders>
            <w:shd w:val="clear" w:color="auto" w:fill="E7E6E6" w:themeFill="background2"/>
          </w:tcPr>
          <w:p w14:paraId="14C03A82" w14:textId="4E0EFE36"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2D91370A" w14:textId="4E594E8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w:t>
            </w:r>
            <w:r w:rsidR="00CC7E7C">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31.87%)</w:t>
            </w:r>
          </w:p>
        </w:tc>
        <w:tc>
          <w:tcPr>
            <w:tcW w:w="1984" w:type="dxa"/>
            <w:tcBorders>
              <w:top w:val="nil"/>
              <w:left w:val="nil"/>
              <w:bottom w:val="nil"/>
              <w:right w:val="nil"/>
            </w:tcBorders>
          </w:tcPr>
          <w:p w14:paraId="36F93BBF" w14:textId="100600E3"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48</w:t>
            </w:r>
            <w:r w:rsidR="00380ADC">
              <w:rPr>
                <w:rFonts w:ascii="Times New Roman" w:eastAsia="Times New Roman" w:hAnsi="Times New Roman" w:cs="Times New Roman"/>
                <w:sz w:val="24"/>
                <w:szCs w:val="24"/>
                <w:lang w:eastAsia="en-IN" w:bidi="ml-IN"/>
              </w:rPr>
              <w:t xml:space="preserve"> (52.75%)</w:t>
            </w:r>
          </w:p>
        </w:tc>
        <w:tc>
          <w:tcPr>
            <w:tcW w:w="1418" w:type="dxa"/>
            <w:tcBorders>
              <w:top w:val="nil"/>
              <w:left w:val="nil"/>
              <w:bottom w:val="nil"/>
              <w:right w:val="nil"/>
            </w:tcBorders>
          </w:tcPr>
          <w:p w14:paraId="1275E24F" w14:textId="4232A743"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14</w:t>
            </w:r>
            <w:r w:rsidR="00380ADC">
              <w:rPr>
                <w:rFonts w:ascii="Times New Roman" w:eastAsia="Times New Roman" w:hAnsi="Times New Roman" w:cs="Times New Roman"/>
                <w:sz w:val="24"/>
                <w:szCs w:val="24"/>
                <w:lang w:eastAsia="en-IN" w:bidi="ml-IN"/>
              </w:rPr>
              <w:t xml:space="preserve"> (15.38%)</w:t>
            </w:r>
          </w:p>
        </w:tc>
        <w:tc>
          <w:tcPr>
            <w:tcW w:w="1417" w:type="dxa"/>
            <w:tcBorders>
              <w:top w:val="nil"/>
              <w:left w:val="nil"/>
              <w:bottom w:val="nil"/>
              <w:right w:val="nil"/>
            </w:tcBorders>
          </w:tcPr>
          <w:p w14:paraId="4F77B4F5" w14:textId="654E4377"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0F82" w14:paraId="43A1D6DF" w14:textId="787D905B" w:rsidTr="003A5DA2">
        <w:trPr>
          <w:trHeight w:val="333"/>
        </w:trPr>
        <w:tc>
          <w:tcPr>
            <w:tcW w:w="2694" w:type="dxa"/>
            <w:tcBorders>
              <w:top w:val="nil"/>
              <w:left w:val="nil"/>
              <w:bottom w:val="nil"/>
              <w:right w:val="nil"/>
            </w:tcBorders>
            <w:shd w:val="clear" w:color="auto" w:fill="E7E6E6" w:themeFill="background2"/>
          </w:tcPr>
          <w:p w14:paraId="6B2954B6" w14:textId="758FCB17" w:rsidR="00850F82"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2BA3C5E6" w14:textId="36BF71A7"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27</w:t>
            </w:r>
            <w:r w:rsidR="00380ADC">
              <w:rPr>
                <w:rFonts w:ascii="Times New Roman" w:eastAsia="Times New Roman" w:hAnsi="Times New Roman" w:cs="Times New Roman"/>
                <w:sz w:val="24"/>
                <w:szCs w:val="24"/>
                <w:lang w:eastAsia="en-IN" w:bidi="ml-IN"/>
              </w:rPr>
              <w:t xml:space="preserve"> (33.75%) </w:t>
            </w:r>
          </w:p>
        </w:tc>
        <w:tc>
          <w:tcPr>
            <w:tcW w:w="1984" w:type="dxa"/>
            <w:tcBorders>
              <w:top w:val="nil"/>
              <w:left w:val="nil"/>
              <w:bottom w:val="nil"/>
              <w:right w:val="nil"/>
            </w:tcBorders>
          </w:tcPr>
          <w:p w14:paraId="44EBE517" w14:textId="06CAF47E"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34</w:t>
            </w:r>
            <w:r w:rsidR="00380ADC">
              <w:rPr>
                <w:rFonts w:ascii="Times New Roman" w:eastAsia="Times New Roman" w:hAnsi="Times New Roman" w:cs="Times New Roman"/>
                <w:sz w:val="24"/>
                <w:szCs w:val="24"/>
                <w:lang w:eastAsia="en-IN" w:bidi="ml-IN"/>
              </w:rPr>
              <w:t xml:space="preserve"> (42.50%)</w:t>
            </w:r>
          </w:p>
        </w:tc>
        <w:tc>
          <w:tcPr>
            <w:tcW w:w="1418" w:type="dxa"/>
            <w:tcBorders>
              <w:top w:val="nil"/>
              <w:left w:val="nil"/>
              <w:bottom w:val="nil"/>
              <w:right w:val="nil"/>
            </w:tcBorders>
          </w:tcPr>
          <w:p w14:paraId="28C089B6" w14:textId="7C742C5D"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w:t>
            </w:r>
            <w:r w:rsidR="00380ADC">
              <w:rPr>
                <w:rFonts w:ascii="Times New Roman" w:eastAsia="Times New Roman" w:hAnsi="Times New Roman" w:cs="Times New Roman"/>
                <w:sz w:val="24"/>
                <w:szCs w:val="24"/>
                <w:lang w:eastAsia="en-IN" w:bidi="ml-IN"/>
              </w:rPr>
              <w:t xml:space="preserve"> (23.75%)</w:t>
            </w:r>
          </w:p>
        </w:tc>
        <w:tc>
          <w:tcPr>
            <w:tcW w:w="1417" w:type="dxa"/>
            <w:tcBorders>
              <w:top w:val="nil"/>
              <w:left w:val="nil"/>
              <w:bottom w:val="nil"/>
              <w:right w:val="nil"/>
            </w:tcBorders>
          </w:tcPr>
          <w:p w14:paraId="7D6FC33C" w14:textId="067F0CD1" w:rsidR="00850F82"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0F82" w14:paraId="71B7991B" w14:textId="2615A081" w:rsidTr="003A5DA2">
        <w:trPr>
          <w:trHeight w:val="339"/>
        </w:trPr>
        <w:tc>
          <w:tcPr>
            <w:tcW w:w="2694" w:type="dxa"/>
            <w:tcBorders>
              <w:top w:val="nil"/>
              <w:left w:val="nil"/>
              <w:bottom w:val="nil"/>
              <w:right w:val="nil"/>
            </w:tcBorders>
            <w:shd w:val="clear" w:color="auto" w:fill="E7E6E6" w:themeFill="background2"/>
          </w:tcPr>
          <w:p w14:paraId="32BD0F71" w14:textId="77777777" w:rsidR="00850F82" w:rsidRPr="00380ADC" w:rsidRDefault="00850F82"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1A062125" w14:textId="167DC573"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61</w:t>
            </w:r>
            <w:r w:rsidR="00380ADC" w:rsidRPr="00380ADC">
              <w:rPr>
                <w:rFonts w:ascii="Times New Roman" w:eastAsia="Times New Roman" w:hAnsi="Times New Roman" w:cs="Times New Roman"/>
                <w:sz w:val="24"/>
                <w:szCs w:val="24"/>
                <w:lang w:eastAsia="en-IN" w:bidi="ml-IN"/>
              </w:rPr>
              <w:t xml:space="preserve"> (29.05%)</w:t>
            </w:r>
          </w:p>
        </w:tc>
        <w:tc>
          <w:tcPr>
            <w:tcW w:w="1984" w:type="dxa"/>
            <w:tcBorders>
              <w:top w:val="nil"/>
              <w:left w:val="nil"/>
              <w:bottom w:val="nil"/>
              <w:right w:val="nil"/>
            </w:tcBorders>
          </w:tcPr>
          <w:p w14:paraId="783239AB" w14:textId="646E287E"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96</w:t>
            </w:r>
            <w:r w:rsidR="00380ADC">
              <w:rPr>
                <w:rFonts w:ascii="Times New Roman" w:eastAsia="Times New Roman" w:hAnsi="Times New Roman" w:cs="Times New Roman"/>
                <w:sz w:val="24"/>
                <w:szCs w:val="24"/>
                <w:lang w:eastAsia="en-IN" w:bidi="ml-IN"/>
              </w:rPr>
              <w:t xml:space="preserve"> (45.71%)</w:t>
            </w:r>
          </w:p>
        </w:tc>
        <w:tc>
          <w:tcPr>
            <w:tcW w:w="1418" w:type="dxa"/>
            <w:tcBorders>
              <w:top w:val="nil"/>
              <w:left w:val="nil"/>
              <w:bottom w:val="nil"/>
              <w:right w:val="nil"/>
            </w:tcBorders>
          </w:tcPr>
          <w:p w14:paraId="39DB3BEC" w14:textId="71A11F21"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53</w:t>
            </w:r>
            <w:r w:rsidR="00380ADC">
              <w:rPr>
                <w:rFonts w:ascii="Times New Roman" w:eastAsia="Times New Roman" w:hAnsi="Times New Roman" w:cs="Times New Roman"/>
                <w:sz w:val="24"/>
                <w:szCs w:val="24"/>
                <w:lang w:eastAsia="en-IN" w:bidi="ml-IN"/>
              </w:rPr>
              <w:t xml:space="preserve"> (25.24%)</w:t>
            </w:r>
          </w:p>
        </w:tc>
        <w:tc>
          <w:tcPr>
            <w:tcW w:w="1417" w:type="dxa"/>
            <w:tcBorders>
              <w:top w:val="nil"/>
              <w:left w:val="nil"/>
              <w:bottom w:val="nil"/>
              <w:right w:val="nil"/>
            </w:tcBorders>
          </w:tcPr>
          <w:p w14:paraId="2A96AEAB" w14:textId="531B6692" w:rsidR="00850F82" w:rsidRPr="00380ADC" w:rsidRDefault="00850F82"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380ADC">
              <w:rPr>
                <w:rFonts w:ascii="Times New Roman" w:eastAsia="Times New Roman" w:hAnsi="Times New Roman" w:cs="Times New Roman"/>
                <w:sz w:val="24"/>
                <w:szCs w:val="24"/>
                <w:lang w:eastAsia="en-IN" w:bidi="ml-IN"/>
              </w:rPr>
              <w:t>210</w:t>
            </w:r>
            <w:r w:rsidR="00380ADC">
              <w:rPr>
                <w:rFonts w:ascii="Times New Roman" w:eastAsia="Times New Roman" w:hAnsi="Times New Roman" w:cs="Times New Roman"/>
                <w:sz w:val="24"/>
                <w:szCs w:val="24"/>
                <w:lang w:eastAsia="en-IN" w:bidi="ml-IN"/>
              </w:rPr>
              <w:t xml:space="preserve"> (100</w:t>
            </w:r>
            <w:r w:rsidR="00AE5762">
              <w:rPr>
                <w:rFonts w:ascii="Times New Roman" w:eastAsia="Times New Roman" w:hAnsi="Times New Roman" w:cs="Times New Roman"/>
                <w:sz w:val="24"/>
                <w:szCs w:val="24"/>
                <w:lang w:eastAsia="en-IN" w:bidi="ml-IN"/>
              </w:rPr>
              <w:t xml:space="preserve"> </w:t>
            </w:r>
            <w:r w:rsidR="00380ADC">
              <w:rPr>
                <w:rFonts w:ascii="Times New Roman" w:eastAsia="Times New Roman" w:hAnsi="Times New Roman" w:cs="Times New Roman"/>
                <w:sz w:val="24"/>
                <w:szCs w:val="24"/>
                <w:lang w:eastAsia="en-IN" w:bidi="ml-IN"/>
              </w:rPr>
              <w:t>%)</w:t>
            </w:r>
          </w:p>
        </w:tc>
      </w:tr>
      <w:tr w:rsidR="00857C14" w14:paraId="0529BCC5" w14:textId="77777777" w:rsidTr="003A5DA2">
        <w:trPr>
          <w:trHeight w:val="345"/>
        </w:trPr>
        <w:tc>
          <w:tcPr>
            <w:tcW w:w="2694" w:type="dxa"/>
            <w:tcBorders>
              <w:top w:val="nil"/>
              <w:left w:val="nil"/>
              <w:bottom w:val="single" w:sz="4" w:space="0" w:color="auto"/>
              <w:right w:val="nil"/>
            </w:tcBorders>
            <w:shd w:val="clear" w:color="auto" w:fill="E7E6E6" w:themeFill="background2"/>
          </w:tcPr>
          <w:p w14:paraId="0FE99B43" w14:textId="7F9C42FC" w:rsidR="00857C14" w:rsidRPr="00380ADC" w:rsidRDefault="00857C14" w:rsidP="003A5DA2">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0FF61643" w14:textId="1B7CA375"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2.3607</w:t>
            </w:r>
          </w:p>
        </w:tc>
        <w:tc>
          <w:tcPr>
            <w:tcW w:w="1984" w:type="dxa"/>
            <w:tcBorders>
              <w:top w:val="nil"/>
              <w:left w:val="nil"/>
              <w:bottom w:val="single" w:sz="4" w:space="0" w:color="auto"/>
              <w:right w:val="nil"/>
            </w:tcBorders>
          </w:tcPr>
          <w:p w14:paraId="6EC0AF4D" w14:textId="3C9F32B7"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2.2083</w:t>
            </w:r>
          </w:p>
        </w:tc>
        <w:tc>
          <w:tcPr>
            <w:tcW w:w="1418" w:type="dxa"/>
            <w:tcBorders>
              <w:top w:val="nil"/>
              <w:left w:val="nil"/>
              <w:bottom w:val="single" w:sz="4" w:space="0" w:color="auto"/>
              <w:right w:val="nil"/>
            </w:tcBorders>
          </w:tcPr>
          <w:p w14:paraId="71120831" w14:textId="119A31B3"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1.9811</w:t>
            </w:r>
          </w:p>
        </w:tc>
        <w:tc>
          <w:tcPr>
            <w:tcW w:w="1417" w:type="dxa"/>
            <w:tcBorders>
              <w:top w:val="nil"/>
              <w:left w:val="nil"/>
              <w:bottom w:val="single" w:sz="4" w:space="0" w:color="auto"/>
              <w:right w:val="nil"/>
            </w:tcBorders>
          </w:tcPr>
          <w:p w14:paraId="5BD13D4E" w14:textId="359B3C2D" w:rsidR="00857C14" w:rsidRPr="00380ADC" w:rsidRDefault="00857C14" w:rsidP="003A5DA2">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2.1952</w:t>
            </w:r>
          </w:p>
        </w:tc>
      </w:tr>
    </w:tbl>
    <w:p w14:paraId="013D4CC3" w14:textId="4690E0F3" w:rsidR="00297B1A"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7BB697BD" w14:textId="4088D29C" w:rsidR="000E45FD" w:rsidRPr="000E45FD" w:rsidRDefault="00BC6099" w:rsidP="00BC6099">
      <w:pPr>
        <w:spacing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While table 10 shows a highest mean score of 2.3607 among LPG consumers of monthly income group of below Rs.25000, it is only 1.9811 among those with monthly income of above Rs. 50,000.</w:t>
      </w:r>
    </w:p>
    <w:p w14:paraId="35044436" w14:textId="0BCBD43B" w:rsidR="00E04C53" w:rsidRPr="009A097E" w:rsidRDefault="00E04C53" w:rsidP="00E04C53">
      <w:pPr>
        <w:spacing w:before="100" w:beforeAutospacing="1" w:after="0" w:line="240" w:lineRule="auto"/>
        <w:jc w:val="both"/>
        <w:rPr>
          <w:rFonts w:ascii="Times New Roman" w:eastAsia="Times New Roman" w:hAnsi="Times New Roman" w:cs="Times New Roman"/>
          <w:b/>
          <w:bCs/>
          <w:i/>
          <w:iCs/>
          <w:sz w:val="32"/>
          <w:szCs w:val="32"/>
          <w:lang w:eastAsia="en-IN" w:bidi="ml-IN"/>
        </w:rPr>
      </w:pPr>
      <w:r w:rsidRPr="009A097E">
        <w:rPr>
          <w:rFonts w:ascii="Times New Roman" w:eastAsia="Times New Roman" w:hAnsi="Times New Roman" w:cs="Times New Roman"/>
          <w:b/>
          <w:bCs/>
          <w:i/>
          <w:iCs/>
          <w:sz w:val="24"/>
          <w:szCs w:val="24"/>
          <w:lang w:eastAsia="en-IN" w:bidi="ml-IN"/>
        </w:rPr>
        <w:lastRenderedPageBreak/>
        <w:t xml:space="preserve">Table </w:t>
      </w:r>
      <w:r>
        <w:rPr>
          <w:rFonts w:ascii="Times New Roman" w:eastAsia="Times New Roman" w:hAnsi="Times New Roman" w:cs="Times New Roman"/>
          <w:b/>
          <w:bCs/>
          <w:i/>
          <w:iCs/>
          <w:sz w:val="24"/>
          <w:szCs w:val="24"/>
          <w:lang w:eastAsia="en-IN" w:bidi="ml-IN"/>
        </w:rPr>
        <w:t>11</w:t>
      </w:r>
      <w:r w:rsidRPr="009A097E">
        <w:rPr>
          <w:rFonts w:ascii="Times New Roman" w:eastAsia="Times New Roman" w:hAnsi="Times New Roman" w:cs="Times New Roman"/>
          <w:b/>
          <w:bCs/>
          <w:i/>
          <w:iCs/>
          <w:sz w:val="24"/>
          <w:szCs w:val="24"/>
          <w:lang w:eastAsia="en-IN" w:bidi="ml-IN"/>
        </w:rPr>
        <w:t>: Chi-square</w:t>
      </w:r>
      <w:r>
        <w:rPr>
          <w:rFonts w:ascii="Times New Roman" w:eastAsia="Times New Roman" w:hAnsi="Times New Roman" w:cs="Times New Roman"/>
          <w:b/>
          <w:bCs/>
          <w:i/>
          <w:iCs/>
          <w:sz w:val="24"/>
          <w:szCs w:val="24"/>
          <w:lang w:eastAsia="en-IN" w:bidi="ml-IN"/>
        </w:rPr>
        <w:t xml:space="preserve"> </w:t>
      </w:r>
      <w:r w:rsidRPr="009A097E">
        <w:rPr>
          <w:rFonts w:ascii="Times New Roman" w:eastAsia="Times New Roman" w:hAnsi="Times New Roman" w:cs="Times New Roman"/>
          <w:b/>
          <w:bCs/>
          <w:i/>
          <w:iCs/>
          <w:sz w:val="24"/>
          <w:szCs w:val="24"/>
          <w:lang w:eastAsia="en-IN" w:bidi="ml-IN"/>
        </w:rPr>
        <w:t xml:space="preserve">results of </w:t>
      </w:r>
      <w:r>
        <w:rPr>
          <w:rFonts w:ascii="Times New Roman" w:eastAsia="Times New Roman" w:hAnsi="Times New Roman" w:cs="Times New Roman"/>
          <w:b/>
          <w:bCs/>
          <w:i/>
          <w:iCs/>
          <w:sz w:val="24"/>
          <w:szCs w:val="24"/>
          <w:lang w:eastAsia="en-IN" w:bidi="ml-IN"/>
        </w:rPr>
        <w:t xml:space="preserve">testing </w:t>
      </w:r>
      <w:r w:rsidRPr="009A097E">
        <w:rPr>
          <w:rFonts w:ascii="Times New Roman" w:eastAsia="Times New Roman" w:hAnsi="Times New Roman" w:cs="Times New Roman"/>
          <w:b/>
          <w:bCs/>
          <w:i/>
          <w:iCs/>
          <w:sz w:val="24"/>
          <w:szCs w:val="24"/>
          <w:lang w:eastAsia="en-IN" w:bidi="ml-IN"/>
        </w:rPr>
        <w:t xml:space="preserve">significant association between </w:t>
      </w:r>
      <w:r w:rsidR="006025A8">
        <w:rPr>
          <w:rFonts w:ascii="Times New Roman" w:eastAsia="Times New Roman" w:hAnsi="Times New Roman" w:cs="Times New Roman"/>
          <w:b/>
          <w:bCs/>
          <w:i/>
          <w:iCs/>
          <w:sz w:val="24"/>
          <w:szCs w:val="24"/>
          <w:lang w:eastAsia="en-IN" w:bidi="ml-IN"/>
        </w:rPr>
        <w:t xml:space="preserve">monthly </w:t>
      </w:r>
      <w:r>
        <w:rPr>
          <w:rFonts w:ascii="Times New Roman" w:eastAsia="Times New Roman" w:hAnsi="Times New Roman" w:cs="Times New Roman"/>
          <w:b/>
          <w:bCs/>
          <w:i/>
          <w:iCs/>
          <w:sz w:val="24"/>
          <w:szCs w:val="24"/>
          <w:lang w:eastAsia="en-IN" w:bidi="ml-IN"/>
        </w:rPr>
        <w:t>income</w:t>
      </w:r>
      <w:r w:rsidRPr="009A097E">
        <w:rPr>
          <w:rFonts w:ascii="Times New Roman" w:eastAsia="Times New Roman" w:hAnsi="Times New Roman" w:cs="Times New Roman"/>
          <w:b/>
          <w:bCs/>
          <w:i/>
          <w:iCs/>
          <w:sz w:val="24"/>
          <w:szCs w:val="24"/>
          <w:lang w:eastAsia="en-IN" w:bidi="ml-IN"/>
        </w:rPr>
        <w:t xml:space="preserve"> and satisfaction </w:t>
      </w:r>
      <w:r>
        <w:rPr>
          <w:rFonts w:ascii="Times New Roman" w:eastAsia="Times New Roman" w:hAnsi="Times New Roman" w:cs="Times New Roman"/>
          <w:b/>
          <w:bCs/>
          <w:i/>
          <w:iCs/>
          <w:sz w:val="24"/>
          <w:szCs w:val="24"/>
          <w:lang w:eastAsia="en-IN" w:bidi="ml-IN"/>
        </w:rPr>
        <w:t xml:space="preserve">level </w:t>
      </w:r>
      <w:r w:rsidRPr="009A097E">
        <w:rPr>
          <w:rFonts w:ascii="Times New Roman" w:eastAsia="Times New Roman" w:hAnsi="Times New Roman" w:cs="Times New Roman"/>
          <w:b/>
          <w:bCs/>
          <w:i/>
          <w:iCs/>
          <w:sz w:val="24"/>
          <w:szCs w:val="24"/>
          <w:lang w:eastAsia="en-IN" w:bidi="ml-IN"/>
        </w:rPr>
        <w:t>of LPG consumers</w:t>
      </w:r>
    </w:p>
    <w:tbl>
      <w:tblPr>
        <w:tblStyle w:val="TableGrid"/>
        <w:tblW w:w="0" w:type="auto"/>
        <w:tblLook w:val="04A0" w:firstRow="1" w:lastRow="0" w:firstColumn="1" w:lastColumn="0" w:noHBand="0" w:noVBand="1"/>
      </w:tblPr>
      <w:tblGrid>
        <w:gridCol w:w="3261"/>
        <w:gridCol w:w="992"/>
        <w:gridCol w:w="850"/>
        <w:gridCol w:w="3828"/>
      </w:tblGrid>
      <w:tr w:rsidR="00A74A4B" w:rsidRPr="004C7EB1" w14:paraId="4D58B00A" w14:textId="77777777" w:rsidTr="00FD6151">
        <w:trPr>
          <w:trHeight w:val="395"/>
        </w:trPr>
        <w:tc>
          <w:tcPr>
            <w:tcW w:w="3261" w:type="dxa"/>
            <w:tcBorders>
              <w:left w:val="nil"/>
              <w:bottom w:val="single" w:sz="4" w:space="0" w:color="auto"/>
              <w:right w:val="nil"/>
            </w:tcBorders>
            <w:shd w:val="clear" w:color="auto" w:fill="E7E6E6" w:themeFill="background2"/>
          </w:tcPr>
          <w:p w14:paraId="5E5C771A" w14:textId="77777777"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Test</w:t>
            </w:r>
          </w:p>
        </w:tc>
        <w:tc>
          <w:tcPr>
            <w:tcW w:w="992" w:type="dxa"/>
            <w:tcBorders>
              <w:left w:val="nil"/>
              <w:bottom w:val="single" w:sz="4" w:space="0" w:color="auto"/>
              <w:right w:val="nil"/>
            </w:tcBorders>
            <w:shd w:val="clear" w:color="auto" w:fill="E7E6E6" w:themeFill="background2"/>
          </w:tcPr>
          <w:p w14:paraId="1C521B2E" w14:textId="57199F8A" w:rsidR="00A74A4B" w:rsidRPr="004C7EB1" w:rsidRDefault="00AA763E"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v</w:t>
            </w:r>
            <w:r w:rsidR="00A74A4B" w:rsidRPr="004C7EB1">
              <w:rPr>
                <w:rFonts w:ascii="Times New Roman" w:eastAsia="Times New Roman" w:hAnsi="Times New Roman" w:cs="Times New Roman"/>
                <w:b/>
                <w:bCs/>
                <w:lang w:eastAsia="en-IN" w:bidi="ml-IN"/>
              </w:rPr>
              <w:t>alue</w:t>
            </w:r>
          </w:p>
        </w:tc>
        <w:tc>
          <w:tcPr>
            <w:tcW w:w="850" w:type="dxa"/>
            <w:tcBorders>
              <w:left w:val="nil"/>
              <w:bottom w:val="single" w:sz="4" w:space="0" w:color="auto"/>
              <w:right w:val="nil"/>
            </w:tcBorders>
            <w:shd w:val="clear" w:color="auto" w:fill="E7E6E6" w:themeFill="background2"/>
          </w:tcPr>
          <w:p w14:paraId="14E97B6C" w14:textId="77777777"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df</w:t>
            </w:r>
          </w:p>
        </w:tc>
        <w:tc>
          <w:tcPr>
            <w:tcW w:w="3828" w:type="dxa"/>
            <w:tcBorders>
              <w:left w:val="nil"/>
              <w:bottom w:val="single" w:sz="4" w:space="0" w:color="auto"/>
              <w:right w:val="nil"/>
            </w:tcBorders>
            <w:shd w:val="clear" w:color="auto" w:fill="E7E6E6" w:themeFill="background2"/>
          </w:tcPr>
          <w:p w14:paraId="5C308B31" w14:textId="7E2B80EE" w:rsidR="00A74A4B" w:rsidRPr="004C7EB1" w:rsidRDefault="00A74A4B" w:rsidP="00FD6151">
            <w:pPr>
              <w:spacing w:before="100" w:beforeAutospacing="1" w:after="100" w:afterAutospacing="1" w:line="276" w:lineRule="auto"/>
              <w:jc w:val="center"/>
              <w:rPr>
                <w:rFonts w:ascii="Times New Roman" w:eastAsia="Times New Roman" w:hAnsi="Times New Roman" w:cs="Times New Roman"/>
                <w:b/>
                <w:bCs/>
                <w:lang w:eastAsia="en-IN" w:bidi="ml-IN"/>
              </w:rPr>
            </w:pPr>
            <w:r w:rsidRPr="004C7EB1">
              <w:rPr>
                <w:rFonts w:ascii="Times New Roman" w:eastAsia="Times New Roman" w:hAnsi="Times New Roman" w:cs="Times New Roman"/>
                <w:b/>
                <w:bCs/>
                <w:lang w:eastAsia="en-IN" w:bidi="ml-IN"/>
              </w:rPr>
              <w:t xml:space="preserve">Asymptotic </w:t>
            </w:r>
            <w:r w:rsidR="00AA763E">
              <w:rPr>
                <w:rFonts w:ascii="Times New Roman" w:eastAsia="Times New Roman" w:hAnsi="Times New Roman" w:cs="Times New Roman"/>
                <w:b/>
                <w:bCs/>
                <w:lang w:eastAsia="en-IN" w:bidi="ml-IN"/>
              </w:rPr>
              <w:t>S</w:t>
            </w:r>
            <w:r w:rsidRPr="004C7EB1">
              <w:rPr>
                <w:rFonts w:ascii="Times New Roman" w:eastAsia="Times New Roman" w:hAnsi="Times New Roman" w:cs="Times New Roman"/>
                <w:b/>
                <w:bCs/>
                <w:lang w:eastAsia="en-IN" w:bidi="ml-IN"/>
              </w:rPr>
              <w:t>ignificance (2</w:t>
            </w:r>
            <w:r w:rsidR="00AA763E">
              <w:rPr>
                <w:rFonts w:ascii="Times New Roman" w:eastAsia="Times New Roman" w:hAnsi="Times New Roman" w:cs="Times New Roman"/>
                <w:b/>
                <w:bCs/>
                <w:lang w:eastAsia="en-IN" w:bidi="ml-IN"/>
              </w:rPr>
              <w:t>-</w:t>
            </w:r>
            <w:r w:rsidRPr="004C7EB1">
              <w:rPr>
                <w:rFonts w:ascii="Times New Roman" w:eastAsia="Times New Roman" w:hAnsi="Times New Roman" w:cs="Times New Roman"/>
                <w:b/>
                <w:bCs/>
                <w:lang w:eastAsia="en-IN" w:bidi="ml-IN"/>
              </w:rPr>
              <w:t>sided)</w:t>
            </w:r>
          </w:p>
        </w:tc>
      </w:tr>
      <w:tr w:rsidR="00A74A4B" w14:paraId="0A75D596" w14:textId="77777777" w:rsidTr="00420A3A">
        <w:trPr>
          <w:trHeight w:val="359"/>
        </w:trPr>
        <w:tc>
          <w:tcPr>
            <w:tcW w:w="3261" w:type="dxa"/>
            <w:tcBorders>
              <w:left w:val="nil"/>
              <w:bottom w:val="nil"/>
              <w:right w:val="nil"/>
            </w:tcBorders>
            <w:shd w:val="clear" w:color="auto" w:fill="E7E6E6" w:themeFill="background2"/>
          </w:tcPr>
          <w:p w14:paraId="5E665648" w14:textId="78F4474C"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Pearson</w:t>
            </w:r>
            <w:r w:rsidR="00AA763E">
              <w:rPr>
                <w:rFonts w:ascii="Times New Roman" w:eastAsia="Times New Roman" w:hAnsi="Times New Roman" w:cs="Times New Roman"/>
                <w:sz w:val="24"/>
                <w:szCs w:val="24"/>
                <w:lang w:eastAsia="en-IN" w:bidi="ml-IN"/>
              </w:rPr>
              <w:t>ian</w:t>
            </w:r>
            <w:r>
              <w:rPr>
                <w:rFonts w:ascii="Times New Roman" w:eastAsia="Times New Roman" w:hAnsi="Times New Roman" w:cs="Times New Roman"/>
                <w:sz w:val="24"/>
                <w:szCs w:val="24"/>
                <w:lang w:eastAsia="en-IN" w:bidi="ml-IN"/>
              </w:rPr>
              <w:t xml:space="preserve"> </w:t>
            </w:r>
            <w:r w:rsidR="00AA763E">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hi-square</w:t>
            </w:r>
          </w:p>
        </w:tc>
        <w:tc>
          <w:tcPr>
            <w:tcW w:w="992" w:type="dxa"/>
            <w:tcBorders>
              <w:left w:val="nil"/>
              <w:bottom w:val="nil"/>
              <w:right w:val="nil"/>
            </w:tcBorders>
          </w:tcPr>
          <w:p w14:paraId="17090284" w14:textId="5ACE0F72"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20.43</w:t>
            </w:r>
          </w:p>
        </w:tc>
        <w:tc>
          <w:tcPr>
            <w:tcW w:w="850" w:type="dxa"/>
            <w:tcBorders>
              <w:left w:val="nil"/>
              <w:bottom w:val="nil"/>
              <w:right w:val="nil"/>
            </w:tcBorders>
          </w:tcPr>
          <w:p w14:paraId="4FB24D2E" w14:textId="058B5A0A"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828" w:type="dxa"/>
            <w:tcBorders>
              <w:left w:val="nil"/>
              <w:bottom w:val="nil"/>
              <w:right w:val="nil"/>
            </w:tcBorders>
          </w:tcPr>
          <w:p w14:paraId="0647C5A4" w14:textId="3AE87F8E"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0.000*</w:t>
            </w:r>
          </w:p>
        </w:tc>
      </w:tr>
      <w:tr w:rsidR="00A74A4B" w14:paraId="2974A20E" w14:textId="77777777" w:rsidTr="00420A3A">
        <w:trPr>
          <w:trHeight w:val="288"/>
        </w:trPr>
        <w:tc>
          <w:tcPr>
            <w:tcW w:w="3261" w:type="dxa"/>
            <w:tcBorders>
              <w:top w:val="nil"/>
              <w:left w:val="nil"/>
              <w:bottom w:val="nil"/>
              <w:right w:val="nil"/>
            </w:tcBorders>
            <w:shd w:val="clear" w:color="auto" w:fill="E7E6E6" w:themeFill="background2"/>
          </w:tcPr>
          <w:p w14:paraId="658F8706" w14:textId="2E8A6B72"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Likelihood</w:t>
            </w:r>
            <w:r w:rsidR="00AA763E">
              <w:rPr>
                <w:rFonts w:ascii="Times New Roman" w:eastAsia="Times New Roman" w:hAnsi="Times New Roman" w:cs="Times New Roman"/>
                <w:sz w:val="24"/>
                <w:szCs w:val="24"/>
                <w:lang w:eastAsia="en-IN" w:bidi="ml-IN"/>
              </w:rPr>
              <w:t>-r</w:t>
            </w:r>
            <w:r>
              <w:rPr>
                <w:rFonts w:ascii="Times New Roman" w:eastAsia="Times New Roman" w:hAnsi="Times New Roman" w:cs="Times New Roman"/>
                <w:sz w:val="24"/>
                <w:szCs w:val="24"/>
                <w:lang w:eastAsia="en-IN" w:bidi="ml-IN"/>
              </w:rPr>
              <w:t>atio</w:t>
            </w:r>
          </w:p>
        </w:tc>
        <w:tc>
          <w:tcPr>
            <w:tcW w:w="992" w:type="dxa"/>
            <w:tcBorders>
              <w:top w:val="nil"/>
              <w:left w:val="nil"/>
              <w:bottom w:val="nil"/>
              <w:right w:val="nil"/>
            </w:tcBorders>
          </w:tcPr>
          <w:p w14:paraId="4E3BDF79" w14:textId="0CF21AF1"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20.56</w:t>
            </w:r>
          </w:p>
        </w:tc>
        <w:tc>
          <w:tcPr>
            <w:tcW w:w="850" w:type="dxa"/>
            <w:tcBorders>
              <w:top w:val="nil"/>
              <w:left w:val="nil"/>
              <w:bottom w:val="nil"/>
              <w:right w:val="nil"/>
            </w:tcBorders>
          </w:tcPr>
          <w:p w14:paraId="69F90D2E" w14:textId="4E09F83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4</w:t>
            </w:r>
          </w:p>
        </w:tc>
        <w:tc>
          <w:tcPr>
            <w:tcW w:w="3828" w:type="dxa"/>
            <w:tcBorders>
              <w:top w:val="nil"/>
              <w:left w:val="nil"/>
              <w:bottom w:val="nil"/>
              <w:right w:val="nil"/>
            </w:tcBorders>
          </w:tcPr>
          <w:p w14:paraId="127B90F4" w14:textId="1D114749"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0.000</w:t>
            </w:r>
          </w:p>
        </w:tc>
      </w:tr>
      <w:tr w:rsidR="00A74A4B" w14:paraId="2E062345" w14:textId="77777777" w:rsidTr="00FD6151">
        <w:trPr>
          <w:trHeight w:val="293"/>
        </w:trPr>
        <w:tc>
          <w:tcPr>
            <w:tcW w:w="3261" w:type="dxa"/>
            <w:tcBorders>
              <w:top w:val="nil"/>
              <w:left w:val="nil"/>
              <w:bottom w:val="nil"/>
              <w:right w:val="nil"/>
            </w:tcBorders>
            <w:shd w:val="clear" w:color="auto" w:fill="E7E6E6" w:themeFill="background2"/>
          </w:tcPr>
          <w:p w14:paraId="7A79BC83" w14:textId="4B4CE694"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Linear-by-</w:t>
            </w:r>
            <w:r w:rsidR="00AA763E">
              <w:rPr>
                <w:rFonts w:ascii="Times New Roman" w:eastAsia="Times New Roman" w:hAnsi="Times New Roman" w:cs="Times New Roman"/>
                <w:sz w:val="24"/>
                <w:szCs w:val="24"/>
                <w:lang w:eastAsia="en-IN" w:bidi="ml-IN"/>
              </w:rPr>
              <w:t>l</w:t>
            </w:r>
            <w:r>
              <w:rPr>
                <w:rFonts w:ascii="Times New Roman" w:eastAsia="Times New Roman" w:hAnsi="Times New Roman" w:cs="Times New Roman"/>
                <w:sz w:val="24"/>
                <w:szCs w:val="24"/>
                <w:lang w:eastAsia="en-IN" w:bidi="ml-IN"/>
              </w:rPr>
              <w:t xml:space="preserve">inear </w:t>
            </w:r>
            <w:r w:rsidR="00AA763E">
              <w:rPr>
                <w:rFonts w:ascii="Times New Roman" w:eastAsia="Times New Roman" w:hAnsi="Times New Roman" w:cs="Times New Roman"/>
                <w:sz w:val="24"/>
                <w:szCs w:val="24"/>
                <w:lang w:eastAsia="en-IN" w:bidi="ml-IN"/>
              </w:rPr>
              <w:t>a</w:t>
            </w:r>
            <w:r>
              <w:rPr>
                <w:rFonts w:ascii="Times New Roman" w:eastAsia="Times New Roman" w:hAnsi="Times New Roman" w:cs="Times New Roman"/>
                <w:sz w:val="24"/>
                <w:szCs w:val="24"/>
                <w:lang w:eastAsia="en-IN" w:bidi="ml-IN"/>
              </w:rPr>
              <w:t>ssociation</w:t>
            </w:r>
          </w:p>
        </w:tc>
        <w:tc>
          <w:tcPr>
            <w:tcW w:w="992" w:type="dxa"/>
            <w:tcBorders>
              <w:top w:val="nil"/>
              <w:left w:val="nil"/>
              <w:bottom w:val="nil"/>
              <w:right w:val="nil"/>
            </w:tcBorders>
          </w:tcPr>
          <w:p w14:paraId="2B41EE18" w14:textId="01506DA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5.22</w:t>
            </w:r>
          </w:p>
        </w:tc>
        <w:tc>
          <w:tcPr>
            <w:tcW w:w="850" w:type="dxa"/>
            <w:tcBorders>
              <w:top w:val="nil"/>
              <w:left w:val="nil"/>
              <w:bottom w:val="nil"/>
              <w:right w:val="nil"/>
            </w:tcBorders>
          </w:tcPr>
          <w:p w14:paraId="1B57D5FA" w14:textId="6F843F5C"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w:t>
            </w:r>
          </w:p>
        </w:tc>
        <w:tc>
          <w:tcPr>
            <w:tcW w:w="3828" w:type="dxa"/>
            <w:tcBorders>
              <w:top w:val="nil"/>
              <w:left w:val="nil"/>
              <w:bottom w:val="nil"/>
              <w:right w:val="nil"/>
            </w:tcBorders>
          </w:tcPr>
          <w:p w14:paraId="13B8A7B2" w14:textId="48A7BD6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0.022</w:t>
            </w:r>
          </w:p>
        </w:tc>
      </w:tr>
      <w:tr w:rsidR="00A74A4B" w14:paraId="303ADD48" w14:textId="77777777" w:rsidTr="00844545">
        <w:tc>
          <w:tcPr>
            <w:tcW w:w="3261" w:type="dxa"/>
            <w:tcBorders>
              <w:top w:val="nil"/>
              <w:left w:val="nil"/>
              <w:right w:val="nil"/>
            </w:tcBorders>
            <w:shd w:val="clear" w:color="auto" w:fill="E7E6E6" w:themeFill="background2"/>
          </w:tcPr>
          <w:p w14:paraId="3C83CC1C" w14:textId="42940571" w:rsidR="00A74A4B" w:rsidRDefault="00A74A4B" w:rsidP="00FD6151">
            <w:pPr>
              <w:spacing w:before="100" w:beforeAutospacing="1" w:after="100" w:afterAutospacing="1" w:line="276"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N</w:t>
            </w:r>
            <w:r w:rsidR="00AA763E">
              <w:rPr>
                <w:rFonts w:ascii="Times New Roman" w:eastAsia="Times New Roman" w:hAnsi="Times New Roman" w:cs="Times New Roman"/>
                <w:sz w:val="24"/>
                <w:szCs w:val="24"/>
                <w:lang w:eastAsia="en-IN" w:bidi="ml-IN"/>
              </w:rPr>
              <w:t>umber</w:t>
            </w:r>
            <w:r>
              <w:rPr>
                <w:rFonts w:ascii="Times New Roman" w:eastAsia="Times New Roman" w:hAnsi="Times New Roman" w:cs="Times New Roman"/>
                <w:sz w:val="24"/>
                <w:szCs w:val="24"/>
                <w:lang w:eastAsia="en-IN" w:bidi="ml-IN"/>
              </w:rPr>
              <w:t xml:space="preserve"> of </w:t>
            </w:r>
            <w:r w:rsidR="00AA763E">
              <w:rPr>
                <w:rFonts w:ascii="Times New Roman" w:eastAsia="Times New Roman" w:hAnsi="Times New Roman" w:cs="Times New Roman"/>
                <w:sz w:val="24"/>
                <w:szCs w:val="24"/>
                <w:lang w:eastAsia="en-IN" w:bidi="ml-IN"/>
              </w:rPr>
              <w:t>v</w:t>
            </w:r>
            <w:r>
              <w:rPr>
                <w:rFonts w:ascii="Times New Roman" w:eastAsia="Times New Roman" w:hAnsi="Times New Roman" w:cs="Times New Roman"/>
                <w:sz w:val="24"/>
                <w:szCs w:val="24"/>
                <w:lang w:eastAsia="en-IN" w:bidi="ml-IN"/>
              </w:rPr>
              <w:t xml:space="preserve">alid </w:t>
            </w:r>
            <w:r w:rsidR="00AA763E">
              <w:rPr>
                <w:rFonts w:ascii="Times New Roman" w:eastAsia="Times New Roman" w:hAnsi="Times New Roman" w:cs="Times New Roman"/>
                <w:sz w:val="24"/>
                <w:szCs w:val="24"/>
                <w:lang w:eastAsia="en-IN" w:bidi="ml-IN"/>
              </w:rPr>
              <w:t>c</w:t>
            </w:r>
            <w:r>
              <w:rPr>
                <w:rFonts w:ascii="Times New Roman" w:eastAsia="Times New Roman" w:hAnsi="Times New Roman" w:cs="Times New Roman"/>
                <w:sz w:val="24"/>
                <w:szCs w:val="24"/>
                <w:lang w:eastAsia="en-IN" w:bidi="ml-IN"/>
              </w:rPr>
              <w:t>ases</w:t>
            </w:r>
          </w:p>
        </w:tc>
        <w:tc>
          <w:tcPr>
            <w:tcW w:w="992" w:type="dxa"/>
            <w:tcBorders>
              <w:top w:val="nil"/>
              <w:left w:val="nil"/>
              <w:right w:val="nil"/>
            </w:tcBorders>
          </w:tcPr>
          <w:p w14:paraId="273A10EF"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w:t>
            </w:r>
          </w:p>
        </w:tc>
        <w:tc>
          <w:tcPr>
            <w:tcW w:w="850" w:type="dxa"/>
            <w:tcBorders>
              <w:top w:val="nil"/>
              <w:left w:val="nil"/>
              <w:right w:val="nil"/>
            </w:tcBorders>
          </w:tcPr>
          <w:p w14:paraId="79A87497"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c>
          <w:tcPr>
            <w:tcW w:w="3828" w:type="dxa"/>
            <w:tcBorders>
              <w:top w:val="nil"/>
              <w:left w:val="nil"/>
              <w:right w:val="nil"/>
            </w:tcBorders>
          </w:tcPr>
          <w:p w14:paraId="4E8DC7E8" w14:textId="77777777" w:rsidR="00A74A4B" w:rsidRDefault="00A74A4B" w:rsidP="00FD6151">
            <w:pPr>
              <w:spacing w:before="100" w:beforeAutospacing="1" w:after="100" w:afterAutospacing="1" w:line="276" w:lineRule="auto"/>
              <w:jc w:val="center"/>
              <w:rPr>
                <w:rFonts w:ascii="Times New Roman" w:eastAsia="Times New Roman" w:hAnsi="Times New Roman" w:cs="Times New Roman"/>
                <w:sz w:val="24"/>
                <w:szCs w:val="24"/>
                <w:lang w:eastAsia="en-IN" w:bidi="ml-IN"/>
              </w:rPr>
            </w:pPr>
          </w:p>
        </w:tc>
      </w:tr>
    </w:tbl>
    <w:p w14:paraId="7D24A9B5" w14:textId="0A84339C" w:rsidR="006025A8" w:rsidRDefault="006025A8" w:rsidP="006025A8">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Since Table 11shows p-value of less than 0.001 (= 0.000), the</w:t>
      </w:r>
      <w:r w:rsidR="00013EE7">
        <w:rPr>
          <w:rFonts w:ascii="Times New Roman" w:hAnsi="Times New Roman" w:cs="Times New Roman"/>
          <w:sz w:val="24"/>
          <w:szCs w:val="24"/>
        </w:rPr>
        <w:t xml:space="preserve"> chi-squ</w:t>
      </w:r>
      <w:r>
        <w:rPr>
          <w:rFonts w:ascii="Times New Roman" w:hAnsi="Times New Roman" w:cs="Times New Roman"/>
          <w:sz w:val="24"/>
          <w:szCs w:val="24"/>
        </w:rPr>
        <w:t>are test affirms a statistically significant association between monthly income and overall satisfaction of LPG consumers.</w:t>
      </w:r>
    </w:p>
    <w:p w14:paraId="6E9B995E" w14:textId="69EFC9E1" w:rsidR="00E13E40" w:rsidRPr="006E604D" w:rsidRDefault="006E604D" w:rsidP="00284EF0">
      <w:pPr>
        <w:pStyle w:val="ListParagraph"/>
        <w:numPr>
          <w:ilvl w:val="1"/>
          <w:numId w:val="14"/>
        </w:numPr>
        <w:spacing w:before="100" w:beforeAutospacing="1" w:after="100" w:afterAutospacing="1"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sz w:val="24"/>
          <w:szCs w:val="24"/>
          <w:lang w:eastAsia="en-IN" w:bidi="ml-IN"/>
        </w:rPr>
        <w:t xml:space="preserve">Cross-tabulation of </w:t>
      </w:r>
      <w:r w:rsidR="00285F89">
        <w:rPr>
          <w:rFonts w:ascii="Times New Roman" w:eastAsia="Times New Roman" w:hAnsi="Times New Roman" w:cs="Times New Roman"/>
          <w:b/>
          <w:bCs/>
          <w:sz w:val="24"/>
          <w:szCs w:val="24"/>
          <w:lang w:eastAsia="en-IN" w:bidi="ml-IN"/>
        </w:rPr>
        <w:t xml:space="preserve">Overall </w:t>
      </w:r>
      <w:r>
        <w:rPr>
          <w:rFonts w:ascii="Times New Roman" w:eastAsia="Times New Roman" w:hAnsi="Times New Roman" w:cs="Times New Roman"/>
          <w:b/>
          <w:bCs/>
          <w:sz w:val="24"/>
          <w:szCs w:val="24"/>
          <w:lang w:eastAsia="en-IN" w:bidi="ml-IN"/>
        </w:rPr>
        <w:t>satisfaction of consumers of varied LPG distributors</w:t>
      </w:r>
    </w:p>
    <w:p w14:paraId="7BFAFD56" w14:textId="1DB5C66D" w:rsidR="006F6CA7" w:rsidRPr="006F6CA7" w:rsidRDefault="006F6CA7" w:rsidP="006F6CA7">
      <w:pPr>
        <w:spacing w:before="100" w:beforeAutospacing="1" w:after="0" w:line="240" w:lineRule="auto"/>
        <w:rPr>
          <w:rFonts w:ascii="Times New Roman" w:eastAsia="Times New Roman" w:hAnsi="Times New Roman" w:cs="Times New Roman"/>
          <w:sz w:val="24"/>
          <w:szCs w:val="24"/>
          <w:lang w:eastAsia="en-IN" w:bidi="ml-IN"/>
        </w:rPr>
      </w:pPr>
      <w:r>
        <w:rPr>
          <w:rFonts w:ascii="Times New Roman" w:eastAsia="Times New Roman" w:hAnsi="Times New Roman" w:cs="Times New Roman"/>
          <w:b/>
          <w:bCs/>
          <w:i/>
          <w:iCs/>
          <w:sz w:val="24"/>
          <w:szCs w:val="24"/>
          <w:lang w:eastAsia="en-IN" w:bidi="ml-IN"/>
        </w:rPr>
        <w:t xml:space="preserve">Table </w:t>
      </w:r>
      <w:r w:rsidR="00E04C53">
        <w:rPr>
          <w:rFonts w:ascii="Times New Roman" w:eastAsia="Times New Roman" w:hAnsi="Times New Roman" w:cs="Times New Roman"/>
          <w:b/>
          <w:bCs/>
          <w:i/>
          <w:iCs/>
          <w:sz w:val="24"/>
          <w:szCs w:val="24"/>
          <w:lang w:eastAsia="en-IN" w:bidi="ml-IN"/>
        </w:rPr>
        <w:t>12</w:t>
      </w:r>
      <w:r>
        <w:rPr>
          <w:rFonts w:ascii="Times New Roman" w:eastAsia="Times New Roman" w:hAnsi="Times New Roman" w:cs="Times New Roman"/>
          <w:b/>
          <w:bCs/>
          <w:i/>
          <w:iCs/>
          <w:sz w:val="24"/>
          <w:szCs w:val="24"/>
          <w:lang w:eastAsia="en-IN" w:bidi="ml-IN"/>
        </w:rPr>
        <w:t xml:space="preserve">: </w:t>
      </w:r>
      <w:r w:rsidRPr="00434AF5">
        <w:rPr>
          <w:rFonts w:ascii="Times New Roman" w:eastAsia="Times New Roman" w:hAnsi="Times New Roman" w:cs="Times New Roman"/>
          <w:b/>
          <w:bCs/>
          <w:i/>
          <w:iCs/>
          <w:sz w:val="24"/>
          <w:szCs w:val="24"/>
          <w:lang w:eastAsia="en-IN" w:bidi="ml-IN"/>
        </w:rPr>
        <w:t xml:space="preserve">Overall satisfaction of </w:t>
      </w:r>
      <w:r>
        <w:rPr>
          <w:rFonts w:ascii="Times New Roman" w:eastAsia="Times New Roman" w:hAnsi="Times New Roman" w:cs="Times New Roman"/>
          <w:b/>
          <w:bCs/>
          <w:i/>
          <w:iCs/>
          <w:sz w:val="24"/>
          <w:szCs w:val="24"/>
          <w:lang w:eastAsia="en-IN" w:bidi="ml-IN"/>
        </w:rPr>
        <w:t>c</w:t>
      </w:r>
      <w:r w:rsidR="00691B08">
        <w:rPr>
          <w:rFonts w:ascii="Times New Roman" w:eastAsia="Times New Roman" w:hAnsi="Times New Roman" w:cs="Times New Roman"/>
          <w:b/>
          <w:bCs/>
          <w:i/>
          <w:iCs/>
          <w:sz w:val="24"/>
          <w:szCs w:val="24"/>
          <w:lang w:eastAsia="en-IN" w:bidi="ml-IN"/>
        </w:rPr>
        <w:t>onsumers</w:t>
      </w:r>
      <w:r>
        <w:rPr>
          <w:rFonts w:ascii="Times New Roman" w:eastAsia="Times New Roman" w:hAnsi="Times New Roman" w:cs="Times New Roman"/>
          <w:b/>
          <w:bCs/>
          <w:i/>
          <w:iCs/>
          <w:sz w:val="24"/>
          <w:szCs w:val="24"/>
          <w:lang w:eastAsia="en-IN" w:bidi="ml-IN"/>
        </w:rPr>
        <w:t xml:space="preserve"> of varied </w:t>
      </w:r>
      <w:r w:rsidRPr="00434AF5">
        <w:rPr>
          <w:rFonts w:ascii="Times New Roman" w:eastAsia="Times New Roman" w:hAnsi="Times New Roman" w:cs="Times New Roman"/>
          <w:b/>
          <w:bCs/>
          <w:i/>
          <w:iCs/>
          <w:sz w:val="24"/>
          <w:szCs w:val="24"/>
          <w:lang w:eastAsia="en-IN" w:bidi="ml-IN"/>
        </w:rPr>
        <w:t xml:space="preserve">LPG </w:t>
      </w:r>
      <w:r>
        <w:rPr>
          <w:rFonts w:ascii="Times New Roman" w:eastAsia="Times New Roman" w:hAnsi="Times New Roman" w:cs="Times New Roman"/>
          <w:b/>
          <w:bCs/>
          <w:i/>
          <w:iCs/>
          <w:sz w:val="24"/>
          <w:szCs w:val="24"/>
          <w:lang w:eastAsia="en-IN" w:bidi="ml-IN"/>
        </w:rPr>
        <w:t>distributors</w:t>
      </w:r>
    </w:p>
    <w:tbl>
      <w:tblPr>
        <w:tblStyle w:val="TableGrid"/>
        <w:tblW w:w="9072" w:type="dxa"/>
        <w:tblLook w:val="04A0" w:firstRow="1" w:lastRow="0" w:firstColumn="1" w:lastColumn="0" w:noHBand="0" w:noVBand="1"/>
      </w:tblPr>
      <w:tblGrid>
        <w:gridCol w:w="2694"/>
        <w:gridCol w:w="1559"/>
        <w:gridCol w:w="1984"/>
        <w:gridCol w:w="1418"/>
        <w:gridCol w:w="1417"/>
      </w:tblGrid>
      <w:tr w:rsidR="00691B08" w14:paraId="1820B60E" w14:textId="77777777" w:rsidTr="00C30131">
        <w:tc>
          <w:tcPr>
            <w:tcW w:w="2694" w:type="dxa"/>
            <w:vMerge w:val="restart"/>
            <w:tcBorders>
              <w:left w:val="nil"/>
              <w:right w:val="nil"/>
            </w:tcBorders>
            <w:shd w:val="clear" w:color="auto" w:fill="E7E6E6" w:themeFill="background2"/>
          </w:tcPr>
          <w:p w14:paraId="33026FFB" w14:textId="77777777" w:rsidR="00691B08" w:rsidRDefault="00691B08" w:rsidP="00691B08">
            <w:pPr>
              <w:jc w:val="both"/>
              <w:rPr>
                <w:rFonts w:ascii="Times New Roman" w:eastAsia="Times New Roman" w:hAnsi="Times New Roman" w:cs="Times New Roman"/>
                <w:b/>
                <w:bCs/>
                <w:lang w:eastAsia="en-IN" w:bidi="ml-IN"/>
              </w:rPr>
            </w:pPr>
          </w:p>
          <w:p w14:paraId="18DAF5F2" w14:textId="32EC6C45" w:rsidR="00691B08" w:rsidRDefault="00691B08" w:rsidP="00691B08">
            <w:pPr>
              <w:jc w:val="both"/>
              <w:rPr>
                <w:rFonts w:ascii="Times New Roman" w:eastAsia="Times New Roman" w:hAnsi="Times New Roman" w:cs="Times New Roman"/>
                <w:b/>
                <w:bCs/>
                <w:lang w:eastAsia="en-IN" w:bidi="ml-IN"/>
              </w:rPr>
            </w:pPr>
            <w:r>
              <w:rPr>
                <w:rFonts w:ascii="Times New Roman" w:eastAsia="Times New Roman" w:hAnsi="Times New Roman" w:cs="Times New Roman"/>
                <w:b/>
                <w:bCs/>
                <w:lang w:eastAsia="en-IN" w:bidi="ml-IN"/>
              </w:rPr>
              <w:t xml:space="preserve">Overall </w:t>
            </w:r>
            <w:r w:rsidRPr="00B46317">
              <w:rPr>
                <w:rFonts w:ascii="Times New Roman" w:eastAsia="Times New Roman" w:hAnsi="Times New Roman" w:cs="Times New Roman"/>
                <w:b/>
                <w:bCs/>
                <w:lang w:eastAsia="en-IN" w:bidi="ml-IN"/>
              </w:rPr>
              <w:t>Satisfaction</w:t>
            </w:r>
            <w:r>
              <w:rPr>
                <w:rFonts w:ascii="Times New Roman" w:eastAsia="Times New Roman" w:hAnsi="Times New Roman" w:cs="Times New Roman"/>
                <w:b/>
                <w:bCs/>
                <w:lang w:eastAsia="en-IN" w:bidi="ml-IN"/>
              </w:rPr>
              <w:t xml:space="preserve"> Level</w:t>
            </w:r>
          </w:p>
        </w:tc>
        <w:tc>
          <w:tcPr>
            <w:tcW w:w="4961" w:type="dxa"/>
            <w:gridSpan w:val="3"/>
            <w:tcBorders>
              <w:left w:val="nil"/>
              <w:bottom w:val="nil"/>
              <w:right w:val="nil"/>
            </w:tcBorders>
            <w:shd w:val="clear" w:color="auto" w:fill="E7E6E6" w:themeFill="background2"/>
          </w:tcPr>
          <w:p w14:paraId="056A4225" w14:textId="7CF1BADA"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LPG Distributors</w:t>
            </w:r>
          </w:p>
        </w:tc>
        <w:tc>
          <w:tcPr>
            <w:tcW w:w="1417" w:type="dxa"/>
            <w:vMerge w:val="restart"/>
            <w:tcBorders>
              <w:left w:val="nil"/>
              <w:right w:val="nil"/>
            </w:tcBorders>
            <w:shd w:val="clear" w:color="auto" w:fill="E7E6E6" w:themeFill="background2"/>
          </w:tcPr>
          <w:p w14:paraId="1F824C8D" w14:textId="77777777" w:rsidR="00691B08" w:rsidRDefault="00691B08" w:rsidP="00691B08">
            <w:pPr>
              <w:spacing w:line="276" w:lineRule="auto"/>
              <w:jc w:val="center"/>
              <w:rPr>
                <w:rFonts w:ascii="Times New Roman" w:eastAsia="Times New Roman" w:hAnsi="Times New Roman" w:cs="Times New Roman"/>
                <w:b/>
                <w:bCs/>
                <w:lang w:eastAsia="en-IN" w:bidi="ml-IN"/>
              </w:rPr>
            </w:pPr>
          </w:p>
          <w:p w14:paraId="58783F49" w14:textId="7F8EACA6"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Total</w:t>
            </w:r>
          </w:p>
        </w:tc>
      </w:tr>
      <w:tr w:rsidR="00691B08" w14:paraId="20789A4E" w14:textId="77777777" w:rsidTr="00AE5762">
        <w:tc>
          <w:tcPr>
            <w:tcW w:w="2694" w:type="dxa"/>
            <w:vMerge/>
            <w:tcBorders>
              <w:left w:val="nil"/>
              <w:bottom w:val="nil"/>
              <w:right w:val="nil"/>
            </w:tcBorders>
            <w:shd w:val="clear" w:color="auto" w:fill="E7E6E6" w:themeFill="background2"/>
          </w:tcPr>
          <w:p w14:paraId="697FC209" w14:textId="0CACBDAF" w:rsidR="00691B08" w:rsidRDefault="00691B08" w:rsidP="00691B08">
            <w:pPr>
              <w:jc w:val="both"/>
              <w:rPr>
                <w:rFonts w:ascii="Times New Roman" w:eastAsia="Times New Roman" w:hAnsi="Times New Roman" w:cs="Times New Roman"/>
                <w:sz w:val="24"/>
                <w:szCs w:val="24"/>
                <w:lang w:eastAsia="en-IN" w:bidi="ml-IN"/>
              </w:rPr>
            </w:pPr>
          </w:p>
        </w:tc>
        <w:tc>
          <w:tcPr>
            <w:tcW w:w="1559" w:type="dxa"/>
            <w:tcBorders>
              <w:left w:val="nil"/>
              <w:bottom w:val="nil"/>
              <w:right w:val="nil"/>
            </w:tcBorders>
            <w:shd w:val="clear" w:color="auto" w:fill="E7E6E6" w:themeFill="background2"/>
          </w:tcPr>
          <w:p w14:paraId="6543B80C" w14:textId="5BBCE6EC"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Indane</w:t>
            </w:r>
          </w:p>
        </w:tc>
        <w:tc>
          <w:tcPr>
            <w:tcW w:w="1984" w:type="dxa"/>
            <w:tcBorders>
              <w:left w:val="nil"/>
              <w:bottom w:val="nil"/>
              <w:right w:val="nil"/>
            </w:tcBorders>
            <w:shd w:val="clear" w:color="auto" w:fill="E7E6E6" w:themeFill="background2"/>
          </w:tcPr>
          <w:p w14:paraId="71F889F6" w14:textId="3BB5C127"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Bharath Gas</w:t>
            </w:r>
          </w:p>
        </w:tc>
        <w:tc>
          <w:tcPr>
            <w:tcW w:w="1418" w:type="dxa"/>
            <w:tcBorders>
              <w:left w:val="nil"/>
              <w:bottom w:val="nil"/>
              <w:right w:val="nil"/>
            </w:tcBorders>
            <w:shd w:val="clear" w:color="auto" w:fill="E7E6E6" w:themeFill="background2"/>
          </w:tcPr>
          <w:p w14:paraId="66D187E5" w14:textId="45086D55" w:rsidR="00691B08" w:rsidRPr="00691B08" w:rsidRDefault="00691B08" w:rsidP="00691B08">
            <w:pPr>
              <w:spacing w:line="276" w:lineRule="auto"/>
              <w:jc w:val="center"/>
              <w:rPr>
                <w:rFonts w:ascii="Times New Roman" w:eastAsia="Times New Roman" w:hAnsi="Times New Roman" w:cs="Times New Roman"/>
                <w:b/>
                <w:bCs/>
                <w:lang w:eastAsia="en-IN" w:bidi="ml-IN"/>
              </w:rPr>
            </w:pPr>
            <w:r w:rsidRPr="00691B08">
              <w:rPr>
                <w:rFonts w:ascii="Times New Roman" w:eastAsia="Times New Roman" w:hAnsi="Times New Roman" w:cs="Times New Roman"/>
                <w:b/>
                <w:bCs/>
                <w:lang w:eastAsia="en-IN" w:bidi="ml-IN"/>
              </w:rPr>
              <w:t>HP Gas</w:t>
            </w:r>
          </w:p>
        </w:tc>
        <w:tc>
          <w:tcPr>
            <w:tcW w:w="1417" w:type="dxa"/>
            <w:vMerge/>
            <w:tcBorders>
              <w:left w:val="nil"/>
              <w:bottom w:val="nil"/>
              <w:right w:val="nil"/>
            </w:tcBorders>
            <w:shd w:val="clear" w:color="auto" w:fill="E7E6E6" w:themeFill="background2"/>
          </w:tcPr>
          <w:p w14:paraId="0F573AD4" w14:textId="31A7DAAA" w:rsidR="00691B08" w:rsidRPr="00691B08" w:rsidRDefault="00691B08" w:rsidP="00691B08">
            <w:pPr>
              <w:spacing w:line="276" w:lineRule="auto"/>
              <w:jc w:val="center"/>
              <w:rPr>
                <w:rFonts w:ascii="Times New Roman" w:eastAsia="Times New Roman" w:hAnsi="Times New Roman" w:cs="Times New Roman"/>
                <w:b/>
                <w:bCs/>
                <w:lang w:eastAsia="en-IN" w:bidi="ml-IN"/>
              </w:rPr>
            </w:pPr>
          </w:p>
        </w:tc>
      </w:tr>
      <w:tr w:rsidR="008001A8" w14:paraId="4FB79BAB" w14:textId="6D5B8340" w:rsidTr="00AE5762">
        <w:tc>
          <w:tcPr>
            <w:tcW w:w="2694" w:type="dxa"/>
            <w:tcBorders>
              <w:left w:val="nil"/>
              <w:bottom w:val="nil"/>
              <w:right w:val="nil"/>
            </w:tcBorders>
            <w:shd w:val="clear" w:color="auto" w:fill="E7E6E6" w:themeFill="background2"/>
          </w:tcPr>
          <w:p w14:paraId="244F1DF1" w14:textId="58079E24" w:rsidR="008001A8" w:rsidRDefault="008001A8" w:rsidP="00691B08">
            <w:pPr>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Low (1)</w:t>
            </w:r>
          </w:p>
        </w:tc>
        <w:tc>
          <w:tcPr>
            <w:tcW w:w="1559" w:type="dxa"/>
            <w:tcBorders>
              <w:left w:val="nil"/>
              <w:bottom w:val="nil"/>
              <w:right w:val="nil"/>
            </w:tcBorders>
          </w:tcPr>
          <w:p w14:paraId="0A3C602D" w14:textId="449A4912"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 (17.95%)</w:t>
            </w:r>
          </w:p>
        </w:tc>
        <w:tc>
          <w:tcPr>
            <w:tcW w:w="1984" w:type="dxa"/>
            <w:tcBorders>
              <w:left w:val="nil"/>
              <w:bottom w:val="nil"/>
              <w:right w:val="nil"/>
            </w:tcBorders>
          </w:tcPr>
          <w:p w14:paraId="4942459C" w14:textId="7A71E954"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15 (38.46%)</w:t>
            </w:r>
          </w:p>
        </w:tc>
        <w:tc>
          <w:tcPr>
            <w:tcW w:w="1418" w:type="dxa"/>
            <w:tcBorders>
              <w:left w:val="nil"/>
              <w:bottom w:val="nil"/>
              <w:right w:val="nil"/>
            </w:tcBorders>
          </w:tcPr>
          <w:p w14:paraId="0E755268" w14:textId="5429C835"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17 (43.59%)</w:t>
            </w:r>
          </w:p>
        </w:tc>
        <w:tc>
          <w:tcPr>
            <w:tcW w:w="1417" w:type="dxa"/>
            <w:tcBorders>
              <w:left w:val="nil"/>
              <w:bottom w:val="nil"/>
              <w:right w:val="nil"/>
            </w:tcBorders>
          </w:tcPr>
          <w:p w14:paraId="45E7265D" w14:textId="315801CD" w:rsidR="008001A8" w:rsidRDefault="008001A8" w:rsidP="00691B08">
            <w:pPr>
              <w:spacing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39 (100 %)</w:t>
            </w:r>
          </w:p>
        </w:tc>
      </w:tr>
      <w:tr w:rsidR="008001A8" w14:paraId="390312DD" w14:textId="76340B20" w:rsidTr="00AE5762">
        <w:tc>
          <w:tcPr>
            <w:tcW w:w="2694" w:type="dxa"/>
            <w:tcBorders>
              <w:top w:val="nil"/>
              <w:left w:val="nil"/>
              <w:bottom w:val="nil"/>
              <w:right w:val="nil"/>
            </w:tcBorders>
            <w:shd w:val="clear" w:color="auto" w:fill="E7E6E6" w:themeFill="background2"/>
          </w:tcPr>
          <w:p w14:paraId="51DBDFD0" w14:textId="644F85AF" w:rsidR="008001A8"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Moderate (2)</w:t>
            </w:r>
          </w:p>
        </w:tc>
        <w:tc>
          <w:tcPr>
            <w:tcW w:w="1559" w:type="dxa"/>
            <w:tcBorders>
              <w:top w:val="nil"/>
              <w:left w:val="nil"/>
              <w:bottom w:val="nil"/>
              <w:right w:val="nil"/>
            </w:tcBorders>
          </w:tcPr>
          <w:p w14:paraId="7B260F97" w14:textId="7CA64FCA"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 (31.87%)</w:t>
            </w:r>
          </w:p>
        </w:tc>
        <w:tc>
          <w:tcPr>
            <w:tcW w:w="1984" w:type="dxa"/>
            <w:tcBorders>
              <w:top w:val="nil"/>
              <w:left w:val="nil"/>
              <w:bottom w:val="nil"/>
              <w:right w:val="nil"/>
            </w:tcBorders>
          </w:tcPr>
          <w:p w14:paraId="7E311CAC" w14:textId="7EE09A26"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33 (36.26%)</w:t>
            </w:r>
          </w:p>
        </w:tc>
        <w:tc>
          <w:tcPr>
            <w:tcW w:w="1418" w:type="dxa"/>
            <w:tcBorders>
              <w:top w:val="nil"/>
              <w:left w:val="nil"/>
              <w:bottom w:val="nil"/>
              <w:right w:val="nil"/>
            </w:tcBorders>
          </w:tcPr>
          <w:p w14:paraId="3D25E666" w14:textId="0C1B203D"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29 (31.87%)</w:t>
            </w:r>
          </w:p>
        </w:tc>
        <w:tc>
          <w:tcPr>
            <w:tcW w:w="1417" w:type="dxa"/>
            <w:tcBorders>
              <w:top w:val="nil"/>
              <w:left w:val="nil"/>
              <w:bottom w:val="nil"/>
              <w:right w:val="nil"/>
            </w:tcBorders>
          </w:tcPr>
          <w:p w14:paraId="7204B0E4" w14:textId="1AB079F2"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91 (100 %)</w:t>
            </w:r>
          </w:p>
        </w:tc>
      </w:tr>
      <w:tr w:rsidR="008001A8" w14:paraId="5735E101" w14:textId="00D8A5C6" w:rsidTr="00AE5762">
        <w:tc>
          <w:tcPr>
            <w:tcW w:w="2694" w:type="dxa"/>
            <w:tcBorders>
              <w:top w:val="nil"/>
              <w:left w:val="nil"/>
              <w:bottom w:val="nil"/>
              <w:right w:val="nil"/>
            </w:tcBorders>
            <w:shd w:val="clear" w:color="auto" w:fill="E7E6E6" w:themeFill="background2"/>
          </w:tcPr>
          <w:p w14:paraId="45F781D3" w14:textId="48114BDE" w:rsidR="008001A8"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High (3)</w:t>
            </w:r>
          </w:p>
        </w:tc>
        <w:tc>
          <w:tcPr>
            <w:tcW w:w="1559" w:type="dxa"/>
            <w:tcBorders>
              <w:top w:val="nil"/>
              <w:left w:val="nil"/>
              <w:bottom w:val="nil"/>
              <w:right w:val="nil"/>
            </w:tcBorders>
          </w:tcPr>
          <w:p w14:paraId="433C57D0" w14:textId="220DD8AC"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34 (42.50%)</w:t>
            </w:r>
          </w:p>
        </w:tc>
        <w:tc>
          <w:tcPr>
            <w:tcW w:w="1984" w:type="dxa"/>
            <w:tcBorders>
              <w:top w:val="nil"/>
              <w:left w:val="nil"/>
              <w:bottom w:val="nil"/>
              <w:right w:val="nil"/>
            </w:tcBorders>
          </w:tcPr>
          <w:p w14:paraId="7D01B06F" w14:textId="4C4172FC"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22 (27.50%)</w:t>
            </w:r>
          </w:p>
        </w:tc>
        <w:tc>
          <w:tcPr>
            <w:tcW w:w="1418" w:type="dxa"/>
            <w:tcBorders>
              <w:top w:val="nil"/>
              <w:left w:val="nil"/>
              <w:bottom w:val="nil"/>
              <w:right w:val="nil"/>
            </w:tcBorders>
          </w:tcPr>
          <w:p w14:paraId="44DA856A" w14:textId="410B1399"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24 (30.00%)</w:t>
            </w:r>
          </w:p>
        </w:tc>
        <w:tc>
          <w:tcPr>
            <w:tcW w:w="1417" w:type="dxa"/>
            <w:tcBorders>
              <w:top w:val="nil"/>
              <w:left w:val="nil"/>
              <w:bottom w:val="nil"/>
              <w:right w:val="nil"/>
            </w:tcBorders>
          </w:tcPr>
          <w:p w14:paraId="0E3D0D5A" w14:textId="338FE933" w:rsidR="008001A8"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80 (100 %)</w:t>
            </w:r>
          </w:p>
        </w:tc>
      </w:tr>
      <w:tr w:rsidR="008001A8" w14:paraId="37D734FA" w14:textId="77F33511" w:rsidTr="00AE5762">
        <w:tc>
          <w:tcPr>
            <w:tcW w:w="2694" w:type="dxa"/>
            <w:tcBorders>
              <w:top w:val="nil"/>
              <w:left w:val="nil"/>
              <w:bottom w:val="nil"/>
              <w:right w:val="nil"/>
            </w:tcBorders>
            <w:shd w:val="clear" w:color="auto" w:fill="E7E6E6" w:themeFill="background2"/>
          </w:tcPr>
          <w:p w14:paraId="4905BCC1" w14:textId="0BF93935" w:rsidR="008001A8" w:rsidRPr="00AE5762" w:rsidRDefault="008001A8" w:rsidP="00B719E4">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AE5762">
              <w:rPr>
                <w:rFonts w:ascii="Times New Roman" w:eastAsia="Times New Roman" w:hAnsi="Times New Roman" w:cs="Times New Roman"/>
                <w:sz w:val="24"/>
                <w:szCs w:val="24"/>
                <w:lang w:eastAsia="en-IN" w:bidi="ml-IN"/>
              </w:rPr>
              <w:t>Total</w:t>
            </w:r>
          </w:p>
        </w:tc>
        <w:tc>
          <w:tcPr>
            <w:tcW w:w="1559" w:type="dxa"/>
            <w:tcBorders>
              <w:top w:val="nil"/>
              <w:left w:val="nil"/>
              <w:bottom w:val="nil"/>
              <w:right w:val="nil"/>
            </w:tcBorders>
          </w:tcPr>
          <w:p w14:paraId="7C270656" w14:textId="6E337312"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984" w:type="dxa"/>
            <w:tcBorders>
              <w:top w:val="nil"/>
              <w:left w:val="nil"/>
              <w:bottom w:val="nil"/>
              <w:right w:val="nil"/>
            </w:tcBorders>
          </w:tcPr>
          <w:p w14:paraId="002B035D" w14:textId="0FE66A31"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418" w:type="dxa"/>
            <w:tcBorders>
              <w:top w:val="nil"/>
              <w:left w:val="nil"/>
              <w:bottom w:val="nil"/>
              <w:right w:val="nil"/>
            </w:tcBorders>
          </w:tcPr>
          <w:p w14:paraId="0D2CAC7A" w14:textId="1B7FB3B2"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70 (33.33%)</w:t>
            </w:r>
          </w:p>
        </w:tc>
        <w:tc>
          <w:tcPr>
            <w:tcW w:w="1417" w:type="dxa"/>
            <w:tcBorders>
              <w:top w:val="nil"/>
              <w:left w:val="nil"/>
              <w:bottom w:val="nil"/>
              <w:right w:val="nil"/>
            </w:tcBorders>
          </w:tcPr>
          <w:p w14:paraId="05E185D0" w14:textId="405D4FF6"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sidRPr="00AE5762">
              <w:rPr>
                <w:rFonts w:ascii="Times New Roman" w:eastAsia="Times New Roman" w:hAnsi="Times New Roman" w:cs="Times New Roman"/>
                <w:sz w:val="24"/>
                <w:szCs w:val="24"/>
                <w:lang w:eastAsia="en-IN" w:bidi="ml-IN"/>
              </w:rPr>
              <w:t>210</w:t>
            </w:r>
            <w:r>
              <w:rPr>
                <w:rFonts w:ascii="Times New Roman" w:eastAsia="Times New Roman" w:hAnsi="Times New Roman" w:cs="Times New Roman"/>
                <w:sz w:val="24"/>
                <w:szCs w:val="24"/>
                <w:lang w:eastAsia="en-IN" w:bidi="ml-IN"/>
              </w:rPr>
              <w:t xml:space="preserve"> (100 %)</w:t>
            </w:r>
          </w:p>
        </w:tc>
      </w:tr>
      <w:tr w:rsidR="008001A8" w14:paraId="55B160C2" w14:textId="77777777" w:rsidTr="00B719E4">
        <w:trPr>
          <w:trHeight w:val="319"/>
        </w:trPr>
        <w:tc>
          <w:tcPr>
            <w:tcW w:w="2694" w:type="dxa"/>
            <w:tcBorders>
              <w:top w:val="nil"/>
              <w:left w:val="nil"/>
              <w:bottom w:val="single" w:sz="4" w:space="0" w:color="auto"/>
              <w:right w:val="nil"/>
            </w:tcBorders>
            <w:shd w:val="clear" w:color="auto" w:fill="E7E6E6" w:themeFill="background2"/>
          </w:tcPr>
          <w:p w14:paraId="5D6B0873" w14:textId="38C4FD5E" w:rsidR="008001A8" w:rsidRPr="00AE5762" w:rsidRDefault="008001A8" w:rsidP="008001A8">
            <w:pPr>
              <w:spacing w:before="100" w:beforeAutospacing="1" w:after="100" w:afterAutospacing="1"/>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Mean Score</w:t>
            </w:r>
          </w:p>
        </w:tc>
        <w:tc>
          <w:tcPr>
            <w:tcW w:w="1559" w:type="dxa"/>
            <w:tcBorders>
              <w:top w:val="nil"/>
              <w:left w:val="nil"/>
              <w:bottom w:val="single" w:sz="4" w:space="0" w:color="auto"/>
              <w:right w:val="nil"/>
            </w:tcBorders>
          </w:tcPr>
          <w:p w14:paraId="6E2FFA04" w14:textId="39958050" w:rsidR="008001A8" w:rsidRPr="00AE5762" w:rsidRDefault="008001A8" w:rsidP="00B719E4">
            <w:pPr>
              <w:spacing w:before="100" w:beforeAutospacing="1" w:after="100" w:afterAutospacing="1" w:line="276"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2.386</w:t>
            </w:r>
          </w:p>
        </w:tc>
        <w:tc>
          <w:tcPr>
            <w:tcW w:w="1984" w:type="dxa"/>
            <w:tcBorders>
              <w:top w:val="nil"/>
              <w:left w:val="nil"/>
              <w:bottom w:val="single" w:sz="4" w:space="0" w:color="auto"/>
              <w:right w:val="nil"/>
            </w:tcBorders>
          </w:tcPr>
          <w:p w14:paraId="41976E47" w14:textId="38C3AEA0"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2.100</w:t>
            </w:r>
          </w:p>
        </w:tc>
        <w:tc>
          <w:tcPr>
            <w:tcW w:w="1418" w:type="dxa"/>
            <w:tcBorders>
              <w:top w:val="nil"/>
              <w:left w:val="nil"/>
              <w:bottom w:val="single" w:sz="4" w:space="0" w:color="auto"/>
              <w:right w:val="nil"/>
            </w:tcBorders>
          </w:tcPr>
          <w:p w14:paraId="696E7953" w14:textId="491DE47D"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2.100</w:t>
            </w:r>
          </w:p>
        </w:tc>
        <w:tc>
          <w:tcPr>
            <w:tcW w:w="1417" w:type="dxa"/>
            <w:tcBorders>
              <w:top w:val="nil"/>
              <w:left w:val="nil"/>
              <w:bottom w:val="single" w:sz="4" w:space="0" w:color="auto"/>
              <w:right w:val="nil"/>
            </w:tcBorders>
          </w:tcPr>
          <w:p w14:paraId="4E3155B2" w14:textId="3D95F59C" w:rsidR="008001A8" w:rsidRPr="00AE5762" w:rsidRDefault="008001A8" w:rsidP="008001A8">
            <w:pPr>
              <w:spacing w:before="100" w:beforeAutospacing="1" w:after="100" w:afterAutospacing="1" w:line="360" w:lineRule="auto"/>
              <w:jc w:val="right"/>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2.195</w:t>
            </w:r>
          </w:p>
        </w:tc>
      </w:tr>
    </w:tbl>
    <w:p w14:paraId="2BD60A99" w14:textId="77777777" w:rsidR="00455900" w:rsidRDefault="00297B1A" w:rsidP="00297B1A">
      <w:pPr>
        <w:spacing w:after="100" w:afterAutospacing="1" w:line="240" w:lineRule="auto"/>
        <w:rPr>
          <w:rFonts w:ascii="Times New Roman" w:eastAsia="Times New Roman" w:hAnsi="Times New Roman" w:cs="Times New Roman"/>
          <w:lang w:eastAsia="en-IN" w:bidi="ml-IN"/>
        </w:rPr>
      </w:pPr>
      <w:r w:rsidRPr="00297B1A">
        <w:rPr>
          <w:rFonts w:ascii="Times New Roman" w:eastAsia="Times New Roman" w:hAnsi="Times New Roman" w:cs="Times New Roman"/>
          <w:lang w:eastAsia="en-IN" w:bidi="ml-IN"/>
        </w:rPr>
        <w:t>Source: Primary data</w:t>
      </w:r>
    </w:p>
    <w:p w14:paraId="2461AE7E" w14:textId="0A3BCB1B" w:rsidR="003250FE" w:rsidRDefault="00E35A7F" w:rsidP="00F92E47">
      <w:pPr>
        <w:spacing w:after="100" w:afterAutospacing="1" w:line="240" w:lineRule="auto"/>
        <w:jc w:val="both"/>
        <w:rPr>
          <w:rFonts w:ascii="Times New Roman" w:eastAsia="Times New Roman" w:hAnsi="Times New Roman" w:cs="Times New Roman"/>
          <w:sz w:val="24"/>
          <w:szCs w:val="24"/>
          <w:lang w:eastAsia="en-IN" w:bidi="ml-IN"/>
        </w:rPr>
      </w:pPr>
      <w:r>
        <w:rPr>
          <w:noProof/>
        </w:rPr>
        <w:drawing>
          <wp:inline distT="0" distB="0" distL="0" distR="0" wp14:anchorId="32EB7405" wp14:editId="4012C492">
            <wp:extent cx="5745480" cy="3329940"/>
            <wp:effectExtent l="0" t="0" r="7620" b="3810"/>
            <wp:docPr id="2" name="Chart 2">
              <a:extLst xmlns:a="http://schemas.openxmlformats.org/drawingml/2006/main">
                <a:ext uri="{FF2B5EF4-FFF2-40B4-BE49-F238E27FC236}">
                  <a16:creationId xmlns:a16="http://schemas.microsoft.com/office/drawing/2014/main" id="{FA285F42-72B3-4CC1-AD1D-D26BCFB5F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A81475" w14:textId="401869FC" w:rsidR="00C471E7" w:rsidRDefault="00C471E7" w:rsidP="00F92E47">
      <w:pPr>
        <w:spacing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 xml:space="preserve">Fig 2. </w:t>
      </w:r>
      <w:r w:rsidRPr="00C471E7">
        <w:rPr>
          <w:rFonts w:ascii="Times New Roman" w:eastAsia="Times New Roman" w:hAnsi="Times New Roman" w:cs="Times New Roman"/>
          <w:sz w:val="24"/>
          <w:szCs w:val="24"/>
          <w:lang w:eastAsia="en-IN" w:bidi="ml-IN"/>
        </w:rPr>
        <w:t>Chart showing overall satisfaction of consumers of varied LPG distributors</w:t>
      </w:r>
    </w:p>
    <w:p w14:paraId="74BED766" w14:textId="77777777" w:rsidR="00C471E7" w:rsidRDefault="00C471E7" w:rsidP="00F92E47">
      <w:pPr>
        <w:spacing w:after="100" w:afterAutospacing="1" w:line="240" w:lineRule="auto"/>
        <w:jc w:val="both"/>
        <w:rPr>
          <w:rFonts w:ascii="Times New Roman" w:eastAsia="Times New Roman" w:hAnsi="Times New Roman" w:cs="Times New Roman"/>
          <w:sz w:val="24"/>
          <w:szCs w:val="24"/>
          <w:lang w:eastAsia="en-IN" w:bidi="ml-IN"/>
        </w:rPr>
      </w:pPr>
    </w:p>
    <w:p w14:paraId="3B7B813F" w14:textId="2E25A1D9" w:rsidR="00455900" w:rsidRPr="00455900" w:rsidRDefault="00356013" w:rsidP="00F92E47">
      <w:pPr>
        <w:spacing w:after="100" w:afterAutospacing="1" w:line="240" w:lineRule="auto"/>
        <w:jc w:val="both"/>
        <w:rPr>
          <w:rFonts w:ascii="Times New Roman" w:eastAsia="Times New Roman" w:hAnsi="Times New Roman" w:cs="Times New Roman"/>
          <w:sz w:val="24"/>
          <w:szCs w:val="24"/>
          <w:lang w:eastAsia="en-IN" w:bidi="ml-IN"/>
        </w:rPr>
      </w:pPr>
      <w:r w:rsidRPr="00356013">
        <w:rPr>
          <w:rFonts w:ascii="Times New Roman" w:eastAsia="Times New Roman" w:hAnsi="Times New Roman" w:cs="Times New Roman"/>
          <w:sz w:val="24"/>
          <w:szCs w:val="24"/>
          <w:lang w:eastAsia="en-IN" w:bidi="ml-IN"/>
        </w:rPr>
        <w:lastRenderedPageBreak/>
        <w:t>T</w:t>
      </w:r>
      <w:r w:rsidR="00F92E47">
        <w:rPr>
          <w:rFonts w:ascii="Times New Roman" w:eastAsia="Times New Roman" w:hAnsi="Times New Roman" w:cs="Times New Roman"/>
          <w:sz w:val="24"/>
          <w:szCs w:val="24"/>
          <w:lang w:eastAsia="en-IN" w:bidi="ml-IN"/>
        </w:rPr>
        <w:t xml:space="preserve">able 12 </w:t>
      </w:r>
      <w:r w:rsidR="00C471E7">
        <w:rPr>
          <w:rFonts w:ascii="Times New Roman" w:eastAsia="Times New Roman" w:hAnsi="Times New Roman" w:cs="Times New Roman"/>
          <w:sz w:val="24"/>
          <w:szCs w:val="24"/>
          <w:lang w:eastAsia="en-IN" w:bidi="ml-IN"/>
        </w:rPr>
        <w:t xml:space="preserve">shows </w:t>
      </w:r>
      <w:r w:rsidR="00F92E47">
        <w:rPr>
          <w:rFonts w:ascii="Times New Roman" w:eastAsia="Times New Roman" w:hAnsi="Times New Roman" w:cs="Times New Roman"/>
          <w:sz w:val="24"/>
          <w:szCs w:val="24"/>
          <w:lang w:eastAsia="en-IN" w:bidi="ml-IN"/>
        </w:rPr>
        <w:t>t</w:t>
      </w:r>
      <w:r w:rsidRPr="00356013">
        <w:rPr>
          <w:rFonts w:ascii="Times New Roman" w:eastAsia="Times New Roman" w:hAnsi="Times New Roman" w:cs="Times New Roman"/>
          <w:sz w:val="24"/>
          <w:szCs w:val="24"/>
          <w:lang w:eastAsia="en-IN" w:bidi="ml-IN"/>
        </w:rPr>
        <w:t>he mean score of overall satisfaction is the highest among Indane consumers (i.e., 2.386), which is over and above the mean score of overall respondents. In case of Bharath Gas and HP Gas, the mean scores of overall consumer satisfaction are the same (i.e., 2.1) and which is just below the score of the entire respondents. Among the Indane consumers, 42.5% have high overall satisfaction, 31.87% have moderate satisfaction and only 17.95% are placed at low level satisfaction. In case of Bharath Gas and HP Gas, the highest percentage of consumers are placed at low level overall satisfaction.</w:t>
      </w:r>
    </w:p>
    <w:p w14:paraId="33173832" w14:textId="4833D100" w:rsidR="00BB1B46" w:rsidRPr="00284EF0" w:rsidRDefault="00284EF0" w:rsidP="00492ADE">
      <w:pPr>
        <w:spacing w:before="100" w:beforeAutospacing="1" w:after="100" w:afterAutospacing="1" w:line="240" w:lineRule="auto"/>
        <w:jc w:val="both"/>
        <w:rPr>
          <w:rFonts w:ascii="Times New Roman" w:eastAsia="Times New Roman" w:hAnsi="Times New Roman" w:cs="Times New Roman"/>
          <w:b/>
          <w:bCs/>
          <w:sz w:val="24"/>
          <w:szCs w:val="24"/>
          <w:lang w:eastAsia="en-IN" w:bidi="ml-IN"/>
        </w:rPr>
      </w:pPr>
      <w:r w:rsidRPr="00284EF0">
        <w:rPr>
          <w:rFonts w:ascii="Times New Roman" w:eastAsia="Times New Roman" w:hAnsi="Times New Roman" w:cs="Times New Roman"/>
          <w:b/>
          <w:bCs/>
          <w:sz w:val="24"/>
          <w:szCs w:val="24"/>
          <w:lang w:eastAsia="en-IN" w:bidi="ml-IN"/>
        </w:rPr>
        <w:t xml:space="preserve">3.8 </w:t>
      </w:r>
      <w:r w:rsidR="00BB1B46" w:rsidRPr="00284EF0">
        <w:rPr>
          <w:rFonts w:ascii="Times New Roman" w:eastAsia="Times New Roman" w:hAnsi="Times New Roman" w:cs="Times New Roman"/>
          <w:b/>
          <w:bCs/>
          <w:sz w:val="24"/>
          <w:szCs w:val="24"/>
          <w:lang w:eastAsia="en-IN" w:bidi="ml-IN"/>
        </w:rPr>
        <w:t>Findings</w:t>
      </w:r>
    </w:p>
    <w:p w14:paraId="7F91E399" w14:textId="77777777" w:rsidR="00675EBD" w:rsidRDefault="00D8509C" w:rsidP="00D8509C">
      <w:pPr>
        <w:jc w:val="both"/>
        <w:rPr>
          <w:rFonts w:ascii="Times New Roman" w:hAnsi="Times New Roman" w:cs="Times New Roman"/>
          <w:sz w:val="24"/>
          <w:szCs w:val="24"/>
        </w:rPr>
      </w:pPr>
      <w:r w:rsidRPr="00781731">
        <w:rPr>
          <w:rFonts w:ascii="Times New Roman" w:hAnsi="Times New Roman" w:cs="Times New Roman"/>
          <w:sz w:val="24"/>
          <w:szCs w:val="24"/>
        </w:rPr>
        <w:t xml:space="preserve">The </w:t>
      </w:r>
      <w:r w:rsidR="006F4738">
        <w:rPr>
          <w:rFonts w:ascii="Times New Roman" w:hAnsi="Times New Roman" w:cs="Times New Roman"/>
          <w:sz w:val="24"/>
          <w:szCs w:val="24"/>
        </w:rPr>
        <w:t xml:space="preserve">key findings of the study </w:t>
      </w:r>
      <w:r w:rsidR="00675EBD">
        <w:rPr>
          <w:rFonts w:ascii="Times New Roman" w:hAnsi="Times New Roman" w:cs="Times New Roman"/>
          <w:sz w:val="24"/>
          <w:szCs w:val="24"/>
        </w:rPr>
        <w:t>include the following:</w:t>
      </w:r>
    </w:p>
    <w:p w14:paraId="74057459" w14:textId="104D6E8D" w:rsidR="00675EBD" w:rsidRPr="00675EBD" w:rsidRDefault="00675EBD"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The majority</w:t>
      </w:r>
      <w:r w:rsidR="00D8509C" w:rsidRPr="00675EBD">
        <w:rPr>
          <w:rFonts w:ascii="Times New Roman" w:hAnsi="Times New Roman" w:cs="Times New Roman"/>
          <w:sz w:val="24"/>
          <w:szCs w:val="24"/>
        </w:rPr>
        <w:t xml:space="preserve"> of the LPG consumers in Kerala </w:t>
      </w:r>
      <w:r w:rsidRPr="00675EBD">
        <w:rPr>
          <w:rFonts w:ascii="Times New Roman" w:hAnsi="Times New Roman" w:cs="Times New Roman"/>
          <w:sz w:val="24"/>
          <w:szCs w:val="24"/>
        </w:rPr>
        <w:t xml:space="preserve">are </w:t>
      </w:r>
      <w:r w:rsidR="00D8509C" w:rsidRPr="00675EBD">
        <w:rPr>
          <w:rFonts w:ascii="Times New Roman" w:hAnsi="Times New Roman" w:cs="Times New Roman"/>
          <w:sz w:val="24"/>
          <w:szCs w:val="24"/>
        </w:rPr>
        <w:t xml:space="preserve">highly satisfied with the service quality attributes such as safety </w:t>
      </w:r>
      <w:r w:rsidR="00DE1FA3" w:rsidRPr="00675EBD">
        <w:rPr>
          <w:rFonts w:ascii="Times New Roman" w:hAnsi="Times New Roman" w:cs="Times New Roman"/>
          <w:sz w:val="24"/>
          <w:szCs w:val="24"/>
        </w:rPr>
        <w:t>precautions</w:t>
      </w:r>
      <w:r w:rsidR="00D8509C" w:rsidRPr="00675EBD">
        <w:rPr>
          <w:rFonts w:ascii="Times New Roman" w:hAnsi="Times New Roman" w:cs="Times New Roman"/>
          <w:sz w:val="24"/>
          <w:szCs w:val="24"/>
        </w:rPr>
        <w:t>, eas</w:t>
      </w:r>
      <w:r w:rsidR="00DE1FA3" w:rsidRPr="00675EBD">
        <w:rPr>
          <w:rFonts w:ascii="Times New Roman" w:hAnsi="Times New Roman" w:cs="Times New Roman"/>
          <w:sz w:val="24"/>
          <w:szCs w:val="24"/>
        </w:rPr>
        <w:t>iness</w:t>
      </w:r>
      <w:r w:rsidR="00D8509C" w:rsidRPr="00675EBD">
        <w:rPr>
          <w:rFonts w:ascii="Times New Roman" w:hAnsi="Times New Roman" w:cs="Times New Roman"/>
          <w:sz w:val="24"/>
          <w:szCs w:val="24"/>
        </w:rPr>
        <w:t xml:space="preserve"> </w:t>
      </w:r>
      <w:r w:rsidR="00DE1FA3" w:rsidRPr="00675EBD">
        <w:rPr>
          <w:rFonts w:ascii="Times New Roman" w:hAnsi="Times New Roman" w:cs="Times New Roman"/>
          <w:sz w:val="24"/>
          <w:szCs w:val="24"/>
        </w:rPr>
        <w:t>in</w:t>
      </w:r>
      <w:r w:rsidR="00D8509C" w:rsidRPr="00675EBD">
        <w:rPr>
          <w:rFonts w:ascii="Times New Roman" w:hAnsi="Times New Roman" w:cs="Times New Roman"/>
          <w:sz w:val="24"/>
          <w:szCs w:val="24"/>
        </w:rPr>
        <w:t xml:space="preserve"> booking and </w:t>
      </w:r>
      <w:r w:rsidR="00DE1FA3" w:rsidRPr="00675EBD">
        <w:rPr>
          <w:rFonts w:ascii="Times New Roman" w:hAnsi="Times New Roman" w:cs="Times New Roman"/>
          <w:sz w:val="24"/>
          <w:szCs w:val="24"/>
        </w:rPr>
        <w:t>openness</w:t>
      </w:r>
      <w:r w:rsidR="00D8509C" w:rsidRPr="00675EBD">
        <w:rPr>
          <w:rFonts w:ascii="Times New Roman" w:hAnsi="Times New Roman" w:cs="Times New Roman"/>
          <w:sz w:val="24"/>
          <w:szCs w:val="24"/>
        </w:rPr>
        <w:t xml:space="preserve"> in pricing/subsidy. </w:t>
      </w:r>
    </w:p>
    <w:p w14:paraId="44BD1944" w14:textId="77777777" w:rsidR="00675EBD"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The level of satisfaction regarding customer care services is too low. </w:t>
      </w:r>
    </w:p>
    <w:p w14:paraId="1B53ED5E" w14:textId="77777777" w:rsidR="00675EBD"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Regarding overall satisfaction, higher number of consumers are placed at moderate satisfaction level. </w:t>
      </w:r>
    </w:p>
    <w:p w14:paraId="2AF5CCE9" w14:textId="49F856E5" w:rsidR="00675EBD"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Regarding gender-wise analysis, both male and female </w:t>
      </w:r>
      <w:r w:rsidR="00675EBD">
        <w:rPr>
          <w:rFonts w:ascii="Times New Roman" w:hAnsi="Times New Roman" w:cs="Times New Roman"/>
          <w:sz w:val="24"/>
          <w:szCs w:val="24"/>
        </w:rPr>
        <w:t xml:space="preserve">domestic LPG consumers </w:t>
      </w:r>
      <w:r w:rsidR="00753367" w:rsidRPr="00675EBD">
        <w:rPr>
          <w:rFonts w:ascii="Times New Roman" w:hAnsi="Times New Roman" w:cs="Times New Roman"/>
          <w:sz w:val="24"/>
          <w:szCs w:val="24"/>
        </w:rPr>
        <w:t>have</w:t>
      </w:r>
      <w:r w:rsidRPr="00675EBD">
        <w:rPr>
          <w:rFonts w:ascii="Times New Roman" w:hAnsi="Times New Roman" w:cs="Times New Roman"/>
          <w:sz w:val="24"/>
          <w:szCs w:val="24"/>
        </w:rPr>
        <w:t xml:space="preserve"> almost </w:t>
      </w:r>
      <w:r w:rsidR="00675EBD">
        <w:rPr>
          <w:rFonts w:ascii="Times New Roman" w:hAnsi="Times New Roman" w:cs="Times New Roman"/>
          <w:sz w:val="24"/>
          <w:szCs w:val="24"/>
        </w:rPr>
        <w:t xml:space="preserve">the </w:t>
      </w:r>
      <w:r w:rsidRPr="00675EBD">
        <w:rPr>
          <w:rFonts w:ascii="Times New Roman" w:hAnsi="Times New Roman" w:cs="Times New Roman"/>
          <w:sz w:val="24"/>
          <w:szCs w:val="24"/>
        </w:rPr>
        <w:t xml:space="preserve">same level of overall satisfaction. </w:t>
      </w:r>
      <w:bookmarkStart w:id="4" w:name="_Hlk208177714"/>
    </w:p>
    <w:p w14:paraId="12C8D7EC" w14:textId="032BFBE1" w:rsidR="00675EBD"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The overall satisfaction level is comparatively higher among </w:t>
      </w:r>
      <w:r w:rsidR="00675EBD">
        <w:rPr>
          <w:rFonts w:ascii="Times New Roman" w:hAnsi="Times New Roman" w:cs="Times New Roman"/>
          <w:sz w:val="24"/>
          <w:szCs w:val="24"/>
        </w:rPr>
        <w:t xml:space="preserve">domestic LPG </w:t>
      </w:r>
      <w:r w:rsidRPr="00675EBD">
        <w:rPr>
          <w:rFonts w:ascii="Times New Roman" w:hAnsi="Times New Roman" w:cs="Times New Roman"/>
          <w:sz w:val="24"/>
          <w:szCs w:val="24"/>
        </w:rPr>
        <w:t xml:space="preserve">consumers with higher education status than that of lower education status. </w:t>
      </w:r>
    </w:p>
    <w:p w14:paraId="6EF3AB19" w14:textId="3DF7ABCC" w:rsidR="00675EBD" w:rsidRDefault="00675EBD" w:rsidP="00675EBD">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T</w:t>
      </w:r>
      <w:r w:rsidR="00D8509C" w:rsidRPr="00675EBD">
        <w:rPr>
          <w:rFonts w:ascii="Times New Roman" w:hAnsi="Times New Roman" w:cs="Times New Roman"/>
          <w:sz w:val="24"/>
          <w:szCs w:val="24"/>
        </w:rPr>
        <w:t>he study observed that there is an association between monthly income and overall consumer satisfaction</w:t>
      </w:r>
      <w:r>
        <w:rPr>
          <w:rFonts w:ascii="Times New Roman" w:hAnsi="Times New Roman" w:cs="Times New Roman"/>
          <w:sz w:val="24"/>
          <w:szCs w:val="24"/>
        </w:rPr>
        <w:t xml:space="preserve"> of domestic LPG consumers</w:t>
      </w:r>
      <w:r w:rsidR="00D8509C" w:rsidRPr="00675EBD">
        <w:rPr>
          <w:rFonts w:ascii="Times New Roman" w:hAnsi="Times New Roman" w:cs="Times New Roman"/>
          <w:sz w:val="24"/>
          <w:szCs w:val="24"/>
        </w:rPr>
        <w:t xml:space="preserve">. </w:t>
      </w:r>
    </w:p>
    <w:p w14:paraId="0450E5AF" w14:textId="727E6D63" w:rsidR="00675EBD"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The </w:t>
      </w:r>
      <w:r w:rsidR="00AF732B">
        <w:rPr>
          <w:rFonts w:ascii="Times New Roman" w:hAnsi="Times New Roman" w:cs="Times New Roman"/>
          <w:sz w:val="24"/>
          <w:szCs w:val="24"/>
        </w:rPr>
        <w:t>domestic LPG consumers</w:t>
      </w:r>
      <w:r w:rsidRPr="00675EBD">
        <w:rPr>
          <w:rFonts w:ascii="Times New Roman" w:hAnsi="Times New Roman" w:cs="Times New Roman"/>
          <w:sz w:val="24"/>
          <w:szCs w:val="24"/>
        </w:rPr>
        <w:t xml:space="preserve"> with low monthly income are comparatively highly satisfied than those with higher monthly income. </w:t>
      </w:r>
      <w:bookmarkEnd w:id="4"/>
    </w:p>
    <w:p w14:paraId="44C29DEA" w14:textId="2E881EE0" w:rsidR="00D8509C" w:rsidRDefault="00D8509C" w:rsidP="00675EBD">
      <w:pPr>
        <w:pStyle w:val="ListParagraph"/>
        <w:numPr>
          <w:ilvl w:val="0"/>
          <w:numId w:val="26"/>
        </w:numPr>
        <w:jc w:val="both"/>
        <w:rPr>
          <w:rFonts w:ascii="Times New Roman" w:hAnsi="Times New Roman" w:cs="Times New Roman"/>
          <w:sz w:val="24"/>
          <w:szCs w:val="24"/>
        </w:rPr>
      </w:pPr>
      <w:r w:rsidRPr="00675EBD">
        <w:rPr>
          <w:rFonts w:ascii="Times New Roman" w:hAnsi="Times New Roman" w:cs="Times New Roman"/>
          <w:sz w:val="24"/>
          <w:szCs w:val="24"/>
        </w:rPr>
        <w:t xml:space="preserve">The mean score of overall consumer satisfaction of Indane Gas distributor is comparatively higher than that of Bharath and HP Gas distributors. </w:t>
      </w:r>
    </w:p>
    <w:p w14:paraId="371548F9" w14:textId="013D0D06" w:rsidR="00675EBD" w:rsidRDefault="00675EBD" w:rsidP="00675EBD">
      <w:pPr>
        <w:jc w:val="both"/>
        <w:rPr>
          <w:rFonts w:ascii="Times New Roman" w:hAnsi="Times New Roman" w:cs="Times New Roman"/>
          <w:sz w:val="24"/>
          <w:szCs w:val="24"/>
        </w:rPr>
      </w:pPr>
      <w:r>
        <w:rPr>
          <w:rFonts w:ascii="Times New Roman" w:hAnsi="Times New Roman" w:cs="Times New Roman"/>
          <w:sz w:val="24"/>
          <w:szCs w:val="24"/>
        </w:rPr>
        <w:t>Based on the findings of the study, following recommendation are suggested:</w:t>
      </w:r>
    </w:p>
    <w:p w14:paraId="44E5B592" w14:textId="681E191C" w:rsidR="00675EBD" w:rsidRPr="007A634F" w:rsidRDefault="007A634F" w:rsidP="007A634F">
      <w:pPr>
        <w:pStyle w:val="ListParagraph"/>
        <w:numPr>
          <w:ilvl w:val="0"/>
          <w:numId w:val="28"/>
        </w:numPr>
        <w:jc w:val="both"/>
        <w:rPr>
          <w:rFonts w:ascii="Times New Roman" w:hAnsi="Times New Roman" w:cs="Times New Roman"/>
          <w:sz w:val="24"/>
          <w:szCs w:val="24"/>
        </w:rPr>
      </w:pPr>
      <w:r w:rsidRPr="007A634F">
        <w:rPr>
          <w:rFonts w:ascii="Times New Roman" w:hAnsi="Times New Roman" w:cs="Times New Roman"/>
          <w:sz w:val="24"/>
          <w:szCs w:val="24"/>
        </w:rPr>
        <w:t>The LPG distributors have to take rigorous efforts to collect the feedback of their consumers in time regarding their satisfaction. Wherever possible customised services must be provided to meet their requisites in time.</w:t>
      </w:r>
    </w:p>
    <w:p w14:paraId="750DF4FF" w14:textId="514BB301" w:rsidR="007A634F" w:rsidRDefault="009243BD" w:rsidP="007A634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Efforts should me taken to improve the quality of customer care services.</w:t>
      </w:r>
    </w:p>
    <w:p w14:paraId="156C63B9" w14:textId="057F0E58" w:rsidR="00AF732B" w:rsidRDefault="00AF732B" w:rsidP="007A634F">
      <w:pPr>
        <w:pStyle w:val="ListParagraph"/>
        <w:numPr>
          <w:ilvl w:val="0"/>
          <w:numId w:val="28"/>
        </w:numPr>
        <w:jc w:val="both"/>
        <w:rPr>
          <w:rFonts w:ascii="Times New Roman" w:hAnsi="Times New Roman" w:cs="Times New Roman"/>
          <w:sz w:val="24"/>
          <w:szCs w:val="24"/>
        </w:rPr>
      </w:pPr>
      <w:r w:rsidRPr="00AF732B">
        <w:rPr>
          <w:rFonts w:ascii="Times New Roman" w:hAnsi="Times New Roman" w:cs="Times New Roman"/>
          <w:sz w:val="24"/>
          <w:szCs w:val="24"/>
        </w:rPr>
        <w:t>Locate the areas with regard to which consumers with lower education status are not yet satisfied and appropriate measures should be executed to satisfy them in all respect.</w:t>
      </w:r>
    </w:p>
    <w:p w14:paraId="1F2FBD54" w14:textId="4AF42F92" w:rsidR="00950D6A" w:rsidRPr="00D86FB5" w:rsidRDefault="00950D6A" w:rsidP="00C41D01">
      <w:pPr>
        <w:pStyle w:val="ListParagraph"/>
        <w:numPr>
          <w:ilvl w:val="0"/>
          <w:numId w:val="28"/>
        </w:numPr>
        <w:jc w:val="both"/>
        <w:rPr>
          <w:rFonts w:ascii="Times New Roman" w:hAnsi="Times New Roman" w:cs="Times New Roman"/>
          <w:sz w:val="24"/>
          <w:szCs w:val="24"/>
        </w:rPr>
      </w:pPr>
      <w:r w:rsidRPr="00950D6A">
        <w:rPr>
          <w:rFonts w:ascii="Times New Roman" w:hAnsi="Times New Roman" w:cs="Times New Roman"/>
          <w:sz w:val="24"/>
          <w:szCs w:val="24"/>
        </w:rPr>
        <w:t>Identify the areas where the domestic LPG consumers with higher monthly income are yet to be contented, and take appropriate measures to enhance the level of satisfaction of them also.</w:t>
      </w:r>
      <w:r w:rsidRPr="00D86FB5">
        <w:rPr>
          <w:rFonts w:ascii="Times New Roman" w:hAnsi="Times New Roman" w:cs="Times New Roman"/>
          <w:sz w:val="24"/>
          <w:szCs w:val="24"/>
        </w:rPr>
        <w:t xml:space="preserve">  </w:t>
      </w:r>
    </w:p>
    <w:p w14:paraId="0F749F74" w14:textId="0EA08B75" w:rsidR="006929BA" w:rsidRPr="00284EF0" w:rsidRDefault="00284EF0" w:rsidP="006929BA">
      <w:pPr>
        <w:spacing w:before="100" w:beforeAutospacing="1" w:after="100" w:afterAutospacing="1" w:line="240" w:lineRule="auto"/>
        <w:jc w:val="both"/>
        <w:rPr>
          <w:rFonts w:ascii="Times New Roman" w:eastAsia="Times New Roman" w:hAnsi="Times New Roman" w:cs="Times New Roman"/>
          <w:b/>
          <w:bCs/>
          <w:sz w:val="24"/>
          <w:szCs w:val="24"/>
          <w:lang w:eastAsia="en-IN" w:bidi="ml-IN"/>
        </w:rPr>
      </w:pPr>
      <w:r w:rsidRPr="00284EF0">
        <w:rPr>
          <w:rFonts w:ascii="Times New Roman" w:eastAsia="Times New Roman" w:hAnsi="Times New Roman" w:cs="Times New Roman"/>
          <w:b/>
          <w:bCs/>
          <w:sz w:val="24"/>
          <w:szCs w:val="24"/>
          <w:lang w:eastAsia="en-IN" w:bidi="ml-IN"/>
        </w:rPr>
        <w:t>3.9 Summary</w:t>
      </w:r>
      <w:r w:rsidR="00C471E7">
        <w:rPr>
          <w:rFonts w:ascii="Times New Roman" w:eastAsia="Times New Roman" w:hAnsi="Times New Roman" w:cs="Times New Roman"/>
          <w:b/>
          <w:bCs/>
          <w:sz w:val="24"/>
          <w:szCs w:val="24"/>
          <w:lang w:eastAsia="en-IN" w:bidi="ml-IN"/>
        </w:rPr>
        <w:t xml:space="preserve"> and Conclusion</w:t>
      </w:r>
    </w:p>
    <w:p w14:paraId="393C7EEF" w14:textId="14D1CFD4" w:rsidR="00D4215E" w:rsidRDefault="001F4DAE" w:rsidP="00492ADE">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Pr>
          <w:rFonts w:ascii="Times New Roman" w:eastAsia="Times New Roman" w:hAnsi="Times New Roman" w:cs="Times New Roman"/>
          <w:sz w:val="24"/>
          <w:szCs w:val="24"/>
          <w:lang w:eastAsia="en-IN" w:bidi="ml-IN"/>
        </w:rPr>
        <w:t>The study of satisfaction of LPG consumers in Kerala was conducted by choosing a sample of 210 domestic</w:t>
      </w:r>
      <w:r w:rsidR="001444F0">
        <w:rPr>
          <w:rFonts w:ascii="Times New Roman" w:eastAsia="Times New Roman" w:hAnsi="Times New Roman" w:cs="Times New Roman"/>
          <w:sz w:val="24"/>
          <w:szCs w:val="24"/>
          <w:lang w:eastAsia="en-IN" w:bidi="ml-IN"/>
        </w:rPr>
        <w:t xml:space="preserve"> </w:t>
      </w:r>
      <w:r>
        <w:rPr>
          <w:rFonts w:ascii="Times New Roman" w:eastAsia="Times New Roman" w:hAnsi="Times New Roman" w:cs="Times New Roman"/>
          <w:sz w:val="24"/>
          <w:szCs w:val="24"/>
          <w:lang w:eastAsia="en-IN" w:bidi="ml-IN"/>
        </w:rPr>
        <w:t xml:space="preserve">LPG consumers </w:t>
      </w:r>
      <w:r w:rsidR="00333F72">
        <w:rPr>
          <w:rFonts w:ascii="Times New Roman" w:eastAsia="Times New Roman" w:hAnsi="Times New Roman" w:cs="Times New Roman"/>
          <w:sz w:val="24"/>
          <w:szCs w:val="24"/>
          <w:lang w:eastAsia="en-IN" w:bidi="ml-IN"/>
        </w:rPr>
        <w:t xml:space="preserve">from Kozhikode district </w:t>
      </w:r>
      <w:r>
        <w:rPr>
          <w:rFonts w:ascii="Times New Roman" w:eastAsia="Times New Roman" w:hAnsi="Times New Roman" w:cs="Times New Roman"/>
          <w:sz w:val="24"/>
          <w:szCs w:val="24"/>
          <w:lang w:eastAsia="en-IN" w:bidi="ml-IN"/>
        </w:rPr>
        <w:t>which consists of 70 each of Indane Gas, Bharath Gas and HP Gas</w:t>
      </w:r>
      <w:r w:rsidR="00C4119E">
        <w:rPr>
          <w:rFonts w:ascii="Times New Roman" w:eastAsia="Times New Roman" w:hAnsi="Times New Roman" w:cs="Times New Roman"/>
          <w:sz w:val="24"/>
          <w:szCs w:val="24"/>
          <w:lang w:eastAsia="en-IN" w:bidi="ml-IN"/>
        </w:rPr>
        <w:t xml:space="preserve"> agencies</w:t>
      </w:r>
      <w:r>
        <w:rPr>
          <w:rFonts w:ascii="Times New Roman" w:eastAsia="Times New Roman" w:hAnsi="Times New Roman" w:cs="Times New Roman"/>
          <w:sz w:val="24"/>
          <w:szCs w:val="24"/>
          <w:lang w:eastAsia="en-IN" w:bidi="ml-IN"/>
        </w:rPr>
        <w:t>.</w:t>
      </w:r>
      <w:r w:rsidR="00F5501A">
        <w:rPr>
          <w:rFonts w:ascii="Times New Roman" w:eastAsia="Times New Roman" w:hAnsi="Times New Roman" w:cs="Times New Roman"/>
          <w:sz w:val="24"/>
          <w:szCs w:val="24"/>
          <w:lang w:eastAsia="en-IN" w:bidi="ml-IN"/>
        </w:rPr>
        <w:t xml:space="preserve"> </w:t>
      </w:r>
      <w:r w:rsidR="006516CD">
        <w:rPr>
          <w:rFonts w:ascii="Times New Roman" w:eastAsia="Times New Roman" w:hAnsi="Times New Roman" w:cs="Times New Roman"/>
          <w:sz w:val="24"/>
          <w:szCs w:val="24"/>
          <w:lang w:eastAsia="en-IN" w:bidi="ml-IN"/>
        </w:rPr>
        <w:t>The consumer satisfaction was analysed by considering the service quality such as eas</w:t>
      </w:r>
      <w:r w:rsidR="00DE1FA3">
        <w:rPr>
          <w:rFonts w:ascii="Times New Roman" w:eastAsia="Times New Roman" w:hAnsi="Times New Roman" w:cs="Times New Roman"/>
          <w:sz w:val="24"/>
          <w:szCs w:val="24"/>
          <w:lang w:eastAsia="en-IN" w:bidi="ml-IN"/>
        </w:rPr>
        <w:t>iness in</w:t>
      </w:r>
      <w:r w:rsidR="006516CD">
        <w:rPr>
          <w:rFonts w:ascii="Times New Roman" w:eastAsia="Times New Roman" w:hAnsi="Times New Roman" w:cs="Times New Roman"/>
          <w:sz w:val="24"/>
          <w:szCs w:val="24"/>
          <w:lang w:eastAsia="en-IN" w:bidi="ml-IN"/>
        </w:rPr>
        <w:t xml:space="preserve"> booking, </w:t>
      </w:r>
      <w:r w:rsidR="00DE1FA3">
        <w:rPr>
          <w:rFonts w:ascii="Times New Roman" w:eastAsia="Times New Roman" w:hAnsi="Times New Roman" w:cs="Times New Roman"/>
          <w:sz w:val="24"/>
          <w:szCs w:val="24"/>
          <w:lang w:eastAsia="en-IN" w:bidi="ml-IN"/>
        </w:rPr>
        <w:t>prompt</w:t>
      </w:r>
      <w:r w:rsidR="006516CD">
        <w:rPr>
          <w:rFonts w:ascii="Times New Roman" w:eastAsia="Times New Roman" w:hAnsi="Times New Roman" w:cs="Times New Roman"/>
          <w:sz w:val="24"/>
          <w:szCs w:val="24"/>
          <w:lang w:eastAsia="en-IN" w:bidi="ml-IN"/>
        </w:rPr>
        <w:t xml:space="preserve">ness in delivery, </w:t>
      </w:r>
      <w:r w:rsidR="00DE1FA3">
        <w:rPr>
          <w:rFonts w:ascii="Times New Roman" w:eastAsia="Times New Roman" w:hAnsi="Times New Roman" w:cs="Times New Roman"/>
          <w:sz w:val="24"/>
          <w:szCs w:val="24"/>
          <w:lang w:eastAsia="en-IN" w:bidi="ml-IN"/>
        </w:rPr>
        <w:t>openness</w:t>
      </w:r>
      <w:r w:rsidR="006516CD">
        <w:rPr>
          <w:rFonts w:ascii="Times New Roman" w:eastAsia="Times New Roman" w:hAnsi="Times New Roman" w:cs="Times New Roman"/>
          <w:sz w:val="24"/>
          <w:szCs w:val="24"/>
          <w:lang w:eastAsia="en-IN" w:bidi="ml-IN"/>
        </w:rPr>
        <w:t xml:space="preserve"> in pricing/subsidy, safety </w:t>
      </w:r>
      <w:r w:rsidR="00DE1FA3">
        <w:rPr>
          <w:rFonts w:ascii="Times New Roman" w:eastAsia="Times New Roman" w:hAnsi="Times New Roman" w:cs="Times New Roman"/>
          <w:sz w:val="24"/>
          <w:szCs w:val="24"/>
          <w:lang w:eastAsia="en-IN" w:bidi="ml-IN"/>
        </w:rPr>
        <w:t>precautions</w:t>
      </w:r>
      <w:r w:rsidR="006516CD">
        <w:rPr>
          <w:rFonts w:ascii="Times New Roman" w:eastAsia="Times New Roman" w:hAnsi="Times New Roman" w:cs="Times New Roman"/>
          <w:sz w:val="24"/>
          <w:szCs w:val="24"/>
          <w:lang w:eastAsia="en-IN" w:bidi="ml-IN"/>
        </w:rPr>
        <w:t xml:space="preserve">, customer care services and overall satisfaction. The </w:t>
      </w:r>
      <w:r w:rsidR="006516CD">
        <w:rPr>
          <w:rFonts w:ascii="Times New Roman" w:eastAsia="Times New Roman" w:hAnsi="Times New Roman" w:cs="Times New Roman"/>
          <w:sz w:val="24"/>
          <w:szCs w:val="24"/>
          <w:lang w:eastAsia="en-IN" w:bidi="ml-IN"/>
        </w:rPr>
        <w:lastRenderedPageBreak/>
        <w:t xml:space="preserve">impact of demographic </w:t>
      </w:r>
      <w:r w:rsidR="00771F88">
        <w:rPr>
          <w:rFonts w:ascii="Times New Roman" w:eastAsia="Times New Roman" w:hAnsi="Times New Roman" w:cs="Times New Roman"/>
          <w:sz w:val="24"/>
          <w:szCs w:val="24"/>
          <w:lang w:eastAsia="en-IN" w:bidi="ml-IN"/>
        </w:rPr>
        <w:t>element</w:t>
      </w:r>
      <w:r w:rsidR="006516CD">
        <w:rPr>
          <w:rFonts w:ascii="Times New Roman" w:eastAsia="Times New Roman" w:hAnsi="Times New Roman" w:cs="Times New Roman"/>
          <w:sz w:val="24"/>
          <w:szCs w:val="24"/>
          <w:lang w:eastAsia="en-IN" w:bidi="ml-IN"/>
        </w:rPr>
        <w:t xml:space="preserve">s </w:t>
      </w:r>
      <w:r w:rsidR="00771F88">
        <w:rPr>
          <w:rFonts w:ascii="Times New Roman" w:eastAsia="Times New Roman" w:hAnsi="Times New Roman" w:cs="Times New Roman"/>
          <w:sz w:val="24"/>
          <w:szCs w:val="24"/>
          <w:lang w:eastAsia="en-IN" w:bidi="ml-IN"/>
        </w:rPr>
        <w:t>like</w:t>
      </w:r>
      <w:r w:rsidR="006516CD">
        <w:rPr>
          <w:rFonts w:ascii="Times New Roman" w:eastAsia="Times New Roman" w:hAnsi="Times New Roman" w:cs="Times New Roman"/>
          <w:sz w:val="24"/>
          <w:szCs w:val="24"/>
          <w:lang w:eastAsia="en-IN" w:bidi="ml-IN"/>
        </w:rPr>
        <w:t xml:space="preserve"> gender, age</w:t>
      </w:r>
      <w:r w:rsidR="00771F88">
        <w:rPr>
          <w:rFonts w:ascii="Times New Roman" w:eastAsia="Times New Roman" w:hAnsi="Times New Roman" w:cs="Times New Roman"/>
          <w:sz w:val="24"/>
          <w:szCs w:val="24"/>
          <w:lang w:eastAsia="en-IN" w:bidi="ml-IN"/>
        </w:rPr>
        <w:t>-group</w:t>
      </w:r>
      <w:r w:rsidR="006516CD">
        <w:rPr>
          <w:rFonts w:ascii="Times New Roman" w:eastAsia="Times New Roman" w:hAnsi="Times New Roman" w:cs="Times New Roman"/>
          <w:sz w:val="24"/>
          <w:szCs w:val="24"/>
          <w:lang w:eastAsia="en-IN" w:bidi="ml-IN"/>
        </w:rPr>
        <w:t>, education</w:t>
      </w:r>
      <w:r w:rsidR="00771F88">
        <w:rPr>
          <w:rFonts w:ascii="Times New Roman" w:eastAsia="Times New Roman" w:hAnsi="Times New Roman" w:cs="Times New Roman"/>
          <w:sz w:val="24"/>
          <w:szCs w:val="24"/>
          <w:lang w:eastAsia="en-IN" w:bidi="ml-IN"/>
        </w:rPr>
        <w:t>-</w:t>
      </w:r>
      <w:r w:rsidR="006516CD">
        <w:rPr>
          <w:rFonts w:ascii="Times New Roman" w:eastAsia="Times New Roman" w:hAnsi="Times New Roman" w:cs="Times New Roman"/>
          <w:sz w:val="24"/>
          <w:szCs w:val="24"/>
          <w:lang w:eastAsia="en-IN" w:bidi="ml-IN"/>
        </w:rPr>
        <w:t xml:space="preserve">status, monthly income, etc., on consumer satisfaction was also examined. The study </w:t>
      </w:r>
      <w:r w:rsidR="0032258E">
        <w:rPr>
          <w:rFonts w:ascii="Times New Roman" w:eastAsia="Times New Roman" w:hAnsi="Times New Roman" w:cs="Times New Roman"/>
          <w:sz w:val="24"/>
          <w:szCs w:val="24"/>
          <w:lang w:eastAsia="en-IN" w:bidi="ml-IN"/>
        </w:rPr>
        <w:t>also found</w:t>
      </w:r>
      <w:r w:rsidR="006516CD">
        <w:rPr>
          <w:rFonts w:ascii="Times New Roman" w:eastAsia="Times New Roman" w:hAnsi="Times New Roman" w:cs="Times New Roman"/>
          <w:sz w:val="24"/>
          <w:szCs w:val="24"/>
          <w:lang w:eastAsia="en-IN" w:bidi="ml-IN"/>
        </w:rPr>
        <w:t xml:space="preserve"> that </w:t>
      </w:r>
      <w:r w:rsidR="0032258E">
        <w:rPr>
          <w:rFonts w:ascii="Times New Roman" w:eastAsia="Times New Roman" w:hAnsi="Times New Roman" w:cs="Times New Roman"/>
          <w:sz w:val="24"/>
          <w:szCs w:val="24"/>
          <w:lang w:eastAsia="en-IN" w:bidi="ml-IN"/>
        </w:rPr>
        <w:t>while</w:t>
      </w:r>
      <w:r w:rsidR="006516CD">
        <w:rPr>
          <w:rFonts w:ascii="Times New Roman" w:eastAsia="Times New Roman" w:hAnsi="Times New Roman" w:cs="Times New Roman"/>
          <w:sz w:val="24"/>
          <w:szCs w:val="24"/>
          <w:lang w:eastAsia="en-IN" w:bidi="ml-IN"/>
        </w:rPr>
        <w:t xml:space="preserve"> gender and </w:t>
      </w:r>
      <w:r w:rsidR="008912D9">
        <w:rPr>
          <w:rFonts w:ascii="Times New Roman" w:eastAsia="Times New Roman" w:hAnsi="Times New Roman" w:cs="Times New Roman"/>
          <w:sz w:val="24"/>
          <w:szCs w:val="24"/>
          <w:lang w:eastAsia="en-IN" w:bidi="ml-IN"/>
        </w:rPr>
        <w:t xml:space="preserve">age group </w:t>
      </w:r>
      <w:r w:rsidR="0032258E">
        <w:rPr>
          <w:rFonts w:ascii="Times New Roman" w:eastAsia="Times New Roman" w:hAnsi="Times New Roman" w:cs="Times New Roman"/>
          <w:sz w:val="24"/>
          <w:szCs w:val="24"/>
          <w:lang w:eastAsia="en-IN" w:bidi="ml-IN"/>
        </w:rPr>
        <w:t xml:space="preserve">do not </w:t>
      </w:r>
      <w:r w:rsidR="008912D9">
        <w:rPr>
          <w:rFonts w:ascii="Times New Roman" w:eastAsia="Times New Roman" w:hAnsi="Times New Roman" w:cs="Times New Roman"/>
          <w:sz w:val="24"/>
          <w:szCs w:val="24"/>
          <w:lang w:eastAsia="en-IN" w:bidi="ml-IN"/>
        </w:rPr>
        <w:t xml:space="preserve">impact the overall satisfaction of </w:t>
      </w:r>
      <w:r w:rsidR="0032258E">
        <w:rPr>
          <w:rFonts w:ascii="Times New Roman" w:eastAsia="Times New Roman" w:hAnsi="Times New Roman" w:cs="Times New Roman"/>
          <w:sz w:val="24"/>
          <w:szCs w:val="24"/>
          <w:lang w:eastAsia="en-IN" w:bidi="ml-IN"/>
        </w:rPr>
        <w:t xml:space="preserve">LPG consumers, the education status and monthly income influence it. </w:t>
      </w:r>
      <w:bookmarkStart w:id="5" w:name="_Hlk208178069"/>
      <w:r w:rsidR="0032258E">
        <w:rPr>
          <w:rFonts w:ascii="Times New Roman" w:eastAsia="Times New Roman" w:hAnsi="Times New Roman" w:cs="Times New Roman"/>
          <w:sz w:val="24"/>
          <w:szCs w:val="24"/>
          <w:lang w:eastAsia="en-IN" w:bidi="ml-IN"/>
        </w:rPr>
        <w:t xml:space="preserve">The study concluded that the overall satisfaction level of consumers of Indane gas distributors </w:t>
      </w:r>
      <w:r w:rsidR="000E2FE8">
        <w:rPr>
          <w:rFonts w:ascii="Times New Roman" w:eastAsia="Times New Roman" w:hAnsi="Times New Roman" w:cs="Times New Roman"/>
          <w:sz w:val="24"/>
          <w:szCs w:val="24"/>
          <w:lang w:eastAsia="en-IN" w:bidi="ml-IN"/>
        </w:rPr>
        <w:t>is comparatively more than that of Bharath gas and HP gas distributors.</w:t>
      </w:r>
    </w:p>
    <w:bookmarkEnd w:id="5"/>
    <w:p w14:paraId="07BABD49" w14:textId="74B729D6" w:rsidR="00807EB1" w:rsidRDefault="004B64BC" w:rsidP="00492ADE">
      <w:pPr>
        <w:spacing w:before="100" w:beforeAutospacing="1" w:after="100" w:afterAutospacing="1" w:line="240" w:lineRule="auto"/>
        <w:jc w:val="both"/>
        <w:rPr>
          <w:rFonts w:ascii="Times New Roman" w:eastAsia="Times New Roman" w:hAnsi="Times New Roman" w:cs="Times New Roman"/>
          <w:sz w:val="24"/>
          <w:szCs w:val="24"/>
          <w:lang w:eastAsia="en-IN" w:bidi="ml-IN"/>
        </w:rPr>
      </w:pPr>
      <w:r w:rsidRPr="004B64BC">
        <w:rPr>
          <w:rFonts w:ascii="Times New Roman" w:eastAsia="Times New Roman" w:hAnsi="Times New Roman" w:cs="Times New Roman"/>
          <w:sz w:val="24"/>
          <w:szCs w:val="24"/>
          <w:lang w:eastAsia="en-IN" w:bidi="ml-IN"/>
        </w:rPr>
        <w:t>Finally, the study suggests some areas in respect of which further studies may be conducted. The satisfaction level of domestic LPG users in rural and urban areas can be compared. Similarly, analytical study can be conducted to compare the perceptions, levels of satisfaction, and awareness of safety of ordinary domestic LPG users versus domestic households under PMUJ. Longitudinal studies may be conducted to see how changes in service enhancements, digital adoption, or subsidy policies affect the level of satisfaction domestic LPG users.</w:t>
      </w:r>
    </w:p>
    <w:p w14:paraId="6141B453" w14:textId="77777777" w:rsidR="00225182" w:rsidRPr="00C471E7" w:rsidRDefault="00225182" w:rsidP="00225182">
      <w:pPr>
        <w:rPr>
          <w:rFonts w:ascii="Calibri" w:eastAsia="Calibri" w:hAnsi="Calibri" w:cs="Times New Roman"/>
          <w:b/>
          <w:bCs/>
          <w:kern w:val="2"/>
          <w:highlight w:val="yellow"/>
          <w:lang w:val="en-US"/>
        </w:rPr>
      </w:pPr>
      <w:bookmarkStart w:id="6" w:name="_Hlk201835975"/>
      <w:bookmarkStart w:id="7" w:name="_Hlk193540946"/>
      <w:bookmarkStart w:id="8" w:name="_Hlk180402183"/>
      <w:bookmarkStart w:id="9" w:name="_Hlk183680988"/>
      <w:bookmarkStart w:id="10" w:name="_Hlk197173371"/>
      <w:r w:rsidRPr="00C471E7">
        <w:rPr>
          <w:rFonts w:ascii="Calibri" w:eastAsia="Calibri" w:hAnsi="Calibri" w:cs="Times New Roman"/>
          <w:b/>
          <w:bCs/>
          <w:kern w:val="2"/>
          <w:highlight w:val="yellow"/>
          <w:lang w:val="en-US"/>
        </w:rPr>
        <w:t>Disclaimer (Artificial intelligence)</w:t>
      </w:r>
    </w:p>
    <w:p w14:paraId="30AFC585"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2395256"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4C1890F9"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657E713A"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CAB6EE"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1D8A1C8"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6EC3168C" w14:textId="77777777" w:rsidR="00225182" w:rsidRPr="009C5487" w:rsidRDefault="00225182" w:rsidP="0022518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6"/>
    </w:p>
    <w:p w14:paraId="267B3F8C" w14:textId="15D45CB4" w:rsidR="00225182" w:rsidRPr="003F38CB" w:rsidRDefault="00225182" w:rsidP="003F38CB">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7"/>
      <w:bookmarkEnd w:id="8"/>
      <w:bookmarkEnd w:id="9"/>
      <w:bookmarkEnd w:id="10"/>
    </w:p>
    <w:p w14:paraId="06E5373F" w14:textId="77777777" w:rsidR="00F764F4" w:rsidRPr="0004704C" w:rsidRDefault="00F764F4" w:rsidP="00F764F4">
      <w:pPr>
        <w:jc w:val="center"/>
        <w:rPr>
          <w:rFonts w:ascii="Times New Roman" w:hAnsi="Times New Roman" w:cs="Times New Roman"/>
          <w:b/>
          <w:bCs/>
          <w:sz w:val="28"/>
          <w:szCs w:val="28"/>
        </w:rPr>
      </w:pPr>
      <w:r w:rsidRPr="0004704C">
        <w:rPr>
          <w:rFonts w:ascii="Times New Roman" w:hAnsi="Times New Roman" w:cs="Times New Roman"/>
          <w:b/>
          <w:bCs/>
          <w:sz w:val="28"/>
          <w:szCs w:val="28"/>
        </w:rPr>
        <w:t>References</w:t>
      </w:r>
    </w:p>
    <w:p w14:paraId="2149561E" w14:textId="77777777" w:rsidR="00C64383" w:rsidRDefault="00C64383" w:rsidP="00F764F4">
      <w:pPr>
        <w:jc w:val="both"/>
        <w:rPr>
          <w:rFonts w:ascii="Times New Roman" w:hAnsi="Times New Roman" w:cs="Times New Roman"/>
          <w:color w:val="222222"/>
          <w:sz w:val="24"/>
          <w:szCs w:val="24"/>
          <w:shd w:val="clear" w:color="auto" w:fill="FFFFFF"/>
        </w:rPr>
      </w:pPr>
      <w:r w:rsidRPr="000022F8">
        <w:rPr>
          <w:rFonts w:ascii="Times New Roman" w:hAnsi="Times New Roman" w:cs="Times New Roman"/>
          <w:color w:val="222222"/>
          <w:sz w:val="24"/>
          <w:szCs w:val="24"/>
          <w:shd w:val="clear" w:color="auto" w:fill="FFFFFF"/>
        </w:rPr>
        <w:t>Anyon, P. (2009). LP Gas: Healthy energy for a changing world. </w:t>
      </w:r>
      <w:r w:rsidRPr="000022F8">
        <w:rPr>
          <w:rFonts w:ascii="Times New Roman" w:hAnsi="Times New Roman" w:cs="Times New Roman"/>
          <w:i/>
          <w:iCs/>
          <w:color w:val="222222"/>
          <w:sz w:val="24"/>
          <w:szCs w:val="24"/>
          <w:shd w:val="clear" w:color="auto" w:fill="FFFFFF"/>
        </w:rPr>
        <w:t>Published by World Liquefied Petroleum Gas Association</w:t>
      </w:r>
      <w:r w:rsidRPr="000022F8">
        <w:rPr>
          <w:rFonts w:ascii="Times New Roman" w:hAnsi="Times New Roman" w:cs="Times New Roman"/>
          <w:color w:val="222222"/>
          <w:sz w:val="24"/>
          <w:szCs w:val="24"/>
          <w:shd w:val="clear" w:color="auto" w:fill="FFFFFF"/>
        </w:rPr>
        <w:t>.</w:t>
      </w:r>
    </w:p>
    <w:p w14:paraId="157977CC" w14:textId="77777777" w:rsidR="00C64383" w:rsidRDefault="00C64383" w:rsidP="00F764F4">
      <w:pPr>
        <w:jc w:val="both"/>
        <w:rPr>
          <w:rFonts w:ascii="Times New Roman" w:hAnsi="Times New Roman" w:cs="Times New Roman"/>
          <w:sz w:val="24"/>
          <w:szCs w:val="24"/>
        </w:rPr>
      </w:pPr>
      <w:r w:rsidRPr="00197B5F">
        <w:rPr>
          <w:rFonts w:ascii="Times New Roman" w:hAnsi="Times New Roman" w:cs="Times New Roman"/>
          <w:sz w:val="24"/>
          <w:szCs w:val="24"/>
        </w:rPr>
        <w:t xml:space="preserve">Bansal, M., Saini, R. P., &amp; </w:t>
      </w:r>
      <w:proofErr w:type="spellStart"/>
      <w:r w:rsidRPr="00197B5F">
        <w:rPr>
          <w:rFonts w:ascii="Times New Roman" w:hAnsi="Times New Roman" w:cs="Times New Roman"/>
          <w:sz w:val="24"/>
          <w:szCs w:val="24"/>
        </w:rPr>
        <w:t>Khatod</w:t>
      </w:r>
      <w:proofErr w:type="spellEnd"/>
      <w:r w:rsidRPr="00197B5F">
        <w:rPr>
          <w:rFonts w:ascii="Times New Roman" w:hAnsi="Times New Roman" w:cs="Times New Roman"/>
          <w:sz w:val="24"/>
          <w:szCs w:val="24"/>
        </w:rPr>
        <w:t xml:space="preserve">, D. K. (2013). Development of cooking sector in rural areas in India - A review. In Renewable and Sustainable Energy Reviews (Vol. 17, pp. 44–53). </w:t>
      </w:r>
      <w:hyperlink r:id="rId11" w:history="1">
        <w:r w:rsidRPr="009F6A0C">
          <w:rPr>
            <w:rStyle w:val="Hyperlink"/>
            <w:rFonts w:ascii="Times New Roman" w:hAnsi="Times New Roman" w:cs="Times New Roman"/>
            <w:sz w:val="24"/>
            <w:szCs w:val="24"/>
          </w:rPr>
          <w:t>https://doi.org/10.1016/j.rser.2012.09.14</w:t>
        </w:r>
      </w:hyperlink>
      <w:r>
        <w:rPr>
          <w:rFonts w:ascii="Times New Roman" w:hAnsi="Times New Roman" w:cs="Times New Roman"/>
          <w:sz w:val="24"/>
          <w:szCs w:val="24"/>
        </w:rPr>
        <w:t>.</w:t>
      </w:r>
    </w:p>
    <w:p w14:paraId="6FF577BE" w14:textId="77777777" w:rsidR="00C64383" w:rsidRDefault="00C64383" w:rsidP="00F764F4">
      <w:pPr>
        <w:jc w:val="both"/>
        <w:rPr>
          <w:rFonts w:ascii="Times New Roman" w:hAnsi="Times New Roman" w:cs="Times New Roman"/>
          <w:sz w:val="24"/>
          <w:szCs w:val="24"/>
        </w:rPr>
      </w:pPr>
      <w:r w:rsidRPr="00F82731">
        <w:rPr>
          <w:rFonts w:ascii="Times New Roman" w:hAnsi="Times New Roman" w:cs="Times New Roman"/>
          <w:sz w:val="24"/>
          <w:szCs w:val="24"/>
        </w:rPr>
        <w:t xml:space="preserve">Barua, S. K., &amp; </w:t>
      </w:r>
      <w:proofErr w:type="spellStart"/>
      <w:r w:rsidRPr="00F82731">
        <w:rPr>
          <w:rFonts w:ascii="Times New Roman" w:hAnsi="Times New Roman" w:cs="Times New Roman"/>
          <w:sz w:val="24"/>
          <w:szCs w:val="24"/>
        </w:rPr>
        <w:t>Agarwalla</w:t>
      </w:r>
      <w:proofErr w:type="spellEnd"/>
      <w:r w:rsidRPr="00F82731">
        <w:rPr>
          <w:rFonts w:ascii="Times New Roman" w:hAnsi="Times New Roman" w:cs="Times New Roman"/>
          <w:sz w:val="24"/>
          <w:szCs w:val="24"/>
        </w:rPr>
        <w:t xml:space="preserve">, S. K. (2020). Lighting up Lives Through Cooking Gas 1. Indian Institute of Management Ahmedabad, 1–31. </w:t>
      </w:r>
      <w:hyperlink r:id="rId12" w:history="1">
        <w:r w:rsidRPr="00835830">
          <w:rPr>
            <w:rStyle w:val="Hyperlink"/>
            <w:rFonts w:ascii="Times New Roman" w:hAnsi="Times New Roman" w:cs="Times New Roman"/>
            <w:sz w:val="24"/>
            <w:szCs w:val="24"/>
          </w:rPr>
          <w:t>https://doi.org/10.1108/case.iima.2020.000213</w:t>
        </w:r>
      </w:hyperlink>
      <w:r>
        <w:rPr>
          <w:rFonts w:ascii="Times New Roman" w:hAnsi="Times New Roman" w:cs="Times New Roman"/>
          <w:sz w:val="24"/>
          <w:szCs w:val="24"/>
        </w:rPr>
        <w:t>.</w:t>
      </w:r>
    </w:p>
    <w:p w14:paraId="36FF9B6D" w14:textId="77777777" w:rsidR="00C64383" w:rsidRPr="00382240" w:rsidRDefault="00C64383" w:rsidP="00C64383">
      <w:pPr>
        <w:spacing w:before="240" w:after="0" w:line="240" w:lineRule="auto"/>
        <w:jc w:val="both"/>
        <w:rPr>
          <w:rFonts w:ascii="Times New Roman" w:eastAsia="Times New Roman" w:hAnsi="Times New Roman" w:cs="Times New Roman"/>
          <w:sz w:val="24"/>
          <w:szCs w:val="24"/>
          <w:lang w:eastAsia="en-IN" w:bidi="ml-IN"/>
        </w:rPr>
      </w:pPr>
      <w:r w:rsidRPr="007C2094">
        <w:rPr>
          <w:rFonts w:ascii="Times New Roman" w:hAnsi="Times New Roman" w:cs="Times New Roman"/>
          <w:color w:val="222222"/>
          <w:sz w:val="24"/>
          <w:szCs w:val="24"/>
          <w:shd w:val="clear" w:color="auto" w:fill="FFFFFF"/>
        </w:rPr>
        <w:t>Cavalcanti Sá De Abreu, M., &amp; Lins, J. C. (2011). A demographic analysis of consumer environmental attitudes about liquefied petroleum gas in Brazil. </w:t>
      </w:r>
      <w:r w:rsidRPr="007C2094">
        <w:rPr>
          <w:rFonts w:ascii="Times New Roman" w:hAnsi="Times New Roman" w:cs="Times New Roman"/>
          <w:i/>
          <w:iCs/>
          <w:color w:val="222222"/>
          <w:sz w:val="24"/>
          <w:szCs w:val="24"/>
          <w:shd w:val="clear" w:color="auto" w:fill="FFFFFF"/>
        </w:rPr>
        <w:t>EJBO-Electronic Journal of Business Ethics and Organization Studies</w:t>
      </w:r>
      <w:r w:rsidRPr="007C2094">
        <w:rPr>
          <w:rFonts w:ascii="Times New Roman" w:hAnsi="Times New Roman" w:cs="Times New Roman"/>
          <w:color w:val="222222"/>
          <w:sz w:val="24"/>
          <w:szCs w:val="24"/>
          <w:shd w:val="clear" w:color="auto" w:fill="FFFFFF"/>
        </w:rPr>
        <w:t>, (2).</w:t>
      </w:r>
    </w:p>
    <w:p w14:paraId="06FA718E" w14:textId="77777777" w:rsidR="00C64383" w:rsidRDefault="00C64383" w:rsidP="00C64383">
      <w:pPr>
        <w:spacing w:before="240"/>
        <w:jc w:val="both"/>
        <w:rPr>
          <w:rFonts w:ascii="Times New Roman" w:hAnsi="Times New Roman" w:cs="Times New Roman"/>
          <w:sz w:val="24"/>
          <w:szCs w:val="24"/>
        </w:rPr>
      </w:pPr>
      <w:proofErr w:type="spellStart"/>
      <w:r w:rsidRPr="007025A9">
        <w:rPr>
          <w:rFonts w:ascii="Times New Roman" w:hAnsi="Times New Roman" w:cs="Times New Roman"/>
          <w:sz w:val="24"/>
          <w:szCs w:val="24"/>
        </w:rPr>
        <w:lastRenderedPageBreak/>
        <w:t>Charoenpong</w:t>
      </w:r>
      <w:proofErr w:type="spellEnd"/>
      <w:r w:rsidRPr="007025A9">
        <w:rPr>
          <w:rFonts w:ascii="Times New Roman" w:hAnsi="Times New Roman" w:cs="Times New Roman"/>
          <w:sz w:val="24"/>
          <w:szCs w:val="24"/>
        </w:rPr>
        <w:t>, P. (2003) International Tourists: Satisfaction with the Quality of Service in</w:t>
      </w:r>
      <w:r>
        <w:rPr>
          <w:rFonts w:ascii="Times New Roman" w:hAnsi="Times New Roman" w:cs="Times New Roman"/>
          <w:sz w:val="24"/>
          <w:szCs w:val="24"/>
        </w:rPr>
        <w:t xml:space="preserve"> </w:t>
      </w:r>
      <w:r w:rsidRPr="007025A9">
        <w:rPr>
          <w:rFonts w:ascii="Times New Roman" w:hAnsi="Times New Roman" w:cs="Times New Roman"/>
          <w:sz w:val="24"/>
          <w:szCs w:val="24"/>
        </w:rPr>
        <w:t>Accommodation in Thailand, Dissertation (Population Education), Graduate School, Mahidol</w:t>
      </w:r>
      <w:r>
        <w:rPr>
          <w:rFonts w:ascii="Times New Roman" w:hAnsi="Times New Roman" w:cs="Times New Roman"/>
          <w:sz w:val="24"/>
          <w:szCs w:val="24"/>
        </w:rPr>
        <w:t xml:space="preserve"> </w:t>
      </w:r>
      <w:r w:rsidRPr="007025A9">
        <w:rPr>
          <w:rFonts w:ascii="Times New Roman" w:hAnsi="Times New Roman" w:cs="Times New Roman"/>
          <w:sz w:val="24"/>
          <w:szCs w:val="24"/>
        </w:rPr>
        <w:t>University, Bangkok.</w:t>
      </w:r>
    </w:p>
    <w:p w14:paraId="50E2F69A" w14:textId="77777777" w:rsidR="00C64383" w:rsidRPr="00050668" w:rsidRDefault="00C64383" w:rsidP="00114B7E">
      <w:pPr>
        <w:jc w:val="both"/>
        <w:rPr>
          <w:rFonts w:ascii="Times New Roman" w:hAnsi="Times New Roman" w:cs="Times New Roman"/>
          <w:sz w:val="24"/>
          <w:szCs w:val="24"/>
        </w:rPr>
      </w:pPr>
      <w:r w:rsidRPr="00050668">
        <w:rPr>
          <w:rFonts w:ascii="Times New Roman" w:hAnsi="Times New Roman" w:cs="Times New Roman"/>
          <w:color w:val="222222"/>
          <w:sz w:val="24"/>
          <w:szCs w:val="24"/>
          <w:shd w:val="clear" w:color="auto" w:fill="FFFFFF"/>
        </w:rPr>
        <w:t>Chikwendu, C. C. (2011). Change-over from Kerosene to LPG Use. </w:t>
      </w:r>
      <w:r w:rsidRPr="00050668">
        <w:rPr>
          <w:rFonts w:ascii="Times New Roman" w:hAnsi="Times New Roman" w:cs="Times New Roman"/>
          <w:i/>
          <w:iCs/>
          <w:color w:val="222222"/>
          <w:sz w:val="24"/>
          <w:szCs w:val="24"/>
          <w:shd w:val="clear" w:color="auto" w:fill="FFFFFF"/>
        </w:rPr>
        <w:t>ENERGIA Africa–A Family Case Study.” Energia: International Network on Gender and Sustainable Energy</w:t>
      </w:r>
      <w:r w:rsidRPr="00050668">
        <w:rPr>
          <w:rFonts w:ascii="Times New Roman" w:hAnsi="Times New Roman" w:cs="Times New Roman"/>
          <w:color w:val="222222"/>
          <w:sz w:val="24"/>
          <w:szCs w:val="24"/>
          <w:shd w:val="clear" w:color="auto" w:fill="FFFFFF"/>
        </w:rPr>
        <w:t>.</w:t>
      </w:r>
    </w:p>
    <w:p w14:paraId="2E1B5D9E" w14:textId="77777777" w:rsidR="00C64383" w:rsidRDefault="00C64383" w:rsidP="0044231F">
      <w:pPr>
        <w:jc w:val="both"/>
        <w:rPr>
          <w:rFonts w:ascii="Times New Roman" w:hAnsi="Times New Roman" w:cs="Times New Roman"/>
          <w:color w:val="222222"/>
          <w:sz w:val="24"/>
          <w:szCs w:val="24"/>
          <w:shd w:val="clear" w:color="auto" w:fill="FFFFFF"/>
        </w:rPr>
      </w:pPr>
      <w:r w:rsidRPr="005435FD">
        <w:rPr>
          <w:rFonts w:ascii="Times New Roman" w:hAnsi="Times New Roman" w:cs="Times New Roman"/>
          <w:color w:val="222222"/>
          <w:sz w:val="24"/>
          <w:szCs w:val="24"/>
          <w:shd w:val="clear" w:color="auto" w:fill="FFFFFF"/>
        </w:rPr>
        <w:t>Coello Pisco, S. M., Hidalgo Crespo, J. A., Rodriguez Gomez, B. A., González Cañizales, Y. A., &amp; Banguera Arroyo, L. A. (2022, September). Perceptions of Domestic Gas Consumption: Effects on the Economy, Urbanization Process and Environmental Proposal. In </w:t>
      </w:r>
      <w:r w:rsidRPr="005435FD">
        <w:rPr>
          <w:rFonts w:ascii="Times New Roman" w:hAnsi="Times New Roman" w:cs="Times New Roman"/>
          <w:i/>
          <w:iCs/>
          <w:color w:val="222222"/>
          <w:sz w:val="24"/>
          <w:szCs w:val="24"/>
          <w:shd w:val="clear" w:color="auto" w:fill="FFFFFF"/>
        </w:rPr>
        <w:t>International Conference on Energy and Environment Research</w:t>
      </w:r>
      <w:r w:rsidRPr="005435FD">
        <w:rPr>
          <w:rFonts w:ascii="Times New Roman" w:hAnsi="Times New Roman" w:cs="Times New Roman"/>
          <w:color w:val="222222"/>
          <w:sz w:val="24"/>
          <w:szCs w:val="24"/>
          <w:shd w:val="clear" w:color="auto" w:fill="FFFFFF"/>
        </w:rPr>
        <w:t> (pp. 781-792). Cham: Springer Nature Switzerland.</w:t>
      </w:r>
    </w:p>
    <w:p w14:paraId="6AE350E9" w14:textId="77777777" w:rsidR="00C64383" w:rsidRDefault="00C64383" w:rsidP="00F764F4">
      <w:pPr>
        <w:jc w:val="both"/>
        <w:rPr>
          <w:rFonts w:ascii="Times New Roman" w:hAnsi="Times New Roman" w:cs="Times New Roman"/>
          <w:color w:val="222222"/>
          <w:sz w:val="24"/>
          <w:szCs w:val="24"/>
          <w:shd w:val="clear" w:color="auto" w:fill="FFFFFF"/>
        </w:rPr>
      </w:pPr>
      <w:proofErr w:type="spellStart"/>
      <w:r w:rsidRPr="009E17C7">
        <w:rPr>
          <w:rFonts w:ascii="Times New Roman" w:hAnsi="Times New Roman" w:cs="Times New Roman"/>
          <w:color w:val="222222"/>
          <w:sz w:val="24"/>
          <w:szCs w:val="24"/>
          <w:shd w:val="clear" w:color="auto" w:fill="FFFFFF"/>
        </w:rPr>
        <w:t>Dhanabhakyam</w:t>
      </w:r>
      <w:proofErr w:type="spellEnd"/>
      <w:r w:rsidRPr="009E17C7">
        <w:rPr>
          <w:rFonts w:ascii="Times New Roman" w:hAnsi="Times New Roman" w:cs="Times New Roman"/>
          <w:color w:val="222222"/>
          <w:sz w:val="24"/>
          <w:szCs w:val="24"/>
          <w:shd w:val="clear" w:color="auto" w:fill="FFFFFF"/>
        </w:rPr>
        <w:t>, M., &amp; Sumathi, T. (2014). A Study on Customers Attitude and Satisfaction towards HP LPG in House Hold, Coimbatore. </w:t>
      </w:r>
      <w:r w:rsidRPr="009E17C7">
        <w:rPr>
          <w:rFonts w:ascii="Times New Roman" w:hAnsi="Times New Roman" w:cs="Times New Roman"/>
          <w:i/>
          <w:iCs/>
          <w:color w:val="222222"/>
          <w:sz w:val="24"/>
          <w:szCs w:val="24"/>
          <w:shd w:val="clear" w:color="auto" w:fill="FFFFFF"/>
        </w:rPr>
        <w:t>The SIJ Transactions on Industrial, Financial &amp; Business Management (IFBM)</w:t>
      </w:r>
      <w:r w:rsidRPr="009E17C7">
        <w:rPr>
          <w:rFonts w:ascii="Times New Roman" w:hAnsi="Times New Roman" w:cs="Times New Roman"/>
          <w:color w:val="222222"/>
          <w:sz w:val="24"/>
          <w:szCs w:val="24"/>
          <w:shd w:val="clear" w:color="auto" w:fill="FFFFFF"/>
        </w:rPr>
        <w:t>, </w:t>
      </w:r>
      <w:r w:rsidRPr="009E17C7">
        <w:rPr>
          <w:rFonts w:ascii="Times New Roman" w:hAnsi="Times New Roman" w:cs="Times New Roman"/>
          <w:i/>
          <w:iCs/>
          <w:color w:val="222222"/>
          <w:sz w:val="24"/>
          <w:szCs w:val="24"/>
          <w:shd w:val="clear" w:color="auto" w:fill="FFFFFF"/>
        </w:rPr>
        <w:t>2</w:t>
      </w:r>
      <w:r w:rsidRPr="009E17C7">
        <w:rPr>
          <w:rFonts w:ascii="Times New Roman" w:hAnsi="Times New Roman" w:cs="Times New Roman"/>
          <w:color w:val="222222"/>
          <w:sz w:val="24"/>
          <w:szCs w:val="24"/>
          <w:shd w:val="clear" w:color="auto" w:fill="FFFFFF"/>
        </w:rPr>
        <w:t>(2).</w:t>
      </w:r>
    </w:p>
    <w:p w14:paraId="2DA3E4AB" w14:textId="77777777" w:rsidR="00C64383" w:rsidRDefault="00C64383" w:rsidP="00F764F4">
      <w:pPr>
        <w:jc w:val="both"/>
        <w:rPr>
          <w:rFonts w:ascii="Times New Roman" w:hAnsi="Times New Roman" w:cs="Times New Roman"/>
          <w:color w:val="222222"/>
          <w:sz w:val="24"/>
          <w:szCs w:val="24"/>
          <w:shd w:val="clear" w:color="auto" w:fill="FFFFFF"/>
        </w:rPr>
      </w:pPr>
      <w:r w:rsidRPr="000B1F9A">
        <w:rPr>
          <w:rFonts w:ascii="Times New Roman" w:hAnsi="Times New Roman" w:cs="Times New Roman"/>
          <w:color w:val="222222"/>
          <w:sz w:val="24"/>
          <w:szCs w:val="24"/>
          <w:shd w:val="clear" w:color="auto" w:fill="FFFFFF"/>
        </w:rPr>
        <w:t xml:space="preserve">Gould, C. F., &amp; </w:t>
      </w:r>
      <w:bookmarkStart w:id="11" w:name="_Hlk207602455"/>
      <w:r w:rsidRPr="000B1F9A">
        <w:rPr>
          <w:rFonts w:ascii="Times New Roman" w:hAnsi="Times New Roman" w:cs="Times New Roman"/>
          <w:color w:val="222222"/>
          <w:sz w:val="24"/>
          <w:szCs w:val="24"/>
          <w:shd w:val="clear" w:color="auto" w:fill="FFFFFF"/>
        </w:rPr>
        <w:t xml:space="preserve">Urpelainen, J. (2018). </w:t>
      </w:r>
      <w:bookmarkEnd w:id="11"/>
      <w:r w:rsidRPr="000B1F9A">
        <w:rPr>
          <w:rFonts w:ascii="Times New Roman" w:hAnsi="Times New Roman" w:cs="Times New Roman"/>
          <w:color w:val="222222"/>
          <w:sz w:val="24"/>
          <w:szCs w:val="24"/>
          <w:shd w:val="clear" w:color="auto" w:fill="FFFFFF"/>
        </w:rPr>
        <w:t>LPG as a clean cooking fuel: Adoption, use, and impact in rural India. </w:t>
      </w:r>
      <w:r w:rsidRPr="000B1F9A">
        <w:rPr>
          <w:rFonts w:ascii="Times New Roman" w:hAnsi="Times New Roman" w:cs="Times New Roman"/>
          <w:i/>
          <w:iCs/>
          <w:color w:val="222222"/>
          <w:sz w:val="24"/>
          <w:szCs w:val="24"/>
          <w:shd w:val="clear" w:color="auto" w:fill="FFFFFF"/>
        </w:rPr>
        <w:t>Energy Policy</w:t>
      </w:r>
      <w:r w:rsidRPr="000B1F9A">
        <w:rPr>
          <w:rFonts w:ascii="Times New Roman" w:hAnsi="Times New Roman" w:cs="Times New Roman"/>
          <w:color w:val="222222"/>
          <w:sz w:val="24"/>
          <w:szCs w:val="24"/>
          <w:shd w:val="clear" w:color="auto" w:fill="FFFFFF"/>
        </w:rPr>
        <w:t>, </w:t>
      </w:r>
      <w:r w:rsidRPr="000B1F9A">
        <w:rPr>
          <w:rFonts w:ascii="Times New Roman" w:hAnsi="Times New Roman" w:cs="Times New Roman"/>
          <w:i/>
          <w:iCs/>
          <w:color w:val="222222"/>
          <w:sz w:val="24"/>
          <w:szCs w:val="24"/>
          <w:shd w:val="clear" w:color="auto" w:fill="FFFFFF"/>
        </w:rPr>
        <w:t>122</w:t>
      </w:r>
      <w:r w:rsidRPr="000B1F9A">
        <w:rPr>
          <w:rFonts w:ascii="Times New Roman" w:hAnsi="Times New Roman" w:cs="Times New Roman"/>
          <w:color w:val="222222"/>
          <w:sz w:val="24"/>
          <w:szCs w:val="24"/>
          <w:shd w:val="clear" w:color="auto" w:fill="FFFFFF"/>
        </w:rPr>
        <w:t>, 395-408.</w:t>
      </w:r>
    </w:p>
    <w:p w14:paraId="03884EDD" w14:textId="77777777" w:rsidR="00C64383" w:rsidRPr="00351E09" w:rsidRDefault="00C64383" w:rsidP="00361898">
      <w:pPr>
        <w:jc w:val="both"/>
        <w:rPr>
          <w:rFonts w:ascii="Times New Roman" w:hAnsi="Times New Roman" w:cs="Times New Roman"/>
          <w:sz w:val="24"/>
          <w:szCs w:val="24"/>
        </w:rPr>
      </w:pPr>
      <w:proofErr w:type="spellStart"/>
      <w:r w:rsidRPr="00351E09">
        <w:rPr>
          <w:rFonts w:ascii="Times New Roman" w:hAnsi="Times New Roman" w:cs="Times New Roman"/>
          <w:color w:val="222222"/>
          <w:sz w:val="24"/>
          <w:szCs w:val="24"/>
          <w:shd w:val="clear" w:color="auto" w:fill="FFFFFF"/>
        </w:rPr>
        <w:t>Jarurungsipong</w:t>
      </w:r>
      <w:proofErr w:type="spellEnd"/>
      <w:r w:rsidRPr="00351E09">
        <w:rPr>
          <w:rFonts w:ascii="Times New Roman" w:hAnsi="Times New Roman" w:cs="Times New Roman"/>
          <w:color w:val="222222"/>
          <w:sz w:val="24"/>
          <w:szCs w:val="24"/>
          <w:shd w:val="clear" w:color="auto" w:fill="FFFFFF"/>
        </w:rPr>
        <w:t xml:space="preserve">, R., &amp; </w:t>
      </w:r>
      <w:proofErr w:type="spellStart"/>
      <w:r w:rsidRPr="00351E09">
        <w:rPr>
          <w:rFonts w:ascii="Times New Roman" w:hAnsi="Times New Roman" w:cs="Times New Roman"/>
          <w:color w:val="222222"/>
          <w:sz w:val="24"/>
          <w:szCs w:val="24"/>
          <w:shd w:val="clear" w:color="auto" w:fill="FFFFFF"/>
        </w:rPr>
        <w:t>Rakthum</w:t>
      </w:r>
      <w:proofErr w:type="spellEnd"/>
      <w:r w:rsidRPr="00351E09">
        <w:rPr>
          <w:rFonts w:ascii="Times New Roman" w:hAnsi="Times New Roman" w:cs="Times New Roman"/>
          <w:color w:val="222222"/>
          <w:sz w:val="24"/>
          <w:szCs w:val="24"/>
          <w:shd w:val="clear" w:color="auto" w:fill="FFFFFF"/>
        </w:rPr>
        <w:t>, N. (2012). Price Controls Support LPG Fuel Consumption Argues. </w:t>
      </w:r>
      <w:r w:rsidRPr="00351E09">
        <w:rPr>
          <w:rFonts w:ascii="Times New Roman" w:hAnsi="Times New Roman" w:cs="Times New Roman"/>
          <w:i/>
          <w:iCs/>
          <w:color w:val="222222"/>
          <w:sz w:val="24"/>
          <w:szCs w:val="24"/>
          <w:shd w:val="clear" w:color="auto" w:fill="FFFFFF"/>
        </w:rPr>
        <w:t>Industry Research LPG Wholesaler, TRIS Rating</w:t>
      </w:r>
      <w:r w:rsidRPr="00351E09">
        <w:rPr>
          <w:rFonts w:ascii="Times New Roman" w:hAnsi="Times New Roman" w:cs="Times New Roman"/>
          <w:color w:val="222222"/>
          <w:sz w:val="24"/>
          <w:szCs w:val="24"/>
          <w:shd w:val="clear" w:color="auto" w:fill="FFFFFF"/>
        </w:rPr>
        <w:t>, </w:t>
      </w:r>
      <w:r w:rsidRPr="00351E09">
        <w:rPr>
          <w:rFonts w:ascii="Times New Roman" w:hAnsi="Times New Roman" w:cs="Times New Roman"/>
          <w:i/>
          <w:iCs/>
          <w:color w:val="222222"/>
          <w:sz w:val="24"/>
          <w:szCs w:val="24"/>
          <w:shd w:val="clear" w:color="auto" w:fill="FFFFFF"/>
        </w:rPr>
        <w:t>30</w:t>
      </w:r>
      <w:r w:rsidRPr="00351E09">
        <w:rPr>
          <w:rFonts w:ascii="Times New Roman" w:hAnsi="Times New Roman" w:cs="Times New Roman"/>
          <w:color w:val="222222"/>
          <w:sz w:val="24"/>
          <w:szCs w:val="24"/>
          <w:shd w:val="clear" w:color="auto" w:fill="FFFFFF"/>
        </w:rPr>
        <w:t>.</w:t>
      </w:r>
    </w:p>
    <w:p w14:paraId="1F46267D" w14:textId="77777777" w:rsidR="00C64383" w:rsidRDefault="00C64383" w:rsidP="00BD681A">
      <w:pPr>
        <w:jc w:val="both"/>
        <w:rPr>
          <w:rFonts w:ascii="Times New Roman" w:hAnsi="Times New Roman" w:cs="Times New Roman"/>
          <w:color w:val="222222"/>
          <w:sz w:val="24"/>
          <w:szCs w:val="24"/>
          <w:shd w:val="clear" w:color="auto" w:fill="FFFFFF"/>
        </w:rPr>
      </w:pPr>
      <w:r w:rsidRPr="00382240">
        <w:rPr>
          <w:rFonts w:ascii="Times New Roman" w:hAnsi="Times New Roman" w:cs="Times New Roman"/>
          <w:color w:val="222222"/>
          <w:sz w:val="24"/>
          <w:szCs w:val="24"/>
          <w:shd w:val="clear" w:color="auto" w:fill="FFFFFF"/>
        </w:rPr>
        <w:t>Johnson, E. (2012). Substituting LP Gas for Wood: Carbon and Deforestation Impacts. </w:t>
      </w:r>
      <w:r w:rsidRPr="00382240">
        <w:rPr>
          <w:rFonts w:ascii="Times New Roman" w:hAnsi="Times New Roman" w:cs="Times New Roman"/>
          <w:i/>
          <w:iCs/>
          <w:color w:val="222222"/>
          <w:sz w:val="24"/>
          <w:szCs w:val="24"/>
          <w:shd w:val="clear" w:color="auto" w:fill="FFFFFF"/>
        </w:rPr>
        <w:t>Zurich: World LP Gas Association</w:t>
      </w:r>
      <w:r w:rsidRPr="00382240">
        <w:rPr>
          <w:rFonts w:ascii="Times New Roman" w:hAnsi="Times New Roman" w:cs="Times New Roman"/>
          <w:color w:val="222222"/>
          <w:sz w:val="24"/>
          <w:szCs w:val="24"/>
          <w:shd w:val="clear" w:color="auto" w:fill="FFFFFF"/>
        </w:rPr>
        <w:t>.</w:t>
      </w:r>
    </w:p>
    <w:p w14:paraId="613F57B5" w14:textId="77777777" w:rsidR="00C64383" w:rsidRDefault="00C64383" w:rsidP="00F764F4">
      <w:pPr>
        <w:jc w:val="both"/>
        <w:rPr>
          <w:rFonts w:ascii="Times New Roman" w:hAnsi="Times New Roman" w:cs="Times New Roman"/>
          <w:sz w:val="24"/>
          <w:szCs w:val="24"/>
        </w:rPr>
      </w:pPr>
      <w:r w:rsidRPr="00134469">
        <w:rPr>
          <w:rFonts w:ascii="Times New Roman" w:hAnsi="Times New Roman" w:cs="Times New Roman"/>
          <w:sz w:val="24"/>
          <w:szCs w:val="24"/>
        </w:rPr>
        <w:t>Khan, M.S., Mahapatra, S.S. and Sreekumar, N.A. (2009) ‘Service quality evaluation in internet</w:t>
      </w:r>
      <w:r>
        <w:rPr>
          <w:rFonts w:ascii="Times New Roman" w:hAnsi="Times New Roman" w:cs="Times New Roman"/>
          <w:sz w:val="24"/>
          <w:szCs w:val="24"/>
        </w:rPr>
        <w:t xml:space="preserve"> </w:t>
      </w:r>
      <w:r w:rsidRPr="00134469">
        <w:rPr>
          <w:rFonts w:ascii="Times New Roman" w:hAnsi="Times New Roman" w:cs="Times New Roman"/>
          <w:sz w:val="24"/>
          <w:szCs w:val="24"/>
        </w:rPr>
        <w:t>banking: an empirical study in India’, International Journal of Indian Culture and Business</w:t>
      </w:r>
      <w:r>
        <w:rPr>
          <w:rFonts w:ascii="Times New Roman" w:hAnsi="Times New Roman" w:cs="Times New Roman"/>
          <w:sz w:val="24"/>
          <w:szCs w:val="24"/>
        </w:rPr>
        <w:t xml:space="preserve"> </w:t>
      </w:r>
      <w:r w:rsidRPr="00134469">
        <w:rPr>
          <w:rFonts w:ascii="Times New Roman" w:hAnsi="Times New Roman" w:cs="Times New Roman"/>
          <w:sz w:val="24"/>
          <w:szCs w:val="24"/>
        </w:rPr>
        <w:t>Management (IJICBM), Vol. 2, No. 1, pp.30–46.</w:t>
      </w:r>
    </w:p>
    <w:p w14:paraId="5614B3D6" w14:textId="77777777" w:rsidR="00C64383" w:rsidRDefault="00C64383" w:rsidP="00F764F4">
      <w:pPr>
        <w:jc w:val="both"/>
        <w:rPr>
          <w:rFonts w:ascii="Times New Roman" w:hAnsi="Times New Roman" w:cs="Times New Roman"/>
          <w:sz w:val="24"/>
          <w:szCs w:val="24"/>
        </w:rPr>
      </w:pPr>
      <w:r w:rsidRPr="00DC0AB2">
        <w:rPr>
          <w:rFonts w:ascii="Times New Roman" w:hAnsi="Times New Roman" w:cs="Times New Roman"/>
          <w:sz w:val="24"/>
          <w:szCs w:val="24"/>
        </w:rPr>
        <w:t>Kumar, R. (2023). Petroleum Planning &amp; Analysis Cell LPG Profile Report.</w:t>
      </w:r>
    </w:p>
    <w:p w14:paraId="734406F5" w14:textId="77777777" w:rsidR="00C64383" w:rsidRDefault="00C64383" w:rsidP="00EC4A80">
      <w:pPr>
        <w:jc w:val="both"/>
        <w:rPr>
          <w:rFonts w:ascii="Times New Roman" w:hAnsi="Times New Roman" w:cs="Times New Roman"/>
          <w:color w:val="222222"/>
          <w:sz w:val="24"/>
          <w:szCs w:val="24"/>
          <w:shd w:val="clear" w:color="auto" w:fill="FFFFFF"/>
        </w:rPr>
      </w:pPr>
      <w:r w:rsidRPr="00351E09">
        <w:rPr>
          <w:rFonts w:ascii="Times New Roman" w:hAnsi="Times New Roman" w:cs="Times New Roman"/>
          <w:color w:val="222222"/>
          <w:sz w:val="24"/>
          <w:szCs w:val="24"/>
          <w:shd w:val="clear" w:color="auto" w:fill="FFFFFF"/>
        </w:rPr>
        <w:t>Kutty, P. K. (2012). ’Oil &amp; Gas for sustainable Growth. </w:t>
      </w:r>
      <w:r w:rsidRPr="00351E09">
        <w:rPr>
          <w:rFonts w:ascii="Times New Roman" w:hAnsi="Times New Roman" w:cs="Times New Roman"/>
          <w:i/>
          <w:iCs/>
          <w:color w:val="222222"/>
          <w:sz w:val="24"/>
          <w:szCs w:val="24"/>
          <w:shd w:val="clear" w:color="auto" w:fill="FFFFFF"/>
        </w:rPr>
        <w:t xml:space="preserve">R&amp; D Intervention in LPG, LPG Equipment Research </w:t>
      </w:r>
      <w:proofErr w:type="spellStart"/>
      <w:r w:rsidRPr="00351E09">
        <w:rPr>
          <w:rFonts w:ascii="Times New Roman" w:hAnsi="Times New Roman" w:cs="Times New Roman"/>
          <w:i/>
          <w:iCs/>
          <w:color w:val="222222"/>
          <w:sz w:val="24"/>
          <w:szCs w:val="24"/>
          <w:shd w:val="clear" w:color="auto" w:fill="FFFFFF"/>
        </w:rPr>
        <w:t>Center</w:t>
      </w:r>
      <w:proofErr w:type="spellEnd"/>
      <w:r w:rsidRPr="00351E09">
        <w:rPr>
          <w:rFonts w:ascii="Times New Roman" w:hAnsi="Times New Roman" w:cs="Times New Roman"/>
          <w:i/>
          <w:iCs/>
          <w:color w:val="222222"/>
          <w:sz w:val="24"/>
          <w:szCs w:val="24"/>
          <w:shd w:val="clear" w:color="auto" w:fill="FFFFFF"/>
        </w:rPr>
        <w:t xml:space="preserve"> Report, Bangalore</w:t>
      </w:r>
      <w:r w:rsidRPr="00351E09">
        <w:rPr>
          <w:rFonts w:ascii="Times New Roman" w:hAnsi="Times New Roman" w:cs="Times New Roman"/>
          <w:color w:val="222222"/>
          <w:sz w:val="24"/>
          <w:szCs w:val="24"/>
          <w:shd w:val="clear" w:color="auto" w:fill="FFFFFF"/>
        </w:rPr>
        <w:t>.</w:t>
      </w:r>
    </w:p>
    <w:p w14:paraId="13CBECA1" w14:textId="77777777" w:rsidR="00C64383" w:rsidRDefault="00C64383" w:rsidP="00F764F4">
      <w:pPr>
        <w:jc w:val="both"/>
        <w:rPr>
          <w:rFonts w:ascii="Times New Roman" w:hAnsi="Times New Roman" w:cs="Times New Roman"/>
          <w:color w:val="222222"/>
          <w:sz w:val="24"/>
          <w:szCs w:val="24"/>
          <w:shd w:val="clear" w:color="auto" w:fill="FFFFFF"/>
        </w:rPr>
      </w:pPr>
      <w:r w:rsidRPr="00616442">
        <w:rPr>
          <w:rFonts w:ascii="Times New Roman" w:hAnsi="Times New Roman" w:cs="Times New Roman"/>
          <w:color w:val="222222"/>
          <w:sz w:val="24"/>
          <w:szCs w:val="24"/>
          <w:shd w:val="clear" w:color="auto" w:fill="FFFFFF"/>
        </w:rPr>
        <w:t>Mani, S., Jain, A., Tripathi, S., &amp; Gould, C. F. (2020). The drivers of sustained use of liquified petroleum gas in India. </w:t>
      </w:r>
      <w:r w:rsidRPr="00616442">
        <w:rPr>
          <w:rFonts w:ascii="Times New Roman" w:hAnsi="Times New Roman" w:cs="Times New Roman"/>
          <w:i/>
          <w:iCs/>
          <w:color w:val="222222"/>
          <w:sz w:val="24"/>
          <w:szCs w:val="24"/>
          <w:shd w:val="clear" w:color="auto" w:fill="FFFFFF"/>
        </w:rPr>
        <w:t>Nature Energy</w:t>
      </w:r>
      <w:r w:rsidRPr="00616442">
        <w:rPr>
          <w:rFonts w:ascii="Times New Roman" w:hAnsi="Times New Roman" w:cs="Times New Roman"/>
          <w:color w:val="222222"/>
          <w:sz w:val="24"/>
          <w:szCs w:val="24"/>
          <w:shd w:val="clear" w:color="auto" w:fill="FFFFFF"/>
        </w:rPr>
        <w:t>, </w:t>
      </w:r>
      <w:r w:rsidRPr="00616442">
        <w:rPr>
          <w:rFonts w:ascii="Times New Roman" w:hAnsi="Times New Roman" w:cs="Times New Roman"/>
          <w:i/>
          <w:iCs/>
          <w:color w:val="222222"/>
          <w:sz w:val="24"/>
          <w:szCs w:val="24"/>
          <w:shd w:val="clear" w:color="auto" w:fill="FFFFFF"/>
        </w:rPr>
        <w:t>5</w:t>
      </w:r>
      <w:r w:rsidRPr="00616442">
        <w:rPr>
          <w:rFonts w:ascii="Times New Roman" w:hAnsi="Times New Roman" w:cs="Times New Roman"/>
          <w:color w:val="222222"/>
          <w:sz w:val="24"/>
          <w:szCs w:val="24"/>
          <w:shd w:val="clear" w:color="auto" w:fill="FFFFFF"/>
        </w:rPr>
        <w:t>(6), 450-457.</w:t>
      </w:r>
    </w:p>
    <w:p w14:paraId="11418747" w14:textId="77777777" w:rsidR="00C64383" w:rsidRDefault="00C64383" w:rsidP="00F764F4">
      <w:pPr>
        <w:jc w:val="both"/>
        <w:rPr>
          <w:rFonts w:ascii="Times New Roman" w:hAnsi="Times New Roman" w:cs="Times New Roman"/>
          <w:sz w:val="24"/>
          <w:szCs w:val="24"/>
        </w:rPr>
      </w:pPr>
      <w:r w:rsidRPr="00895668">
        <w:rPr>
          <w:rFonts w:ascii="Times New Roman" w:hAnsi="Times New Roman" w:cs="Times New Roman"/>
          <w:sz w:val="24"/>
          <w:szCs w:val="24"/>
        </w:rPr>
        <w:t>Ojo, O. (2010) ‘The relationship between service quality and customer satisfaction in the</w:t>
      </w:r>
      <w:r>
        <w:rPr>
          <w:rFonts w:ascii="Times New Roman" w:hAnsi="Times New Roman" w:cs="Times New Roman"/>
          <w:sz w:val="24"/>
          <w:szCs w:val="24"/>
        </w:rPr>
        <w:t xml:space="preserve"> </w:t>
      </w:r>
      <w:r w:rsidRPr="00895668">
        <w:rPr>
          <w:rFonts w:ascii="Times New Roman" w:hAnsi="Times New Roman" w:cs="Times New Roman"/>
          <w:sz w:val="24"/>
          <w:szCs w:val="24"/>
        </w:rPr>
        <w:t>telecommunication industry: evidence from Nigeria’, Broad Research in Accounting,</w:t>
      </w:r>
      <w:r>
        <w:rPr>
          <w:rFonts w:ascii="Times New Roman" w:hAnsi="Times New Roman" w:cs="Times New Roman"/>
          <w:sz w:val="24"/>
          <w:szCs w:val="24"/>
        </w:rPr>
        <w:t xml:space="preserve"> </w:t>
      </w:r>
      <w:r w:rsidRPr="00895668">
        <w:rPr>
          <w:rFonts w:ascii="Times New Roman" w:hAnsi="Times New Roman" w:cs="Times New Roman"/>
          <w:sz w:val="24"/>
          <w:szCs w:val="24"/>
        </w:rPr>
        <w:t>Negotiation, and Distribution, Vol. 1, No. 1, p.88.</w:t>
      </w:r>
    </w:p>
    <w:p w14:paraId="19EF5768" w14:textId="77777777" w:rsidR="00C64383" w:rsidRPr="00EA3547" w:rsidRDefault="00C64383" w:rsidP="00923D3D">
      <w:pPr>
        <w:jc w:val="both"/>
        <w:rPr>
          <w:rFonts w:ascii="Times New Roman" w:hAnsi="Times New Roman" w:cs="Times New Roman"/>
          <w:sz w:val="24"/>
          <w:szCs w:val="24"/>
        </w:rPr>
      </w:pPr>
      <w:r w:rsidRPr="00EA3547">
        <w:rPr>
          <w:rFonts w:ascii="Times New Roman" w:hAnsi="Times New Roman" w:cs="Times New Roman"/>
          <w:color w:val="222222"/>
          <w:sz w:val="24"/>
          <w:szCs w:val="24"/>
          <w:shd w:val="clear" w:color="auto" w:fill="FFFFFF"/>
        </w:rPr>
        <w:t>Patil, B. (2012). Customer Satisfaction on Bharat Gas Agencies in Coimbatore. </w:t>
      </w:r>
      <w:r w:rsidRPr="00EA3547">
        <w:rPr>
          <w:rFonts w:ascii="Times New Roman" w:hAnsi="Times New Roman" w:cs="Times New Roman"/>
          <w:i/>
          <w:iCs/>
          <w:color w:val="222222"/>
          <w:sz w:val="24"/>
          <w:szCs w:val="24"/>
          <w:shd w:val="clear" w:color="auto" w:fill="FFFFFF"/>
        </w:rPr>
        <w:t>Bharat Book</w:t>
      </w:r>
      <w:r w:rsidRPr="00EA3547">
        <w:rPr>
          <w:rFonts w:ascii="Times New Roman" w:hAnsi="Times New Roman" w:cs="Times New Roman"/>
          <w:color w:val="222222"/>
          <w:sz w:val="24"/>
          <w:szCs w:val="24"/>
          <w:shd w:val="clear" w:color="auto" w:fill="FFFFFF"/>
        </w:rPr>
        <w:t>.</w:t>
      </w:r>
    </w:p>
    <w:p w14:paraId="0DF8F57E" w14:textId="77777777" w:rsidR="00C64383" w:rsidRDefault="00C64383" w:rsidP="00F764F4">
      <w:pPr>
        <w:jc w:val="both"/>
        <w:rPr>
          <w:rFonts w:ascii="Times New Roman" w:hAnsi="Times New Roman" w:cs="Times New Roman"/>
          <w:sz w:val="24"/>
          <w:szCs w:val="24"/>
        </w:rPr>
      </w:pPr>
      <w:r w:rsidRPr="007025A9">
        <w:rPr>
          <w:rFonts w:ascii="Times New Roman" w:hAnsi="Times New Roman" w:cs="Times New Roman"/>
          <w:sz w:val="24"/>
          <w:szCs w:val="24"/>
        </w:rPr>
        <w:t>Sandhu, H.S. and Bala, N. (2011) ‘</w:t>
      </w:r>
      <w:r>
        <w:rPr>
          <w:rFonts w:ascii="Times New Roman" w:hAnsi="Times New Roman" w:cs="Times New Roman"/>
          <w:sz w:val="24"/>
          <w:szCs w:val="24"/>
        </w:rPr>
        <w:t>Consumers</w:t>
      </w:r>
      <w:r w:rsidRPr="007025A9">
        <w:rPr>
          <w:rFonts w:ascii="Times New Roman" w:hAnsi="Times New Roman" w:cs="Times New Roman"/>
          <w:sz w:val="24"/>
          <w:szCs w:val="24"/>
        </w:rPr>
        <w:t>’ perception towards service quality of life insurance</w:t>
      </w:r>
      <w:r>
        <w:rPr>
          <w:rFonts w:ascii="Times New Roman" w:hAnsi="Times New Roman" w:cs="Times New Roman"/>
          <w:sz w:val="24"/>
          <w:szCs w:val="24"/>
        </w:rPr>
        <w:t xml:space="preserve"> </w:t>
      </w:r>
      <w:r w:rsidRPr="007025A9">
        <w:rPr>
          <w:rFonts w:ascii="Times New Roman" w:hAnsi="Times New Roman" w:cs="Times New Roman"/>
          <w:sz w:val="24"/>
          <w:szCs w:val="24"/>
        </w:rPr>
        <w:t>corporation of India: a factor analytic approach’, International Journal of Business and Social</w:t>
      </w:r>
      <w:r>
        <w:rPr>
          <w:rFonts w:ascii="Times New Roman" w:hAnsi="Times New Roman" w:cs="Times New Roman"/>
          <w:sz w:val="24"/>
          <w:szCs w:val="24"/>
        </w:rPr>
        <w:t xml:space="preserve"> </w:t>
      </w:r>
      <w:r w:rsidRPr="007025A9">
        <w:rPr>
          <w:rFonts w:ascii="Times New Roman" w:hAnsi="Times New Roman" w:cs="Times New Roman"/>
          <w:sz w:val="24"/>
          <w:szCs w:val="24"/>
        </w:rPr>
        <w:t>Science, October, Vol. 2, No. 18, pp.219–231.</w:t>
      </w:r>
    </w:p>
    <w:p w14:paraId="22EEABE8" w14:textId="77777777" w:rsidR="00C64383" w:rsidRDefault="00C64383" w:rsidP="00F764F4">
      <w:pPr>
        <w:jc w:val="both"/>
        <w:rPr>
          <w:rFonts w:ascii="Times New Roman" w:hAnsi="Times New Roman" w:cs="Times New Roman"/>
          <w:color w:val="222222"/>
          <w:sz w:val="24"/>
          <w:szCs w:val="24"/>
          <w:shd w:val="clear" w:color="auto" w:fill="FFFFFF"/>
        </w:rPr>
      </w:pPr>
      <w:r w:rsidRPr="00204188">
        <w:rPr>
          <w:rFonts w:ascii="Times New Roman" w:hAnsi="Times New Roman" w:cs="Times New Roman"/>
          <w:color w:val="222222"/>
          <w:sz w:val="24"/>
          <w:szCs w:val="24"/>
          <w:shd w:val="clear" w:color="auto" w:fill="FFFFFF"/>
        </w:rPr>
        <w:t>Shen, G., Hays, M. D., Smith, K. R., Williams, C., Faircloth, J. W., &amp; Jetter, J. J. (2018). Evaluating the performance of household liquefied petroleum gas cookstoves. </w:t>
      </w:r>
      <w:r w:rsidRPr="00204188">
        <w:rPr>
          <w:rFonts w:ascii="Times New Roman" w:hAnsi="Times New Roman" w:cs="Times New Roman"/>
          <w:i/>
          <w:iCs/>
          <w:color w:val="222222"/>
          <w:sz w:val="24"/>
          <w:szCs w:val="24"/>
          <w:shd w:val="clear" w:color="auto" w:fill="FFFFFF"/>
        </w:rPr>
        <w:t>Environmental science &amp; technology</w:t>
      </w:r>
      <w:r w:rsidRPr="00204188">
        <w:rPr>
          <w:rFonts w:ascii="Times New Roman" w:hAnsi="Times New Roman" w:cs="Times New Roman"/>
          <w:color w:val="222222"/>
          <w:sz w:val="24"/>
          <w:szCs w:val="24"/>
          <w:shd w:val="clear" w:color="auto" w:fill="FFFFFF"/>
        </w:rPr>
        <w:t>, </w:t>
      </w:r>
      <w:r w:rsidRPr="00204188">
        <w:rPr>
          <w:rFonts w:ascii="Times New Roman" w:hAnsi="Times New Roman" w:cs="Times New Roman"/>
          <w:i/>
          <w:iCs/>
          <w:color w:val="222222"/>
          <w:sz w:val="24"/>
          <w:szCs w:val="24"/>
          <w:shd w:val="clear" w:color="auto" w:fill="FFFFFF"/>
        </w:rPr>
        <w:t>52</w:t>
      </w:r>
      <w:r w:rsidRPr="00204188">
        <w:rPr>
          <w:rFonts w:ascii="Times New Roman" w:hAnsi="Times New Roman" w:cs="Times New Roman"/>
          <w:color w:val="222222"/>
          <w:sz w:val="24"/>
          <w:szCs w:val="24"/>
          <w:shd w:val="clear" w:color="auto" w:fill="FFFFFF"/>
        </w:rPr>
        <w:t>(2), 904-915.</w:t>
      </w:r>
    </w:p>
    <w:p w14:paraId="1499B644" w14:textId="4A8CC2F2" w:rsidR="00EC4A80" w:rsidRPr="00DA5234" w:rsidRDefault="00C64383" w:rsidP="00EC4A80">
      <w:pPr>
        <w:jc w:val="both"/>
        <w:rPr>
          <w:rFonts w:ascii="Times New Roman" w:hAnsi="Times New Roman" w:cs="Times New Roman"/>
          <w:color w:val="222222"/>
          <w:sz w:val="24"/>
          <w:szCs w:val="24"/>
          <w:shd w:val="clear" w:color="auto" w:fill="FFFFFF"/>
        </w:rPr>
      </w:pPr>
      <w:r w:rsidRPr="00DE2168">
        <w:rPr>
          <w:rFonts w:ascii="Times New Roman" w:hAnsi="Times New Roman" w:cs="Times New Roman"/>
          <w:color w:val="222222"/>
          <w:sz w:val="24"/>
          <w:szCs w:val="24"/>
          <w:shd w:val="clear" w:color="auto" w:fill="FFFFFF"/>
        </w:rPr>
        <w:lastRenderedPageBreak/>
        <w:t xml:space="preserve">Vinayagamoorthy, D. A., Sankar, C., &amp; Sangeetha, M. (2007). A study on service quality perception of domestic </w:t>
      </w:r>
      <w:proofErr w:type="spellStart"/>
      <w:r w:rsidRPr="00DE2168">
        <w:rPr>
          <w:rFonts w:ascii="Times New Roman" w:hAnsi="Times New Roman" w:cs="Times New Roman"/>
          <w:color w:val="222222"/>
          <w:sz w:val="24"/>
          <w:szCs w:val="24"/>
          <w:shd w:val="clear" w:color="auto" w:fill="FFFFFF"/>
        </w:rPr>
        <w:t>lpg</w:t>
      </w:r>
      <w:proofErr w:type="spellEnd"/>
      <w:r w:rsidRPr="00DE2168">
        <w:rPr>
          <w:rFonts w:ascii="Times New Roman" w:hAnsi="Times New Roman" w:cs="Times New Roman"/>
          <w:color w:val="222222"/>
          <w:sz w:val="24"/>
          <w:szCs w:val="24"/>
          <w:shd w:val="clear" w:color="auto" w:fill="FFFFFF"/>
        </w:rPr>
        <w:t>. </w:t>
      </w:r>
      <w:r w:rsidRPr="00DE2168">
        <w:rPr>
          <w:rFonts w:ascii="Times New Roman" w:hAnsi="Times New Roman" w:cs="Times New Roman"/>
          <w:i/>
          <w:iCs/>
          <w:color w:val="222222"/>
          <w:sz w:val="24"/>
          <w:szCs w:val="24"/>
          <w:shd w:val="clear" w:color="auto" w:fill="FFFFFF"/>
        </w:rPr>
        <w:t>Abhinav National Monthly Referred Journal of Research in Commerce &amp; Management</w:t>
      </w:r>
      <w:r w:rsidRPr="00DE2168">
        <w:rPr>
          <w:rFonts w:ascii="Times New Roman" w:hAnsi="Times New Roman" w:cs="Times New Roman"/>
          <w:color w:val="222222"/>
          <w:sz w:val="24"/>
          <w:szCs w:val="24"/>
          <w:shd w:val="clear" w:color="auto" w:fill="FFFFFF"/>
        </w:rPr>
        <w:t>, </w:t>
      </w:r>
      <w:r w:rsidRPr="00DE2168">
        <w:rPr>
          <w:rFonts w:ascii="Times New Roman" w:hAnsi="Times New Roman" w:cs="Times New Roman"/>
          <w:i/>
          <w:iCs/>
          <w:color w:val="222222"/>
          <w:sz w:val="24"/>
          <w:szCs w:val="24"/>
          <w:shd w:val="clear" w:color="auto" w:fill="FFFFFF"/>
        </w:rPr>
        <w:t>1</w:t>
      </w:r>
      <w:r w:rsidRPr="00DE2168">
        <w:rPr>
          <w:rFonts w:ascii="Times New Roman" w:hAnsi="Times New Roman" w:cs="Times New Roman"/>
          <w:color w:val="222222"/>
          <w:sz w:val="24"/>
          <w:szCs w:val="24"/>
          <w:shd w:val="clear" w:color="auto" w:fill="FFFFFF"/>
        </w:rPr>
        <w:t>(10), 134-148.</w:t>
      </w:r>
    </w:p>
    <w:p w14:paraId="73F66B24" w14:textId="6D559C09" w:rsidR="00BD681A" w:rsidRPr="0070351E" w:rsidRDefault="00663C84" w:rsidP="00F764F4">
      <w:pPr>
        <w:jc w:val="both"/>
        <w:rPr>
          <w:rFonts w:ascii="Times New Roman" w:hAnsi="Times New Roman" w:cs="Times New Roman"/>
          <w:sz w:val="24"/>
          <w:szCs w:val="24"/>
        </w:rPr>
      </w:pPr>
      <w:hyperlink r:id="rId13" w:history="1">
        <w:r w:rsidRPr="009547C7">
          <w:rPr>
            <w:rStyle w:val="Hyperlink"/>
            <w:rFonts w:ascii="Times New Roman" w:hAnsi="Times New Roman" w:cs="Times New Roman"/>
            <w:sz w:val="24"/>
            <w:szCs w:val="24"/>
          </w:rPr>
          <w:t>https://ppac.gov.in/?utm_source=chatgpt.com</w:t>
        </w:r>
      </w:hyperlink>
    </w:p>
    <w:p w14:paraId="4C1F63D4" w14:textId="38F01FE5" w:rsidR="00F764F4" w:rsidRPr="00CA1564" w:rsidRDefault="00F764F4" w:rsidP="00D97B47">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p>
    <w:sectPr w:rsidR="00F764F4" w:rsidRPr="00CA156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A4EB" w14:textId="77777777" w:rsidR="003035E3" w:rsidRDefault="003035E3" w:rsidP="00B12F92">
      <w:pPr>
        <w:spacing w:after="0" w:line="240" w:lineRule="auto"/>
      </w:pPr>
      <w:r>
        <w:separator/>
      </w:r>
    </w:p>
  </w:endnote>
  <w:endnote w:type="continuationSeparator" w:id="0">
    <w:p w14:paraId="3B144A32" w14:textId="77777777" w:rsidR="003035E3" w:rsidRDefault="003035E3" w:rsidP="00B1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E706" w14:textId="77777777" w:rsidR="00452ECB" w:rsidRDefault="00452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DF0B" w14:textId="77777777" w:rsidR="00452ECB" w:rsidRDefault="00452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4836" w14:textId="77777777" w:rsidR="00452ECB" w:rsidRDefault="00452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FAC3" w14:textId="77777777" w:rsidR="003035E3" w:rsidRDefault="003035E3" w:rsidP="00B12F92">
      <w:pPr>
        <w:spacing w:after="0" w:line="240" w:lineRule="auto"/>
      </w:pPr>
      <w:r>
        <w:separator/>
      </w:r>
    </w:p>
  </w:footnote>
  <w:footnote w:type="continuationSeparator" w:id="0">
    <w:p w14:paraId="5F612FFA" w14:textId="77777777" w:rsidR="003035E3" w:rsidRDefault="003035E3" w:rsidP="00B1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8A3" w14:textId="4ABD8312" w:rsidR="00452ECB" w:rsidRDefault="00000000">
    <w:pPr>
      <w:pStyle w:val="Header"/>
    </w:pPr>
    <w:r>
      <w:rPr>
        <w:noProof/>
      </w:rPr>
      <w:pict w14:anchorId="7F67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5C48" w14:textId="5023D986" w:rsidR="00452ECB" w:rsidRDefault="00000000">
    <w:pPr>
      <w:pStyle w:val="Header"/>
    </w:pPr>
    <w:r>
      <w:rPr>
        <w:noProof/>
      </w:rPr>
      <w:pict w14:anchorId="54C97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B1C7" w14:textId="0C927136" w:rsidR="00452ECB" w:rsidRDefault="00000000">
    <w:pPr>
      <w:pStyle w:val="Header"/>
    </w:pPr>
    <w:r>
      <w:rPr>
        <w:noProof/>
      </w:rPr>
      <w:pict w14:anchorId="13BB1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143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8B"/>
    <w:multiLevelType w:val="multilevel"/>
    <w:tmpl w:val="33AA5C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60358"/>
    <w:multiLevelType w:val="hybridMultilevel"/>
    <w:tmpl w:val="BFC69F90"/>
    <w:lvl w:ilvl="0" w:tplc="67CECF1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2140B7"/>
    <w:multiLevelType w:val="hybridMultilevel"/>
    <w:tmpl w:val="347CF4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437D84"/>
    <w:multiLevelType w:val="multilevel"/>
    <w:tmpl w:val="2098D2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3E35B3"/>
    <w:multiLevelType w:val="multilevel"/>
    <w:tmpl w:val="9E9894E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20181"/>
    <w:multiLevelType w:val="multilevel"/>
    <w:tmpl w:val="A4F83EE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872878"/>
    <w:multiLevelType w:val="hybridMultilevel"/>
    <w:tmpl w:val="A40CD97A"/>
    <w:lvl w:ilvl="0" w:tplc="179C38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AC402F"/>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E74A2"/>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854A0"/>
    <w:multiLevelType w:val="multilevel"/>
    <w:tmpl w:val="5520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57404"/>
    <w:multiLevelType w:val="hybridMultilevel"/>
    <w:tmpl w:val="966E7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266EB4"/>
    <w:multiLevelType w:val="hybridMultilevel"/>
    <w:tmpl w:val="1EBEA642"/>
    <w:lvl w:ilvl="0" w:tplc="B046DD86">
      <w:start w:val="1"/>
      <w:numFmt w:val="lowerLetter"/>
      <w:lvlText w:val="%1)"/>
      <w:lvlJc w:val="left"/>
      <w:pPr>
        <w:ind w:left="1080" w:hanging="72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09B542D"/>
    <w:multiLevelType w:val="multilevel"/>
    <w:tmpl w:val="8F4CC6D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1D55E6"/>
    <w:multiLevelType w:val="multilevel"/>
    <w:tmpl w:val="D71AA44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B65F9C"/>
    <w:multiLevelType w:val="multilevel"/>
    <w:tmpl w:val="61F6B60C"/>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00B176F"/>
    <w:multiLevelType w:val="hybridMultilevel"/>
    <w:tmpl w:val="2C16D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E10133"/>
    <w:multiLevelType w:val="multilevel"/>
    <w:tmpl w:val="55203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17BBD"/>
    <w:multiLevelType w:val="multilevel"/>
    <w:tmpl w:val="A4D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86B9A"/>
    <w:multiLevelType w:val="multilevel"/>
    <w:tmpl w:val="97D40BC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BF4D8B"/>
    <w:multiLevelType w:val="multilevel"/>
    <w:tmpl w:val="15C6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03F82"/>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6295A"/>
    <w:multiLevelType w:val="multilevel"/>
    <w:tmpl w:val="374850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6511B56"/>
    <w:multiLevelType w:val="hybridMultilevel"/>
    <w:tmpl w:val="C76E7C78"/>
    <w:lvl w:ilvl="0" w:tplc="F8FA47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323859"/>
    <w:multiLevelType w:val="multilevel"/>
    <w:tmpl w:val="FD4AAB38"/>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719B1"/>
    <w:multiLevelType w:val="multilevel"/>
    <w:tmpl w:val="C0B0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7A2FDA"/>
    <w:multiLevelType w:val="multilevel"/>
    <w:tmpl w:val="10D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509EE"/>
    <w:multiLevelType w:val="multilevel"/>
    <w:tmpl w:val="413C14AE"/>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D766860"/>
    <w:multiLevelType w:val="multilevel"/>
    <w:tmpl w:val="A83A67BC"/>
    <w:lvl w:ilvl="0">
      <w:start w:val="1"/>
      <w:numFmt w:val="decimal"/>
      <w:lvlText w:val="%1."/>
      <w:lvlJc w:val="left"/>
      <w:pPr>
        <w:ind w:left="927" w:hanging="360"/>
      </w:pPr>
      <w:rPr>
        <w:rFonts w:ascii="Times New Roman" w:eastAsia="Times New Roman" w:hAnsi="Times New Roman" w:cs="Times New Roman"/>
        <w:b w:val="0"/>
        <w:bCs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3390450">
    <w:abstractNumId w:val="21"/>
  </w:num>
  <w:num w:numId="2" w16cid:durableId="1989047509">
    <w:abstractNumId w:val="3"/>
  </w:num>
  <w:num w:numId="3" w16cid:durableId="865868757">
    <w:abstractNumId w:val="0"/>
  </w:num>
  <w:num w:numId="4" w16cid:durableId="1773280001">
    <w:abstractNumId w:val="7"/>
  </w:num>
  <w:num w:numId="5" w16cid:durableId="101581908">
    <w:abstractNumId w:val="16"/>
  </w:num>
  <w:num w:numId="6" w16cid:durableId="1602645103">
    <w:abstractNumId w:val="19"/>
  </w:num>
  <w:num w:numId="7" w16cid:durableId="780416059">
    <w:abstractNumId w:val="18"/>
  </w:num>
  <w:num w:numId="8" w16cid:durableId="339242162">
    <w:abstractNumId w:val="11"/>
  </w:num>
  <w:num w:numId="9" w16cid:durableId="667320039">
    <w:abstractNumId w:val="23"/>
  </w:num>
  <w:num w:numId="10" w16cid:durableId="2031105360">
    <w:abstractNumId w:val="20"/>
  </w:num>
  <w:num w:numId="11" w16cid:durableId="1860924578">
    <w:abstractNumId w:val="17"/>
  </w:num>
  <w:num w:numId="12" w16cid:durableId="92478473">
    <w:abstractNumId w:val="25"/>
  </w:num>
  <w:num w:numId="13" w16cid:durableId="651376003">
    <w:abstractNumId w:val="8"/>
  </w:num>
  <w:num w:numId="14" w16cid:durableId="1032654122">
    <w:abstractNumId w:val="26"/>
  </w:num>
  <w:num w:numId="15" w16cid:durableId="801849758">
    <w:abstractNumId w:val="24"/>
  </w:num>
  <w:num w:numId="16" w16cid:durableId="317151646">
    <w:abstractNumId w:val="15"/>
  </w:num>
  <w:num w:numId="17" w16cid:durableId="1081832747">
    <w:abstractNumId w:val="27"/>
  </w:num>
  <w:num w:numId="18" w16cid:durableId="1099644174">
    <w:abstractNumId w:val="10"/>
  </w:num>
  <w:num w:numId="19" w16cid:durableId="987130755">
    <w:abstractNumId w:val="4"/>
  </w:num>
  <w:num w:numId="20" w16cid:durableId="1207907565">
    <w:abstractNumId w:val="12"/>
  </w:num>
  <w:num w:numId="21" w16cid:durableId="951866328">
    <w:abstractNumId w:val="5"/>
  </w:num>
  <w:num w:numId="22" w16cid:durableId="773138980">
    <w:abstractNumId w:val="2"/>
  </w:num>
  <w:num w:numId="23" w16cid:durableId="843475702">
    <w:abstractNumId w:val="9"/>
  </w:num>
  <w:num w:numId="24" w16cid:durableId="1518731772">
    <w:abstractNumId w:val="13"/>
  </w:num>
  <w:num w:numId="25" w16cid:durableId="75252303">
    <w:abstractNumId w:val="14"/>
  </w:num>
  <w:num w:numId="26" w16cid:durableId="1941134692">
    <w:abstractNumId w:val="1"/>
  </w:num>
  <w:num w:numId="27" w16cid:durableId="32730692">
    <w:abstractNumId w:val="6"/>
  </w:num>
  <w:num w:numId="28" w16cid:durableId="435367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86"/>
    <w:rsid w:val="000022F8"/>
    <w:rsid w:val="00012C6E"/>
    <w:rsid w:val="00013EE7"/>
    <w:rsid w:val="00014B24"/>
    <w:rsid w:val="00022DE6"/>
    <w:rsid w:val="00025C80"/>
    <w:rsid w:val="00037BDC"/>
    <w:rsid w:val="00041168"/>
    <w:rsid w:val="0004704C"/>
    <w:rsid w:val="00053D7B"/>
    <w:rsid w:val="000709A8"/>
    <w:rsid w:val="00085D7F"/>
    <w:rsid w:val="00087E7B"/>
    <w:rsid w:val="00090DB2"/>
    <w:rsid w:val="00094121"/>
    <w:rsid w:val="00095CB9"/>
    <w:rsid w:val="00096454"/>
    <w:rsid w:val="00097143"/>
    <w:rsid w:val="00097592"/>
    <w:rsid w:val="000A1947"/>
    <w:rsid w:val="000B1F9A"/>
    <w:rsid w:val="000B78CD"/>
    <w:rsid w:val="000B7FD7"/>
    <w:rsid w:val="000C2D30"/>
    <w:rsid w:val="000C4700"/>
    <w:rsid w:val="000C6FD4"/>
    <w:rsid w:val="000E27FE"/>
    <w:rsid w:val="000E2FE8"/>
    <w:rsid w:val="000E45FD"/>
    <w:rsid w:val="000E50F2"/>
    <w:rsid w:val="000E6B10"/>
    <w:rsid w:val="000F1A17"/>
    <w:rsid w:val="000F3779"/>
    <w:rsid w:val="000F6B0E"/>
    <w:rsid w:val="00106A3E"/>
    <w:rsid w:val="0010784F"/>
    <w:rsid w:val="001126A8"/>
    <w:rsid w:val="00114B7E"/>
    <w:rsid w:val="001169BE"/>
    <w:rsid w:val="001201DA"/>
    <w:rsid w:val="00123831"/>
    <w:rsid w:val="001277A7"/>
    <w:rsid w:val="00134469"/>
    <w:rsid w:val="00134CFC"/>
    <w:rsid w:val="001405FB"/>
    <w:rsid w:val="00140A5B"/>
    <w:rsid w:val="00143E37"/>
    <w:rsid w:val="001444F0"/>
    <w:rsid w:val="0014717B"/>
    <w:rsid w:val="0015044A"/>
    <w:rsid w:val="00154537"/>
    <w:rsid w:val="00157433"/>
    <w:rsid w:val="0016219E"/>
    <w:rsid w:val="00164DA7"/>
    <w:rsid w:val="0017712E"/>
    <w:rsid w:val="00197B5F"/>
    <w:rsid w:val="001B3741"/>
    <w:rsid w:val="001B5606"/>
    <w:rsid w:val="001B679D"/>
    <w:rsid w:val="001C25FC"/>
    <w:rsid w:val="001C60C8"/>
    <w:rsid w:val="001D07AB"/>
    <w:rsid w:val="001D6B8E"/>
    <w:rsid w:val="001D77E1"/>
    <w:rsid w:val="001E1761"/>
    <w:rsid w:val="001F4DAE"/>
    <w:rsid w:val="00204188"/>
    <w:rsid w:val="00210195"/>
    <w:rsid w:val="0021027C"/>
    <w:rsid w:val="00220356"/>
    <w:rsid w:val="00225182"/>
    <w:rsid w:val="0022572F"/>
    <w:rsid w:val="00226F38"/>
    <w:rsid w:val="002274D2"/>
    <w:rsid w:val="002378C7"/>
    <w:rsid w:val="002410B3"/>
    <w:rsid w:val="00247727"/>
    <w:rsid w:val="002503E0"/>
    <w:rsid w:val="00251A00"/>
    <w:rsid w:val="002544DB"/>
    <w:rsid w:val="002553AC"/>
    <w:rsid w:val="002654C7"/>
    <w:rsid w:val="00274FCC"/>
    <w:rsid w:val="0027619C"/>
    <w:rsid w:val="00280715"/>
    <w:rsid w:val="00284EF0"/>
    <w:rsid w:val="00285F89"/>
    <w:rsid w:val="00286D4D"/>
    <w:rsid w:val="002966F0"/>
    <w:rsid w:val="00297B1A"/>
    <w:rsid w:val="002B4DEE"/>
    <w:rsid w:val="002C4D8B"/>
    <w:rsid w:val="002C6A37"/>
    <w:rsid w:val="002D14AC"/>
    <w:rsid w:val="002D2E00"/>
    <w:rsid w:val="002E0308"/>
    <w:rsid w:val="002F446E"/>
    <w:rsid w:val="002F5D72"/>
    <w:rsid w:val="002F6F2E"/>
    <w:rsid w:val="00300DFE"/>
    <w:rsid w:val="003017E4"/>
    <w:rsid w:val="00301E91"/>
    <w:rsid w:val="003020C5"/>
    <w:rsid w:val="003035E3"/>
    <w:rsid w:val="00316C8A"/>
    <w:rsid w:val="0032258E"/>
    <w:rsid w:val="003250FE"/>
    <w:rsid w:val="0032754A"/>
    <w:rsid w:val="00333F72"/>
    <w:rsid w:val="003345A6"/>
    <w:rsid w:val="00340C1A"/>
    <w:rsid w:val="00341392"/>
    <w:rsid w:val="00352948"/>
    <w:rsid w:val="00356013"/>
    <w:rsid w:val="003616E0"/>
    <w:rsid w:val="00361898"/>
    <w:rsid w:val="00361BE9"/>
    <w:rsid w:val="00364786"/>
    <w:rsid w:val="003656D6"/>
    <w:rsid w:val="00366CE7"/>
    <w:rsid w:val="003718DC"/>
    <w:rsid w:val="00380ADC"/>
    <w:rsid w:val="003826AB"/>
    <w:rsid w:val="003829F1"/>
    <w:rsid w:val="003A5DA2"/>
    <w:rsid w:val="003B760F"/>
    <w:rsid w:val="003C3D6D"/>
    <w:rsid w:val="003C5071"/>
    <w:rsid w:val="003C67E0"/>
    <w:rsid w:val="003D2841"/>
    <w:rsid w:val="003E261E"/>
    <w:rsid w:val="003E30DF"/>
    <w:rsid w:val="003F38CB"/>
    <w:rsid w:val="003F6107"/>
    <w:rsid w:val="003F7E77"/>
    <w:rsid w:val="004008AC"/>
    <w:rsid w:val="00400B41"/>
    <w:rsid w:val="00402935"/>
    <w:rsid w:val="004065C5"/>
    <w:rsid w:val="00413B4F"/>
    <w:rsid w:val="00420A3A"/>
    <w:rsid w:val="004245A7"/>
    <w:rsid w:val="004266DD"/>
    <w:rsid w:val="00434AF5"/>
    <w:rsid w:val="0044231F"/>
    <w:rsid w:val="00447334"/>
    <w:rsid w:val="00452ECB"/>
    <w:rsid w:val="0045346D"/>
    <w:rsid w:val="00455900"/>
    <w:rsid w:val="00456897"/>
    <w:rsid w:val="00463180"/>
    <w:rsid w:val="004673DB"/>
    <w:rsid w:val="004714AB"/>
    <w:rsid w:val="004728AE"/>
    <w:rsid w:val="0047356B"/>
    <w:rsid w:val="00481C93"/>
    <w:rsid w:val="00483075"/>
    <w:rsid w:val="004905EB"/>
    <w:rsid w:val="00492ADE"/>
    <w:rsid w:val="00493053"/>
    <w:rsid w:val="004A24CB"/>
    <w:rsid w:val="004A2AB9"/>
    <w:rsid w:val="004A553F"/>
    <w:rsid w:val="004A7925"/>
    <w:rsid w:val="004B6087"/>
    <w:rsid w:val="004B64BC"/>
    <w:rsid w:val="004C0859"/>
    <w:rsid w:val="004C0CEB"/>
    <w:rsid w:val="004C7191"/>
    <w:rsid w:val="004C7EB1"/>
    <w:rsid w:val="004D2FE7"/>
    <w:rsid w:val="004D7C00"/>
    <w:rsid w:val="004D7CC7"/>
    <w:rsid w:val="004E381D"/>
    <w:rsid w:val="004F693A"/>
    <w:rsid w:val="004F6A4C"/>
    <w:rsid w:val="005044AB"/>
    <w:rsid w:val="00505494"/>
    <w:rsid w:val="005059BB"/>
    <w:rsid w:val="00510ABD"/>
    <w:rsid w:val="0051213F"/>
    <w:rsid w:val="00513838"/>
    <w:rsid w:val="0051481A"/>
    <w:rsid w:val="00516DCB"/>
    <w:rsid w:val="00526B4E"/>
    <w:rsid w:val="00532105"/>
    <w:rsid w:val="0056203C"/>
    <w:rsid w:val="00563592"/>
    <w:rsid w:val="00570A58"/>
    <w:rsid w:val="005731AD"/>
    <w:rsid w:val="005739F7"/>
    <w:rsid w:val="00574593"/>
    <w:rsid w:val="00574A96"/>
    <w:rsid w:val="005770AD"/>
    <w:rsid w:val="00584185"/>
    <w:rsid w:val="00586A79"/>
    <w:rsid w:val="00587462"/>
    <w:rsid w:val="00596FF3"/>
    <w:rsid w:val="005B1D06"/>
    <w:rsid w:val="005C30CB"/>
    <w:rsid w:val="005C3208"/>
    <w:rsid w:val="005C5CAB"/>
    <w:rsid w:val="005C76E3"/>
    <w:rsid w:val="005D3109"/>
    <w:rsid w:val="005D749D"/>
    <w:rsid w:val="005E1FD7"/>
    <w:rsid w:val="005E6C0F"/>
    <w:rsid w:val="005E76F8"/>
    <w:rsid w:val="0060107C"/>
    <w:rsid w:val="006025A8"/>
    <w:rsid w:val="00603ABF"/>
    <w:rsid w:val="00615ED7"/>
    <w:rsid w:val="00616442"/>
    <w:rsid w:val="0062572B"/>
    <w:rsid w:val="0063307B"/>
    <w:rsid w:val="006362EF"/>
    <w:rsid w:val="006368F7"/>
    <w:rsid w:val="00640F13"/>
    <w:rsid w:val="00645ACC"/>
    <w:rsid w:val="00646DB5"/>
    <w:rsid w:val="006475E0"/>
    <w:rsid w:val="006516CD"/>
    <w:rsid w:val="006523C3"/>
    <w:rsid w:val="006525C7"/>
    <w:rsid w:val="006543CB"/>
    <w:rsid w:val="00663C84"/>
    <w:rsid w:val="00664837"/>
    <w:rsid w:val="00664A35"/>
    <w:rsid w:val="00666104"/>
    <w:rsid w:val="00670DCA"/>
    <w:rsid w:val="00671841"/>
    <w:rsid w:val="006753C3"/>
    <w:rsid w:val="00675EBD"/>
    <w:rsid w:val="00682395"/>
    <w:rsid w:val="006863E4"/>
    <w:rsid w:val="00691B08"/>
    <w:rsid w:val="006929BA"/>
    <w:rsid w:val="006A002D"/>
    <w:rsid w:val="006A01C3"/>
    <w:rsid w:val="006A1A8F"/>
    <w:rsid w:val="006A2BA5"/>
    <w:rsid w:val="006A38C8"/>
    <w:rsid w:val="006C71CB"/>
    <w:rsid w:val="006D51F9"/>
    <w:rsid w:val="006E604D"/>
    <w:rsid w:val="006F4738"/>
    <w:rsid w:val="006F6CA7"/>
    <w:rsid w:val="00701AAA"/>
    <w:rsid w:val="007025A9"/>
    <w:rsid w:val="0070351E"/>
    <w:rsid w:val="007045E4"/>
    <w:rsid w:val="00706481"/>
    <w:rsid w:val="00716DE1"/>
    <w:rsid w:val="00717A32"/>
    <w:rsid w:val="007209F4"/>
    <w:rsid w:val="0072258A"/>
    <w:rsid w:val="00722C44"/>
    <w:rsid w:val="00723726"/>
    <w:rsid w:val="00723DE6"/>
    <w:rsid w:val="00726891"/>
    <w:rsid w:val="00727D0D"/>
    <w:rsid w:val="00742EF9"/>
    <w:rsid w:val="007469A9"/>
    <w:rsid w:val="00753367"/>
    <w:rsid w:val="007555B2"/>
    <w:rsid w:val="00762785"/>
    <w:rsid w:val="00771F88"/>
    <w:rsid w:val="0077211F"/>
    <w:rsid w:val="00773E26"/>
    <w:rsid w:val="00780B20"/>
    <w:rsid w:val="007849F1"/>
    <w:rsid w:val="00784EA3"/>
    <w:rsid w:val="00796080"/>
    <w:rsid w:val="00797316"/>
    <w:rsid w:val="007A1069"/>
    <w:rsid w:val="007A634F"/>
    <w:rsid w:val="007A7ECB"/>
    <w:rsid w:val="007B0730"/>
    <w:rsid w:val="007B2412"/>
    <w:rsid w:val="007C0995"/>
    <w:rsid w:val="007C48B1"/>
    <w:rsid w:val="007C4AE3"/>
    <w:rsid w:val="007D13D6"/>
    <w:rsid w:val="007D3B81"/>
    <w:rsid w:val="007D6D10"/>
    <w:rsid w:val="007E01DC"/>
    <w:rsid w:val="007E279F"/>
    <w:rsid w:val="007F0215"/>
    <w:rsid w:val="007F3128"/>
    <w:rsid w:val="008001A8"/>
    <w:rsid w:val="00807EB1"/>
    <w:rsid w:val="0081197C"/>
    <w:rsid w:val="00812ACF"/>
    <w:rsid w:val="00816BF6"/>
    <w:rsid w:val="0082034A"/>
    <w:rsid w:val="00834F5F"/>
    <w:rsid w:val="00844545"/>
    <w:rsid w:val="00847B14"/>
    <w:rsid w:val="00850560"/>
    <w:rsid w:val="00850F82"/>
    <w:rsid w:val="008526D7"/>
    <w:rsid w:val="008571C5"/>
    <w:rsid w:val="00857C14"/>
    <w:rsid w:val="00874019"/>
    <w:rsid w:val="00883B82"/>
    <w:rsid w:val="00885FB0"/>
    <w:rsid w:val="00887742"/>
    <w:rsid w:val="008912D9"/>
    <w:rsid w:val="00892CF9"/>
    <w:rsid w:val="00895668"/>
    <w:rsid w:val="00895A57"/>
    <w:rsid w:val="008A5FC1"/>
    <w:rsid w:val="008C196D"/>
    <w:rsid w:val="008C2966"/>
    <w:rsid w:val="008C39E1"/>
    <w:rsid w:val="008C47C6"/>
    <w:rsid w:val="008D3122"/>
    <w:rsid w:val="008E103E"/>
    <w:rsid w:val="008E2EE0"/>
    <w:rsid w:val="008E37BB"/>
    <w:rsid w:val="008F3C0E"/>
    <w:rsid w:val="00914245"/>
    <w:rsid w:val="00916FF9"/>
    <w:rsid w:val="00923D3D"/>
    <w:rsid w:val="009243BD"/>
    <w:rsid w:val="00934203"/>
    <w:rsid w:val="009344F7"/>
    <w:rsid w:val="009455FD"/>
    <w:rsid w:val="00947246"/>
    <w:rsid w:val="00950D6A"/>
    <w:rsid w:val="00953AB5"/>
    <w:rsid w:val="00953F51"/>
    <w:rsid w:val="00957822"/>
    <w:rsid w:val="00964206"/>
    <w:rsid w:val="00964D1B"/>
    <w:rsid w:val="0097226C"/>
    <w:rsid w:val="0099756C"/>
    <w:rsid w:val="009A097E"/>
    <w:rsid w:val="009A2F61"/>
    <w:rsid w:val="009B2228"/>
    <w:rsid w:val="009B5553"/>
    <w:rsid w:val="009B7068"/>
    <w:rsid w:val="009C4BBD"/>
    <w:rsid w:val="009D2AFD"/>
    <w:rsid w:val="009E17C7"/>
    <w:rsid w:val="009E6D46"/>
    <w:rsid w:val="009F2AEF"/>
    <w:rsid w:val="00A16086"/>
    <w:rsid w:val="00A17442"/>
    <w:rsid w:val="00A23E81"/>
    <w:rsid w:val="00A3210B"/>
    <w:rsid w:val="00A45564"/>
    <w:rsid w:val="00A50F62"/>
    <w:rsid w:val="00A668A6"/>
    <w:rsid w:val="00A678AA"/>
    <w:rsid w:val="00A67DD2"/>
    <w:rsid w:val="00A74A4B"/>
    <w:rsid w:val="00A75A9A"/>
    <w:rsid w:val="00A80D65"/>
    <w:rsid w:val="00A83E25"/>
    <w:rsid w:val="00AA026A"/>
    <w:rsid w:val="00AA763E"/>
    <w:rsid w:val="00AB12AA"/>
    <w:rsid w:val="00AB1C3B"/>
    <w:rsid w:val="00AB47B9"/>
    <w:rsid w:val="00AB4EB9"/>
    <w:rsid w:val="00AB582A"/>
    <w:rsid w:val="00AB7F2D"/>
    <w:rsid w:val="00AC7D2D"/>
    <w:rsid w:val="00AD0B6E"/>
    <w:rsid w:val="00AD3783"/>
    <w:rsid w:val="00AE5762"/>
    <w:rsid w:val="00AE7C43"/>
    <w:rsid w:val="00AF331B"/>
    <w:rsid w:val="00AF6882"/>
    <w:rsid w:val="00AF732B"/>
    <w:rsid w:val="00AF7504"/>
    <w:rsid w:val="00AF76CE"/>
    <w:rsid w:val="00B0002F"/>
    <w:rsid w:val="00B014D1"/>
    <w:rsid w:val="00B054C3"/>
    <w:rsid w:val="00B06D85"/>
    <w:rsid w:val="00B075C0"/>
    <w:rsid w:val="00B1267B"/>
    <w:rsid w:val="00B12F92"/>
    <w:rsid w:val="00B16FB7"/>
    <w:rsid w:val="00B25F8C"/>
    <w:rsid w:val="00B26F8B"/>
    <w:rsid w:val="00B30968"/>
    <w:rsid w:val="00B32239"/>
    <w:rsid w:val="00B42C66"/>
    <w:rsid w:val="00B46317"/>
    <w:rsid w:val="00B52D4C"/>
    <w:rsid w:val="00B54C1D"/>
    <w:rsid w:val="00B652EC"/>
    <w:rsid w:val="00B719E4"/>
    <w:rsid w:val="00B85BA5"/>
    <w:rsid w:val="00B97610"/>
    <w:rsid w:val="00B978D8"/>
    <w:rsid w:val="00BA1BC9"/>
    <w:rsid w:val="00BB1B46"/>
    <w:rsid w:val="00BC0325"/>
    <w:rsid w:val="00BC5518"/>
    <w:rsid w:val="00BC6099"/>
    <w:rsid w:val="00BC6E56"/>
    <w:rsid w:val="00BD616A"/>
    <w:rsid w:val="00BD681A"/>
    <w:rsid w:val="00BE6240"/>
    <w:rsid w:val="00BF206E"/>
    <w:rsid w:val="00BF6939"/>
    <w:rsid w:val="00BF7E03"/>
    <w:rsid w:val="00C016F2"/>
    <w:rsid w:val="00C02203"/>
    <w:rsid w:val="00C0524E"/>
    <w:rsid w:val="00C0535C"/>
    <w:rsid w:val="00C07614"/>
    <w:rsid w:val="00C11037"/>
    <w:rsid w:val="00C12B6F"/>
    <w:rsid w:val="00C30131"/>
    <w:rsid w:val="00C32FE5"/>
    <w:rsid w:val="00C346A3"/>
    <w:rsid w:val="00C36B19"/>
    <w:rsid w:val="00C4119E"/>
    <w:rsid w:val="00C41AF0"/>
    <w:rsid w:val="00C41D01"/>
    <w:rsid w:val="00C42514"/>
    <w:rsid w:val="00C471E7"/>
    <w:rsid w:val="00C50509"/>
    <w:rsid w:val="00C5619B"/>
    <w:rsid w:val="00C6268D"/>
    <w:rsid w:val="00C63825"/>
    <w:rsid w:val="00C64383"/>
    <w:rsid w:val="00C6454B"/>
    <w:rsid w:val="00C74DE5"/>
    <w:rsid w:val="00C83B3F"/>
    <w:rsid w:val="00C87359"/>
    <w:rsid w:val="00C90F3B"/>
    <w:rsid w:val="00C94FD2"/>
    <w:rsid w:val="00C97F2B"/>
    <w:rsid w:val="00CA1564"/>
    <w:rsid w:val="00CA2E56"/>
    <w:rsid w:val="00CA484F"/>
    <w:rsid w:val="00CC0442"/>
    <w:rsid w:val="00CC57DD"/>
    <w:rsid w:val="00CC6214"/>
    <w:rsid w:val="00CC7E7C"/>
    <w:rsid w:val="00CD0F29"/>
    <w:rsid w:val="00CE154D"/>
    <w:rsid w:val="00CE3A40"/>
    <w:rsid w:val="00CE55E1"/>
    <w:rsid w:val="00CE5D16"/>
    <w:rsid w:val="00CF14EE"/>
    <w:rsid w:val="00CF5628"/>
    <w:rsid w:val="00CF6718"/>
    <w:rsid w:val="00D021C5"/>
    <w:rsid w:val="00D028D6"/>
    <w:rsid w:val="00D05F32"/>
    <w:rsid w:val="00D157BC"/>
    <w:rsid w:val="00D15A98"/>
    <w:rsid w:val="00D160B9"/>
    <w:rsid w:val="00D171CA"/>
    <w:rsid w:val="00D1775C"/>
    <w:rsid w:val="00D17EAC"/>
    <w:rsid w:val="00D259C0"/>
    <w:rsid w:val="00D333CB"/>
    <w:rsid w:val="00D370E5"/>
    <w:rsid w:val="00D4215E"/>
    <w:rsid w:val="00D43D00"/>
    <w:rsid w:val="00D4516A"/>
    <w:rsid w:val="00D464A9"/>
    <w:rsid w:val="00D55191"/>
    <w:rsid w:val="00D572F9"/>
    <w:rsid w:val="00D64DFE"/>
    <w:rsid w:val="00D66976"/>
    <w:rsid w:val="00D67243"/>
    <w:rsid w:val="00D73003"/>
    <w:rsid w:val="00D73BD7"/>
    <w:rsid w:val="00D75D0D"/>
    <w:rsid w:val="00D76FEE"/>
    <w:rsid w:val="00D8509C"/>
    <w:rsid w:val="00D86FB5"/>
    <w:rsid w:val="00D97B47"/>
    <w:rsid w:val="00DA121B"/>
    <w:rsid w:val="00DA43FF"/>
    <w:rsid w:val="00DA5234"/>
    <w:rsid w:val="00DC0712"/>
    <w:rsid w:val="00DC0AB2"/>
    <w:rsid w:val="00DC47F1"/>
    <w:rsid w:val="00DD24F1"/>
    <w:rsid w:val="00DD2976"/>
    <w:rsid w:val="00DD4C8E"/>
    <w:rsid w:val="00DE1FA3"/>
    <w:rsid w:val="00DE2168"/>
    <w:rsid w:val="00DE21F5"/>
    <w:rsid w:val="00DE2975"/>
    <w:rsid w:val="00DE6068"/>
    <w:rsid w:val="00DF7730"/>
    <w:rsid w:val="00E0037D"/>
    <w:rsid w:val="00E006F5"/>
    <w:rsid w:val="00E037BB"/>
    <w:rsid w:val="00E03B43"/>
    <w:rsid w:val="00E045E2"/>
    <w:rsid w:val="00E04C53"/>
    <w:rsid w:val="00E13E40"/>
    <w:rsid w:val="00E149EB"/>
    <w:rsid w:val="00E22AFF"/>
    <w:rsid w:val="00E242B4"/>
    <w:rsid w:val="00E27BF2"/>
    <w:rsid w:val="00E30984"/>
    <w:rsid w:val="00E3172D"/>
    <w:rsid w:val="00E31CEC"/>
    <w:rsid w:val="00E35A7F"/>
    <w:rsid w:val="00E400E2"/>
    <w:rsid w:val="00E40503"/>
    <w:rsid w:val="00E40533"/>
    <w:rsid w:val="00E41AEC"/>
    <w:rsid w:val="00E44C55"/>
    <w:rsid w:val="00E45897"/>
    <w:rsid w:val="00E474E7"/>
    <w:rsid w:val="00E47CF1"/>
    <w:rsid w:val="00E51E5E"/>
    <w:rsid w:val="00E56807"/>
    <w:rsid w:val="00E63F05"/>
    <w:rsid w:val="00E70F99"/>
    <w:rsid w:val="00E73057"/>
    <w:rsid w:val="00E83D13"/>
    <w:rsid w:val="00E8586A"/>
    <w:rsid w:val="00E865B8"/>
    <w:rsid w:val="00E86F14"/>
    <w:rsid w:val="00E90161"/>
    <w:rsid w:val="00EA1FD5"/>
    <w:rsid w:val="00EA630A"/>
    <w:rsid w:val="00EB6EF5"/>
    <w:rsid w:val="00EC0178"/>
    <w:rsid w:val="00EC4A80"/>
    <w:rsid w:val="00EC7CFB"/>
    <w:rsid w:val="00ED041A"/>
    <w:rsid w:val="00ED2055"/>
    <w:rsid w:val="00ED65A6"/>
    <w:rsid w:val="00EE3900"/>
    <w:rsid w:val="00EE46C6"/>
    <w:rsid w:val="00EF11BE"/>
    <w:rsid w:val="00EF37F8"/>
    <w:rsid w:val="00EF5F39"/>
    <w:rsid w:val="00F011C4"/>
    <w:rsid w:val="00F028F4"/>
    <w:rsid w:val="00F02E86"/>
    <w:rsid w:val="00F06269"/>
    <w:rsid w:val="00F17AFF"/>
    <w:rsid w:val="00F20244"/>
    <w:rsid w:val="00F2441E"/>
    <w:rsid w:val="00F259E2"/>
    <w:rsid w:val="00F40892"/>
    <w:rsid w:val="00F42823"/>
    <w:rsid w:val="00F43CA5"/>
    <w:rsid w:val="00F46838"/>
    <w:rsid w:val="00F5286F"/>
    <w:rsid w:val="00F5501A"/>
    <w:rsid w:val="00F63894"/>
    <w:rsid w:val="00F64DCE"/>
    <w:rsid w:val="00F66DD5"/>
    <w:rsid w:val="00F750EE"/>
    <w:rsid w:val="00F75118"/>
    <w:rsid w:val="00F764F4"/>
    <w:rsid w:val="00F7731D"/>
    <w:rsid w:val="00F82731"/>
    <w:rsid w:val="00F92E47"/>
    <w:rsid w:val="00F96774"/>
    <w:rsid w:val="00FA38FD"/>
    <w:rsid w:val="00FA42AB"/>
    <w:rsid w:val="00FA702E"/>
    <w:rsid w:val="00FB3FC4"/>
    <w:rsid w:val="00FC2C27"/>
    <w:rsid w:val="00FD1E97"/>
    <w:rsid w:val="00FD2D8E"/>
    <w:rsid w:val="00FD32B6"/>
    <w:rsid w:val="00FD6151"/>
    <w:rsid w:val="00FD645F"/>
    <w:rsid w:val="00FE00E4"/>
    <w:rsid w:val="00FE36E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DE19"/>
  <w15:chartTrackingRefBased/>
  <w15:docId w15:val="{0E3F3703-F540-4442-8429-6934470B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786"/>
    <w:pPr>
      <w:ind w:left="720"/>
      <w:contextualSpacing/>
    </w:pPr>
  </w:style>
  <w:style w:type="table" w:styleId="TableGrid">
    <w:name w:val="Table Grid"/>
    <w:basedOn w:val="TableNormal"/>
    <w:uiPriority w:val="39"/>
    <w:rsid w:val="008C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36EC"/>
    <w:rPr>
      <w:b/>
      <w:bCs/>
    </w:rPr>
  </w:style>
  <w:style w:type="character" w:customStyle="1" w:styleId="anchor-text">
    <w:name w:val="anchor-text"/>
    <w:basedOn w:val="DefaultParagraphFont"/>
    <w:rsid w:val="004B6087"/>
  </w:style>
  <w:style w:type="character" w:styleId="Hyperlink">
    <w:name w:val="Hyperlink"/>
    <w:basedOn w:val="DefaultParagraphFont"/>
    <w:uiPriority w:val="99"/>
    <w:unhideWhenUsed/>
    <w:rsid w:val="00EE3900"/>
    <w:rPr>
      <w:color w:val="0563C1" w:themeColor="hyperlink"/>
      <w:u w:val="single"/>
    </w:rPr>
  </w:style>
  <w:style w:type="character" w:styleId="UnresolvedMention">
    <w:name w:val="Unresolved Mention"/>
    <w:basedOn w:val="DefaultParagraphFont"/>
    <w:uiPriority w:val="99"/>
    <w:semiHidden/>
    <w:unhideWhenUsed/>
    <w:rsid w:val="00EE3900"/>
    <w:rPr>
      <w:color w:val="605E5C"/>
      <w:shd w:val="clear" w:color="auto" w:fill="E1DFDD"/>
    </w:rPr>
  </w:style>
  <w:style w:type="character" w:styleId="Emphasis">
    <w:name w:val="Emphasis"/>
    <w:basedOn w:val="DefaultParagraphFont"/>
    <w:uiPriority w:val="20"/>
    <w:qFormat/>
    <w:rsid w:val="000B1F9A"/>
    <w:rPr>
      <w:i/>
      <w:iCs/>
    </w:rPr>
  </w:style>
  <w:style w:type="paragraph" w:styleId="Header">
    <w:name w:val="header"/>
    <w:basedOn w:val="Normal"/>
    <w:link w:val="HeaderChar"/>
    <w:uiPriority w:val="99"/>
    <w:unhideWhenUsed/>
    <w:rsid w:val="00B1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92"/>
  </w:style>
  <w:style w:type="paragraph" w:styleId="Footer">
    <w:name w:val="footer"/>
    <w:basedOn w:val="Normal"/>
    <w:link w:val="FooterChar"/>
    <w:uiPriority w:val="99"/>
    <w:unhideWhenUsed/>
    <w:rsid w:val="00B1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9554">
      <w:bodyDiv w:val="1"/>
      <w:marLeft w:val="0"/>
      <w:marRight w:val="0"/>
      <w:marTop w:val="0"/>
      <w:marBottom w:val="0"/>
      <w:divBdr>
        <w:top w:val="none" w:sz="0" w:space="0" w:color="auto"/>
        <w:left w:val="none" w:sz="0" w:space="0" w:color="auto"/>
        <w:bottom w:val="none" w:sz="0" w:space="0" w:color="auto"/>
        <w:right w:val="none" w:sz="0" w:space="0" w:color="auto"/>
      </w:divBdr>
    </w:div>
    <w:div w:id="139079889">
      <w:bodyDiv w:val="1"/>
      <w:marLeft w:val="0"/>
      <w:marRight w:val="0"/>
      <w:marTop w:val="0"/>
      <w:marBottom w:val="0"/>
      <w:divBdr>
        <w:top w:val="none" w:sz="0" w:space="0" w:color="auto"/>
        <w:left w:val="none" w:sz="0" w:space="0" w:color="auto"/>
        <w:bottom w:val="none" w:sz="0" w:space="0" w:color="auto"/>
        <w:right w:val="none" w:sz="0" w:space="0" w:color="auto"/>
      </w:divBdr>
    </w:div>
    <w:div w:id="166797666">
      <w:bodyDiv w:val="1"/>
      <w:marLeft w:val="0"/>
      <w:marRight w:val="0"/>
      <w:marTop w:val="0"/>
      <w:marBottom w:val="0"/>
      <w:divBdr>
        <w:top w:val="none" w:sz="0" w:space="0" w:color="auto"/>
        <w:left w:val="none" w:sz="0" w:space="0" w:color="auto"/>
        <w:bottom w:val="none" w:sz="0" w:space="0" w:color="auto"/>
        <w:right w:val="none" w:sz="0" w:space="0" w:color="auto"/>
      </w:divBdr>
    </w:div>
    <w:div w:id="178084391">
      <w:bodyDiv w:val="1"/>
      <w:marLeft w:val="0"/>
      <w:marRight w:val="0"/>
      <w:marTop w:val="0"/>
      <w:marBottom w:val="0"/>
      <w:divBdr>
        <w:top w:val="none" w:sz="0" w:space="0" w:color="auto"/>
        <w:left w:val="none" w:sz="0" w:space="0" w:color="auto"/>
        <w:bottom w:val="none" w:sz="0" w:space="0" w:color="auto"/>
        <w:right w:val="none" w:sz="0" w:space="0" w:color="auto"/>
      </w:divBdr>
    </w:div>
    <w:div w:id="231082210">
      <w:bodyDiv w:val="1"/>
      <w:marLeft w:val="0"/>
      <w:marRight w:val="0"/>
      <w:marTop w:val="0"/>
      <w:marBottom w:val="0"/>
      <w:divBdr>
        <w:top w:val="none" w:sz="0" w:space="0" w:color="auto"/>
        <w:left w:val="none" w:sz="0" w:space="0" w:color="auto"/>
        <w:bottom w:val="none" w:sz="0" w:space="0" w:color="auto"/>
        <w:right w:val="none" w:sz="0" w:space="0" w:color="auto"/>
      </w:divBdr>
    </w:div>
    <w:div w:id="247227083">
      <w:bodyDiv w:val="1"/>
      <w:marLeft w:val="0"/>
      <w:marRight w:val="0"/>
      <w:marTop w:val="0"/>
      <w:marBottom w:val="0"/>
      <w:divBdr>
        <w:top w:val="none" w:sz="0" w:space="0" w:color="auto"/>
        <w:left w:val="none" w:sz="0" w:space="0" w:color="auto"/>
        <w:bottom w:val="none" w:sz="0" w:space="0" w:color="auto"/>
        <w:right w:val="none" w:sz="0" w:space="0" w:color="auto"/>
      </w:divBdr>
    </w:div>
    <w:div w:id="252782905">
      <w:bodyDiv w:val="1"/>
      <w:marLeft w:val="0"/>
      <w:marRight w:val="0"/>
      <w:marTop w:val="0"/>
      <w:marBottom w:val="0"/>
      <w:divBdr>
        <w:top w:val="none" w:sz="0" w:space="0" w:color="auto"/>
        <w:left w:val="none" w:sz="0" w:space="0" w:color="auto"/>
        <w:bottom w:val="none" w:sz="0" w:space="0" w:color="auto"/>
        <w:right w:val="none" w:sz="0" w:space="0" w:color="auto"/>
      </w:divBdr>
    </w:div>
    <w:div w:id="254171510">
      <w:bodyDiv w:val="1"/>
      <w:marLeft w:val="0"/>
      <w:marRight w:val="0"/>
      <w:marTop w:val="0"/>
      <w:marBottom w:val="0"/>
      <w:divBdr>
        <w:top w:val="none" w:sz="0" w:space="0" w:color="auto"/>
        <w:left w:val="none" w:sz="0" w:space="0" w:color="auto"/>
        <w:bottom w:val="none" w:sz="0" w:space="0" w:color="auto"/>
        <w:right w:val="none" w:sz="0" w:space="0" w:color="auto"/>
      </w:divBdr>
    </w:div>
    <w:div w:id="260265904">
      <w:bodyDiv w:val="1"/>
      <w:marLeft w:val="0"/>
      <w:marRight w:val="0"/>
      <w:marTop w:val="0"/>
      <w:marBottom w:val="0"/>
      <w:divBdr>
        <w:top w:val="none" w:sz="0" w:space="0" w:color="auto"/>
        <w:left w:val="none" w:sz="0" w:space="0" w:color="auto"/>
        <w:bottom w:val="none" w:sz="0" w:space="0" w:color="auto"/>
        <w:right w:val="none" w:sz="0" w:space="0" w:color="auto"/>
      </w:divBdr>
    </w:div>
    <w:div w:id="265236043">
      <w:bodyDiv w:val="1"/>
      <w:marLeft w:val="0"/>
      <w:marRight w:val="0"/>
      <w:marTop w:val="0"/>
      <w:marBottom w:val="0"/>
      <w:divBdr>
        <w:top w:val="none" w:sz="0" w:space="0" w:color="auto"/>
        <w:left w:val="none" w:sz="0" w:space="0" w:color="auto"/>
        <w:bottom w:val="none" w:sz="0" w:space="0" w:color="auto"/>
        <w:right w:val="none" w:sz="0" w:space="0" w:color="auto"/>
      </w:divBdr>
    </w:div>
    <w:div w:id="276563782">
      <w:bodyDiv w:val="1"/>
      <w:marLeft w:val="0"/>
      <w:marRight w:val="0"/>
      <w:marTop w:val="0"/>
      <w:marBottom w:val="0"/>
      <w:divBdr>
        <w:top w:val="none" w:sz="0" w:space="0" w:color="auto"/>
        <w:left w:val="none" w:sz="0" w:space="0" w:color="auto"/>
        <w:bottom w:val="none" w:sz="0" w:space="0" w:color="auto"/>
        <w:right w:val="none" w:sz="0" w:space="0" w:color="auto"/>
      </w:divBdr>
    </w:div>
    <w:div w:id="405231613">
      <w:bodyDiv w:val="1"/>
      <w:marLeft w:val="0"/>
      <w:marRight w:val="0"/>
      <w:marTop w:val="0"/>
      <w:marBottom w:val="0"/>
      <w:divBdr>
        <w:top w:val="none" w:sz="0" w:space="0" w:color="auto"/>
        <w:left w:val="none" w:sz="0" w:space="0" w:color="auto"/>
        <w:bottom w:val="none" w:sz="0" w:space="0" w:color="auto"/>
        <w:right w:val="none" w:sz="0" w:space="0" w:color="auto"/>
      </w:divBdr>
    </w:div>
    <w:div w:id="426119677">
      <w:bodyDiv w:val="1"/>
      <w:marLeft w:val="0"/>
      <w:marRight w:val="0"/>
      <w:marTop w:val="0"/>
      <w:marBottom w:val="0"/>
      <w:divBdr>
        <w:top w:val="none" w:sz="0" w:space="0" w:color="auto"/>
        <w:left w:val="none" w:sz="0" w:space="0" w:color="auto"/>
        <w:bottom w:val="none" w:sz="0" w:space="0" w:color="auto"/>
        <w:right w:val="none" w:sz="0" w:space="0" w:color="auto"/>
      </w:divBdr>
    </w:div>
    <w:div w:id="646394012">
      <w:bodyDiv w:val="1"/>
      <w:marLeft w:val="0"/>
      <w:marRight w:val="0"/>
      <w:marTop w:val="0"/>
      <w:marBottom w:val="0"/>
      <w:divBdr>
        <w:top w:val="none" w:sz="0" w:space="0" w:color="auto"/>
        <w:left w:val="none" w:sz="0" w:space="0" w:color="auto"/>
        <w:bottom w:val="none" w:sz="0" w:space="0" w:color="auto"/>
        <w:right w:val="none" w:sz="0" w:space="0" w:color="auto"/>
      </w:divBdr>
    </w:div>
    <w:div w:id="727612239">
      <w:bodyDiv w:val="1"/>
      <w:marLeft w:val="0"/>
      <w:marRight w:val="0"/>
      <w:marTop w:val="0"/>
      <w:marBottom w:val="0"/>
      <w:divBdr>
        <w:top w:val="none" w:sz="0" w:space="0" w:color="auto"/>
        <w:left w:val="none" w:sz="0" w:space="0" w:color="auto"/>
        <w:bottom w:val="none" w:sz="0" w:space="0" w:color="auto"/>
        <w:right w:val="none" w:sz="0" w:space="0" w:color="auto"/>
      </w:divBdr>
    </w:div>
    <w:div w:id="825321989">
      <w:bodyDiv w:val="1"/>
      <w:marLeft w:val="0"/>
      <w:marRight w:val="0"/>
      <w:marTop w:val="0"/>
      <w:marBottom w:val="0"/>
      <w:divBdr>
        <w:top w:val="none" w:sz="0" w:space="0" w:color="auto"/>
        <w:left w:val="none" w:sz="0" w:space="0" w:color="auto"/>
        <w:bottom w:val="none" w:sz="0" w:space="0" w:color="auto"/>
        <w:right w:val="none" w:sz="0" w:space="0" w:color="auto"/>
      </w:divBdr>
    </w:div>
    <w:div w:id="826749280">
      <w:bodyDiv w:val="1"/>
      <w:marLeft w:val="0"/>
      <w:marRight w:val="0"/>
      <w:marTop w:val="0"/>
      <w:marBottom w:val="0"/>
      <w:divBdr>
        <w:top w:val="none" w:sz="0" w:space="0" w:color="auto"/>
        <w:left w:val="none" w:sz="0" w:space="0" w:color="auto"/>
        <w:bottom w:val="none" w:sz="0" w:space="0" w:color="auto"/>
        <w:right w:val="none" w:sz="0" w:space="0" w:color="auto"/>
      </w:divBdr>
      <w:divsChild>
        <w:div w:id="521211600">
          <w:marLeft w:val="0"/>
          <w:marRight w:val="0"/>
          <w:marTop w:val="0"/>
          <w:marBottom w:val="0"/>
          <w:divBdr>
            <w:top w:val="none" w:sz="0" w:space="0" w:color="auto"/>
            <w:left w:val="none" w:sz="0" w:space="0" w:color="auto"/>
            <w:bottom w:val="none" w:sz="0" w:space="0" w:color="auto"/>
            <w:right w:val="none" w:sz="0" w:space="0" w:color="auto"/>
          </w:divBdr>
          <w:divsChild>
            <w:div w:id="872614204">
              <w:marLeft w:val="0"/>
              <w:marRight w:val="0"/>
              <w:marTop w:val="0"/>
              <w:marBottom w:val="0"/>
              <w:divBdr>
                <w:top w:val="none" w:sz="0" w:space="0" w:color="auto"/>
                <w:left w:val="none" w:sz="0" w:space="0" w:color="auto"/>
                <w:bottom w:val="none" w:sz="0" w:space="0" w:color="auto"/>
                <w:right w:val="none" w:sz="0" w:space="0" w:color="auto"/>
              </w:divBdr>
            </w:div>
            <w:div w:id="1192652185">
              <w:marLeft w:val="0"/>
              <w:marRight w:val="0"/>
              <w:marTop w:val="0"/>
              <w:marBottom w:val="0"/>
              <w:divBdr>
                <w:top w:val="none" w:sz="0" w:space="0" w:color="auto"/>
                <w:left w:val="none" w:sz="0" w:space="0" w:color="auto"/>
                <w:bottom w:val="none" w:sz="0" w:space="0" w:color="auto"/>
                <w:right w:val="none" w:sz="0" w:space="0" w:color="auto"/>
              </w:divBdr>
            </w:div>
          </w:divsChild>
        </w:div>
        <w:div w:id="1116674691">
          <w:marLeft w:val="0"/>
          <w:marRight w:val="0"/>
          <w:marTop w:val="0"/>
          <w:marBottom w:val="0"/>
          <w:divBdr>
            <w:top w:val="none" w:sz="0" w:space="0" w:color="auto"/>
            <w:left w:val="none" w:sz="0" w:space="0" w:color="auto"/>
            <w:bottom w:val="none" w:sz="0" w:space="0" w:color="auto"/>
            <w:right w:val="none" w:sz="0" w:space="0" w:color="auto"/>
          </w:divBdr>
        </w:div>
      </w:divsChild>
    </w:div>
    <w:div w:id="908270098">
      <w:bodyDiv w:val="1"/>
      <w:marLeft w:val="0"/>
      <w:marRight w:val="0"/>
      <w:marTop w:val="0"/>
      <w:marBottom w:val="0"/>
      <w:divBdr>
        <w:top w:val="none" w:sz="0" w:space="0" w:color="auto"/>
        <w:left w:val="none" w:sz="0" w:space="0" w:color="auto"/>
        <w:bottom w:val="none" w:sz="0" w:space="0" w:color="auto"/>
        <w:right w:val="none" w:sz="0" w:space="0" w:color="auto"/>
      </w:divBdr>
    </w:div>
    <w:div w:id="913442041">
      <w:bodyDiv w:val="1"/>
      <w:marLeft w:val="0"/>
      <w:marRight w:val="0"/>
      <w:marTop w:val="0"/>
      <w:marBottom w:val="0"/>
      <w:divBdr>
        <w:top w:val="none" w:sz="0" w:space="0" w:color="auto"/>
        <w:left w:val="none" w:sz="0" w:space="0" w:color="auto"/>
        <w:bottom w:val="none" w:sz="0" w:space="0" w:color="auto"/>
        <w:right w:val="none" w:sz="0" w:space="0" w:color="auto"/>
      </w:divBdr>
    </w:div>
    <w:div w:id="972443919">
      <w:bodyDiv w:val="1"/>
      <w:marLeft w:val="0"/>
      <w:marRight w:val="0"/>
      <w:marTop w:val="0"/>
      <w:marBottom w:val="0"/>
      <w:divBdr>
        <w:top w:val="none" w:sz="0" w:space="0" w:color="auto"/>
        <w:left w:val="none" w:sz="0" w:space="0" w:color="auto"/>
        <w:bottom w:val="none" w:sz="0" w:space="0" w:color="auto"/>
        <w:right w:val="none" w:sz="0" w:space="0" w:color="auto"/>
      </w:divBdr>
    </w:div>
    <w:div w:id="1136486484">
      <w:bodyDiv w:val="1"/>
      <w:marLeft w:val="0"/>
      <w:marRight w:val="0"/>
      <w:marTop w:val="0"/>
      <w:marBottom w:val="0"/>
      <w:divBdr>
        <w:top w:val="none" w:sz="0" w:space="0" w:color="auto"/>
        <w:left w:val="none" w:sz="0" w:space="0" w:color="auto"/>
        <w:bottom w:val="none" w:sz="0" w:space="0" w:color="auto"/>
        <w:right w:val="none" w:sz="0" w:space="0" w:color="auto"/>
      </w:divBdr>
    </w:div>
    <w:div w:id="1248617936">
      <w:bodyDiv w:val="1"/>
      <w:marLeft w:val="0"/>
      <w:marRight w:val="0"/>
      <w:marTop w:val="0"/>
      <w:marBottom w:val="0"/>
      <w:divBdr>
        <w:top w:val="none" w:sz="0" w:space="0" w:color="auto"/>
        <w:left w:val="none" w:sz="0" w:space="0" w:color="auto"/>
        <w:bottom w:val="none" w:sz="0" w:space="0" w:color="auto"/>
        <w:right w:val="none" w:sz="0" w:space="0" w:color="auto"/>
      </w:divBdr>
    </w:div>
    <w:div w:id="1319992734">
      <w:bodyDiv w:val="1"/>
      <w:marLeft w:val="0"/>
      <w:marRight w:val="0"/>
      <w:marTop w:val="0"/>
      <w:marBottom w:val="0"/>
      <w:divBdr>
        <w:top w:val="none" w:sz="0" w:space="0" w:color="auto"/>
        <w:left w:val="none" w:sz="0" w:space="0" w:color="auto"/>
        <w:bottom w:val="none" w:sz="0" w:space="0" w:color="auto"/>
        <w:right w:val="none" w:sz="0" w:space="0" w:color="auto"/>
      </w:divBdr>
    </w:div>
    <w:div w:id="1338387034">
      <w:bodyDiv w:val="1"/>
      <w:marLeft w:val="0"/>
      <w:marRight w:val="0"/>
      <w:marTop w:val="0"/>
      <w:marBottom w:val="0"/>
      <w:divBdr>
        <w:top w:val="none" w:sz="0" w:space="0" w:color="auto"/>
        <w:left w:val="none" w:sz="0" w:space="0" w:color="auto"/>
        <w:bottom w:val="none" w:sz="0" w:space="0" w:color="auto"/>
        <w:right w:val="none" w:sz="0" w:space="0" w:color="auto"/>
      </w:divBdr>
    </w:div>
    <w:div w:id="1548833612">
      <w:bodyDiv w:val="1"/>
      <w:marLeft w:val="0"/>
      <w:marRight w:val="0"/>
      <w:marTop w:val="0"/>
      <w:marBottom w:val="0"/>
      <w:divBdr>
        <w:top w:val="none" w:sz="0" w:space="0" w:color="auto"/>
        <w:left w:val="none" w:sz="0" w:space="0" w:color="auto"/>
        <w:bottom w:val="none" w:sz="0" w:space="0" w:color="auto"/>
        <w:right w:val="none" w:sz="0" w:space="0" w:color="auto"/>
      </w:divBdr>
    </w:div>
    <w:div w:id="1628849262">
      <w:bodyDiv w:val="1"/>
      <w:marLeft w:val="0"/>
      <w:marRight w:val="0"/>
      <w:marTop w:val="0"/>
      <w:marBottom w:val="0"/>
      <w:divBdr>
        <w:top w:val="none" w:sz="0" w:space="0" w:color="auto"/>
        <w:left w:val="none" w:sz="0" w:space="0" w:color="auto"/>
        <w:bottom w:val="none" w:sz="0" w:space="0" w:color="auto"/>
        <w:right w:val="none" w:sz="0" w:space="0" w:color="auto"/>
      </w:divBdr>
    </w:div>
    <w:div w:id="1651052573">
      <w:bodyDiv w:val="1"/>
      <w:marLeft w:val="0"/>
      <w:marRight w:val="0"/>
      <w:marTop w:val="0"/>
      <w:marBottom w:val="0"/>
      <w:divBdr>
        <w:top w:val="none" w:sz="0" w:space="0" w:color="auto"/>
        <w:left w:val="none" w:sz="0" w:space="0" w:color="auto"/>
        <w:bottom w:val="none" w:sz="0" w:space="0" w:color="auto"/>
        <w:right w:val="none" w:sz="0" w:space="0" w:color="auto"/>
      </w:divBdr>
    </w:div>
    <w:div w:id="1666546228">
      <w:bodyDiv w:val="1"/>
      <w:marLeft w:val="0"/>
      <w:marRight w:val="0"/>
      <w:marTop w:val="0"/>
      <w:marBottom w:val="0"/>
      <w:divBdr>
        <w:top w:val="none" w:sz="0" w:space="0" w:color="auto"/>
        <w:left w:val="none" w:sz="0" w:space="0" w:color="auto"/>
        <w:bottom w:val="none" w:sz="0" w:space="0" w:color="auto"/>
        <w:right w:val="none" w:sz="0" w:space="0" w:color="auto"/>
      </w:divBdr>
      <w:divsChild>
        <w:div w:id="227496121">
          <w:marLeft w:val="0"/>
          <w:marRight w:val="0"/>
          <w:marTop w:val="0"/>
          <w:marBottom w:val="0"/>
          <w:divBdr>
            <w:top w:val="none" w:sz="0" w:space="0" w:color="auto"/>
            <w:left w:val="none" w:sz="0" w:space="0" w:color="auto"/>
            <w:bottom w:val="none" w:sz="0" w:space="0" w:color="auto"/>
            <w:right w:val="none" w:sz="0" w:space="0" w:color="auto"/>
          </w:divBdr>
          <w:divsChild>
            <w:div w:id="9830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3289">
      <w:bodyDiv w:val="1"/>
      <w:marLeft w:val="0"/>
      <w:marRight w:val="0"/>
      <w:marTop w:val="0"/>
      <w:marBottom w:val="0"/>
      <w:divBdr>
        <w:top w:val="none" w:sz="0" w:space="0" w:color="auto"/>
        <w:left w:val="none" w:sz="0" w:space="0" w:color="auto"/>
        <w:bottom w:val="none" w:sz="0" w:space="0" w:color="auto"/>
        <w:right w:val="none" w:sz="0" w:space="0" w:color="auto"/>
      </w:divBdr>
    </w:div>
    <w:div w:id="1928028900">
      <w:bodyDiv w:val="1"/>
      <w:marLeft w:val="0"/>
      <w:marRight w:val="0"/>
      <w:marTop w:val="0"/>
      <w:marBottom w:val="0"/>
      <w:divBdr>
        <w:top w:val="none" w:sz="0" w:space="0" w:color="auto"/>
        <w:left w:val="none" w:sz="0" w:space="0" w:color="auto"/>
        <w:bottom w:val="none" w:sz="0" w:space="0" w:color="auto"/>
        <w:right w:val="none" w:sz="0" w:space="0" w:color="auto"/>
      </w:divBdr>
    </w:div>
    <w:div w:id="205954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73082618302412" TargetMode="External"/><Relationship Id="rId13" Type="http://schemas.openxmlformats.org/officeDocument/2006/relationships/hyperlink" Target="https://ppac.gov.in/?utm_source=chatgpt.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case.iima.2020.00021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12.09.1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Sheet1!$B$1:$B$2</c:f>
              <c:strCache>
                <c:ptCount val="2"/>
                <c:pt idx="1">
                  <c:v>Low</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Sheet1!$B$3:$B$8</c:f>
              <c:numCache>
                <c:formatCode>General</c:formatCode>
                <c:ptCount val="6"/>
                <c:pt idx="0">
                  <c:v>19</c:v>
                </c:pt>
                <c:pt idx="1">
                  <c:v>55</c:v>
                </c:pt>
                <c:pt idx="2">
                  <c:v>32</c:v>
                </c:pt>
                <c:pt idx="3">
                  <c:v>13</c:v>
                </c:pt>
                <c:pt idx="4">
                  <c:v>72</c:v>
                </c:pt>
                <c:pt idx="5">
                  <c:v>39</c:v>
                </c:pt>
              </c:numCache>
            </c:numRef>
          </c:val>
          <c:extLst>
            <c:ext xmlns:c16="http://schemas.microsoft.com/office/drawing/2014/chart" uri="{C3380CC4-5D6E-409C-BE32-E72D297353CC}">
              <c16:uniqueId val="{00000000-21AE-404B-B8DC-A041F7BEA10E}"/>
            </c:ext>
          </c:extLst>
        </c:ser>
        <c:ser>
          <c:idx val="1"/>
          <c:order val="1"/>
          <c:tx>
            <c:strRef>
              <c:f>Sheet1!$C$1:$C$2</c:f>
              <c:strCache>
                <c:ptCount val="2"/>
                <c:pt idx="1">
                  <c:v>Moderate</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Sheet1!$C$3:$C$8</c:f>
              <c:numCache>
                <c:formatCode>General</c:formatCode>
                <c:ptCount val="6"/>
                <c:pt idx="0">
                  <c:v>34</c:v>
                </c:pt>
                <c:pt idx="1">
                  <c:v>73</c:v>
                </c:pt>
                <c:pt idx="2">
                  <c:v>51</c:v>
                </c:pt>
                <c:pt idx="3">
                  <c:v>28</c:v>
                </c:pt>
                <c:pt idx="4">
                  <c:v>90</c:v>
                </c:pt>
                <c:pt idx="5">
                  <c:v>91</c:v>
                </c:pt>
              </c:numCache>
            </c:numRef>
          </c:val>
          <c:extLst>
            <c:ext xmlns:c16="http://schemas.microsoft.com/office/drawing/2014/chart" uri="{C3380CC4-5D6E-409C-BE32-E72D297353CC}">
              <c16:uniqueId val="{00000001-21AE-404B-B8DC-A041F7BEA10E}"/>
            </c:ext>
          </c:extLst>
        </c:ser>
        <c:ser>
          <c:idx val="2"/>
          <c:order val="2"/>
          <c:tx>
            <c:strRef>
              <c:f>Sheet1!$D$1:$D$2</c:f>
              <c:strCache>
                <c:ptCount val="2"/>
                <c:pt idx="1">
                  <c:v>High</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Sheet1!$A$3:$A$8</c:f>
              <c:strCache>
                <c:ptCount val="6"/>
                <c:pt idx="0">
                  <c:v>Easiness in Booking</c:v>
                </c:pt>
                <c:pt idx="1">
                  <c:v>Promptness in Delivery</c:v>
                </c:pt>
                <c:pt idx="2">
                  <c:v>Openness in Pricing/Subsidy</c:v>
                </c:pt>
                <c:pt idx="3">
                  <c:v>Safety Precautions</c:v>
                </c:pt>
                <c:pt idx="4">
                  <c:v>Customer Care Services</c:v>
                </c:pt>
                <c:pt idx="5">
                  <c:v>Overall Satisfaction</c:v>
                </c:pt>
              </c:strCache>
            </c:strRef>
          </c:cat>
          <c:val>
            <c:numRef>
              <c:f>Sheet1!$D$3:$D$8</c:f>
              <c:numCache>
                <c:formatCode>General</c:formatCode>
                <c:ptCount val="6"/>
                <c:pt idx="0">
                  <c:v>157</c:v>
                </c:pt>
                <c:pt idx="1">
                  <c:v>82</c:v>
                </c:pt>
                <c:pt idx="2">
                  <c:v>127</c:v>
                </c:pt>
                <c:pt idx="3">
                  <c:v>169</c:v>
                </c:pt>
                <c:pt idx="4">
                  <c:v>48</c:v>
                </c:pt>
                <c:pt idx="5">
                  <c:v>80</c:v>
                </c:pt>
              </c:numCache>
            </c:numRef>
          </c:val>
          <c:extLst>
            <c:ext xmlns:c16="http://schemas.microsoft.com/office/drawing/2014/chart" uri="{C3380CC4-5D6E-409C-BE32-E72D297353CC}">
              <c16:uniqueId val="{00000002-21AE-404B-B8DC-A041F7BEA10E}"/>
            </c:ext>
          </c:extLst>
        </c:ser>
        <c:dLbls>
          <c:dLblPos val="ctr"/>
          <c:showLegendKey val="0"/>
          <c:showVal val="1"/>
          <c:showCatName val="0"/>
          <c:showSerName val="0"/>
          <c:showPercent val="0"/>
          <c:showBubbleSize val="0"/>
        </c:dLbls>
        <c:gapWidth val="150"/>
        <c:overlap val="100"/>
        <c:axId val="563739536"/>
        <c:axId val="593461280"/>
      </c:barChart>
      <c:catAx>
        <c:axId val="563739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593461280"/>
        <c:crosses val="autoZero"/>
        <c:auto val="1"/>
        <c:lblAlgn val="ctr"/>
        <c:lblOffset val="100"/>
        <c:noMultiLvlLbl val="0"/>
      </c:catAx>
      <c:valAx>
        <c:axId val="5934612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63739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Sheet2!$A$3</c:f>
              <c:strCache>
                <c:ptCount val="1"/>
                <c:pt idx="0">
                  <c:v>Low</c:v>
                </c:pt>
              </c:strCache>
            </c:strRef>
          </c:tx>
          <c:spPr>
            <a:solidFill>
              <a:schemeClr val="accent6">
                <a:alpha val="85000"/>
              </a:schemeClr>
            </a:solidFill>
            <a:ln w="9525" cap="flat" cmpd="sng" algn="ctr">
              <a:solidFill>
                <a:schemeClr val="accent6">
                  <a:lumMod val="75000"/>
                </a:schemeClr>
              </a:solidFill>
              <a:round/>
            </a:ln>
            <a:effectLst/>
          </c:spPr>
          <c:invertIfNegative val="0"/>
          <c:cat>
            <c:strRef>
              <c:f>Sheet2!$B$2:$D$2</c:f>
              <c:strCache>
                <c:ptCount val="3"/>
                <c:pt idx="0">
                  <c:v>Indane</c:v>
                </c:pt>
                <c:pt idx="1">
                  <c:v>Bharath Gas</c:v>
                </c:pt>
                <c:pt idx="2">
                  <c:v>HP Gas</c:v>
                </c:pt>
              </c:strCache>
            </c:strRef>
          </c:cat>
          <c:val>
            <c:numRef>
              <c:f>Sheet2!$B$3:$D$3</c:f>
              <c:numCache>
                <c:formatCode>General</c:formatCode>
                <c:ptCount val="3"/>
                <c:pt idx="0">
                  <c:v>7</c:v>
                </c:pt>
                <c:pt idx="1">
                  <c:v>15</c:v>
                </c:pt>
                <c:pt idx="2">
                  <c:v>17</c:v>
                </c:pt>
              </c:numCache>
            </c:numRef>
          </c:val>
          <c:extLst>
            <c:ext xmlns:c16="http://schemas.microsoft.com/office/drawing/2014/chart" uri="{C3380CC4-5D6E-409C-BE32-E72D297353CC}">
              <c16:uniqueId val="{00000000-91FB-44EE-8F98-870A7364EEDF}"/>
            </c:ext>
          </c:extLst>
        </c:ser>
        <c:ser>
          <c:idx val="1"/>
          <c:order val="1"/>
          <c:tx>
            <c:strRef>
              <c:f>Sheet2!$A$4</c:f>
              <c:strCache>
                <c:ptCount val="1"/>
                <c:pt idx="0">
                  <c:v>Moderate</c:v>
                </c:pt>
              </c:strCache>
            </c:strRef>
          </c:tx>
          <c:spPr>
            <a:solidFill>
              <a:schemeClr val="accent5">
                <a:alpha val="85000"/>
              </a:schemeClr>
            </a:solidFill>
            <a:ln w="9525" cap="flat" cmpd="sng" algn="ctr">
              <a:solidFill>
                <a:schemeClr val="accent5">
                  <a:lumMod val="75000"/>
                </a:schemeClr>
              </a:solidFill>
              <a:round/>
            </a:ln>
            <a:effectLst/>
          </c:spPr>
          <c:invertIfNegative val="0"/>
          <c:cat>
            <c:strRef>
              <c:f>Sheet2!$B$2:$D$2</c:f>
              <c:strCache>
                <c:ptCount val="3"/>
                <c:pt idx="0">
                  <c:v>Indane</c:v>
                </c:pt>
                <c:pt idx="1">
                  <c:v>Bharath Gas</c:v>
                </c:pt>
                <c:pt idx="2">
                  <c:v>HP Gas</c:v>
                </c:pt>
              </c:strCache>
            </c:strRef>
          </c:cat>
          <c:val>
            <c:numRef>
              <c:f>Sheet2!$B$4:$D$4</c:f>
              <c:numCache>
                <c:formatCode>General</c:formatCode>
                <c:ptCount val="3"/>
                <c:pt idx="0">
                  <c:v>29</c:v>
                </c:pt>
                <c:pt idx="1">
                  <c:v>33</c:v>
                </c:pt>
                <c:pt idx="2">
                  <c:v>29</c:v>
                </c:pt>
              </c:numCache>
            </c:numRef>
          </c:val>
          <c:extLst>
            <c:ext xmlns:c16="http://schemas.microsoft.com/office/drawing/2014/chart" uri="{C3380CC4-5D6E-409C-BE32-E72D297353CC}">
              <c16:uniqueId val="{00000001-91FB-44EE-8F98-870A7364EEDF}"/>
            </c:ext>
          </c:extLst>
        </c:ser>
        <c:ser>
          <c:idx val="2"/>
          <c:order val="2"/>
          <c:tx>
            <c:strRef>
              <c:f>Sheet2!$A$5</c:f>
              <c:strCache>
                <c:ptCount val="1"/>
                <c:pt idx="0">
                  <c:v>High</c:v>
                </c:pt>
              </c:strCache>
            </c:strRef>
          </c:tx>
          <c:spPr>
            <a:solidFill>
              <a:schemeClr val="accent4">
                <a:alpha val="85000"/>
              </a:schemeClr>
            </a:solidFill>
            <a:ln w="9525" cap="flat" cmpd="sng" algn="ctr">
              <a:solidFill>
                <a:schemeClr val="accent4">
                  <a:lumMod val="75000"/>
                </a:schemeClr>
              </a:solidFill>
              <a:round/>
            </a:ln>
            <a:effectLst/>
          </c:spPr>
          <c:invertIfNegative val="0"/>
          <c:cat>
            <c:strRef>
              <c:f>Sheet2!$B$2:$D$2</c:f>
              <c:strCache>
                <c:ptCount val="3"/>
                <c:pt idx="0">
                  <c:v>Indane</c:v>
                </c:pt>
                <c:pt idx="1">
                  <c:v>Bharath Gas</c:v>
                </c:pt>
                <c:pt idx="2">
                  <c:v>HP Gas</c:v>
                </c:pt>
              </c:strCache>
            </c:strRef>
          </c:cat>
          <c:val>
            <c:numRef>
              <c:f>Sheet2!$B$5:$D$5</c:f>
              <c:numCache>
                <c:formatCode>General</c:formatCode>
                <c:ptCount val="3"/>
                <c:pt idx="0">
                  <c:v>34</c:v>
                </c:pt>
                <c:pt idx="1">
                  <c:v>22</c:v>
                </c:pt>
                <c:pt idx="2">
                  <c:v>24</c:v>
                </c:pt>
              </c:numCache>
            </c:numRef>
          </c:val>
          <c:extLst>
            <c:ext xmlns:c16="http://schemas.microsoft.com/office/drawing/2014/chart" uri="{C3380CC4-5D6E-409C-BE32-E72D297353CC}">
              <c16:uniqueId val="{00000002-91FB-44EE-8F98-870A7364EEDF}"/>
            </c:ext>
          </c:extLst>
        </c:ser>
        <c:dLbls>
          <c:showLegendKey val="0"/>
          <c:showVal val="0"/>
          <c:showCatName val="0"/>
          <c:showSerName val="0"/>
          <c:showPercent val="0"/>
          <c:showBubbleSize val="0"/>
        </c:dLbls>
        <c:gapWidth val="65"/>
        <c:overlap val="100"/>
        <c:axId val="812325312"/>
        <c:axId val="906164736"/>
      </c:barChart>
      <c:catAx>
        <c:axId val="8123253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906164736"/>
        <c:crosses val="autoZero"/>
        <c:auto val="1"/>
        <c:lblAlgn val="ctr"/>
        <c:lblOffset val="100"/>
        <c:noMultiLvlLbl val="0"/>
      </c:catAx>
      <c:valAx>
        <c:axId val="90616473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8123253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5B2A-D3F4-4BCD-9B78-0CA48BD8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85</cp:revision>
  <dcterms:created xsi:type="dcterms:W3CDTF">2025-09-07T04:05:00Z</dcterms:created>
  <dcterms:modified xsi:type="dcterms:W3CDTF">2025-09-13T13:10:00Z</dcterms:modified>
</cp:coreProperties>
</file>