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D94D4" w14:textId="46852A1C" w:rsidR="00727620" w:rsidRPr="00727620" w:rsidRDefault="00727620" w:rsidP="00727620">
      <w:pPr>
        <w:pStyle w:val="Author0"/>
        <w:spacing w:line="240" w:lineRule="auto"/>
        <w:jc w:val="left"/>
        <w:rPr>
          <w:rFonts w:ascii="Arial" w:hAnsi="Arial" w:cs="Arial"/>
          <w:bCs/>
          <w:iCs/>
          <w:kern w:val="28"/>
          <w:sz w:val="28"/>
          <w:szCs w:val="16"/>
          <w:u w:val="single"/>
        </w:rPr>
      </w:pPr>
      <w:r w:rsidRPr="00727620">
        <w:rPr>
          <w:rFonts w:ascii="Arial" w:hAnsi="Arial" w:cs="Arial"/>
          <w:bCs/>
          <w:iCs/>
          <w:kern w:val="28"/>
          <w:sz w:val="28"/>
          <w:szCs w:val="16"/>
          <w:u w:val="single"/>
        </w:rPr>
        <w:t>Original Research Article</w:t>
      </w:r>
    </w:p>
    <w:p w14:paraId="5617130E" w14:textId="77777777" w:rsidR="00663224" w:rsidRDefault="00663224" w:rsidP="004008EA">
      <w:pPr>
        <w:pStyle w:val="Author0"/>
        <w:spacing w:line="240" w:lineRule="auto"/>
        <w:rPr>
          <w:rFonts w:ascii="Arial" w:hAnsi="Arial" w:cs="Arial"/>
          <w:bCs/>
          <w:iCs/>
          <w:kern w:val="28"/>
          <w:sz w:val="36"/>
        </w:rPr>
      </w:pPr>
    </w:p>
    <w:p w14:paraId="03C2EC67" w14:textId="01703908" w:rsidR="004008EA" w:rsidRPr="004008EA" w:rsidRDefault="003C0942" w:rsidP="004008EA">
      <w:pPr>
        <w:pStyle w:val="Author0"/>
        <w:spacing w:line="240" w:lineRule="auto"/>
        <w:rPr>
          <w:rFonts w:ascii="Arial" w:hAnsi="Arial" w:cs="Arial"/>
          <w:bCs/>
          <w:iCs/>
          <w:kern w:val="28"/>
          <w:sz w:val="36"/>
        </w:rPr>
      </w:pPr>
      <w:r>
        <w:rPr>
          <w:rFonts w:ascii="Arial" w:hAnsi="Arial" w:cs="Arial"/>
          <w:bCs/>
          <w:iCs/>
          <w:kern w:val="28"/>
          <w:sz w:val="36"/>
        </w:rPr>
        <w:t>GENDER EQUALITY: A PIVOTAL</w:t>
      </w:r>
      <w:r w:rsidR="004008EA" w:rsidRPr="004008EA">
        <w:rPr>
          <w:rFonts w:ascii="Arial" w:hAnsi="Arial" w:cs="Arial"/>
          <w:bCs/>
          <w:iCs/>
          <w:kern w:val="28"/>
          <w:sz w:val="36"/>
        </w:rPr>
        <w:t xml:space="preserve"> GOAL TO THE REALIZATION OF SUSTAINABLE DEVELOPMENT GOALS IN NIGERIA</w:t>
      </w:r>
    </w:p>
    <w:p w14:paraId="7A210BB1" w14:textId="77777777" w:rsidR="004008EA" w:rsidRDefault="004008EA" w:rsidP="004008EA">
      <w:pPr>
        <w:pStyle w:val="Author0"/>
        <w:spacing w:line="240" w:lineRule="auto"/>
        <w:rPr>
          <w:rFonts w:ascii="Arial" w:hAnsi="Arial" w:cs="Arial"/>
        </w:rPr>
      </w:pPr>
    </w:p>
    <w:p w14:paraId="4AA3F092" w14:textId="77777777" w:rsidR="00B62F56" w:rsidRDefault="00B62F56" w:rsidP="001234B8">
      <w:pPr>
        <w:pStyle w:val="NoSpacing"/>
        <w:rPr>
          <w:rFonts w:ascii="Arial" w:hAnsi="Arial" w:cs="Arial"/>
          <w:b/>
          <w:sz w:val="20"/>
          <w:szCs w:val="20"/>
        </w:rPr>
      </w:pPr>
    </w:p>
    <w:p w14:paraId="72D01BF3" w14:textId="2D41A6AC" w:rsidR="00964F3D" w:rsidRDefault="001234B8" w:rsidP="001234B8">
      <w:pPr>
        <w:pStyle w:val="NoSpacing"/>
        <w:rPr>
          <w:rFonts w:ascii="Arial" w:hAnsi="Arial" w:cs="Arial"/>
          <w:b/>
          <w:sz w:val="20"/>
          <w:szCs w:val="20"/>
        </w:rPr>
      </w:pPr>
      <w:r w:rsidRPr="0070281F">
        <w:rPr>
          <w:rFonts w:ascii="Arial" w:hAnsi="Arial" w:cs="Arial"/>
          <w:b/>
          <w:sz w:val="20"/>
          <w:szCs w:val="20"/>
        </w:rPr>
        <w:t>ABSTRACT</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180"/>
      </w:tblGrid>
      <w:tr w:rsidR="00085349" w:rsidRPr="00BA1B01" w14:paraId="0A3D675E" w14:textId="77777777" w:rsidTr="000E790A">
        <w:trPr>
          <w:trHeight w:val="5048"/>
        </w:trPr>
        <w:tc>
          <w:tcPr>
            <w:tcW w:w="9180" w:type="dxa"/>
            <w:shd w:val="clear" w:color="auto" w:fill="F2F2F2"/>
          </w:tcPr>
          <w:p w14:paraId="7E74FD38" w14:textId="77777777" w:rsidR="00085349" w:rsidRDefault="00085349" w:rsidP="0030157E">
            <w:pPr>
              <w:pStyle w:val="Body"/>
              <w:spacing w:after="0"/>
              <w:rPr>
                <w:rFonts w:ascii="Arial" w:eastAsia="Calibri" w:hAnsi="Arial" w:cs="Arial"/>
                <w:b/>
                <w:szCs w:val="22"/>
              </w:rPr>
            </w:pPr>
          </w:p>
          <w:p w14:paraId="69234C92" w14:textId="66FADBE7" w:rsidR="00085349" w:rsidRPr="00DC12B2" w:rsidRDefault="00DC12B2" w:rsidP="0030157E">
            <w:pPr>
              <w:pStyle w:val="Body"/>
              <w:spacing w:after="0"/>
              <w:rPr>
                <w:rFonts w:ascii="Arial" w:eastAsia="Calibri" w:hAnsi="Arial" w:cs="Arial"/>
                <w:b/>
                <w:szCs w:val="22"/>
              </w:rPr>
            </w:pPr>
            <w:r w:rsidRPr="00DC12B2">
              <w:rPr>
                <w:rFonts w:ascii="Arial" w:hAnsi="Arial" w:cs="Arial"/>
                <w:b/>
              </w:rPr>
              <w:t xml:space="preserve">This paper </w:t>
            </w:r>
            <w:r w:rsidR="00F569EE">
              <w:rPr>
                <w:rFonts w:ascii="Arial" w:hAnsi="Arial" w:cs="Arial"/>
                <w:b/>
              </w:rPr>
              <w:t>examines</w:t>
            </w:r>
            <w:r w:rsidRPr="00DC12B2">
              <w:rPr>
                <w:rFonts w:ascii="Arial" w:hAnsi="Arial" w:cs="Arial"/>
                <w:b/>
              </w:rPr>
              <w:t xml:space="preserve"> the extent to which gender equality relates to Nigeria's development outcomes and explores whether specific dimensions of inequality—such as access to education, healthcare, economic opportunities, and political representation—constrain the realization of the Sustainable Development Goals (SDGs). Grounded in Sylvia Walby’s postmodern theory, the research employed a descriptive survey design and relied on both primary data (structured questionnaires) and secondary sources. The study population was drawn from Anambra State, with a total of 4,177,828 residents as recorded in the 2006 National Population Census of Nigeria, from which a sample size of 400 respondents was determined using Yamane’s (196</w:t>
            </w:r>
            <w:r w:rsidR="005D2289">
              <w:rPr>
                <w:rFonts w:ascii="Arial" w:hAnsi="Arial" w:cs="Arial"/>
                <w:b/>
              </w:rPr>
              <w:t>7</w:t>
            </w:r>
            <w:r w:rsidRPr="00DC12B2">
              <w:rPr>
                <w:rFonts w:ascii="Arial" w:hAnsi="Arial" w:cs="Arial"/>
                <w:b/>
              </w:rPr>
              <w:t xml:space="preserve">) formula. Data were analyzed using frequency distributions and chi-square tests at the 0.05 significance level. Findings demonstrate a </w:t>
            </w:r>
            <w:r w:rsidR="009A1824">
              <w:rPr>
                <w:rFonts w:ascii="Arial" w:hAnsi="Arial" w:cs="Arial"/>
                <w:b/>
              </w:rPr>
              <w:t>link</w:t>
            </w:r>
            <w:r w:rsidR="00041133">
              <w:rPr>
                <w:rFonts w:ascii="Arial" w:hAnsi="Arial" w:cs="Arial"/>
                <w:b/>
              </w:rPr>
              <w:t xml:space="preserve"> </w:t>
            </w:r>
            <w:r w:rsidRPr="00DC12B2">
              <w:rPr>
                <w:rFonts w:ascii="Arial" w:hAnsi="Arial" w:cs="Arial"/>
                <w:b/>
              </w:rPr>
              <w:t>between gender equality and Nigeria’s prospects of meeting the SDGs, revealing that entrenched inequalities undermine progress across multiple goals. The study concludes that advancing gender equality is not only critical for achieving SDG 5 but also for accelerating progress in poverty reduction, inclusive governance, quality education, healthcare, and economic growth. It recommends strengthening legal and policy frameworks, promoting women’s access to education and resources, addressing socio-economic disparities, combating gender-based violence, and expanding women’s participation in leadership, among others. Thus, achieving gender equality represents a paramount goal for the realization of the Sustainable Development Goals in Nigeria.</w:t>
            </w:r>
          </w:p>
        </w:tc>
      </w:tr>
    </w:tbl>
    <w:p w14:paraId="10209DD4" w14:textId="77777777" w:rsidR="00085349" w:rsidRPr="0070281F" w:rsidRDefault="00085349" w:rsidP="001234B8">
      <w:pPr>
        <w:pStyle w:val="NoSpacing"/>
        <w:rPr>
          <w:rFonts w:ascii="Arial" w:hAnsi="Arial" w:cs="Arial"/>
          <w:b/>
          <w:sz w:val="20"/>
          <w:szCs w:val="20"/>
        </w:rPr>
      </w:pPr>
    </w:p>
    <w:p w14:paraId="6CF4DB40" w14:textId="441B2BBC" w:rsidR="00085349" w:rsidRPr="0070281F" w:rsidRDefault="003F61C4" w:rsidP="003F61C4">
      <w:pPr>
        <w:pStyle w:val="NoSpacing"/>
        <w:jc w:val="both"/>
        <w:rPr>
          <w:rFonts w:ascii="Arial" w:hAnsi="Arial" w:cs="Arial"/>
          <w:sz w:val="20"/>
          <w:szCs w:val="20"/>
        </w:rPr>
      </w:pPr>
      <w:r w:rsidRPr="0070281F">
        <w:rPr>
          <w:rFonts w:ascii="Arial" w:hAnsi="Arial" w:cs="Arial"/>
          <w:b/>
          <w:sz w:val="20"/>
          <w:szCs w:val="20"/>
        </w:rPr>
        <w:t>Key Words</w:t>
      </w:r>
      <w:r w:rsidRPr="0070281F">
        <w:rPr>
          <w:rFonts w:ascii="Arial" w:hAnsi="Arial" w:cs="Arial"/>
          <w:sz w:val="20"/>
          <w:szCs w:val="20"/>
        </w:rPr>
        <w:t xml:space="preserve">: </w:t>
      </w:r>
      <w:r w:rsidR="00C617F8" w:rsidRPr="0070281F">
        <w:rPr>
          <w:rFonts w:ascii="Arial" w:hAnsi="Arial" w:cs="Arial"/>
          <w:sz w:val="20"/>
          <w:szCs w:val="20"/>
        </w:rPr>
        <w:t>Gender Equality, S</w:t>
      </w:r>
      <w:r w:rsidR="00A33C91">
        <w:rPr>
          <w:rFonts w:ascii="Arial" w:hAnsi="Arial" w:cs="Arial"/>
          <w:sz w:val="20"/>
          <w:szCs w:val="20"/>
        </w:rPr>
        <w:t>DGs</w:t>
      </w:r>
      <w:r w:rsidR="00C43D56">
        <w:rPr>
          <w:rFonts w:ascii="Arial" w:hAnsi="Arial" w:cs="Arial"/>
          <w:sz w:val="20"/>
          <w:szCs w:val="20"/>
        </w:rPr>
        <w:t>, Anambra</w:t>
      </w:r>
      <w:r w:rsidR="005C058A">
        <w:rPr>
          <w:rFonts w:ascii="Arial" w:hAnsi="Arial" w:cs="Arial"/>
          <w:sz w:val="20"/>
          <w:szCs w:val="20"/>
        </w:rPr>
        <w:t xml:space="preserve"> state</w:t>
      </w:r>
      <w:r w:rsidR="00C617F8" w:rsidRPr="0070281F">
        <w:rPr>
          <w:rFonts w:ascii="Arial" w:hAnsi="Arial" w:cs="Arial"/>
          <w:sz w:val="20"/>
          <w:szCs w:val="20"/>
        </w:rPr>
        <w:t>,</w:t>
      </w:r>
      <w:r w:rsidR="00792952">
        <w:rPr>
          <w:rFonts w:ascii="Arial" w:hAnsi="Arial" w:cs="Arial"/>
          <w:sz w:val="20"/>
          <w:szCs w:val="20"/>
        </w:rPr>
        <w:t xml:space="preserve"> Women Empowerment,</w:t>
      </w:r>
      <w:r w:rsidR="005C058A">
        <w:rPr>
          <w:rFonts w:ascii="Arial" w:hAnsi="Arial" w:cs="Arial"/>
          <w:sz w:val="20"/>
          <w:szCs w:val="20"/>
        </w:rPr>
        <w:t xml:space="preserve"> </w:t>
      </w:r>
      <w:r w:rsidR="005C058A" w:rsidRPr="005C058A">
        <w:rPr>
          <w:rFonts w:ascii="Arial" w:hAnsi="Arial" w:cs="Arial"/>
          <w:sz w:val="20"/>
          <w:szCs w:val="20"/>
        </w:rPr>
        <w:t>postmodern feminist theory</w:t>
      </w:r>
      <w:r w:rsidR="00C617F8" w:rsidRPr="0070281F">
        <w:rPr>
          <w:rFonts w:ascii="Arial" w:hAnsi="Arial" w:cs="Arial"/>
          <w:sz w:val="20"/>
          <w:szCs w:val="20"/>
        </w:rPr>
        <w:t xml:space="preserve"> </w:t>
      </w:r>
    </w:p>
    <w:p w14:paraId="72D01BF7" w14:textId="77777777" w:rsidR="00964F3D" w:rsidRPr="0070281F" w:rsidRDefault="00964F3D" w:rsidP="001234B8">
      <w:pPr>
        <w:pStyle w:val="NoSpacing"/>
        <w:rPr>
          <w:rFonts w:ascii="Arial" w:hAnsi="Arial" w:cs="Arial"/>
          <w:b/>
          <w:sz w:val="20"/>
          <w:szCs w:val="20"/>
        </w:rPr>
      </w:pPr>
    </w:p>
    <w:p w14:paraId="72D01BF8" w14:textId="08FB13E0" w:rsidR="001234B8" w:rsidRPr="0070281F" w:rsidRDefault="001234B8" w:rsidP="003605F2">
      <w:pPr>
        <w:pStyle w:val="NoSpacing"/>
        <w:numPr>
          <w:ilvl w:val="0"/>
          <w:numId w:val="5"/>
        </w:numPr>
        <w:rPr>
          <w:rFonts w:ascii="Arial" w:hAnsi="Arial" w:cs="Arial"/>
          <w:b/>
          <w:sz w:val="20"/>
          <w:szCs w:val="20"/>
        </w:rPr>
      </w:pPr>
      <w:r w:rsidRPr="0070281F">
        <w:rPr>
          <w:rFonts w:ascii="Arial" w:hAnsi="Arial" w:cs="Arial"/>
          <w:b/>
          <w:sz w:val="20"/>
          <w:szCs w:val="20"/>
        </w:rPr>
        <w:t>IN</w:t>
      </w:r>
      <w:r w:rsidR="00D853C2" w:rsidRPr="0070281F">
        <w:rPr>
          <w:rFonts w:ascii="Arial" w:hAnsi="Arial" w:cs="Arial"/>
          <w:b/>
          <w:sz w:val="20"/>
          <w:szCs w:val="20"/>
        </w:rPr>
        <w:t>T</w:t>
      </w:r>
      <w:r w:rsidRPr="0070281F">
        <w:rPr>
          <w:rFonts w:ascii="Arial" w:hAnsi="Arial" w:cs="Arial"/>
          <w:b/>
          <w:sz w:val="20"/>
          <w:szCs w:val="20"/>
        </w:rPr>
        <w:t>RODUCTION</w:t>
      </w:r>
    </w:p>
    <w:p w14:paraId="72D01BF9" w14:textId="77777777" w:rsidR="00842920" w:rsidRPr="0070281F" w:rsidRDefault="00842920" w:rsidP="001234B8">
      <w:pPr>
        <w:pStyle w:val="NoSpacing"/>
        <w:rPr>
          <w:rFonts w:ascii="Arial" w:hAnsi="Arial" w:cs="Arial"/>
          <w:b/>
          <w:sz w:val="20"/>
          <w:szCs w:val="20"/>
        </w:rPr>
      </w:pPr>
    </w:p>
    <w:p w14:paraId="10175795" w14:textId="77777777" w:rsidR="00045F2D" w:rsidRPr="0070281F" w:rsidRDefault="00F666A9" w:rsidP="00045F2D">
      <w:pPr>
        <w:pStyle w:val="NoSpacing"/>
        <w:spacing w:after="240" w:line="360" w:lineRule="auto"/>
        <w:jc w:val="both"/>
        <w:rPr>
          <w:rFonts w:ascii="Arial" w:hAnsi="Arial" w:cs="Arial"/>
          <w:sz w:val="20"/>
          <w:szCs w:val="20"/>
        </w:rPr>
      </w:pPr>
      <w:r w:rsidRPr="0070281F">
        <w:rPr>
          <w:rFonts w:ascii="Arial" w:hAnsi="Arial" w:cs="Arial"/>
          <w:sz w:val="20"/>
          <w:szCs w:val="20"/>
        </w:rPr>
        <w:t>Gender equality has increasingly gained prominence in global development discourse as both a human right and a practical necessity for sustainable growth. The United Nations Sustainable Development Goals (SDGs), adopted in 2015, position gender equality not only as a distinct target (SDG 5) but also as a prerequisite for progress across the broader development agenda. In essence, the achievement of other goals</w:t>
      </w:r>
      <w:r w:rsidR="00ED1B76" w:rsidRPr="0070281F">
        <w:rPr>
          <w:rFonts w:ascii="Arial" w:hAnsi="Arial" w:cs="Arial"/>
          <w:sz w:val="20"/>
          <w:szCs w:val="20"/>
        </w:rPr>
        <w:t xml:space="preserve"> </w:t>
      </w:r>
      <w:r w:rsidRPr="0070281F">
        <w:rPr>
          <w:rFonts w:ascii="Arial" w:hAnsi="Arial" w:cs="Arial"/>
          <w:sz w:val="20"/>
          <w:szCs w:val="20"/>
        </w:rPr>
        <w:t>such as poverty eradication, inclusive education, decent work, good health, and strong institutions</w:t>
      </w:r>
      <w:r w:rsidR="00ED1B76" w:rsidRPr="0070281F">
        <w:rPr>
          <w:rFonts w:ascii="Arial" w:hAnsi="Arial" w:cs="Arial"/>
          <w:sz w:val="20"/>
          <w:szCs w:val="20"/>
        </w:rPr>
        <w:t xml:space="preserve"> </w:t>
      </w:r>
      <w:r w:rsidRPr="0070281F">
        <w:rPr>
          <w:rFonts w:ascii="Arial" w:hAnsi="Arial" w:cs="Arial"/>
          <w:sz w:val="20"/>
          <w:szCs w:val="20"/>
        </w:rPr>
        <w:t>depends significantly on how societies address the barriers facing women and girls</w:t>
      </w:r>
      <w:r w:rsidR="00FC7BD5" w:rsidRPr="0070281F">
        <w:rPr>
          <w:rFonts w:ascii="Arial" w:hAnsi="Arial" w:cs="Arial"/>
          <w:sz w:val="20"/>
          <w:szCs w:val="20"/>
        </w:rPr>
        <w:t xml:space="preserve"> (Agbo, 2016)</w:t>
      </w:r>
      <w:r w:rsidRPr="0070281F">
        <w:rPr>
          <w:rFonts w:ascii="Arial" w:hAnsi="Arial" w:cs="Arial"/>
          <w:sz w:val="20"/>
          <w:szCs w:val="20"/>
        </w:rPr>
        <w:t>.</w:t>
      </w:r>
      <w:r w:rsidR="00045F2D" w:rsidRPr="0070281F">
        <w:rPr>
          <w:rFonts w:ascii="Arial" w:hAnsi="Arial" w:cs="Arial"/>
          <w:sz w:val="20"/>
          <w:szCs w:val="20"/>
        </w:rPr>
        <w:t xml:space="preserve"> </w:t>
      </w:r>
    </w:p>
    <w:p w14:paraId="729E3199" w14:textId="40CC709A" w:rsidR="00F666A9" w:rsidRPr="0070281F" w:rsidRDefault="00F666A9" w:rsidP="00723A9E">
      <w:pPr>
        <w:pStyle w:val="NoSpacing"/>
        <w:spacing w:after="240" w:line="360" w:lineRule="auto"/>
        <w:jc w:val="both"/>
        <w:rPr>
          <w:rFonts w:ascii="Arial" w:hAnsi="Arial" w:cs="Arial"/>
          <w:sz w:val="20"/>
          <w:szCs w:val="20"/>
        </w:rPr>
      </w:pPr>
      <w:r w:rsidRPr="0070281F">
        <w:rPr>
          <w:rFonts w:ascii="Arial" w:hAnsi="Arial" w:cs="Arial"/>
          <w:sz w:val="20"/>
          <w:szCs w:val="20"/>
        </w:rPr>
        <w:t>Nigeria reflects a paradox within this global</w:t>
      </w:r>
      <w:r w:rsidR="009E65BB">
        <w:rPr>
          <w:rFonts w:ascii="Arial" w:hAnsi="Arial" w:cs="Arial"/>
          <w:sz w:val="20"/>
          <w:szCs w:val="20"/>
        </w:rPr>
        <w:t xml:space="preserve"> effort. While some </w:t>
      </w:r>
      <w:r w:rsidR="00616DEA">
        <w:rPr>
          <w:rFonts w:ascii="Arial" w:hAnsi="Arial" w:cs="Arial"/>
          <w:sz w:val="20"/>
          <w:szCs w:val="20"/>
        </w:rPr>
        <w:t>progresses</w:t>
      </w:r>
      <w:r w:rsidR="009E65BB">
        <w:rPr>
          <w:rFonts w:ascii="Arial" w:hAnsi="Arial" w:cs="Arial"/>
          <w:sz w:val="20"/>
          <w:szCs w:val="20"/>
        </w:rPr>
        <w:t xml:space="preserve"> have</w:t>
      </w:r>
      <w:r w:rsidRPr="0070281F">
        <w:rPr>
          <w:rFonts w:ascii="Arial" w:hAnsi="Arial" w:cs="Arial"/>
          <w:sz w:val="20"/>
          <w:szCs w:val="20"/>
        </w:rPr>
        <w:t xml:space="preserve"> been made in expanding opportunities for women and aligning with international instruments like the Convention on the Elimination of All Forms of Discrimination Against Women (CEDAW) and the Beijing Platform for Action</w:t>
      </w:r>
      <w:r w:rsidR="009E65BB">
        <w:rPr>
          <w:rFonts w:ascii="Arial" w:hAnsi="Arial" w:cs="Arial"/>
          <w:sz w:val="20"/>
          <w:szCs w:val="20"/>
        </w:rPr>
        <w:t xml:space="preserve"> (United Nations, 1995</w:t>
      </w:r>
      <w:r w:rsidR="00616DEA">
        <w:rPr>
          <w:rFonts w:ascii="Arial" w:hAnsi="Arial" w:cs="Arial"/>
          <w:sz w:val="20"/>
          <w:szCs w:val="20"/>
        </w:rPr>
        <w:t xml:space="preserve">; </w:t>
      </w:r>
      <w:r w:rsidR="00616DEA" w:rsidRPr="00616DEA">
        <w:rPr>
          <w:rFonts w:ascii="Arial" w:hAnsi="Arial" w:cs="Arial"/>
          <w:sz w:val="20"/>
          <w:szCs w:val="20"/>
        </w:rPr>
        <w:t>CEDAW 1979/1985; Beijing Platform 1995</w:t>
      </w:r>
      <w:r w:rsidR="009E65BB">
        <w:rPr>
          <w:rFonts w:ascii="Arial" w:hAnsi="Arial" w:cs="Arial"/>
          <w:sz w:val="20"/>
          <w:szCs w:val="20"/>
        </w:rPr>
        <w:t>)</w:t>
      </w:r>
      <w:r w:rsidRPr="0070281F">
        <w:rPr>
          <w:rFonts w:ascii="Arial" w:hAnsi="Arial" w:cs="Arial"/>
          <w:sz w:val="20"/>
          <w:szCs w:val="20"/>
        </w:rPr>
        <w:t xml:space="preserve">, persistent inequalities continue to undermine national development. Patriarchal cultural norms, discriminatory practices, economic exclusion, and political underrepresentation have positioned Nigeria low on international </w:t>
      </w:r>
      <w:r w:rsidRPr="0070281F">
        <w:rPr>
          <w:rFonts w:ascii="Arial" w:hAnsi="Arial" w:cs="Arial"/>
          <w:sz w:val="20"/>
          <w:szCs w:val="20"/>
        </w:rPr>
        <w:lastRenderedPageBreak/>
        <w:t>gender equality rankings (</w:t>
      </w:r>
      <w:r w:rsidR="001F149E" w:rsidRPr="0070281F">
        <w:rPr>
          <w:rFonts w:ascii="Arial" w:hAnsi="Arial" w:cs="Arial"/>
          <w:sz w:val="20"/>
          <w:szCs w:val="20"/>
        </w:rPr>
        <w:t>Babalola, 2014; UN</w:t>
      </w:r>
      <w:r w:rsidRPr="0070281F">
        <w:rPr>
          <w:rFonts w:ascii="Arial" w:hAnsi="Arial" w:cs="Arial"/>
          <w:sz w:val="20"/>
          <w:szCs w:val="20"/>
        </w:rPr>
        <w:t xml:space="preserve"> Women, 202</w:t>
      </w:r>
      <w:r w:rsidR="00E35772">
        <w:rPr>
          <w:rFonts w:ascii="Arial" w:hAnsi="Arial" w:cs="Arial"/>
          <w:sz w:val="20"/>
          <w:szCs w:val="20"/>
        </w:rPr>
        <w:t>0</w:t>
      </w:r>
      <w:r w:rsidRPr="0070281F">
        <w:rPr>
          <w:rFonts w:ascii="Arial" w:hAnsi="Arial" w:cs="Arial"/>
          <w:sz w:val="20"/>
          <w:szCs w:val="20"/>
        </w:rPr>
        <w:t xml:space="preserve">). These inequalities are not merely social concerns; they have direct economic and political costs. Excluding women from education and the </w:t>
      </w:r>
      <w:r w:rsidR="001F149E" w:rsidRPr="0070281F">
        <w:rPr>
          <w:rFonts w:ascii="Arial" w:hAnsi="Arial" w:cs="Arial"/>
          <w:sz w:val="20"/>
          <w:szCs w:val="20"/>
        </w:rPr>
        <w:t>labour</w:t>
      </w:r>
      <w:r w:rsidRPr="0070281F">
        <w:rPr>
          <w:rFonts w:ascii="Arial" w:hAnsi="Arial" w:cs="Arial"/>
          <w:sz w:val="20"/>
          <w:szCs w:val="20"/>
        </w:rPr>
        <w:t xml:space="preserve"> market reduces the country’s human capital, weakens productivity, and narrows the talent available for leadership and innovation.</w:t>
      </w:r>
    </w:p>
    <w:p w14:paraId="29E849FB" w14:textId="1880D3B3" w:rsidR="00DF611F" w:rsidRPr="0070281F" w:rsidRDefault="00F666A9" w:rsidP="00DF611F">
      <w:pPr>
        <w:pStyle w:val="NoSpacing"/>
        <w:spacing w:after="240" w:line="360" w:lineRule="auto"/>
        <w:jc w:val="both"/>
        <w:rPr>
          <w:rFonts w:ascii="Arial" w:hAnsi="Arial" w:cs="Arial"/>
          <w:sz w:val="20"/>
          <w:szCs w:val="20"/>
        </w:rPr>
      </w:pPr>
      <w:r w:rsidRPr="0070281F">
        <w:rPr>
          <w:rFonts w:ascii="Arial" w:hAnsi="Arial" w:cs="Arial"/>
          <w:sz w:val="20"/>
          <w:szCs w:val="20"/>
        </w:rPr>
        <w:t>The 2022 UN Gender Snapshot Report underscores the urgency of this challenge, projecting that at the current pace, full gender equality may take almost three centuries to achieve. For Nigeria, this slow trajectory is worsened by insecurity, the socio-economic fallout of the COVID-19 pandemic, climate-related vulnerabilities, and persistent gender-based violence. These realities place at risk not only the attainment of SDG 5 but also the broader 2030 Agenda, as gender inequality diminishes progress across multiple development goals</w:t>
      </w:r>
      <w:r w:rsidR="007C28A6">
        <w:rPr>
          <w:rFonts w:ascii="Arial" w:hAnsi="Arial" w:cs="Arial"/>
          <w:sz w:val="20"/>
          <w:szCs w:val="20"/>
        </w:rPr>
        <w:t>.</w:t>
      </w:r>
    </w:p>
    <w:p w14:paraId="7A159ECF" w14:textId="39EA6936" w:rsidR="00DF611F" w:rsidRPr="0070281F" w:rsidRDefault="001800C2" w:rsidP="00DF611F">
      <w:pPr>
        <w:pStyle w:val="NoSpacing"/>
        <w:spacing w:after="240" w:line="360" w:lineRule="auto"/>
        <w:jc w:val="both"/>
        <w:rPr>
          <w:rFonts w:ascii="Arial" w:hAnsi="Arial" w:cs="Arial"/>
          <w:sz w:val="20"/>
          <w:szCs w:val="20"/>
        </w:rPr>
      </w:pPr>
      <w:r w:rsidRPr="0070281F">
        <w:rPr>
          <w:rFonts w:ascii="Arial" w:hAnsi="Arial" w:cs="Arial"/>
          <w:sz w:val="20"/>
          <w:szCs w:val="20"/>
        </w:rPr>
        <w:t>The consequences of this inequality are far-reaching. For instance, women make up a large portion of Nigeria’s informal workforce, often in low-paying, insecure jobs, with limited access to credit or ownership of productive assets. This undermines economic development because it limits innovation, reduces the tax base, and reinforces cycles of poverty. In politics, the exclusion of women weakens representative governance, as policy outcomes often fail to capture the needs of half of the population. Similarly, in education, while access for girls has improved, high dropout rates due to early marriage, cultural expectations, and financial barriers continue to stall progress</w:t>
      </w:r>
      <w:r w:rsidR="004E2DCE">
        <w:rPr>
          <w:rFonts w:ascii="Arial" w:hAnsi="Arial" w:cs="Arial"/>
          <w:sz w:val="20"/>
          <w:szCs w:val="20"/>
        </w:rPr>
        <w:t xml:space="preserve"> (Ono &amp;</w:t>
      </w:r>
      <w:r w:rsidR="00911268">
        <w:rPr>
          <w:rFonts w:ascii="Arial" w:hAnsi="Arial" w:cs="Arial"/>
          <w:sz w:val="20"/>
          <w:szCs w:val="20"/>
        </w:rPr>
        <w:t xml:space="preserve"> Endo, </w:t>
      </w:r>
      <w:r w:rsidR="004E2DCE">
        <w:rPr>
          <w:rFonts w:ascii="Arial" w:hAnsi="Arial" w:cs="Arial"/>
          <w:sz w:val="20"/>
          <w:szCs w:val="20"/>
        </w:rPr>
        <w:t>2024)</w:t>
      </w:r>
      <w:r w:rsidRPr="0070281F">
        <w:rPr>
          <w:rFonts w:ascii="Arial" w:hAnsi="Arial" w:cs="Arial"/>
          <w:sz w:val="20"/>
          <w:szCs w:val="20"/>
        </w:rPr>
        <w:t>.</w:t>
      </w:r>
    </w:p>
    <w:p w14:paraId="452AA5C8" w14:textId="77777777" w:rsidR="001835FD" w:rsidRPr="0070281F" w:rsidRDefault="006F7389" w:rsidP="00D84AE5">
      <w:pPr>
        <w:pStyle w:val="NoSpacing"/>
        <w:spacing w:after="240" w:line="360" w:lineRule="auto"/>
        <w:jc w:val="both"/>
        <w:rPr>
          <w:rFonts w:ascii="Arial" w:hAnsi="Arial" w:cs="Arial"/>
          <w:sz w:val="20"/>
          <w:szCs w:val="20"/>
        </w:rPr>
      </w:pPr>
      <w:r w:rsidRPr="0070281F">
        <w:rPr>
          <w:rFonts w:ascii="Arial" w:hAnsi="Arial" w:cs="Arial"/>
          <w:sz w:val="20"/>
          <w:szCs w:val="20"/>
        </w:rPr>
        <w:t>Despite decades of advocacy and institutional reforms</w:t>
      </w:r>
      <w:r w:rsidR="00DF611F" w:rsidRPr="0070281F">
        <w:rPr>
          <w:rFonts w:ascii="Arial" w:hAnsi="Arial" w:cs="Arial"/>
          <w:sz w:val="20"/>
          <w:szCs w:val="20"/>
        </w:rPr>
        <w:t xml:space="preserve"> </w:t>
      </w:r>
      <w:r w:rsidRPr="0070281F">
        <w:rPr>
          <w:rFonts w:ascii="Arial" w:hAnsi="Arial" w:cs="Arial"/>
          <w:sz w:val="20"/>
          <w:szCs w:val="20"/>
        </w:rPr>
        <w:t xml:space="preserve">including the adoption of the National Gender Policy (2006) and the </w:t>
      </w:r>
      <w:r w:rsidR="0090287B" w:rsidRPr="0070281F">
        <w:rPr>
          <w:rFonts w:ascii="Arial" w:hAnsi="Arial" w:cs="Arial"/>
          <w:sz w:val="20"/>
          <w:szCs w:val="20"/>
        </w:rPr>
        <w:t>passage</w:t>
      </w:r>
      <w:r w:rsidRPr="0070281F">
        <w:rPr>
          <w:rFonts w:ascii="Arial" w:hAnsi="Arial" w:cs="Arial"/>
          <w:sz w:val="20"/>
          <w:szCs w:val="20"/>
        </w:rPr>
        <w:t xml:space="preserve"> of </w:t>
      </w:r>
      <w:r w:rsidR="00E97887" w:rsidRPr="0070281F">
        <w:rPr>
          <w:rFonts w:ascii="Arial" w:hAnsi="Arial" w:cs="Arial"/>
          <w:sz w:val="20"/>
          <w:szCs w:val="20"/>
        </w:rPr>
        <w:t xml:space="preserve">Violence Against Persons (Prohibition) Act (2015), </w:t>
      </w:r>
      <w:r w:rsidRPr="0070281F">
        <w:rPr>
          <w:rFonts w:ascii="Arial" w:hAnsi="Arial" w:cs="Arial"/>
          <w:sz w:val="20"/>
          <w:szCs w:val="20"/>
        </w:rPr>
        <w:t>and agencies</w:t>
      </w:r>
      <w:r w:rsidR="00DF611F" w:rsidRPr="0070281F">
        <w:rPr>
          <w:rFonts w:ascii="Arial" w:hAnsi="Arial" w:cs="Arial"/>
          <w:sz w:val="20"/>
          <w:szCs w:val="20"/>
        </w:rPr>
        <w:t xml:space="preserve"> </w:t>
      </w:r>
      <w:r w:rsidRPr="0070281F">
        <w:rPr>
          <w:rFonts w:ascii="Arial" w:hAnsi="Arial" w:cs="Arial"/>
          <w:sz w:val="20"/>
          <w:szCs w:val="20"/>
        </w:rPr>
        <w:t>progress remains uneven. Women and girls continue to experience systemic disadvantages, ranging from early marriage and inadequate access to healthcare to exclusion from economic resources and decision-making platforms. These patterns are not isolated problems; they are symptoms of entrenched structural barriers that reproduce cycles of inequality. The underrepresentation of women in politics, for instance, not only denies them a voice in governance but also results in policies that inadequately reflect the needs of half of the population</w:t>
      </w:r>
      <w:r w:rsidR="001517B3" w:rsidRPr="0070281F">
        <w:rPr>
          <w:rFonts w:ascii="Arial" w:hAnsi="Arial" w:cs="Arial"/>
          <w:sz w:val="20"/>
          <w:szCs w:val="20"/>
        </w:rPr>
        <w:t xml:space="preserve"> (Nwogu &amp; Okonkwo, 2023).</w:t>
      </w:r>
      <w:r w:rsidRPr="0070281F">
        <w:rPr>
          <w:rFonts w:ascii="Arial" w:hAnsi="Arial" w:cs="Arial"/>
          <w:sz w:val="20"/>
          <w:szCs w:val="20"/>
        </w:rPr>
        <w:t xml:space="preserve"> </w:t>
      </w:r>
    </w:p>
    <w:p w14:paraId="31BEC63A" w14:textId="62CEB7D1" w:rsidR="006B709F" w:rsidRDefault="0056150A" w:rsidP="001835FD">
      <w:pPr>
        <w:pStyle w:val="NoSpacing"/>
        <w:spacing w:after="240" w:line="360" w:lineRule="auto"/>
        <w:jc w:val="both"/>
        <w:rPr>
          <w:rFonts w:ascii="Arial" w:hAnsi="Arial" w:cs="Arial"/>
          <w:sz w:val="20"/>
          <w:szCs w:val="20"/>
        </w:rPr>
      </w:pPr>
      <w:r w:rsidRPr="0056150A">
        <w:rPr>
          <w:rFonts w:ascii="Arial" w:hAnsi="Arial" w:cs="Arial"/>
          <w:sz w:val="20"/>
          <w:szCs w:val="20"/>
        </w:rPr>
        <w:t>Against this backdrop, the study poses two central questions: (1) Is there a connection between gender equality and Nigeria’s progress toward the SDGs? (2) Which dimensions of inequality</w:t>
      </w:r>
      <w:r w:rsidR="00875CBF">
        <w:rPr>
          <w:rFonts w:ascii="Arial" w:hAnsi="Arial" w:cs="Arial"/>
          <w:sz w:val="20"/>
          <w:szCs w:val="20"/>
        </w:rPr>
        <w:t xml:space="preserve"> (</w:t>
      </w:r>
      <w:r w:rsidRPr="0056150A">
        <w:rPr>
          <w:rFonts w:ascii="Arial" w:hAnsi="Arial" w:cs="Arial"/>
          <w:sz w:val="20"/>
          <w:szCs w:val="20"/>
        </w:rPr>
        <w:t>education, health, the economy, or politic</w:t>
      </w:r>
      <w:r w:rsidR="00430311">
        <w:rPr>
          <w:rFonts w:ascii="Arial" w:hAnsi="Arial" w:cs="Arial"/>
          <w:sz w:val="20"/>
          <w:szCs w:val="20"/>
        </w:rPr>
        <w:t>s) pose the</w:t>
      </w:r>
      <w:r w:rsidRPr="0056150A">
        <w:rPr>
          <w:rFonts w:ascii="Arial" w:hAnsi="Arial" w:cs="Arial"/>
          <w:sz w:val="20"/>
          <w:szCs w:val="20"/>
        </w:rPr>
        <w:t xml:space="preserve"> greatest obstacles to their realization? To address these questions, the study frames gender equality not merely as a moral concern but as a strategic requirement for achieving the SDGs.</w:t>
      </w:r>
      <w:r>
        <w:rPr>
          <w:rFonts w:ascii="Arial" w:hAnsi="Arial" w:cs="Arial"/>
          <w:sz w:val="20"/>
          <w:szCs w:val="20"/>
        </w:rPr>
        <w:t xml:space="preserve"> </w:t>
      </w:r>
      <w:r w:rsidR="004A4CA0">
        <w:rPr>
          <w:rFonts w:ascii="Arial" w:hAnsi="Arial" w:cs="Arial"/>
          <w:sz w:val="20"/>
          <w:szCs w:val="20"/>
        </w:rPr>
        <w:t>This remains the thrust of this paper, guided by the assumption</w:t>
      </w:r>
      <w:r w:rsidR="006F7389" w:rsidRPr="0070281F">
        <w:rPr>
          <w:rFonts w:ascii="Arial" w:hAnsi="Arial" w:cs="Arial"/>
          <w:sz w:val="20"/>
          <w:szCs w:val="20"/>
        </w:rPr>
        <w:t xml:space="preserve"> that gender equality functions as a catalytic driver</w:t>
      </w:r>
      <w:r w:rsidR="00B13B14" w:rsidRPr="0070281F">
        <w:rPr>
          <w:rFonts w:ascii="Arial" w:hAnsi="Arial" w:cs="Arial"/>
          <w:sz w:val="20"/>
          <w:szCs w:val="20"/>
        </w:rPr>
        <w:t xml:space="preserve">; </w:t>
      </w:r>
      <w:r w:rsidR="006F7389" w:rsidRPr="0070281F">
        <w:rPr>
          <w:rFonts w:ascii="Arial" w:hAnsi="Arial" w:cs="Arial"/>
          <w:sz w:val="20"/>
          <w:szCs w:val="20"/>
        </w:rPr>
        <w:t>a condition that accelerates progress across multiple goals when achieved, but stalls national advancement when neglected. In this sense, gender equality is conceptualized as a p</w:t>
      </w:r>
      <w:r w:rsidR="00567709">
        <w:rPr>
          <w:rFonts w:ascii="Arial" w:hAnsi="Arial" w:cs="Arial"/>
          <w:sz w:val="20"/>
          <w:szCs w:val="20"/>
        </w:rPr>
        <w:t>ivotal</w:t>
      </w:r>
      <w:r w:rsidR="006F7389" w:rsidRPr="0070281F">
        <w:rPr>
          <w:rFonts w:ascii="Arial" w:hAnsi="Arial" w:cs="Arial"/>
          <w:sz w:val="20"/>
          <w:szCs w:val="20"/>
        </w:rPr>
        <w:t xml:space="preserve"> goal, a decisive factor whose influence extends beyond social justice to the economic, political, and environmental pillars of development. </w:t>
      </w:r>
      <w:r w:rsidR="006B709F" w:rsidRPr="0070281F">
        <w:rPr>
          <w:rFonts w:ascii="Arial" w:hAnsi="Arial" w:cs="Arial"/>
          <w:sz w:val="20"/>
          <w:szCs w:val="20"/>
        </w:rPr>
        <w:t>T</w:t>
      </w:r>
      <w:r w:rsidR="006F7389" w:rsidRPr="0070281F">
        <w:rPr>
          <w:rFonts w:ascii="Arial" w:hAnsi="Arial" w:cs="Arial"/>
          <w:sz w:val="20"/>
          <w:szCs w:val="20"/>
        </w:rPr>
        <w:t>h</w:t>
      </w:r>
      <w:r w:rsidR="006B709F" w:rsidRPr="0070281F">
        <w:rPr>
          <w:rFonts w:ascii="Arial" w:hAnsi="Arial" w:cs="Arial"/>
          <w:sz w:val="20"/>
          <w:szCs w:val="20"/>
        </w:rPr>
        <w:t>is</w:t>
      </w:r>
      <w:r w:rsidR="006F7389" w:rsidRPr="0070281F">
        <w:rPr>
          <w:rFonts w:ascii="Arial" w:hAnsi="Arial" w:cs="Arial"/>
          <w:sz w:val="20"/>
          <w:szCs w:val="20"/>
        </w:rPr>
        <w:t xml:space="preserve"> study underscores the urgency of mainstreaming gender perspectives into Nigeria’s development agenda and makes the case that without accelerated progress in this area, the broader 2030 Agenda will remain out of reach.</w:t>
      </w:r>
    </w:p>
    <w:p w14:paraId="6983FB6D" w14:textId="77777777" w:rsidR="00567709" w:rsidRPr="0070281F" w:rsidRDefault="00567709" w:rsidP="001835FD">
      <w:pPr>
        <w:pStyle w:val="NoSpacing"/>
        <w:spacing w:after="240" w:line="360" w:lineRule="auto"/>
        <w:jc w:val="both"/>
        <w:rPr>
          <w:rFonts w:ascii="Arial" w:hAnsi="Arial" w:cs="Arial"/>
          <w:sz w:val="20"/>
          <w:szCs w:val="20"/>
        </w:rPr>
      </w:pPr>
    </w:p>
    <w:p w14:paraId="72D01C11" w14:textId="615200E9" w:rsidR="002A08BD" w:rsidRDefault="001234B8" w:rsidP="006A5B59">
      <w:pPr>
        <w:pStyle w:val="NoSpacing"/>
        <w:numPr>
          <w:ilvl w:val="0"/>
          <w:numId w:val="5"/>
        </w:numPr>
        <w:rPr>
          <w:rFonts w:ascii="Arial" w:hAnsi="Arial" w:cs="Arial"/>
          <w:b/>
          <w:sz w:val="20"/>
          <w:szCs w:val="20"/>
        </w:rPr>
      </w:pPr>
      <w:r w:rsidRPr="0070281F">
        <w:rPr>
          <w:rFonts w:ascii="Arial" w:hAnsi="Arial" w:cs="Arial"/>
          <w:b/>
          <w:sz w:val="20"/>
          <w:szCs w:val="20"/>
        </w:rPr>
        <w:lastRenderedPageBreak/>
        <w:t>REVIEW OF RELATED LITERATURE</w:t>
      </w:r>
    </w:p>
    <w:p w14:paraId="7E27C69F" w14:textId="2450B312" w:rsidR="00A33AAF" w:rsidRDefault="007F6F5B" w:rsidP="00916B5A">
      <w:pPr>
        <w:pStyle w:val="NoSpacing"/>
        <w:spacing w:line="360" w:lineRule="auto"/>
        <w:jc w:val="both"/>
        <w:rPr>
          <w:rFonts w:ascii="Arial" w:hAnsi="Arial" w:cs="Arial"/>
          <w:bCs/>
          <w:sz w:val="20"/>
          <w:szCs w:val="20"/>
        </w:rPr>
      </w:pPr>
      <w:r w:rsidRPr="007F6F5B">
        <w:rPr>
          <w:rFonts w:ascii="Arial" w:hAnsi="Arial" w:cs="Arial"/>
          <w:bCs/>
          <w:sz w:val="20"/>
          <w:szCs w:val="20"/>
        </w:rPr>
        <w:t>This section would start with a</w:t>
      </w:r>
      <w:r>
        <w:rPr>
          <w:rFonts w:ascii="Arial" w:hAnsi="Arial" w:cs="Arial"/>
          <w:bCs/>
          <w:sz w:val="20"/>
          <w:szCs w:val="20"/>
        </w:rPr>
        <w:t xml:space="preserve"> review of conceptual frameworks</w:t>
      </w:r>
      <w:r w:rsidR="006F6A2E">
        <w:rPr>
          <w:rFonts w:ascii="Arial" w:hAnsi="Arial" w:cs="Arial"/>
          <w:bCs/>
          <w:sz w:val="20"/>
          <w:szCs w:val="20"/>
        </w:rPr>
        <w:t xml:space="preserve"> relating to the study</w:t>
      </w:r>
      <w:r w:rsidR="00421411">
        <w:rPr>
          <w:rFonts w:ascii="Arial" w:hAnsi="Arial" w:cs="Arial"/>
          <w:bCs/>
          <w:sz w:val="20"/>
          <w:szCs w:val="20"/>
        </w:rPr>
        <w:t xml:space="preserve"> and then it would go on to empirically review </w:t>
      </w:r>
      <w:r w:rsidR="00916B5A" w:rsidRPr="00916B5A">
        <w:rPr>
          <w:rFonts w:ascii="Arial" w:hAnsi="Arial" w:cs="Arial"/>
          <w:bCs/>
          <w:sz w:val="20"/>
          <w:szCs w:val="20"/>
        </w:rPr>
        <w:t>existing studies on gender equality and SDGs</w:t>
      </w:r>
      <w:r w:rsidR="00916B5A">
        <w:rPr>
          <w:rFonts w:ascii="Arial" w:hAnsi="Arial" w:cs="Arial"/>
          <w:bCs/>
          <w:sz w:val="20"/>
          <w:szCs w:val="20"/>
        </w:rPr>
        <w:t>.</w:t>
      </w:r>
    </w:p>
    <w:p w14:paraId="2E3AF360" w14:textId="2F09B404" w:rsidR="00BB61BB" w:rsidRPr="00BB61BB" w:rsidRDefault="00BB61BB" w:rsidP="00BB61BB">
      <w:pPr>
        <w:pStyle w:val="NoSpacing"/>
        <w:numPr>
          <w:ilvl w:val="0"/>
          <w:numId w:val="12"/>
        </w:numPr>
        <w:spacing w:line="360" w:lineRule="auto"/>
        <w:jc w:val="both"/>
        <w:rPr>
          <w:rFonts w:ascii="Arial" w:hAnsi="Arial" w:cs="Arial"/>
          <w:b/>
          <w:sz w:val="20"/>
          <w:szCs w:val="20"/>
        </w:rPr>
      </w:pPr>
      <w:r w:rsidRPr="00BB61BB">
        <w:rPr>
          <w:rFonts w:ascii="Arial" w:hAnsi="Arial" w:cs="Arial"/>
          <w:b/>
          <w:sz w:val="20"/>
          <w:szCs w:val="20"/>
        </w:rPr>
        <w:t>Conceptual Review:</w:t>
      </w:r>
    </w:p>
    <w:p w14:paraId="40B816D3" w14:textId="77777777" w:rsidR="006A5B59" w:rsidRPr="0070281F" w:rsidRDefault="00381445" w:rsidP="00310946">
      <w:pPr>
        <w:pStyle w:val="NoSpacing"/>
        <w:numPr>
          <w:ilvl w:val="0"/>
          <w:numId w:val="6"/>
        </w:numPr>
        <w:spacing w:line="360" w:lineRule="auto"/>
        <w:jc w:val="both"/>
        <w:rPr>
          <w:rFonts w:ascii="Arial" w:hAnsi="Arial" w:cs="Arial"/>
          <w:sz w:val="20"/>
          <w:szCs w:val="20"/>
        </w:rPr>
      </w:pPr>
      <w:r w:rsidRPr="0070281F">
        <w:rPr>
          <w:rFonts w:ascii="Arial" w:hAnsi="Arial" w:cs="Arial"/>
          <w:b/>
          <w:bCs/>
          <w:i/>
          <w:sz w:val="20"/>
          <w:szCs w:val="20"/>
        </w:rPr>
        <w:t>Gender</w:t>
      </w:r>
      <w:r w:rsidRPr="0070281F">
        <w:rPr>
          <w:rFonts w:ascii="Arial" w:hAnsi="Arial" w:cs="Arial"/>
          <w:i/>
          <w:sz w:val="20"/>
          <w:szCs w:val="20"/>
        </w:rPr>
        <w:t>:</w:t>
      </w:r>
      <w:r w:rsidRPr="0070281F">
        <w:rPr>
          <w:rFonts w:ascii="Arial" w:hAnsi="Arial" w:cs="Arial"/>
          <w:sz w:val="20"/>
          <w:szCs w:val="20"/>
        </w:rPr>
        <w:t xml:space="preserve"> </w:t>
      </w:r>
    </w:p>
    <w:p w14:paraId="72D01C14" w14:textId="1A0F3759" w:rsidR="002A08BD" w:rsidRPr="0070281F" w:rsidRDefault="00F14934" w:rsidP="006A5B59">
      <w:pPr>
        <w:pStyle w:val="NoSpacing"/>
        <w:spacing w:line="360" w:lineRule="auto"/>
        <w:jc w:val="both"/>
        <w:rPr>
          <w:rFonts w:ascii="Arial" w:hAnsi="Arial" w:cs="Arial"/>
          <w:sz w:val="20"/>
          <w:szCs w:val="20"/>
        </w:rPr>
      </w:pPr>
      <w:r w:rsidRPr="0070281F">
        <w:rPr>
          <w:rFonts w:ascii="Arial" w:hAnsi="Arial" w:cs="Arial"/>
          <w:sz w:val="20"/>
          <w:szCs w:val="20"/>
        </w:rPr>
        <w:t>The term gender extends beyond the biological distinctions of male and female; it encompasses the socially and culturally constructed roles, behaviours, responsibilities, and expectations assigned to men and women within a given society. While sex is biologically determined, gender reflects how societies organize differences, shaping opportunities and limitations in political, economic, and social spheres (Butler, 1990; World Bank, 1995). Historically, the word “gender”</w:t>
      </w:r>
      <w:r w:rsidR="00BE4D23">
        <w:rPr>
          <w:rFonts w:ascii="Arial" w:hAnsi="Arial" w:cs="Arial"/>
          <w:sz w:val="20"/>
          <w:szCs w:val="20"/>
        </w:rPr>
        <w:t xml:space="preserve">, according to Scott (1986), </w:t>
      </w:r>
      <w:r w:rsidRPr="0070281F">
        <w:rPr>
          <w:rFonts w:ascii="Arial" w:hAnsi="Arial" w:cs="Arial"/>
          <w:sz w:val="20"/>
          <w:szCs w:val="20"/>
        </w:rPr>
        <w:t>derived from the Latin genus, meaning “kind” or “type,” and was initially used in grammar to classify nouns as masculine, feminine, or neuter. Over time, its application broadened, particularly within feminist scholarship, to highlight the ways in which inequalities are embedded in cultural practices, traditions,</w:t>
      </w:r>
      <w:r w:rsidR="00BE4D23">
        <w:rPr>
          <w:rFonts w:ascii="Arial" w:hAnsi="Arial" w:cs="Arial"/>
          <w:sz w:val="20"/>
          <w:szCs w:val="20"/>
        </w:rPr>
        <w:t xml:space="preserve"> and institutions.</w:t>
      </w:r>
    </w:p>
    <w:p w14:paraId="358E4094" w14:textId="77777777" w:rsidR="006A5B59" w:rsidRPr="0070281F" w:rsidRDefault="002A08BD" w:rsidP="001F4611">
      <w:pPr>
        <w:pStyle w:val="NoSpacing"/>
        <w:numPr>
          <w:ilvl w:val="0"/>
          <w:numId w:val="6"/>
        </w:numPr>
        <w:spacing w:line="360" w:lineRule="auto"/>
        <w:jc w:val="both"/>
        <w:rPr>
          <w:rFonts w:ascii="Arial" w:eastAsia="Times New Roman" w:hAnsi="Arial" w:cs="Arial"/>
          <w:bCs/>
          <w:sz w:val="20"/>
          <w:szCs w:val="20"/>
          <w:lang w:eastAsia="en-GB"/>
        </w:rPr>
      </w:pPr>
      <w:r w:rsidRPr="0070281F">
        <w:rPr>
          <w:rFonts w:ascii="Arial" w:eastAsia="Times New Roman" w:hAnsi="Arial" w:cs="Arial"/>
          <w:b/>
          <w:i/>
          <w:sz w:val="20"/>
          <w:szCs w:val="20"/>
          <w:lang w:eastAsia="en-GB"/>
        </w:rPr>
        <w:t>Gender E</w:t>
      </w:r>
      <w:r w:rsidR="0059204F" w:rsidRPr="0070281F">
        <w:rPr>
          <w:rFonts w:ascii="Arial" w:eastAsia="Times New Roman" w:hAnsi="Arial" w:cs="Arial"/>
          <w:b/>
          <w:i/>
          <w:sz w:val="20"/>
          <w:szCs w:val="20"/>
          <w:lang w:eastAsia="en-GB"/>
        </w:rPr>
        <w:t>quality</w:t>
      </w:r>
      <w:r w:rsidRPr="0070281F">
        <w:rPr>
          <w:rFonts w:ascii="Arial" w:eastAsia="Times New Roman" w:hAnsi="Arial" w:cs="Arial"/>
          <w:b/>
          <w:i/>
          <w:sz w:val="20"/>
          <w:szCs w:val="20"/>
          <w:lang w:eastAsia="en-GB"/>
        </w:rPr>
        <w:t>:</w:t>
      </w:r>
      <w:r w:rsidRPr="0070281F">
        <w:rPr>
          <w:rFonts w:ascii="Arial" w:eastAsia="Times New Roman" w:hAnsi="Arial" w:cs="Arial"/>
          <w:bCs/>
          <w:sz w:val="20"/>
          <w:szCs w:val="20"/>
          <w:lang w:eastAsia="en-GB"/>
        </w:rPr>
        <w:t xml:space="preserve"> </w:t>
      </w:r>
    </w:p>
    <w:p w14:paraId="325D6719" w14:textId="77777777" w:rsidR="00937A12" w:rsidRDefault="00BE4D23" w:rsidP="00937A12">
      <w:pPr>
        <w:pStyle w:val="NoSpacing"/>
        <w:spacing w:after="240" w:line="360" w:lineRule="auto"/>
        <w:jc w:val="both"/>
        <w:rPr>
          <w:rFonts w:ascii="Arial" w:eastAsia="Times New Roman" w:hAnsi="Arial" w:cs="Arial"/>
          <w:bCs/>
          <w:sz w:val="20"/>
          <w:szCs w:val="20"/>
          <w:lang w:eastAsia="en-GB"/>
        </w:rPr>
      </w:pPr>
      <w:r>
        <w:rPr>
          <w:rFonts w:ascii="Arial" w:eastAsia="Times New Roman" w:hAnsi="Arial" w:cs="Arial"/>
          <w:bCs/>
          <w:sz w:val="20"/>
          <w:szCs w:val="20"/>
          <w:lang w:eastAsia="en-GB"/>
        </w:rPr>
        <w:t>Ono and Endo (2024) define g</w:t>
      </w:r>
      <w:r w:rsidR="001F4611" w:rsidRPr="0070281F">
        <w:rPr>
          <w:rFonts w:ascii="Arial" w:eastAsia="Times New Roman" w:hAnsi="Arial" w:cs="Arial"/>
          <w:bCs/>
          <w:sz w:val="20"/>
          <w:szCs w:val="20"/>
          <w:lang w:eastAsia="en-GB"/>
        </w:rPr>
        <w:t>ender equality refers to a condition in which individuals of all genders enjoy equal rights, responsibilities, and opportunities across all aspects of life</w:t>
      </w:r>
      <w:r w:rsidR="009D4314" w:rsidRPr="0070281F">
        <w:rPr>
          <w:rFonts w:ascii="Arial" w:eastAsia="Times New Roman" w:hAnsi="Arial" w:cs="Arial"/>
          <w:bCs/>
          <w:sz w:val="20"/>
          <w:szCs w:val="20"/>
          <w:lang w:eastAsia="en-GB"/>
        </w:rPr>
        <w:t xml:space="preserve"> </w:t>
      </w:r>
      <w:r w:rsidR="001F4611" w:rsidRPr="0070281F">
        <w:rPr>
          <w:rFonts w:ascii="Arial" w:eastAsia="Times New Roman" w:hAnsi="Arial" w:cs="Arial"/>
          <w:bCs/>
          <w:sz w:val="20"/>
          <w:szCs w:val="20"/>
          <w:lang w:eastAsia="en-GB"/>
        </w:rPr>
        <w:t xml:space="preserve">education, employment, healthcare, politics, and family life. According to the United Nations (2015), gender equality “is not only a fundamental human right but a necessary foundation for a peaceful, prosperous, and sustainable world.” The importance of gender equality lies not only in its ethical and legal dimensions but also in its instrumental value for development. Research </w:t>
      </w:r>
      <w:r>
        <w:rPr>
          <w:rFonts w:ascii="Arial" w:eastAsia="Times New Roman" w:hAnsi="Arial" w:cs="Arial"/>
          <w:bCs/>
          <w:sz w:val="20"/>
          <w:szCs w:val="20"/>
          <w:lang w:eastAsia="en-GB"/>
        </w:rPr>
        <w:t>carried out by World Economic Forum</w:t>
      </w:r>
      <w:r w:rsidRPr="0070281F">
        <w:rPr>
          <w:rFonts w:ascii="Arial" w:eastAsia="Times New Roman" w:hAnsi="Arial" w:cs="Arial"/>
          <w:bCs/>
          <w:sz w:val="20"/>
          <w:szCs w:val="20"/>
          <w:lang w:eastAsia="en-GB"/>
        </w:rPr>
        <w:t xml:space="preserve"> </w:t>
      </w:r>
      <w:r>
        <w:rPr>
          <w:rFonts w:ascii="Arial" w:eastAsia="Times New Roman" w:hAnsi="Arial" w:cs="Arial"/>
          <w:bCs/>
          <w:sz w:val="20"/>
          <w:szCs w:val="20"/>
          <w:lang w:eastAsia="en-GB"/>
        </w:rPr>
        <w:t>(</w:t>
      </w:r>
      <w:r w:rsidRPr="0070281F">
        <w:rPr>
          <w:rFonts w:ascii="Arial" w:eastAsia="Times New Roman" w:hAnsi="Arial" w:cs="Arial"/>
          <w:bCs/>
          <w:sz w:val="20"/>
          <w:szCs w:val="20"/>
          <w:lang w:eastAsia="en-GB"/>
        </w:rPr>
        <w:t>2023)</w:t>
      </w:r>
      <w:r>
        <w:rPr>
          <w:rFonts w:ascii="Arial" w:eastAsia="Times New Roman" w:hAnsi="Arial" w:cs="Arial"/>
          <w:bCs/>
          <w:sz w:val="20"/>
          <w:szCs w:val="20"/>
          <w:lang w:eastAsia="en-GB"/>
        </w:rPr>
        <w:t xml:space="preserve"> </w:t>
      </w:r>
      <w:r w:rsidR="001F4611" w:rsidRPr="0070281F">
        <w:rPr>
          <w:rFonts w:ascii="Arial" w:eastAsia="Times New Roman" w:hAnsi="Arial" w:cs="Arial"/>
          <w:bCs/>
          <w:sz w:val="20"/>
          <w:szCs w:val="20"/>
          <w:lang w:eastAsia="en-GB"/>
        </w:rPr>
        <w:t>demonstrates that societies which promote equality experience stronger economic growth, lower poverty rates, and better governance outcomes</w:t>
      </w:r>
      <w:r>
        <w:rPr>
          <w:rFonts w:ascii="Arial" w:eastAsia="Times New Roman" w:hAnsi="Arial" w:cs="Arial"/>
          <w:bCs/>
          <w:sz w:val="20"/>
          <w:szCs w:val="20"/>
          <w:lang w:eastAsia="en-GB"/>
        </w:rPr>
        <w:t xml:space="preserve">. Additionally, </w:t>
      </w:r>
      <w:r w:rsidR="001F4611" w:rsidRPr="0070281F">
        <w:rPr>
          <w:rFonts w:ascii="Arial" w:eastAsia="Times New Roman" w:hAnsi="Arial" w:cs="Arial"/>
          <w:bCs/>
          <w:sz w:val="20"/>
          <w:szCs w:val="20"/>
          <w:lang w:eastAsia="en-GB"/>
        </w:rPr>
        <w:t xml:space="preserve">McKinsey Global Institute (2015) estimated that narrowing gender gaps in </w:t>
      </w:r>
      <w:r w:rsidR="006F4C0F" w:rsidRPr="0070281F">
        <w:rPr>
          <w:rFonts w:ascii="Arial" w:eastAsia="Times New Roman" w:hAnsi="Arial" w:cs="Arial"/>
          <w:bCs/>
          <w:sz w:val="20"/>
          <w:szCs w:val="20"/>
          <w:lang w:eastAsia="en-GB"/>
        </w:rPr>
        <w:t>labour</w:t>
      </w:r>
      <w:r w:rsidR="001F4611" w:rsidRPr="0070281F">
        <w:rPr>
          <w:rFonts w:ascii="Arial" w:eastAsia="Times New Roman" w:hAnsi="Arial" w:cs="Arial"/>
          <w:bCs/>
          <w:sz w:val="20"/>
          <w:szCs w:val="20"/>
          <w:lang w:eastAsia="en-GB"/>
        </w:rPr>
        <w:t xml:space="preserve"> participation could add $12 trillion to global GDP by 2025. </w:t>
      </w:r>
    </w:p>
    <w:p w14:paraId="63FADCFC" w14:textId="7C3257C0" w:rsidR="004C00EC" w:rsidRPr="0070281F" w:rsidRDefault="00D73D2A" w:rsidP="00937A12">
      <w:pPr>
        <w:pStyle w:val="NoSpacing"/>
        <w:spacing w:after="240" w:line="360" w:lineRule="auto"/>
        <w:jc w:val="both"/>
        <w:rPr>
          <w:rFonts w:ascii="Arial" w:eastAsia="Times New Roman" w:hAnsi="Arial" w:cs="Arial"/>
          <w:bCs/>
          <w:sz w:val="20"/>
          <w:szCs w:val="20"/>
          <w:lang w:eastAsia="en-GB"/>
        </w:rPr>
      </w:pPr>
      <w:r w:rsidRPr="0070281F">
        <w:rPr>
          <w:rFonts w:ascii="Arial" w:eastAsia="Times New Roman" w:hAnsi="Arial" w:cs="Arial"/>
          <w:bCs/>
          <w:sz w:val="20"/>
          <w:szCs w:val="20"/>
          <w:lang w:eastAsia="en-GB"/>
        </w:rPr>
        <w:t>In contrast, gender inequality</w:t>
      </w:r>
      <w:r w:rsidR="008E014A">
        <w:rPr>
          <w:rFonts w:ascii="Arial" w:eastAsia="Times New Roman" w:hAnsi="Arial" w:cs="Arial"/>
          <w:bCs/>
          <w:sz w:val="20"/>
          <w:szCs w:val="20"/>
          <w:lang w:eastAsia="en-GB"/>
        </w:rPr>
        <w:t xml:space="preserve">, in the words of </w:t>
      </w:r>
      <w:r w:rsidR="008E014A">
        <w:rPr>
          <w:rFonts w:ascii="Arial" w:hAnsi="Arial" w:cs="Arial"/>
          <w:sz w:val="20"/>
          <w:szCs w:val="20"/>
        </w:rPr>
        <w:t>Ude (2008),</w:t>
      </w:r>
      <w:r w:rsidRPr="0070281F">
        <w:rPr>
          <w:rFonts w:ascii="Arial" w:eastAsia="Times New Roman" w:hAnsi="Arial" w:cs="Arial"/>
          <w:bCs/>
          <w:sz w:val="20"/>
          <w:szCs w:val="20"/>
          <w:lang w:eastAsia="en-GB"/>
        </w:rPr>
        <w:t xml:space="preserve"> refers to the systemic differences in treatment, opportunities, and outcomes for men and women. These inequalities manifest in multiple dimensions: educational attainment, </w:t>
      </w:r>
      <w:r w:rsidR="006F4C0F" w:rsidRPr="0070281F">
        <w:rPr>
          <w:rFonts w:ascii="Arial" w:eastAsia="Times New Roman" w:hAnsi="Arial" w:cs="Arial"/>
          <w:bCs/>
          <w:sz w:val="20"/>
          <w:szCs w:val="20"/>
          <w:lang w:eastAsia="en-GB"/>
        </w:rPr>
        <w:t>labour</w:t>
      </w:r>
      <w:r w:rsidRPr="0070281F">
        <w:rPr>
          <w:rFonts w:ascii="Arial" w:eastAsia="Times New Roman" w:hAnsi="Arial" w:cs="Arial"/>
          <w:bCs/>
          <w:sz w:val="20"/>
          <w:szCs w:val="20"/>
          <w:lang w:eastAsia="en-GB"/>
        </w:rPr>
        <w:t xml:space="preserve"> market participation, political representation, healthcare access, and exposure to violence.</w:t>
      </w:r>
      <w:r w:rsidR="009428FB" w:rsidRPr="0070281F">
        <w:rPr>
          <w:rFonts w:ascii="Arial" w:eastAsia="Times New Roman" w:hAnsi="Arial" w:cs="Arial"/>
          <w:bCs/>
          <w:sz w:val="20"/>
          <w:szCs w:val="20"/>
          <w:lang w:eastAsia="en-GB"/>
        </w:rPr>
        <w:t xml:space="preserve"> </w:t>
      </w:r>
      <w:r w:rsidRPr="0070281F">
        <w:rPr>
          <w:rFonts w:ascii="Arial" w:eastAsia="Times New Roman" w:hAnsi="Arial" w:cs="Arial"/>
          <w:bCs/>
          <w:sz w:val="20"/>
          <w:szCs w:val="20"/>
          <w:lang w:eastAsia="en-GB"/>
        </w:rPr>
        <w:t>Globally, gender inequality persists despite decades of advocacy. According to the World Economic Forum’s Global Gender Gap Report (2023), the world has closed only 68.4% of its gender gap, with political empowerment and economic participation remaining the most unequal areas. Sub-Saharan Africa reflects mixed progress: while some countries like Rwanda have achieved near-parity in parliamentary representation, others, including Nigeria, lag significantly behind.</w:t>
      </w:r>
      <w:r w:rsidR="005B791F" w:rsidRPr="0070281F">
        <w:rPr>
          <w:rFonts w:ascii="Arial" w:eastAsia="Times New Roman" w:hAnsi="Arial" w:cs="Arial"/>
          <w:bCs/>
          <w:sz w:val="20"/>
          <w:szCs w:val="20"/>
          <w:lang w:eastAsia="en-GB"/>
        </w:rPr>
        <w:t xml:space="preserve"> </w:t>
      </w:r>
    </w:p>
    <w:p w14:paraId="40C89062" w14:textId="10994BBA" w:rsidR="009D4314" w:rsidRPr="0070281F" w:rsidRDefault="00AD6785" w:rsidP="004C00EC">
      <w:pPr>
        <w:pStyle w:val="NoSpacing"/>
        <w:numPr>
          <w:ilvl w:val="0"/>
          <w:numId w:val="6"/>
        </w:numPr>
        <w:spacing w:line="360" w:lineRule="auto"/>
        <w:jc w:val="both"/>
        <w:rPr>
          <w:rFonts w:ascii="Arial" w:eastAsia="Times New Roman" w:hAnsi="Arial" w:cs="Arial"/>
          <w:bCs/>
          <w:sz w:val="20"/>
          <w:szCs w:val="20"/>
          <w:lang w:eastAsia="en-GB"/>
        </w:rPr>
      </w:pPr>
      <w:r w:rsidRPr="0070281F">
        <w:rPr>
          <w:rFonts w:ascii="Arial" w:hAnsi="Arial" w:cs="Arial"/>
          <w:b/>
          <w:i/>
          <w:iCs/>
          <w:sz w:val="20"/>
          <w:szCs w:val="20"/>
        </w:rPr>
        <w:t>Gender Equality in Nigeria: Experiences and Persistent Barriers</w:t>
      </w:r>
      <w:r w:rsidR="009D4314" w:rsidRPr="0070281F">
        <w:rPr>
          <w:rFonts w:ascii="Arial" w:eastAsia="Times New Roman" w:hAnsi="Arial" w:cs="Arial"/>
          <w:i/>
          <w:iCs/>
          <w:sz w:val="20"/>
          <w:szCs w:val="20"/>
          <w:lang w:eastAsia="en-GB"/>
        </w:rPr>
        <w:t>:</w:t>
      </w:r>
    </w:p>
    <w:p w14:paraId="58C0C7A3" w14:textId="337DE374" w:rsidR="004C00EC" w:rsidRPr="0070281F" w:rsidRDefault="00897CDD" w:rsidP="004C00EC">
      <w:pPr>
        <w:pStyle w:val="NoSpacing"/>
        <w:spacing w:after="240" w:line="360" w:lineRule="auto"/>
        <w:jc w:val="both"/>
        <w:rPr>
          <w:rFonts w:ascii="Arial" w:hAnsi="Arial" w:cs="Arial"/>
          <w:sz w:val="20"/>
          <w:szCs w:val="20"/>
        </w:rPr>
      </w:pPr>
      <w:r w:rsidRPr="0070281F">
        <w:rPr>
          <w:rFonts w:ascii="Arial" w:hAnsi="Arial" w:cs="Arial"/>
          <w:sz w:val="20"/>
          <w:szCs w:val="20"/>
        </w:rPr>
        <w:t>Nigeria’s journey toward gender equality reflects both significant historical contributions by women and enduring structural inequalities. Historically, Nigerian women were integral to economic and political life, participating in agriculture, trade, and social mobilization. The Aba Women’s Revolt of 1929 remains a landmark in collective resistance against colonial authority (</w:t>
      </w:r>
      <w:proofErr w:type="spellStart"/>
      <w:r w:rsidRPr="0070281F">
        <w:rPr>
          <w:rFonts w:ascii="Arial" w:hAnsi="Arial" w:cs="Arial"/>
          <w:sz w:val="20"/>
          <w:szCs w:val="20"/>
        </w:rPr>
        <w:t>Amadiume</w:t>
      </w:r>
      <w:proofErr w:type="spellEnd"/>
      <w:r w:rsidRPr="0070281F">
        <w:rPr>
          <w:rFonts w:ascii="Arial" w:hAnsi="Arial" w:cs="Arial"/>
          <w:sz w:val="20"/>
          <w:szCs w:val="20"/>
        </w:rPr>
        <w:t xml:space="preserve">, 1997; </w:t>
      </w:r>
      <w:proofErr w:type="spellStart"/>
      <w:r w:rsidRPr="0070281F">
        <w:rPr>
          <w:rFonts w:ascii="Arial" w:hAnsi="Arial" w:cs="Arial"/>
          <w:sz w:val="20"/>
          <w:szCs w:val="20"/>
        </w:rPr>
        <w:t>Okonjo</w:t>
      </w:r>
      <w:proofErr w:type="spellEnd"/>
      <w:r w:rsidRPr="0070281F">
        <w:rPr>
          <w:rFonts w:ascii="Arial" w:hAnsi="Arial" w:cs="Arial"/>
          <w:sz w:val="20"/>
          <w:szCs w:val="20"/>
        </w:rPr>
        <w:t xml:space="preserve">, 1991). </w:t>
      </w:r>
      <w:r w:rsidR="00F853D8" w:rsidRPr="0070281F">
        <w:rPr>
          <w:rFonts w:ascii="Arial" w:hAnsi="Arial" w:cs="Arial"/>
          <w:sz w:val="20"/>
          <w:szCs w:val="20"/>
        </w:rPr>
        <w:t xml:space="preserve">Udegbe, </w:t>
      </w:r>
      <w:r w:rsidR="00F853D8">
        <w:rPr>
          <w:rFonts w:ascii="Arial" w:hAnsi="Arial" w:cs="Arial"/>
          <w:sz w:val="20"/>
          <w:szCs w:val="20"/>
        </w:rPr>
        <w:t>(2004</w:t>
      </w:r>
      <w:r w:rsidR="00AB6638">
        <w:rPr>
          <w:rFonts w:ascii="Arial" w:hAnsi="Arial" w:cs="Arial"/>
          <w:sz w:val="20"/>
          <w:szCs w:val="20"/>
        </w:rPr>
        <w:t>a</w:t>
      </w:r>
      <w:r w:rsidR="00F853D8">
        <w:rPr>
          <w:rFonts w:ascii="Arial" w:hAnsi="Arial" w:cs="Arial"/>
          <w:sz w:val="20"/>
          <w:szCs w:val="20"/>
        </w:rPr>
        <w:t>) argued that d</w:t>
      </w:r>
      <w:r w:rsidRPr="0070281F">
        <w:rPr>
          <w:rFonts w:ascii="Arial" w:hAnsi="Arial" w:cs="Arial"/>
          <w:sz w:val="20"/>
          <w:szCs w:val="20"/>
        </w:rPr>
        <w:t xml:space="preserve">espite these early roles, colonial and postcolonial governance systems </w:t>
      </w:r>
      <w:r w:rsidRPr="0070281F">
        <w:rPr>
          <w:rFonts w:ascii="Arial" w:hAnsi="Arial" w:cs="Arial"/>
          <w:sz w:val="20"/>
          <w:szCs w:val="20"/>
        </w:rPr>
        <w:lastRenderedPageBreak/>
        <w:t>institutionalized male dominance, reducing women’s political partic</w:t>
      </w:r>
      <w:r w:rsidR="00F853D8">
        <w:rPr>
          <w:rFonts w:ascii="Arial" w:hAnsi="Arial" w:cs="Arial"/>
          <w:sz w:val="20"/>
          <w:szCs w:val="20"/>
        </w:rPr>
        <w:t xml:space="preserve">ipation and access to resources. </w:t>
      </w:r>
      <w:r w:rsidR="006E34D6" w:rsidRPr="0070281F">
        <w:rPr>
          <w:rFonts w:ascii="Arial" w:hAnsi="Arial" w:cs="Arial"/>
          <w:sz w:val="20"/>
          <w:szCs w:val="20"/>
        </w:rPr>
        <w:t>Post-independence, Nigerian women have produced notable leaders in governance, international organizations, and academia. In recent decades, progress has also been recorded through improved access to education, greater visibility of women in civil society movements, and the adoption of policies designed to promote gender inclusion (UN Women, 202</w:t>
      </w:r>
      <w:r w:rsidR="00E22053">
        <w:rPr>
          <w:rFonts w:ascii="Arial" w:hAnsi="Arial" w:cs="Arial"/>
          <w:sz w:val="20"/>
          <w:szCs w:val="20"/>
        </w:rPr>
        <w:t>0</w:t>
      </w:r>
      <w:r w:rsidR="006E34D6" w:rsidRPr="0070281F">
        <w:rPr>
          <w:rFonts w:ascii="Arial" w:hAnsi="Arial" w:cs="Arial"/>
          <w:sz w:val="20"/>
          <w:szCs w:val="20"/>
        </w:rPr>
        <w:t>).</w:t>
      </w:r>
    </w:p>
    <w:p w14:paraId="128777AE" w14:textId="0DCFE942" w:rsidR="00897CDD" w:rsidRPr="0070281F" w:rsidRDefault="00897CDD" w:rsidP="001C1BCD">
      <w:pPr>
        <w:pStyle w:val="NoSpacing"/>
        <w:spacing w:after="240" w:line="360" w:lineRule="auto"/>
        <w:jc w:val="both"/>
        <w:rPr>
          <w:rFonts w:ascii="Arial" w:hAnsi="Arial" w:cs="Arial"/>
          <w:sz w:val="20"/>
          <w:szCs w:val="20"/>
        </w:rPr>
      </w:pPr>
      <w:r w:rsidRPr="0070281F">
        <w:rPr>
          <w:rFonts w:ascii="Arial" w:hAnsi="Arial" w:cs="Arial"/>
          <w:sz w:val="20"/>
          <w:szCs w:val="20"/>
        </w:rPr>
        <w:t xml:space="preserve">Today, Nigerian women continue to contribute meaningfully across all sectors, yet they remain disproportionately excluded from political leadership, economic opportunities, and access to education and healthcare. Women constitute nearly half of the population (NPC, 2006), yet their representation in parliament and ministerial positions remains among the lowest in Africa, consistently below the 35% affirmative action target (National Gender Policy, 2006; INEC, 2019). In the economic sphere, women dominate the informal sector, where earnings are low and access to credit or land ownership is restricted by customary laws (World Bank, 1995; </w:t>
      </w:r>
      <w:proofErr w:type="spellStart"/>
      <w:r w:rsidRPr="0070281F">
        <w:rPr>
          <w:rFonts w:ascii="Arial" w:hAnsi="Arial" w:cs="Arial"/>
          <w:sz w:val="20"/>
          <w:szCs w:val="20"/>
        </w:rPr>
        <w:t>Oyekanmi</w:t>
      </w:r>
      <w:proofErr w:type="spellEnd"/>
      <w:r w:rsidRPr="0070281F">
        <w:rPr>
          <w:rFonts w:ascii="Arial" w:hAnsi="Arial" w:cs="Arial"/>
          <w:sz w:val="20"/>
          <w:szCs w:val="20"/>
        </w:rPr>
        <w:t>, 2008). These disparities reflect what Sen (1999) describes as a developmental constraint, where excluding half of the population weakens overall productivity and undermines sustainable development.</w:t>
      </w:r>
    </w:p>
    <w:p w14:paraId="1553A685" w14:textId="47F61E52" w:rsidR="00897CDD" w:rsidRPr="0070281F"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t>Several interrelated factors sustain gender inequality in Nigeria:</w:t>
      </w:r>
    </w:p>
    <w:p w14:paraId="45280A2B" w14:textId="586248B4" w:rsidR="00897CDD" w:rsidRPr="0070281F" w:rsidRDefault="00897CDD" w:rsidP="00422676">
      <w:pPr>
        <w:pStyle w:val="NoSpacing"/>
        <w:numPr>
          <w:ilvl w:val="0"/>
          <w:numId w:val="7"/>
        </w:numPr>
        <w:spacing w:line="360" w:lineRule="auto"/>
        <w:jc w:val="both"/>
        <w:rPr>
          <w:rFonts w:ascii="Arial" w:hAnsi="Arial" w:cs="Arial"/>
          <w:b/>
          <w:bCs/>
          <w:sz w:val="20"/>
          <w:szCs w:val="20"/>
        </w:rPr>
      </w:pPr>
      <w:r w:rsidRPr="0070281F">
        <w:rPr>
          <w:rFonts w:ascii="Arial" w:hAnsi="Arial" w:cs="Arial"/>
          <w:b/>
          <w:bCs/>
          <w:sz w:val="20"/>
          <w:szCs w:val="20"/>
        </w:rPr>
        <w:t>Socio-Cultural Factors</w:t>
      </w:r>
    </w:p>
    <w:p w14:paraId="1E7F4BC7" w14:textId="6026974F" w:rsidR="00897CDD" w:rsidRPr="0070281F"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t>Patriarchal traditions construct women as subordinate to men, reinforcing stereotypes of women as passive, submissive, and unfit for leadership (Udegbe, 2004</w:t>
      </w:r>
      <w:r w:rsidR="00AB6638">
        <w:rPr>
          <w:rFonts w:ascii="Arial" w:hAnsi="Arial" w:cs="Arial"/>
          <w:sz w:val="20"/>
          <w:szCs w:val="20"/>
        </w:rPr>
        <w:t>b</w:t>
      </w:r>
      <w:r w:rsidRPr="0070281F">
        <w:rPr>
          <w:rFonts w:ascii="Arial" w:hAnsi="Arial" w:cs="Arial"/>
          <w:sz w:val="20"/>
          <w:szCs w:val="20"/>
        </w:rPr>
        <w:t>). Cultural practices such as early marriage, widowhood rites, disinheritance, and female genital mutilation further limit women’s opportunities and autonomy (</w:t>
      </w:r>
      <w:proofErr w:type="spellStart"/>
      <w:r w:rsidRPr="0070281F">
        <w:rPr>
          <w:rFonts w:ascii="Arial" w:hAnsi="Arial" w:cs="Arial"/>
          <w:sz w:val="20"/>
          <w:szCs w:val="20"/>
        </w:rPr>
        <w:t>Oyekanmi</w:t>
      </w:r>
      <w:proofErr w:type="spellEnd"/>
      <w:r w:rsidRPr="0070281F">
        <w:rPr>
          <w:rFonts w:ascii="Arial" w:hAnsi="Arial" w:cs="Arial"/>
          <w:sz w:val="20"/>
          <w:szCs w:val="20"/>
        </w:rPr>
        <w:t>, 2</w:t>
      </w:r>
      <w:r w:rsidR="00F00CA9" w:rsidRPr="0070281F">
        <w:rPr>
          <w:rFonts w:ascii="Arial" w:hAnsi="Arial" w:cs="Arial"/>
          <w:sz w:val="20"/>
          <w:szCs w:val="20"/>
        </w:rPr>
        <w:t>008</w:t>
      </w:r>
      <w:r w:rsidRPr="0070281F">
        <w:rPr>
          <w:rFonts w:ascii="Arial" w:hAnsi="Arial" w:cs="Arial"/>
          <w:sz w:val="20"/>
          <w:szCs w:val="20"/>
        </w:rPr>
        <w:t>).</w:t>
      </w:r>
    </w:p>
    <w:p w14:paraId="148AC9F1" w14:textId="1C34EF57" w:rsidR="00897CDD" w:rsidRPr="0070281F" w:rsidRDefault="00897CDD" w:rsidP="00422676">
      <w:pPr>
        <w:pStyle w:val="NoSpacing"/>
        <w:numPr>
          <w:ilvl w:val="0"/>
          <w:numId w:val="7"/>
        </w:numPr>
        <w:spacing w:line="360" w:lineRule="auto"/>
        <w:jc w:val="both"/>
        <w:rPr>
          <w:rFonts w:ascii="Arial" w:hAnsi="Arial" w:cs="Arial"/>
          <w:b/>
          <w:bCs/>
          <w:sz w:val="20"/>
          <w:szCs w:val="20"/>
        </w:rPr>
      </w:pPr>
      <w:r w:rsidRPr="0070281F">
        <w:rPr>
          <w:rFonts w:ascii="Arial" w:hAnsi="Arial" w:cs="Arial"/>
          <w:b/>
          <w:bCs/>
          <w:sz w:val="20"/>
          <w:szCs w:val="20"/>
        </w:rPr>
        <w:t>Religious and Regional Dynamics</w:t>
      </w:r>
    </w:p>
    <w:p w14:paraId="4B040701" w14:textId="2104C820" w:rsidR="00897CDD" w:rsidRPr="0070281F"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t>In northern Nigeria, conservative cultural and religious norms perpetuate gender gaps in education, contributing to lower school completion rates for girls (UNICEF, 2021). These inequalities translate into economic and political exclusion, creating cycles of dependency.</w:t>
      </w:r>
    </w:p>
    <w:p w14:paraId="748D9970" w14:textId="0782DBC2" w:rsidR="00897CDD" w:rsidRPr="0070281F" w:rsidRDefault="00897CDD" w:rsidP="00422676">
      <w:pPr>
        <w:pStyle w:val="NoSpacing"/>
        <w:numPr>
          <w:ilvl w:val="0"/>
          <w:numId w:val="7"/>
        </w:numPr>
        <w:spacing w:line="360" w:lineRule="auto"/>
        <w:jc w:val="both"/>
        <w:rPr>
          <w:rFonts w:ascii="Arial" w:hAnsi="Arial" w:cs="Arial"/>
          <w:b/>
          <w:bCs/>
          <w:sz w:val="20"/>
          <w:szCs w:val="20"/>
        </w:rPr>
      </w:pPr>
      <w:r w:rsidRPr="0070281F">
        <w:rPr>
          <w:rFonts w:ascii="Arial" w:hAnsi="Arial" w:cs="Arial"/>
          <w:b/>
          <w:bCs/>
          <w:sz w:val="20"/>
          <w:szCs w:val="20"/>
        </w:rPr>
        <w:t>Economic Barriers</w:t>
      </w:r>
    </w:p>
    <w:p w14:paraId="10CAD3EE" w14:textId="3FA49F92" w:rsidR="00897CDD" w:rsidRPr="0070281F"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t xml:space="preserve">Campaign financing, credit access, and property ownership remain skewed in </w:t>
      </w:r>
      <w:proofErr w:type="spellStart"/>
      <w:r w:rsidRPr="0070281F">
        <w:rPr>
          <w:rFonts w:ascii="Arial" w:hAnsi="Arial" w:cs="Arial"/>
          <w:sz w:val="20"/>
          <w:szCs w:val="20"/>
        </w:rPr>
        <w:t>favor</w:t>
      </w:r>
      <w:proofErr w:type="spellEnd"/>
      <w:r w:rsidRPr="0070281F">
        <w:rPr>
          <w:rFonts w:ascii="Arial" w:hAnsi="Arial" w:cs="Arial"/>
          <w:sz w:val="20"/>
          <w:szCs w:val="20"/>
        </w:rPr>
        <w:t xml:space="preserve"> of men. Women often lack collateral or resources to compete in politics or entrepreneurship, deepening economic marginalization (McKinsey Global Institute, 2015; </w:t>
      </w:r>
      <w:proofErr w:type="spellStart"/>
      <w:r w:rsidRPr="0070281F">
        <w:rPr>
          <w:rFonts w:ascii="Arial" w:hAnsi="Arial" w:cs="Arial"/>
          <w:sz w:val="20"/>
          <w:szCs w:val="20"/>
        </w:rPr>
        <w:t>Oyekanmi</w:t>
      </w:r>
      <w:proofErr w:type="spellEnd"/>
      <w:r w:rsidRPr="0070281F">
        <w:rPr>
          <w:rFonts w:ascii="Arial" w:hAnsi="Arial" w:cs="Arial"/>
          <w:sz w:val="20"/>
          <w:szCs w:val="20"/>
        </w:rPr>
        <w:t>, 2008).</w:t>
      </w:r>
    </w:p>
    <w:p w14:paraId="50311A37" w14:textId="61D8DF0E" w:rsidR="00897CDD" w:rsidRPr="0070281F" w:rsidRDefault="00897CDD" w:rsidP="00422676">
      <w:pPr>
        <w:pStyle w:val="NoSpacing"/>
        <w:numPr>
          <w:ilvl w:val="0"/>
          <w:numId w:val="7"/>
        </w:numPr>
        <w:spacing w:line="360" w:lineRule="auto"/>
        <w:jc w:val="both"/>
        <w:rPr>
          <w:rFonts w:ascii="Arial" w:hAnsi="Arial" w:cs="Arial"/>
          <w:b/>
          <w:bCs/>
          <w:sz w:val="20"/>
          <w:szCs w:val="20"/>
        </w:rPr>
      </w:pPr>
      <w:r w:rsidRPr="0070281F">
        <w:rPr>
          <w:rFonts w:ascii="Arial" w:hAnsi="Arial" w:cs="Arial"/>
          <w:b/>
          <w:bCs/>
          <w:sz w:val="20"/>
          <w:szCs w:val="20"/>
        </w:rPr>
        <w:t>Political Obstacles</w:t>
      </w:r>
    </w:p>
    <w:p w14:paraId="32241643" w14:textId="7065AE3C" w:rsidR="00897CDD" w:rsidRPr="0070281F"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t>Electoral processes in Nigeria are often violent, monetized, and exclusionary. Political parties rarely provide a level playing field for women, and nomination processes remain biased (Ude, 2008; INEC, 2019). Although more women now occupy political offices compared to earlier</w:t>
      </w:r>
      <w:r w:rsidR="00781C48" w:rsidRPr="0070281F">
        <w:rPr>
          <w:rFonts w:ascii="Arial" w:hAnsi="Arial" w:cs="Arial"/>
          <w:sz w:val="20"/>
          <w:szCs w:val="20"/>
        </w:rPr>
        <w:t xml:space="preserve"> </w:t>
      </w:r>
      <w:r w:rsidRPr="0070281F">
        <w:rPr>
          <w:rFonts w:ascii="Arial" w:hAnsi="Arial" w:cs="Arial"/>
          <w:sz w:val="20"/>
          <w:szCs w:val="20"/>
        </w:rPr>
        <w:t>decades, representation remains below global and African averages (Ude, 2008; UN Women, 2022).</w:t>
      </w:r>
    </w:p>
    <w:p w14:paraId="2D76CDE0" w14:textId="584327A5" w:rsidR="00897CDD" w:rsidRPr="0070281F" w:rsidRDefault="00897CDD" w:rsidP="00422676">
      <w:pPr>
        <w:pStyle w:val="NoSpacing"/>
        <w:numPr>
          <w:ilvl w:val="0"/>
          <w:numId w:val="7"/>
        </w:numPr>
        <w:spacing w:line="360" w:lineRule="auto"/>
        <w:jc w:val="both"/>
        <w:rPr>
          <w:rFonts w:ascii="Arial" w:hAnsi="Arial" w:cs="Arial"/>
          <w:b/>
          <w:bCs/>
          <w:sz w:val="20"/>
          <w:szCs w:val="20"/>
        </w:rPr>
      </w:pPr>
      <w:r w:rsidRPr="0070281F">
        <w:rPr>
          <w:rFonts w:ascii="Arial" w:hAnsi="Arial" w:cs="Arial"/>
          <w:b/>
          <w:bCs/>
          <w:sz w:val="20"/>
          <w:szCs w:val="20"/>
        </w:rPr>
        <w:t>Legal and Institutional Weaknesses</w:t>
      </w:r>
    </w:p>
    <w:p w14:paraId="36F0009F" w14:textId="5D915603" w:rsidR="00897CDD" w:rsidRPr="0070281F"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t>Although Nigeria has ratified CEDAW (1985) and enacted frameworks such as the National Gender Policy (2006) and the Violence Against Persons (Prohibition) Act (2015), enforcement is inconsistent (UNIFEM</w:t>
      </w:r>
      <w:r w:rsidR="00FE1AE9">
        <w:rPr>
          <w:rFonts w:ascii="Arial" w:hAnsi="Arial" w:cs="Arial"/>
          <w:sz w:val="20"/>
          <w:szCs w:val="20"/>
        </w:rPr>
        <w:t>, 2005</w:t>
      </w:r>
      <w:r w:rsidRPr="0070281F">
        <w:rPr>
          <w:rFonts w:ascii="Arial" w:hAnsi="Arial" w:cs="Arial"/>
          <w:sz w:val="20"/>
          <w:szCs w:val="20"/>
        </w:rPr>
        <w:t>). Many states have yet to domesticate these laws, and weak institutional capacity undermines their implementation.</w:t>
      </w:r>
    </w:p>
    <w:p w14:paraId="3054AF8D" w14:textId="42375B9C" w:rsidR="00897CDD" w:rsidRPr="0070281F" w:rsidRDefault="00897CDD" w:rsidP="00422676">
      <w:pPr>
        <w:pStyle w:val="NoSpacing"/>
        <w:numPr>
          <w:ilvl w:val="0"/>
          <w:numId w:val="7"/>
        </w:numPr>
        <w:spacing w:line="360" w:lineRule="auto"/>
        <w:jc w:val="both"/>
        <w:rPr>
          <w:rFonts w:ascii="Arial" w:hAnsi="Arial" w:cs="Arial"/>
          <w:b/>
          <w:bCs/>
          <w:sz w:val="20"/>
          <w:szCs w:val="20"/>
        </w:rPr>
      </w:pPr>
      <w:r w:rsidRPr="0070281F">
        <w:rPr>
          <w:rFonts w:ascii="Arial" w:hAnsi="Arial" w:cs="Arial"/>
          <w:b/>
          <w:bCs/>
          <w:sz w:val="20"/>
          <w:szCs w:val="20"/>
        </w:rPr>
        <w:t>Educational Disparities</w:t>
      </w:r>
    </w:p>
    <w:p w14:paraId="07884DF3" w14:textId="2D5DE3EF" w:rsidR="00897CDD" w:rsidRPr="0070281F"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lastRenderedPageBreak/>
        <w:t>Families frequently prioritize boys’ education over girls’, reflecting beliefs that men are the pillars of the family while women will eventually “marry out.” This has left women disproportionately represented among Nigeria’s illiterate population (Lawal, 2006). Illiteracy reduces women’s eligibility for political office and access to formal employment, perpetuating cycles of inequality.</w:t>
      </w:r>
    </w:p>
    <w:p w14:paraId="132314E2" w14:textId="48702C6E" w:rsidR="00897CDD" w:rsidRPr="0070281F" w:rsidRDefault="00897CDD" w:rsidP="00422676">
      <w:pPr>
        <w:pStyle w:val="NoSpacing"/>
        <w:numPr>
          <w:ilvl w:val="0"/>
          <w:numId w:val="7"/>
        </w:numPr>
        <w:spacing w:line="360" w:lineRule="auto"/>
        <w:jc w:val="both"/>
        <w:rPr>
          <w:rFonts w:ascii="Arial" w:hAnsi="Arial" w:cs="Arial"/>
          <w:b/>
          <w:bCs/>
          <w:sz w:val="20"/>
          <w:szCs w:val="20"/>
        </w:rPr>
      </w:pPr>
      <w:r w:rsidRPr="0070281F">
        <w:rPr>
          <w:rFonts w:ascii="Arial" w:hAnsi="Arial" w:cs="Arial"/>
          <w:b/>
          <w:bCs/>
          <w:sz w:val="20"/>
          <w:szCs w:val="20"/>
        </w:rPr>
        <w:t>Gender-Based Violence</w:t>
      </w:r>
    </w:p>
    <w:p w14:paraId="3E4C9025" w14:textId="4FF884D5" w:rsidR="00897CDD" w:rsidRPr="0070281F"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t>Women experience high levels of domestic violence, sexual harassment, and harmful practices, consistent with UNDP’s (1995) observation that violence stalks women “from cradle to grave.” Such violence not only undermines human rights but also discourages women’s full participatio</w:t>
      </w:r>
      <w:r w:rsidR="00F853D8">
        <w:rPr>
          <w:rFonts w:ascii="Arial" w:hAnsi="Arial" w:cs="Arial"/>
          <w:sz w:val="20"/>
          <w:szCs w:val="20"/>
        </w:rPr>
        <w:t>n in society (NPC &amp; ICF, 2019).</w:t>
      </w:r>
    </w:p>
    <w:p w14:paraId="3F7F31CF" w14:textId="77777777" w:rsidR="007860B5" w:rsidRDefault="007860B5" w:rsidP="00897CDD">
      <w:pPr>
        <w:pStyle w:val="NoSpacing"/>
        <w:spacing w:line="360" w:lineRule="auto"/>
        <w:jc w:val="both"/>
        <w:rPr>
          <w:rFonts w:ascii="Arial" w:hAnsi="Arial" w:cs="Arial"/>
          <w:sz w:val="20"/>
          <w:szCs w:val="20"/>
        </w:rPr>
      </w:pPr>
    </w:p>
    <w:p w14:paraId="3B4DC49F" w14:textId="453441DC" w:rsidR="00C40CA0" w:rsidRDefault="00F853D8" w:rsidP="00C40CA0">
      <w:pPr>
        <w:pStyle w:val="NoSpacing"/>
        <w:spacing w:line="360" w:lineRule="auto"/>
        <w:jc w:val="both"/>
        <w:rPr>
          <w:rFonts w:ascii="Arial" w:hAnsi="Arial" w:cs="Arial"/>
          <w:sz w:val="20"/>
          <w:szCs w:val="20"/>
        </w:rPr>
      </w:pPr>
      <w:r>
        <w:rPr>
          <w:rFonts w:ascii="Arial" w:hAnsi="Arial" w:cs="Arial"/>
          <w:sz w:val="20"/>
          <w:szCs w:val="20"/>
        </w:rPr>
        <w:t xml:space="preserve">Despite these obstacles, as opined by Agbo </w:t>
      </w:r>
      <w:r w:rsidRPr="0070281F">
        <w:rPr>
          <w:rFonts w:ascii="Arial" w:hAnsi="Arial" w:cs="Arial"/>
          <w:sz w:val="20"/>
          <w:szCs w:val="20"/>
        </w:rPr>
        <w:t>(2016</w:t>
      </w:r>
      <w:r>
        <w:rPr>
          <w:rFonts w:ascii="Arial" w:hAnsi="Arial" w:cs="Arial"/>
          <w:sz w:val="20"/>
          <w:szCs w:val="20"/>
        </w:rPr>
        <w:t xml:space="preserve">), </w:t>
      </w:r>
      <w:r w:rsidR="00897CDD" w:rsidRPr="0070281F">
        <w:rPr>
          <w:rFonts w:ascii="Arial" w:hAnsi="Arial" w:cs="Arial"/>
          <w:sz w:val="20"/>
          <w:szCs w:val="20"/>
        </w:rPr>
        <w:t>Nigerian women have made strides in leadership and global recognition. Figures such as Ngozi Okonjo-Iweala and Obiageli Ezekwesili have shown that women can excel in governance and global finance, while grassroots women’s movements continue to challenge disc</w:t>
      </w:r>
      <w:r>
        <w:rPr>
          <w:rFonts w:ascii="Arial" w:hAnsi="Arial" w:cs="Arial"/>
          <w:sz w:val="20"/>
          <w:szCs w:val="20"/>
        </w:rPr>
        <w:t xml:space="preserve">riminatory norms. According to the </w:t>
      </w:r>
      <w:r w:rsidR="00897CDD" w:rsidRPr="0070281F">
        <w:rPr>
          <w:rFonts w:ascii="Arial" w:hAnsi="Arial" w:cs="Arial"/>
          <w:sz w:val="20"/>
          <w:szCs w:val="20"/>
        </w:rPr>
        <w:t>Nation</w:t>
      </w:r>
      <w:r>
        <w:rPr>
          <w:rFonts w:ascii="Arial" w:hAnsi="Arial" w:cs="Arial"/>
          <w:sz w:val="20"/>
          <w:szCs w:val="20"/>
        </w:rPr>
        <w:t>al Gender Policy (2006)</w:t>
      </w:r>
      <w:r w:rsidR="00897CDD" w:rsidRPr="0070281F">
        <w:rPr>
          <w:rFonts w:ascii="Arial" w:hAnsi="Arial" w:cs="Arial"/>
          <w:sz w:val="20"/>
          <w:szCs w:val="20"/>
        </w:rPr>
        <w:t>, effective reform demands cooperation, cultural transformation, and strong political will.</w:t>
      </w:r>
      <w:r w:rsidR="00BC6283" w:rsidRPr="0070281F">
        <w:rPr>
          <w:rFonts w:ascii="Arial" w:hAnsi="Arial" w:cs="Arial"/>
          <w:sz w:val="20"/>
          <w:szCs w:val="20"/>
        </w:rPr>
        <w:t xml:space="preserve"> </w:t>
      </w:r>
      <w:r w:rsidR="00897CDD" w:rsidRPr="0070281F">
        <w:rPr>
          <w:rFonts w:ascii="Arial" w:hAnsi="Arial" w:cs="Arial"/>
          <w:sz w:val="20"/>
          <w:szCs w:val="20"/>
        </w:rPr>
        <w:t>In sum, while Nigeria has aligned with global instruments such as the Beijing Platform for Action (1995) and CEDAW</w:t>
      </w:r>
      <w:r w:rsidR="00C701E3">
        <w:rPr>
          <w:rFonts w:ascii="Arial" w:hAnsi="Arial" w:cs="Arial"/>
          <w:sz w:val="20"/>
          <w:szCs w:val="20"/>
        </w:rPr>
        <w:t xml:space="preserve"> (19</w:t>
      </w:r>
      <w:r w:rsidR="00395EAA">
        <w:rPr>
          <w:rFonts w:ascii="Arial" w:hAnsi="Arial" w:cs="Arial"/>
          <w:sz w:val="20"/>
          <w:szCs w:val="20"/>
        </w:rPr>
        <w:t>79</w:t>
      </w:r>
      <w:r w:rsidR="00C701E3">
        <w:rPr>
          <w:rFonts w:ascii="Arial" w:hAnsi="Arial" w:cs="Arial"/>
          <w:sz w:val="20"/>
          <w:szCs w:val="20"/>
        </w:rPr>
        <w:t>)</w:t>
      </w:r>
      <w:r w:rsidR="00897CDD" w:rsidRPr="0070281F">
        <w:rPr>
          <w:rFonts w:ascii="Arial" w:hAnsi="Arial" w:cs="Arial"/>
          <w:sz w:val="20"/>
          <w:szCs w:val="20"/>
        </w:rPr>
        <w:t xml:space="preserve">, gender inequality remains deeply entrenched. Socio-cultural traditions, political exclusion, economic barriers, and weak institutional enforcement sustain women’s marginalization. </w:t>
      </w:r>
    </w:p>
    <w:p w14:paraId="1F325F42" w14:textId="77777777" w:rsidR="00C40CA0" w:rsidRDefault="00C40CA0" w:rsidP="00C40CA0">
      <w:pPr>
        <w:pStyle w:val="NoSpacing"/>
        <w:spacing w:line="360" w:lineRule="auto"/>
        <w:jc w:val="both"/>
        <w:rPr>
          <w:rFonts w:ascii="Arial" w:hAnsi="Arial" w:cs="Arial"/>
          <w:sz w:val="20"/>
          <w:szCs w:val="20"/>
        </w:rPr>
      </w:pPr>
    </w:p>
    <w:p w14:paraId="28A36F3D" w14:textId="707F743F" w:rsidR="00C40CA0" w:rsidRPr="00C40CA0" w:rsidRDefault="00C40CA0" w:rsidP="00B735F2">
      <w:pPr>
        <w:pStyle w:val="NoSpacing"/>
        <w:numPr>
          <w:ilvl w:val="0"/>
          <w:numId w:val="12"/>
        </w:numPr>
        <w:spacing w:line="360" w:lineRule="auto"/>
        <w:jc w:val="both"/>
        <w:rPr>
          <w:rFonts w:ascii="Arial" w:hAnsi="Arial" w:cs="Arial"/>
          <w:b/>
          <w:sz w:val="20"/>
          <w:szCs w:val="20"/>
        </w:rPr>
      </w:pPr>
      <w:r w:rsidRPr="00C40CA0">
        <w:rPr>
          <w:rFonts w:ascii="Arial" w:hAnsi="Arial" w:cs="Arial"/>
          <w:b/>
          <w:sz w:val="20"/>
          <w:szCs w:val="20"/>
        </w:rPr>
        <w:t>Empirical Review</w:t>
      </w:r>
    </w:p>
    <w:p w14:paraId="1B5D3FDF" w14:textId="77777777" w:rsidR="008D7338" w:rsidRDefault="007860B5" w:rsidP="008D7338">
      <w:pPr>
        <w:pStyle w:val="NoSpacing"/>
        <w:spacing w:after="240" w:line="360" w:lineRule="auto"/>
        <w:jc w:val="both"/>
        <w:rPr>
          <w:rFonts w:ascii="Arial" w:hAnsi="Arial" w:cs="Arial"/>
          <w:color w:val="000000" w:themeColor="text1"/>
          <w:sz w:val="20"/>
          <w:szCs w:val="20"/>
        </w:rPr>
      </w:pPr>
      <w:proofErr w:type="spellStart"/>
      <w:r w:rsidRPr="00C40CA0">
        <w:rPr>
          <w:rStyle w:val="Strong"/>
          <w:rFonts w:ascii="Arial" w:hAnsi="Arial" w:cs="Arial"/>
          <w:b w:val="0"/>
          <w:color w:val="000000" w:themeColor="text1"/>
          <w:sz w:val="20"/>
          <w:szCs w:val="20"/>
        </w:rPr>
        <w:t>Abolade</w:t>
      </w:r>
      <w:proofErr w:type="spellEnd"/>
      <w:r w:rsidRPr="00C40CA0">
        <w:rPr>
          <w:rStyle w:val="Strong"/>
          <w:rFonts w:ascii="Arial" w:hAnsi="Arial" w:cs="Arial"/>
          <w:b w:val="0"/>
          <w:color w:val="000000" w:themeColor="text1"/>
          <w:sz w:val="20"/>
          <w:szCs w:val="20"/>
        </w:rPr>
        <w:t xml:space="preserve"> (2021) investigated gender Equality and Sustainable Development in Nigeria. He </w:t>
      </w:r>
      <w:r w:rsidRPr="00C40CA0">
        <w:rPr>
          <w:rFonts w:ascii="Arial" w:hAnsi="Arial" w:cs="Arial"/>
          <w:color w:val="000000" w:themeColor="text1"/>
          <w:sz w:val="20"/>
          <w:szCs w:val="20"/>
        </w:rPr>
        <w:t>conducted a survey of 160 women in Ibadan</w:t>
      </w:r>
      <w:r w:rsidR="00B735F2">
        <w:rPr>
          <w:rFonts w:ascii="Arial" w:hAnsi="Arial" w:cs="Arial"/>
          <w:color w:val="000000" w:themeColor="text1"/>
          <w:sz w:val="20"/>
          <w:szCs w:val="20"/>
        </w:rPr>
        <w:t>, Nigeria</w:t>
      </w:r>
      <w:r w:rsidRPr="00C40CA0">
        <w:rPr>
          <w:rFonts w:ascii="Arial" w:hAnsi="Arial" w:cs="Arial"/>
          <w:color w:val="000000" w:themeColor="text1"/>
          <w:sz w:val="20"/>
          <w:szCs w:val="20"/>
        </w:rPr>
        <w:t xml:space="preserve"> to assess challenges to gender equality in relation to SDG implementation. The study revealed that socio-cultural norms and institutional biases significantly hinder women's participation in governance and economic development. </w:t>
      </w:r>
      <w:r w:rsidR="008D7338">
        <w:rPr>
          <w:rFonts w:ascii="Arial" w:hAnsi="Arial" w:cs="Arial"/>
          <w:color w:val="000000" w:themeColor="text1"/>
          <w:sz w:val="20"/>
          <w:szCs w:val="20"/>
        </w:rPr>
        <w:t>In the same vein</w:t>
      </w:r>
      <w:r w:rsidRPr="00C40CA0">
        <w:rPr>
          <w:rFonts w:ascii="Arial" w:hAnsi="Arial" w:cs="Arial"/>
          <w:color w:val="000000" w:themeColor="text1"/>
          <w:sz w:val="20"/>
          <w:szCs w:val="20"/>
        </w:rPr>
        <w:t xml:space="preserve">, </w:t>
      </w:r>
      <w:proofErr w:type="spellStart"/>
      <w:r w:rsidRPr="00C40CA0">
        <w:rPr>
          <w:rStyle w:val="Strong"/>
          <w:rFonts w:ascii="Arial" w:hAnsi="Arial" w:cs="Arial"/>
          <w:b w:val="0"/>
          <w:color w:val="000000" w:themeColor="text1"/>
          <w:sz w:val="20"/>
          <w:szCs w:val="20"/>
        </w:rPr>
        <w:t>Gbajumo</w:t>
      </w:r>
      <w:proofErr w:type="spellEnd"/>
      <w:r w:rsidRPr="00C40CA0">
        <w:rPr>
          <w:rStyle w:val="Strong"/>
          <w:rFonts w:ascii="Arial" w:hAnsi="Arial" w:cs="Arial"/>
          <w:b w:val="0"/>
          <w:color w:val="000000" w:themeColor="text1"/>
          <w:sz w:val="20"/>
          <w:szCs w:val="20"/>
        </w:rPr>
        <w:t xml:space="preserve">-Sheriff (2022) carried out an investigation on gender Equity in Nigeria. The study </w:t>
      </w:r>
      <w:r w:rsidRPr="00C40CA0">
        <w:rPr>
          <w:rFonts w:ascii="Arial" w:hAnsi="Arial" w:cs="Arial"/>
          <w:color w:val="000000" w:themeColor="text1"/>
          <w:sz w:val="20"/>
          <w:szCs w:val="20"/>
        </w:rPr>
        <w:t>explored how flexible work structures and inclusive policies can enhance women's participation in the workforce, thereby contributing to SDG 5. The study emphasized the importance of cultural sustainability and institutional reform.</w:t>
      </w:r>
    </w:p>
    <w:p w14:paraId="117A53E6" w14:textId="4CB20D3F" w:rsidR="00C40CA0" w:rsidRPr="008D7338" w:rsidRDefault="008D7338" w:rsidP="008D7338">
      <w:pPr>
        <w:pStyle w:val="NoSpacing"/>
        <w:spacing w:after="240" w:line="360" w:lineRule="auto"/>
        <w:jc w:val="both"/>
        <w:rPr>
          <w:rFonts w:ascii="Arial" w:hAnsi="Arial" w:cs="Arial"/>
          <w:color w:val="000000" w:themeColor="text1"/>
          <w:sz w:val="20"/>
          <w:szCs w:val="20"/>
        </w:rPr>
      </w:pPr>
      <w:r w:rsidRPr="00C40CA0">
        <w:rPr>
          <w:rFonts w:ascii="Arial" w:hAnsi="Arial" w:cs="Arial"/>
          <w:color w:val="000000" w:themeColor="text1"/>
          <w:sz w:val="20"/>
          <w:szCs w:val="20"/>
        </w:rPr>
        <w:t>Additionally,</w:t>
      </w:r>
      <w:r w:rsidR="007860B5" w:rsidRPr="00C40CA0">
        <w:rPr>
          <w:rFonts w:ascii="Arial" w:hAnsi="Arial" w:cs="Arial"/>
          <w:color w:val="000000" w:themeColor="text1"/>
          <w:sz w:val="20"/>
          <w:szCs w:val="20"/>
        </w:rPr>
        <w:t xml:space="preserve"> </w:t>
      </w:r>
      <w:r w:rsidR="007860B5" w:rsidRPr="00C40CA0">
        <w:rPr>
          <w:rStyle w:val="Strong"/>
          <w:rFonts w:ascii="Arial" w:hAnsi="Arial" w:cs="Arial"/>
          <w:b w:val="0"/>
          <w:bCs w:val="0"/>
          <w:color w:val="000000" w:themeColor="text1"/>
          <w:sz w:val="20"/>
          <w:szCs w:val="20"/>
        </w:rPr>
        <w:t xml:space="preserve">Olanrewaju et al. (2015) examined gender inequality and economic empowerment. </w:t>
      </w:r>
      <w:r w:rsidR="00E156D7">
        <w:rPr>
          <w:rFonts w:ascii="Arial" w:hAnsi="Arial" w:cs="Arial"/>
          <w:color w:val="000000" w:themeColor="text1"/>
          <w:sz w:val="20"/>
          <w:szCs w:val="20"/>
        </w:rPr>
        <w:t xml:space="preserve">Their </w:t>
      </w:r>
      <w:r w:rsidR="007860B5" w:rsidRPr="00C40CA0">
        <w:rPr>
          <w:rFonts w:ascii="Arial" w:hAnsi="Arial" w:cs="Arial"/>
          <w:color w:val="000000" w:themeColor="text1"/>
          <w:sz w:val="20"/>
          <w:szCs w:val="20"/>
        </w:rPr>
        <w:t>study examined tribal and cultural influences on gender roles in Nigeria. It found that preferential treatment of men in inheritance and employment contributes to economic disparity, undermining progress toward SDG 5 and SDG 8.</w:t>
      </w:r>
      <w:r w:rsidR="003A593B" w:rsidRPr="003A593B">
        <w:t xml:space="preserve"> </w:t>
      </w:r>
      <w:r w:rsidR="003A593B" w:rsidRPr="003A593B">
        <w:rPr>
          <w:rFonts w:ascii="Arial" w:hAnsi="Arial" w:cs="Arial"/>
          <w:color w:val="000000" w:themeColor="text1"/>
          <w:sz w:val="20"/>
          <w:szCs w:val="20"/>
        </w:rPr>
        <w:t>Moreover, data from the World Values Survey (WVS) (</w:t>
      </w:r>
      <w:proofErr w:type="spellStart"/>
      <w:r w:rsidR="003A593B" w:rsidRPr="003A593B">
        <w:rPr>
          <w:rFonts w:ascii="Arial" w:hAnsi="Arial" w:cs="Arial"/>
          <w:color w:val="000000" w:themeColor="text1"/>
          <w:sz w:val="20"/>
          <w:szCs w:val="20"/>
        </w:rPr>
        <w:t>Haerpfer</w:t>
      </w:r>
      <w:proofErr w:type="spellEnd"/>
      <w:r w:rsidR="003A593B" w:rsidRPr="003A593B">
        <w:rPr>
          <w:rFonts w:ascii="Arial" w:hAnsi="Arial" w:cs="Arial"/>
          <w:color w:val="000000" w:themeColor="text1"/>
          <w:sz w:val="20"/>
          <w:szCs w:val="20"/>
        </w:rPr>
        <w:t xml:space="preserve"> et al. 2022 and Inglehart et al. 2014 as cited in Tuki, 2024) reveal that public attitudes in Nigeria often do not support gender equality. By 2023, women’s representation in Nigeria's National Assembly remained below 10%, far short of the 35% affirmative action target set by the National Gender Policy</w:t>
      </w:r>
      <w:r w:rsidR="007860B5" w:rsidRPr="00C40CA0">
        <w:rPr>
          <w:rFonts w:ascii="Arial" w:hAnsi="Arial" w:cs="Arial"/>
          <w:color w:val="000000" w:themeColor="text1"/>
          <w:sz w:val="20"/>
          <w:szCs w:val="20"/>
        </w:rPr>
        <w:t>.</w:t>
      </w:r>
    </w:p>
    <w:p w14:paraId="0DA6AA51" w14:textId="7B77F5A4" w:rsidR="007860B5" w:rsidRDefault="00DC5F64" w:rsidP="00897CDD">
      <w:pPr>
        <w:pStyle w:val="NoSpacing"/>
        <w:spacing w:line="360" w:lineRule="auto"/>
        <w:jc w:val="both"/>
        <w:rPr>
          <w:rFonts w:ascii="Arial" w:hAnsi="Arial" w:cs="Arial"/>
          <w:sz w:val="20"/>
          <w:szCs w:val="20"/>
        </w:rPr>
      </w:pPr>
      <w:r w:rsidRPr="00DC5F64">
        <w:rPr>
          <w:rFonts w:ascii="Arial" w:hAnsi="Arial" w:cs="Arial"/>
          <w:sz w:val="20"/>
          <w:szCs w:val="20"/>
        </w:rPr>
        <w:t>Although earlier studies (</w:t>
      </w:r>
      <w:proofErr w:type="spellStart"/>
      <w:r w:rsidRPr="00DC5F64">
        <w:rPr>
          <w:rFonts w:ascii="Arial" w:hAnsi="Arial" w:cs="Arial"/>
          <w:sz w:val="20"/>
          <w:szCs w:val="20"/>
        </w:rPr>
        <w:t>Abolade</w:t>
      </w:r>
      <w:proofErr w:type="spellEnd"/>
      <w:r w:rsidRPr="00DC5F64">
        <w:rPr>
          <w:rFonts w:ascii="Arial" w:hAnsi="Arial" w:cs="Arial"/>
          <w:sz w:val="20"/>
          <w:szCs w:val="20"/>
        </w:rPr>
        <w:t xml:space="preserve">, 2021; </w:t>
      </w:r>
      <w:proofErr w:type="spellStart"/>
      <w:r w:rsidRPr="00DC5F64">
        <w:rPr>
          <w:rFonts w:ascii="Arial" w:hAnsi="Arial" w:cs="Arial"/>
          <w:sz w:val="20"/>
          <w:szCs w:val="20"/>
        </w:rPr>
        <w:t>Gbajumo</w:t>
      </w:r>
      <w:proofErr w:type="spellEnd"/>
      <w:r w:rsidRPr="00DC5F64">
        <w:rPr>
          <w:rFonts w:ascii="Arial" w:hAnsi="Arial" w:cs="Arial"/>
          <w:sz w:val="20"/>
          <w:szCs w:val="20"/>
        </w:rPr>
        <w:t xml:space="preserve">-Sheriff, 2022; Olanrewaju et al., 2015) have examined aspects of gender inequality in Nigeria, they often focus on specific groups or isolated issues such as employment, inheritance, or workplace inclusion. Broader empirical evidence on how gender equality shapes the achievement of all SDGs remains limited. In particular, little is known about which </w:t>
      </w:r>
      <w:r w:rsidRPr="00DC5F64">
        <w:rPr>
          <w:rFonts w:ascii="Arial" w:hAnsi="Arial" w:cs="Arial"/>
          <w:sz w:val="20"/>
          <w:szCs w:val="20"/>
        </w:rPr>
        <w:lastRenderedPageBreak/>
        <w:t>dimensions of inequality</w:t>
      </w:r>
      <w:r w:rsidR="008C51AD">
        <w:rPr>
          <w:rFonts w:ascii="Arial" w:hAnsi="Arial" w:cs="Arial"/>
          <w:sz w:val="20"/>
          <w:szCs w:val="20"/>
        </w:rPr>
        <w:t xml:space="preserve"> (</w:t>
      </w:r>
      <w:r w:rsidRPr="00DC5F64">
        <w:rPr>
          <w:rFonts w:ascii="Arial" w:hAnsi="Arial" w:cs="Arial"/>
          <w:sz w:val="20"/>
          <w:szCs w:val="20"/>
        </w:rPr>
        <w:t>education, health, the economy, or politics</w:t>
      </w:r>
      <w:r w:rsidR="008C51AD">
        <w:rPr>
          <w:rFonts w:ascii="Arial" w:hAnsi="Arial" w:cs="Arial"/>
          <w:sz w:val="20"/>
          <w:szCs w:val="20"/>
        </w:rPr>
        <w:t xml:space="preserve">) </w:t>
      </w:r>
      <w:r w:rsidRPr="00DC5F64">
        <w:rPr>
          <w:rFonts w:ascii="Arial" w:hAnsi="Arial" w:cs="Arial"/>
          <w:sz w:val="20"/>
          <w:szCs w:val="20"/>
        </w:rPr>
        <w:t>pose the greatest barriers to SDG realization in Nigeria</w:t>
      </w:r>
      <w:r w:rsidR="00C40CA0">
        <w:rPr>
          <w:rFonts w:ascii="Arial" w:hAnsi="Arial" w:cs="Arial"/>
          <w:sz w:val="20"/>
          <w:szCs w:val="20"/>
        </w:rPr>
        <w:t>.</w:t>
      </w:r>
      <w:r w:rsidR="006E46AC">
        <w:rPr>
          <w:rFonts w:ascii="Arial" w:hAnsi="Arial" w:cs="Arial"/>
          <w:sz w:val="20"/>
          <w:szCs w:val="20"/>
        </w:rPr>
        <w:t xml:space="preserve"> This forms an important gap in this study.</w:t>
      </w:r>
    </w:p>
    <w:p w14:paraId="4013403D" w14:textId="77777777" w:rsidR="00C701E3" w:rsidRPr="0070281F" w:rsidRDefault="00C701E3" w:rsidP="00897CDD">
      <w:pPr>
        <w:pStyle w:val="NoSpacing"/>
        <w:spacing w:line="360" w:lineRule="auto"/>
        <w:jc w:val="both"/>
        <w:rPr>
          <w:rFonts w:ascii="Arial" w:hAnsi="Arial" w:cs="Arial"/>
          <w:sz w:val="20"/>
          <w:szCs w:val="20"/>
        </w:rPr>
      </w:pPr>
    </w:p>
    <w:p w14:paraId="723C6810" w14:textId="39EDE654" w:rsidR="00D14B43" w:rsidRPr="0070281F" w:rsidRDefault="00B120D4" w:rsidP="00B120D4">
      <w:pPr>
        <w:pStyle w:val="NoSpacing"/>
        <w:numPr>
          <w:ilvl w:val="0"/>
          <w:numId w:val="5"/>
        </w:numPr>
        <w:spacing w:line="360" w:lineRule="auto"/>
        <w:jc w:val="both"/>
        <w:rPr>
          <w:rFonts w:ascii="Arial" w:hAnsi="Arial" w:cs="Arial"/>
          <w:b/>
          <w:bCs/>
          <w:sz w:val="20"/>
          <w:szCs w:val="20"/>
        </w:rPr>
      </w:pPr>
      <w:r w:rsidRPr="0070281F">
        <w:rPr>
          <w:rFonts w:ascii="Arial" w:hAnsi="Arial" w:cs="Arial"/>
          <w:b/>
          <w:bCs/>
          <w:sz w:val="20"/>
          <w:szCs w:val="20"/>
        </w:rPr>
        <w:t>METHODOLOGY</w:t>
      </w:r>
    </w:p>
    <w:p w14:paraId="3D9445CB" w14:textId="28E39FE8" w:rsidR="00C701E3" w:rsidRPr="002A1F05" w:rsidRDefault="009575D4" w:rsidP="00083187">
      <w:pPr>
        <w:pStyle w:val="NoSpacing"/>
        <w:spacing w:line="360" w:lineRule="auto"/>
        <w:jc w:val="both"/>
        <w:rPr>
          <w:rFonts w:ascii="Arial" w:hAnsi="Arial" w:cs="Arial"/>
          <w:bCs/>
          <w:sz w:val="20"/>
          <w:szCs w:val="20"/>
        </w:rPr>
      </w:pPr>
      <w:r w:rsidRPr="0070281F">
        <w:rPr>
          <w:rFonts w:ascii="Arial" w:hAnsi="Arial" w:cs="Arial"/>
          <w:bCs/>
          <w:sz w:val="20"/>
          <w:szCs w:val="20"/>
        </w:rPr>
        <w:t>The study employed a descriptive survey research design, chosen for its suitability in capturing the perceptions, attitudes, and experiences of a large population regarding gender equality and sustainable development in Nigeria. The design allows for quantitative representation of trends as well as qualitative insights from respondents</w:t>
      </w:r>
      <w:r w:rsidRPr="0070281F">
        <w:rPr>
          <w:rFonts w:ascii="Arial" w:hAnsi="Arial" w:cs="Arial"/>
          <w:bCs/>
          <w:i/>
          <w:iCs/>
          <w:sz w:val="20"/>
          <w:szCs w:val="20"/>
        </w:rPr>
        <w:t>.</w:t>
      </w:r>
      <w:r w:rsidR="00083187" w:rsidRPr="0070281F">
        <w:rPr>
          <w:rFonts w:ascii="Arial" w:hAnsi="Arial" w:cs="Arial"/>
          <w:bCs/>
          <w:i/>
          <w:iCs/>
          <w:sz w:val="20"/>
          <w:szCs w:val="20"/>
        </w:rPr>
        <w:t xml:space="preserve"> </w:t>
      </w:r>
      <w:r w:rsidR="001F7AB4" w:rsidRPr="001F7AB4">
        <w:rPr>
          <w:rFonts w:ascii="Arial" w:hAnsi="Arial" w:cs="Arial"/>
          <w:bCs/>
          <w:sz w:val="20"/>
          <w:szCs w:val="20"/>
        </w:rPr>
        <w:t>The study population is drawn from Anambra State, Nigeria, located in the southeastern region of the country and currently estimated to have over 11 million residents. However, the 2006 National Population Census, which recorded 4,177,828 people across 21 local government areas (National Population Commission [NPC], 2006), remains the most recent official and comprehensive demographic dataset available. Although more recent projections exist, Nigeria has not conducted another nationwide census since 2006, making it the most reliable source for population-based research. For this study, the population was further disaggregated into the three senatorial districts of Anambra: Anambra Central, Anambra South, and Anambra North</w:t>
      </w:r>
      <w:r w:rsidR="00BC1260" w:rsidRPr="0070281F">
        <w:rPr>
          <w:rFonts w:ascii="Arial" w:hAnsi="Arial" w:cs="Arial"/>
          <w:bCs/>
          <w:sz w:val="20"/>
          <w:szCs w:val="20"/>
        </w:rPr>
        <w:t>.</w:t>
      </w:r>
      <w:r w:rsidR="004E3AB0" w:rsidRPr="0070281F">
        <w:rPr>
          <w:rFonts w:ascii="Arial" w:hAnsi="Arial" w:cs="Arial"/>
          <w:sz w:val="20"/>
          <w:szCs w:val="20"/>
        </w:rPr>
        <w:tab/>
      </w:r>
    </w:p>
    <w:p w14:paraId="72D01CAA" w14:textId="630B5859" w:rsidR="004E3AB0" w:rsidRPr="0070281F" w:rsidRDefault="00F916A9" w:rsidP="00F916A9">
      <w:pPr>
        <w:pStyle w:val="NoSpacing"/>
        <w:rPr>
          <w:rFonts w:ascii="Arial" w:hAnsi="Arial" w:cs="Arial"/>
          <w:b/>
          <w:sz w:val="20"/>
          <w:szCs w:val="20"/>
        </w:rPr>
      </w:pPr>
      <w:r w:rsidRPr="0070281F">
        <w:rPr>
          <w:rFonts w:ascii="Arial" w:hAnsi="Arial" w:cs="Arial"/>
          <w:b/>
          <w:sz w:val="20"/>
          <w:szCs w:val="20"/>
        </w:rPr>
        <w:t xml:space="preserve">Table </w:t>
      </w:r>
      <w:r w:rsidR="005260B0" w:rsidRPr="0070281F">
        <w:rPr>
          <w:rFonts w:ascii="Arial" w:hAnsi="Arial" w:cs="Arial"/>
          <w:b/>
          <w:sz w:val="20"/>
          <w:szCs w:val="20"/>
        </w:rPr>
        <w:t>1</w:t>
      </w:r>
      <w:r w:rsidRPr="0070281F">
        <w:rPr>
          <w:rFonts w:ascii="Arial" w:hAnsi="Arial" w:cs="Arial"/>
          <w:b/>
          <w:sz w:val="20"/>
          <w:szCs w:val="20"/>
        </w:rPr>
        <w:t xml:space="preserve">: </w:t>
      </w:r>
      <w:r w:rsidR="004E3AB0" w:rsidRPr="0070281F">
        <w:rPr>
          <w:rFonts w:ascii="Arial" w:hAnsi="Arial" w:cs="Arial"/>
          <w:b/>
          <w:sz w:val="20"/>
          <w:szCs w:val="20"/>
        </w:rPr>
        <w:t>Sample Size Distribution Table</w:t>
      </w:r>
    </w:p>
    <w:tbl>
      <w:tblPr>
        <w:tblStyle w:val="TableGrid"/>
        <w:tblW w:w="0" w:type="auto"/>
        <w:tblLook w:val="04A0" w:firstRow="1" w:lastRow="0" w:firstColumn="1" w:lastColumn="0" w:noHBand="0" w:noVBand="1"/>
      </w:tblPr>
      <w:tblGrid>
        <w:gridCol w:w="2256"/>
        <w:gridCol w:w="2264"/>
        <w:gridCol w:w="2227"/>
        <w:gridCol w:w="2269"/>
      </w:tblGrid>
      <w:tr w:rsidR="00745AEF" w:rsidRPr="0070281F" w14:paraId="72D01CAF" w14:textId="77777777" w:rsidTr="0050014C">
        <w:trPr>
          <w:trHeight w:val="165"/>
        </w:trPr>
        <w:tc>
          <w:tcPr>
            <w:tcW w:w="2394" w:type="dxa"/>
          </w:tcPr>
          <w:p w14:paraId="72D01CAB"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Senatorial District</w:t>
            </w:r>
          </w:p>
        </w:tc>
        <w:tc>
          <w:tcPr>
            <w:tcW w:w="2394" w:type="dxa"/>
          </w:tcPr>
          <w:p w14:paraId="72D01CAC"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Population</w:t>
            </w:r>
          </w:p>
        </w:tc>
        <w:tc>
          <w:tcPr>
            <w:tcW w:w="2394" w:type="dxa"/>
          </w:tcPr>
          <w:p w14:paraId="72D01CAD"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Sample Size</w:t>
            </w:r>
          </w:p>
        </w:tc>
        <w:tc>
          <w:tcPr>
            <w:tcW w:w="2394" w:type="dxa"/>
          </w:tcPr>
          <w:p w14:paraId="72D01CAE"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Percentage (%)</w:t>
            </w:r>
          </w:p>
        </w:tc>
      </w:tr>
      <w:tr w:rsidR="00745AEF" w:rsidRPr="0070281F" w14:paraId="72D01CB4" w14:textId="77777777" w:rsidTr="0050014C">
        <w:trPr>
          <w:trHeight w:val="135"/>
        </w:trPr>
        <w:tc>
          <w:tcPr>
            <w:tcW w:w="2394" w:type="dxa"/>
          </w:tcPr>
          <w:p w14:paraId="72D01CB0"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Anambra Central</w:t>
            </w:r>
          </w:p>
        </w:tc>
        <w:tc>
          <w:tcPr>
            <w:tcW w:w="2394" w:type="dxa"/>
          </w:tcPr>
          <w:p w14:paraId="72D01CB1"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1,468,793</w:t>
            </w:r>
          </w:p>
        </w:tc>
        <w:tc>
          <w:tcPr>
            <w:tcW w:w="2394" w:type="dxa"/>
          </w:tcPr>
          <w:p w14:paraId="72D01CB2"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141</w:t>
            </w:r>
          </w:p>
        </w:tc>
        <w:tc>
          <w:tcPr>
            <w:tcW w:w="2394" w:type="dxa"/>
          </w:tcPr>
          <w:p w14:paraId="72D01CB3"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35</w:t>
            </w:r>
          </w:p>
        </w:tc>
      </w:tr>
      <w:tr w:rsidR="00745AEF" w:rsidRPr="0070281F" w14:paraId="72D01CB9" w14:textId="77777777" w:rsidTr="0050014C">
        <w:trPr>
          <w:trHeight w:val="111"/>
        </w:trPr>
        <w:tc>
          <w:tcPr>
            <w:tcW w:w="2394" w:type="dxa"/>
          </w:tcPr>
          <w:p w14:paraId="72D01CB5"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Anambra South</w:t>
            </w:r>
          </w:p>
        </w:tc>
        <w:tc>
          <w:tcPr>
            <w:tcW w:w="2394" w:type="dxa"/>
          </w:tcPr>
          <w:p w14:paraId="72D01CB6"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1,576,804</w:t>
            </w:r>
          </w:p>
        </w:tc>
        <w:tc>
          <w:tcPr>
            <w:tcW w:w="2394" w:type="dxa"/>
          </w:tcPr>
          <w:p w14:paraId="72D01CB7"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151</w:t>
            </w:r>
          </w:p>
        </w:tc>
        <w:tc>
          <w:tcPr>
            <w:tcW w:w="2394" w:type="dxa"/>
          </w:tcPr>
          <w:p w14:paraId="72D01CB8"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38</w:t>
            </w:r>
          </w:p>
        </w:tc>
      </w:tr>
      <w:tr w:rsidR="00745AEF" w:rsidRPr="0070281F" w14:paraId="72D01CBE" w14:textId="77777777" w:rsidTr="0050014C">
        <w:trPr>
          <w:trHeight w:val="150"/>
        </w:trPr>
        <w:tc>
          <w:tcPr>
            <w:tcW w:w="2394" w:type="dxa"/>
          </w:tcPr>
          <w:p w14:paraId="72D01CB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Anambra North</w:t>
            </w:r>
          </w:p>
        </w:tc>
        <w:tc>
          <w:tcPr>
            <w:tcW w:w="2394" w:type="dxa"/>
          </w:tcPr>
          <w:p w14:paraId="72D01CBB"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1,132,231</w:t>
            </w:r>
          </w:p>
        </w:tc>
        <w:tc>
          <w:tcPr>
            <w:tcW w:w="2394" w:type="dxa"/>
          </w:tcPr>
          <w:p w14:paraId="72D01CBC"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108</w:t>
            </w:r>
          </w:p>
        </w:tc>
        <w:tc>
          <w:tcPr>
            <w:tcW w:w="2394" w:type="dxa"/>
          </w:tcPr>
          <w:p w14:paraId="72D01CBD"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27</w:t>
            </w:r>
          </w:p>
        </w:tc>
      </w:tr>
      <w:tr w:rsidR="00745AEF" w:rsidRPr="0070281F" w14:paraId="72D01CC3" w14:textId="77777777" w:rsidTr="0050014C">
        <w:trPr>
          <w:trHeight w:val="150"/>
        </w:trPr>
        <w:tc>
          <w:tcPr>
            <w:tcW w:w="2394" w:type="dxa"/>
          </w:tcPr>
          <w:p w14:paraId="72D01CBF"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 xml:space="preserve">Total </w:t>
            </w:r>
          </w:p>
        </w:tc>
        <w:tc>
          <w:tcPr>
            <w:tcW w:w="2394" w:type="dxa"/>
          </w:tcPr>
          <w:p w14:paraId="72D01CC0"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4,177,828</w:t>
            </w:r>
          </w:p>
        </w:tc>
        <w:tc>
          <w:tcPr>
            <w:tcW w:w="2394" w:type="dxa"/>
          </w:tcPr>
          <w:p w14:paraId="72D01CC1"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400</w:t>
            </w:r>
          </w:p>
        </w:tc>
        <w:tc>
          <w:tcPr>
            <w:tcW w:w="2394" w:type="dxa"/>
          </w:tcPr>
          <w:p w14:paraId="72D01CC2"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100</w:t>
            </w:r>
          </w:p>
        </w:tc>
      </w:tr>
    </w:tbl>
    <w:p w14:paraId="72D01CC4" w14:textId="70E924F7" w:rsidR="004E3AB0" w:rsidRPr="0070281F" w:rsidRDefault="004E3AB0" w:rsidP="004E3AB0">
      <w:pPr>
        <w:pStyle w:val="NoSpacing"/>
        <w:rPr>
          <w:rFonts w:ascii="Arial" w:hAnsi="Arial" w:cs="Arial"/>
          <w:b/>
          <w:sz w:val="20"/>
          <w:szCs w:val="20"/>
        </w:rPr>
      </w:pPr>
      <w:r w:rsidRPr="0070281F">
        <w:rPr>
          <w:rFonts w:ascii="Arial" w:hAnsi="Arial" w:cs="Arial"/>
          <w:b/>
          <w:sz w:val="20"/>
          <w:szCs w:val="20"/>
        </w:rPr>
        <w:t xml:space="preserve">Source: </w:t>
      </w:r>
      <w:r w:rsidR="001B35DD">
        <w:rPr>
          <w:rFonts w:ascii="Arial" w:hAnsi="Arial" w:cs="Arial"/>
          <w:b/>
          <w:sz w:val="20"/>
          <w:szCs w:val="20"/>
        </w:rPr>
        <w:t xml:space="preserve"> </w:t>
      </w:r>
      <w:r w:rsidR="001B35DD" w:rsidRPr="001B35DD">
        <w:rPr>
          <w:rFonts w:ascii="Arial" w:hAnsi="Arial" w:cs="Arial"/>
          <w:bCs/>
          <w:sz w:val="20"/>
          <w:szCs w:val="20"/>
        </w:rPr>
        <w:t xml:space="preserve">Compiled from </w:t>
      </w:r>
      <w:r w:rsidR="00086772" w:rsidRPr="001B35DD">
        <w:rPr>
          <w:rFonts w:ascii="Arial" w:hAnsi="Arial" w:cs="Arial"/>
          <w:bCs/>
          <w:sz w:val="20"/>
          <w:szCs w:val="20"/>
        </w:rPr>
        <w:t>Aut</w:t>
      </w:r>
      <w:r w:rsidR="001B35DD" w:rsidRPr="001B35DD">
        <w:rPr>
          <w:rFonts w:ascii="Arial" w:hAnsi="Arial" w:cs="Arial"/>
          <w:bCs/>
          <w:sz w:val="20"/>
          <w:szCs w:val="20"/>
        </w:rPr>
        <w:t>hor’s</w:t>
      </w:r>
      <w:r w:rsidR="001B35DD">
        <w:rPr>
          <w:rFonts w:ascii="Arial" w:hAnsi="Arial" w:cs="Arial"/>
          <w:sz w:val="20"/>
          <w:szCs w:val="20"/>
        </w:rPr>
        <w:t xml:space="preserve"> primary data</w:t>
      </w:r>
      <w:r w:rsidRPr="0070281F">
        <w:rPr>
          <w:rFonts w:ascii="Arial" w:hAnsi="Arial" w:cs="Arial"/>
          <w:sz w:val="20"/>
          <w:szCs w:val="20"/>
        </w:rPr>
        <w:t>, 20</w:t>
      </w:r>
      <w:r w:rsidR="00F916A9" w:rsidRPr="0070281F">
        <w:rPr>
          <w:rFonts w:ascii="Arial" w:hAnsi="Arial" w:cs="Arial"/>
          <w:sz w:val="20"/>
          <w:szCs w:val="20"/>
        </w:rPr>
        <w:t>25</w:t>
      </w:r>
    </w:p>
    <w:p w14:paraId="07642C22" w14:textId="77777777" w:rsidR="001B35DD" w:rsidRDefault="001B35DD" w:rsidP="00CA44E3">
      <w:pPr>
        <w:pStyle w:val="NoSpacing"/>
        <w:spacing w:line="360" w:lineRule="auto"/>
        <w:jc w:val="both"/>
        <w:rPr>
          <w:rFonts w:ascii="Arial" w:hAnsi="Arial" w:cs="Arial"/>
          <w:sz w:val="20"/>
          <w:szCs w:val="20"/>
          <w:lang w:val="en-US"/>
        </w:rPr>
      </w:pPr>
    </w:p>
    <w:p w14:paraId="41913502" w14:textId="3B3BFCF6" w:rsidR="00CA44E3" w:rsidRPr="0070281F" w:rsidRDefault="00CA44E3" w:rsidP="00CA44E3">
      <w:pPr>
        <w:pStyle w:val="NoSpacing"/>
        <w:spacing w:line="360" w:lineRule="auto"/>
        <w:jc w:val="both"/>
        <w:rPr>
          <w:rFonts w:ascii="Arial" w:hAnsi="Arial" w:cs="Arial"/>
          <w:sz w:val="20"/>
          <w:szCs w:val="20"/>
          <w:lang w:val="en-US"/>
        </w:rPr>
      </w:pPr>
      <w:r w:rsidRPr="0070281F">
        <w:rPr>
          <w:rFonts w:ascii="Arial" w:hAnsi="Arial" w:cs="Arial"/>
          <w:sz w:val="20"/>
          <w:szCs w:val="20"/>
          <w:lang w:val="en-US"/>
        </w:rPr>
        <w:t>The sample size for this study was determined using the Taro Yamane (1967) statistical formula for sample size determination:</w:t>
      </w:r>
    </w:p>
    <w:p w14:paraId="7AAB5B59" w14:textId="77777777" w:rsidR="00CA44E3" w:rsidRPr="0070281F" w:rsidRDefault="00CA44E3" w:rsidP="00CA44E3">
      <w:pPr>
        <w:pStyle w:val="NoSpacing"/>
        <w:spacing w:line="360" w:lineRule="auto"/>
        <w:jc w:val="both"/>
        <w:rPr>
          <w:rFonts w:ascii="Arial" w:hAnsi="Arial" w:cs="Arial"/>
          <w:sz w:val="20"/>
          <w:szCs w:val="20"/>
          <w:lang w:val="en-US"/>
        </w:rPr>
      </w:pPr>
      <w:r w:rsidRPr="0070281F">
        <w:rPr>
          <w:rFonts w:ascii="Arial" w:hAnsi="Arial" w:cs="Arial"/>
          <w:sz w:val="20"/>
          <w:szCs w:val="20"/>
          <w:lang w:val="en-US"/>
        </w:rPr>
        <w:t>n = N / (1 + N(e)²)</w:t>
      </w:r>
    </w:p>
    <w:p w14:paraId="1ADC6C6E" w14:textId="77777777" w:rsidR="00CA44E3" w:rsidRPr="0070281F" w:rsidRDefault="00CA44E3" w:rsidP="00CA44E3">
      <w:pPr>
        <w:pStyle w:val="NoSpacing"/>
        <w:spacing w:line="360" w:lineRule="auto"/>
        <w:jc w:val="both"/>
        <w:rPr>
          <w:rFonts w:ascii="Arial" w:hAnsi="Arial" w:cs="Arial"/>
          <w:sz w:val="20"/>
          <w:szCs w:val="20"/>
          <w:lang w:val="en-US"/>
        </w:rPr>
      </w:pPr>
      <w:r w:rsidRPr="0070281F">
        <w:rPr>
          <w:rFonts w:ascii="Arial" w:hAnsi="Arial" w:cs="Arial"/>
          <w:sz w:val="20"/>
          <w:szCs w:val="20"/>
          <w:lang w:val="en-US"/>
        </w:rPr>
        <w:t>Where:</w:t>
      </w:r>
    </w:p>
    <w:p w14:paraId="15387E9F" w14:textId="77777777" w:rsidR="00CA44E3" w:rsidRPr="0070281F" w:rsidRDefault="00CA44E3" w:rsidP="00CA44E3">
      <w:pPr>
        <w:pStyle w:val="NoSpacing"/>
        <w:spacing w:line="360" w:lineRule="auto"/>
        <w:jc w:val="both"/>
        <w:rPr>
          <w:rFonts w:ascii="Arial" w:hAnsi="Arial" w:cs="Arial"/>
          <w:sz w:val="20"/>
          <w:szCs w:val="20"/>
          <w:lang w:val="en-US"/>
        </w:rPr>
      </w:pPr>
      <w:r w:rsidRPr="0070281F">
        <w:rPr>
          <w:rFonts w:ascii="Arial" w:hAnsi="Arial" w:cs="Arial"/>
          <w:sz w:val="20"/>
          <w:szCs w:val="20"/>
          <w:lang w:val="en-US"/>
        </w:rPr>
        <w:t>n = sample size</w:t>
      </w:r>
    </w:p>
    <w:p w14:paraId="335E5841" w14:textId="77777777" w:rsidR="00CA44E3" w:rsidRPr="0070281F" w:rsidRDefault="00CA44E3" w:rsidP="00CA44E3">
      <w:pPr>
        <w:pStyle w:val="NoSpacing"/>
        <w:spacing w:line="360" w:lineRule="auto"/>
        <w:jc w:val="both"/>
        <w:rPr>
          <w:rFonts w:ascii="Arial" w:hAnsi="Arial" w:cs="Arial"/>
          <w:sz w:val="20"/>
          <w:szCs w:val="20"/>
          <w:lang w:val="en-US"/>
        </w:rPr>
      </w:pPr>
      <w:r w:rsidRPr="0070281F">
        <w:rPr>
          <w:rFonts w:ascii="Arial" w:hAnsi="Arial" w:cs="Arial"/>
          <w:sz w:val="20"/>
          <w:szCs w:val="20"/>
          <w:lang w:val="en-US"/>
        </w:rPr>
        <w:t>N = population size</w:t>
      </w:r>
    </w:p>
    <w:p w14:paraId="456C7BD2" w14:textId="77777777" w:rsidR="00CA44E3" w:rsidRPr="0070281F" w:rsidRDefault="00CA44E3" w:rsidP="00CA44E3">
      <w:pPr>
        <w:pStyle w:val="NoSpacing"/>
        <w:spacing w:line="360" w:lineRule="auto"/>
        <w:jc w:val="both"/>
        <w:rPr>
          <w:rFonts w:ascii="Arial" w:hAnsi="Arial" w:cs="Arial"/>
          <w:sz w:val="20"/>
          <w:szCs w:val="20"/>
          <w:lang w:val="en-US"/>
        </w:rPr>
      </w:pPr>
      <w:r w:rsidRPr="0070281F">
        <w:rPr>
          <w:rFonts w:ascii="Arial" w:hAnsi="Arial" w:cs="Arial"/>
          <w:sz w:val="20"/>
          <w:szCs w:val="20"/>
          <w:lang w:val="en-US"/>
        </w:rPr>
        <w:t>e = margin of error (0.05)</w:t>
      </w:r>
    </w:p>
    <w:p w14:paraId="5550A2ED" w14:textId="753A962F" w:rsidR="00083187" w:rsidRPr="0070281F" w:rsidRDefault="00CA44E3" w:rsidP="00083187">
      <w:pPr>
        <w:pStyle w:val="NoSpacing"/>
        <w:spacing w:after="240" w:line="360" w:lineRule="auto"/>
        <w:jc w:val="both"/>
        <w:rPr>
          <w:rFonts w:ascii="Arial" w:hAnsi="Arial" w:cs="Arial"/>
          <w:sz w:val="20"/>
          <w:szCs w:val="20"/>
          <w:vertAlign w:val="superscript"/>
        </w:rPr>
      </w:pPr>
      <w:r w:rsidRPr="0070281F">
        <w:rPr>
          <w:rFonts w:ascii="Arial" w:hAnsi="Arial" w:cs="Arial"/>
          <w:sz w:val="20"/>
          <w:szCs w:val="20"/>
          <w:lang w:val="en-US"/>
        </w:rPr>
        <w:t>Applying this formula to the population of 4,177,828, a sample size of 400 respondents was obtained and deemed adequate for the study.</w:t>
      </w:r>
      <w:r w:rsidR="001D1C5B" w:rsidRPr="001D1C5B">
        <w:t xml:space="preserve"> </w:t>
      </w:r>
      <w:r w:rsidR="001D1C5B" w:rsidRPr="001D1C5B">
        <w:rPr>
          <w:rFonts w:ascii="Arial" w:hAnsi="Arial" w:cs="Arial"/>
          <w:sz w:val="20"/>
          <w:szCs w:val="20"/>
          <w:lang w:val="en-US"/>
        </w:rPr>
        <w:t>Out of 400 questionnaires distributed, 314 were valid and used for analysis.</w:t>
      </w:r>
      <w:r w:rsidRPr="0070281F">
        <w:rPr>
          <w:rFonts w:ascii="Arial" w:hAnsi="Arial" w:cs="Arial"/>
          <w:sz w:val="20"/>
          <w:szCs w:val="20"/>
          <w:vertAlign w:val="superscript"/>
        </w:rPr>
        <w:tab/>
      </w:r>
    </w:p>
    <w:p w14:paraId="72D01CDB" w14:textId="7CA74AF1" w:rsidR="004E3AB0" w:rsidRPr="0070281F" w:rsidRDefault="00F916A9" w:rsidP="00C701E3">
      <w:pPr>
        <w:pStyle w:val="NoSpacing"/>
        <w:spacing w:after="240" w:line="360" w:lineRule="auto"/>
        <w:jc w:val="both"/>
        <w:rPr>
          <w:rFonts w:ascii="Arial" w:hAnsi="Arial" w:cs="Arial"/>
          <w:sz w:val="20"/>
          <w:szCs w:val="20"/>
        </w:rPr>
      </w:pPr>
      <w:r w:rsidRPr="0070281F">
        <w:rPr>
          <w:rFonts w:ascii="Arial" w:hAnsi="Arial" w:cs="Arial"/>
          <w:sz w:val="20"/>
          <w:szCs w:val="20"/>
        </w:rPr>
        <w:t>Additionally,</w:t>
      </w:r>
      <w:r w:rsidRPr="0070281F">
        <w:rPr>
          <w:rFonts w:ascii="Arial" w:hAnsi="Arial" w:cs="Arial"/>
          <w:b/>
          <w:sz w:val="20"/>
          <w:szCs w:val="20"/>
        </w:rPr>
        <w:t xml:space="preserve"> </w:t>
      </w:r>
      <w:r w:rsidR="00140154" w:rsidRPr="0070281F">
        <w:rPr>
          <w:rFonts w:ascii="Arial" w:hAnsi="Arial" w:cs="Arial"/>
          <w:sz w:val="20"/>
          <w:szCs w:val="20"/>
        </w:rPr>
        <w:t xml:space="preserve">the study employed a multi-stage sampling approach. Initially, stratified sampling technique was utilized to divide Anambra State into its three constituent senatorial zones. This stratification ensured proportional representation across the different geographical and administrative divisions of the state. Subsequently, one local government area was purposively selected from each senatorial zone: </w:t>
      </w:r>
      <w:proofErr w:type="spellStart"/>
      <w:r w:rsidR="00140154" w:rsidRPr="0070281F">
        <w:rPr>
          <w:rFonts w:ascii="Arial" w:hAnsi="Arial" w:cs="Arial"/>
          <w:sz w:val="20"/>
          <w:szCs w:val="20"/>
        </w:rPr>
        <w:t>Awka</w:t>
      </w:r>
      <w:proofErr w:type="spellEnd"/>
      <w:r w:rsidR="00140154" w:rsidRPr="0070281F">
        <w:rPr>
          <w:rFonts w:ascii="Arial" w:hAnsi="Arial" w:cs="Arial"/>
          <w:sz w:val="20"/>
          <w:szCs w:val="20"/>
        </w:rPr>
        <w:t xml:space="preserve"> North Local Government Area representing Anambra Central Senatorial Zone, </w:t>
      </w:r>
      <w:proofErr w:type="spellStart"/>
      <w:r w:rsidR="00140154" w:rsidRPr="0070281F">
        <w:rPr>
          <w:rFonts w:ascii="Arial" w:hAnsi="Arial" w:cs="Arial"/>
          <w:sz w:val="20"/>
          <w:szCs w:val="20"/>
        </w:rPr>
        <w:t>Ekwusigo</w:t>
      </w:r>
      <w:proofErr w:type="spellEnd"/>
      <w:r w:rsidR="00140154" w:rsidRPr="0070281F">
        <w:rPr>
          <w:rFonts w:ascii="Arial" w:hAnsi="Arial" w:cs="Arial"/>
          <w:sz w:val="20"/>
          <w:szCs w:val="20"/>
        </w:rPr>
        <w:t xml:space="preserve"> Local Government Area for Anambra South Senatorial Zone, and Anambra West Local Government Area for Anambra North Senatorial Zone. </w:t>
      </w:r>
      <w:r w:rsidR="009C25A7" w:rsidRPr="0070281F">
        <w:rPr>
          <w:rFonts w:ascii="Arial" w:hAnsi="Arial" w:cs="Arial"/>
          <w:sz w:val="20"/>
          <w:szCs w:val="20"/>
        </w:rPr>
        <w:t>Four hundred (400) copies of the questionnaire were distributed to the three selected local governments, one for each Se</w:t>
      </w:r>
      <w:r w:rsidR="00C701E3">
        <w:rPr>
          <w:rFonts w:ascii="Arial" w:hAnsi="Arial" w:cs="Arial"/>
          <w:sz w:val="20"/>
          <w:szCs w:val="20"/>
        </w:rPr>
        <w:t>natorial Districts of the State.</w:t>
      </w:r>
    </w:p>
    <w:p w14:paraId="6D81DFAD" w14:textId="5B677696" w:rsidR="007C4891" w:rsidRPr="0070281F" w:rsidRDefault="00491718" w:rsidP="007C4891">
      <w:pPr>
        <w:pStyle w:val="NoSpacing"/>
        <w:spacing w:after="240" w:line="360" w:lineRule="auto"/>
        <w:jc w:val="both"/>
        <w:rPr>
          <w:rFonts w:ascii="Arial" w:eastAsia="Calibri" w:hAnsi="Arial" w:cs="Arial"/>
          <w:sz w:val="20"/>
          <w:szCs w:val="20"/>
          <w:lang w:val="en-US"/>
        </w:rPr>
      </w:pPr>
      <w:r w:rsidRPr="0070281F">
        <w:rPr>
          <w:rFonts w:ascii="Arial" w:eastAsia="Calibri" w:hAnsi="Arial" w:cs="Arial"/>
          <w:sz w:val="20"/>
          <w:szCs w:val="20"/>
          <w:lang w:val="en-US"/>
        </w:rPr>
        <w:lastRenderedPageBreak/>
        <w:t xml:space="preserve">The study utilized both primary and secondary sources of data to ensure comprehensive coverage of the research objectives. Primary data were collected through a structured questionnaire specifically designed by the researcher, guided by established principles of questionnaire construction to systematically address the research questions and objectives. </w:t>
      </w:r>
      <w:r w:rsidR="00C701E3">
        <w:rPr>
          <w:rFonts w:ascii="Arial" w:eastAsia="Calibri" w:hAnsi="Arial" w:cs="Arial"/>
          <w:sz w:val="20"/>
          <w:szCs w:val="20"/>
          <w:lang w:val="en-US"/>
        </w:rPr>
        <w:t>S</w:t>
      </w:r>
      <w:r w:rsidR="004A52E4" w:rsidRPr="0070281F">
        <w:rPr>
          <w:rFonts w:ascii="Arial" w:eastAsia="Calibri" w:hAnsi="Arial" w:cs="Arial"/>
          <w:sz w:val="20"/>
          <w:szCs w:val="20"/>
          <w:lang w:val="en-US"/>
        </w:rPr>
        <w:t>econdary data were obtained from textbooks, peer-reviewed journal articles, government publications, international conventions (e.g., CEDAW, Beijing Platform for Action), newspapers, and policy documents such as the National Gender Policy (2006). These secondary sources provided the necessary theoretical foundation and contextual background for interpreting the findings</w:t>
      </w:r>
      <w:r w:rsidRPr="0070281F">
        <w:rPr>
          <w:rFonts w:ascii="Arial" w:eastAsia="Calibri" w:hAnsi="Arial" w:cs="Arial"/>
          <w:sz w:val="20"/>
          <w:szCs w:val="20"/>
          <w:lang w:val="en-US"/>
        </w:rPr>
        <w:t>.</w:t>
      </w:r>
    </w:p>
    <w:p w14:paraId="5982F93F" w14:textId="76E6E69D" w:rsidR="00491718" w:rsidRPr="0070281F" w:rsidRDefault="007C4891" w:rsidP="007C4891">
      <w:pPr>
        <w:pStyle w:val="NoSpacing"/>
        <w:spacing w:after="240" w:line="360" w:lineRule="auto"/>
        <w:jc w:val="both"/>
        <w:rPr>
          <w:rFonts w:ascii="Arial" w:eastAsia="Calibri" w:hAnsi="Arial" w:cs="Arial"/>
          <w:sz w:val="20"/>
          <w:szCs w:val="20"/>
          <w:lang w:val="en-US"/>
        </w:rPr>
      </w:pPr>
      <w:r w:rsidRPr="0070281F">
        <w:rPr>
          <w:rFonts w:ascii="Arial" w:eastAsia="Calibri" w:hAnsi="Arial" w:cs="Arial"/>
          <w:sz w:val="20"/>
          <w:szCs w:val="20"/>
          <w:lang w:val="en-US"/>
        </w:rPr>
        <w:t>For analysis, responses were carefully collated and tallied, with descriptive statistics such as frequencies, percentages, and means employed to present patterns in the data. To test the hypotheses, Chi-Square (χ²) analysis was applied at a 0.05 level of significance, enabling the researcher to determine whether differences in responses were statistically significant. This method was particularly useful in clarifying whether gender equality has a measurable relationship with sustainable development outcomes in Nigeria.</w:t>
      </w:r>
      <w:r w:rsidR="001602C3" w:rsidRPr="0070281F">
        <w:rPr>
          <w:rFonts w:ascii="Arial" w:hAnsi="Arial" w:cs="Arial"/>
          <w:sz w:val="20"/>
          <w:szCs w:val="20"/>
        </w:rPr>
        <w:t xml:space="preserve"> </w:t>
      </w:r>
      <w:r w:rsidR="001602C3" w:rsidRPr="0070281F">
        <w:rPr>
          <w:rFonts w:ascii="Arial" w:eastAsia="Calibri" w:hAnsi="Arial" w:cs="Arial"/>
          <w:sz w:val="20"/>
          <w:szCs w:val="20"/>
          <w:lang w:val="en-US"/>
        </w:rPr>
        <w:t>Finally, the study adhered to established ethical standards. Respondents were fully informed about the purpose of the study and gave their consent before participating. Participation was voluntary, and respondents were assured of confidentiality and anonymity. Sensitive issues were handled with caution, and data were reported objectively to maintain research integrity</w:t>
      </w:r>
    </w:p>
    <w:p w14:paraId="78CCAEA1" w14:textId="485C5512" w:rsidR="00FB4736" w:rsidRPr="0070281F" w:rsidRDefault="00FB4736" w:rsidP="006A5B59">
      <w:pPr>
        <w:pStyle w:val="NoSpacing"/>
        <w:numPr>
          <w:ilvl w:val="0"/>
          <w:numId w:val="10"/>
        </w:numPr>
        <w:jc w:val="both"/>
        <w:rPr>
          <w:rFonts w:ascii="Arial" w:hAnsi="Arial" w:cs="Arial"/>
          <w:b/>
          <w:i/>
          <w:iCs/>
          <w:sz w:val="20"/>
          <w:szCs w:val="20"/>
        </w:rPr>
      </w:pPr>
      <w:r w:rsidRPr="0070281F">
        <w:rPr>
          <w:rFonts w:ascii="Arial" w:hAnsi="Arial" w:cs="Arial"/>
          <w:b/>
          <w:i/>
          <w:iCs/>
          <w:sz w:val="20"/>
          <w:szCs w:val="20"/>
        </w:rPr>
        <w:t>Theoretical Framework</w:t>
      </w:r>
      <w:r w:rsidR="006A5B59" w:rsidRPr="0070281F">
        <w:rPr>
          <w:rFonts w:ascii="Arial" w:hAnsi="Arial" w:cs="Arial"/>
          <w:b/>
          <w:i/>
          <w:iCs/>
          <w:sz w:val="20"/>
          <w:szCs w:val="20"/>
        </w:rPr>
        <w:t xml:space="preserve"> and application:</w:t>
      </w:r>
    </w:p>
    <w:p w14:paraId="25362EFF" w14:textId="77777777" w:rsidR="006A5B59" w:rsidRPr="0070281F" w:rsidRDefault="006A5B59" w:rsidP="00491718">
      <w:pPr>
        <w:pStyle w:val="NoSpacing"/>
        <w:rPr>
          <w:rFonts w:ascii="Arial" w:hAnsi="Arial" w:cs="Arial"/>
          <w:b/>
          <w:i/>
          <w:iCs/>
          <w:sz w:val="20"/>
          <w:szCs w:val="20"/>
        </w:rPr>
      </w:pPr>
    </w:p>
    <w:p w14:paraId="0CE76C91" w14:textId="44CF03BA" w:rsidR="00F97089" w:rsidRPr="00F97089" w:rsidRDefault="00F97089" w:rsidP="00F97089">
      <w:pPr>
        <w:spacing w:line="360" w:lineRule="auto"/>
        <w:jc w:val="both"/>
        <w:rPr>
          <w:rFonts w:ascii="Arial" w:eastAsia="Calibri" w:hAnsi="Arial" w:cs="Arial"/>
          <w:sz w:val="20"/>
          <w:szCs w:val="20"/>
        </w:rPr>
      </w:pPr>
      <w:r w:rsidRPr="00F97089">
        <w:rPr>
          <w:rFonts w:ascii="Arial" w:eastAsia="Calibri" w:hAnsi="Arial" w:cs="Arial"/>
          <w:sz w:val="20"/>
          <w:szCs w:val="20"/>
        </w:rPr>
        <w:t xml:space="preserve">This study adopts a multi-theoretical framework combining postmodern feminism (Walby, 1992), materialist feminism, and radical feminism (Firestone, 1972). Each </w:t>
      </w:r>
      <w:r>
        <w:rPr>
          <w:rFonts w:ascii="Arial" w:eastAsia="Calibri" w:hAnsi="Arial" w:cs="Arial"/>
          <w:sz w:val="20"/>
          <w:szCs w:val="20"/>
        </w:rPr>
        <w:t>theory</w:t>
      </w:r>
      <w:r w:rsidRPr="00F97089">
        <w:rPr>
          <w:rFonts w:ascii="Arial" w:eastAsia="Calibri" w:hAnsi="Arial" w:cs="Arial"/>
          <w:sz w:val="20"/>
          <w:szCs w:val="20"/>
        </w:rPr>
        <w:t xml:space="preserve"> highlights different but complementary dimensions of gender inequality,</w:t>
      </w:r>
      <w:r>
        <w:rPr>
          <w:rFonts w:ascii="Arial" w:eastAsia="Calibri" w:hAnsi="Arial" w:cs="Arial"/>
          <w:sz w:val="20"/>
          <w:szCs w:val="20"/>
        </w:rPr>
        <w:t xml:space="preserve"> showing a</w:t>
      </w:r>
      <w:r w:rsidRPr="00F97089">
        <w:rPr>
          <w:rFonts w:ascii="Arial" w:eastAsia="Calibri" w:hAnsi="Arial" w:cs="Arial"/>
          <w:sz w:val="20"/>
          <w:szCs w:val="20"/>
        </w:rPr>
        <w:t xml:space="preserve"> lens for analyzing its impact on Nigeria’s pursuit of the Sustainable Development Goals (SDGs).</w:t>
      </w:r>
      <w:r w:rsidR="002A0900">
        <w:rPr>
          <w:rFonts w:ascii="Arial" w:eastAsia="Calibri" w:hAnsi="Arial" w:cs="Arial"/>
          <w:sz w:val="20"/>
          <w:szCs w:val="20"/>
        </w:rPr>
        <w:t xml:space="preserve"> </w:t>
      </w:r>
      <w:r w:rsidRPr="00F97089">
        <w:rPr>
          <w:rFonts w:ascii="Arial" w:eastAsia="Calibri" w:hAnsi="Arial" w:cs="Arial"/>
          <w:sz w:val="20"/>
          <w:szCs w:val="20"/>
        </w:rPr>
        <w:t>Postmodern feminism emphasizes that women’s subordination is not only rooted in material conditions but is also sustained through cultural constructions of gender, language, and discourse. For example, stereotypes that label women as “soft” or “weaker vessels” reinforce exclusion from leadership, politics, and decision-making (Walby, 1992). This lens is useful for explaining how cultural narratives shape public perceptions</w:t>
      </w:r>
      <w:r w:rsidR="002A0900">
        <w:rPr>
          <w:rFonts w:ascii="Arial" w:eastAsia="Calibri" w:hAnsi="Arial" w:cs="Arial"/>
          <w:sz w:val="20"/>
          <w:szCs w:val="20"/>
        </w:rPr>
        <w:t xml:space="preserve">; </w:t>
      </w:r>
      <w:r w:rsidRPr="00F97089">
        <w:rPr>
          <w:rFonts w:ascii="Arial" w:eastAsia="Calibri" w:hAnsi="Arial" w:cs="Arial"/>
          <w:sz w:val="20"/>
          <w:szCs w:val="20"/>
        </w:rPr>
        <w:t>an important factor behind persistent inequality in education, politics, and health.</w:t>
      </w:r>
    </w:p>
    <w:p w14:paraId="2CA8665E" w14:textId="77777777" w:rsidR="000637A0" w:rsidRDefault="00F97089" w:rsidP="00F97089">
      <w:pPr>
        <w:spacing w:line="360" w:lineRule="auto"/>
        <w:jc w:val="both"/>
        <w:rPr>
          <w:rFonts w:ascii="Arial" w:eastAsia="Calibri" w:hAnsi="Arial" w:cs="Arial"/>
          <w:sz w:val="20"/>
          <w:szCs w:val="20"/>
        </w:rPr>
      </w:pPr>
      <w:r w:rsidRPr="00F97089">
        <w:rPr>
          <w:rFonts w:ascii="Arial" w:eastAsia="Calibri" w:hAnsi="Arial" w:cs="Arial"/>
          <w:sz w:val="20"/>
          <w:szCs w:val="20"/>
        </w:rPr>
        <w:t>Materialist feminism, on the other hand, situates women’s oppression within economic and political structures. It stresses that disparities in property ownership, wage gaps, and dependence on male-controlled resources constitute the material foundations of inequality. This perspective aligns with the study’s concern about how economic exclusion limits women’s contributions to Nigeria’s development outcomes.</w:t>
      </w:r>
      <w:r w:rsidR="006151A1">
        <w:rPr>
          <w:rFonts w:ascii="Arial" w:eastAsia="Calibri" w:hAnsi="Arial" w:cs="Arial"/>
          <w:sz w:val="20"/>
          <w:szCs w:val="20"/>
        </w:rPr>
        <w:t xml:space="preserve"> </w:t>
      </w:r>
      <w:r w:rsidR="00AB30E4" w:rsidRPr="0070281F">
        <w:rPr>
          <w:rFonts w:ascii="Arial" w:eastAsia="Calibri" w:hAnsi="Arial" w:cs="Arial"/>
          <w:sz w:val="20"/>
          <w:szCs w:val="20"/>
        </w:rPr>
        <w:t xml:space="preserve">(Walby, 1992).  </w:t>
      </w:r>
    </w:p>
    <w:p w14:paraId="3FF25560" w14:textId="04F73743" w:rsidR="003E2A9F" w:rsidRDefault="000637A0" w:rsidP="00F97089">
      <w:pPr>
        <w:spacing w:line="360" w:lineRule="auto"/>
        <w:jc w:val="both"/>
        <w:rPr>
          <w:rFonts w:ascii="Arial" w:eastAsia="Calibri" w:hAnsi="Arial" w:cs="Arial"/>
          <w:sz w:val="20"/>
          <w:szCs w:val="20"/>
        </w:rPr>
      </w:pPr>
      <w:r w:rsidRPr="000637A0">
        <w:rPr>
          <w:rFonts w:ascii="Arial" w:eastAsia="Calibri" w:hAnsi="Arial" w:cs="Arial"/>
          <w:sz w:val="20"/>
          <w:szCs w:val="20"/>
        </w:rPr>
        <w:t>Radical feminism complements these views by</w:t>
      </w:r>
      <w:r>
        <w:rPr>
          <w:rFonts w:ascii="Arial" w:eastAsia="Calibri" w:hAnsi="Arial" w:cs="Arial"/>
          <w:sz w:val="20"/>
          <w:szCs w:val="20"/>
        </w:rPr>
        <w:t xml:space="preserve"> stating</w:t>
      </w:r>
      <w:r w:rsidR="00947FE2">
        <w:rPr>
          <w:rFonts w:ascii="Arial" w:eastAsia="Calibri" w:hAnsi="Arial" w:cs="Arial"/>
          <w:sz w:val="20"/>
          <w:szCs w:val="20"/>
        </w:rPr>
        <w:t xml:space="preserve"> the</w:t>
      </w:r>
      <w:r w:rsidRPr="000637A0">
        <w:rPr>
          <w:rFonts w:ascii="Arial" w:eastAsia="Calibri" w:hAnsi="Arial" w:cs="Arial"/>
          <w:sz w:val="20"/>
          <w:szCs w:val="20"/>
        </w:rPr>
        <w:t xml:space="preserve"> reproductive and sexual relations as central sites of women’s oppression. Practices such as early marriage and female genital mutilation reduce women’s autonomy and reinforce systemic subordination (Firestone, 1972). This theory directly relates to the study’s focus on health and bodily integrity as critical components of sustainable development.</w:t>
      </w:r>
    </w:p>
    <w:p w14:paraId="43FE6970" w14:textId="77A08A40" w:rsidR="00947FE2" w:rsidRDefault="00947FE2" w:rsidP="00F97089">
      <w:pPr>
        <w:spacing w:line="360" w:lineRule="auto"/>
        <w:jc w:val="both"/>
        <w:rPr>
          <w:rFonts w:ascii="Arial" w:eastAsia="Calibri" w:hAnsi="Arial" w:cs="Arial"/>
          <w:sz w:val="20"/>
          <w:szCs w:val="20"/>
        </w:rPr>
      </w:pPr>
      <w:r>
        <w:rPr>
          <w:rFonts w:ascii="Arial" w:eastAsia="Calibri" w:hAnsi="Arial" w:cs="Arial"/>
          <w:sz w:val="20"/>
          <w:szCs w:val="20"/>
        </w:rPr>
        <w:lastRenderedPageBreak/>
        <w:t>T</w:t>
      </w:r>
      <w:r w:rsidRPr="00947FE2">
        <w:rPr>
          <w:rFonts w:ascii="Arial" w:eastAsia="Calibri" w:hAnsi="Arial" w:cs="Arial"/>
          <w:sz w:val="20"/>
          <w:szCs w:val="20"/>
        </w:rPr>
        <w:t xml:space="preserve">ogether, these three theories explain why gender inequality persists in Nigeria despite existing policies. Postmodern </w:t>
      </w:r>
      <w:r w:rsidR="00175895">
        <w:rPr>
          <w:rFonts w:ascii="Arial" w:eastAsia="Calibri" w:hAnsi="Arial" w:cs="Arial"/>
          <w:sz w:val="20"/>
          <w:szCs w:val="20"/>
        </w:rPr>
        <w:t>assumptions</w:t>
      </w:r>
      <w:r w:rsidRPr="00947FE2">
        <w:rPr>
          <w:rFonts w:ascii="Arial" w:eastAsia="Calibri" w:hAnsi="Arial" w:cs="Arial"/>
          <w:sz w:val="20"/>
          <w:szCs w:val="20"/>
        </w:rPr>
        <w:t xml:space="preserve"> reveal the cultural and symbolic forces that reproduce stereotypes; materialist feminism underscores the structural economic barriers; and radical feminism exposes how control over women’s bodies perpetuates subordination. Linking these perspectives to the research questions, the </w:t>
      </w:r>
      <w:r w:rsidR="00175895">
        <w:rPr>
          <w:rFonts w:ascii="Arial" w:eastAsia="Calibri" w:hAnsi="Arial" w:cs="Arial"/>
          <w:sz w:val="20"/>
          <w:szCs w:val="20"/>
        </w:rPr>
        <w:t>theor</w:t>
      </w:r>
      <w:r w:rsidR="00BF3C22">
        <w:rPr>
          <w:rFonts w:ascii="Arial" w:eastAsia="Calibri" w:hAnsi="Arial" w:cs="Arial"/>
          <w:sz w:val="20"/>
          <w:szCs w:val="20"/>
        </w:rPr>
        <w:t>y</w:t>
      </w:r>
      <w:r w:rsidRPr="00947FE2">
        <w:rPr>
          <w:rFonts w:ascii="Arial" w:eastAsia="Calibri" w:hAnsi="Arial" w:cs="Arial"/>
          <w:sz w:val="20"/>
          <w:szCs w:val="20"/>
        </w:rPr>
        <w:t xml:space="preserve"> helps to examine: (1) whether gender equality influences Nigeria’s progress toward the SDGs, and (2) which dimensions of inequality—education, health, economy, or politics—pose the greatest barriers to achieving them.</w:t>
      </w:r>
      <w:r w:rsidR="00BF3C22" w:rsidRPr="00BF3C22">
        <w:t xml:space="preserve"> </w:t>
      </w:r>
      <w:r w:rsidR="00BF3C22" w:rsidRPr="00BF3C22">
        <w:rPr>
          <w:rFonts w:ascii="Arial" w:eastAsia="Calibri" w:hAnsi="Arial" w:cs="Arial"/>
          <w:sz w:val="20"/>
          <w:szCs w:val="20"/>
        </w:rPr>
        <w:t>In this way, gender equality is positioned not just as a moral concern but as a strategic requirement for sustainable development.</w:t>
      </w:r>
    </w:p>
    <w:p w14:paraId="72D01CDD" w14:textId="265A396D" w:rsidR="004E3AB0" w:rsidRPr="0070281F" w:rsidRDefault="004E3AB0" w:rsidP="006A5B59">
      <w:pPr>
        <w:pStyle w:val="ListParagraph"/>
        <w:numPr>
          <w:ilvl w:val="0"/>
          <w:numId w:val="5"/>
        </w:numPr>
        <w:rPr>
          <w:rFonts w:ascii="Arial" w:hAnsi="Arial" w:cs="Arial"/>
          <w:b/>
          <w:sz w:val="20"/>
          <w:szCs w:val="20"/>
        </w:rPr>
      </w:pPr>
      <w:r w:rsidRPr="0070281F">
        <w:rPr>
          <w:rFonts w:ascii="Arial" w:hAnsi="Arial" w:cs="Arial"/>
          <w:b/>
          <w:sz w:val="20"/>
          <w:szCs w:val="20"/>
        </w:rPr>
        <w:t>DATA PRESENTATION, ANALYSIS AND DISCUSSION</w:t>
      </w:r>
    </w:p>
    <w:p w14:paraId="459A099C" w14:textId="2AD660E3" w:rsidR="00D7126D" w:rsidRPr="0070281F" w:rsidRDefault="00531305" w:rsidP="004E3AB0">
      <w:pPr>
        <w:tabs>
          <w:tab w:val="left" w:pos="1080"/>
        </w:tabs>
        <w:spacing w:line="360" w:lineRule="auto"/>
        <w:jc w:val="both"/>
        <w:rPr>
          <w:rFonts w:ascii="Arial" w:hAnsi="Arial" w:cs="Arial"/>
          <w:sz w:val="20"/>
          <w:szCs w:val="20"/>
        </w:rPr>
      </w:pPr>
      <w:r w:rsidRPr="0070281F">
        <w:rPr>
          <w:rFonts w:ascii="Arial" w:hAnsi="Arial" w:cs="Arial"/>
          <w:sz w:val="20"/>
          <w:szCs w:val="20"/>
        </w:rPr>
        <w:t xml:space="preserve">The purpose of this section is to present and interpret the data collected from respondents across the three senatorial districts of Anambra State. </w:t>
      </w:r>
    </w:p>
    <w:p w14:paraId="4F247EE6" w14:textId="77777777" w:rsidR="004A2F8C" w:rsidRDefault="00283470" w:rsidP="00283470">
      <w:pPr>
        <w:tabs>
          <w:tab w:val="left" w:pos="1080"/>
        </w:tabs>
        <w:spacing w:line="360" w:lineRule="auto"/>
        <w:jc w:val="both"/>
        <w:rPr>
          <w:rFonts w:ascii="Arial" w:hAnsi="Arial" w:cs="Arial"/>
          <w:sz w:val="20"/>
          <w:szCs w:val="20"/>
        </w:rPr>
      </w:pPr>
      <w:r w:rsidRPr="0070281F">
        <w:rPr>
          <w:rFonts w:ascii="Arial" w:hAnsi="Arial" w:cs="Arial"/>
          <w:sz w:val="20"/>
          <w:szCs w:val="20"/>
        </w:rPr>
        <w:t>The researcher distributed four hundred (400) questionnaires across three local government areas, with one area selected from each Senatorial District within the State. Of these, three hundred and fifty-six (356) questionnaires were retrieved, yielding an 89% response rate, while forty-four (44) questionnaires (11%) were not recovered despite efforts to retrieve them.</w:t>
      </w:r>
      <w:r w:rsidR="004A2F8C">
        <w:rPr>
          <w:rFonts w:ascii="Arial" w:hAnsi="Arial" w:cs="Arial"/>
          <w:sz w:val="20"/>
          <w:szCs w:val="20"/>
        </w:rPr>
        <w:t xml:space="preserve"> </w:t>
      </w:r>
      <w:r w:rsidRPr="0070281F">
        <w:rPr>
          <w:rFonts w:ascii="Arial" w:hAnsi="Arial" w:cs="Arial"/>
          <w:sz w:val="20"/>
          <w:szCs w:val="20"/>
        </w:rPr>
        <w:t xml:space="preserve">Among the returned questionnaires, forty-two (42) were excluded from the analysis due to incomplete or improper responses, accounting for 10.5% of both the total distributed and returned questionnaires. </w:t>
      </w:r>
    </w:p>
    <w:p w14:paraId="72D01CDE" w14:textId="075E7E6B" w:rsidR="004E3AB0" w:rsidRPr="0070281F" w:rsidRDefault="00283470" w:rsidP="00283470">
      <w:pPr>
        <w:tabs>
          <w:tab w:val="left" w:pos="1080"/>
        </w:tabs>
        <w:spacing w:line="360" w:lineRule="auto"/>
        <w:jc w:val="both"/>
        <w:rPr>
          <w:rFonts w:ascii="Arial" w:hAnsi="Arial" w:cs="Arial"/>
          <w:sz w:val="20"/>
          <w:szCs w:val="20"/>
        </w:rPr>
      </w:pPr>
      <w:r w:rsidRPr="0070281F">
        <w:rPr>
          <w:rFonts w:ascii="Arial" w:hAnsi="Arial" w:cs="Arial"/>
          <w:sz w:val="20"/>
          <w:szCs w:val="20"/>
        </w:rPr>
        <w:t xml:space="preserve">Consequently, three hundred and fourteen (314) questionnaires were deemed suitable for analysis, representing 78.5% of the total distribution and return respectively. The table below presents the questionnaire distribution and </w:t>
      </w:r>
      <w:r w:rsidR="00F57DD6" w:rsidRPr="0070281F">
        <w:rPr>
          <w:rFonts w:ascii="Arial" w:hAnsi="Arial" w:cs="Arial"/>
          <w:sz w:val="20"/>
          <w:szCs w:val="20"/>
        </w:rPr>
        <w:t>returns</w:t>
      </w:r>
      <w:r w:rsidRPr="0070281F">
        <w:rPr>
          <w:rFonts w:ascii="Arial" w:hAnsi="Arial" w:cs="Arial"/>
          <w:sz w:val="20"/>
          <w:szCs w:val="20"/>
        </w:rPr>
        <w:t xml:space="preserve"> rates for this study</w:t>
      </w:r>
      <w:r w:rsidR="004E3AB0" w:rsidRPr="0070281F">
        <w:rPr>
          <w:rFonts w:ascii="Arial" w:hAnsi="Arial" w:cs="Arial"/>
          <w:sz w:val="20"/>
          <w:szCs w:val="20"/>
        </w:rPr>
        <w:t>.</w:t>
      </w:r>
    </w:p>
    <w:p w14:paraId="72D01CDF" w14:textId="1601F3FC" w:rsidR="004E3AB0" w:rsidRPr="0070281F" w:rsidRDefault="009C25A7" w:rsidP="009C25A7">
      <w:pPr>
        <w:pStyle w:val="NoSpacing"/>
        <w:rPr>
          <w:rFonts w:ascii="Arial" w:hAnsi="Arial" w:cs="Arial"/>
          <w:b/>
          <w:sz w:val="20"/>
          <w:szCs w:val="20"/>
        </w:rPr>
      </w:pPr>
      <w:r w:rsidRPr="0070281F">
        <w:rPr>
          <w:rFonts w:ascii="Arial" w:hAnsi="Arial" w:cs="Arial"/>
          <w:b/>
          <w:sz w:val="20"/>
          <w:szCs w:val="20"/>
        </w:rPr>
        <w:t xml:space="preserve">Table </w:t>
      </w:r>
      <w:r w:rsidR="0057365B">
        <w:rPr>
          <w:rFonts w:ascii="Arial" w:hAnsi="Arial" w:cs="Arial"/>
          <w:b/>
          <w:sz w:val="20"/>
          <w:szCs w:val="20"/>
        </w:rPr>
        <w:t>2</w:t>
      </w:r>
      <w:r w:rsidRPr="0070281F">
        <w:rPr>
          <w:rFonts w:ascii="Arial" w:hAnsi="Arial" w:cs="Arial"/>
          <w:b/>
          <w:sz w:val="20"/>
          <w:szCs w:val="20"/>
        </w:rPr>
        <w:t xml:space="preserve">: </w:t>
      </w:r>
      <w:r w:rsidR="004E3AB0" w:rsidRPr="0070281F">
        <w:rPr>
          <w:rFonts w:ascii="Arial" w:hAnsi="Arial" w:cs="Arial"/>
          <w:b/>
          <w:sz w:val="20"/>
          <w:szCs w:val="20"/>
        </w:rPr>
        <w:t>Return Rate of Distributed Questionnaire Table</w:t>
      </w:r>
    </w:p>
    <w:tbl>
      <w:tblPr>
        <w:tblStyle w:val="TableGrid"/>
        <w:tblW w:w="9073" w:type="dxa"/>
        <w:tblInd w:w="-147" w:type="dxa"/>
        <w:tblLook w:val="04A0" w:firstRow="1" w:lastRow="0" w:firstColumn="1" w:lastColumn="0" w:noHBand="0" w:noVBand="1"/>
      </w:tblPr>
      <w:tblGrid>
        <w:gridCol w:w="1843"/>
        <w:gridCol w:w="1701"/>
        <w:gridCol w:w="1560"/>
        <w:gridCol w:w="1236"/>
        <w:gridCol w:w="1457"/>
        <w:gridCol w:w="1276"/>
      </w:tblGrid>
      <w:tr w:rsidR="00745AEF" w:rsidRPr="0070281F" w14:paraId="72D01CE6" w14:textId="77777777" w:rsidTr="007C0F31">
        <w:trPr>
          <w:trHeight w:val="165"/>
        </w:trPr>
        <w:tc>
          <w:tcPr>
            <w:tcW w:w="1843" w:type="dxa"/>
          </w:tcPr>
          <w:p w14:paraId="72D01CE0" w14:textId="77777777" w:rsidR="004E3AB0" w:rsidRPr="0070281F" w:rsidRDefault="004E3AB0" w:rsidP="009C25A7">
            <w:pPr>
              <w:pStyle w:val="NoSpacing"/>
              <w:rPr>
                <w:rFonts w:ascii="Arial" w:hAnsi="Arial" w:cs="Arial"/>
                <w:b/>
                <w:sz w:val="20"/>
                <w:szCs w:val="20"/>
              </w:rPr>
            </w:pPr>
            <w:r w:rsidRPr="0070281F">
              <w:rPr>
                <w:rFonts w:ascii="Arial" w:hAnsi="Arial" w:cs="Arial"/>
                <w:b/>
                <w:sz w:val="20"/>
                <w:szCs w:val="20"/>
              </w:rPr>
              <w:t>Senatorial District</w:t>
            </w:r>
          </w:p>
        </w:tc>
        <w:tc>
          <w:tcPr>
            <w:tcW w:w="1701" w:type="dxa"/>
          </w:tcPr>
          <w:p w14:paraId="72D01CE1" w14:textId="77777777" w:rsidR="004E3AB0" w:rsidRPr="0070281F" w:rsidRDefault="004E3AB0" w:rsidP="009C25A7">
            <w:pPr>
              <w:pStyle w:val="NoSpacing"/>
              <w:rPr>
                <w:rFonts w:ascii="Arial" w:hAnsi="Arial" w:cs="Arial"/>
                <w:b/>
                <w:sz w:val="20"/>
                <w:szCs w:val="20"/>
              </w:rPr>
            </w:pPr>
            <w:r w:rsidRPr="0070281F">
              <w:rPr>
                <w:rFonts w:ascii="Arial" w:hAnsi="Arial" w:cs="Arial"/>
                <w:b/>
                <w:sz w:val="20"/>
                <w:szCs w:val="20"/>
              </w:rPr>
              <w:t xml:space="preserve">No. Distributed </w:t>
            </w:r>
          </w:p>
        </w:tc>
        <w:tc>
          <w:tcPr>
            <w:tcW w:w="1560" w:type="dxa"/>
          </w:tcPr>
          <w:p w14:paraId="72D01CE2" w14:textId="77777777" w:rsidR="004E3AB0" w:rsidRPr="0070281F" w:rsidRDefault="004E3AB0" w:rsidP="009C25A7">
            <w:pPr>
              <w:pStyle w:val="NoSpacing"/>
              <w:rPr>
                <w:rFonts w:ascii="Arial" w:hAnsi="Arial" w:cs="Arial"/>
                <w:b/>
                <w:sz w:val="20"/>
                <w:szCs w:val="20"/>
              </w:rPr>
            </w:pPr>
            <w:r w:rsidRPr="0070281F">
              <w:rPr>
                <w:rFonts w:ascii="Arial" w:hAnsi="Arial" w:cs="Arial"/>
                <w:b/>
                <w:sz w:val="20"/>
                <w:szCs w:val="20"/>
              </w:rPr>
              <w:t>No.</w:t>
            </w:r>
            <w:r w:rsidR="009C25A7" w:rsidRPr="0070281F">
              <w:rPr>
                <w:rFonts w:ascii="Arial" w:hAnsi="Arial" w:cs="Arial"/>
                <w:b/>
                <w:sz w:val="20"/>
                <w:szCs w:val="20"/>
              </w:rPr>
              <w:t xml:space="preserve"> </w:t>
            </w:r>
            <w:r w:rsidRPr="0070281F">
              <w:rPr>
                <w:rFonts w:ascii="Arial" w:hAnsi="Arial" w:cs="Arial"/>
                <w:b/>
                <w:caps/>
                <w:sz w:val="20"/>
                <w:szCs w:val="20"/>
              </w:rPr>
              <w:t>r</w:t>
            </w:r>
            <w:r w:rsidRPr="0070281F">
              <w:rPr>
                <w:rFonts w:ascii="Arial" w:hAnsi="Arial" w:cs="Arial"/>
                <w:b/>
                <w:sz w:val="20"/>
                <w:szCs w:val="20"/>
              </w:rPr>
              <w:t>eturned</w:t>
            </w:r>
          </w:p>
        </w:tc>
        <w:tc>
          <w:tcPr>
            <w:tcW w:w="1236" w:type="dxa"/>
          </w:tcPr>
          <w:p w14:paraId="72D01CE3" w14:textId="77777777" w:rsidR="004E3AB0" w:rsidRPr="0070281F" w:rsidRDefault="004E3AB0" w:rsidP="009C25A7">
            <w:pPr>
              <w:pStyle w:val="NoSpacing"/>
              <w:rPr>
                <w:rFonts w:ascii="Arial" w:hAnsi="Arial" w:cs="Arial"/>
                <w:b/>
                <w:sz w:val="20"/>
                <w:szCs w:val="20"/>
              </w:rPr>
            </w:pPr>
            <w:r w:rsidRPr="0070281F">
              <w:rPr>
                <w:rFonts w:ascii="Arial" w:hAnsi="Arial" w:cs="Arial"/>
                <w:b/>
                <w:sz w:val="20"/>
                <w:szCs w:val="20"/>
              </w:rPr>
              <w:t xml:space="preserve">No. </w:t>
            </w:r>
            <w:r w:rsidR="009C25A7" w:rsidRPr="0070281F">
              <w:rPr>
                <w:rFonts w:ascii="Arial" w:hAnsi="Arial" w:cs="Arial"/>
                <w:b/>
                <w:sz w:val="20"/>
                <w:szCs w:val="20"/>
              </w:rPr>
              <w:t xml:space="preserve">Not </w:t>
            </w:r>
            <w:r w:rsidRPr="0070281F">
              <w:rPr>
                <w:rFonts w:ascii="Arial" w:hAnsi="Arial" w:cs="Arial"/>
                <w:b/>
                <w:caps/>
                <w:sz w:val="20"/>
                <w:szCs w:val="20"/>
              </w:rPr>
              <w:t>r</w:t>
            </w:r>
            <w:r w:rsidRPr="0070281F">
              <w:rPr>
                <w:rFonts w:ascii="Arial" w:hAnsi="Arial" w:cs="Arial"/>
                <w:b/>
                <w:sz w:val="20"/>
                <w:szCs w:val="20"/>
              </w:rPr>
              <w:t>eturned</w:t>
            </w:r>
          </w:p>
        </w:tc>
        <w:tc>
          <w:tcPr>
            <w:tcW w:w="1457" w:type="dxa"/>
          </w:tcPr>
          <w:p w14:paraId="72D01CE4" w14:textId="77777777" w:rsidR="004E3AB0" w:rsidRPr="0070281F" w:rsidRDefault="004E3AB0" w:rsidP="009C25A7">
            <w:pPr>
              <w:pStyle w:val="NoSpacing"/>
              <w:rPr>
                <w:rFonts w:ascii="Arial" w:hAnsi="Arial" w:cs="Arial"/>
                <w:b/>
                <w:sz w:val="20"/>
                <w:szCs w:val="20"/>
              </w:rPr>
            </w:pPr>
            <w:r w:rsidRPr="0070281F">
              <w:rPr>
                <w:rFonts w:ascii="Arial" w:hAnsi="Arial" w:cs="Arial"/>
                <w:b/>
                <w:sz w:val="20"/>
                <w:szCs w:val="20"/>
              </w:rPr>
              <w:t>No.</w:t>
            </w:r>
            <w:r w:rsidR="009C25A7" w:rsidRPr="0070281F">
              <w:rPr>
                <w:rFonts w:ascii="Arial" w:hAnsi="Arial" w:cs="Arial"/>
                <w:b/>
                <w:sz w:val="20"/>
                <w:szCs w:val="20"/>
              </w:rPr>
              <w:t xml:space="preserve"> </w:t>
            </w:r>
            <w:r w:rsidRPr="0070281F">
              <w:rPr>
                <w:rFonts w:ascii="Arial" w:hAnsi="Arial" w:cs="Arial"/>
                <w:b/>
                <w:sz w:val="20"/>
                <w:szCs w:val="20"/>
              </w:rPr>
              <w:t>Condemned</w:t>
            </w:r>
          </w:p>
        </w:tc>
        <w:tc>
          <w:tcPr>
            <w:tcW w:w="1276" w:type="dxa"/>
          </w:tcPr>
          <w:p w14:paraId="72D01CE5" w14:textId="77777777" w:rsidR="004E3AB0" w:rsidRPr="0070281F" w:rsidRDefault="004E3AB0" w:rsidP="009C25A7">
            <w:pPr>
              <w:pStyle w:val="NoSpacing"/>
              <w:rPr>
                <w:rFonts w:ascii="Arial" w:hAnsi="Arial" w:cs="Arial"/>
                <w:b/>
                <w:sz w:val="20"/>
                <w:szCs w:val="20"/>
              </w:rPr>
            </w:pPr>
            <w:r w:rsidRPr="0070281F">
              <w:rPr>
                <w:rFonts w:ascii="Arial" w:hAnsi="Arial" w:cs="Arial"/>
                <w:b/>
                <w:sz w:val="20"/>
                <w:szCs w:val="20"/>
              </w:rPr>
              <w:t xml:space="preserve">No. </w:t>
            </w:r>
            <w:r w:rsidRPr="0070281F">
              <w:rPr>
                <w:rFonts w:ascii="Arial" w:hAnsi="Arial" w:cs="Arial"/>
                <w:b/>
                <w:caps/>
                <w:sz w:val="20"/>
                <w:szCs w:val="20"/>
              </w:rPr>
              <w:t>u</w:t>
            </w:r>
            <w:r w:rsidRPr="0070281F">
              <w:rPr>
                <w:rFonts w:ascii="Arial" w:hAnsi="Arial" w:cs="Arial"/>
                <w:b/>
                <w:sz w:val="20"/>
                <w:szCs w:val="20"/>
              </w:rPr>
              <w:t>sed</w:t>
            </w:r>
          </w:p>
        </w:tc>
      </w:tr>
      <w:tr w:rsidR="00745AEF" w:rsidRPr="0070281F" w14:paraId="72D01CED" w14:textId="77777777" w:rsidTr="007C0F31">
        <w:trPr>
          <w:trHeight w:val="135"/>
        </w:trPr>
        <w:tc>
          <w:tcPr>
            <w:tcW w:w="1843" w:type="dxa"/>
          </w:tcPr>
          <w:p w14:paraId="72D01CE7"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Anambra Central</w:t>
            </w:r>
          </w:p>
        </w:tc>
        <w:tc>
          <w:tcPr>
            <w:tcW w:w="1701" w:type="dxa"/>
          </w:tcPr>
          <w:p w14:paraId="72D01CE8"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141</w:t>
            </w:r>
          </w:p>
        </w:tc>
        <w:tc>
          <w:tcPr>
            <w:tcW w:w="1560" w:type="dxa"/>
          </w:tcPr>
          <w:p w14:paraId="72D01CE9"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125</w:t>
            </w:r>
          </w:p>
        </w:tc>
        <w:tc>
          <w:tcPr>
            <w:tcW w:w="1236" w:type="dxa"/>
          </w:tcPr>
          <w:p w14:paraId="72D01CEA"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16</w:t>
            </w:r>
          </w:p>
        </w:tc>
        <w:tc>
          <w:tcPr>
            <w:tcW w:w="1457" w:type="dxa"/>
          </w:tcPr>
          <w:p w14:paraId="72D01CEB"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17</w:t>
            </w:r>
          </w:p>
        </w:tc>
        <w:tc>
          <w:tcPr>
            <w:tcW w:w="1276" w:type="dxa"/>
          </w:tcPr>
          <w:p w14:paraId="72D01CEC"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108</w:t>
            </w:r>
          </w:p>
        </w:tc>
      </w:tr>
      <w:tr w:rsidR="00745AEF" w:rsidRPr="0070281F" w14:paraId="72D01CF4" w14:textId="77777777" w:rsidTr="007C0F31">
        <w:trPr>
          <w:trHeight w:val="111"/>
        </w:trPr>
        <w:tc>
          <w:tcPr>
            <w:tcW w:w="1843" w:type="dxa"/>
          </w:tcPr>
          <w:p w14:paraId="72D01CEE"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Anambra South</w:t>
            </w:r>
          </w:p>
        </w:tc>
        <w:tc>
          <w:tcPr>
            <w:tcW w:w="1701" w:type="dxa"/>
          </w:tcPr>
          <w:p w14:paraId="72D01CEF"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151</w:t>
            </w:r>
          </w:p>
        </w:tc>
        <w:tc>
          <w:tcPr>
            <w:tcW w:w="1560" w:type="dxa"/>
          </w:tcPr>
          <w:p w14:paraId="72D01CF0"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131</w:t>
            </w:r>
          </w:p>
        </w:tc>
        <w:tc>
          <w:tcPr>
            <w:tcW w:w="1236" w:type="dxa"/>
          </w:tcPr>
          <w:p w14:paraId="72D01CF1"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20</w:t>
            </w:r>
          </w:p>
        </w:tc>
        <w:tc>
          <w:tcPr>
            <w:tcW w:w="1457" w:type="dxa"/>
          </w:tcPr>
          <w:p w14:paraId="72D01CF2"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19</w:t>
            </w:r>
          </w:p>
        </w:tc>
        <w:tc>
          <w:tcPr>
            <w:tcW w:w="1276" w:type="dxa"/>
          </w:tcPr>
          <w:p w14:paraId="72D01CF3"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112</w:t>
            </w:r>
          </w:p>
        </w:tc>
      </w:tr>
      <w:tr w:rsidR="00745AEF" w:rsidRPr="0070281F" w14:paraId="72D01CFB" w14:textId="77777777" w:rsidTr="007C0F31">
        <w:trPr>
          <w:trHeight w:val="150"/>
        </w:trPr>
        <w:tc>
          <w:tcPr>
            <w:tcW w:w="1843" w:type="dxa"/>
          </w:tcPr>
          <w:p w14:paraId="72D01CF5"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Anambra North</w:t>
            </w:r>
          </w:p>
        </w:tc>
        <w:tc>
          <w:tcPr>
            <w:tcW w:w="1701" w:type="dxa"/>
          </w:tcPr>
          <w:p w14:paraId="72D01CF6"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108</w:t>
            </w:r>
          </w:p>
        </w:tc>
        <w:tc>
          <w:tcPr>
            <w:tcW w:w="1560" w:type="dxa"/>
          </w:tcPr>
          <w:p w14:paraId="72D01CF7"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100</w:t>
            </w:r>
          </w:p>
        </w:tc>
        <w:tc>
          <w:tcPr>
            <w:tcW w:w="1236" w:type="dxa"/>
          </w:tcPr>
          <w:p w14:paraId="72D01CF8"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8</w:t>
            </w:r>
          </w:p>
        </w:tc>
        <w:tc>
          <w:tcPr>
            <w:tcW w:w="1457" w:type="dxa"/>
          </w:tcPr>
          <w:p w14:paraId="72D01CF9"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6</w:t>
            </w:r>
          </w:p>
        </w:tc>
        <w:tc>
          <w:tcPr>
            <w:tcW w:w="1276" w:type="dxa"/>
          </w:tcPr>
          <w:p w14:paraId="72D01CFA"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94</w:t>
            </w:r>
          </w:p>
        </w:tc>
      </w:tr>
      <w:tr w:rsidR="00745AEF" w:rsidRPr="0070281F" w14:paraId="72D01D02" w14:textId="77777777" w:rsidTr="007C0F31">
        <w:tc>
          <w:tcPr>
            <w:tcW w:w="1843" w:type="dxa"/>
            <w:hideMark/>
          </w:tcPr>
          <w:p w14:paraId="72D01CFC"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Grand Total</w:t>
            </w:r>
          </w:p>
        </w:tc>
        <w:tc>
          <w:tcPr>
            <w:tcW w:w="1701" w:type="dxa"/>
            <w:hideMark/>
          </w:tcPr>
          <w:p w14:paraId="72D01CFD"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400</w:t>
            </w:r>
          </w:p>
        </w:tc>
        <w:tc>
          <w:tcPr>
            <w:tcW w:w="1560" w:type="dxa"/>
            <w:hideMark/>
          </w:tcPr>
          <w:p w14:paraId="72D01CFE"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356</w:t>
            </w:r>
          </w:p>
        </w:tc>
        <w:tc>
          <w:tcPr>
            <w:tcW w:w="1236" w:type="dxa"/>
            <w:hideMark/>
          </w:tcPr>
          <w:p w14:paraId="72D01CFF"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44</w:t>
            </w:r>
          </w:p>
        </w:tc>
        <w:tc>
          <w:tcPr>
            <w:tcW w:w="1457" w:type="dxa"/>
            <w:hideMark/>
          </w:tcPr>
          <w:p w14:paraId="72D01D00"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42</w:t>
            </w:r>
          </w:p>
        </w:tc>
        <w:tc>
          <w:tcPr>
            <w:tcW w:w="1276" w:type="dxa"/>
            <w:hideMark/>
          </w:tcPr>
          <w:p w14:paraId="72D01D01"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314</w:t>
            </w:r>
          </w:p>
        </w:tc>
      </w:tr>
      <w:tr w:rsidR="00745AEF" w:rsidRPr="0070281F" w14:paraId="72D01D09" w14:textId="77777777" w:rsidTr="007C0F31">
        <w:tc>
          <w:tcPr>
            <w:tcW w:w="1843" w:type="dxa"/>
            <w:hideMark/>
          </w:tcPr>
          <w:p w14:paraId="72D01D03"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 xml:space="preserve"> Percentage %</w:t>
            </w:r>
          </w:p>
        </w:tc>
        <w:tc>
          <w:tcPr>
            <w:tcW w:w="1701" w:type="dxa"/>
            <w:hideMark/>
          </w:tcPr>
          <w:p w14:paraId="72D01D04"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100 %</w:t>
            </w:r>
          </w:p>
        </w:tc>
        <w:tc>
          <w:tcPr>
            <w:tcW w:w="1560" w:type="dxa"/>
            <w:hideMark/>
          </w:tcPr>
          <w:p w14:paraId="72D01D05"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89 %</w:t>
            </w:r>
          </w:p>
        </w:tc>
        <w:tc>
          <w:tcPr>
            <w:tcW w:w="1236" w:type="dxa"/>
            <w:hideMark/>
          </w:tcPr>
          <w:p w14:paraId="72D01D06"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11%</w:t>
            </w:r>
          </w:p>
        </w:tc>
        <w:tc>
          <w:tcPr>
            <w:tcW w:w="1457" w:type="dxa"/>
            <w:hideMark/>
          </w:tcPr>
          <w:p w14:paraId="72D01D07"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10.5%</w:t>
            </w:r>
          </w:p>
        </w:tc>
        <w:tc>
          <w:tcPr>
            <w:tcW w:w="1276" w:type="dxa"/>
            <w:hideMark/>
          </w:tcPr>
          <w:p w14:paraId="72D01D08"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78.5%</w:t>
            </w:r>
          </w:p>
        </w:tc>
      </w:tr>
    </w:tbl>
    <w:p w14:paraId="72D01D0A" w14:textId="11D9FAB8" w:rsidR="004E3AB0" w:rsidRPr="0070281F" w:rsidRDefault="00E642BA" w:rsidP="004E3AB0">
      <w:pPr>
        <w:pStyle w:val="NoSpacing"/>
        <w:rPr>
          <w:rFonts w:ascii="Arial" w:hAnsi="Arial" w:cs="Arial"/>
          <w:b/>
          <w:sz w:val="20"/>
          <w:szCs w:val="20"/>
        </w:rPr>
      </w:pPr>
      <w:r>
        <w:rPr>
          <w:rFonts w:ascii="Arial" w:hAnsi="Arial" w:cs="Arial"/>
          <w:b/>
          <w:sz w:val="20"/>
          <w:szCs w:val="20"/>
        </w:rPr>
        <w:t>Source: Primary Data</w:t>
      </w:r>
      <w:r w:rsidR="009C25A7" w:rsidRPr="0070281F">
        <w:rPr>
          <w:rFonts w:ascii="Arial" w:hAnsi="Arial" w:cs="Arial"/>
          <w:sz w:val="20"/>
          <w:szCs w:val="20"/>
        </w:rPr>
        <w:t>, 2025</w:t>
      </w:r>
    </w:p>
    <w:p w14:paraId="72D01D0B" w14:textId="77777777" w:rsidR="00882E83" w:rsidRPr="0070281F" w:rsidRDefault="00882E83" w:rsidP="00882E83">
      <w:pPr>
        <w:spacing w:after="160" w:line="259" w:lineRule="auto"/>
        <w:rPr>
          <w:rFonts w:ascii="Arial" w:eastAsia="Calibri" w:hAnsi="Arial" w:cs="Arial"/>
          <w:b/>
          <w:sz w:val="20"/>
          <w:szCs w:val="20"/>
        </w:rPr>
      </w:pPr>
    </w:p>
    <w:p w14:paraId="72D01D0C" w14:textId="78AF0E8B" w:rsidR="00ED0D5F" w:rsidRPr="0070281F" w:rsidRDefault="004E3AB0" w:rsidP="00ED0D5F">
      <w:pPr>
        <w:spacing w:after="160" w:line="360" w:lineRule="auto"/>
        <w:jc w:val="both"/>
        <w:rPr>
          <w:rFonts w:ascii="Arial" w:hAnsi="Arial" w:cs="Arial"/>
          <w:sz w:val="20"/>
          <w:szCs w:val="20"/>
        </w:rPr>
      </w:pPr>
      <w:r w:rsidRPr="0070281F">
        <w:rPr>
          <w:rFonts w:ascii="Arial" w:eastAsia="Calibri" w:hAnsi="Arial" w:cs="Arial"/>
          <w:b/>
          <w:sz w:val="20"/>
          <w:szCs w:val="20"/>
        </w:rPr>
        <w:t>R</w:t>
      </w:r>
      <w:r w:rsidR="00882E83" w:rsidRPr="0070281F">
        <w:rPr>
          <w:rFonts w:ascii="Arial" w:eastAsia="Calibri" w:hAnsi="Arial" w:cs="Arial"/>
          <w:b/>
          <w:sz w:val="20"/>
          <w:szCs w:val="20"/>
        </w:rPr>
        <w:t xml:space="preserve">esearch Question One: </w:t>
      </w:r>
      <w:r w:rsidR="00882E83" w:rsidRPr="0070281F">
        <w:rPr>
          <w:rFonts w:ascii="Arial" w:hAnsi="Arial" w:cs="Arial"/>
          <w:i/>
          <w:sz w:val="20"/>
          <w:szCs w:val="20"/>
          <w:lang w:eastAsia="en-GB"/>
        </w:rPr>
        <w:t>Is</w:t>
      </w:r>
      <w:r w:rsidR="00360ADE" w:rsidRPr="00360ADE">
        <w:rPr>
          <w:rFonts w:ascii="Arial" w:hAnsi="Arial" w:cs="Arial"/>
          <w:i/>
          <w:sz w:val="20"/>
          <w:szCs w:val="20"/>
          <w:lang w:eastAsia="en-GB"/>
        </w:rPr>
        <w:t xml:space="preserve"> there a connection between gender equality and Nigeria’s progress toward the SDGs</w:t>
      </w:r>
      <w:r w:rsidR="00ED0D5F" w:rsidRPr="0070281F">
        <w:rPr>
          <w:rFonts w:ascii="Arial" w:hAnsi="Arial" w:cs="Arial"/>
          <w:i/>
          <w:sz w:val="20"/>
          <w:szCs w:val="20"/>
        </w:rPr>
        <w:t>?</w:t>
      </w:r>
    </w:p>
    <w:p w14:paraId="72D01D0D" w14:textId="42AE5E73" w:rsidR="004E3AB0" w:rsidRPr="0070281F" w:rsidRDefault="00882E83" w:rsidP="004E3AB0">
      <w:pPr>
        <w:pStyle w:val="NoSpacing"/>
        <w:rPr>
          <w:rFonts w:ascii="Arial" w:eastAsia="Calibri" w:hAnsi="Arial" w:cs="Arial"/>
          <w:b/>
          <w:sz w:val="20"/>
          <w:szCs w:val="20"/>
        </w:rPr>
      </w:pPr>
      <w:r w:rsidRPr="0070281F">
        <w:rPr>
          <w:rFonts w:ascii="Arial" w:hAnsi="Arial" w:cs="Arial"/>
          <w:b/>
          <w:sz w:val="20"/>
          <w:szCs w:val="20"/>
        </w:rPr>
        <w:t xml:space="preserve">Table </w:t>
      </w:r>
      <w:r w:rsidR="00360ADE">
        <w:rPr>
          <w:rFonts w:ascii="Arial" w:hAnsi="Arial" w:cs="Arial"/>
          <w:b/>
          <w:sz w:val="20"/>
          <w:szCs w:val="20"/>
        </w:rPr>
        <w:t>3</w:t>
      </w:r>
      <w:r w:rsidRPr="0070281F">
        <w:rPr>
          <w:rFonts w:ascii="Arial" w:hAnsi="Arial" w:cs="Arial"/>
          <w:b/>
          <w:sz w:val="20"/>
          <w:szCs w:val="20"/>
        </w:rPr>
        <w:t xml:space="preserve">: </w:t>
      </w:r>
      <w:r w:rsidRPr="0070281F">
        <w:rPr>
          <w:rFonts w:ascii="Arial" w:hAnsi="Arial" w:cs="Arial"/>
          <w:b/>
          <w:sz w:val="20"/>
          <w:szCs w:val="20"/>
          <w:lang w:eastAsia="en-GB"/>
        </w:rPr>
        <w:t>Relationship between</w:t>
      </w:r>
      <w:r w:rsidRPr="0070281F">
        <w:rPr>
          <w:rFonts w:ascii="Arial" w:hAnsi="Arial" w:cs="Arial"/>
          <w:b/>
          <w:sz w:val="20"/>
          <w:szCs w:val="20"/>
        </w:rPr>
        <w:t xml:space="preserve"> </w:t>
      </w:r>
      <w:r w:rsidRPr="0070281F">
        <w:rPr>
          <w:rFonts w:ascii="Arial" w:eastAsia="Times New Roman" w:hAnsi="Arial" w:cs="Arial"/>
          <w:b/>
          <w:sz w:val="20"/>
          <w:szCs w:val="20"/>
          <w:lang w:eastAsia="en-GB"/>
        </w:rPr>
        <w:t>gender equality and Nigeria's SDGs</w:t>
      </w:r>
    </w:p>
    <w:tbl>
      <w:tblPr>
        <w:tblpPr w:leftFromText="180" w:rightFromText="180" w:vertAnchor="text" w:horzAnchor="page" w:tblpX="1018" w:tblpY="22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1097"/>
        <w:gridCol w:w="829"/>
        <w:gridCol w:w="962"/>
        <w:gridCol w:w="1134"/>
        <w:gridCol w:w="1275"/>
        <w:gridCol w:w="993"/>
      </w:tblGrid>
      <w:tr w:rsidR="00745AEF" w:rsidRPr="0070281F" w14:paraId="72D01D15" w14:textId="77777777" w:rsidTr="007007B5">
        <w:trPr>
          <w:trHeight w:val="557"/>
        </w:trPr>
        <w:tc>
          <w:tcPr>
            <w:tcW w:w="3203" w:type="dxa"/>
          </w:tcPr>
          <w:p w14:paraId="72D01D0E" w14:textId="77777777" w:rsidR="004E3AB0" w:rsidRPr="0070281F" w:rsidRDefault="004E3AB0" w:rsidP="00ED0D5F">
            <w:pPr>
              <w:pStyle w:val="NoSpacing"/>
              <w:jc w:val="both"/>
              <w:rPr>
                <w:rFonts w:ascii="Arial" w:hAnsi="Arial" w:cs="Arial"/>
                <w:b/>
                <w:sz w:val="20"/>
                <w:szCs w:val="20"/>
              </w:rPr>
            </w:pPr>
            <w:r w:rsidRPr="0070281F">
              <w:rPr>
                <w:rFonts w:ascii="Arial" w:hAnsi="Arial" w:cs="Arial"/>
                <w:b/>
                <w:sz w:val="20"/>
                <w:szCs w:val="20"/>
              </w:rPr>
              <w:t xml:space="preserve">Responses </w:t>
            </w:r>
          </w:p>
        </w:tc>
        <w:tc>
          <w:tcPr>
            <w:tcW w:w="1097" w:type="dxa"/>
          </w:tcPr>
          <w:p w14:paraId="72D01D0F" w14:textId="77777777" w:rsidR="004E3AB0" w:rsidRPr="0070281F" w:rsidRDefault="004E3AB0" w:rsidP="00ED0D5F">
            <w:pPr>
              <w:pStyle w:val="NoSpacing"/>
              <w:jc w:val="both"/>
              <w:rPr>
                <w:rFonts w:ascii="Arial" w:hAnsi="Arial" w:cs="Arial"/>
                <w:b/>
                <w:sz w:val="20"/>
                <w:szCs w:val="20"/>
              </w:rPr>
            </w:pPr>
            <w:r w:rsidRPr="0070281F">
              <w:rPr>
                <w:rFonts w:ascii="Arial" w:hAnsi="Arial" w:cs="Arial"/>
                <w:b/>
                <w:sz w:val="20"/>
                <w:szCs w:val="20"/>
              </w:rPr>
              <w:t xml:space="preserve">Strongly Agree  </w:t>
            </w:r>
          </w:p>
        </w:tc>
        <w:tc>
          <w:tcPr>
            <w:tcW w:w="829" w:type="dxa"/>
          </w:tcPr>
          <w:p w14:paraId="72D01D10" w14:textId="77777777" w:rsidR="004E3AB0" w:rsidRPr="0070281F" w:rsidRDefault="004E3AB0" w:rsidP="00ED0D5F">
            <w:pPr>
              <w:pStyle w:val="NoSpacing"/>
              <w:jc w:val="both"/>
              <w:rPr>
                <w:rFonts w:ascii="Arial" w:hAnsi="Arial" w:cs="Arial"/>
                <w:b/>
                <w:sz w:val="20"/>
                <w:szCs w:val="20"/>
              </w:rPr>
            </w:pPr>
            <w:r w:rsidRPr="0070281F">
              <w:rPr>
                <w:rFonts w:ascii="Arial" w:hAnsi="Arial" w:cs="Arial"/>
                <w:b/>
                <w:sz w:val="20"/>
                <w:szCs w:val="20"/>
              </w:rPr>
              <w:t xml:space="preserve">Agree  </w:t>
            </w:r>
          </w:p>
        </w:tc>
        <w:tc>
          <w:tcPr>
            <w:tcW w:w="962" w:type="dxa"/>
          </w:tcPr>
          <w:p w14:paraId="72D01D11" w14:textId="77777777" w:rsidR="004E3AB0" w:rsidRPr="0070281F" w:rsidRDefault="004E3AB0" w:rsidP="00ED0D5F">
            <w:pPr>
              <w:pStyle w:val="NoSpacing"/>
              <w:jc w:val="both"/>
              <w:rPr>
                <w:rFonts w:ascii="Arial" w:hAnsi="Arial" w:cs="Arial"/>
                <w:b/>
                <w:sz w:val="20"/>
                <w:szCs w:val="20"/>
              </w:rPr>
            </w:pPr>
            <w:r w:rsidRPr="0070281F">
              <w:rPr>
                <w:rFonts w:ascii="Arial" w:hAnsi="Arial" w:cs="Arial"/>
                <w:b/>
                <w:sz w:val="20"/>
                <w:szCs w:val="20"/>
              </w:rPr>
              <w:t xml:space="preserve">Don’t Know  </w:t>
            </w:r>
          </w:p>
        </w:tc>
        <w:tc>
          <w:tcPr>
            <w:tcW w:w="1134" w:type="dxa"/>
          </w:tcPr>
          <w:p w14:paraId="72D01D12" w14:textId="77777777" w:rsidR="004E3AB0" w:rsidRPr="0070281F" w:rsidRDefault="004E3AB0" w:rsidP="00ED0D5F">
            <w:pPr>
              <w:pStyle w:val="NoSpacing"/>
              <w:jc w:val="both"/>
              <w:rPr>
                <w:rFonts w:ascii="Arial" w:hAnsi="Arial" w:cs="Arial"/>
                <w:b/>
                <w:sz w:val="20"/>
                <w:szCs w:val="20"/>
              </w:rPr>
            </w:pPr>
            <w:r w:rsidRPr="0070281F">
              <w:rPr>
                <w:rFonts w:ascii="Arial" w:hAnsi="Arial" w:cs="Arial"/>
                <w:b/>
                <w:sz w:val="20"/>
                <w:szCs w:val="20"/>
              </w:rPr>
              <w:t>Disagree</w:t>
            </w:r>
          </w:p>
        </w:tc>
        <w:tc>
          <w:tcPr>
            <w:tcW w:w="1275" w:type="dxa"/>
          </w:tcPr>
          <w:p w14:paraId="72D01D13" w14:textId="77777777" w:rsidR="004E3AB0" w:rsidRPr="0070281F" w:rsidRDefault="004E3AB0" w:rsidP="00ED0D5F">
            <w:pPr>
              <w:pStyle w:val="NoSpacing"/>
              <w:jc w:val="both"/>
              <w:rPr>
                <w:rFonts w:ascii="Arial" w:hAnsi="Arial" w:cs="Arial"/>
                <w:b/>
                <w:sz w:val="20"/>
                <w:szCs w:val="20"/>
              </w:rPr>
            </w:pPr>
            <w:r w:rsidRPr="0070281F">
              <w:rPr>
                <w:rFonts w:ascii="Arial" w:hAnsi="Arial" w:cs="Arial"/>
                <w:b/>
                <w:sz w:val="20"/>
                <w:szCs w:val="20"/>
              </w:rPr>
              <w:t>Strongly Disagree</w:t>
            </w:r>
          </w:p>
        </w:tc>
        <w:tc>
          <w:tcPr>
            <w:tcW w:w="993" w:type="dxa"/>
          </w:tcPr>
          <w:p w14:paraId="72D01D14" w14:textId="77777777" w:rsidR="004E3AB0" w:rsidRPr="0070281F" w:rsidRDefault="004E3AB0" w:rsidP="00ED0D5F">
            <w:pPr>
              <w:pStyle w:val="NoSpacing"/>
              <w:jc w:val="both"/>
              <w:rPr>
                <w:rFonts w:ascii="Arial" w:hAnsi="Arial" w:cs="Arial"/>
                <w:b/>
                <w:sz w:val="20"/>
                <w:szCs w:val="20"/>
              </w:rPr>
            </w:pPr>
            <w:r w:rsidRPr="0070281F">
              <w:rPr>
                <w:rFonts w:ascii="Arial" w:hAnsi="Arial" w:cs="Arial"/>
                <w:b/>
                <w:sz w:val="20"/>
                <w:szCs w:val="20"/>
              </w:rPr>
              <w:t>Total</w:t>
            </w:r>
          </w:p>
        </w:tc>
      </w:tr>
      <w:tr w:rsidR="00745AEF" w:rsidRPr="0070281F" w14:paraId="72D01D23" w14:textId="77777777" w:rsidTr="00E575B4">
        <w:trPr>
          <w:trHeight w:val="555"/>
        </w:trPr>
        <w:tc>
          <w:tcPr>
            <w:tcW w:w="3203" w:type="dxa"/>
          </w:tcPr>
          <w:p w14:paraId="72D01D16" w14:textId="77777777" w:rsidR="004E3AB0" w:rsidRPr="0070281F" w:rsidRDefault="00393966" w:rsidP="00ED0D5F">
            <w:pPr>
              <w:pStyle w:val="NoSpacing"/>
              <w:jc w:val="both"/>
              <w:rPr>
                <w:rFonts w:ascii="Arial" w:hAnsi="Arial" w:cs="Arial"/>
                <w:sz w:val="20"/>
                <w:szCs w:val="20"/>
              </w:rPr>
            </w:pPr>
            <w:r w:rsidRPr="0070281F">
              <w:rPr>
                <w:rFonts w:ascii="Arial" w:eastAsia="Times New Roman" w:hAnsi="Arial" w:cs="Arial"/>
                <w:spacing w:val="2"/>
                <w:sz w:val="20"/>
                <w:szCs w:val="20"/>
                <w:lang w:eastAsia="en-GB"/>
              </w:rPr>
              <w:t>Women's economic empowerment is linked to ending poverty (SDG 1) and reducing income inequality</w:t>
            </w:r>
          </w:p>
        </w:tc>
        <w:tc>
          <w:tcPr>
            <w:tcW w:w="1097" w:type="dxa"/>
          </w:tcPr>
          <w:p w14:paraId="72D01D17"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172</w:t>
            </w:r>
          </w:p>
          <w:p w14:paraId="72D01D18"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55%</w:t>
            </w:r>
          </w:p>
        </w:tc>
        <w:tc>
          <w:tcPr>
            <w:tcW w:w="829" w:type="dxa"/>
          </w:tcPr>
          <w:p w14:paraId="72D01D19"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62</w:t>
            </w:r>
          </w:p>
          <w:p w14:paraId="72D01D1A"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20%</w:t>
            </w:r>
          </w:p>
        </w:tc>
        <w:tc>
          <w:tcPr>
            <w:tcW w:w="962" w:type="dxa"/>
          </w:tcPr>
          <w:p w14:paraId="72D01D1B"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17</w:t>
            </w:r>
          </w:p>
          <w:p w14:paraId="72D01D1C"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w:t>
            </w:r>
          </w:p>
        </w:tc>
        <w:tc>
          <w:tcPr>
            <w:tcW w:w="1134" w:type="dxa"/>
          </w:tcPr>
          <w:p w14:paraId="72D01D1D"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34</w:t>
            </w:r>
          </w:p>
          <w:p w14:paraId="72D01D1E"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11%</w:t>
            </w:r>
          </w:p>
        </w:tc>
        <w:tc>
          <w:tcPr>
            <w:tcW w:w="1275" w:type="dxa"/>
          </w:tcPr>
          <w:p w14:paraId="72D01D1F"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29</w:t>
            </w:r>
          </w:p>
          <w:p w14:paraId="72D01D20"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9%</w:t>
            </w:r>
          </w:p>
        </w:tc>
        <w:tc>
          <w:tcPr>
            <w:tcW w:w="993" w:type="dxa"/>
          </w:tcPr>
          <w:p w14:paraId="72D01D21"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314</w:t>
            </w:r>
          </w:p>
          <w:p w14:paraId="72D01D22"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D31" w14:textId="77777777" w:rsidTr="00E575B4">
        <w:trPr>
          <w:trHeight w:val="258"/>
        </w:trPr>
        <w:tc>
          <w:tcPr>
            <w:tcW w:w="3203" w:type="dxa"/>
          </w:tcPr>
          <w:p w14:paraId="72D01D24" w14:textId="77777777" w:rsidR="004E3AB0" w:rsidRPr="0070281F" w:rsidRDefault="00ED0D5F" w:rsidP="00ED0D5F">
            <w:pPr>
              <w:pStyle w:val="NoSpacing"/>
              <w:jc w:val="both"/>
              <w:rPr>
                <w:rFonts w:ascii="Arial" w:hAnsi="Arial" w:cs="Arial"/>
                <w:sz w:val="20"/>
                <w:szCs w:val="20"/>
              </w:rPr>
            </w:pPr>
            <w:r w:rsidRPr="0070281F">
              <w:rPr>
                <w:rFonts w:ascii="Arial" w:eastAsia="Times New Roman" w:hAnsi="Arial" w:cs="Arial"/>
                <w:spacing w:val="2"/>
                <w:sz w:val="20"/>
                <w:szCs w:val="20"/>
                <w:lang w:eastAsia="en-GB"/>
              </w:rPr>
              <w:t xml:space="preserve">Ensuring girls' access to quality education (SDG 4) is essential for </w:t>
            </w:r>
            <w:r w:rsidRPr="0070281F">
              <w:rPr>
                <w:rFonts w:ascii="Arial" w:eastAsia="Times New Roman" w:hAnsi="Arial" w:cs="Arial"/>
                <w:spacing w:val="2"/>
                <w:sz w:val="20"/>
                <w:szCs w:val="20"/>
                <w:lang w:eastAsia="en-GB"/>
              </w:rPr>
              <w:lastRenderedPageBreak/>
              <w:t>their overall development and for achieving gender equality</w:t>
            </w:r>
          </w:p>
        </w:tc>
        <w:tc>
          <w:tcPr>
            <w:tcW w:w="1097" w:type="dxa"/>
          </w:tcPr>
          <w:p w14:paraId="72D01D25"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lastRenderedPageBreak/>
              <w:t>120</w:t>
            </w:r>
          </w:p>
          <w:p w14:paraId="72D01D26"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38%</w:t>
            </w:r>
          </w:p>
        </w:tc>
        <w:tc>
          <w:tcPr>
            <w:tcW w:w="829" w:type="dxa"/>
          </w:tcPr>
          <w:p w14:paraId="72D01D27"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67</w:t>
            </w:r>
          </w:p>
          <w:p w14:paraId="72D01D28"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21%</w:t>
            </w:r>
          </w:p>
        </w:tc>
        <w:tc>
          <w:tcPr>
            <w:tcW w:w="962" w:type="dxa"/>
          </w:tcPr>
          <w:p w14:paraId="72D01D29"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44</w:t>
            </w:r>
          </w:p>
          <w:p w14:paraId="72D01D2A"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14%</w:t>
            </w:r>
          </w:p>
        </w:tc>
        <w:tc>
          <w:tcPr>
            <w:tcW w:w="1134" w:type="dxa"/>
          </w:tcPr>
          <w:p w14:paraId="72D01D2B"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28</w:t>
            </w:r>
          </w:p>
          <w:p w14:paraId="72D01D2C"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9%</w:t>
            </w:r>
          </w:p>
        </w:tc>
        <w:tc>
          <w:tcPr>
            <w:tcW w:w="1275" w:type="dxa"/>
          </w:tcPr>
          <w:p w14:paraId="72D01D2D"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55</w:t>
            </w:r>
          </w:p>
          <w:p w14:paraId="72D01D2E"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18%</w:t>
            </w:r>
          </w:p>
        </w:tc>
        <w:tc>
          <w:tcPr>
            <w:tcW w:w="993" w:type="dxa"/>
          </w:tcPr>
          <w:p w14:paraId="72D01D2F"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314</w:t>
            </w:r>
          </w:p>
          <w:p w14:paraId="72D01D30"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D3F" w14:textId="77777777" w:rsidTr="00E575B4">
        <w:trPr>
          <w:trHeight w:val="555"/>
        </w:trPr>
        <w:tc>
          <w:tcPr>
            <w:tcW w:w="3203" w:type="dxa"/>
          </w:tcPr>
          <w:p w14:paraId="72D01D32" w14:textId="77777777" w:rsidR="004E3AB0" w:rsidRPr="0070281F" w:rsidRDefault="00ED0D5F" w:rsidP="00ED0D5F">
            <w:pPr>
              <w:pStyle w:val="NoSpacing"/>
              <w:jc w:val="both"/>
              <w:rPr>
                <w:rFonts w:ascii="Arial" w:hAnsi="Arial" w:cs="Arial"/>
                <w:sz w:val="20"/>
                <w:szCs w:val="20"/>
              </w:rPr>
            </w:pPr>
            <w:r w:rsidRPr="0070281F">
              <w:rPr>
                <w:rFonts w:ascii="Arial" w:eastAsia="Times New Roman" w:hAnsi="Arial" w:cs="Arial"/>
                <w:spacing w:val="2"/>
                <w:sz w:val="20"/>
                <w:szCs w:val="20"/>
                <w:lang w:eastAsia="en-GB"/>
              </w:rPr>
              <w:t>Addressing gender-based disparities in healthcare (SDG 3) is crucial for improving maternal and child health outcomes</w:t>
            </w:r>
          </w:p>
        </w:tc>
        <w:tc>
          <w:tcPr>
            <w:tcW w:w="1097" w:type="dxa"/>
          </w:tcPr>
          <w:p w14:paraId="72D01D33"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156</w:t>
            </w:r>
          </w:p>
          <w:p w14:paraId="72D01D34"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50%</w:t>
            </w:r>
          </w:p>
        </w:tc>
        <w:tc>
          <w:tcPr>
            <w:tcW w:w="829" w:type="dxa"/>
          </w:tcPr>
          <w:p w14:paraId="72D01D35"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51</w:t>
            </w:r>
          </w:p>
          <w:p w14:paraId="72D01D36"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16%</w:t>
            </w:r>
          </w:p>
        </w:tc>
        <w:tc>
          <w:tcPr>
            <w:tcW w:w="962" w:type="dxa"/>
          </w:tcPr>
          <w:p w14:paraId="72D01D37"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25</w:t>
            </w:r>
          </w:p>
          <w:p w14:paraId="72D01D38"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8%</w:t>
            </w:r>
          </w:p>
        </w:tc>
        <w:tc>
          <w:tcPr>
            <w:tcW w:w="1134" w:type="dxa"/>
          </w:tcPr>
          <w:p w14:paraId="72D01D39"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50</w:t>
            </w:r>
          </w:p>
          <w:p w14:paraId="72D01D3A"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16%</w:t>
            </w:r>
          </w:p>
        </w:tc>
        <w:tc>
          <w:tcPr>
            <w:tcW w:w="1275" w:type="dxa"/>
          </w:tcPr>
          <w:p w14:paraId="72D01D3B"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32</w:t>
            </w:r>
          </w:p>
          <w:p w14:paraId="72D01D3C"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10%</w:t>
            </w:r>
          </w:p>
        </w:tc>
        <w:tc>
          <w:tcPr>
            <w:tcW w:w="993" w:type="dxa"/>
          </w:tcPr>
          <w:p w14:paraId="72D01D3D"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314</w:t>
            </w:r>
          </w:p>
          <w:p w14:paraId="72D01D3E"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D4D" w14:textId="77777777" w:rsidTr="00E575B4">
        <w:trPr>
          <w:trHeight w:val="555"/>
        </w:trPr>
        <w:tc>
          <w:tcPr>
            <w:tcW w:w="3203" w:type="dxa"/>
          </w:tcPr>
          <w:p w14:paraId="72D01D40" w14:textId="77777777" w:rsidR="004E3AB0" w:rsidRPr="0070281F" w:rsidRDefault="00ED0D5F" w:rsidP="00ED0D5F">
            <w:pPr>
              <w:pStyle w:val="NoSpacing"/>
              <w:jc w:val="both"/>
              <w:rPr>
                <w:rFonts w:ascii="Arial" w:hAnsi="Arial" w:cs="Arial"/>
                <w:sz w:val="20"/>
                <w:szCs w:val="20"/>
              </w:rPr>
            </w:pPr>
            <w:r w:rsidRPr="0070281F">
              <w:rPr>
                <w:rFonts w:ascii="Arial" w:eastAsia="Times New Roman" w:hAnsi="Arial" w:cs="Arial"/>
                <w:spacing w:val="2"/>
                <w:sz w:val="20"/>
                <w:szCs w:val="20"/>
                <w:lang w:eastAsia="en-GB"/>
              </w:rPr>
              <w:t>Ensuring women's full participation in political decision-making (SDG 5) is vital for creating inclusive and representative governance structures</w:t>
            </w:r>
          </w:p>
        </w:tc>
        <w:tc>
          <w:tcPr>
            <w:tcW w:w="1097" w:type="dxa"/>
          </w:tcPr>
          <w:p w14:paraId="72D01D41"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164</w:t>
            </w:r>
          </w:p>
          <w:p w14:paraId="72D01D42"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52%</w:t>
            </w:r>
          </w:p>
        </w:tc>
        <w:tc>
          <w:tcPr>
            <w:tcW w:w="829" w:type="dxa"/>
          </w:tcPr>
          <w:p w14:paraId="72D01D43"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53</w:t>
            </w:r>
          </w:p>
          <w:p w14:paraId="72D01D44"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17%</w:t>
            </w:r>
          </w:p>
        </w:tc>
        <w:tc>
          <w:tcPr>
            <w:tcW w:w="962" w:type="dxa"/>
          </w:tcPr>
          <w:p w14:paraId="72D01D45"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37</w:t>
            </w:r>
          </w:p>
          <w:p w14:paraId="72D01D46"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12%</w:t>
            </w:r>
          </w:p>
        </w:tc>
        <w:tc>
          <w:tcPr>
            <w:tcW w:w="1134" w:type="dxa"/>
          </w:tcPr>
          <w:p w14:paraId="72D01D47"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28</w:t>
            </w:r>
          </w:p>
          <w:p w14:paraId="72D01D48"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9%</w:t>
            </w:r>
          </w:p>
        </w:tc>
        <w:tc>
          <w:tcPr>
            <w:tcW w:w="1275" w:type="dxa"/>
          </w:tcPr>
          <w:p w14:paraId="72D01D49"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32</w:t>
            </w:r>
          </w:p>
          <w:p w14:paraId="72D01D4A"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10%</w:t>
            </w:r>
          </w:p>
        </w:tc>
        <w:tc>
          <w:tcPr>
            <w:tcW w:w="993" w:type="dxa"/>
          </w:tcPr>
          <w:p w14:paraId="72D01D4B"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314</w:t>
            </w:r>
          </w:p>
          <w:p w14:paraId="72D01D4C"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D5B" w14:textId="77777777" w:rsidTr="00E575B4">
        <w:trPr>
          <w:trHeight w:val="571"/>
        </w:trPr>
        <w:tc>
          <w:tcPr>
            <w:tcW w:w="3203" w:type="dxa"/>
          </w:tcPr>
          <w:p w14:paraId="72D01D4E" w14:textId="77777777" w:rsidR="004E3AB0" w:rsidRPr="0070281F" w:rsidRDefault="00ED0D5F" w:rsidP="00ED0D5F">
            <w:pPr>
              <w:pStyle w:val="NoSpacing"/>
              <w:jc w:val="both"/>
              <w:rPr>
                <w:rFonts w:ascii="Arial" w:hAnsi="Arial" w:cs="Arial"/>
                <w:sz w:val="20"/>
                <w:szCs w:val="20"/>
              </w:rPr>
            </w:pPr>
            <w:r w:rsidRPr="0070281F">
              <w:rPr>
                <w:rFonts w:ascii="Arial" w:eastAsia="Times New Roman" w:hAnsi="Arial" w:cs="Arial"/>
                <w:spacing w:val="2"/>
                <w:sz w:val="20"/>
                <w:szCs w:val="20"/>
                <w:lang w:eastAsia="en-GB"/>
              </w:rPr>
              <w:t>Women play a critical role in environmental management and conservation (SDG 13) as their traditional knowledge and practices can be invaluable in addressing environmental challenges</w:t>
            </w:r>
          </w:p>
        </w:tc>
        <w:tc>
          <w:tcPr>
            <w:tcW w:w="1097" w:type="dxa"/>
          </w:tcPr>
          <w:p w14:paraId="72D01D4F"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156</w:t>
            </w:r>
          </w:p>
          <w:p w14:paraId="72D01D50"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50%</w:t>
            </w:r>
          </w:p>
        </w:tc>
        <w:tc>
          <w:tcPr>
            <w:tcW w:w="829" w:type="dxa"/>
          </w:tcPr>
          <w:p w14:paraId="72D01D51"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56</w:t>
            </w:r>
          </w:p>
          <w:p w14:paraId="72D01D52"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18%</w:t>
            </w:r>
          </w:p>
        </w:tc>
        <w:tc>
          <w:tcPr>
            <w:tcW w:w="962" w:type="dxa"/>
          </w:tcPr>
          <w:p w14:paraId="72D01D53"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28</w:t>
            </w:r>
          </w:p>
          <w:p w14:paraId="72D01D54"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9%</w:t>
            </w:r>
          </w:p>
        </w:tc>
        <w:tc>
          <w:tcPr>
            <w:tcW w:w="1134" w:type="dxa"/>
          </w:tcPr>
          <w:p w14:paraId="72D01D55"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40</w:t>
            </w:r>
          </w:p>
          <w:p w14:paraId="72D01D56"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13%</w:t>
            </w:r>
          </w:p>
        </w:tc>
        <w:tc>
          <w:tcPr>
            <w:tcW w:w="1275" w:type="dxa"/>
          </w:tcPr>
          <w:p w14:paraId="72D01D57"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34</w:t>
            </w:r>
          </w:p>
          <w:p w14:paraId="72D01D58"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11%</w:t>
            </w:r>
          </w:p>
        </w:tc>
        <w:tc>
          <w:tcPr>
            <w:tcW w:w="993" w:type="dxa"/>
          </w:tcPr>
          <w:p w14:paraId="72D01D59"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314</w:t>
            </w:r>
          </w:p>
          <w:p w14:paraId="72D01D5A"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D69" w14:textId="77777777" w:rsidTr="00E575B4">
        <w:trPr>
          <w:trHeight w:val="300"/>
        </w:trPr>
        <w:tc>
          <w:tcPr>
            <w:tcW w:w="3203" w:type="dxa"/>
          </w:tcPr>
          <w:p w14:paraId="72D01D5C" w14:textId="77777777" w:rsidR="004E3AB0" w:rsidRPr="0070281F" w:rsidRDefault="00ED0D5F" w:rsidP="00ED0D5F">
            <w:pPr>
              <w:pStyle w:val="NoSpacing"/>
              <w:jc w:val="both"/>
              <w:rPr>
                <w:rFonts w:ascii="Arial" w:hAnsi="Arial" w:cs="Arial"/>
                <w:sz w:val="20"/>
                <w:szCs w:val="20"/>
              </w:rPr>
            </w:pPr>
            <w:r w:rsidRPr="0070281F">
              <w:rPr>
                <w:rFonts w:ascii="Arial" w:eastAsia="Times New Roman" w:hAnsi="Arial" w:cs="Arial"/>
                <w:spacing w:val="2"/>
                <w:sz w:val="20"/>
                <w:szCs w:val="20"/>
                <w:lang w:eastAsia="en-GB"/>
              </w:rPr>
              <w:t>Achieving gender equality is essential for creating a more just and equitable society (SDG 16) where everyone has the opportunity to thrive</w:t>
            </w:r>
            <w:r w:rsidRPr="0070281F">
              <w:rPr>
                <w:rFonts w:ascii="Arial" w:hAnsi="Arial" w:cs="Arial"/>
                <w:sz w:val="20"/>
                <w:szCs w:val="20"/>
              </w:rPr>
              <w:t>.</w:t>
            </w:r>
            <w:r w:rsidR="004E3AB0" w:rsidRPr="0070281F">
              <w:rPr>
                <w:rFonts w:ascii="Arial" w:hAnsi="Arial" w:cs="Arial"/>
                <w:sz w:val="20"/>
                <w:szCs w:val="20"/>
              </w:rPr>
              <w:t xml:space="preserve"> </w:t>
            </w:r>
          </w:p>
        </w:tc>
        <w:tc>
          <w:tcPr>
            <w:tcW w:w="1097" w:type="dxa"/>
          </w:tcPr>
          <w:p w14:paraId="72D01D5D"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168</w:t>
            </w:r>
          </w:p>
          <w:p w14:paraId="72D01D5E"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54%</w:t>
            </w:r>
          </w:p>
        </w:tc>
        <w:tc>
          <w:tcPr>
            <w:tcW w:w="829" w:type="dxa"/>
          </w:tcPr>
          <w:p w14:paraId="72D01D5F"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55</w:t>
            </w:r>
          </w:p>
          <w:p w14:paraId="72D01D60"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18%</w:t>
            </w:r>
          </w:p>
        </w:tc>
        <w:tc>
          <w:tcPr>
            <w:tcW w:w="962" w:type="dxa"/>
          </w:tcPr>
          <w:p w14:paraId="72D01D61"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20</w:t>
            </w:r>
          </w:p>
          <w:p w14:paraId="72D01D62"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6%</w:t>
            </w:r>
          </w:p>
        </w:tc>
        <w:tc>
          <w:tcPr>
            <w:tcW w:w="1134" w:type="dxa"/>
          </w:tcPr>
          <w:p w14:paraId="72D01D63"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43</w:t>
            </w:r>
          </w:p>
          <w:p w14:paraId="72D01D64"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14%</w:t>
            </w:r>
          </w:p>
        </w:tc>
        <w:tc>
          <w:tcPr>
            <w:tcW w:w="1275" w:type="dxa"/>
          </w:tcPr>
          <w:p w14:paraId="72D01D65"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28</w:t>
            </w:r>
          </w:p>
          <w:p w14:paraId="72D01D66"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9%</w:t>
            </w:r>
          </w:p>
        </w:tc>
        <w:tc>
          <w:tcPr>
            <w:tcW w:w="993" w:type="dxa"/>
          </w:tcPr>
          <w:p w14:paraId="72D01D67"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314</w:t>
            </w:r>
          </w:p>
          <w:p w14:paraId="72D01D68"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D71" w14:textId="77777777" w:rsidTr="00E575B4">
        <w:trPr>
          <w:trHeight w:val="240"/>
        </w:trPr>
        <w:tc>
          <w:tcPr>
            <w:tcW w:w="3203" w:type="dxa"/>
          </w:tcPr>
          <w:p w14:paraId="72D01D6A" w14:textId="77777777" w:rsidR="00E575B4" w:rsidRPr="0070281F" w:rsidRDefault="00E575B4" w:rsidP="00ED0D5F">
            <w:pPr>
              <w:pStyle w:val="NoSpacing"/>
              <w:jc w:val="both"/>
              <w:rPr>
                <w:rFonts w:ascii="Arial" w:hAnsi="Arial" w:cs="Arial"/>
                <w:b/>
                <w:sz w:val="20"/>
                <w:szCs w:val="20"/>
              </w:rPr>
            </w:pPr>
            <w:r w:rsidRPr="0070281F">
              <w:rPr>
                <w:rFonts w:ascii="Arial" w:hAnsi="Arial" w:cs="Arial"/>
                <w:b/>
                <w:sz w:val="20"/>
                <w:szCs w:val="20"/>
              </w:rPr>
              <w:t>TOTAL</w:t>
            </w:r>
          </w:p>
        </w:tc>
        <w:tc>
          <w:tcPr>
            <w:tcW w:w="1097" w:type="dxa"/>
          </w:tcPr>
          <w:p w14:paraId="72D01D6B" w14:textId="77777777" w:rsidR="00E575B4" w:rsidRPr="0070281F" w:rsidRDefault="00E575B4" w:rsidP="00ED0D5F">
            <w:pPr>
              <w:pStyle w:val="NoSpacing"/>
              <w:jc w:val="both"/>
              <w:rPr>
                <w:rFonts w:ascii="Arial" w:hAnsi="Arial" w:cs="Arial"/>
                <w:b/>
                <w:sz w:val="20"/>
                <w:szCs w:val="20"/>
              </w:rPr>
            </w:pPr>
            <w:r w:rsidRPr="0070281F">
              <w:rPr>
                <w:rFonts w:ascii="Arial" w:hAnsi="Arial" w:cs="Arial"/>
                <w:b/>
                <w:sz w:val="20"/>
                <w:szCs w:val="20"/>
              </w:rPr>
              <w:t>936</w:t>
            </w:r>
          </w:p>
        </w:tc>
        <w:tc>
          <w:tcPr>
            <w:tcW w:w="829" w:type="dxa"/>
          </w:tcPr>
          <w:p w14:paraId="72D01D6C" w14:textId="77777777" w:rsidR="00E575B4" w:rsidRPr="0070281F" w:rsidRDefault="00E575B4" w:rsidP="00ED0D5F">
            <w:pPr>
              <w:pStyle w:val="NoSpacing"/>
              <w:jc w:val="both"/>
              <w:rPr>
                <w:rFonts w:ascii="Arial" w:hAnsi="Arial" w:cs="Arial"/>
                <w:b/>
                <w:sz w:val="20"/>
                <w:szCs w:val="20"/>
              </w:rPr>
            </w:pPr>
            <w:r w:rsidRPr="0070281F">
              <w:rPr>
                <w:rFonts w:ascii="Arial" w:hAnsi="Arial" w:cs="Arial"/>
                <w:b/>
                <w:sz w:val="20"/>
                <w:szCs w:val="20"/>
              </w:rPr>
              <w:t>344</w:t>
            </w:r>
          </w:p>
        </w:tc>
        <w:tc>
          <w:tcPr>
            <w:tcW w:w="962" w:type="dxa"/>
          </w:tcPr>
          <w:p w14:paraId="72D01D6D" w14:textId="77777777" w:rsidR="00E575B4" w:rsidRPr="0070281F" w:rsidRDefault="00E575B4" w:rsidP="00ED0D5F">
            <w:pPr>
              <w:pStyle w:val="NoSpacing"/>
              <w:jc w:val="both"/>
              <w:rPr>
                <w:rFonts w:ascii="Arial" w:hAnsi="Arial" w:cs="Arial"/>
                <w:b/>
                <w:sz w:val="20"/>
                <w:szCs w:val="20"/>
              </w:rPr>
            </w:pPr>
            <w:r w:rsidRPr="0070281F">
              <w:rPr>
                <w:rFonts w:ascii="Arial" w:hAnsi="Arial" w:cs="Arial"/>
                <w:b/>
                <w:sz w:val="20"/>
                <w:szCs w:val="20"/>
              </w:rPr>
              <w:t>171</w:t>
            </w:r>
          </w:p>
        </w:tc>
        <w:tc>
          <w:tcPr>
            <w:tcW w:w="1134" w:type="dxa"/>
          </w:tcPr>
          <w:p w14:paraId="72D01D6E" w14:textId="77777777" w:rsidR="00E575B4" w:rsidRPr="0070281F" w:rsidRDefault="00E575B4" w:rsidP="00ED0D5F">
            <w:pPr>
              <w:pStyle w:val="NoSpacing"/>
              <w:jc w:val="both"/>
              <w:rPr>
                <w:rFonts w:ascii="Arial" w:hAnsi="Arial" w:cs="Arial"/>
                <w:b/>
                <w:sz w:val="20"/>
                <w:szCs w:val="20"/>
              </w:rPr>
            </w:pPr>
            <w:r w:rsidRPr="0070281F">
              <w:rPr>
                <w:rFonts w:ascii="Arial" w:hAnsi="Arial" w:cs="Arial"/>
                <w:b/>
                <w:sz w:val="20"/>
                <w:szCs w:val="20"/>
              </w:rPr>
              <w:t>223</w:t>
            </w:r>
          </w:p>
        </w:tc>
        <w:tc>
          <w:tcPr>
            <w:tcW w:w="1275" w:type="dxa"/>
          </w:tcPr>
          <w:p w14:paraId="72D01D6F" w14:textId="77777777" w:rsidR="00E575B4" w:rsidRPr="0070281F" w:rsidRDefault="00E575B4" w:rsidP="00ED0D5F">
            <w:pPr>
              <w:pStyle w:val="NoSpacing"/>
              <w:jc w:val="both"/>
              <w:rPr>
                <w:rFonts w:ascii="Arial" w:hAnsi="Arial" w:cs="Arial"/>
                <w:b/>
                <w:sz w:val="20"/>
                <w:szCs w:val="20"/>
              </w:rPr>
            </w:pPr>
            <w:r w:rsidRPr="0070281F">
              <w:rPr>
                <w:rFonts w:ascii="Arial" w:hAnsi="Arial" w:cs="Arial"/>
                <w:b/>
                <w:sz w:val="20"/>
                <w:szCs w:val="20"/>
              </w:rPr>
              <w:t>210</w:t>
            </w:r>
          </w:p>
        </w:tc>
        <w:tc>
          <w:tcPr>
            <w:tcW w:w="993" w:type="dxa"/>
          </w:tcPr>
          <w:p w14:paraId="72D01D70" w14:textId="77777777" w:rsidR="00E575B4" w:rsidRPr="0070281F" w:rsidRDefault="00E575B4" w:rsidP="00ED0D5F">
            <w:pPr>
              <w:pStyle w:val="NoSpacing"/>
              <w:jc w:val="both"/>
              <w:rPr>
                <w:rFonts w:ascii="Arial" w:hAnsi="Arial" w:cs="Arial"/>
                <w:b/>
                <w:sz w:val="20"/>
                <w:szCs w:val="20"/>
              </w:rPr>
            </w:pPr>
            <w:r w:rsidRPr="0070281F">
              <w:rPr>
                <w:rFonts w:ascii="Arial" w:hAnsi="Arial" w:cs="Arial"/>
                <w:b/>
                <w:sz w:val="20"/>
                <w:szCs w:val="20"/>
              </w:rPr>
              <w:t>1884</w:t>
            </w:r>
          </w:p>
        </w:tc>
      </w:tr>
    </w:tbl>
    <w:p w14:paraId="72D01D72" w14:textId="77B89545" w:rsidR="00ED0D5F" w:rsidRPr="0070281F" w:rsidRDefault="00ED0D5F" w:rsidP="00ED0D5F">
      <w:pPr>
        <w:pStyle w:val="NoSpacing"/>
        <w:jc w:val="both"/>
        <w:rPr>
          <w:rFonts w:ascii="Arial" w:hAnsi="Arial" w:cs="Arial"/>
          <w:sz w:val="20"/>
          <w:szCs w:val="20"/>
        </w:rPr>
      </w:pPr>
      <w:r w:rsidRPr="0070281F">
        <w:rPr>
          <w:rFonts w:ascii="Arial" w:hAnsi="Arial" w:cs="Arial"/>
          <w:b/>
          <w:sz w:val="20"/>
          <w:szCs w:val="20"/>
        </w:rPr>
        <w:t>Source:</w:t>
      </w:r>
      <w:r w:rsidR="00E642BA">
        <w:rPr>
          <w:rFonts w:ascii="Arial" w:hAnsi="Arial" w:cs="Arial"/>
          <w:sz w:val="20"/>
          <w:szCs w:val="20"/>
        </w:rPr>
        <w:t xml:space="preserve"> Primary Data</w:t>
      </w:r>
      <w:r w:rsidRPr="0070281F">
        <w:rPr>
          <w:rFonts w:ascii="Arial" w:hAnsi="Arial" w:cs="Arial"/>
          <w:sz w:val="20"/>
          <w:szCs w:val="20"/>
        </w:rPr>
        <w:t>, 2025</w:t>
      </w:r>
    </w:p>
    <w:p w14:paraId="72D01D73" w14:textId="77777777" w:rsidR="00ED0D5F" w:rsidRPr="0070281F" w:rsidRDefault="00ED0D5F" w:rsidP="00ED0D5F">
      <w:pPr>
        <w:pStyle w:val="NoSpacing"/>
        <w:jc w:val="both"/>
        <w:rPr>
          <w:rFonts w:ascii="Arial" w:hAnsi="Arial" w:cs="Arial"/>
          <w:sz w:val="20"/>
          <w:szCs w:val="20"/>
        </w:rPr>
      </w:pPr>
    </w:p>
    <w:p w14:paraId="72D01D74" w14:textId="14405804" w:rsidR="00CE5060" w:rsidRPr="0070281F" w:rsidRDefault="00E575B4" w:rsidP="00101E5B">
      <w:pPr>
        <w:pStyle w:val="NoSpacing"/>
        <w:spacing w:line="360" w:lineRule="auto"/>
        <w:jc w:val="both"/>
        <w:rPr>
          <w:rFonts w:ascii="Arial" w:eastAsia="Times New Roman" w:hAnsi="Arial" w:cs="Arial"/>
          <w:sz w:val="20"/>
          <w:szCs w:val="20"/>
        </w:rPr>
      </w:pPr>
      <w:r w:rsidRPr="0070281F">
        <w:rPr>
          <w:rFonts w:ascii="Arial" w:hAnsi="Arial" w:cs="Arial"/>
          <w:sz w:val="20"/>
          <w:szCs w:val="20"/>
        </w:rPr>
        <w:t xml:space="preserve">Table </w:t>
      </w:r>
      <w:r w:rsidR="00021E62" w:rsidRPr="0070281F">
        <w:rPr>
          <w:rFonts w:ascii="Arial" w:hAnsi="Arial" w:cs="Arial"/>
          <w:sz w:val="20"/>
          <w:szCs w:val="20"/>
        </w:rPr>
        <w:t>4</w:t>
      </w:r>
      <w:r w:rsidRPr="0070281F">
        <w:rPr>
          <w:rFonts w:ascii="Arial" w:hAnsi="Arial" w:cs="Arial"/>
          <w:sz w:val="20"/>
          <w:szCs w:val="20"/>
        </w:rPr>
        <w:t xml:space="preserve"> revealed</w:t>
      </w:r>
      <w:r w:rsidR="004E3AB0" w:rsidRPr="0070281F">
        <w:rPr>
          <w:rFonts w:ascii="Arial" w:hAnsi="Arial" w:cs="Arial"/>
          <w:sz w:val="20"/>
          <w:szCs w:val="20"/>
        </w:rPr>
        <w:t xml:space="preserve"> the</w:t>
      </w:r>
      <w:r w:rsidRPr="0070281F">
        <w:rPr>
          <w:rFonts w:ascii="Arial" w:hAnsi="Arial" w:cs="Arial"/>
          <w:sz w:val="20"/>
          <w:szCs w:val="20"/>
          <w:lang w:eastAsia="en-GB"/>
        </w:rPr>
        <w:t xml:space="preserve"> relationship between</w:t>
      </w:r>
      <w:r w:rsidRPr="0070281F">
        <w:rPr>
          <w:rFonts w:ascii="Arial" w:hAnsi="Arial" w:cs="Arial"/>
          <w:sz w:val="20"/>
          <w:szCs w:val="20"/>
        </w:rPr>
        <w:t xml:space="preserve"> </w:t>
      </w:r>
      <w:r w:rsidRPr="0070281F">
        <w:rPr>
          <w:rFonts w:ascii="Arial" w:eastAsia="Times New Roman" w:hAnsi="Arial" w:cs="Arial"/>
          <w:sz w:val="20"/>
          <w:szCs w:val="20"/>
          <w:lang w:eastAsia="en-GB"/>
        </w:rPr>
        <w:t>gender equality and Nigeria's SDGs</w:t>
      </w:r>
      <w:r w:rsidR="004E3AB0" w:rsidRPr="0070281F">
        <w:rPr>
          <w:rFonts w:ascii="Arial" w:hAnsi="Arial" w:cs="Arial"/>
          <w:sz w:val="20"/>
          <w:szCs w:val="20"/>
        </w:rPr>
        <w:t xml:space="preserve">. </w:t>
      </w:r>
      <w:r w:rsidR="00101E5B" w:rsidRPr="0070281F">
        <w:rPr>
          <w:rFonts w:ascii="Arial" w:eastAsia="Times New Roman" w:hAnsi="Arial" w:cs="Arial"/>
          <w:sz w:val="20"/>
          <w:szCs w:val="20"/>
        </w:rPr>
        <w:t>Total responses across all statements: 1,884</w:t>
      </w:r>
      <w:r w:rsidR="0086292F" w:rsidRPr="0070281F">
        <w:rPr>
          <w:rFonts w:ascii="Arial" w:eastAsia="Times New Roman" w:hAnsi="Arial" w:cs="Arial"/>
          <w:sz w:val="20"/>
          <w:szCs w:val="20"/>
        </w:rPr>
        <w:t>,</w:t>
      </w:r>
      <w:r w:rsidR="00101E5B" w:rsidRPr="0070281F">
        <w:rPr>
          <w:rFonts w:ascii="Arial" w:eastAsia="Times New Roman" w:hAnsi="Arial" w:cs="Arial"/>
          <w:sz w:val="20"/>
          <w:szCs w:val="20"/>
        </w:rPr>
        <w:t xml:space="preserve"> Strongly Agree: 936 responses</w:t>
      </w:r>
      <w:r w:rsidR="0086292F" w:rsidRPr="0070281F">
        <w:rPr>
          <w:rFonts w:ascii="Arial" w:eastAsia="Times New Roman" w:hAnsi="Arial" w:cs="Arial"/>
          <w:sz w:val="20"/>
          <w:szCs w:val="20"/>
        </w:rPr>
        <w:t>,</w:t>
      </w:r>
      <w:r w:rsidR="00101E5B" w:rsidRPr="0070281F">
        <w:rPr>
          <w:rFonts w:ascii="Arial" w:eastAsia="Times New Roman" w:hAnsi="Arial" w:cs="Arial"/>
          <w:sz w:val="20"/>
          <w:szCs w:val="20"/>
        </w:rPr>
        <w:t xml:space="preserve"> </w:t>
      </w:r>
      <w:r w:rsidR="0086292F" w:rsidRPr="0070281F">
        <w:rPr>
          <w:rFonts w:ascii="Arial" w:eastAsia="Times New Roman" w:hAnsi="Arial" w:cs="Arial"/>
          <w:sz w:val="20"/>
          <w:szCs w:val="20"/>
        </w:rPr>
        <w:t>agree</w:t>
      </w:r>
      <w:r w:rsidR="00101E5B" w:rsidRPr="0070281F">
        <w:rPr>
          <w:rFonts w:ascii="Arial" w:eastAsia="Times New Roman" w:hAnsi="Arial" w:cs="Arial"/>
          <w:sz w:val="20"/>
          <w:szCs w:val="20"/>
        </w:rPr>
        <w:t>: 344 responses</w:t>
      </w:r>
      <w:r w:rsidR="0086292F" w:rsidRPr="0070281F">
        <w:rPr>
          <w:rFonts w:ascii="Arial" w:eastAsia="Times New Roman" w:hAnsi="Arial" w:cs="Arial"/>
          <w:sz w:val="20"/>
          <w:szCs w:val="20"/>
        </w:rPr>
        <w:t xml:space="preserve"> </w:t>
      </w:r>
      <w:r w:rsidR="00101E5B" w:rsidRPr="0070281F">
        <w:rPr>
          <w:rFonts w:ascii="Arial" w:eastAsia="Times New Roman" w:hAnsi="Arial" w:cs="Arial"/>
          <w:sz w:val="20"/>
          <w:szCs w:val="20"/>
        </w:rPr>
        <w:t>Don't Know: 171 responses</w:t>
      </w:r>
      <w:r w:rsidR="0086292F" w:rsidRPr="0070281F">
        <w:rPr>
          <w:rFonts w:ascii="Arial" w:eastAsia="Times New Roman" w:hAnsi="Arial" w:cs="Arial"/>
          <w:sz w:val="20"/>
          <w:szCs w:val="20"/>
        </w:rPr>
        <w:t>, disagree</w:t>
      </w:r>
      <w:r w:rsidR="00101E5B" w:rsidRPr="0070281F">
        <w:rPr>
          <w:rFonts w:ascii="Arial" w:eastAsia="Times New Roman" w:hAnsi="Arial" w:cs="Arial"/>
          <w:sz w:val="20"/>
          <w:szCs w:val="20"/>
        </w:rPr>
        <w:t>: 223 responses</w:t>
      </w:r>
      <w:r w:rsidR="0086292F" w:rsidRPr="0070281F">
        <w:rPr>
          <w:rFonts w:ascii="Arial" w:eastAsia="Times New Roman" w:hAnsi="Arial" w:cs="Arial"/>
          <w:sz w:val="20"/>
          <w:szCs w:val="20"/>
        </w:rPr>
        <w:t xml:space="preserve">, </w:t>
      </w:r>
      <w:r w:rsidR="00101E5B" w:rsidRPr="0070281F">
        <w:rPr>
          <w:rFonts w:ascii="Arial" w:eastAsia="Times New Roman" w:hAnsi="Arial" w:cs="Arial"/>
          <w:sz w:val="20"/>
          <w:szCs w:val="20"/>
        </w:rPr>
        <w:t xml:space="preserve">Strongly Disagree: 210 responses. </w:t>
      </w:r>
      <w:r w:rsidR="00E6594E" w:rsidRPr="0070281F">
        <w:rPr>
          <w:rFonts w:ascii="Arial" w:eastAsia="Times New Roman" w:hAnsi="Arial" w:cs="Arial"/>
          <w:sz w:val="20"/>
          <w:szCs w:val="20"/>
        </w:rPr>
        <w:t>Therefore, t</w:t>
      </w:r>
      <w:r w:rsidR="008C4784" w:rsidRPr="0070281F">
        <w:rPr>
          <w:rFonts w:ascii="Arial" w:eastAsia="Times New Roman" w:hAnsi="Arial" w:cs="Arial"/>
          <w:sz w:val="20"/>
          <w:szCs w:val="20"/>
        </w:rPr>
        <w:t xml:space="preserve">he presentation and analysis of the data above shows that </w:t>
      </w:r>
      <w:r w:rsidR="00393966" w:rsidRPr="0070281F">
        <w:rPr>
          <w:rFonts w:ascii="Arial" w:hAnsi="Arial" w:cs="Arial"/>
          <w:sz w:val="20"/>
          <w:szCs w:val="20"/>
          <w:lang w:eastAsia="en-GB"/>
        </w:rPr>
        <w:t>there</w:t>
      </w:r>
      <w:r w:rsidR="001063B2" w:rsidRPr="0070281F">
        <w:rPr>
          <w:rFonts w:ascii="Arial" w:hAnsi="Arial" w:cs="Arial"/>
          <w:sz w:val="20"/>
          <w:szCs w:val="20"/>
          <w:lang w:eastAsia="en-GB"/>
        </w:rPr>
        <w:t xml:space="preserve"> is</w:t>
      </w:r>
      <w:r w:rsidR="00393966" w:rsidRPr="0070281F">
        <w:rPr>
          <w:rFonts w:ascii="Arial" w:hAnsi="Arial" w:cs="Arial"/>
          <w:sz w:val="20"/>
          <w:szCs w:val="20"/>
          <w:lang w:eastAsia="en-GB"/>
        </w:rPr>
        <w:t xml:space="preserve"> a relationship between</w:t>
      </w:r>
      <w:r w:rsidR="00393966" w:rsidRPr="0070281F">
        <w:rPr>
          <w:rFonts w:ascii="Arial" w:hAnsi="Arial" w:cs="Arial"/>
          <w:sz w:val="20"/>
          <w:szCs w:val="20"/>
        </w:rPr>
        <w:t xml:space="preserve"> </w:t>
      </w:r>
      <w:r w:rsidR="00393966" w:rsidRPr="0070281F">
        <w:rPr>
          <w:rFonts w:ascii="Arial" w:eastAsia="Times New Roman" w:hAnsi="Arial" w:cs="Arial"/>
          <w:sz w:val="20"/>
          <w:szCs w:val="20"/>
          <w:lang w:eastAsia="en-GB"/>
        </w:rPr>
        <w:t>gender equality and Nigeria's SDGs</w:t>
      </w:r>
      <w:r w:rsidR="00E6594E" w:rsidRPr="0070281F">
        <w:rPr>
          <w:rFonts w:ascii="Arial" w:eastAsia="Times New Roman" w:hAnsi="Arial" w:cs="Arial"/>
          <w:sz w:val="20"/>
          <w:szCs w:val="20"/>
          <w:lang w:eastAsia="en-GB"/>
        </w:rPr>
        <w:t xml:space="preserve"> in relations to SDGs 1, 4, 3, 5, 13, 16 among others.</w:t>
      </w:r>
    </w:p>
    <w:p w14:paraId="72D01D75" w14:textId="77777777" w:rsidR="00CE5060" w:rsidRPr="0070281F" w:rsidRDefault="00CE5060" w:rsidP="00CE5060">
      <w:pPr>
        <w:spacing w:line="360" w:lineRule="auto"/>
        <w:jc w:val="both"/>
        <w:rPr>
          <w:rFonts w:ascii="Arial" w:hAnsi="Arial" w:cs="Arial"/>
          <w:b/>
          <w:sz w:val="20"/>
          <w:szCs w:val="20"/>
        </w:rPr>
      </w:pPr>
      <w:r w:rsidRPr="0070281F">
        <w:rPr>
          <w:rFonts w:ascii="Arial" w:hAnsi="Arial" w:cs="Arial"/>
          <w:b/>
          <w:sz w:val="20"/>
          <w:szCs w:val="20"/>
        </w:rPr>
        <w:t xml:space="preserve">Hypothesis One: </w:t>
      </w:r>
      <w:r w:rsidRPr="0070281F">
        <w:rPr>
          <w:rFonts w:ascii="Arial" w:hAnsi="Arial" w:cs="Arial"/>
          <w:i/>
          <w:sz w:val="20"/>
          <w:szCs w:val="20"/>
          <w:lang w:eastAsia="en-GB"/>
        </w:rPr>
        <w:t>T</w:t>
      </w:r>
      <w:r w:rsidRPr="0070281F">
        <w:rPr>
          <w:rFonts w:ascii="Arial" w:hAnsi="Arial" w:cs="Arial"/>
          <w:i/>
          <w:sz w:val="20"/>
          <w:szCs w:val="20"/>
        </w:rPr>
        <w:t>here is a relationship between gender equality and Nigeria’s SDGs.</w:t>
      </w:r>
    </w:p>
    <w:p w14:paraId="72D01D76" w14:textId="77777777" w:rsidR="00CE5060" w:rsidRPr="0070281F" w:rsidRDefault="00CE5060" w:rsidP="00CE5060">
      <w:pPr>
        <w:spacing w:line="360" w:lineRule="auto"/>
        <w:contextualSpacing/>
        <w:jc w:val="both"/>
        <w:rPr>
          <w:rFonts w:ascii="Arial" w:hAnsi="Arial" w:cs="Arial"/>
          <w:b/>
          <w:sz w:val="20"/>
          <w:szCs w:val="20"/>
        </w:rPr>
      </w:pPr>
      <w:r w:rsidRPr="0070281F">
        <w:rPr>
          <w:rFonts w:ascii="Arial" w:hAnsi="Arial" w:cs="Arial"/>
          <w:b/>
          <w:sz w:val="20"/>
          <w:szCs w:val="20"/>
        </w:rPr>
        <w:t xml:space="preserve">Decision Criteria: </w:t>
      </w:r>
      <w:r w:rsidRPr="0070281F">
        <w:rPr>
          <w:rFonts w:ascii="Arial" w:hAnsi="Arial" w:cs="Arial"/>
          <w:sz w:val="20"/>
          <w:szCs w:val="20"/>
        </w:rPr>
        <w:t>When the computed value of chi-square (x</w:t>
      </w:r>
      <w:r w:rsidRPr="0070281F">
        <w:rPr>
          <w:rFonts w:ascii="Arial" w:hAnsi="Arial" w:cs="Arial"/>
          <w:sz w:val="20"/>
          <w:szCs w:val="20"/>
          <w:vertAlign w:val="superscript"/>
        </w:rPr>
        <w:t>2</w:t>
      </w:r>
      <w:r w:rsidRPr="0070281F">
        <w:rPr>
          <w:rFonts w:ascii="Arial" w:hAnsi="Arial" w:cs="Arial"/>
          <w:sz w:val="20"/>
          <w:szCs w:val="20"/>
        </w:rPr>
        <w:t>) is greater than (&gt;) the table value of chi-square (X</w:t>
      </w:r>
      <w:r w:rsidRPr="0070281F">
        <w:rPr>
          <w:rFonts w:ascii="Arial" w:hAnsi="Arial" w:cs="Arial"/>
          <w:sz w:val="20"/>
          <w:szCs w:val="20"/>
          <w:vertAlign w:val="superscript"/>
        </w:rPr>
        <w:t>2</w:t>
      </w:r>
      <w:r w:rsidRPr="0070281F">
        <w:rPr>
          <w:rFonts w:ascii="Arial" w:hAnsi="Arial" w:cs="Arial"/>
          <w:sz w:val="20"/>
          <w:szCs w:val="20"/>
        </w:rPr>
        <w:t>), the first hypothesis will be accepted.</w:t>
      </w:r>
    </w:p>
    <w:tbl>
      <w:tblPr>
        <w:tblpPr w:leftFromText="180" w:rightFromText="180" w:bottomFromText="200" w:vertAnchor="text" w:horzAnchor="margin" w:tblpX="-185" w:tblpY="374"/>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1243"/>
        <w:gridCol w:w="1187"/>
        <w:gridCol w:w="1492"/>
        <w:gridCol w:w="1258"/>
        <w:gridCol w:w="1248"/>
        <w:gridCol w:w="774"/>
      </w:tblGrid>
      <w:tr w:rsidR="00745AEF" w:rsidRPr="0070281F" w14:paraId="72D01D7E" w14:textId="77777777" w:rsidTr="009B17E8">
        <w:tc>
          <w:tcPr>
            <w:tcW w:w="2423" w:type="dxa"/>
            <w:tcBorders>
              <w:top w:val="single" w:sz="4" w:space="0" w:color="auto"/>
              <w:left w:val="single" w:sz="4" w:space="0" w:color="auto"/>
              <w:bottom w:val="single" w:sz="4" w:space="0" w:color="auto"/>
              <w:right w:val="single" w:sz="4" w:space="0" w:color="auto"/>
            </w:tcBorders>
            <w:hideMark/>
          </w:tcPr>
          <w:p w14:paraId="72D01D77"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Senatorial Districts</w:t>
            </w:r>
          </w:p>
        </w:tc>
        <w:tc>
          <w:tcPr>
            <w:tcW w:w="1243" w:type="dxa"/>
            <w:tcBorders>
              <w:top w:val="single" w:sz="4" w:space="0" w:color="auto"/>
              <w:left w:val="single" w:sz="4" w:space="0" w:color="auto"/>
              <w:bottom w:val="single" w:sz="4" w:space="0" w:color="auto"/>
              <w:right w:val="single" w:sz="4" w:space="0" w:color="auto"/>
            </w:tcBorders>
            <w:hideMark/>
          </w:tcPr>
          <w:p w14:paraId="72D01D78"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Strongly agree</w:t>
            </w:r>
          </w:p>
        </w:tc>
        <w:tc>
          <w:tcPr>
            <w:tcW w:w="1187" w:type="dxa"/>
            <w:tcBorders>
              <w:top w:val="single" w:sz="4" w:space="0" w:color="auto"/>
              <w:left w:val="single" w:sz="4" w:space="0" w:color="auto"/>
              <w:bottom w:val="single" w:sz="4" w:space="0" w:color="auto"/>
              <w:right w:val="single" w:sz="4" w:space="0" w:color="auto"/>
            </w:tcBorders>
            <w:hideMark/>
          </w:tcPr>
          <w:p w14:paraId="72D01D79"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Agree</w:t>
            </w:r>
          </w:p>
        </w:tc>
        <w:tc>
          <w:tcPr>
            <w:tcW w:w="1492" w:type="dxa"/>
            <w:tcBorders>
              <w:top w:val="single" w:sz="4" w:space="0" w:color="auto"/>
              <w:left w:val="single" w:sz="4" w:space="0" w:color="auto"/>
              <w:bottom w:val="single" w:sz="4" w:space="0" w:color="auto"/>
              <w:right w:val="single" w:sz="4" w:space="0" w:color="auto"/>
            </w:tcBorders>
            <w:hideMark/>
          </w:tcPr>
          <w:p w14:paraId="72D01D7A"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Don’t Know</w:t>
            </w:r>
          </w:p>
        </w:tc>
        <w:tc>
          <w:tcPr>
            <w:tcW w:w="1258" w:type="dxa"/>
            <w:tcBorders>
              <w:top w:val="single" w:sz="4" w:space="0" w:color="auto"/>
              <w:left w:val="single" w:sz="4" w:space="0" w:color="auto"/>
              <w:bottom w:val="single" w:sz="4" w:space="0" w:color="auto"/>
              <w:right w:val="single" w:sz="4" w:space="0" w:color="auto"/>
            </w:tcBorders>
            <w:hideMark/>
          </w:tcPr>
          <w:p w14:paraId="72D01D7B"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Disagree</w:t>
            </w:r>
          </w:p>
        </w:tc>
        <w:tc>
          <w:tcPr>
            <w:tcW w:w="1248" w:type="dxa"/>
            <w:tcBorders>
              <w:top w:val="single" w:sz="4" w:space="0" w:color="auto"/>
              <w:left w:val="single" w:sz="4" w:space="0" w:color="auto"/>
              <w:bottom w:val="single" w:sz="4" w:space="0" w:color="auto"/>
              <w:right w:val="single" w:sz="4" w:space="0" w:color="auto"/>
            </w:tcBorders>
            <w:hideMark/>
          </w:tcPr>
          <w:p w14:paraId="72D01D7C"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Strongly disagree</w:t>
            </w:r>
          </w:p>
        </w:tc>
        <w:tc>
          <w:tcPr>
            <w:tcW w:w="774" w:type="dxa"/>
            <w:tcBorders>
              <w:top w:val="single" w:sz="4" w:space="0" w:color="auto"/>
              <w:left w:val="single" w:sz="4" w:space="0" w:color="auto"/>
              <w:bottom w:val="single" w:sz="4" w:space="0" w:color="auto"/>
              <w:right w:val="single" w:sz="4" w:space="0" w:color="auto"/>
            </w:tcBorders>
            <w:hideMark/>
          </w:tcPr>
          <w:p w14:paraId="72D01D7D"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Total</w:t>
            </w:r>
          </w:p>
        </w:tc>
      </w:tr>
      <w:tr w:rsidR="00745AEF" w:rsidRPr="0070281F" w14:paraId="72D01D86" w14:textId="77777777" w:rsidTr="009B17E8">
        <w:tc>
          <w:tcPr>
            <w:tcW w:w="2423" w:type="dxa"/>
            <w:tcBorders>
              <w:top w:val="single" w:sz="4" w:space="0" w:color="auto"/>
              <w:left w:val="single" w:sz="4" w:space="0" w:color="auto"/>
              <w:bottom w:val="single" w:sz="4" w:space="0" w:color="auto"/>
              <w:right w:val="single" w:sz="4" w:space="0" w:color="auto"/>
            </w:tcBorders>
            <w:hideMark/>
          </w:tcPr>
          <w:p w14:paraId="72D01D7F"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Anambra Central</w:t>
            </w:r>
          </w:p>
        </w:tc>
        <w:tc>
          <w:tcPr>
            <w:tcW w:w="1243" w:type="dxa"/>
            <w:tcBorders>
              <w:top w:val="single" w:sz="4" w:space="0" w:color="auto"/>
              <w:left w:val="single" w:sz="4" w:space="0" w:color="auto"/>
              <w:bottom w:val="single" w:sz="4" w:space="0" w:color="auto"/>
              <w:right w:val="single" w:sz="4" w:space="0" w:color="auto"/>
            </w:tcBorders>
            <w:hideMark/>
          </w:tcPr>
          <w:p w14:paraId="72D01D80"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31</w:t>
            </w:r>
          </w:p>
        </w:tc>
        <w:tc>
          <w:tcPr>
            <w:tcW w:w="1187" w:type="dxa"/>
            <w:tcBorders>
              <w:top w:val="single" w:sz="4" w:space="0" w:color="auto"/>
              <w:left w:val="single" w:sz="4" w:space="0" w:color="auto"/>
              <w:bottom w:val="single" w:sz="4" w:space="0" w:color="auto"/>
              <w:right w:val="single" w:sz="4" w:space="0" w:color="auto"/>
            </w:tcBorders>
            <w:hideMark/>
          </w:tcPr>
          <w:p w14:paraId="72D01D81"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20</w:t>
            </w:r>
          </w:p>
        </w:tc>
        <w:tc>
          <w:tcPr>
            <w:tcW w:w="1492" w:type="dxa"/>
            <w:tcBorders>
              <w:top w:val="single" w:sz="4" w:space="0" w:color="auto"/>
              <w:left w:val="single" w:sz="4" w:space="0" w:color="auto"/>
              <w:bottom w:val="single" w:sz="4" w:space="0" w:color="auto"/>
              <w:right w:val="single" w:sz="4" w:space="0" w:color="auto"/>
            </w:tcBorders>
            <w:hideMark/>
          </w:tcPr>
          <w:p w14:paraId="72D01D82"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12</w:t>
            </w:r>
          </w:p>
        </w:tc>
        <w:tc>
          <w:tcPr>
            <w:tcW w:w="1258" w:type="dxa"/>
            <w:tcBorders>
              <w:top w:val="single" w:sz="4" w:space="0" w:color="auto"/>
              <w:left w:val="single" w:sz="4" w:space="0" w:color="auto"/>
              <w:bottom w:val="single" w:sz="4" w:space="0" w:color="auto"/>
              <w:right w:val="single" w:sz="4" w:space="0" w:color="auto"/>
            </w:tcBorders>
            <w:hideMark/>
          </w:tcPr>
          <w:p w14:paraId="72D01D83"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26</w:t>
            </w:r>
          </w:p>
        </w:tc>
        <w:tc>
          <w:tcPr>
            <w:tcW w:w="1248" w:type="dxa"/>
            <w:tcBorders>
              <w:top w:val="single" w:sz="4" w:space="0" w:color="auto"/>
              <w:left w:val="single" w:sz="4" w:space="0" w:color="auto"/>
              <w:bottom w:val="single" w:sz="4" w:space="0" w:color="auto"/>
              <w:right w:val="single" w:sz="4" w:space="0" w:color="auto"/>
            </w:tcBorders>
            <w:hideMark/>
          </w:tcPr>
          <w:p w14:paraId="72D01D84"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19</w:t>
            </w:r>
          </w:p>
        </w:tc>
        <w:tc>
          <w:tcPr>
            <w:tcW w:w="774" w:type="dxa"/>
            <w:tcBorders>
              <w:top w:val="single" w:sz="4" w:space="0" w:color="auto"/>
              <w:left w:val="single" w:sz="4" w:space="0" w:color="auto"/>
              <w:bottom w:val="single" w:sz="4" w:space="0" w:color="auto"/>
              <w:right w:val="single" w:sz="4" w:space="0" w:color="auto"/>
            </w:tcBorders>
            <w:hideMark/>
          </w:tcPr>
          <w:p w14:paraId="72D01D85"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108</w:t>
            </w:r>
          </w:p>
        </w:tc>
      </w:tr>
      <w:tr w:rsidR="00745AEF" w:rsidRPr="0070281F" w14:paraId="72D01D8E" w14:textId="77777777" w:rsidTr="009B17E8">
        <w:tc>
          <w:tcPr>
            <w:tcW w:w="2423" w:type="dxa"/>
            <w:tcBorders>
              <w:top w:val="single" w:sz="4" w:space="0" w:color="auto"/>
              <w:left w:val="single" w:sz="4" w:space="0" w:color="auto"/>
              <w:bottom w:val="single" w:sz="4" w:space="0" w:color="auto"/>
              <w:right w:val="single" w:sz="4" w:space="0" w:color="auto"/>
            </w:tcBorders>
            <w:hideMark/>
          </w:tcPr>
          <w:p w14:paraId="72D01D87"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Anambra South</w:t>
            </w:r>
          </w:p>
        </w:tc>
        <w:tc>
          <w:tcPr>
            <w:tcW w:w="1243" w:type="dxa"/>
            <w:tcBorders>
              <w:top w:val="single" w:sz="4" w:space="0" w:color="auto"/>
              <w:left w:val="single" w:sz="4" w:space="0" w:color="auto"/>
              <w:bottom w:val="single" w:sz="4" w:space="0" w:color="auto"/>
              <w:right w:val="single" w:sz="4" w:space="0" w:color="auto"/>
            </w:tcBorders>
            <w:hideMark/>
          </w:tcPr>
          <w:p w14:paraId="72D01D88"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38</w:t>
            </w:r>
          </w:p>
        </w:tc>
        <w:tc>
          <w:tcPr>
            <w:tcW w:w="1187" w:type="dxa"/>
            <w:tcBorders>
              <w:top w:val="single" w:sz="4" w:space="0" w:color="auto"/>
              <w:left w:val="single" w:sz="4" w:space="0" w:color="auto"/>
              <w:bottom w:val="single" w:sz="4" w:space="0" w:color="auto"/>
              <w:right w:val="single" w:sz="4" w:space="0" w:color="auto"/>
            </w:tcBorders>
            <w:hideMark/>
          </w:tcPr>
          <w:p w14:paraId="72D01D89"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19</w:t>
            </w:r>
          </w:p>
        </w:tc>
        <w:tc>
          <w:tcPr>
            <w:tcW w:w="1492" w:type="dxa"/>
            <w:tcBorders>
              <w:top w:val="single" w:sz="4" w:space="0" w:color="auto"/>
              <w:left w:val="single" w:sz="4" w:space="0" w:color="auto"/>
              <w:bottom w:val="single" w:sz="4" w:space="0" w:color="auto"/>
              <w:right w:val="single" w:sz="4" w:space="0" w:color="auto"/>
            </w:tcBorders>
            <w:hideMark/>
          </w:tcPr>
          <w:p w14:paraId="72D01D8A"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17</w:t>
            </w:r>
          </w:p>
        </w:tc>
        <w:tc>
          <w:tcPr>
            <w:tcW w:w="1258" w:type="dxa"/>
            <w:tcBorders>
              <w:top w:val="single" w:sz="4" w:space="0" w:color="auto"/>
              <w:left w:val="single" w:sz="4" w:space="0" w:color="auto"/>
              <w:bottom w:val="single" w:sz="4" w:space="0" w:color="auto"/>
              <w:right w:val="single" w:sz="4" w:space="0" w:color="auto"/>
            </w:tcBorders>
            <w:hideMark/>
          </w:tcPr>
          <w:p w14:paraId="72D01D8B"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6</w:t>
            </w:r>
          </w:p>
        </w:tc>
        <w:tc>
          <w:tcPr>
            <w:tcW w:w="1248" w:type="dxa"/>
            <w:tcBorders>
              <w:top w:val="single" w:sz="4" w:space="0" w:color="auto"/>
              <w:left w:val="single" w:sz="4" w:space="0" w:color="auto"/>
              <w:bottom w:val="single" w:sz="4" w:space="0" w:color="auto"/>
              <w:right w:val="single" w:sz="4" w:space="0" w:color="auto"/>
            </w:tcBorders>
            <w:hideMark/>
          </w:tcPr>
          <w:p w14:paraId="72D01D8C"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9</w:t>
            </w:r>
          </w:p>
        </w:tc>
        <w:tc>
          <w:tcPr>
            <w:tcW w:w="774" w:type="dxa"/>
            <w:tcBorders>
              <w:top w:val="single" w:sz="4" w:space="0" w:color="auto"/>
              <w:left w:val="single" w:sz="4" w:space="0" w:color="auto"/>
              <w:bottom w:val="single" w:sz="4" w:space="0" w:color="auto"/>
              <w:right w:val="single" w:sz="4" w:space="0" w:color="auto"/>
            </w:tcBorders>
            <w:hideMark/>
          </w:tcPr>
          <w:p w14:paraId="72D01D8D"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89</w:t>
            </w:r>
          </w:p>
        </w:tc>
      </w:tr>
      <w:tr w:rsidR="00745AEF" w:rsidRPr="0070281F" w14:paraId="72D01D96" w14:textId="77777777" w:rsidTr="009B17E8">
        <w:tc>
          <w:tcPr>
            <w:tcW w:w="2423" w:type="dxa"/>
            <w:tcBorders>
              <w:top w:val="single" w:sz="4" w:space="0" w:color="auto"/>
              <w:left w:val="single" w:sz="4" w:space="0" w:color="auto"/>
              <w:bottom w:val="single" w:sz="4" w:space="0" w:color="auto"/>
              <w:right w:val="single" w:sz="4" w:space="0" w:color="auto"/>
            </w:tcBorders>
            <w:hideMark/>
          </w:tcPr>
          <w:p w14:paraId="72D01D8F"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Anambra North</w:t>
            </w:r>
          </w:p>
        </w:tc>
        <w:tc>
          <w:tcPr>
            <w:tcW w:w="1243" w:type="dxa"/>
            <w:tcBorders>
              <w:top w:val="single" w:sz="4" w:space="0" w:color="auto"/>
              <w:left w:val="single" w:sz="4" w:space="0" w:color="auto"/>
              <w:bottom w:val="single" w:sz="4" w:space="0" w:color="auto"/>
              <w:right w:val="single" w:sz="4" w:space="0" w:color="auto"/>
            </w:tcBorders>
            <w:hideMark/>
          </w:tcPr>
          <w:p w14:paraId="72D01D90"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49</w:t>
            </w:r>
          </w:p>
        </w:tc>
        <w:tc>
          <w:tcPr>
            <w:tcW w:w="1187" w:type="dxa"/>
            <w:tcBorders>
              <w:top w:val="single" w:sz="4" w:space="0" w:color="auto"/>
              <w:left w:val="single" w:sz="4" w:space="0" w:color="auto"/>
              <w:bottom w:val="single" w:sz="4" w:space="0" w:color="auto"/>
              <w:right w:val="single" w:sz="4" w:space="0" w:color="auto"/>
            </w:tcBorders>
            <w:hideMark/>
          </w:tcPr>
          <w:p w14:paraId="72D01D91"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32</w:t>
            </w:r>
          </w:p>
        </w:tc>
        <w:tc>
          <w:tcPr>
            <w:tcW w:w="1492" w:type="dxa"/>
            <w:tcBorders>
              <w:top w:val="single" w:sz="4" w:space="0" w:color="auto"/>
              <w:left w:val="single" w:sz="4" w:space="0" w:color="auto"/>
              <w:bottom w:val="single" w:sz="4" w:space="0" w:color="auto"/>
              <w:right w:val="single" w:sz="4" w:space="0" w:color="auto"/>
            </w:tcBorders>
            <w:hideMark/>
          </w:tcPr>
          <w:p w14:paraId="72D01D92"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11</w:t>
            </w:r>
          </w:p>
        </w:tc>
        <w:tc>
          <w:tcPr>
            <w:tcW w:w="1258" w:type="dxa"/>
            <w:tcBorders>
              <w:top w:val="single" w:sz="4" w:space="0" w:color="auto"/>
              <w:left w:val="single" w:sz="4" w:space="0" w:color="auto"/>
              <w:bottom w:val="single" w:sz="4" w:space="0" w:color="auto"/>
              <w:right w:val="single" w:sz="4" w:space="0" w:color="auto"/>
            </w:tcBorders>
            <w:hideMark/>
          </w:tcPr>
          <w:p w14:paraId="72D01D93"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14</w:t>
            </w:r>
          </w:p>
        </w:tc>
        <w:tc>
          <w:tcPr>
            <w:tcW w:w="1248" w:type="dxa"/>
            <w:tcBorders>
              <w:top w:val="single" w:sz="4" w:space="0" w:color="auto"/>
              <w:left w:val="single" w:sz="4" w:space="0" w:color="auto"/>
              <w:bottom w:val="single" w:sz="4" w:space="0" w:color="auto"/>
              <w:right w:val="single" w:sz="4" w:space="0" w:color="auto"/>
            </w:tcBorders>
            <w:hideMark/>
          </w:tcPr>
          <w:p w14:paraId="72D01D94"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11</w:t>
            </w:r>
          </w:p>
        </w:tc>
        <w:tc>
          <w:tcPr>
            <w:tcW w:w="774" w:type="dxa"/>
            <w:tcBorders>
              <w:top w:val="single" w:sz="4" w:space="0" w:color="auto"/>
              <w:left w:val="single" w:sz="4" w:space="0" w:color="auto"/>
              <w:bottom w:val="single" w:sz="4" w:space="0" w:color="auto"/>
              <w:right w:val="single" w:sz="4" w:space="0" w:color="auto"/>
            </w:tcBorders>
            <w:hideMark/>
          </w:tcPr>
          <w:p w14:paraId="72D01D95"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117</w:t>
            </w:r>
          </w:p>
        </w:tc>
      </w:tr>
      <w:tr w:rsidR="00745AEF" w:rsidRPr="0070281F" w14:paraId="72D01D9E" w14:textId="77777777" w:rsidTr="009B17E8">
        <w:tc>
          <w:tcPr>
            <w:tcW w:w="2423" w:type="dxa"/>
            <w:tcBorders>
              <w:top w:val="single" w:sz="4" w:space="0" w:color="auto"/>
              <w:left w:val="single" w:sz="4" w:space="0" w:color="auto"/>
              <w:bottom w:val="single" w:sz="4" w:space="0" w:color="auto"/>
              <w:right w:val="single" w:sz="4" w:space="0" w:color="auto"/>
            </w:tcBorders>
            <w:hideMark/>
          </w:tcPr>
          <w:p w14:paraId="72D01D97"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Total</w:t>
            </w:r>
          </w:p>
        </w:tc>
        <w:tc>
          <w:tcPr>
            <w:tcW w:w="1243" w:type="dxa"/>
            <w:tcBorders>
              <w:top w:val="single" w:sz="4" w:space="0" w:color="auto"/>
              <w:left w:val="single" w:sz="4" w:space="0" w:color="auto"/>
              <w:bottom w:val="single" w:sz="4" w:space="0" w:color="auto"/>
              <w:right w:val="single" w:sz="4" w:space="0" w:color="auto"/>
            </w:tcBorders>
            <w:hideMark/>
          </w:tcPr>
          <w:p w14:paraId="72D01D98"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118</w:t>
            </w:r>
          </w:p>
        </w:tc>
        <w:tc>
          <w:tcPr>
            <w:tcW w:w="1187" w:type="dxa"/>
            <w:tcBorders>
              <w:top w:val="single" w:sz="4" w:space="0" w:color="auto"/>
              <w:left w:val="single" w:sz="4" w:space="0" w:color="auto"/>
              <w:bottom w:val="single" w:sz="4" w:space="0" w:color="auto"/>
              <w:right w:val="single" w:sz="4" w:space="0" w:color="auto"/>
            </w:tcBorders>
            <w:hideMark/>
          </w:tcPr>
          <w:p w14:paraId="72D01D99"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71</w:t>
            </w:r>
          </w:p>
        </w:tc>
        <w:tc>
          <w:tcPr>
            <w:tcW w:w="1492" w:type="dxa"/>
            <w:tcBorders>
              <w:top w:val="single" w:sz="4" w:space="0" w:color="auto"/>
              <w:left w:val="single" w:sz="4" w:space="0" w:color="auto"/>
              <w:bottom w:val="single" w:sz="4" w:space="0" w:color="auto"/>
              <w:right w:val="single" w:sz="4" w:space="0" w:color="auto"/>
            </w:tcBorders>
            <w:hideMark/>
          </w:tcPr>
          <w:p w14:paraId="72D01D9A"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40</w:t>
            </w:r>
          </w:p>
        </w:tc>
        <w:tc>
          <w:tcPr>
            <w:tcW w:w="1258" w:type="dxa"/>
            <w:tcBorders>
              <w:top w:val="single" w:sz="4" w:space="0" w:color="auto"/>
              <w:left w:val="single" w:sz="4" w:space="0" w:color="auto"/>
              <w:bottom w:val="single" w:sz="4" w:space="0" w:color="auto"/>
              <w:right w:val="single" w:sz="4" w:space="0" w:color="auto"/>
            </w:tcBorders>
            <w:hideMark/>
          </w:tcPr>
          <w:p w14:paraId="72D01D9B"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46</w:t>
            </w:r>
          </w:p>
        </w:tc>
        <w:tc>
          <w:tcPr>
            <w:tcW w:w="1248" w:type="dxa"/>
            <w:tcBorders>
              <w:top w:val="single" w:sz="4" w:space="0" w:color="auto"/>
              <w:left w:val="single" w:sz="4" w:space="0" w:color="auto"/>
              <w:bottom w:val="single" w:sz="4" w:space="0" w:color="auto"/>
              <w:right w:val="single" w:sz="4" w:space="0" w:color="auto"/>
            </w:tcBorders>
            <w:hideMark/>
          </w:tcPr>
          <w:p w14:paraId="72D01D9C"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39</w:t>
            </w:r>
          </w:p>
        </w:tc>
        <w:tc>
          <w:tcPr>
            <w:tcW w:w="774" w:type="dxa"/>
            <w:tcBorders>
              <w:top w:val="single" w:sz="4" w:space="0" w:color="auto"/>
              <w:left w:val="single" w:sz="4" w:space="0" w:color="auto"/>
              <w:bottom w:val="single" w:sz="4" w:space="0" w:color="auto"/>
              <w:right w:val="single" w:sz="4" w:space="0" w:color="auto"/>
            </w:tcBorders>
            <w:hideMark/>
          </w:tcPr>
          <w:p w14:paraId="72D01D9D"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314</w:t>
            </w:r>
          </w:p>
        </w:tc>
      </w:tr>
    </w:tbl>
    <w:p w14:paraId="72D01D9F" w14:textId="6C72699E" w:rsidR="003C5F3C" w:rsidRPr="0070281F" w:rsidRDefault="00CE5060" w:rsidP="00CE5060">
      <w:pPr>
        <w:pStyle w:val="NoSpacing"/>
        <w:rPr>
          <w:rFonts w:ascii="Arial" w:hAnsi="Arial" w:cs="Arial"/>
          <w:b/>
          <w:sz w:val="20"/>
          <w:szCs w:val="20"/>
        </w:rPr>
      </w:pPr>
      <w:r w:rsidRPr="0070281F">
        <w:rPr>
          <w:rFonts w:ascii="Arial" w:hAnsi="Arial" w:cs="Arial"/>
          <w:b/>
          <w:sz w:val="20"/>
          <w:szCs w:val="20"/>
        </w:rPr>
        <w:t xml:space="preserve">Table </w:t>
      </w:r>
      <w:r w:rsidR="00360ADE">
        <w:rPr>
          <w:rFonts w:ascii="Arial" w:hAnsi="Arial" w:cs="Arial"/>
          <w:b/>
          <w:sz w:val="20"/>
          <w:szCs w:val="20"/>
        </w:rPr>
        <w:t>4</w:t>
      </w:r>
      <w:r w:rsidR="003013DE" w:rsidRPr="0070281F">
        <w:rPr>
          <w:rFonts w:ascii="Arial" w:hAnsi="Arial" w:cs="Arial"/>
          <w:b/>
          <w:sz w:val="20"/>
          <w:szCs w:val="20"/>
        </w:rPr>
        <w:t>: Observed frequency for hypothesis</w:t>
      </w:r>
      <w:r w:rsidR="00400CA2" w:rsidRPr="0070281F">
        <w:rPr>
          <w:rFonts w:ascii="Arial" w:hAnsi="Arial" w:cs="Arial"/>
          <w:b/>
          <w:sz w:val="20"/>
          <w:szCs w:val="20"/>
        </w:rPr>
        <w:t xml:space="preserve"> one</w:t>
      </w:r>
    </w:p>
    <w:p w14:paraId="72D01DA0" w14:textId="2E1C064C" w:rsidR="00CE5060" w:rsidRPr="0070281F" w:rsidRDefault="00CE5060" w:rsidP="00CE5060">
      <w:pPr>
        <w:pStyle w:val="NoSpacing"/>
        <w:rPr>
          <w:rFonts w:ascii="Arial" w:hAnsi="Arial" w:cs="Arial"/>
          <w:b/>
          <w:sz w:val="20"/>
          <w:szCs w:val="20"/>
        </w:rPr>
      </w:pPr>
      <w:r w:rsidRPr="0070281F">
        <w:rPr>
          <w:rFonts w:ascii="Arial" w:hAnsi="Arial" w:cs="Arial"/>
          <w:b/>
          <w:sz w:val="20"/>
          <w:szCs w:val="20"/>
        </w:rPr>
        <w:t>Source:</w:t>
      </w:r>
      <w:r w:rsidR="00F21437">
        <w:rPr>
          <w:rFonts w:ascii="Arial" w:hAnsi="Arial" w:cs="Arial"/>
          <w:sz w:val="20"/>
          <w:szCs w:val="20"/>
        </w:rPr>
        <w:t xml:space="preserve"> Primary Data</w:t>
      </w:r>
      <w:r w:rsidRPr="0070281F">
        <w:rPr>
          <w:rFonts w:ascii="Arial" w:hAnsi="Arial" w:cs="Arial"/>
          <w:sz w:val="20"/>
          <w:szCs w:val="20"/>
        </w:rPr>
        <w:t>, 2025</w:t>
      </w:r>
    </w:p>
    <w:p w14:paraId="72D01DA1" w14:textId="77777777" w:rsidR="00CE5060" w:rsidRPr="0070281F" w:rsidRDefault="00CE5060" w:rsidP="00CE5060">
      <w:pPr>
        <w:pStyle w:val="NoSpacing"/>
        <w:rPr>
          <w:rFonts w:ascii="Arial" w:hAnsi="Arial" w:cs="Arial"/>
          <w:sz w:val="20"/>
          <w:szCs w:val="20"/>
        </w:rPr>
      </w:pPr>
    </w:p>
    <w:p w14:paraId="72D01DA3" w14:textId="77777777" w:rsidR="00CE5060" w:rsidRPr="0070281F" w:rsidRDefault="00CE5060" w:rsidP="00CE5060">
      <w:pPr>
        <w:jc w:val="both"/>
        <w:rPr>
          <w:rFonts w:ascii="Arial" w:hAnsi="Arial" w:cs="Arial"/>
          <w:sz w:val="20"/>
          <w:szCs w:val="20"/>
        </w:rPr>
      </w:pPr>
      <w:r w:rsidRPr="0070281F">
        <w:rPr>
          <w:rFonts w:ascii="Arial" w:hAnsi="Arial" w:cs="Arial"/>
          <w:sz w:val="20"/>
          <w:szCs w:val="20"/>
        </w:rPr>
        <w:t>Calculation of Degree of Freedom (DF); DF = (R – 1) (C – 1)</w:t>
      </w:r>
    </w:p>
    <w:p w14:paraId="72D01DA4" w14:textId="77777777" w:rsidR="00CE5060" w:rsidRPr="0070281F" w:rsidRDefault="00CE5060" w:rsidP="00CE5060">
      <w:pPr>
        <w:jc w:val="both"/>
        <w:rPr>
          <w:rFonts w:ascii="Arial" w:hAnsi="Arial" w:cs="Arial"/>
          <w:sz w:val="20"/>
          <w:szCs w:val="20"/>
        </w:rPr>
      </w:pPr>
      <w:r w:rsidRPr="0070281F">
        <w:rPr>
          <w:rFonts w:ascii="Arial" w:hAnsi="Arial" w:cs="Arial"/>
          <w:sz w:val="20"/>
          <w:szCs w:val="20"/>
        </w:rPr>
        <w:t>Where R = number of rows in the contingency table; C = number of column in the contingency table</w:t>
      </w:r>
    </w:p>
    <w:p w14:paraId="72D01DA5" w14:textId="77777777" w:rsidR="00CE5060" w:rsidRPr="0070281F" w:rsidRDefault="00CE5060" w:rsidP="00CE5060">
      <w:pPr>
        <w:jc w:val="both"/>
        <w:rPr>
          <w:rFonts w:ascii="Arial" w:hAnsi="Arial" w:cs="Arial"/>
          <w:sz w:val="20"/>
          <w:szCs w:val="20"/>
        </w:rPr>
      </w:pPr>
      <w:r w:rsidRPr="0070281F">
        <w:rPr>
          <w:rFonts w:ascii="Arial" w:hAnsi="Arial" w:cs="Arial"/>
          <w:sz w:val="20"/>
          <w:szCs w:val="20"/>
        </w:rPr>
        <w:t>DF = (3 – 1) (5 – 1) = 2 x 4 = 8</w:t>
      </w:r>
    </w:p>
    <w:p w14:paraId="72D01DA6" w14:textId="3976BFEF" w:rsidR="00CE5060" w:rsidRPr="0070281F" w:rsidRDefault="00CE5060" w:rsidP="00CE5060">
      <w:pPr>
        <w:jc w:val="both"/>
        <w:rPr>
          <w:rFonts w:ascii="Arial" w:hAnsi="Arial" w:cs="Arial"/>
          <w:sz w:val="20"/>
          <w:szCs w:val="20"/>
        </w:rPr>
      </w:pPr>
      <w:r w:rsidRPr="0070281F">
        <w:rPr>
          <w:rFonts w:ascii="Arial" w:hAnsi="Arial" w:cs="Arial"/>
          <w:sz w:val="20"/>
          <w:szCs w:val="20"/>
        </w:rPr>
        <w:t xml:space="preserve">At 0.05 significant level and 8 </w:t>
      </w:r>
      <w:r w:rsidR="00D6149C" w:rsidRPr="0070281F">
        <w:rPr>
          <w:rFonts w:ascii="Arial" w:hAnsi="Arial" w:cs="Arial"/>
          <w:sz w:val="20"/>
          <w:szCs w:val="20"/>
        </w:rPr>
        <w:t>degrees</w:t>
      </w:r>
      <w:r w:rsidRPr="0070281F">
        <w:rPr>
          <w:rFonts w:ascii="Arial" w:hAnsi="Arial" w:cs="Arial"/>
          <w:sz w:val="20"/>
          <w:szCs w:val="20"/>
        </w:rPr>
        <w:t xml:space="preserve"> of freedom, the total value of chi-square(x</w:t>
      </w:r>
      <w:r w:rsidRPr="0070281F">
        <w:rPr>
          <w:rFonts w:ascii="Arial" w:hAnsi="Arial" w:cs="Arial"/>
          <w:sz w:val="20"/>
          <w:szCs w:val="20"/>
          <w:vertAlign w:val="superscript"/>
        </w:rPr>
        <w:t>2</w:t>
      </w:r>
      <w:r w:rsidRPr="0070281F">
        <w:rPr>
          <w:rFonts w:ascii="Arial" w:hAnsi="Arial" w:cs="Arial"/>
          <w:sz w:val="20"/>
          <w:szCs w:val="20"/>
        </w:rPr>
        <w:t>) =15.51</w:t>
      </w:r>
    </w:p>
    <w:p w14:paraId="72D01DA7" w14:textId="77777777" w:rsidR="00CE5060" w:rsidRPr="0070281F" w:rsidRDefault="00CE5060" w:rsidP="00CE5060">
      <w:pPr>
        <w:jc w:val="both"/>
        <w:rPr>
          <w:rFonts w:ascii="Arial" w:hAnsi="Arial" w:cs="Arial"/>
          <w:sz w:val="20"/>
          <w:szCs w:val="20"/>
        </w:rPr>
      </w:pPr>
      <w:r w:rsidRPr="0070281F">
        <w:rPr>
          <w:rFonts w:ascii="Arial" w:hAnsi="Arial" w:cs="Arial"/>
          <w:sz w:val="20"/>
          <w:szCs w:val="20"/>
        </w:rPr>
        <w:lastRenderedPageBreak/>
        <w:t>Computation of chi-square(x</w:t>
      </w:r>
      <w:r w:rsidRPr="0070281F">
        <w:rPr>
          <w:rFonts w:ascii="Arial" w:hAnsi="Arial" w:cs="Arial"/>
          <w:sz w:val="20"/>
          <w:szCs w:val="20"/>
          <w:vertAlign w:val="superscript"/>
        </w:rPr>
        <w:t>2</w:t>
      </w:r>
      <w:r w:rsidRPr="0070281F">
        <w:rPr>
          <w:rFonts w:ascii="Arial" w:hAnsi="Arial" w:cs="Arial"/>
          <w:sz w:val="20"/>
          <w:szCs w:val="20"/>
        </w:rPr>
        <w:t>)</w:t>
      </w:r>
    </w:p>
    <w:p w14:paraId="72D01DA8" w14:textId="77777777" w:rsidR="00CE5060" w:rsidRPr="0070281F" w:rsidRDefault="00CE5060" w:rsidP="00CE5060">
      <w:pPr>
        <w:pStyle w:val="NoSpacing"/>
        <w:rPr>
          <w:rFonts w:ascii="Arial" w:hAnsi="Arial" w:cs="Arial"/>
          <w:sz w:val="20"/>
          <w:szCs w:val="20"/>
        </w:rPr>
      </w:pPr>
      <w:r w:rsidRPr="0070281F">
        <w:rPr>
          <w:rFonts w:ascii="Arial" w:hAnsi="Arial" w:cs="Arial"/>
          <w:sz w:val="20"/>
          <w:szCs w:val="20"/>
        </w:rPr>
        <w:t>X</w:t>
      </w:r>
      <w:r w:rsidRPr="0070281F">
        <w:rPr>
          <w:rFonts w:ascii="Arial" w:hAnsi="Arial" w:cs="Arial"/>
          <w:sz w:val="20"/>
          <w:szCs w:val="20"/>
          <w:vertAlign w:val="superscript"/>
        </w:rPr>
        <w:t>2</w:t>
      </w:r>
      <w:r w:rsidRPr="0070281F">
        <w:rPr>
          <w:rFonts w:ascii="Arial" w:hAnsi="Arial" w:cs="Arial"/>
          <w:sz w:val="20"/>
          <w:szCs w:val="20"/>
        </w:rPr>
        <w:t xml:space="preserve"> =    </w:t>
      </w:r>
      <w:proofErr w:type="gramStart"/>
      <w:r w:rsidRPr="0070281F">
        <w:rPr>
          <w:rFonts w:ascii="Arial" w:hAnsi="Arial" w:cs="Arial"/>
          <w:sz w:val="20"/>
          <w:szCs w:val="20"/>
          <w:u w:val="single"/>
        </w:rPr>
        <w:t>∑(</w:t>
      </w:r>
      <w:proofErr w:type="gramEnd"/>
      <w:r w:rsidRPr="0070281F">
        <w:rPr>
          <w:rFonts w:ascii="Arial" w:hAnsi="Arial" w:cs="Arial"/>
          <w:sz w:val="20"/>
          <w:szCs w:val="20"/>
          <w:u w:val="single"/>
        </w:rPr>
        <w:t>o – e)</w:t>
      </w:r>
      <w:r w:rsidRPr="0070281F">
        <w:rPr>
          <w:rFonts w:ascii="Arial" w:hAnsi="Arial" w:cs="Arial"/>
          <w:sz w:val="20"/>
          <w:szCs w:val="20"/>
          <w:vertAlign w:val="superscript"/>
        </w:rPr>
        <w:t>2</w:t>
      </w:r>
    </w:p>
    <w:p w14:paraId="72D01DA9" w14:textId="77777777" w:rsidR="00CE5060" w:rsidRPr="0070281F" w:rsidRDefault="00CE5060" w:rsidP="00CE5060">
      <w:pPr>
        <w:pStyle w:val="NoSpacing"/>
        <w:rPr>
          <w:rFonts w:ascii="Arial" w:hAnsi="Arial" w:cs="Arial"/>
          <w:sz w:val="20"/>
          <w:szCs w:val="20"/>
        </w:rPr>
      </w:pPr>
      <w:r w:rsidRPr="0070281F">
        <w:rPr>
          <w:rFonts w:ascii="Arial" w:hAnsi="Arial" w:cs="Arial"/>
          <w:sz w:val="20"/>
          <w:szCs w:val="20"/>
        </w:rPr>
        <w:t xml:space="preserve">                e</w:t>
      </w:r>
    </w:p>
    <w:p w14:paraId="72D01DAA" w14:textId="77777777" w:rsidR="00CE5060" w:rsidRPr="0070281F" w:rsidRDefault="00CE5060" w:rsidP="00CE5060">
      <w:pPr>
        <w:spacing w:line="360" w:lineRule="auto"/>
        <w:jc w:val="both"/>
        <w:rPr>
          <w:rFonts w:ascii="Arial" w:hAnsi="Arial" w:cs="Arial"/>
          <w:sz w:val="20"/>
          <w:szCs w:val="20"/>
        </w:rPr>
      </w:pPr>
      <w:r w:rsidRPr="0070281F">
        <w:rPr>
          <w:rFonts w:ascii="Arial" w:hAnsi="Arial" w:cs="Arial"/>
          <w:sz w:val="20"/>
          <w:szCs w:val="20"/>
        </w:rPr>
        <w:t>Where o = observed frequency; E = expected frequency</w:t>
      </w:r>
    </w:p>
    <w:p w14:paraId="72D01DAB" w14:textId="77777777" w:rsidR="00CE5060" w:rsidRPr="0070281F" w:rsidRDefault="00CE5060" w:rsidP="00CE5060">
      <w:pPr>
        <w:pStyle w:val="NoSpacing"/>
        <w:rPr>
          <w:rFonts w:ascii="Arial" w:hAnsi="Arial" w:cs="Arial"/>
          <w:sz w:val="20"/>
          <w:szCs w:val="20"/>
        </w:rPr>
      </w:pPr>
      <w:r w:rsidRPr="0070281F">
        <w:rPr>
          <w:rFonts w:ascii="Arial" w:hAnsi="Arial" w:cs="Arial"/>
          <w:sz w:val="20"/>
          <w:szCs w:val="20"/>
        </w:rPr>
        <w:t xml:space="preserve">Expected frequency (e) is given by </w:t>
      </w:r>
      <w:r w:rsidRPr="0070281F">
        <w:rPr>
          <w:rFonts w:ascii="Arial" w:hAnsi="Arial" w:cs="Arial"/>
          <w:sz w:val="20"/>
          <w:szCs w:val="20"/>
          <w:u w:val="single"/>
        </w:rPr>
        <w:t>RT x CT</w:t>
      </w:r>
    </w:p>
    <w:p w14:paraId="72D01DAC" w14:textId="77777777" w:rsidR="00CE5060" w:rsidRPr="0070281F" w:rsidRDefault="00CE5060" w:rsidP="00CE5060">
      <w:pPr>
        <w:pStyle w:val="NoSpacing"/>
        <w:rPr>
          <w:rFonts w:ascii="Arial" w:hAnsi="Arial" w:cs="Arial"/>
          <w:sz w:val="20"/>
          <w:szCs w:val="20"/>
        </w:rPr>
      </w:pPr>
      <w:r w:rsidRPr="0070281F">
        <w:rPr>
          <w:rFonts w:ascii="Arial" w:hAnsi="Arial" w:cs="Arial"/>
          <w:sz w:val="20"/>
          <w:szCs w:val="20"/>
        </w:rPr>
        <w:t xml:space="preserve">                                                            GT  </w:t>
      </w:r>
    </w:p>
    <w:p w14:paraId="72D01DAD" w14:textId="77777777" w:rsidR="00CE5060" w:rsidRPr="0070281F" w:rsidRDefault="00CE5060" w:rsidP="00CE5060">
      <w:pPr>
        <w:spacing w:line="360" w:lineRule="auto"/>
        <w:jc w:val="both"/>
        <w:rPr>
          <w:rFonts w:ascii="Arial" w:hAnsi="Arial" w:cs="Arial"/>
          <w:sz w:val="20"/>
          <w:szCs w:val="20"/>
        </w:rPr>
      </w:pPr>
      <w:r w:rsidRPr="0070281F">
        <w:rPr>
          <w:rFonts w:ascii="Arial" w:hAnsi="Arial" w:cs="Arial"/>
          <w:sz w:val="20"/>
          <w:szCs w:val="20"/>
        </w:rPr>
        <w:t>Where RT = row total; CT = Column Total; and GT = Grand Total</w:t>
      </w:r>
    </w:p>
    <w:p w14:paraId="72D01DAE" w14:textId="5AD20E78" w:rsidR="00CE5060" w:rsidRPr="0070281F" w:rsidRDefault="00CE5060" w:rsidP="00CE5060">
      <w:pPr>
        <w:spacing w:line="360" w:lineRule="auto"/>
        <w:jc w:val="both"/>
        <w:rPr>
          <w:rFonts w:ascii="Arial" w:hAnsi="Arial" w:cs="Arial"/>
          <w:b/>
          <w:sz w:val="20"/>
          <w:szCs w:val="20"/>
        </w:rPr>
      </w:pPr>
      <w:r w:rsidRPr="0070281F">
        <w:rPr>
          <w:rFonts w:ascii="Arial" w:hAnsi="Arial" w:cs="Arial"/>
          <w:b/>
          <w:sz w:val="20"/>
          <w:szCs w:val="20"/>
        </w:rPr>
        <w:t xml:space="preserve">Table </w:t>
      </w:r>
      <w:r w:rsidR="00360ADE">
        <w:rPr>
          <w:rFonts w:ascii="Arial" w:hAnsi="Arial" w:cs="Arial"/>
          <w:b/>
          <w:sz w:val="20"/>
          <w:szCs w:val="20"/>
        </w:rPr>
        <w:t>5</w:t>
      </w:r>
      <w:r w:rsidRPr="0070281F">
        <w:rPr>
          <w:rFonts w:ascii="Arial" w:hAnsi="Arial" w:cs="Arial"/>
          <w:b/>
          <w:sz w:val="20"/>
          <w:szCs w:val="20"/>
        </w:rPr>
        <w:t>: Computation of Chi-Square (x</w:t>
      </w:r>
      <w:r w:rsidRPr="0070281F">
        <w:rPr>
          <w:rFonts w:ascii="Arial" w:hAnsi="Arial" w:cs="Arial"/>
          <w:b/>
          <w:sz w:val="20"/>
          <w:szCs w:val="20"/>
          <w:vertAlign w:val="superscript"/>
        </w:rPr>
        <w:t>2</w:t>
      </w:r>
      <w:r w:rsidRPr="0070281F">
        <w:rPr>
          <w:rFonts w:ascii="Arial" w:hAnsi="Arial" w:cs="Arial"/>
          <w:b/>
          <w:sz w:val="20"/>
          <w:szCs w:val="20"/>
        </w:rPr>
        <w:t>) for Hypothesis One</w:t>
      </w:r>
    </w:p>
    <w:tbl>
      <w:tblPr>
        <w:tblW w:w="890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2163"/>
        <w:gridCol w:w="991"/>
        <w:gridCol w:w="1355"/>
        <w:gridCol w:w="1702"/>
      </w:tblGrid>
      <w:tr w:rsidR="00745AEF" w:rsidRPr="0070281F" w14:paraId="72D01DB5" w14:textId="77777777" w:rsidTr="003E1D88">
        <w:trPr>
          <w:trHeight w:val="593"/>
        </w:trPr>
        <w:tc>
          <w:tcPr>
            <w:tcW w:w="2691" w:type="dxa"/>
            <w:tcBorders>
              <w:top w:val="single" w:sz="4" w:space="0" w:color="auto"/>
              <w:left w:val="single" w:sz="4" w:space="0" w:color="auto"/>
              <w:bottom w:val="single" w:sz="4" w:space="0" w:color="auto"/>
              <w:right w:val="single" w:sz="4" w:space="0" w:color="auto"/>
            </w:tcBorders>
            <w:hideMark/>
          </w:tcPr>
          <w:p w14:paraId="72D01DAF" w14:textId="77777777" w:rsidR="00CE5060" w:rsidRPr="0070281F" w:rsidRDefault="00CE5060" w:rsidP="00E67849">
            <w:pPr>
              <w:pStyle w:val="NoSpacing"/>
              <w:rPr>
                <w:rFonts w:ascii="Arial" w:hAnsi="Arial" w:cs="Arial"/>
                <w:b/>
                <w:sz w:val="20"/>
                <w:szCs w:val="20"/>
              </w:rPr>
            </w:pPr>
            <w:r w:rsidRPr="0070281F">
              <w:rPr>
                <w:rFonts w:ascii="Arial" w:hAnsi="Arial" w:cs="Arial"/>
                <w:b/>
                <w:sz w:val="20"/>
                <w:szCs w:val="20"/>
              </w:rPr>
              <w:t>Observed frequency (o)</w:t>
            </w:r>
          </w:p>
        </w:tc>
        <w:tc>
          <w:tcPr>
            <w:tcW w:w="2163" w:type="dxa"/>
            <w:tcBorders>
              <w:top w:val="single" w:sz="4" w:space="0" w:color="auto"/>
              <w:left w:val="single" w:sz="4" w:space="0" w:color="auto"/>
              <w:bottom w:val="single" w:sz="4" w:space="0" w:color="auto"/>
              <w:right w:val="single" w:sz="4" w:space="0" w:color="auto"/>
            </w:tcBorders>
            <w:hideMark/>
          </w:tcPr>
          <w:p w14:paraId="72D01DB0" w14:textId="77777777" w:rsidR="00CE5060" w:rsidRPr="0070281F" w:rsidRDefault="00CE5060" w:rsidP="00E67849">
            <w:pPr>
              <w:pStyle w:val="NoSpacing"/>
              <w:rPr>
                <w:rFonts w:ascii="Arial" w:hAnsi="Arial" w:cs="Arial"/>
                <w:b/>
                <w:sz w:val="20"/>
                <w:szCs w:val="20"/>
              </w:rPr>
            </w:pPr>
            <w:r w:rsidRPr="0070281F">
              <w:rPr>
                <w:rFonts w:ascii="Arial" w:hAnsi="Arial" w:cs="Arial"/>
                <w:b/>
                <w:sz w:val="20"/>
                <w:szCs w:val="20"/>
              </w:rPr>
              <w:t>Expected frequency (e)</w:t>
            </w:r>
          </w:p>
        </w:tc>
        <w:tc>
          <w:tcPr>
            <w:tcW w:w="991" w:type="dxa"/>
            <w:tcBorders>
              <w:top w:val="single" w:sz="4" w:space="0" w:color="auto"/>
              <w:left w:val="single" w:sz="4" w:space="0" w:color="auto"/>
              <w:bottom w:val="single" w:sz="4" w:space="0" w:color="auto"/>
              <w:right w:val="single" w:sz="4" w:space="0" w:color="auto"/>
            </w:tcBorders>
            <w:hideMark/>
          </w:tcPr>
          <w:p w14:paraId="72D01DB1" w14:textId="77777777" w:rsidR="00CE5060" w:rsidRPr="0070281F" w:rsidRDefault="00CE5060" w:rsidP="00E67849">
            <w:pPr>
              <w:pStyle w:val="NoSpacing"/>
              <w:rPr>
                <w:rFonts w:ascii="Arial" w:hAnsi="Arial" w:cs="Arial"/>
                <w:b/>
                <w:sz w:val="20"/>
                <w:szCs w:val="20"/>
              </w:rPr>
            </w:pPr>
            <w:r w:rsidRPr="0070281F">
              <w:rPr>
                <w:rFonts w:ascii="Arial" w:hAnsi="Arial" w:cs="Arial"/>
                <w:b/>
                <w:sz w:val="20"/>
                <w:szCs w:val="20"/>
              </w:rPr>
              <w:t>(o – e)</w:t>
            </w:r>
          </w:p>
        </w:tc>
        <w:tc>
          <w:tcPr>
            <w:tcW w:w="1355" w:type="dxa"/>
            <w:tcBorders>
              <w:top w:val="single" w:sz="4" w:space="0" w:color="auto"/>
              <w:left w:val="single" w:sz="4" w:space="0" w:color="auto"/>
              <w:bottom w:val="single" w:sz="4" w:space="0" w:color="auto"/>
              <w:right w:val="single" w:sz="4" w:space="0" w:color="auto"/>
            </w:tcBorders>
            <w:hideMark/>
          </w:tcPr>
          <w:p w14:paraId="72D01DB2" w14:textId="77777777" w:rsidR="00CE5060" w:rsidRPr="0070281F" w:rsidRDefault="00CE5060" w:rsidP="00E67849">
            <w:pPr>
              <w:pStyle w:val="NoSpacing"/>
              <w:rPr>
                <w:rFonts w:ascii="Arial" w:hAnsi="Arial" w:cs="Arial"/>
                <w:b/>
                <w:sz w:val="20"/>
                <w:szCs w:val="20"/>
              </w:rPr>
            </w:pPr>
            <w:r w:rsidRPr="0070281F">
              <w:rPr>
                <w:rFonts w:ascii="Arial" w:hAnsi="Arial" w:cs="Arial"/>
                <w:b/>
                <w:sz w:val="20"/>
                <w:szCs w:val="20"/>
              </w:rPr>
              <w:t>(o – e)</w:t>
            </w:r>
            <w:r w:rsidRPr="0070281F">
              <w:rPr>
                <w:rFonts w:ascii="Arial" w:hAnsi="Arial" w:cs="Arial"/>
                <w:b/>
                <w:sz w:val="20"/>
                <w:szCs w:val="20"/>
                <w:vertAlign w:val="superscript"/>
              </w:rPr>
              <w:t>2</w:t>
            </w:r>
          </w:p>
        </w:tc>
        <w:tc>
          <w:tcPr>
            <w:tcW w:w="1702" w:type="dxa"/>
            <w:tcBorders>
              <w:top w:val="single" w:sz="4" w:space="0" w:color="auto"/>
              <w:left w:val="single" w:sz="4" w:space="0" w:color="auto"/>
              <w:bottom w:val="single" w:sz="4" w:space="0" w:color="auto"/>
              <w:right w:val="single" w:sz="4" w:space="0" w:color="auto"/>
            </w:tcBorders>
            <w:hideMark/>
          </w:tcPr>
          <w:p w14:paraId="72D01DB3" w14:textId="77777777" w:rsidR="00CE5060" w:rsidRPr="0070281F" w:rsidRDefault="00CE5060" w:rsidP="00E67849">
            <w:pPr>
              <w:pStyle w:val="NoSpacing"/>
              <w:rPr>
                <w:rFonts w:ascii="Arial" w:hAnsi="Arial" w:cs="Arial"/>
                <w:b/>
                <w:sz w:val="20"/>
                <w:szCs w:val="20"/>
                <w:u w:val="single"/>
              </w:rPr>
            </w:pPr>
            <w:r w:rsidRPr="0070281F">
              <w:rPr>
                <w:rFonts w:ascii="Arial" w:hAnsi="Arial" w:cs="Arial"/>
                <w:b/>
                <w:sz w:val="20"/>
                <w:szCs w:val="20"/>
                <w:u w:val="single"/>
              </w:rPr>
              <w:t>(o – e)</w:t>
            </w:r>
            <w:r w:rsidRPr="0070281F">
              <w:rPr>
                <w:rFonts w:ascii="Arial" w:hAnsi="Arial" w:cs="Arial"/>
                <w:b/>
                <w:sz w:val="20"/>
                <w:szCs w:val="20"/>
                <w:u w:val="single"/>
                <w:vertAlign w:val="superscript"/>
              </w:rPr>
              <w:t>2</w:t>
            </w:r>
          </w:p>
          <w:p w14:paraId="72D01DB4" w14:textId="77777777" w:rsidR="00CE5060" w:rsidRPr="0070281F" w:rsidRDefault="00CE5060" w:rsidP="00E67849">
            <w:pPr>
              <w:pStyle w:val="NoSpacing"/>
              <w:rPr>
                <w:rFonts w:ascii="Arial" w:hAnsi="Arial" w:cs="Arial"/>
                <w:b/>
                <w:sz w:val="20"/>
                <w:szCs w:val="20"/>
              </w:rPr>
            </w:pPr>
            <w:r w:rsidRPr="0070281F">
              <w:rPr>
                <w:rFonts w:ascii="Arial" w:hAnsi="Arial" w:cs="Arial"/>
                <w:b/>
                <w:sz w:val="20"/>
                <w:szCs w:val="20"/>
              </w:rPr>
              <w:t xml:space="preserve">    E</w:t>
            </w:r>
          </w:p>
        </w:tc>
      </w:tr>
      <w:tr w:rsidR="00745AEF" w:rsidRPr="0070281F" w14:paraId="72D01DBB"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B6"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31</w:t>
            </w:r>
          </w:p>
        </w:tc>
        <w:tc>
          <w:tcPr>
            <w:tcW w:w="2163" w:type="dxa"/>
            <w:tcBorders>
              <w:top w:val="single" w:sz="4" w:space="0" w:color="auto"/>
              <w:left w:val="single" w:sz="4" w:space="0" w:color="auto"/>
              <w:bottom w:val="single" w:sz="4" w:space="0" w:color="auto"/>
              <w:right w:val="single" w:sz="4" w:space="0" w:color="auto"/>
            </w:tcBorders>
            <w:hideMark/>
          </w:tcPr>
          <w:p w14:paraId="72D01DB7"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40.59</w:t>
            </w:r>
          </w:p>
        </w:tc>
        <w:tc>
          <w:tcPr>
            <w:tcW w:w="991" w:type="dxa"/>
            <w:tcBorders>
              <w:top w:val="single" w:sz="4" w:space="0" w:color="auto"/>
              <w:left w:val="single" w:sz="4" w:space="0" w:color="auto"/>
              <w:bottom w:val="single" w:sz="4" w:space="0" w:color="auto"/>
              <w:right w:val="single" w:sz="4" w:space="0" w:color="auto"/>
            </w:tcBorders>
            <w:hideMark/>
          </w:tcPr>
          <w:p w14:paraId="72D01DB8"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-9.59</w:t>
            </w:r>
          </w:p>
        </w:tc>
        <w:tc>
          <w:tcPr>
            <w:tcW w:w="1355" w:type="dxa"/>
            <w:tcBorders>
              <w:top w:val="single" w:sz="4" w:space="0" w:color="auto"/>
              <w:left w:val="single" w:sz="4" w:space="0" w:color="auto"/>
              <w:bottom w:val="single" w:sz="4" w:space="0" w:color="auto"/>
              <w:right w:val="single" w:sz="4" w:space="0" w:color="auto"/>
            </w:tcBorders>
            <w:hideMark/>
          </w:tcPr>
          <w:p w14:paraId="72D01DB9"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91.9681</w:t>
            </w:r>
          </w:p>
        </w:tc>
        <w:tc>
          <w:tcPr>
            <w:tcW w:w="1702" w:type="dxa"/>
            <w:tcBorders>
              <w:top w:val="single" w:sz="4" w:space="0" w:color="auto"/>
              <w:left w:val="single" w:sz="4" w:space="0" w:color="auto"/>
              <w:bottom w:val="single" w:sz="4" w:space="0" w:color="auto"/>
              <w:right w:val="single" w:sz="4" w:space="0" w:color="auto"/>
            </w:tcBorders>
            <w:hideMark/>
          </w:tcPr>
          <w:p w14:paraId="72D01DBA"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2.28</w:t>
            </w:r>
          </w:p>
        </w:tc>
      </w:tr>
      <w:tr w:rsidR="00745AEF" w:rsidRPr="0070281F" w14:paraId="72D01DC1"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BC"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20</w:t>
            </w:r>
          </w:p>
        </w:tc>
        <w:tc>
          <w:tcPr>
            <w:tcW w:w="2163" w:type="dxa"/>
            <w:tcBorders>
              <w:top w:val="single" w:sz="4" w:space="0" w:color="auto"/>
              <w:left w:val="single" w:sz="4" w:space="0" w:color="auto"/>
              <w:bottom w:val="single" w:sz="4" w:space="0" w:color="auto"/>
              <w:right w:val="single" w:sz="4" w:space="0" w:color="auto"/>
            </w:tcBorders>
            <w:hideMark/>
          </w:tcPr>
          <w:p w14:paraId="72D01DBD"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24.42</w:t>
            </w:r>
          </w:p>
        </w:tc>
        <w:tc>
          <w:tcPr>
            <w:tcW w:w="991" w:type="dxa"/>
            <w:tcBorders>
              <w:top w:val="single" w:sz="4" w:space="0" w:color="auto"/>
              <w:left w:val="single" w:sz="4" w:space="0" w:color="auto"/>
              <w:bottom w:val="single" w:sz="4" w:space="0" w:color="auto"/>
              <w:right w:val="single" w:sz="4" w:space="0" w:color="auto"/>
            </w:tcBorders>
            <w:hideMark/>
          </w:tcPr>
          <w:p w14:paraId="72D01DBE"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-4.42</w:t>
            </w:r>
          </w:p>
        </w:tc>
        <w:tc>
          <w:tcPr>
            <w:tcW w:w="1355" w:type="dxa"/>
            <w:tcBorders>
              <w:top w:val="single" w:sz="4" w:space="0" w:color="auto"/>
              <w:left w:val="single" w:sz="4" w:space="0" w:color="auto"/>
              <w:bottom w:val="single" w:sz="4" w:space="0" w:color="auto"/>
              <w:right w:val="single" w:sz="4" w:space="0" w:color="auto"/>
            </w:tcBorders>
            <w:hideMark/>
          </w:tcPr>
          <w:p w14:paraId="72D01DBF"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19.5364</w:t>
            </w:r>
          </w:p>
        </w:tc>
        <w:tc>
          <w:tcPr>
            <w:tcW w:w="1702" w:type="dxa"/>
            <w:tcBorders>
              <w:top w:val="single" w:sz="4" w:space="0" w:color="auto"/>
              <w:left w:val="single" w:sz="4" w:space="0" w:color="auto"/>
              <w:bottom w:val="single" w:sz="4" w:space="0" w:color="auto"/>
              <w:right w:val="single" w:sz="4" w:space="0" w:color="auto"/>
            </w:tcBorders>
            <w:hideMark/>
          </w:tcPr>
          <w:p w14:paraId="72D01DC0"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0.80</w:t>
            </w:r>
          </w:p>
        </w:tc>
      </w:tr>
      <w:tr w:rsidR="00745AEF" w:rsidRPr="0070281F" w14:paraId="72D01DC7"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C2"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12</w:t>
            </w:r>
          </w:p>
        </w:tc>
        <w:tc>
          <w:tcPr>
            <w:tcW w:w="2163" w:type="dxa"/>
            <w:tcBorders>
              <w:top w:val="single" w:sz="4" w:space="0" w:color="auto"/>
              <w:left w:val="single" w:sz="4" w:space="0" w:color="auto"/>
              <w:bottom w:val="single" w:sz="4" w:space="0" w:color="auto"/>
              <w:right w:val="single" w:sz="4" w:space="0" w:color="auto"/>
            </w:tcBorders>
            <w:hideMark/>
          </w:tcPr>
          <w:p w14:paraId="72D01DC3"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13.76</w:t>
            </w:r>
          </w:p>
        </w:tc>
        <w:tc>
          <w:tcPr>
            <w:tcW w:w="991" w:type="dxa"/>
            <w:tcBorders>
              <w:top w:val="single" w:sz="4" w:space="0" w:color="auto"/>
              <w:left w:val="single" w:sz="4" w:space="0" w:color="auto"/>
              <w:bottom w:val="single" w:sz="4" w:space="0" w:color="auto"/>
              <w:right w:val="single" w:sz="4" w:space="0" w:color="auto"/>
            </w:tcBorders>
            <w:hideMark/>
          </w:tcPr>
          <w:p w14:paraId="72D01DC4"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-1.76</w:t>
            </w:r>
          </w:p>
        </w:tc>
        <w:tc>
          <w:tcPr>
            <w:tcW w:w="1355" w:type="dxa"/>
            <w:tcBorders>
              <w:top w:val="single" w:sz="4" w:space="0" w:color="auto"/>
              <w:left w:val="single" w:sz="4" w:space="0" w:color="auto"/>
              <w:bottom w:val="single" w:sz="4" w:space="0" w:color="auto"/>
              <w:right w:val="single" w:sz="4" w:space="0" w:color="auto"/>
            </w:tcBorders>
            <w:hideMark/>
          </w:tcPr>
          <w:p w14:paraId="72D01DC5"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-3.0976</w:t>
            </w:r>
          </w:p>
        </w:tc>
        <w:tc>
          <w:tcPr>
            <w:tcW w:w="1702" w:type="dxa"/>
            <w:tcBorders>
              <w:top w:val="single" w:sz="4" w:space="0" w:color="auto"/>
              <w:left w:val="single" w:sz="4" w:space="0" w:color="auto"/>
              <w:bottom w:val="single" w:sz="4" w:space="0" w:color="auto"/>
              <w:right w:val="single" w:sz="4" w:space="0" w:color="auto"/>
            </w:tcBorders>
            <w:hideMark/>
          </w:tcPr>
          <w:p w14:paraId="72D01DC6"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0.23</w:t>
            </w:r>
          </w:p>
        </w:tc>
      </w:tr>
      <w:tr w:rsidR="00745AEF" w:rsidRPr="0070281F" w14:paraId="72D01DCD"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C8"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26</w:t>
            </w:r>
          </w:p>
        </w:tc>
        <w:tc>
          <w:tcPr>
            <w:tcW w:w="2163" w:type="dxa"/>
            <w:tcBorders>
              <w:top w:val="single" w:sz="4" w:space="0" w:color="auto"/>
              <w:left w:val="single" w:sz="4" w:space="0" w:color="auto"/>
              <w:bottom w:val="single" w:sz="4" w:space="0" w:color="auto"/>
              <w:right w:val="single" w:sz="4" w:space="0" w:color="auto"/>
            </w:tcBorders>
            <w:hideMark/>
          </w:tcPr>
          <w:p w14:paraId="72D01DC9"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15.82</w:t>
            </w:r>
          </w:p>
        </w:tc>
        <w:tc>
          <w:tcPr>
            <w:tcW w:w="991" w:type="dxa"/>
            <w:tcBorders>
              <w:top w:val="single" w:sz="4" w:space="0" w:color="auto"/>
              <w:left w:val="single" w:sz="4" w:space="0" w:color="auto"/>
              <w:bottom w:val="single" w:sz="4" w:space="0" w:color="auto"/>
              <w:right w:val="single" w:sz="4" w:space="0" w:color="auto"/>
            </w:tcBorders>
            <w:hideMark/>
          </w:tcPr>
          <w:p w14:paraId="72D01DCA"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10.18</w:t>
            </w:r>
          </w:p>
        </w:tc>
        <w:tc>
          <w:tcPr>
            <w:tcW w:w="1355" w:type="dxa"/>
            <w:tcBorders>
              <w:top w:val="single" w:sz="4" w:space="0" w:color="auto"/>
              <w:left w:val="single" w:sz="4" w:space="0" w:color="auto"/>
              <w:bottom w:val="single" w:sz="4" w:space="0" w:color="auto"/>
              <w:right w:val="single" w:sz="4" w:space="0" w:color="auto"/>
            </w:tcBorders>
            <w:hideMark/>
          </w:tcPr>
          <w:p w14:paraId="72D01DCB"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103.6324</w:t>
            </w:r>
          </w:p>
        </w:tc>
        <w:tc>
          <w:tcPr>
            <w:tcW w:w="1702" w:type="dxa"/>
            <w:tcBorders>
              <w:top w:val="single" w:sz="4" w:space="0" w:color="auto"/>
              <w:left w:val="single" w:sz="4" w:space="0" w:color="auto"/>
              <w:bottom w:val="single" w:sz="4" w:space="0" w:color="auto"/>
              <w:right w:val="single" w:sz="4" w:space="0" w:color="auto"/>
            </w:tcBorders>
            <w:hideMark/>
          </w:tcPr>
          <w:p w14:paraId="72D01DCC"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6.55</w:t>
            </w:r>
          </w:p>
        </w:tc>
      </w:tr>
      <w:tr w:rsidR="00745AEF" w:rsidRPr="0070281F" w14:paraId="72D01DD3"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CE"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19</w:t>
            </w:r>
          </w:p>
        </w:tc>
        <w:tc>
          <w:tcPr>
            <w:tcW w:w="2163" w:type="dxa"/>
            <w:tcBorders>
              <w:top w:val="single" w:sz="4" w:space="0" w:color="auto"/>
              <w:left w:val="single" w:sz="4" w:space="0" w:color="auto"/>
              <w:bottom w:val="single" w:sz="4" w:space="0" w:color="auto"/>
              <w:right w:val="single" w:sz="4" w:space="0" w:color="auto"/>
            </w:tcBorders>
            <w:hideMark/>
          </w:tcPr>
          <w:p w14:paraId="72D01DCF"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13.41</w:t>
            </w:r>
          </w:p>
        </w:tc>
        <w:tc>
          <w:tcPr>
            <w:tcW w:w="991" w:type="dxa"/>
            <w:tcBorders>
              <w:top w:val="single" w:sz="4" w:space="0" w:color="auto"/>
              <w:left w:val="single" w:sz="4" w:space="0" w:color="auto"/>
              <w:bottom w:val="single" w:sz="4" w:space="0" w:color="auto"/>
              <w:right w:val="single" w:sz="4" w:space="0" w:color="auto"/>
            </w:tcBorders>
            <w:hideMark/>
          </w:tcPr>
          <w:p w14:paraId="72D01DD0"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5.59</w:t>
            </w:r>
          </w:p>
        </w:tc>
        <w:tc>
          <w:tcPr>
            <w:tcW w:w="1355" w:type="dxa"/>
            <w:tcBorders>
              <w:top w:val="single" w:sz="4" w:space="0" w:color="auto"/>
              <w:left w:val="single" w:sz="4" w:space="0" w:color="auto"/>
              <w:bottom w:val="single" w:sz="4" w:space="0" w:color="auto"/>
              <w:right w:val="single" w:sz="4" w:space="0" w:color="auto"/>
            </w:tcBorders>
            <w:hideMark/>
          </w:tcPr>
          <w:p w14:paraId="72D01DD1"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31.2481</w:t>
            </w:r>
          </w:p>
        </w:tc>
        <w:tc>
          <w:tcPr>
            <w:tcW w:w="1702" w:type="dxa"/>
            <w:tcBorders>
              <w:top w:val="single" w:sz="4" w:space="0" w:color="auto"/>
              <w:left w:val="single" w:sz="4" w:space="0" w:color="auto"/>
              <w:bottom w:val="single" w:sz="4" w:space="0" w:color="auto"/>
              <w:right w:val="single" w:sz="4" w:space="0" w:color="auto"/>
            </w:tcBorders>
            <w:hideMark/>
          </w:tcPr>
          <w:p w14:paraId="72D01DD2"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2.33</w:t>
            </w:r>
          </w:p>
        </w:tc>
      </w:tr>
      <w:tr w:rsidR="00745AEF" w:rsidRPr="0070281F" w14:paraId="72D01DD9"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D4"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38</w:t>
            </w:r>
          </w:p>
        </w:tc>
        <w:tc>
          <w:tcPr>
            <w:tcW w:w="2163" w:type="dxa"/>
            <w:tcBorders>
              <w:top w:val="single" w:sz="4" w:space="0" w:color="auto"/>
              <w:left w:val="single" w:sz="4" w:space="0" w:color="auto"/>
              <w:bottom w:val="single" w:sz="4" w:space="0" w:color="auto"/>
              <w:right w:val="single" w:sz="4" w:space="0" w:color="auto"/>
            </w:tcBorders>
            <w:hideMark/>
          </w:tcPr>
          <w:p w14:paraId="72D01DD5"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33.45</w:t>
            </w:r>
          </w:p>
        </w:tc>
        <w:tc>
          <w:tcPr>
            <w:tcW w:w="991" w:type="dxa"/>
            <w:tcBorders>
              <w:top w:val="single" w:sz="4" w:space="0" w:color="auto"/>
              <w:left w:val="single" w:sz="4" w:space="0" w:color="auto"/>
              <w:bottom w:val="single" w:sz="4" w:space="0" w:color="auto"/>
              <w:right w:val="single" w:sz="4" w:space="0" w:color="auto"/>
            </w:tcBorders>
            <w:hideMark/>
          </w:tcPr>
          <w:p w14:paraId="72D01DD6"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11.60</w:t>
            </w:r>
          </w:p>
        </w:tc>
        <w:tc>
          <w:tcPr>
            <w:tcW w:w="1355" w:type="dxa"/>
            <w:tcBorders>
              <w:top w:val="single" w:sz="4" w:space="0" w:color="auto"/>
              <w:left w:val="single" w:sz="4" w:space="0" w:color="auto"/>
              <w:bottom w:val="single" w:sz="4" w:space="0" w:color="auto"/>
              <w:right w:val="single" w:sz="4" w:space="0" w:color="auto"/>
            </w:tcBorders>
            <w:hideMark/>
          </w:tcPr>
          <w:p w14:paraId="72D01DD7"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134.56</w:t>
            </w:r>
          </w:p>
        </w:tc>
        <w:tc>
          <w:tcPr>
            <w:tcW w:w="1702" w:type="dxa"/>
            <w:tcBorders>
              <w:top w:val="single" w:sz="4" w:space="0" w:color="auto"/>
              <w:left w:val="single" w:sz="4" w:space="0" w:color="auto"/>
              <w:bottom w:val="single" w:sz="4" w:space="0" w:color="auto"/>
              <w:right w:val="single" w:sz="4" w:space="0" w:color="auto"/>
            </w:tcBorders>
            <w:hideMark/>
          </w:tcPr>
          <w:p w14:paraId="72D01DD8"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5.10</w:t>
            </w:r>
          </w:p>
        </w:tc>
      </w:tr>
      <w:tr w:rsidR="00745AEF" w:rsidRPr="0070281F" w14:paraId="72D01DDF"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DA"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19</w:t>
            </w:r>
          </w:p>
        </w:tc>
        <w:tc>
          <w:tcPr>
            <w:tcW w:w="2163" w:type="dxa"/>
            <w:tcBorders>
              <w:top w:val="single" w:sz="4" w:space="0" w:color="auto"/>
              <w:left w:val="single" w:sz="4" w:space="0" w:color="auto"/>
              <w:bottom w:val="single" w:sz="4" w:space="0" w:color="auto"/>
              <w:right w:val="single" w:sz="4" w:space="0" w:color="auto"/>
            </w:tcBorders>
            <w:hideMark/>
          </w:tcPr>
          <w:p w14:paraId="72D01DDB"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20.12</w:t>
            </w:r>
          </w:p>
        </w:tc>
        <w:tc>
          <w:tcPr>
            <w:tcW w:w="991" w:type="dxa"/>
            <w:tcBorders>
              <w:top w:val="single" w:sz="4" w:space="0" w:color="auto"/>
              <w:left w:val="single" w:sz="4" w:space="0" w:color="auto"/>
              <w:bottom w:val="single" w:sz="4" w:space="0" w:color="auto"/>
              <w:right w:val="single" w:sz="4" w:space="0" w:color="auto"/>
            </w:tcBorders>
            <w:hideMark/>
          </w:tcPr>
          <w:p w14:paraId="72D01DDC"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5.62</w:t>
            </w:r>
          </w:p>
        </w:tc>
        <w:tc>
          <w:tcPr>
            <w:tcW w:w="1355" w:type="dxa"/>
            <w:tcBorders>
              <w:top w:val="single" w:sz="4" w:space="0" w:color="auto"/>
              <w:left w:val="single" w:sz="4" w:space="0" w:color="auto"/>
              <w:bottom w:val="single" w:sz="4" w:space="0" w:color="auto"/>
              <w:right w:val="single" w:sz="4" w:space="0" w:color="auto"/>
            </w:tcBorders>
            <w:hideMark/>
          </w:tcPr>
          <w:p w14:paraId="72D01DDD"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31.5844</w:t>
            </w:r>
          </w:p>
        </w:tc>
        <w:tc>
          <w:tcPr>
            <w:tcW w:w="1702" w:type="dxa"/>
            <w:tcBorders>
              <w:top w:val="single" w:sz="4" w:space="0" w:color="auto"/>
              <w:left w:val="single" w:sz="4" w:space="0" w:color="auto"/>
              <w:bottom w:val="single" w:sz="4" w:space="0" w:color="auto"/>
              <w:right w:val="single" w:sz="4" w:space="0" w:color="auto"/>
            </w:tcBorders>
            <w:hideMark/>
          </w:tcPr>
          <w:p w14:paraId="72D01DDE"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2.36</w:t>
            </w:r>
          </w:p>
        </w:tc>
      </w:tr>
      <w:tr w:rsidR="00745AEF" w:rsidRPr="0070281F" w14:paraId="72D01DE5"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E0"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17</w:t>
            </w:r>
          </w:p>
        </w:tc>
        <w:tc>
          <w:tcPr>
            <w:tcW w:w="2163" w:type="dxa"/>
            <w:tcBorders>
              <w:top w:val="single" w:sz="4" w:space="0" w:color="auto"/>
              <w:left w:val="single" w:sz="4" w:space="0" w:color="auto"/>
              <w:bottom w:val="single" w:sz="4" w:space="0" w:color="auto"/>
              <w:right w:val="single" w:sz="4" w:space="0" w:color="auto"/>
            </w:tcBorders>
            <w:hideMark/>
          </w:tcPr>
          <w:p w14:paraId="72D01DE1"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11.34</w:t>
            </w:r>
          </w:p>
        </w:tc>
        <w:tc>
          <w:tcPr>
            <w:tcW w:w="991" w:type="dxa"/>
            <w:tcBorders>
              <w:top w:val="single" w:sz="4" w:space="0" w:color="auto"/>
              <w:left w:val="single" w:sz="4" w:space="0" w:color="auto"/>
              <w:bottom w:val="single" w:sz="4" w:space="0" w:color="auto"/>
              <w:right w:val="single" w:sz="4" w:space="0" w:color="auto"/>
            </w:tcBorders>
            <w:hideMark/>
          </w:tcPr>
          <w:p w14:paraId="72D01DE2"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5.87</w:t>
            </w:r>
          </w:p>
        </w:tc>
        <w:tc>
          <w:tcPr>
            <w:tcW w:w="1355" w:type="dxa"/>
            <w:tcBorders>
              <w:top w:val="single" w:sz="4" w:space="0" w:color="auto"/>
              <w:left w:val="single" w:sz="4" w:space="0" w:color="auto"/>
              <w:bottom w:val="single" w:sz="4" w:space="0" w:color="auto"/>
              <w:right w:val="single" w:sz="4" w:space="0" w:color="auto"/>
            </w:tcBorders>
            <w:hideMark/>
          </w:tcPr>
          <w:p w14:paraId="72D01DE3"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34.4569</w:t>
            </w:r>
          </w:p>
        </w:tc>
        <w:tc>
          <w:tcPr>
            <w:tcW w:w="1702" w:type="dxa"/>
            <w:tcBorders>
              <w:top w:val="single" w:sz="4" w:space="0" w:color="auto"/>
              <w:left w:val="single" w:sz="4" w:space="0" w:color="auto"/>
              <w:bottom w:val="single" w:sz="4" w:space="0" w:color="auto"/>
              <w:right w:val="single" w:sz="4" w:space="0" w:color="auto"/>
            </w:tcBorders>
            <w:hideMark/>
          </w:tcPr>
          <w:p w14:paraId="72D01DE4"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3.10</w:t>
            </w:r>
          </w:p>
        </w:tc>
      </w:tr>
      <w:tr w:rsidR="00745AEF" w:rsidRPr="0070281F" w14:paraId="72D01DEB"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E6"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6</w:t>
            </w:r>
          </w:p>
        </w:tc>
        <w:tc>
          <w:tcPr>
            <w:tcW w:w="2163" w:type="dxa"/>
            <w:tcBorders>
              <w:top w:val="single" w:sz="4" w:space="0" w:color="auto"/>
              <w:left w:val="single" w:sz="4" w:space="0" w:color="auto"/>
              <w:bottom w:val="single" w:sz="4" w:space="0" w:color="auto"/>
              <w:right w:val="single" w:sz="4" w:space="0" w:color="auto"/>
            </w:tcBorders>
            <w:hideMark/>
          </w:tcPr>
          <w:p w14:paraId="72D01DE7"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13.04</w:t>
            </w:r>
          </w:p>
        </w:tc>
        <w:tc>
          <w:tcPr>
            <w:tcW w:w="991" w:type="dxa"/>
            <w:tcBorders>
              <w:top w:val="single" w:sz="4" w:space="0" w:color="auto"/>
              <w:left w:val="single" w:sz="4" w:space="0" w:color="auto"/>
              <w:bottom w:val="single" w:sz="4" w:space="0" w:color="auto"/>
              <w:right w:val="single" w:sz="4" w:space="0" w:color="auto"/>
            </w:tcBorders>
            <w:hideMark/>
          </w:tcPr>
          <w:p w14:paraId="72D01DE8"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-8.5</w:t>
            </w:r>
          </w:p>
        </w:tc>
        <w:tc>
          <w:tcPr>
            <w:tcW w:w="1355" w:type="dxa"/>
            <w:tcBorders>
              <w:top w:val="single" w:sz="4" w:space="0" w:color="auto"/>
              <w:left w:val="single" w:sz="4" w:space="0" w:color="auto"/>
              <w:bottom w:val="single" w:sz="4" w:space="0" w:color="auto"/>
              <w:right w:val="single" w:sz="4" w:space="0" w:color="auto"/>
            </w:tcBorders>
            <w:hideMark/>
          </w:tcPr>
          <w:p w14:paraId="72D01DE9"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72.25</w:t>
            </w:r>
          </w:p>
        </w:tc>
        <w:tc>
          <w:tcPr>
            <w:tcW w:w="1702" w:type="dxa"/>
            <w:tcBorders>
              <w:top w:val="single" w:sz="4" w:space="0" w:color="auto"/>
              <w:left w:val="single" w:sz="4" w:space="0" w:color="auto"/>
              <w:bottom w:val="single" w:sz="4" w:space="0" w:color="auto"/>
              <w:right w:val="single" w:sz="4" w:space="0" w:color="auto"/>
            </w:tcBorders>
            <w:hideMark/>
          </w:tcPr>
          <w:p w14:paraId="72D01DEA"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4.98</w:t>
            </w:r>
          </w:p>
        </w:tc>
      </w:tr>
      <w:tr w:rsidR="00745AEF" w:rsidRPr="0070281F" w14:paraId="72D01DF1"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EC"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9</w:t>
            </w:r>
          </w:p>
        </w:tc>
        <w:tc>
          <w:tcPr>
            <w:tcW w:w="2163" w:type="dxa"/>
            <w:tcBorders>
              <w:top w:val="single" w:sz="4" w:space="0" w:color="auto"/>
              <w:left w:val="single" w:sz="4" w:space="0" w:color="auto"/>
              <w:bottom w:val="single" w:sz="4" w:space="0" w:color="auto"/>
              <w:right w:val="single" w:sz="4" w:space="0" w:color="auto"/>
            </w:tcBorders>
            <w:hideMark/>
          </w:tcPr>
          <w:p w14:paraId="72D01DED"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11.05</w:t>
            </w:r>
          </w:p>
        </w:tc>
        <w:tc>
          <w:tcPr>
            <w:tcW w:w="991" w:type="dxa"/>
            <w:tcBorders>
              <w:top w:val="single" w:sz="4" w:space="0" w:color="auto"/>
              <w:left w:val="single" w:sz="4" w:space="0" w:color="auto"/>
              <w:bottom w:val="single" w:sz="4" w:space="0" w:color="auto"/>
              <w:right w:val="single" w:sz="4" w:space="0" w:color="auto"/>
            </w:tcBorders>
            <w:hideMark/>
          </w:tcPr>
          <w:p w14:paraId="72D01DEE"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-6.78</w:t>
            </w:r>
          </w:p>
        </w:tc>
        <w:tc>
          <w:tcPr>
            <w:tcW w:w="1355" w:type="dxa"/>
            <w:tcBorders>
              <w:top w:val="single" w:sz="4" w:space="0" w:color="auto"/>
              <w:left w:val="single" w:sz="4" w:space="0" w:color="auto"/>
              <w:bottom w:val="single" w:sz="4" w:space="0" w:color="auto"/>
              <w:right w:val="single" w:sz="4" w:space="0" w:color="auto"/>
            </w:tcBorders>
            <w:hideMark/>
          </w:tcPr>
          <w:p w14:paraId="72D01DEF"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45.9684</w:t>
            </w:r>
          </w:p>
        </w:tc>
        <w:tc>
          <w:tcPr>
            <w:tcW w:w="1702" w:type="dxa"/>
            <w:tcBorders>
              <w:top w:val="single" w:sz="4" w:space="0" w:color="auto"/>
              <w:left w:val="single" w:sz="4" w:space="0" w:color="auto"/>
              <w:bottom w:val="single" w:sz="4" w:space="0" w:color="auto"/>
              <w:right w:val="single" w:sz="4" w:space="0" w:color="auto"/>
            </w:tcBorders>
            <w:hideMark/>
          </w:tcPr>
          <w:p w14:paraId="72D01DF0"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2.91</w:t>
            </w:r>
          </w:p>
        </w:tc>
      </w:tr>
      <w:tr w:rsidR="00745AEF" w:rsidRPr="0070281F" w14:paraId="72D01DF7"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F2"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49</w:t>
            </w:r>
          </w:p>
        </w:tc>
        <w:tc>
          <w:tcPr>
            <w:tcW w:w="2163" w:type="dxa"/>
            <w:tcBorders>
              <w:top w:val="single" w:sz="4" w:space="0" w:color="auto"/>
              <w:left w:val="single" w:sz="4" w:space="0" w:color="auto"/>
              <w:bottom w:val="single" w:sz="4" w:space="0" w:color="auto"/>
              <w:right w:val="single" w:sz="4" w:space="0" w:color="auto"/>
            </w:tcBorders>
            <w:hideMark/>
          </w:tcPr>
          <w:p w14:paraId="72D01DF3"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43.97</w:t>
            </w:r>
          </w:p>
        </w:tc>
        <w:tc>
          <w:tcPr>
            <w:tcW w:w="991" w:type="dxa"/>
            <w:tcBorders>
              <w:top w:val="single" w:sz="4" w:space="0" w:color="auto"/>
              <w:left w:val="single" w:sz="4" w:space="0" w:color="auto"/>
              <w:bottom w:val="single" w:sz="4" w:space="0" w:color="auto"/>
              <w:right w:val="single" w:sz="4" w:space="0" w:color="auto"/>
            </w:tcBorders>
            <w:hideMark/>
          </w:tcPr>
          <w:p w14:paraId="72D01DF4"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5.03</w:t>
            </w:r>
          </w:p>
        </w:tc>
        <w:tc>
          <w:tcPr>
            <w:tcW w:w="1355" w:type="dxa"/>
            <w:tcBorders>
              <w:top w:val="single" w:sz="4" w:space="0" w:color="auto"/>
              <w:left w:val="single" w:sz="4" w:space="0" w:color="auto"/>
              <w:bottom w:val="single" w:sz="4" w:space="0" w:color="auto"/>
              <w:right w:val="single" w:sz="4" w:space="0" w:color="auto"/>
            </w:tcBorders>
            <w:hideMark/>
          </w:tcPr>
          <w:p w14:paraId="72D01DF5"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25.3009</w:t>
            </w:r>
          </w:p>
        </w:tc>
        <w:tc>
          <w:tcPr>
            <w:tcW w:w="1702" w:type="dxa"/>
            <w:tcBorders>
              <w:top w:val="single" w:sz="4" w:space="0" w:color="auto"/>
              <w:left w:val="single" w:sz="4" w:space="0" w:color="auto"/>
              <w:bottom w:val="single" w:sz="4" w:space="0" w:color="auto"/>
              <w:right w:val="single" w:sz="4" w:space="0" w:color="auto"/>
            </w:tcBorders>
            <w:hideMark/>
          </w:tcPr>
          <w:p w14:paraId="72D01DF6"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0.58</w:t>
            </w:r>
          </w:p>
        </w:tc>
      </w:tr>
      <w:tr w:rsidR="00745AEF" w:rsidRPr="0070281F" w14:paraId="72D01DFD"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F8"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32</w:t>
            </w:r>
          </w:p>
        </w:tc>
        <w:tc>
          <w:tcPr>
            <w:tcW w:w="2163" w:type="dxa"/>
            <w:tcBorders>
              <w:top w:val="single" w:sz="4" w:space="0" w:color="auto"/>
              <w:left w:val="single" w:sz="4" w:space="0" w:color="auto"/>
              <w:bottom w:val="single" w:sz="4" w:space="0" w:color="auto"/>
              <w:right w:val="single" w:sz="4" w:space="0" w:color="auto"/>
            </w:tcBorders>
            <w:hideMark/>
          </w:tcPr>
          <w:p w14:paraId="72D01DF9"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26.46</w:t>
            </w:r>
          </w:p>
        </w:tc>
        <w:tc>
          <w:tcPr>
            <w:tcW w:w="991" w:type="dxa"/>
            <w:tcBorders>
              <w:top w:val="single" w:sz="4" w:space="0" w:color="auto"/>
              <w:left w:val="single" w:sz="4" w:space="0" w:color="auto"/>
              <w:bottom w:val="single" w:sz="4" w:space="0" w:color="auto"/>
              <w:right w:val="single" w:sz="4" w:space="0" w:color="auto"/>
            </w:tcBorders>
            <w:hideMark/>
          </w:tcPr>
          <w:p w14:paraId="72D01DFA"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5.54</w:t>
            </w:r>
          </w:p>
        </w:tc>
        <w:tc>
          <w:tcPr>
            <w:tcW w:w="1355" w:type="dxa"/>
            <w:tcBorders>
              <w:top w:val="single" w:sz="4" w:space="0" w:color="auto"/>
              <w:left w:val="single" w:sz="4" w:space="0" w:color="auto"/>
              <w:bottom w:val="single" w:sz="4" w:space="0" w:color="auto"/>
              <w:right w:val="single" w:sz="4" w:space="0" w:color="auto"/>
            </w:tcBorders>
            <w:hideMark/>
          </w:tcPr>
          <w:p w14:paraId="72D01DFB"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30.6916</w:t>
            </w:r>
          </w:p>
        </w:tc>
        <w:tc>
          <w:tcPr>
            <w:tcW w:w="1702" w:type="dxa"/>
            <w:tcBorders>
              <w:top w:val="single" w:sz="4" w:space="0" w:color="auto"/>
              <w:left w:val="single" w:sz="4" w:space="0" w:color="auto"/>
              <w:bottom w:val="single" w:sz="4" w:space="0" w:color="auto"/>
              <w:right w:val="single" w:sz="4" w:space="0" w:color="auto"/>
            </w:tcBorders>
            <w:hideMark/>
          </w:tcPr>
          <w:p w14:paraId="72D01DFC"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1.16</w:t>
            </w:r>
          </w:p>
        </w:tc>
      </w:tr>
      <w:tr w:rsidR="00745AEF" w:rsidRPr="0070281F" w14:paraId="72D01E03"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FE"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11</w:t>
            </w:r>
          </w:p>
        </w:tc>
        <w:tc>
          <w:tcPr>
            <w:tcW w:w="2163" w:type="dxa"/>
            <w:tcBorders>
              <w:top w:val="single" w:sz="4" w:space="0" w:color="auto"/>
              <w:left w:val="single" w:sz="4" w:space="0" w:color="auto"/>
              <w:bottom w:val="single" w:sz="4" w:space="0" w:color="auto"/>
              <w:right w:val="single" w:sz="4" w:space="0" w:color="auto"/>
            </w:tcBorders>
            <w:hideMark/>
          </w:tcPr>
          <w:p w14:paraId="72D01DFF"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14.90</w:t>
            </w:r>
          </w:p>
        </w:tc>
        <w:tc>
          <w:tcPr>
            <w:tcW w:w="991" w:type="dxa"/>
            <w:tcBorders>
              <w:top w:val="single" w:sz="4" w:space="0" w:color="auto"/>
              <w:left w:val="single" w:sz="4" w:space="0" w:color="auto"/>
              <w:bottom w:val="single" w:sz="4" w:space="0" w:color="auto"/>
              <w:right w:val="single" w:sz="4" w:space="0" w:color="auto"/>
            </w:tcBorders>
            <w:hideMark/>
          </w:tcPr>
          <w:p w14:paraId="72D01E00"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-3.90</w:t>
            </w:r>
          </w:p>
        </w:tc>
        <w:tc>
          <w:tcPr>
            <w:tcW w:w="1355" w:type="dxa"/>
            <w:tcBorders>
              <w:top w:val="single" w:sz="4" w:space="0" w:color="auto"/>
              <w:left w:val="single" w:sz="4" w:space="0" w:color="auto"/>
              <w:bottom w:val="single" w:sz="4" w:space="0" w:color="auto"/>
              <w:right w:val="single" w:sz="4" w:space="0" w:color="auto"/>
            </w:tcBorders>
            <w:hideMark/>
          </w:tcPr>
          <w:p w14:paraId="72D01E01"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15.2100</w:t>
            </w:r>
          </w:p>
        </w:tc>
        <w:tc>
          <w:tcPr>
            <w:tcW w:w="1702" w:type="dxa"/>
            <w:tcBorders>
              <w:top w:val="single" w:sz="4" w:space="0" w:color="auto"/>
              <w:left w:val="single" w:sz="4" w:space="0" w:color="auto"/>
              <w:bottom w:val="single" w:sz="4" w:space="0" w:color="auto"/>
              <w:right w:val="single" w:sz="4" w:space="0" w:color="auto"/>
            </w:tcBorders>
            <w:hideMark/>
          </w:tcPr>
          <w:p w14:paraId="72D01E02"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1.02</w:t>
            </w:r>
          </w:p>
        </w:tc>
      </w:tr>
      <w:tr w:rsidR="00745AEF" w:rsidRPr="0070281F" w14:paraId="72D01E09"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E04"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14</w:t>
            </w:r>
          </w:p>
        </w:tc>
        <w:tc>
          <w:tcPr>
            <w:tcW w:w="2163" w:type="dxa"/>
            <w:tcBorders>
              <w:top w:val="single" w:sz="4" w:space="0" w:color="auto"/>
              <w:left w:val="single" w:sz="4" w:space="0" w:color="auto"/>
              <w:bottom w:val="single" w:sz="4" w:space="0" w:color="auto"/>
              <w:right w:val="single" w:sz="4" w:space="0" w:color="auto"/>
            </w:tcBorders>
            <w:hideMark/>
          </w:tcPr>
          <w:p w14:paraId="72D01E05"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17.14</w:t>
            </w:r>
          </w:p>
        </w:tc>
        <w:tc>
          <w:tcPr>
            <w:tcW w:w="991" w:type="dxa"/>
            <w:tcBorders>
              <w:top w:val="single" w:sz="4" w:space="0" w:color="auto"/>
              <w:left w:val="single" w:sz="4" w:space="0" w:color="auto"/>
              <w:bottom w:val="single" w:sz="4" w:space="0" w:color="auto"/>
              <w:right w:val="single" w:sz="4" w:space="0" w:color="auto"/>
            </w:tcBorders>
            <w:hideMark/>
          </w:tcPr>
          <w:p w14:paraId="72D01E06"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-3.14</w:t>
            </w:r>
          </w:p>
        </w:tc>
        <w:tc>
          <w:tcPr>
            <w:tcW w:w="1355" w:type="dxa"/>
            <w:tcBorders>
              <w:top w:val="single" w:sz="4" w:space="0" w:color="auto"/>
              <w:left w:val="single" w:sz="4" w:space="0" w:color="auto"/>
              <w:bottom w:val="single" w:sz="4" w:space="0" w:color="auto"/>
              <w:right w:val="single" w:sz="4" w:space="0" w:color="auto"/>
            </w:tcBorders>
            <w:hideMark/>
          </w:tcPr>
          <w:p w14:paraId="72D01E07"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9.8596</w:t>
            </w:r>
          </w:p>
        </w:tc>
        <w:tc>
          <w:tcPr>
            <w:tcW w:w="1702" w:type="dxa"/>
            <w:tcBorders>
              <w:top w:val="single" w:sz="4" w:space="0" w:color="auto"/>
              <w:left w:val="single" w:sz="4" w:space="0" w:color="auto"/>
              <w:bottom w:val="single" w:sz="4" w:space="0" w:color="auto"/>
              <w:right w:val="single" w:sz="4" w:space="0" w:color="auto"/>
            </w:tcBorders>
            <w:hideMark/>
          </w:tcPr>
          <w:p w14:paraId="72D01E08"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0.56</w:t>
            </w:r>
          </w:p>
        </w:tc>
      </w:tr>
      <w:tr w:rsidR="00745AEF" w:rsidRPr="0070281F" w14:paraId="72D01E0F"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E0A"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11</w:t>
            </w:r>
          </w:p>
        </w:tc>
        <w:tc>
          <w:tcPr>
            <w:tcW w:w="2163" w:type="dxa"/>
            <w:tcBorders>
              <w:top w:val="single" w:sz="4" w:space="0" w:color="auto"/>
              <w:left w:val="single" w:sz="4" w:space="0" w:color="auto"/>
              <w:bottom w:val="single" w:sz="4" w:space="0" w:color="auto"/>
              <w:right w:val="single" w:sz="4" w:space="0" w:color="auto"/>
            </w:tcBorders>
            <w:hideMark/>
          </w:tcPr>
          <w:p w14:paraId="72D01E0B"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14.53</w:t>
            </w:r>
          </w:p>
        </w:tc>
        <w:tc>
          <w:tcPr>
            <w:tcW w:w="991" w:type="dxa"/>
            <w:tcBorders>
              <w:top w:val="single" w:sz="4" w:space="0" w:color="auto"/>
              <w:left w:val="single" w:sz="4" w:space="0" w:color="auto"/>
              <w:bottom w:val="single" w:sz="4" w:space="0" w:color="auto"/>
              <w:right w:val="single" w:sz="4" w:space="0" w:color="auto"/>
            </w:tcBorders>
            <w:hideMark/>
          </w:tcPr>
          <w:p w14:paraId="72D01E0C"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-3.53</w:t>
            </w:r>
          </w:p>
        </w:tc>
        <w:tc>
          <w:tcPr>
            <w:tcW w:w="1355" w:type="dxa"/>
            <w:tcBorders>
              <w:top w:val="single" w:sz="4" w:space="0" w:color="auto"/>
              <w:left w:val="single" w:sz="4" w:space="0" w:color="auto"/>
              <w:bottom w:val="single" w:sz="4" w:space="0" w:color="auto"/>
              <w:right w:val="single" w:sz="4" w:space="0" w:color="auto"/>
            </w:tcBorders>
            <w:hideMark/>
          </w:tcPr>
          <w:p w14:paraId="72D01E0D"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12.4609</w:t>
            </w:r>
          </w:p>
        </w:tc>
        <w:tc>
          <w:tcPr>
            <w:tcW w:w="1702" w:type="dxa"/>
            <w:tcBorders>
              <w:top w:val="single" w:sz="4" w:space="0" w:color="auto"/>
              <w:left w:val="single" w:sz="4" w:space="0" w:color="auto"/>
              <w:bottom w:val="single" w:sz="4" w:space="0" w:color="auto"/>
              <w:right w:val="single" w:sz="4" w:space="0" w:color="auto"/>
            </w:tcBorders>
            <w:hideMark/>
          </w:tcPr>
          <w:p w14:paraId="72D01E0E"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0.86</w:t>
            </w:r>
          </w:p>
        </w:tc>
      </w:tr>
      <w:tr w:rsidR="00745AEF" w:rsidRPr="0070281F" w14:paraId="72D01E16" w14:textId="77777777" w:rsidTr="003E1D88">
        <w:tc>
          <w:tcPr>
            <w:tcW w:w="2691" w:type="dxa"/>
            <w:tcBorders>
              <w:top w:val="single" w:sz="4" w:space="0" w:color="auto"/>
              <w:left w:val="single" w:sz="4" w:space="0" w:color="auto"/>
              <w:bottom w:val="single" w:sz="4" w:space="0" w:color="auto"/>
              <w:right w:val="single" w:sz="4" w:space="0" w:color="auto"/>
            </w:tcBorders>
          </w:tcPr>
          <w:p w14:paraId="72D01E10" w14:textId="77777777" w:rsidR="00CE5060" w:rsidRPr="0070281F" w:rsidRDefault="00CE5060" w:rsidP="00E67849">
            <w:pPr>
              <w:pStyle w:val="NoSpacing"/>
              <w:rPr>
                <w:rFonts w:ascii="Arial" w:hAnsi="Arial" w:cs="Arial"/>
                <w:sz w:val="20"/>
                <w:szCs w:val="20"/>
              </w:rPr>
            </w:pPr>
          </w:p>
        </w:tc>
        <w:tc>
          <w:tcPr>
            <w:tcW w:w="2163" w:type="dxa"/>
            <w:tcBorders>
              <w:top w:val="single" w:sz="4" w:space="0" w:color="auto"/>
              <w:left w:val="single" w:sz="4" w:space="0" w:color="auto"/>
              <w:bottom w:val="single" w:sz="4" w:space="0" w:color="auto"/>
              <w:right w:val="single" w:sz="4" w:space="0" w:color="auto"/>
            </w:tcBorders>
          </w:tcPr>
          <w:p w14:paraId="72D01E11" w14:textId="77777777" w:rsidR="00CE5060" w:rsidRPr="0070281F" w:rsidRDefault="00CE5060" w:rsidP="00E67849">
            <w:pPr>
              <w:pStyle w:val="NoSpacing"/>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14:paraId="72D01E12" w14:textId="77777777" w:rsidR="00CE5060" w:rsidRPr="0070281F" w:rsidRDefault="00CE5060" w:rsidP="00E67849">
            <w:pPr>
              <w:pStyle w:val="NoSpacing"/>
              <w:rPr>
                <w:rFonts w:ascii="Arial" w:hAnsi="Arial" w:cs="Arial"/>
                <w:sz w:val="20"/>
                <w:szCs w:val="20"/>
              </w:rPr>
            </w:pPr>
          </w:p>
        </w:tc>
        <w:tc>
          <w:tcPr>
            <w:tcW w:w="1355" w:type="dxa"/>
            <w:tcBorders>
              <w:top w:val="single" w:sz="4" w:space="0" w:color="auto"/>
              <w:left w:val="single" w:sz="4" w:space="0" w:color="auto"/>
              <w:bottom w:val="single" w:sz="4" w:space="0" w:color="auto"/>
              <w:right w:val="single" w:sz="4" w:space="0" w:color="auto"/>
            </w:tcBorders>
          </w:tcPr>
          <w:p w14:paraId="72D01E13" w14:textId="77777777" w:rsidR="00CE5060" w:rsidRPr="0070281F" w:rsidRDefault="00CE5060" w:rsidP="00E67849">
            <w:pPr>
              <w:pStyle w:val="NoSpacing"/>
              <w:rPr>
                <w:rFonts w:ascii="Arial" w:hAnsi="Arial" w:cs="Arial"/>
                <w:sz w:val="20"/>
                <w:szCs w:val="20"/>
              </w:rPr>
            </w:pPr>
          </w:p>
        </w:tc>
        <w:tc>
          <w:tcPr>
            <w:tcW w:w="1702" w:type="dxa"/>
            <w:tcBorders>
              <w:top w:val="single" w:sz="4" w:space="0" w:color="auto"/>
              <w:left w:val="single" w:sz="4" w:space="0" w:color="auto"/>
              <w:bottom w:val="single" w:sz="4" w:space="0" w:color="auto"/>
              <w:right w:val="single" w:sz="4" w:space="0" w:color="auto"/>
            </w:tcBorders>
            <w:hideMark/>
          </w:tcPr>
          <w:p w14:paraId="72D01E14" w14:textId="77777777" w:rsidR="00CE5060" w:rsidRPr="0070281F" w:rsidRDefault="00CE5060" w:rsidP="00E67849">
            <w:pPr>
              <w:pStyle w:val="NoSpacing"/>
              <w:rPr>
                <w:rFonts w:ascii="Arial" w:hAnsi="Arial" w:cs="Arial"/>
                <w:sz w:val="20"/>
                <w:szCs w:val="20"/>
                <w:u w:val="single"/>
              </w:rPr>
            </w:pPr>
            <w:r w:rsidRPr="0070281F">
              <w:rPr>
                <w:rFonts w:ascii="Arial" w:hAnsi="Arial" w:cs="Arial"/>
                <w:sz w:val="20"/>
                <w:szCs w:val="20"/>
              </w:rPr>
              <w:t>X</w:t>
            </w:r>
            <w:r w:rsidRPr="0070281F">
              <w:rPr>
                <w:rFonts w:ascii="Arial" w:hAnsi="Arial" w:cs="Arial"/>
                <w:sz w:val="20"/>
                <w:szCs w:val="20"/>
                <w:vertAlign w:val="superscript"/>
              </w:rPr>
              <w:t>2</w:t>
            </w:r>
            <w:r w:rsidRPr="0070281F">
              <w:rPr>
                <w:rFonts w:ascii="Arial" w:hAnsi="Arial" w:cs="Arial"/>
                <w:sz w:val="20"/>
                <w:szCs w:val="20"/>
              </w:rPr>
              <w:t xml:space="preserve">=   </w:t>
            </w:r>
            <w:r w:rsidRPr="0070281F">
              <w:rPr>
                <w:rFonts w:ascii="Arial" w:hAnsi="Arial" w:cs="Arial"/>
                <w:sz w:val="20"/>
                <w:szCs w:val="20"/>
                <w:u w:val="single"/>
              </w:rPr>
              <w:t>∑(o – e)</w:t>
            </w:r>
            <w:r w:rsidRPr="0070281F">
              <w:rPr>
                <w:rFonts w:ascii="Arial" w:hAnsi="Arial" w:cs="Arial"/>
                <w:sz w:val="20"/>
                <w:szCs w:val="20"/>
                <w:u w:val="single"/>
                <w:vertAlign w:val="superscript"/>
              </w:rPr>
              <w:t>2</w:t>
            </w:r>
            <w:r w:rsidRPr="0070281F">
              <w:rPr>
                <w:rFonts w:ascii="Arial" w:hAnsi="Arial" w:cs="Arial"/>
                <w:sz w:val="20"/>
                <w:szCs w:val="20"/>
              </w:rPr>
              <w:t xml:space="preserve"> = </w:t>
            </w:r>
            <w:r w:rsidRPr="0070281F">
              <w:rPr>
                <w:rFonts w:ascii="Arial" w:hAnsi="Arial" w:cs="Arial"/>
                <w:sz w:val="20"/>
                <w:szCs w:val="20"/>
                <w:u w:val="single"/>
              </w:rPr>
              <w:t>34.82</w:t>
            </w:r>
          </w:p>
          <w:p w14:paraId="72D01E15"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 xml:space="preserve">                 E</w:t>
            </w:r>
          </w:p>
        </w:tc>
      </w:tr>
    </w:tbl>
    <w:p w14:paraId="72D01E17" w14:textId="27375D06" w:rsidR="00CE5060" w:rsidRPr="0070281F" w:rsidRDefault="00CE5060" w:rsidP="00CE5060">
      <w:pPr>
        <w:spacing w:line="360" w:lineRule="auto"/>
        <w:jc w:val="both"/>
        <w:rPr>
          <w:rFonts w:ascii="Arial" w:hAnsi="Arial" w:cs="Arial"/>
          <w:sz w:val="20"/>
          <w:szCs w:val="20"/>
        </w:rPr>
      </w:pPr>
      <w:r w:rsidRPr="0070281F">
        <w:rPr>
          <w:rFonts w:ascii="Arial" w:hAnsi="Arial" w:cs="Arial"/>
          <w:b/>
          <w:sz w:val="20"/>
          <w:szCs w:val="20"/>
        </w:rPr>
        <w:t>Source</w:t>
      </w:r>
      <w:r w:rsidR="00F21437">
        <w:rPr>
          <w:rFonts w:ascii="Arial" w:hAnsi="Arial" w:cs="Arial"/>
          <w:sz w:val="20"/>
          <w:szCs w:val="20"/>
        </w:rPr>
        <w:t>: Primary Data</w:t>
      </w:r>
      <w:r w:rsidRPr="0070281F">
        <w:rPr>
          <w:rFonts w:ascii="Arial" w:hAnsi="Arial" w:cs="Arial"/>
          <w:sz w:val="20"/>
          <w:szCs w:val="20"/>
        </w:rPr>
        <w:t xml:space="preserve"> 2025</w:t>
      </w:r>
    </w:p>
    <w:p w14:paraId="72D01E18" w14:textId="77777777" w:rsidR="00CE5060" w:rsidRPr="0070281F" w:rsidRDefault="00CE5060" w:rsidP="009C1D2C">
      <w:pPr>
        <w:spacing w:after="0" w:line="360" w:lineRule="auto"/>
        <w:jc w:val="both"/>
        <w:rPr>
          <w:rFonts w:ascii="Arial" w:hAnsi="Arial" w:cs="Arial"/>
          <w:b/>
          <w:sz w:val="20"/>
          <w:szCs w:val="20"/>
        </w:rPr>
      </w:pPr>
      <w:r w:rsidRPr="0070281F">
        <w:rPr>
          <w:rFonts w:ascii="Arial" w:hAnsi="Arial" w:cs="Arial"/>
          <w:b/>
          <w:sz w:val="20"/>
          <w:szCs w:val="20"/>
        </w:rPr>
        <w:t>Decision</w:t>
      </w:r>
    </w:p>
    <w:p w14:paraId="72D01E19" w14:textId="7BA8ACB8" w:rsidR="00CE5060" w:rsidRPr="003737BE" w:rsidRDefault="00FF7AA8" w:rsidP="00FF7AA8">
      <w:pPr>
        <w:spacing w:after="0" w:line="360" w:lineRule="auto"/>
        <w:contextualSpacing/>
        <w:jc w:val="both"/>
        <w:rPr>
          <w:rFonts w:ascii="Arial" w:hAnsi="Arial" w:cs="Arial"/>
          <w:sz w:val="20"/>
          <w:szCs w:val="20"/>
        </w:rPr>
      </w:pPr>
      <w:r w:rsidRPr="00FF7AA8">
        <w:rPr>
          <w:rFonts w:ascii="Arial" w:hAnsi="Arial" w:cs="Arial"/>
          <w:sz w:val="20"/>
          <w:szCs w:val="20"/>
        </w:rPr>
        <w:t xml:space="preserve">The chi-square test result (χ² = 34.82, </w:t>
      </w:r>
      <w:proofErr w:type="spellStart"/>
      <w:r w:rsidRPr="00FF7AA8">
        <w:rPr>
          <w:rFonts w:ascii="Arial" w:hAnsi="Arial" w:cs="Arial"/>
          <w:sz w:val="20"/>
          <w:szCs w:val="20"/>
        </w:rPr>
        <w:t>df</w:t>
      </w:r>
      <w:proofErr w:type="spellEnd"/>
      <w:r w:rsidRPr="00FF7AA8">
        <w:rPr>
          <w:rFonts w:ascii="Arial" w:hAnsi="Arial" w:cs="Arial"/>
          <w:sz w:val="20"/>
          <w:szCs w:val="20"/>
        </w:rPr>
        <w:t xml:space="preserve"> = 8, p &lt; 0.05) was higher than the critical value (15.51), indicating a statistically significant association between respondents’ views on gender equality and their perceptions of Nigeria’s progress toward the SDGs. It is important to note that this reflects perceptions of respondents rather than objective causal </w:t>
      </w:r>
      <w:r w:rsidR="003737BE" w:rsidRPr="00FF7AA8">
        <w:rPr>
          <w:rFonts w:ascii="Arial" w:hAnsi="Arial" w:cs="Arial"/>
          <w:sz w:val="20"/>
          <w:szCs w:val="20"/>
        </w:rPr>
        <w:t>evidence. In</w:t>
      </w:r>
      <w:r w:rsidRPr="00FF7AA8">
        <w:rPr>
          <w:rFonts w:ascii="Arial" w:hAnsi="Arial" w:cs="Arial"/>
          <w:sz w:val="20"/>
          <w:szCs w:val="20"/>
        </w:rPr>
        <w:t xml:space="preserve"> this study, over 70% of the 314 valid respondents agreed or strongly agreed that empowering women through education, employment, and political representation contributes to poverty reduction and social progress. These perceptions are consistent with broader evidence reported by UN Women (2022) and the National Gender Policy (2006), which emphasize that gender-sensitive reforms are necessary to accelerate development outcomes.</w:t>
      </w:r>
      <w:r w:rsidR="003737BE">
        <w:rPr>
          <w:rFonts w:ascii="Arial" w:hAnsi="Arial" w:cs="Arial"/>
          <w:sz w:val="20"/>
          <w:szCs w:val="20"/>
        </w:rPr>
        <w:t xml:space="preserve"> </w:t>
      </w:r>
      <w:r w:rsidRPr="00FF7AA8">
        <w:rPr>
          <w:rFonts w:ascii="Arial" w:hAnsi="Arial" w:cs="Arial"/>
          <w:sz w:val="20"/>
          <w:szCs w:val="20"/>
        </w:rPr>
        <w:t xml:space="preserve">Thus, while the survey findings highlight strong public recognition of the link between gender equality and sustainable development, they should be interpreted as indicative associations rather than definitive causal </w:t>
      </w:r>
      <w:r w:rsidR="00A76750" w:rsidRPr="00FF7AA8">
        <w:rPr>
          <w:rFonts w:ascii="Arial" w:hAnsi="Arial" w:cs="Arial"/>
          <w:sz w:val="20"/>
          <w:szCs w:val="20"/>
        </w:rPr>
        <w:t>proof.</w:t>
      </w:r>
    </w:p>
    <w:p w14:paraId="3EF9B1A5" w14:textId="77777777" w:rsidR="006007D3" w:rsidRDefault="006007D3" w:rsidP="009C1D2C">
      <w:pPr>
        <w:spacing w:after="0" w:line="360" w:lineRule="auto"/>
        <w:contextualSpacing/>
        <w:jc w:val="both"/>
        <w:rPr>
          <w:rFonts w:ascii="Arial" w:hAnsi="Arial" w:cs="Arial"/>
          <w:bCs/>
          <w:sz w:val="20"/>
          <w:szCs w:val="20"/>
        </w:rPr>
      </w:pPr>
    </w:p>
    <w:p w14:paraId="62BE3CF3" w14:textId="77777777" w:rsidR="006007D3" w:rsidRDefault="006007D3" w:rsidP="009C1D2C">
      <w:pPr>
        <w:spacing w:after="0" w:line="360" w:lineRule="auto"/>
        <w:contextualSpacing/>
        <w:jc w:val="both"/>
        <w:rPr>
          <w:rFonts w:ascii="Arial" w:hAnsi="Arial" w:cs="Arial"/>
          <w:bCs/>
          <w:sz w:val="20"/>
          <w:szCs w:val="20"/>
        </w:rPr>
      </w:pPr>
    </w:p>
    <w:p w14:paraId="0C58C250" w14:textId="77777777" w:rsidR="006007D3" w:rsidRPr="0070281F" w:rsidRDefault="006007D3" w:rsidP="009C1D2C">
      <w:pPr>
        <w:spacing w:after="0" w:line="360" w:lineRule="auto"/>
        <w:contextualSpacing/>
        <w:jc w:val="both"/>
        <w:rPr>
          <w:rFonts w:ascii="Arial" w:hAnsi="Arial" w:cs="Arial"/>
          <w:bCs/>
          <w:sz w:val="20"/>
          <w:szCs w:val="20"/>
        </w:rPr>
      </w:pPr>
    </w:p>
    <w:p w14:paraId="72D01E1A" w14:textId="77777777" w:rsidR="00CE5060" w:rsidRPr="0070281F" w:rsidRDefault="00CE5060" w:rsidP="00CE5060">
      <w:pPr>
        <w:spacing w:line="360" w:lineRule="auto"/>
        <w:contextualSpacing/>
        <w:jc w:val="both"/>
        <w:rPr>
          <w:rFonts w:ascii="Arial" w:hAnsi="Arial" w:cs="Arial"/>
          <w:b/>
          <w:sz w:val="20"/>
          <w:szCs w:val="20"/>
        </w:rPr>
      </w:pPr>
    </w:p>
    <w:p w14:paraId="72D01E1B" w14:textId="579EACDA" w:rsidR="004E3AB0" w:rsidRPr="0070281F" w:rsidRDefault="004E3AB0" w:rsidP="00CE5060">
      <w:pPr>
        <w:spacing w:line="360" w:lineRule="auto"/>
        <w:contextualSpacing/>
        <w:jc w:val="both"/>
        <w:rPr>
          <w:rFonts w:ascii="Arial" w:hAnsi="Arial" w:cs="Arial"/>
          <w:b/>
          <w:sz w:val="20"/>
          <w:szCs w:val="20"/>
        </w:rPr>
      </w:pPr>
      <w:r w:rsidRPr="0070281F">
        <w:rPr>
          <w:rFonts w:ascii="Arial" w:hAnsi="Arial" w:cs="Arial"/>
          <w:b/>
          <w:sz w:val="20"/>
          <w:szCs w:val="20"/>
        </w:rPr>
        <w:lastRenderedPageBreak/>
        <w:t>Research Question Two</w:t>
      </w:r>
      <w:r w:rsidR="00E6594E" w:rsidRPr="0070281F">
        <w:rPr>
          <w:rFonts w:ascii="Arial" w:hAnsi="Arial" w:cs="Arial"/>
          <w:b/>
          <w:sz w:val="20"/>
          <w:szCs w:val="20"/>
        </w:rPr>
        <w:t xml:space="preserve">: </w:t>
      </w:r>
      <w:r w:rsidR="00E6594E" w:rsidRPr="0070281F">
        <w:rPr>
          <w:rFonts w:ascii="Arial" w:hAnsi="Arial" w:cs="Arial"/>
          <w:i/>
          <w:sz w:val="20"/>
          <w:szCs w:val="20"/>
        </w:rPr>
        <w:t xml:space="preserve">Is there a link between </w:t>
      </w:r>
      <w:r w:rsidR="00E6594E" w:rsidRPr="0070281F">
        <w:rPr>
          <w:rFonts w:ascii="Arial" w:eastAsia="Times New Roman" w:hAnsi="Arial" w:cs="Arial"/>
          <w:i/>
          <w:sz w:val="20"/>
          <w:szCs w:val="20"/>
          <w:lang w:eastAsia="en-GB"/>
        </w:rPr>
        <w:t xml:space="preserve">specific areas of gender inequality and </w:t>
      </w:r>
      <w:r w:rsidR="00E6594E" w:rsidRPr="0070281F">
        <w:rPr>
          <w:rFonts w:ascii="Arial" w:hAnsi="Arial" w:cs="Arial"/>
          <w:i/>
          <w:sz w:val="20"/>
          <w:szCs w:val="20"/>
        </w:rPr>
        <w:t>the realization of Nigeria’s SDGs?</w:t>
      </w:r>
    </w:p>
    <w:p w14:paraId="72D01E1C" w14:textId="564816FE" w:rsidR="004E3AB0" w:rsidRPr="0070281F" w:rsidRDefault="004E3AB0" w:rsidP="004E3AB0">
      <w:pPr>
        <w:pStyle w:val="NoSpacing"/>
        <w:jc w:val="both"/>
        <w:rPr>
          <w:rFonts w:ascii="Arial" w:hAnsi="Arial" w:cs="Arial"/>
          <w:b/>
          <w:sz w:val="20"/>
          <w:szCs w:val="20"/>
        </w:rPr>
      </w:pPr>
      <w:r w:rsidRPr="0070281F">
        <w:rPr>
          <w:rFonts w:ascii="Arial" w:hAnsi="Arial" w:cs="Arial"/>
          <w:b/>
          <w:sz w:val="20"/>
          <w:szCs w:val="20"/>
        </w:rPr>
        <w:t>T</w:t>
      </w:r>
      <w:r w:rsidR="00C63B13" w:rsidRPr="0070281F">
        <w:rPr>
          <w:rFonts w:ascii="Arial" w:hAnsi="Arial" w:cs="Arial"/>
          <w:b/>
          <w:sz w:val="20"/>
          <w:szCs w:val="20"/>
        </w:rPr>
        <w:t xml:space="preserve">able </w:t>
      </w:r>
      <w:r w:rsidR="00360ADE">
        <w:rPr>
          <w:rFonts w:ascii="Arial" w:hAnsi="Arial" w:cs="Arial"/>
          <w:b/>
          <w:sz w:val="20"/>
          <w:szCs w:val="20"/>
        </w:rPr>
        <w:t>6</w:t>
      </w:r>
      <w:r w:rsidR="00E6594E" w:rsidRPr="0070281F">
        <w:rPr>
          <w:rFonts w:ascii="Arial" w:hAnsi="Arial" w:cs="Arial"/>
          <w:b/>
          <w:sz w:val="20"/>
          <w:szCs w:val="20"/>
        </w:rPr>
        <w:t xml:space="preserve">: A link between </w:t>
      </w:r>
      <w:r w:rsidR="00E6594E" w:rsidRPr="0070281F">
        <w:rPr>
          <w:rFonts w:ascii="Arial" w:eastAsia="Times New Roman" w:hAnsi="Arial" w:cs="Arial"/>
          <w:b/>
          <w:sz w:val="20"/>
          <w:szCs w:val="20"/>
          <w:lang w:eastAsia="en-GB"/>
        </w:rPr>
        <w:t xml:space="preserve">specific areas of gender inequality and </w:t>
      </w:r>
      <w:r w:rsidR="00E6594E" w:rsidRPr="0070281F">
        <w:rPr>
          <w:rFonts w:ascii="Arial" w:hAnsi="Arial" w:cs="Arial"/>
          <w:b/>
          <w:sz w:val="20"/>
          <w:szCs w:val="20"/>
        </w:rPr>
        <w:t>the realization of Nigeria’s SDGs</w:t>
      </w:r>
    </w:p>
    <w:tbl>
      <w:tblPr>
        <w:tblpPr w:leftFromText="180" w:rightFromText="180" w:vertAnchor="text" w:horzAnchor="page" w:tblpX="1336" w:tblpY="98"/>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1134"/>
        <w:gridCol w:w="992"/>
        <w:gridCol w:w="992"/>
        <w:gridCol w:w="1134"/>
        <w:gridCol w:w="1134"/>
        <w:gridCol w:w="993"/>
      </w:tblGrid>
      <w:tr w:rsidR="00745AEF" w:rsidRPr="0070281F" w14:paraId="72D01E24" w14:textId="77777777" w:rsidTr="00CE5060">
        <w:trPr>
          <w:trHeight w:val="557"/>
        </w:trPr>
        <w:tc>
          <w:tcPr>
            <w:tcW w:w="3114" w:type="dxa"/>
          </w:tcPr>
          <w:p w14:paraId="72D01E1D" w14:textId="77777777" w:rsidR="004E3AB0" w:rsidRPr="0070281F" w:rsidRDefault="004E3AB0" w:rsidP="00C42C70">
            <w:pPr>
              <w:pStyle w:val="NoSpacing"/>
              <w:jc w:val="both"/>
              <w:rPr>
                <w:rFonts w:ascii="Arial" w:hAnsi="Arial" w:cs="Arial"/>
                <w:b/>
                <w:sz w:val="20"/>
                <w:szCs w:val="20"/>
              </w:rPr>
            </w:pPr>
            <w:r w:rsidRPr="0070281F">
              <w:rPr>
                <w:rFonts w:ascii="Arial" w:hAnsi="Arial" w:cs="Arial"/>
                <w:b/>
                <w:sz w:val="20"/>
                <w:szCs w:val="20"/>
              </w:rPr>
              <w:t>Responses</w:t>
            </w:r>
          </w:p>
        </w:tc>
        <w:tc>
          <w:tcPr>
            <w:tcW w:w="1134" w:type="dxa"/>
          </w:tcPr>
          <w:p w14:paraId="72D01E1E" w14:textId="77777777" w:rsidR="004E3AB0" w:rsidRPr="0070281F" w:rsidRDefault="004E3AB0" w:rsidP="00C42C70">
            <w:pPr>
              <w:pStyle w:val="NoSpacing"/>
              <w:jc w:val="both"/>
              <w:rPr>
                <w:rFonts w:ascii="Arial" w:hAnsi="Arial" w:cs="Arial"/>
                <w:b/>
                <w:sz w:val="20"/>
                <w:szCs w:val="20"/>
              </w:rPr>
            </w:pPr>
            <w:r w:rsidRPr="0070281F">
              <w:rPr>
                <w:rFonts w:ascii="Arial" w:hAnsi="Arial" w:cs="Arial"/>
                <w:b/>
                <w:sz w:val="20"/>
                <w:szCs w:val="20"/>
              </w:rPr>
              <w:t xml:space="preserve">Strongly Agree  </w:t>
            </w:r>
          </w:p>
        </w:tc>
        <w:tc>
          <w:tcPr>
            <w:tcW w:w="992" w:type="dxa"/>
          </w:tcPr>
          <w:p w14:paraId="72D01E1F" w14:textId="77777777" w:rsidR="004E3AB0" w:rsidRPr="0070281F" w:rsidRDefault="004E3AB0" w:rsidP="00C42C70">
            <w:pPr>
              <w:pStyle w:val="NoSpacing"/>
              <w:jc w:val="both"/>
              <w:rPr>
                <w:rFonts w:ascii="Arial" w:hAnsi="Arial" w:cs="Arial"/>
                <w:b/>
                <w:sz w:val="20"/>
                <w:szCs w:val="20"/>
              </w:rPr>
            </w:pPr>
            <w:r w:rsidRPr="0070281F">
              <w:rPr>
                <w:rFonts w:ascii="Arial" w:hAnsi="Arial" w:cs="Arial"/>
                <w:b/>
                <w:sz w:val="20"/>
                <w:szCs w:val="20"/>
              </w:rPr>
              <w:t xml:space="preserve">Agree  </w:t>
            </w:r>
          </w:p>
        </w:tc>
        <w:tc>
          <w:tcPr>
            <w:tcW w:w="992" w:type="dxa"/>
          </w:tcPr>
          <w:p w14:paraId="72D01E20" w14:textId="77777777" w:rsidR="004E3AB0" w:rsidRPr="0070281F" w:rsidRDefault="004E3AB0" w:rsidP="00C42C70">
            <w:pPr>
              <w:pStyle w:val="NoSpacing"/>
              <w:jc w:val="both"/>
              <w:rPr>
                <w:rFonts w:ascii="Arial" w:hAnsi="Arial" w:cs="Arial"/>
                <w:b/>
                <w:sz w:val="20"/>
                <w:szCs w:val="20"/>
              </w:rPr>
            </w:pPr>
            <w:r w:rsidRPr="0070281F">
              <w:rPr>
                <w:rFonts w:ascii="Arial" w:hAnsi="Arial" w:cs="Arial"/>
                <w:b/>
                <w:sz w:val="20"/>
                <w:szCs w:val="20"/>
              </w:rPr>
              <w:t xml:space="preserve">Don’t Know  </w:t>
            </w:r>
          </w:p>
        </w:tc>
        <w:tc>
          <w:tcPr>
            <w:tcW w:w="1134" w:type="dxa"/>
          </w:tcPr>
          <w:p w14:paraId="72D01E21" w14:textId="77777777" w:rsidR="004E3AB0" w:rsidRPr="0070281F" w:rsidRDefault="004E3AB0" w:rsidP="00C42C70">
            <w:pPr>
              <w:pStyle w:val="NoSpacing"/>
              <w:jc w:val="both"/>
              <w:rPr>
                <w:rFonts w:ascii="Arial" w:hAnsi="Arial" w:cs="Arial"/>
                <w:b/>
                <w:sz w:val="20"/>
                <w:szCs w:val="20"/>
              </w:rPr>
            </w:pPr>
            <w:r w:rsidRPr="0070281F">
              <w:rPr>
                <w:rFonts w:ascii="Arial" w:hAnsi="Arial" w:cs="Arial"/>
                <w:b/>
                <w:sz w:val="20"/>
                <w:szCs w:val="20"/>
              </w:rPr>
              <w:t>Disagree</w:t>
            </w:r>
          </w:p>
        </w:tc>
        <w:tc>
          <w:tcPr>
            <w:tcW w:w="1134" w:type="dxa"/>
          </w:tcPr>
          <w:p w14:paraId="72D01E22" w14:textId="77777777" w:rsidR="004E3AB0" w:rsidRPr="0070281F" w:rsidRDefault="004E3AB0" w:rsidP="00C42C70">
            <w:pPr>
              <w:pStyle w:val="NoSpacing"/>
              <w:jc w:val="both"/>
              <w:rPr>
                <w:rFonts w:ascii="Arial" w:hAnsi="Arial" w:cs="Arial"/>
                <w:b/>
                <w:sz w:val="20"/>
                <w:szCs w:val="20"/>
              </w:rPr>
            </w:pPr>
            <w:r w:rsidRPr="0070281F">
              <w:rPr>
                <w:rFonts w:ascii="Arial" w:hAnsi="Arial" w:cs="Arial"/>
                <w:b/>
                <w:sz w:val="20"/>
                <w:szCs w:val="20"/>
              </w:rPr>
              <w:t>Strongly Disagree</w:t>
            </w:r>
          </w:p>
        </w:tc>
        <w:tc>
          <w:tcPr>
            <w:tcW w:w="993" w:type="dxa"/>
          </w:tcPr>
          <w:p w14:paraId="72D01E23" w14:textId="77777777" w:rsidR="004E3AB0" w:rsidRPr="0070281F" w:rsidRDefault="004E3AB0" w:rsidP="00C42C70">
            <w:pPr>
              <w:pStyle w:val="NoSpacing"/>
              <w:jc w:val="both"/>
              <w:rPr>
                <w:rFonts w:ascii="Arial" w:hAnsi="Arial" w:cs="Arial"/>
                <w:b/>
                <w:sz w:val="20"/>
                <w:szCs w:val="20"/>
              </w:rPr>
            </w:pPr>
            <w:r w:rsidRPr="0070281F">
              <w:rPr>
                <w:rFonts w:ascii="Arial" w:hAnsi="Arial" w:cs="Arial"/>
                <w:b/>
                <w:sz w:val="20"/>
                <w:szCs w:val="20"/>
              </w:rPr>
              <w:t>Total</w:t>
            </w:r>
          </w:p>
        </w:tc>
      </w:tr>
      <w:tr w:rsidR="00745AEF" w:rsidRPr="0070281F" w14:paraId="72D01E32" w14:textId="77777777" w:rsidTr="00CE5060">
        <w:tc>
          <w:tcPr>
            <w:tcW w:w="3114" w:type="dxa"/>
          </w:tcPr>
          <w:p w14:paraId="72D01E25" w14:textId="77777777" w:rsidR="004E3AB0" w:rsidRPr="0070281F" w:rsidRDefault="00C42C70" w:rsidP="00C42C70">
            <w:pPr>
              <w:pStyle w:val="NoSpacing"/>
              <w:jc w:val="both"/>
              <w:rPr>
                <w:rFonts w:ascii="Arial" w:hAnsi="Arial" w:cs="Arial"/>
                <w:sz w:val="20"/>
                <w:szCs w:val="20"/>
              </w:rPr>
            </w:pPr>
            <w:r w:rsidRPr="0070281F">
              <w:rPr>
                <w:rFonts w:ascii="Arial" w:eastAsia="Times New Roman" w:hAnsi="Arial" w:cs="Arial"/>
                <w:bCs/>
                <w:sz w:val="20"/>
                <w:szCs w:val="20"/>
                <w:lang w:eastAsia="en-GB"/>
              </w:rPr>
              <w:t>Limited r</w:t>
            </w:r>
            <w:r w:rsidR="00E6594E" w:rsidRPr="0070281F">
              <w:rPr>
                <w:rFonts w:ascii="Arial" w:eastAsia="Times New Roman" w:hAnsi="Arial" w:cs="Arial"/>
                <w:bCs/>
                <w:sz w:val="20"/>
                <w:szCs w:val="20"/>
                <w:lang w:eastAsia="en-GB"/>
              </w:rPr>
              <w:t xml:space="preserve">epresentation </w:t>
            </w:r>
            <w:r w:rsidRPr="0070281F">
              <w:rPr>
                <w:rFonts w:ascii="Arial" w:eastAsia="Times New Roman" w:hAnsi="Arial" w:cs="Arial"/>
                <w:bCs/>
                <w:sz w:val="20"/>
                <w:szCs w:val="20"/>
                <w:lang w:eastAsia="en-GB"/>
              </w:rPr>
              <w:t xml:space="preserve">and </w:t>
            </w:r>
            <w:r w:rsidRPr="0070281F">
              <w:rPr>
                <w:rFonts w:ascii="Arial" w:eastAsia="Times New Roman" w:hAnsi="Arial" w:cs="Arial"/>
                <w:spacing w:val="2"/>
                <w:sz w:val="20"/>
                <w:szCs w:val="20"/>
                <w:lang w:eastAsia="en-GB"/>
              </w:rPr>
              <w:t>participate</w:t>
            </w:r>
            <w:r w:rsidR="00E6594E" w:rsidRPr="0070281F">
              <w:rPr>
                <w:rFonts w:ascii="Arial" w:eastAsia="Times New Roman" w:hAnsi="Arial" w:cs="Arial"/>
                <w:spacing w:val="2"/>
                <w:sz w:val="20"/>
                <w:szCs w:val="20"/>
                <w:lang w:eastAsia="en-GB"/>
              </w:rPr>
              <w:t xml:space="preserve"> in decision-making processes</w:t>
            </w:r>
            <w:r w:rsidRPr="0070281F">
              <w:rPr>
                <w:rFonts w:ascii="Arial" w:eastAsia="Times New Roman" w:hAnsi="Arial" w:cs="Arial"/>
                <w:spacing w:val="2"/>
                <w:sz w:val="20"/>
                <w:szCs w:val="20"/>
                <w:lang w:eastAsia="en-GB"/>
              </w:rPr>
              <w:t>.</w:t>
            </w:r>
          </w:p>
        </w:tc>
        <w:tc>
          <w:tcPr>
            <w:tcW w:w="1134" w:type="dxa"/>
          </w:tcPr>
          <w:p w14:paraId="72D01E26"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179</w:t>
            </w:r>
          </w:p>
          <w:p w14:paraId="72D01E27"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57%</w:t>
            </w:r>
          </w:p>
        </w:tc>
        <w:tc>
          <w:tcPr>
            <w:tcW w:w="992" w:type="dxa"/>
          </w:tcPr>
          <w:p w14:paraId="72D01E28"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65</w:t>
            </w:r>
          </w:p>
          <w:p w14:paraId="72D01E29"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21%</w:t>
            </w:r>
          </w:p>
        </w:tc>
        <w:tc>
          <w:tcPr>
            <w:tcW w:w="992" w:type="dxa"/>
          </w:tcPr>
          <w:p w14:paraId="72D01E2A"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13</w:t>
            </w:r>
          </w:p>
          <w:p w14:paraId="72D01E2B"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4%</w:t>
            </w:r>
          </w:p>
        </w:tc>
        <w:tc>
          <w:tcPr>
            <w:tcW w:w="1134" w:type="dxa"/>
          </w:tcPr>
          <w:p w14:paraId="72D01E2C"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34</w:t>
            </w:r>
          </w:p>
          <w:p w14:paraId="72D01E2D"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11%</w:t>
            </w:r>
          </w:p>
        </w:tc>
        <w:tc>
          <w:tcPr>
            <w:tcW w:w="1134" w:type="dxa"/>
          </w:tcPr>
          <w:p w14:paraId="72D01E2E"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23</w:t>
            </w:r>
          </w:p>
          <w:p w14:paraId="72D01E2F"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7%</w:t>
            </w:r>
          </w:p>
        </w:tc>
        <w:tc>
          <w:tcPr>
            <w:tcW w:w="993" w:type="dxa"/>
          </w:tcPr>
          <w:p w14:paraId="72D01E30"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314</w:t>
            </w:r>
          </w:p>
          <w:p w14:paraId="72D01E31"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E40" w14:textId="77777777" w:rsidTr="00CE5060">
        <w:trPr>
          <w:trHeight w:val="566"/>
        </w:trPr>
        <w:tc>
          <w:tcPr>
            <w:tcW w:w="3114" w:type="dxa"/>
          </w:tcPr>
          <w:p w14:paraId="72D01E33" w14:textId="73AFB3C8" w:rsidR="004E3AB0" w:rsidRPr="0070281F" w:rsidRDefault="00E6594E" w:rsidP="00C42C70">
            <w:pPr>
              <w:pStyle w:val="NoSpacing"/>
              <w:jc w:val="both"/>
              <w:rPr>
                <w:rFonts w:ascii="Arial" w:hAnsi="Arial" w:cs="Arial"/>
                <w:sz w:val="20"/>
                <w:szCs w:val="20"/>
              </w:rPr>
            </w:pPr>
            <w:r w:rsidRPr="0070281F">
              <w:rPr>
                <w:rFonts w:ascii="Arial" w:eastAsia="Times New Roman" w:hAnsi="Arial" w:cs="Arial"/>
                <w:bCs/>
                <w:sz w:val="20"/>
                <w:szCs w:val="20"/>
                <w:lang w:eastAsia="en-GB"/>
              </w:rPr>
              <w:t xml:space="preserve">Economic </w:t>
            </w:r>
            <w:r w:rsidR="00687C2A" w:rsidRPr="0070281F">
              <w:rPr>
                <w:rFonts w:ascii="Arial" w:eastAsia="Times New Roman" w:hAnsi="Arial" w:cs="Arial"/>
                <w:bCs/>
                <w:sz w:val="20"/>
                <w:szCs w:val="20"/>
                <w:lang w:eastAsia="en-GB"/>
              </w:rPr>
              <w:t xml:space="preserve">Disparities </w:t>
            </w:r>
            <w:r w:rsidR="00687C2A" w:rsidRPr="0070281F">
              <w:rPr>
                <w:rFonts w:ascii="Arial" w:eastAsia="Times New Roman" w:hAnsi="Arial" w:cs="Arial"/>
                <w:spacing w:val="2"/>
                <w:sz w:val="20"/>
                <w:szCs w:val="20"/>
                <w:lang w:eastAsia="en-GB"/>
              </w:rPr>
              <w:t>including</w:t>
            </w:r>
            <w:r w:rsidR="00C42C70" w:rsidRPr="0070281F">
              <w:rPr>
                <w:rFonts w:ascii="Arial" w:eastAsia="Times New Roman" w:hAnsi="Arial" w:cs="Arial"/>
                <w:spacing w:val="2"/>
                <w:sz w:val="20"/>
                <w:szCs w:val="20"/>
                <w:lang w:eastAsia="en-GB"/>
              </w:rPr>
              <w:t xml:space="preserve"> lower wages and limited access to resources</w:t>
            </w:r>
          </w:p>
        </w:tc>
        <w:tc>
          <w:tcPr>
            <w:tcW w:w="1134" w:type="dxa"/>
          </w:tcPr>
          <w:p w14:paraId="72D01E34"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157</w:t>
            </w:r>
          </w:p>
          <w:p w14:paraId="72D01E35"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50%</w:t>
            </w:r>
          </w:p>
        </w:tc>
        <w:tc>
          <w:tcPr>
            <w:tcW w:w="992" w:type="dxa"/>
          </w:tcPr>
          <w:p w14:paraId="72D01E36"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55</w:t>
            </w:r>
          </w:p>
          <w:p w14:paraId="72D01E37"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18%</w:t>
            </w:r>
          </w:p>
        </w:tc>
        <w:tc>
          <w:tcPr>
            <w:tcW w:w="992" w:type="dxa"/>
          </w:tcPr>
          <w:p w14:paraId="72D01E38"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28</w:t>
            </w:r>
          </w:p>
          <w:p w14:paraId="72D01E39"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9%</w:t>
            </w:r>
          </w:p>
        </w:tc>
        <w:tc>
          <w:tcPr>
            <w:tcW w:w="1134" w:type="dxa"/>
          </w:tcPr>
          <w:p w14:paraId="72D01E3A"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40</w:t>
            </w:r>
          </w:p>
          <w:p w14:paraId="72D01E3B"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13%</w:t>
            </w:r>
          </w:p>
        </w:tc>
        <w:tc>
          <w:tcPr>
            <w:tcW w:w="1134" w:type="dxa"/>
          </w:tcPr>
          <w:p w14:paraId="72D01E3C"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34</w:t>
            </w:r>
          </w:p>
          <w:p w14:paraId="72D01E3D"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11%</w:t>
            </w:r>
          </w:p>
        </w:tc>
        <w:tc>
          <w:tcPr>
            <w:tcW w:w="993" w:type="dxa"/>
          </w:tcPr>
          <w:p w14:paraId="72D01E3E"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314</w:t>
            </w:r>
          </w:p>
          <w:p w14:paraId="72D01E3F"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E4E" w14:textId="77777777" w:rsidTr="00CE5060">
        <w:trPr>
          <w:trHeight w:val="467"/>
        </w:trPr>
        <w:tc>
          <w:tcPr>
            <w:tcW w:w="3114" w:type="dxa"/>
          </w:tcPr>
          <w:p w14:paraId="72D01E41" w14:textId="29E3EB75" w:rsidR="004E3AB0" w:rsidRPr="0070281F" w:rsidRDefault="00C42C70" w:rsidP="00C42C70">
            <w:pPr>
              <w:pStyle w:val="NoSpacing"/>
              <w:jc w:val="both"/>
              <w:rPr>
                <w:rFonts w:ascii="Arial" w:hAnsi="Arial" w:cs="Arial"/>
                <w:sz w:val="20"/>
                <w:szCs w:val="20"/>
              </w:rPr>
            </w:pPr>
            <w:r w:rsidRPr="0070281F">
              <w:rPr>
                <w:rFonts w:ascii="Arial" w:eastAsia="Times New Roman" w:hAnsi="Arial" w:cs="Arial"/>
                <w:bCs/>
                <w:sz w:val="20"/>
                <w:szCs w:val="20"/>
                <w:lang w:eastAsia="en-GB"/>
              </w:rPr>
              <w:t xml:space="preserve">Gender-based </w:t>
            </w:r>
            <w:r w:rsidR="00687C2A" w:rsidRPr="0070281F">
              <w:rPr>
                <w:rFonts w:ascii="Arial" w:eastAsia="Times New Roman" w:hAnsi="Arial" w:cs="Arial"/>
                <w:bCs/>
                <w:sz w:val="20"/>
                <w:szCs w:val="20"/>
                <w:lang w:eastAsia="en-GB"/>
              </w:rPr>
              <w:t xml:space="preserve">violence </w:t>
            </w:r>
            <w:r w:rsidR="00687C2A" w:rsidRPr="0070281F">
              <w:rPr>
                <w:rFonts w:ascii="Arial" w:eastAsia="Times New Roman" w:hAnsi="Arial" w:cs="Arial"/>
                <w:spacing w:val="2"/>
                <w:sz w:val="20"/>
                <w:szCs w:val="20"/>
                <w:lang w:eastAsia="en-GB"/>
              </w:rPr>
              <w:t>including</w:t>
            </w:r>
            <w:r w:rsidRPr="0070281F">
              <w:rPr>
                <w:rFonts w:ascii="Arial" w:eastAsia="Times New Roman" w:hAnsi="Arial" w:cs="Arial"/>
                <w:spacing w:val="2"/>
                <w:sz w:val="20"/>
                <w:szCs w:val="20"/>
                <w:lang w:eastAsia="en-GB"/>
              </w:rPr>
              <w:t xml:space="preserve"> domestic violence and sexual harassment - major obstacles to women's empowerment and well-being</w:t>
            </w:r>
          </w:p>
        </w:tc>
        <w:tc>
          <w:tcPr>
            <w:tcW w:w="1134" w:type="dxa"/>
          </w:tcPr>
          <w:p w14:paraId="72D01E42"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144</w:t>
            </w:r>
          </w:p>
          <w:p w14:paraId="72D01E43"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46%</w:t>
            </w:r>
          </w:p>
        </w:tc>
        <w:tc>
          <w:tcPr>
            <w:tcW w:w="992" w:type="dxa"/>
          </w:tcPr>
          <w:p w14:paraId="72D01E44"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50</w:t>
            </w:r>
          </w:p>
          <w:p w14:paraId="72D01E45"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16%</w:t>
            </w:r>
          </w:p>
        </w:tc>
        <w:tc>
          <w:tcPr>
            <w:tcW w:w="992" w:type="dxa"/>
          </w:tcPr>
          <w:p w14:paraId="72D01E46"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32</w:t>
            </w:r>
          </w:p>
          <w:p w14:paraId="72D01E47"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10%</w:t>
            </w:r>
          </w:p>
        </w:tc>
        <w:tc>
          <w:tcPr>
            <w:tcW w:w="1134" w:type="dxa"/>
          </w:tcPr>
          <w:p w14:paraId="72D01E48"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52</w:t>
            </w:r>
          </w:p>
          <w:p w14:paraId="72D01E49"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17%</w:t>
            </w:r>
          </w:p>
        </w:tc>
        <w:tc>
          <w:tcPr>
            <w:tcW w:w="1134" w:type="dxa"/>
          </w:tcPr>
          <w:p w14:paraId="72D01E4A"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36</w:t>
            </w:r>
          </w:p>
          <w:p w14:paraId="72D01E4B"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11%</w:t>
            </w:r>
          </w:p>
        </w:tc>
        <w:tc>
          <w:tcPr>
            <w:tcW w:w="993" w:type="dxa"/>
          </w:tcPr>
          <w:p w14:paraId="72D01E4C"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314</w:t>
            </w:r>
          </w:p>
          <w:p w14:paraId="72D01E4D"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E5C" w14:textId="77777777" w:rsidTr="00CE5060">
        <w:tc>
          <w:tcPr>
            <w:tcW w:w="3114" w:type="dxa"/>
          </w:tcPr>
          <w:p w14:paraId="72D01E4F" w14:textId="77777777" w:rsidR="004E3AB0" w:rsidRPr="0070281F" w:rsidRDefault="00C42C70" w:rsidP="00C42C70">
            <w:pPr>
              <w:pStyle w:val="NoSpacing"/>
              <w:jc w:val="both"/>
              <w:rPr>
                <w:rFonts w:ascii="Arial" w:eastAsia="Times New Roman" w:hAnsi="Arial" w:cs="Arial"/>
                <w:spacing w:val="2"/>
                <w:sz w:val="20"/>
                <w:szCs w:val="20"/>
                <w:lang w:eastAsia="en-GB"/>
              </w:rPr>
            </w:pPr>
            <w:r w:rsidRPr="0070281F">
              <w:rPr>
                <w:rFonts w:ascii="Arial" w:eastAsia="Times New Roman" w:hAnsi="Arial" w:cs="Arial"/>
                <w:bCs/>
                <w:sz w:val="20"/>
                <w:szCs w:val="20"/>
                <w:lang w:eastAsia="en-GB"/>
              </w:rPr>
              <w:t>Social norms and cultural p</w:t>
            </w:r>
            <w:r w:rsidR="00E6594E" w:rsidRPr="0070281F">
              <w:rPr>
                <w:rFonts w:ascii="Arial" w:eastAsia="Times New Roman" w:hAnsi="Arial" w:cs="Arial"/>
                <w:bCs/>
                <w:sz w:val="20"/>
                <w:szCs w:val="20"/>
                <w:lang w:eastAsia="en-GB"/>
              </w:rPr>
              <w:t>ractices</w:t>
            </w:r>
            <w:r w:rsidRPr="0070281F">
              <w:rPr>
                <w:rFonts w:ascii="Arial" w:eastAsia="Times New Roman" w:hAnsi="Arial" w:cs="Arial"/>
                <w:bCs/>
                <w:sz w:val="20"/>
                <w:szCs w:val="20"/>
                <w:lang w:eastAsia="en-GB"/>
              </w:rPr>
              <w:t xml:space="preserve"> and </w:t>
            </w:r>
            <w:r w:rsidRPr="0070281F">
              <w:rPr>
                <w:rFonts w:ascii="Arial" w:eastAsia="Times New Roman" w:hAnsi="Arial" w:cs="Arial"/>
                <w:spacing w:val="2"/>
                <w:sz w:val="20"/>
                <w:szCs w:val="20"/>
                <w:lang w:eastAsia="en-GB"/>
              </w:rPr>
              <w:t>other discriminatory practices which can hinder women's progress. </w:t>
            </w:r>
          </w:p>
        </w:tc>
        <w:tc>
          <w:tcPr>
            <w:tcW w:w="1134" w:type="dxa"/>
          </w:tcPr>
          <w:p w14:paraId="72D01E50"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224</w:t>
            </w:r>
          </w:p>
          <w:p w14:paraId="72D01E51"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71%</w:t>
            </w:r>
          </w:p>
        </w:tc>
        <w:tc>
          <w:tcPr>
            <w:tcW w:w="992" w:type="dxa"/>
          </w:tcPr>
          <w:p w14:paraId="72D01E52"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47</w:t>
            </w:r>
          </w:p>
          <w:p w14:paraId="72D01E53"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15%</w:t>
            </w:r>
          </w:p>
        </w:tc>
        <w:tc>
          <w:tcPr>
            <w:tcW w:w="992" w:type="dxa"/>
          </w:tcPr>
          <w:p w14:paraId="72D01E54"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12</w:t>
            </w:r>
          </w:p>
          <w:p w14:paraId="72D01E55"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4%</w:t>
            </w:r>
          </w:p>
        </w:tc>
        <w:tc>
          <w:tcPr>
            <w:tcW w:w="1134" w:type="dxa"/>
          </w:tcPr>
          <w:p w14:paraId="72D01E56"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21</w:t>
            </w:r>
          </w:p>
          <w:p w14:paraId="72D01E57"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7%</w:t>
            </w:r>
          </w:p>
        </w:tc>
        <w:tc>
          <w:tcPr>
            <w:tcW w:w="1134" w:type="dxa"/>
          </w:tcPr>
          <w:p w14:paraId="72D01E58"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10</w:t>
            </w:r>
          </w:p>
          <w:p w14:paraId="72D01E59"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w:t>
            </w:r>
          </w:p>
        </w:tc>
        <w:tc>
          <w:tcPr>
            <w:tcW w:w="993" w:type="dxa"/>
          </w:tcPr>
          <w:p w14:paraId="72D01E5A"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314</w:t>
            </w:r>
          </w:p>
          <w:p w14:paraId="72D01E5B"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E6A" w14:textId="77777777" w:rsidTr="00CE5060">
        <w:trPr>
          <w:trHeight w:val="645"/>
        </w:trPr>
        <w:tc>
          <w:tcPr>
            <w:tcW w:w="3114" w:type="dxa"/>
            <w:tcBorders>
              <w:bottom w:val="single" w:sz="4" w:space="0" w:color="auto"/>
            </w:tcBorders>
          </w:tcPr>
          <w:p w14:paraId="72D01E5D" w14:textId="7172722A" w:rsidR="004E3AB0" w:rsidRPr="0070281F" w:rsidRDefault="00C42C70" w:rsidP="00C42C70">
            <w:pPr>
              <w:pStyle w:val="NoSpacing"/>
              <w:jc w:val="both"/>
              <w:rPr>
                <w:rFonts w:ascii="Arial" w:hAnsi="Arial" w:cs="Arial"/>
                <w:sz w:val="20"/>
                <w:szCs w:val="20"/>
              </w:rPr>
            </w:pPr>
            <w:r w:rsidRPr="0070281F">
              <w:rPr>
                <w:rFonts w:ascii="Arial" w:eastAsia="Times New Roman" w:hAnsi="Arial" w:cs="Arial"/>
                <w:bCs/>
                <w:sz w:val="20"/>
                <w:szCs w:val="20"/>
                <w:lang w:eastAsia="en-GB"/>
              </w:rPr>
              <w:t xml:space="preserve">Existing legal and policy </w:t>
            </w:r>
            <w:r w:rsidR="00687C2A" w:rsidRPr="0070281F">
              <w:rPr>
                <w:rFonts w:ascii="Arial" w:eastAsia="Times New Roman" w:hAnsi="Arial" w:cs="Arial"/>
                <w:bCs/>
                <w:sz w:val="20"/>
                <w:szCs w:val="20"/>
                <w:lang w:eastAsia="en-GB"/>
              </w:rPr>
              <w:t xml:space="preserve">gaps </w:t>
            </w:r>
            <w:r w:rsidR="00687C2A" w:rsidRPr="0070281F">
              <w:rPr>
                <w:rFonts w:ascii="Arial" w:eastAsia="Times New Roman" w:hAnsi="Arial" w:cs="Arial"/>
                <w:spacing w:val="2"/>
                <w:sz w:val="20"/>
                <w:szCs w:val="20"/>
                <w:lang w:eastAsia="en-GB"/>
              </w:rPr>
              <w:t>may</w:t>
            </w:r>
            <w:r w:rsidRPr="0070281F">
              <w:rPr>
                <w:rFonts w:ascii="Arial" w:eastAsia="Times New Roman" w:hAnsi="Arial" w:cs="Arial"/>
                <w:spacing w:val="2"/>
                <w:sz w:val="20"/>
                <w:szCs w:val="20"/>
                <w:lang w:eastAsia="en-GB"/>
              </w:rPr>
              <w:t xml:space="preserve"> not adequately protect women's rights and ensure their equal access to opportunities</w:t>
            </w:r>
          </w:p>
        </w:tc>
        <w:tc>
          <w:tcPr>
            <w:tcW w:w="1134" w:type="dxa"/>
            <w:tcBorders>
              <w:bottom w:val="single" w:sz="4" w:space="0" w:color="auto"/>
            </w:tcBorders>
          </w:tcPr>
          <w:p w14:paraId="72D01E5E"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46</w:t>
            </w:r>
          </w:p>
          <w:p w14:paraId="72D01E5F"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15%</w:t>
            </w:r>
          </w:p>
        </w:tc>
        <w:tc>
          <w:tcPr>
            <w:tcW w:w="992" w:type="dxa"/>
            <w:tcBorders>
              <w:bottom w:val="single" w:sz="4" w:space="0" w:color="auto"/>
            </w:tcBorders>
          </w:tcPr>
          <w:p w14:paraId="72D01E60"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219</w:t>
            </w:r>
          </w:p>
          <w:p w14:paraId="72D01E61"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70%</w:t>
            </w:r>
          </w:p>
        </w:tc>
        <w:tc>
          <w:tcPr>
            <w:tcW w:w="992" w:type="dxa"/>
            <w:tcBorders>
              <w:bottom w:val="single" w:sz="4" w:space="0" w:color="auto"/>
            </w:tcBorders>
          </w:tcPr>
          <w:p w14:paraId="72D01E62"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21</w:t>
            </w:r>
          </w:p>
          <w:p w14:paraId="72D01E63"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7%</w:t>
            </w:r>
          </w:p>
        </w:tc>
        <w:tc>
          <w:tcPr>
            <w:tcW w:w="1134" w:type="dxa"/>
            <w:tcBorders>
              <w:bottom w:val="single" w:sz="4" w:space="0" w:color="auto"/>
            </w:tcBorders>
          </w:tcPr>
          <w:p w14:paraId="72D01E64"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17</w:t>
            </w:r>
          </w:p>
          <w:p w14:paraId="72D01E65"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5%</w:t>
            </w:r>
          </w:p>
        </w:tc>
        <w:tc>
          <w:tcPr>
            <w:tcW w:w="1134" w:type="dxa"/>
            <w:tcBorders>
              <w:bottom w:val="single" w:sz="4" w:space="0" w:color="auto"/>
            </w:tcBorders>
          </w:tcPr>
          <w:p w14:paraId="72D01E66"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10</w:t>
            </w:r>
          </w:p>
          <w:p w14:paraId="72D01E67"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w:t>
            </w:r>
          </w:p>
        </w:tc>
        <w:tc>
          <w:tcPr>
            <w:tcW w:w="993" w:type="dxa"/>
            <w:tcBorders>
              <w:bottom w:val="single" w:sz="4" w:space="0" w:color="auto"/>
            </w:tcBorders>
          </w:tcPr>
          <w:p w14:paraId="72D01E68"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314</w:t>
            </w:r>
          </w:p>
          <w:p w14:paraId="72D01E69"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E72" w14:textId="77777777" w:rsidTr="00CE5060">
        <w:trPr>
          <w:trHeight w:val="168"/>
        </w:trPr>
        <w:tc>
          <w:tcPr>
            <w:tcW w:w="3114" w:type="dxa"/>
            <w:tcBorders>
              <w:top w:val="single" w:sz="4" w:space="0" w:color="auto"/>
            </w:tcBorders>
          </w:tcPr>
          <w:p w14:paraId="72D01E6B" w14:textId="77777777" w:rsidR="00C42C70" w:rsidRPr="0070281F" w:rsidRDefault="007007B5" w:rsidP="00C42C70">
            <w:pPr>
              <w:pStyle w:val="NoSpacing"/>
              <w:jc w:val="both"/>
              <w:rPr>
                <w:rFonts w:ascii="Arial" w:eastAsia="Times New Roman" w:hAnsi="Arial" w:cs="Arial"/>
                <w:b/>
                <w:bCs/>
                <w:sz w:val="20"/>
                <w:szCs w:val="20"/>
                <w:lang w:eastAsia="en-GB"/>
              </w:rPr>
            </w:pPr>
            <w:r w:rsidRPr="0070281F">
              <w:rPr>
                <w:rFonts w:ascii="Arial" w:eastAsia="Times New Roman" w:hAnsi="Arial" w:cs="Arial"/>
                <w:b/>
                <w:bCs/>
                <w:sz w:val="20"/>
                <w:szCs w:val="20"/>
                <w:lang w:eastAsia="en-GB"/>
              </w:rPr>
              <w:t>TOTAL</w:t>
            </w:r>
          </w:p>
        </w:tc>
        <w:tc>
          <w:tcPr>
            <w:tcW w:w="1134" w:type="dxa"/>
            <w:tcBorders>
              <w:top w:val="single" w:sz="4" w:space="0" w:color="auto"/>
            </w:tcBorders>
          </w:tcPr>
          <w:p w14:paraId="72D01E6C" w14:textId="77777777" w:rsidR="00C42C70" w:rsidRPr="0070281F" w:rsidRDefault="009D0153" w:rsidP="00C42C70">
            <w:pPr>
              <w:pStyle w:val="NoSpacing"/>
              <w:jc w:val="both"/>
              <w:rPr>
                <w:rFonts w:ascii="Arial" w:hAnsi="Arial" w:cs="Arial"/>
                <w:b/>
                <w:sz w:val="20"/>
                <w:szCs w:val="20"/>
              </w:rPr>
            </w:pPr>
            <w:r w:rsidRPr="0070281F">
              <w:rPr>
                <w:rFonts w:ascii="Arial" w:hAnsi="Arial" w:cs="Arial"/>
                <w:b/>
                <w:sz w:val="20"/>
                <w:szCs w:val="20"/>
              </w:rPr>
              <w:t>750</w:t>
            </w:r>
          </w:p>
        </w:tc>
        <w:tc>
          <w:tcPr>
            <w:tcW w:w="992" w:type="dxa"/>
            <w:tcBorders>
              <w:top w:val="single" w:sz="4" w:space="0" w:color="auto"/>
            </w:tcBorders>
          </w:tcPr>
          <w:p w14:paraId="72D01E6D" w14:textId="77777777" w:rsidR="00C42C70" w:rsidRPr="0070281F" w:rsidRDefault="009D0153" w:rsidP="00C42C70">
            <w:pPr>
              <w:pStyle w:val="NoSpacing"/>
              <w:jc w:val="both"/>
              <w:rPr>
                <w:rFonts w:ascii="Arial" w:hAnsi="Arial" w:cs="Arial"/>
                <w:b/>
                <w:sz w:val="20"/>
                <w:szCs w:val="20"/>
              </w:rPr>
            </w:pPr>
            <w:r w:rsidRPr="0070281F">
              <w:rPr>
                <w:rFonts w:ascii="Arial" w:hAnsi="Arial" w:cs="Arial"/>
                <w:b/>
                <w:sz w:val="20"/>
                <w:szCs w:val="20"/>
              </w:rPr>
              <w:t>436</w:t>
            </w:r>
          </w:p>
        </w:tc>
        <w:tc>
          <w:tcPr>
            <w:tcW w:w="992" w:type="dxa"/>
            <w:tcBorders>
              <w:top w:val="single" w:sz="4" w:space="0" w:color="auto"/>
            </w:tcBorders>
          </w:tcPr>
          <w:p w14:paraId="72D01E6E" w14:textId="77777777" w:rsidR="00C42C70" w:rsidRPr="0070281F" w:rsidRDefault="009D0153" w:rsidP="00C42C70">
            <w:pPr>
              <w:pStyle w:val="NoSpacing"/>
              <w:jc w:val="both"/>
              <w:rPr>
                <w:rFonts w:ascii="Arial" w:hAnsi="Arial" w:cs="Arial"/>
                <w:b/>
                <w:sz w:val="20"/>
                <w:szCs w:val="20"/>
              </w:rPr>
            </w:pPr>
            <w:r w:rsidRPr="0070281F">
              <w:rPr>
                <w:rFonts w:ascii="Arial" w:hAnsi="Arial" w:cs="Arial"/>
                <w:b/>
                <w:sz w:val="20"/>
                <w:szCs w:val="20"/>
              </w:rPr>
              <w:t>106</w:t>
            </w:r>
          </w:p>
        </w:tc>
        <w:tc>
          <w:tcPr>
            <w:tcW w:w="1134" w:type="dxa"/>
            <w:tcBorders>
              <w:top w:val="single" w:sz="4" w:space="0" w:color="auto"/>
            </w:tcBorders>
          </w:tcPr>
          <w:p w14:paraId="72D01E6F" w14:textId="77777777" w:rsidR="00C42C70" w:rsidRPr="0070281F" w:rsidRDefault="009D0153" w:rsidP="00C42C70">
            <w:pPr>
              <w:pStyle w:val="NoSpacing"/>
              <w:jc w:val="both"/>
              <w:rPr>
                <w:rFonts w:ascii="Arial" w:hAnsi="Arial" w:cs="Arial"/>
                <w:b/>
                <w:sz w:val="20"/>
                <w:szCs w:val="20"/>
              </w:rPr>
            </w:pPr>
            <w:r w:rsidRPr="0070281F">
              <w:rPr>
                <w:rFonts w:ascii="Arial" w:hAnsi="Arial" w:cs="Arial"/>
                <w:b/>
                <w:sz w:val="20"/>
                <w:szCs w:val="20"/>
              </w:rPr>
              <w:t>164</w:t>
            </w:r>
          </w:p>
        </w:tc>
        <w:tc>
          <w:tcPr>
            <w:tcW w:w="1134" w:type="dxa"/>
            <w:tcBorders>
              <w:top w:val="single" w:sz="4" w:space="0" w:color="auto"/>
            </w:tcBorders>
          </w:tcPr>
          <w:p w14:paraId="72D01E70" w14:textId="77777777" w:rsidR="00C42C70" w:rsidRPr="0070281F" w:rsidRDefault="009D0153" w:rsidP="00C42C70">
            <w:pPr>
              <w:pStyle w:val="NoSpacing"/>
              <w:jc w:val="both"/>
              <w:rPr>
                <w:rFonts w:ascii="Arial" w:hAnsi="Arial" w:cs="Arial"/>
                <w:b/>
                <w:sz w:val="20"/>
                <w:szCs w:val="20"/>
              </w:rPr>
            </w:pPr>
            <w:r w:rsidRPr="0070281F">
              <w:rPr>
                <w:rFonts w:ascii="Arial" w:hAnsi="Arial" w:cs="Arial"/>
                <w:b/>
                <w:sz w:val="20"/>
                <w:szCs w:val="20"/>
              </w:rPr>
              <w:t>113</w:t>
            </w:r>
          </w:p>
        </w:tc>
        <w:tc>
          <w:tcPr>
            <w:tcW w:w="993" w:type="dxa"/>
            <w:tcBorders>
              <w:top w:val="single" w:sz="4" w:space="0" w:color="auto"/>
            </w:tcBorders>
          </w:tcPr>
          <w:p w14:paraId="72D01E71" w14:textId="77777777" w:rsidR="00C42C70" w:rsidRPr="0070281F" w:rsidRDefault="009D0153" w:rsidP="00C42C70">
            <w:pPr>
              <w:pStyle w:val="NoSpacing"/>
              <w:jc w:val="both"/>
              <w:rPr>
                <w:rFonts w:ascii="Arial" w:hAnsi="Arial" w:cs="Arial"/>
                <w:b/>
                <w:sz w:val="20"/>
                <w:szCs w:val="20"/>
              </w:rPr>
            </w:pPr>
            <w:r w:rsidRPr="0070281F">
              <w:rPr>
                <w:rFonts w:ascii="Arial" w:hAnsi="Arial" w:cs="Arial"/>
                <w:b/>
                <w:sz w:val="20"/>
                <w:szCs w:val="20"/>
              </w:rPr>
              <w:t>1570</w:t>
            </w:r>
          </w:p>
        </w:tc>
      </w:tr>
    </w:tbl>
    <w:p w14:paraId="2BFF511E" w14:textId="77777777" w:rsidR="00B8255C" w:rsidRDefault="00C63B13" w:rsidP="00B8255C">
      <w:pPr>
        <w:pStyle w:val="NoSpacing"/>
        <w:rPr>
          <w:rFonts w:ascii="Arial" w:hAnsi="Arial" w:cs="Arial"/>
          <w:sz w:val="20"/>
          <w:szCs w:val="20"/>
        </w:rPr>
      </w:pPr>
      <w:r w:rsidRPr="0070281F">
        <w:rPr>
          <w:rFonts w:ascii="Arial" w:hAnsi="Arial" w:cs="Arial"/>
          <w:sz w:val="20"/>
          <w:szCs w:val="20"/>
        </w:rPr>
        <w:t xml:space="preserve">  </w:t>
      </w:r>
      <w:r w:rsidRPr="0070281F">
        <w:rPr>
          <w:rFonts w:ascii="Arial" w:hAnsi="Arial" w:cs="Arial"/>
          <w:b/>
          <w:sz w:val="20"/>
          <w:szCs w:val="20"/>
        </w:rPr>
        <w:t>Source</w:t>
      </w:r>
      <w:r w:rsidR="00F21437">
        <w:rPr>
          <w:rFonts w:ascii="Arial" w:hAnsi="Arial" w:cs="Arial"/>
          <w:sz w:val="20"/>
          <w:szCs w:val="20"/>
        </w:rPr>
        <w:t xml:space="preserve">: Primary Data, </w:t>
      </w:r>
      <w:r w:rsidRPr="0070281F">
        <w:rPr>
          <w:rFonts w:ascii="Arial" w:hAnsi="Arial" w:cs="Arial"/>
          <w:sz w:val="20"/>
          <w:szCs w:val="20"/>
        </w:rPr>
        <w:t>2025.</w:t>
      </w:r>
    </w:p>
    <w:p w14:paraId="7A73D03B" w14:textId="77777777" w:rsidR="00B8255C" w:rsidRDefault="00B8255C" w:rsidP="00B8255C">
      <w:pPr>
        <w:pStyle w:val="NoSpacing"/>
        <w:rPr>
          <w:rFonts w:ascii="Arial" w:hAnsi="Arial" w:cs="Arial"/>
          <w:sz w:val="20"/>
          <w:szCs w:val="20"/>
        </w:rPr>
      </w:pPr>
    </w:p>
    <w:p w14:paraId="72D01E75" w14:textId="7CD7B626" w:rsidR="009D0153" w:rsidRPr="00B8255C" w:rsidRDefault="00C63B13" w:rsidP="00B8255C">
      <w:pPr>
        <w:pStyle w:val="NoSpacing"/>
        <w:spacing w:line="360" w:lineRule="auto"/>
        <w:jc w:val="both"/>
        <w:rPr>
          <w:rFonts w:ascii="Arial" w:hAnsi="Arial" w:cs="Arial"/>
          <w:sz w:val="20"/>
          <w:szCs w:val="20"/>
        </w:rPr>
      </w:pPr>
      <w:r w:rsidRPr="0070281F">
        <w:rPr>
          <w:rFonts w:ascii="Arial" w:eastAsia="Times New Roman" w:hAnsi="Arial" w:cs="Arial"/>
          <w:sz w:val="20"/>
          <w:szCs w:val="20"/>
        </w:rPr>
        <w:t xml:space="preserve">Table </w:t>
      </w:r>
      <w:r w:rsidR="00687C2A" w:rsidRPr="0070281F">
        <w:rPr>
          <w:rFonts w:ascii="Arial" w:eastAsia="Times New Roman" w:hAnsi="Arial" w:cs="Arial"/>
          <w:sz w:val="20"/>
          <w:szCs w:val="20"/>
        </w:rPr>
        <w:t>7</w:t>
      </w:r>
      <w:r w:rsidR="009D0153" w:rsidRPr="0070281F">
        <w:rPr>
          <w:rFonts w:ascii="Arial" w:eastAsia="Times New Roman" w:hAnsi="Arial" w:cs="Arial"/>
          <w:sz w:val="20"/>
          <w:szCs w:val="20"/>
        </w:rPr>
        <w:t xml:space="preserve"> revealed a</w:t>
      </w:r>
      <w:r w:rsidR="009D0153" w:rsidRPr="0070281F">
        <w:rPr>
          <w:rFonts w:ascii="Arial" w:hAnsi="Arial" w:cs="Arial"/>
          <w:sz w:val="20"/>
          <w:szCs w:val="20"/>
        </w:rPr>
        <w:t xml:space="preserve"> link between </w:t>
      </w:r>
      <w:r w:rsidR="009D0153" w:rsidRPr="0070281F">
        <w:rPr>
          <w:rFonts w:ascii="Arial" w:eastAsia="Times New Roman" w:hAnsi="Arial" w:cs="Arial"/>
          <w:sz w:val="20"/>
          <w:szCs w:val="20"/>
          <w:lang w:eastAsia="en-GB"/>
        </w:rPr>
        <w:t xml:space="preserve">specific concern areas of gender inequality and </w:t>
      </w:r>
      <w:r w:rsidR="009D0153" w:rsidRPr="0070281F">
        <w:rPr>
          <w:rFonts w:ascii="Arial" w:hAnsi="Arial" w:cs="Arial"/>
          <w:sz w:val="20"/>
          <w:szCs w:val="20"/>
        </w:rPr>
        <w:t>the realization of Nigeria’s SDGs</w:t>
      </w:r>
      <w:r w:rsidR="009D0153" w:rsidRPr="0070281F">
        <w:rPr>
          <w:rFonts w:ascii="Arial" w:eastAsia="Times New Roman" w:hAnsi="Arial" w:cs="Arial"/>
          <w:sz w:val="20"/>
          <w:szCs w:val="20"/>
        </w:rPr>
        <w:t>. 750 or 48% respondents indic</w:t>
      </w:r>
      <w:r w:rsidR="009D37FD" w:rsidRPr="0070281F">
        <w:rPr>
          <w:rFonts w:ascii="Arial" w:eastAsia="Times New Roman" w:hAnsi="Arial" w:cs="Arial"/>
          <w:sz w:val="20"/>
          <w:szCs w:val="20"/>
        </w:rPr>
        <w:t>ated strongly agree</w:t>
      </w:r>
      <w:r w:rsidR="009D0153" w:rsidRPr="0070281F">
        <w:rPr>
          <w:rFonts w:ascii="Arial" w:eastAsia="Times New Roman" w:hAnsi="Arial" w:cs="Arial"/>
          <w:sz w:val="20"/>
          <w:szCs w:val="20"/>
        </w:rPr>
        <w:t xml:space="preserve">, 436 or 28% respondents </w:t>
      </w:r>
      <w:r w:rsidR="009D37FD" w:rsidRPr="0070281F">
        <w:rPr>
          <w:rFonts w:ascii="Arial" w:eastAsia="Times New Roman" w:hAnsi="Arial" w:cs="Arial"/>
          <w:sz w:val="20"/>
          <w:szCs w:val="20"/>
        </w:rPr>
        <w:t>indicated agree</w:t>
      </w:r>
      <w:r w:rsidR="009D0153" w:rsidRPr="0070281F">
        <w:rPr>
          <w:rFonts w:ascii="Arial" w:eastAsia="Times New Roman" w:hAnsi="Arial" w:cs="Arial"/>
          <w:sz w:val="20"/>
          <w:szCs w:val="20"/>
        </w:rPr>
        <w:t>, 106 or 7</w:t>
      </w:r>
      <w:r w:rsidR="009D37FD" w:rsidRPr="0070281F">
        <w:rPr>
          <w:rFonts w:ascii="Arial" w:eastAsia="Times New Roman" w:hAnsi="Arial" w:cs="Arial"/>
          <w:sz w:val="20"/>
          <w:szCs w:val="20"/>
        </w:rPr>
        <w:t>% respondents said don’t know,</w:t>
      </w:r>
      <w:r w:rsidR="009D0153" w:rsidRPr="0070281F">
        <w:rPr>
          <w:rFonts w:ascii="Arial" w:eastAsia="Times New Roman" w:hAnsi="Arial" w:cs="Arial"/>
          <w:sz w:val="20"/>
          <w:szCs w:val="20"/>
        </w:rPr>
        <w:t xml:space="preserve"> 164 or 10% responden</w:t>
      </w:r>
      <w:r w:rsidR="009D37FD" w:rsidRPr="0070281F">
        <w:rPr>
          <w:rFonts w:ascii="Arial" w:eastAsia="Times New Roman" w:hAnsi="Arial" w:cs="Arial"/>
          <w:sz w:val="20"/>
          <w:szCs w:val="20"/>
        </w:rPr>
        <w:t>ts indicated disagree</w:t>
      </w:r>
      <w:r w:rsidR="009D0153" w:rsidRPr="0070281F">
        <w:rPr>
          <w:rFonts w:ascii="Arial" w:eastAsia="Times New Roman" w:hAnsi="Arial" w:cs="Arial"/>
          <w:sz w:val="20"/>
          <w:szCs w:val="20"/>
        </w:rPr>
        <w:t>, and 113 or 7% respondent</w:t>
      </w:r>
      <w:r w:rsidR="009D37FD" w:rsidRPr="0070281F">
        <w:rPr>
          <w:rFonts w:ascii="Arial" w:eastAsia="Times New Roman" w:hAnsi="Arial" w:cs="Arial"/>
          <w:sz w:val="20"/>
          <w:szCs w:val="20"/>
        </w:rPr>
        <w:t>s indicated strongly disagree</w:t>
      </w:r>
      <w:r w:rsidR="009D0153" w:rsidRPr="0070281F">
        <w:rPr>
          <w:rFonts w:ascii="Arial" w:eastAsia="Times New Roman" w:hAnsi="Arial" w:cs="Arial"/>
          <w:sz w:val="20"/>
          <w:szCs w:val="20"/>
        </w:rPr>
        <w:t xml:space="preserve">.  </w:t>
      </w:r>
    </w:p>
    <w:p w14:paraId="72D01E77" w14:textId="279B9D20" w:rsidR="00CE5060" w:rsidRPr="0070281F" w:rsidRDefault="009D0153" w:rsidP="00B8255C">
      <w:pPr>
        <w:spacing w:before="240" w:after="0" w:line="360" w:lineRule="auto"/>
        <w:jc w:val="both"/>
        <w:rPr>
          <w:rFonts w:ascii="Arial" w:eastAsia="Times New Roman" w:hAnsi="Arial" w:cs="Arial"/>
          <w:b/>
          <w:bCs/>
          <w:sz w:val="20"/>
          <w:szCs w:val="20"/>
        </w:rPr>
      </w:pPr>
      <w:r w:rsidRPr="0070281F">
        <w:rPr>
          <w:rFonts w:ascii="Arial" w:eastAsia="Times New Roman" w:hAnsi="Arial" w:cs="Arial"/>
          <w:sz w:val="20"/>
          <w:szCs w:val="20"/>
        </w:rPr>
        <w:t xml:space="preserve">The presentation and analysis of the data above shows that there is </w:t>
      </w:r>
      <w:r w:rsidR="009D37FD" w:rsidRPr="0070281F">
        <w:rPr>
          <w:rFonts w:ascii="Arial" w:eastAsia="Times New Roman" w:hAnsi="Arial" w:cs="Arial"/>
          <w:sz w:val="20"/>
          <w:szCs w:val="20"/>
        </w:rPr>
        <w:t>a</w:t>
      </w:r>
      <w:r w:rsidR="009D37FD" w:rsidRPr="0070281F">
        <w:rPr>
          <w:rFonts w:ascii="Arial" w:hAnsi="Arial" w:cs="Arial"/>
          <w:sz w:val="20"/>
          <w:szCs w:val="20"/>
        </w:rPr>
        <w:t xml:space="preserve"> link between </w:t>
      </w:r>
      <w:r w:rsidR="009D37FD" w:rsidRPr="0070281F">
        <w:rPr>
          <w:rFonts w:ascii="Arial" w:eastAsia="Times New Roman" w:hAnsi="Arial" w:cs="Arial"/>
          <w:sz w:val="20"/>
          <w:szCs w:val="20"/>
          <w:lang w:eastAsia="en-GB"/>
        </w:rPr>
        <w:t xml:space="preserve">specific areas of gender inequality and </w:t>
      </w:r>
      <w:r w:rsidR="009D37FD" w:rsidRPr="0070281F">
        <w:rPr>
          <w:rFonts w:ascii="Arial" w:hAnsi="Arial" w:cs="Arial"/>
          <w:sz w:val="20"/>
          <w:szCs w:val="20"/>
        </w:rPr>
        <w:t>the realization of Nigeria’s SDGs</w:t>
      </w:r>
      <w:r w:rsidR="009D37FD" w:rsidRPr="0070281F">
        <w:rPr>
          <w:rFonts w:ascii="Arial" w:eastAsia="Times New Roman" w:hAnsi="Arial" w:cs="Arial"/>
          <w:sz w:val="20"/>
          <w:szCs w:val="20"/>
        </w:rPr>
        <w:t>.</w:t>
      </w:r>
      <w:r w:rsidR="005C6F30" w:rsidRPr="0070281F">
        <w:rPr>
          <w:rStyle w:val="Strong"/>
          <w:rFonts w:ascii="Arial" w:hAnsi="Arial" w:cs="Arial"/>
          <w:sz w:val="20"/>
          <w:szCs w:val="20"/>
          <w:shd w:val="clear" w:color="auto" w:fill="FFFFFF"/>
        </w:rPr>
        <w:t xml:space="preserve"> </w:t>
      </w:r>
      <w:r w:rsidR="00AB6020" w:rsidRPr="0070281F">
        <w:rPr>
          <w:rStyle w:val="Strong"/>
          <w:rFonts w:ascii="Arial" w:hAnsi="Arial" w:cs="Arial"/>
          <w:b w:val="0"/>
          <w:bCs w:val="0"/>
          <w:sz w:val="20"/>
          <w:szCs w:val="20"/>
          <w:shd w:val="clear" w:color="auto" w:fill="FFFFFF"/>
        </w:rPr>
        <w:t>Respondents identified patriarchal cultural practices, economic exclusion, limited access to education, and political marginalization as the most significant obstacles. For example, more than half of the respondents noted that women are systematically disadvantaged in political contests due to financial constraints and discriminatory nomination processes within political parties. These findings are consistent with earlier studies (</w:t>
      </w:r>
      <w:proofErr w:type="spellStart"/>
      <w:r w:rsidR="003C3A59" w:rsidRPr="003C3A59">
        <w:rPr>
          <w:rStyle w:val="Strong"/>
          <w:rFonts w:ascii="Arial" w:hAnsi="Arial" w:cs="Arial"/>
          <w:b w:val="0"/>
          <w:bCs w:val="0"/>
          <w:sz w:val="20"/>
          <w:szCs w:val="20"/>
          <w:shd w:val="clear" w:color="auto" w:fill="FFFFFF"/>
        </w:rPr>
        <w:t>Akiyode</w:t>
      </w:r>
      <w:proofErr w:type="spellEnd"/>
      <w:r w:rsidR="003C3A59" w:rsidRPr="003C3A59">
        <w:rPr>
          <w:rStyle w:val="Strong"/>
          <w:rFonts w:ascii="Arial" w:hAnsi="Arial" w:cs="Arial"/>
          <w:b w:val="0"/>
          <w:bCs w:val="0"/>
          <w:sz w:val="20"/>
          <w:szCs w:val="20"/>
          <w:shd w:val="clear" w:color="auto" w:fill="FFFFFF"/>
        </w:rPr>
        <w:t>-Afolabi</w:t>
      </w:r>
      <w:r w:rsidR="00AB6020" w:rsidRPr="0070281F">
        <w:rPr>
          <w:rStyle w:val="Strong"/>
          <w:rFonts w:ascii="Arial" w:hAnsi="Arial" w:cs="Arial"/>
          <w:b w:val="0"/>
          <w:bCs w:val="0"/>
          <w:sz w:val="20"/>
          <w:szCs w:val="20"/>
          <w:shd w:val="clear" w:color="auto" w:fill="FFFFFF"/>
        </w:rPr>
        <w:t>, 20</w:t>
      </w:r>
      <w:r w:rsidR="00D440AF">
        <w:rPr>
          <w:rStyle w:val="Strong"/>
          <w:rFonts w:ascii="Arial" w:hAnsi="Arial" w:cs="Arial"/>
          <w:b w:val="0"/>
          <w:bCs w:val="0"/>
          <w:sz w:val="20"/>
          <w:szCs w:val="20"/>
          <w:shd w:val="clear" w:color="auto" w:fill="FFFFFF"/>
        </w:rPr>
        <w:t>11</w:t>
      </w:r>
      <w:r w:rsidR="00AB6020" w:rsidRPr="0070281F">
        <w:rPr>
          <w:rStyle w:val="Strong"/>
          <w:rFonts w:ascii="Arial" w:hAnsi="Arial" w:cs="Arial"/>
          <w:b w:val="0"/>
          <w:bCs w:val="0"/>
          <w:sz w:val="20"/>
          <w:szCs w:val="20"/>
          <w:shd w:val="clear" w:color="auto" w:fill="FFFFFF"/>
        </w:rPr>
        <w:t>; Udegbe, 2004</w:t>
      </w:r>
      <w:r w:rsidR="00AB6638">
        <w:rPr>
          <w:rStyle w:val="Strong"/>
          <w:rFonts w:ascii="Arial" w:hAnsi="Arial" w:cs="Arial"/>
          <w:b w:val="0"/>
          <w:bCs w:val="0"/>
          <w:sz w:val="20"/>
          <w:szCs w:val="20"/>
          <w:shd w:val="clear" w:color="auto" w:fill="FFFFFF"/>
        </w:rPr>
        <w:t>a</w:t>
      </w:r>
      <w:r w:rsidR="00AB6020" w:rsidRPr="0070281F">
        <w:rPr>
          <w:rStyle w:val="Strong"/>
          <w:rFonts w:ascii="Arial" w:hAnsi="Arial" w:cs="Arial"/>
          <w:b w:val="0"/>
          <w:bCs w:val="0"/>
          <w:sz w:val="20"/>
          <w:szCs w:val="20"/>
          <w:shd w:val="clear" w:color="auto" w:fill="FFFFFF"/>
        </w:rPr>
        <w:t>), which observed that cultural stereotypes and institutional biases continue to limit women’s full participation in Nigerian public life.</w:t>
      </w:r>
    </w:p>
    <w:p w14:paraId="72D01E78" w14:textId="4AD801D2" w:rsidR="00CE5060" w:rsidRPr="0070281F" w:rsidRDefault="004E3AB0" w:rsidP="00CE5060">
      <w:pPr>
        <w:spacing w:after="160" w:line="360" w:lineRule="auto"/>
        <w:rPr>
          <w:rFonts w:ascii="Arial" w:hAnsi="Arial" w:cs="Arial"/>
          <w:sz w:val="20"/>
          <w:szCs w:val="20"/>
        </w:rPr>
      </w:pPr>
      <w:r w:rsidRPr="0070281F">
        <w:rPr>
          <w:rFonts w:ascii="Arial" w:hAnsi="Arial" w:cs="Arial"/>
          <w:b/>
          <w:sz w:val="20"/>
          <w:szCs w:val="20"/>
        </w:rPr>
        <w:t>Test of Hypothesis Two</w:t>
      </w:r>
      <w:r w:rsidR="00CE5060" w:rsidRPr="0070281F">
        <w:rPr>
          <w:rFonts w:ascii="Arial" w:hAnsi="Arial" w:cs="Arial"/>
          <w:b/>
          <w:sz w:val="20"/>
          <w:szCs w:val="20"/>
        </w:rPr>
        <w:t xml:space="preserve">: </w:t>
      </w:r>
      <w:r w:rsidR="00CE5060" w:rsidRPr="0070281F">
        <w:rPr>
          <w:rFonts w:ascii="Arial" w:hAnsi="Arial" w:cs="Arial"/>
          <w:i/>
          <w:sz w:val="20"/>
          <w:szCs w:val="20"/>
        </w:rPr>
        <w:t xml:space="preserve">There is a link between </w:t>
      </w:r>
      <w:r w:rsidR="00CE5060" w:rsidRPr="0070281F">
        <w:rPr>
          <w:rFonts w:ascii="Arial" w:eastAsia="Times New Roman" w:hAnsi="Arial" w:cs="Arial"/>
          <w:i/>
          <w:sz w:val="20"/>
          <w:szCs w:val="20"/>
          <w:lang w:eastAsia="en-GB"/>
        </w:rPr>
        <w:t>specific areas of gender inequality and the</w:t>
      </w:r>
      <w:r w:rsidR="00CE5060" w:rsidRPr="0070281F">
        <w:rPr>
          <w:rFonts w:ascii="Arial" w:hAnsi="Arial" w:cs="Arial"/>
          <w:i/>
          <w:sz w:val="20"/>
          <w:szCs w:val="20"/>
        </w:rPr>
        <w:t xml:space="preserve"> realization of Nigeria’s SDGs.</w:t>
      </w:r>
    </w:p>
    <w:p w14:paraId="72D01E79" w14:textId="77777777" w:rsidR="004E3AB0" w:rsidRPr="0070281F" w:rsidRDefault="004E3AB0" w:rsidP="004E3AB0">
      <w:pPr>
        <w:spacing w:line="360" w:lineRule="auto"/>
        <w:contextualSpacing/>
        <w:jc w:val="both"/>
        <w:rPr>
          <w:rFonts w:ascii="Arial" w:hAnsi="Arial" w:cs="Arial"/>
          <w:b/>
          <w:sz w:val="20"/>
          <w:szCs w:val="20"/>
        </w:rPr>
      </w:pPr>
      <w:r w:rsidRPr="0070281F">
        <w:rPr>
          <w:rFonts w:ascii="Arial" w:hAnsi="Arial" w:cs="Arial"/>
          <w:b/>
          <w:sz w:val="20"/>
          <w:szCs w:val="20"/>
        </w:rPr>
        <w:t xml:space="preserve">Decision Criteria </w:t>
      </w:r>
    </w:p>
    <w:p w14:paraId="298446CD" w14:textId="5FE945D4" w:rsidR="00DF7B5A" w:rsidRDefault="004E3AB0" w:rsidP="004E3AB0">
      <w:pPr>
        <w:spacing w:line="360" w:lineRule="auto"/>
        <w:jc w:val="both"/>
        <w:rPr>
          <w:rFonts w:ascii="Arial" w:hAnsi="Arial" w:cs="Arial"/>
          <w:sz w:val="20"/>
          <w:szCs w:val="20"/>
        </w:rPr>
      </w:pPr>
      <w:r w:rsidRPr="0070281F">
        <w:rPr>
          <w:rFonts w:ascii="Arial" w:hAnsi="Arial" w:cs="Arial"/>
          <w:sz w:val="20"/>
          <w:szCs w:val="20"/>
        </w:rPr>
        <w:t>When the computed value of chi-square (x</w:t>
      </w:r>
      <w:r w:rsidRPr="0070281F">
        <w:rPr>
          <w:rFonts w:ascii="Arial" w:hAnsi="Arial" w:cs="Arial"/>
          <w:sz w:val="20"/>
          <w:szCs w:val="20"/>
          <w:vertAlign w:val="superscript"/>
        </w:rPr>
        <w:t>2</w:t>
      </w:r>
      <w:r w:rsidRPr="0070281F">
        <w:rPr>
          <w:rFonts w:ascii="Arial" w:hAnsi="Arial" w:cs="Arial"/>
          <w:sz w:val="20"/>
          <w:szCs w:val="20"/>
        </w:rPr>
        <w:t>) is greater than (&gt;) the table value of chi-square (X</w:t>
      </w:r>
      <w:r w:rsidRPr="0070281F">
        <w:rPr>
          <w:rFonts w:ascii="Arial" w:hAnsi="Arial" w:cs="Arial"/>
          <w:sz w:val="20"/>
          <w:szCs w:val="20"/>
          <w:vertAlign w:val="superscript"/>
        </w:rPr>
        <w:t>2</w:t>
      </w:r>
      <w:r w:rsidRPr="0070281F">
        <w:rPr>
          <w:rFonts w:ascii="Arial" w:hAnsi="Arial" w:cs="Arial"/>
          <w:sz w:val="20"/>
          <w:szCs w:val="20"/>
        </w:rPr>
        <w:t>), the second hypothesis will be accepted.</w:t>
      </w:r>
    </w:p>
    <w:p w14:paraId="0A375075" w14:textId="77777777" w:rsidR="00996752" w:rsidRPr="0070281F" w:rsidRDefault="00996752" w:rsidP="004E3AB0">
      <w:pPr>
        <w:spacing w:line="360" w:lineRule="auto"/>
        <w:jc w:val="both"/>
        <w:rPr>
          <w:rFonts w:ascii="Arial" w:hAnsi="Arial" w:cs="Arial"/>
          <w:sz w:val="20"/>
          <w:szCs w:val="20"/>
        </w:rPr>
      </w:pPr>
    </w:p>
    <w:p w14:paraId="72D01E7B" w14:textId="5AD0F96A" w:rsidR="004E3AB0" w:rsidRPr="0070281F" w:rsidRDefault="00C63B13" w:rsidP="004E3AB0">
      <w:pPr>
        <w:spacing w:line="360" w:lineRule="auto"/>
        <w:jc w:val="both"/>
        <w:rPr>
          <w:rFonts w:ascii="Arial" w:hAnsi="Arial" w:cs="Arial"/>
          <w:b/>
          <w:sz w:val="20"/>
          <w:szCs w:val="20"/>
        </w:rPr>
      </w:pPr>
      <w:r w:rsidRPr="0070281F">
        <w:rPr>
          <w:rFonts w:ascii="Arial" w:hAnsi="Arial" w:cs="Arial"/>
          <w:b/>
          <w:sz w:val="20"/>
          <w:szCs w:val="20"/>
        </w:rPr>
        <w:lastRenderedPageBreak/>
        <w:t xml:space="preserve">           Table </w:t>
      </w:r>
      <w:r w:rsidR="00360ADE">
        <w:rPr>
          <w:rFonts w:ascii="Arial" w:hAnsi="Arial" w:cs="Arial"/>
          <w:b/>
          <w:sz w:val="20"/>
          <w:szCs w:val="20"/>
        </w:rPr>
        <w:t>7</w:t>
      </w:r>
      <w:r w:rsidR="004E3AB0" w:rsidRPr="0070281F">
        <w:rPr>
          <w:rFonts w:ascii="Arial" w:hAnsi="Arial" w:cs="Arial"/>
          <w:b/>
          <w:sz w:val="20"/>
          <w:szCs w:val="20"/>
        </w:rPr>
        <w:t>: Observed frequency for hypothesis Two</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1148"/>
        <w:gridCol w:w="882"/>
        <w:gridCol w:w="1409"/>
        <w:gridCol w:w="1260"/>
        <w:gridCol w:w="1275"/>
        <w:gridCol w:w="694"/>
      </w:tblGrid>
      <w:tr w:rsidR="00745AEF" w:rsidRPr="0070281F" w14:paraId="72D01E83" w14:textId="77777777" w:rsidTr="00AE0FA9">
        <w:tc>
          <w:tcPr>
            <w:tcW w:w="3150" w:type="dxa"/>
            <w:tcBorders>
              <w:top w:val="single" w:sz="4" w:space="0" w:color="auto"/>
              <w:left w:val="single" w:sz="4" w:space="0" w:color="auto"/>
              <w:bottom w:val="single" w:sz="4" w:space="0" w:color="auto"/>
              <w:right w:val="single" w:sz="4" w:space="0" w:color="auto"/>
            </w:tcBorders>
            <w:hideMark/>
          </w:tcPr>
          <w:p w14:paraId="72D01E7C"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 xml:space="preserve">Senatorial Districts </w:t>
            </w:r>
          </w:p>
        </w:tc>
        <w:tc>
          <w:tcPr>
            <w:tcW w:w="1170" w:type="dxa"/>
            <w:tcBorders>
              <w:top w:val="single" w:sz="4" w:space="0" w:color="auto"/>
              <w:left w:val="single" w:sz="4" w:space="0" w:color="auto"/>
              <w:bottom w:val="single" w:sz="4" w:space="0" w:color="auto"/>
              <w:right w:val="single" w:sz="4" w:space="0" w:color="auto"/>
            </w:tcBorders>
            <w:hideMark/>
          </w:tcPr>
          <w:p w14:paraId="72D01E7D"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Strongly Agree</w:t>
            </w:r>
          </w:p>
        </w:tc>
        <w:tc>
          <w:tcPr>
            <w:tcW w:w="900" w:type="dxa"/>
            <w:tcBorders>
              <w:top w:val="single" w:sz="4" w:space="0" w:color="auto"/>
              <w:left w:val="single" w:sz="4" w:space="0" w:color="auto"/>
              <w:bottom w:val="single" w:sz="4" w:space="0" w:color="auto"/>
              <w:right w:val="single" w:sz="4" w:space="0" w:color="auto"/>
            </w:tcBorders>
            <w:hideMark/>
          </w:tcPr>
          <w:p w14:paraId="72D01E7E"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Agree</w:t>
            </w:r>
          </w:p>
        </w:tc>
        <w:tc>
          <w:tcPr>
            <w:tcW w:w="1440" w:type="dxa"/>
            <w:tcBorders>
              <w:top w:val="single" w:sz="4" w:space="0" w:color="auto"/>
              <w:left w:val="single" w:sz="4" w:space="0" w:color="auto"/>
              <w:bottom w:val="single" w:sz="4" w:space="0" w:color="auto"/>
              <w:right w:val="single" w:sz="4" w:space="0" w:color="auto"/>
            </w:tcBorders>
            <w:hideMark/>
          </w:tcPr>
          <w:p w14:paraId="72D01E7F"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Undecided</w:t>
            </w:r>
          </w:p>
        </w:tc>
        <w:tc>
          <w:tcPr>
            <w:tcW w:w="1296" w:type="dxa"/>
            <w:tcBorders>
              <w:top w:val="single" w:sz="4" w:space="0" w:color="auto"/>
              <w:left w:val="single" w:sz="4" w:space="0" w:color="auto"/>
              <w:bottom w:val="single" w:sz="4" w:space="0" w:color="auto"/>
              <w:right w:val="single" w:sz="4" w:space="0" w:color="auto"/>
            </w:tcBorders>
            <w:hideMark/>
          </w:tcPr>
          <w:p w14:paraId="72D01E80"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Disagree</w:t>
            </w:r>
          </w:p>
        </w:tc>
        <w:tc>
          <w:tcPr>
            <w:tcW w:w="1314" w:type="dxa"/>
            <w:tcBorders>
              <w:top w:val="single" w:sz="4" w:space="0" w:color="auto"/>
              <w:left w:val="single" w:sz="4" w:space="0" w:color="auto"/>
              <w:bottom w:val="single" w:sz="4" w:space="0" w:color="auto"/>
              <w:right w:val="single" w:sz="4" w:space="0" w:color="auto"/>
            </w:tcBorders>
            <w:hideMark/>
          </w:tcPr>
          <w:p w14:paraId="72D01E81"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Strongly Disagree</w:t>
            </w:r>
          </w:p>
        </w:tc>
        <w:tc>
          <w:tcPr>
            <w:tcW w:w="247" w:type="dxa"/>
            <w:tcBorders>
              <w:top w:val="single" w:sz="4" w:space="0" w:color="auto"/>
              <w:left w:val="single" w:sz="4" w:space="0" w:color="auto"/>
              <w:bottom w:val="single" w:sz="4" w:space="0" w:color="auto"/>
              <w:right w:val="single" w:sz="4" w:space="0" w:color="auto"/>
            </w:tcBorders>
            <w:hideMark/>
          </w:tcPr>
          <w:p w14:paraId="72D01E82"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Total</w:t>
            </w:r>
          </w:p>
        </w:tc>
      </w:tr>
      <w:tr w:rsidR="00745AEF" w:rsidRPr="0070281F" w14:paraId="72D01E8B" w14:textId="77777777" w:rsidTr="00AE0FA9">
        <w:tc>
          <w:tcPr>
            <w:tcW w:w="3150" w:type="dxa"/>
            <w:tcBorders>
              <w:top w:val="single" w:sz="4" w:space="0" w:color="auto"/>
              <w:left w:val="single" w:sz="4" w:space="0" w:color="auto"/>
              <w:bottom w:val="single" w:sz="4" w:space="0" w:color="auto"/>
              <w:right w:val="single" w:sz="4" w:space="0" w:color="auto"/>
            </w:tcBorders>
            <w:hideMark/>
          </w:tcPr>
          <w:p w14:paraId="72D01E84"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Anambra Central</w:t>
            </w:r>
          </w:p>
        </w:tc>
        <w:tc>
          <w:tcPr>
            <w:tcW w:w="1170" w:type="dxa"/>
            <w:tcBorders>
              <w:top w:val="single" w:sz="4" w:space="0" w:color="auto"/>
              <w:left w:val="single" w:sz="4" w:space="0" w:color="auto"/>
              <w:bottom w:val="single" w:sz="4" w:space="0" w:color="auto"/>
              <w:right w:val="single" w:sz="4" w:space="0" w:color="auto"/>
            </w:tcBorders>
            <w:hideMark/>
          </w:tcPr>
          <w:p w14:paraId="72D01E85"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22</w:t>
            </w:r>
          </w:p>
        </w:tc>
        <w:tc>
          <w:tcPr>
            <w:tcW w:w="900" w:type="dxa"/>
            <w:tcBorders>
              <w:top w:val="single" w:sz="4" w:space="0" w:color="auto"/>
              <w:left w:val="single" w:sz="4" w:space="0" w:color="auto"/>
              <w:bottom w:val="single" w:sz="4" w:space="0" w:color="auto"/>
              <w:right w:val="single" w:sz="4" w:space="0" w:color="auto"/>
            </w:tcBorders>
            <w:hideMark/>
          </w:tcPr>
          <w:p w14:paraId="72D01E86"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25</w:t>
            </w:r>
          </w:p>
        </w:tc>
        <w:tc>
          <w:tcPr>
            <w:tcW w:w="1440" w:type="dxa"/>
            <w:tcBorders>
              <w:top w:val="single" w:sz="4" w:space="0" w:color="auto"/>
              <w:left w:val="single" w:sz="4" w:space="0" w:color="auto"/>
              <w:bottom w:val="single" w:sz="4" w:space="0" w:color="auto"/>
              <w:right w:val="single" w:sz="4" w:space="0" w:color="auto"/>
            </w:tcBorders>
            <w:hideMark/>
          </w:tcPr>
          <w:p w14:paraId="72D01E87"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21</w:t>
            </w:r>
          </w:p>
        </w:tc>
        <w:tc>
          <w:tcPr>
            <w:tcW w:w="1296" w:type="dxa"/>
            <w:tcBorders>
              <w:top w:val="single" w:sz="4" w:space="0" w:color="auto"/>
              <w:left w:val="single" w:sz="4" w:space="0" w:color="auto"/>
              <w:bottom w:val="single" w:sz="4" w:space="0" w:color="auto"/>
              <w:right w:val="single" w:sz="4" w:space="0" w:color="auto"/>
            </w:tcBorders>
            <w:hideMark/>
          </w:tcPr>
          <w:p w14:paraId="72D01E88"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23</w:t>
            </w:r>
          </w:p>
        </w:tc>
        <w:tc>
          <w:tcPr>
            <w:tcW w:w="1314" w:type="dxa"/>
            <w:tcBorders>
              <w:top w:val="single" w:sz="4" w:space="0" w:color="auto"/>
              <w:left w:val="single" w:sz="4" w:space="0" w:color="auto"/>
              <w:bottom w:val="single" w:sz="4" w:space="0" w:color="auto"/>
              <w:right w:val="single" w:sz="4" w:space="0" w:color="auto"/>
            </w:tcBorders>
            <w:hideMark/>
          </w:tcPr>
          <w:p w14:paraId="72D01E89"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17</w:t>
            </w:r>
          </w:p>
        </w:tc>
        <w:tc>
          <w:tcPr>
            <w:tcW w:w="247" w:type="dxa"/>
            <w:tcBorders>
              <w:top w:val="single" w:sz="4" w:space="0" w:color="auto"/>
              <w:left w:val="single" w:sz="4" w:space="0" w:color="auto"/>
              <w:bottom w:val="single" w:sz="4" w:space="0" w:color="auto"/>
              <w:right w:val="single" w:sz="4" w:space="0" w:color="auto"/>
            </w:tcBorders>
            <w:hideMark/>
          </w:tcPr>
          <w:p w14:paraId="72D01E8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108</w:t>
            </w:r>
          </w:p>
        </w:tc>
      </w:tr>
      <w:tr w:rsidR="00745AEF" w:rsidRPr="0070281F" w14:paraId="72D01E93" w14:textId="77777777" w:rsidTr="00AE0FA9">
        <w:tc>
          <w:tcPr>
            <w:tcW w:w="3150" w:type="dxa"/>
            <w:tcBorders>
              <w:top w:val="single" w:sz="4" w:space="0" w:color="auto"/>
              <w:left w:val="single" w:sz="4" w:space="0" w:color="auto"/>
              <w:bottom w:val="single" w:sz="4" w:space="0" w:color="auto"/>
              <w:right w:val="single" w:sz="4" w:space="0" w:color="auto"/>
            </w:tcBorders>
            <w:hideMark/>
          </w:tcPr>
          <w:p w14:paraId="72D01E8C"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Anambra South</w:t>
            </w:r>
          </w:p>
        </w:tc>
        <w:tc>
          <w:tcPr>
            <w:tcW w:w="1170" w:type="dxa"/>
            <w:tcBorders>
              <w:top w:val="single" w:sz="4" w:space="0" w:color="auto"/>
              <w:left w:val="single" w:sz="4" w:space="0" w:color="auto"/>
              <w:bottom w:val="single" w:sz="4" w:space="0" w:color="auto"/>
              <w:right w:val="single" w:sz="4" w:space="0" w:color="auto"/>
            </w:tcBorders>
            <w:hideMark/>
          </w:tcPr>
          <w:p w14:paraId="72D01E8D"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19</w:t>
            </w:r>
          </w:p>
        </w:tc>
        <w:tc>
          <w:tcPr>
            <w:tcW w:w="900" w:type="dxa"/>
            <w:tcBorders>
              <w:top w:val="single" w:sz="4" w:space="0" w:color="auto"/>
              <w:left w:val="single" w:sz="4" w:space="0" w:color="auto"/>
              <w:bottom w:val="single" w:sz="4" w:space="0" w:color="auto"/>
              <w:right w:val="single" w:sz="4" w:space="0" w:color="auto"/>
            </w:tcBorders>
            <w:hideMark/>
          </w:tcPr>
          <w:p w14:paraId="72D01E8E"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30</w:t>
            </w:r>
          </w:p>
        </w:tc>
        <w:tc>
          <w:tcPr>
            <w:tcW w:w="1440" w:type="dxa"/>
            <w:tcBorders>
              <w:top w:val="single" w:sz="4" w:space="0" w:color="auto"/>
              <w:left w:val="single" w:sz="4" w:space="0" w:color="auto"/>
              <w:bottom w:val="single" w:sz="4" w:space="0" w:color="auto"/>
              <w:right w:val="single" w:sz="4" w:space="0" w:color="auto"/>
            </w:tcBorders>
            <w:hideMark/>
          </w:tcPr>
          <w:p w14:paraId="72D01E8F"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12</w:t>
            </w:r>
          </w:p>
        </w:tc>
        <w:tc>
          <w:tcPr>
            <w:tcW w:w="1296" w:type="dxa"/>
            <w:tcBorders>
              <w:top w:val="single" w:sz="4" w:space="0" w:color="auto"/>
              <w:left w:val="single" w:sz="4" w:space="0" w:color="auto"/>
              <w:bottom w:val="single" w:sz="4" w:space="0" w:color="auto"/>
              <w:right w:val="single" w:sz="4" w:space="0" w:color="auto"/>
            </w:tcBorders>
            <w:hideMark/>
          </w:tcPr>
          <w:p w14:paraId="72D01E90"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17</w:t>
            </w:r>
          </w:p>
        </w:tc>
        <w:tc>
          <w:tcPr>
            <w:tcW w:w="1314" w:type="dxa"/>
            <w:tcBorders>
              <w:top w:val="single" w:sz="4" w:space="0" w:color="auto"/>
              <w:left w:val="single" w:sz="4" w:space="0" w:color="auto"/>
              <w:bottom w:val="single" w:sz="4" w:space="0" w:color="auto"/>
              <w:right w:val="single" w:sz="4" w:space="0" w:color="auto"/>
            </w:tcBorders>
            <w:hideMark/>
          </w:tcPr>
          <w:p w14:paraId="72D01E91"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11</w:t>
            </w:r>
          </w:p>
        </w:tc>
        <w:tc>
          <w:tcPr>
            <w:tcW w:w="247" w:type="dxa"/>
            <w:tcBorders>
              <w:top w:val="single" w:sz="4" w:space="0" w:color="auto"/>
              <w:left w:val="single" w:sz="4" w:space="0" w:color="auto"/>
              <w:bottom w:val="single" w:sz="4" w:space="0" w:color="auto"/>
              <w:right w:val="single" w:sz="4" w:space="0" w:color="auto"/>
            </w:tcBorders>
            <w:hideMark/>
          </w:tcPr>
          <w:p w14:paraId="72D01E92"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89</w:t>
            </w:r>
          </w:p>
        </w:tc>
      </w:tr>
      <w:tr w:rsidR="00745AEF" w:rsidRPr="0070281F" w14:paraId="72D01E9B" w14:textId="77777777" w:rsidTr="00AE0FA9">
        <w:tc>
          <w:tcPr>
            <w:tcW w:w="3150" w:type="dxa"/>
            <w:tcBorders>
              <w:top w:val="single" w:sz="4" w:space="0" w:color="auto"/>
              <w:left w:val="single" w:sz="4" w:space="0" w:color="auto"/>
              <w:bottom w:val="single" w:sz="4" w:space="0" w:color="auto"/>
              <w:right w:val="single" w:sz="4" w:space="0" w:color="auto"/>
            </w:tcBorders>
            <w:hideMark/>
          </w:tcPr>
          <w:p w14:paraId="72D01E94"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Anambra North</w:t>
            </w:r>
          </w:p>
        </w:tc>
        <w:tc>
          <w:tcPr>
            <w:tcW w:w="1170" w:type="dxa"/>
            <w:tcBorders>
              <w:top w:val="single" w:sz="4" w:space="0" w:color="auto"/>
              <w:left w:val="single" w:sz="4" w:space="0" w:color="auto"/>
              <w:bottom w:val="single" w:sz="4" w:space="0" w:color="auto"/>
              <w:right w:val="single" w:sz="4" w:space="0" w:color="auto"/>
            </w:tcBorders>
            <w:hideMark/>
          </w:tcPr>
          <w:p w14:paraId="72D01E95"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24</w:t>
            </w:r>
          </w:p>
        </w:tc>
        <w:tc>
          <w:tcPr>
            <w:tcW w:w="900" w:type="dxa"/>
            <w:tcBorders>
              <w:top w:val="single" w:sz="4" w:space="0" w:color="auto"/>
              <w:left w:val="single" w:sz="4" w:space="0" w:color="auto"/>
              <w:bottom w:val="single" w:sz="4" w:space="0" w:color="auto"/>
              <w:right w:val="single" w:sz="4" w:space="0" w:color="auto"/>
            </w:tcBorders>
            <w:hideMark/>
          </w:tcPr>
          <w:p w14:paraId="72D01E96"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54</w:t>
            </w:r>
          </w:p>
        </w:tc>
        <w:tc>
          <w:tcPr>
            <w:tcW w:w="1440" w:type="dxa"/>
            <w:tcBorders>
              <w:top w:val="single" w:sz="4" w:space="0" w:color="auto"/>
              <w:left w:val="single" w:sz="4" w:space="0" w:color="auto"/>
              <w:bottom w:val="single" w:sz="4" w:space="0" w:color="auto"/>
              <w:right w:val="single" w:sz="4" w:space="0" w:color="auto"/>
            </w:tcBorders>
            <w:hideMark/>
          </w:tcPr>
          <w:p w14:paraId="72D01E97"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12</w:t>
            </w:r>
          </w:p>
        </w:tc>
        <w:tc>
          <w:tcPr>
            <w:tcW w:w="1296" w:type="dxa"/>
            <w:tcBorders>
              <w:top w:val="single" w:sz="4" w:space="0" w:color="auto"/>
              <w:left w:val="single" w:sz="4" w:space="0" w:color="auto"/>
              <w:bottom w:val="single" w:sz="4" w:space="0" w:color="auto"/>
              <w:right w:val="single" w:sz="4" w:space="0" w:color="auto"/>
            </w:tcBorders>
            <w:hideMark/>
          </w:tcPr>
          <w:p w14:paraId="72D01E98"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17</w:t>
            </w:r>
          </w:p>
        </w:tc>
        <w:tc>
          <w:tcPr>
            <w:tcW w:w="1314" w:type="dxa"/>
            <w:tcBorders>
              <w:top w:val="single" w:sz="4" w:space="0" w:color="auto"/>
              <w:left w:val="single" w:sz="4" w:space="0" w:color="auto"/>
              <w:bottom w:val="single" w:sz="4" w:space="0" w:color="auto"/>
              <w:right w:val="single" w:sz="4" w:space="0" w:color="auto"/>
            </w:tcBorders>
            <w:hideMark/>
          </w:tcPr>
          <w:p w14:paraId="72D01E99"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10</w:t>
            </w:r>
          </w:p>
        </w:tc>
        <w:tc>
          <w:tcPr>
            <w:tcW w:w="247" w:type="dxa"/>
            <w:tcBorders>
              <w:top w:val="single" w:sz="4" w:space="0" w:color="auto"/>
              <w:left w:val="single" w:sz="4" w:space="0" w:color="auto"/>
              <w:bottom w:val="single" w:sz="4" w:space="0" w:color="auto"/>
              <w:right w:val="single" w:sz="4" w:space="0" w:color="auto"/>
            </w:tcBorders>
            <w:hideMark/>
          </w:tcPr>
          <w:p w14:paraId="72D01E9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117</w:t>
            </w:r>
          </w:p>
        </w:tc>
      </w:tr>
      <w:tr w:rsidR="00745AEF" w:rsidRPr="0070281F" w14:paraId="72D01EA3" w14:textId="77777777" w:rsidTr="00AE0FA9">
        <w:tc>
          <w:tcPr>
            <w:tcW w:w="3150" w:type="dxa"/>
            <w:tcBorders>
              <w:top w:val="single" w:sz="4" w:space="0" w:color="auto"/>
              <w:left w:val="single" w:sz="4" w:space="0" w:color="auto"/>
              <w:bottom w:val="single" w:sz="4" w:space="0" w:color="auto"/>
              <w:right w:val="single" w:sz="4" w:space="0" w:color="auto"/>
            </w:tcBorders>
            <w:hideMark/>
          </w:tcPr>
          <w:p w14:paraId="72D01E9C"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Total</w:t>
            </w:r>
          </w:p>
        </w:tc>
        <w:tc>
          <w:tcPr>
            <w:tcW w:w="1170" w:type="dxa"/>
            <w:tcBorders>
              <w:top w:val="single" w:sz="4" w:space="0" w:color="auto"/>
              <w:left w:val="single" w:sz="4" w:space="0" w:color="auto"/>
              <w:bottom w:val="single" w:sz="4" w:space="0" w:color="auto"/>
              <w:right w:val="single" w:sz="4" w:space="0" w:color="auto"/>
            </w:tcBorders>
            <w:hideMark/>
          </w:tcPr>
          <w:p w14:paraId="72D01E9D"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65</w:t>
            </w:r>
          </w:p>
        </w:tc>
        <w:tc>
          <w:tcPr>
            <w:tcW w:w="900" w:type="dxa"/>
            <w:tcBorders>
              <w:top w:val="single" w:sz="4" w:space="0" w:color="auto"/>
              <w:left w:val="single" w:sz="4" w:space="0" w:color="auto"/>
              <w:bottom w:val="single" w:sz="4" w:space="0" w:color="auto"/>
              <w:right w:val="single" w:sz="4" w:space="0" w:color="auto"/>
            </w:tcBorders>
            <w:hideMark/>
          </w:tcPr>
          <w:p w14:paraId="72D01E9E"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109</w:t>
            </w:r>
          </w:p>
        </w:tc>
        <w:tc>
          <w:tcPr>
            <w:tcW w:w="1440" w:type="dxa"/>
            <w:tcBorders>
              <w:top w:val="single" w:sz="4" w:space="0" w:color="auto"/>
              <w:left w:val="single" w:sz="4" w:space="0" w:color="auto"/>
              <w:bottom w:val="single" w:sz="4" w:space="0" w:color="auto"/>
              <w:right w:val="single" w:sz="4" w:space="0" w:color="auto"/>
            </w:tcBorders>
            <w:hideMark/>
          </w:tcPr>
          <w:p w14:paraId="72D01E9F"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45</w:t>
            </w:r>
          </w:p>
        </w:tc>
        <w:tc>
          <w:tcPr>
            <w:tcW w:w="1296" w:type="dxa"/>
            <w:tcBorders>
              <w:top w:val="single" w:sz="4" w:space="0" w:color="auto"/>
              <w:left w:val="single" w:sz="4" w:space="0" w:color="auto"/>
              <w:bottom w:val="single" w:sz="4" w:space="0" w:color="auto"/>
              <w:right w:val="single" w:sz="4" w:space="0" w:color="auto"/>
            </w:tcBorders>
            <w:hideMark/>
          </w:tcPr>
          <w:p w14:paraId="72D01EA0"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57</w:t>
            </w:r>
          </w:p>
        </w:tc>
        <w:tc>
          <w:tcPr>
            <w:tcW w:w="1314" w:type="dxa"/>
            <w:tcBorders>
              <w:top w:val="single" w:sz="4" w:space="0" w:color="auto"/>
              <w:left w:val="single" w:sz="4" w:space="0" w:color="auto"/>
              <w:bottom w:val="single" w:sz="4" w:space="0" w:color="auto"/>
              <w:right w:val="single" w:sz="4" w:space="0" w:color="auto"/>
            </w:tcBorders>
            <w:hideMark/>
          </w:tcPr>
          <w:p w14:paraId="72D01EA1"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38</w:t>
            </w:r>
          </w:p>
        </w:tc>
        <w:tc>
          <w:tcPr>
            <w:tcW w:w="247" w:type="dxa"/>
            <w:tcBorders>
              <w:top w:val="single" w:sz="4" w:space="0" w:color="auto"/>
              <w:left w:val="single" w:sz="4" w:space="0" w:color="auto"/>
              <w:bottom w:val="single" w:sz="4" w:space="0" w:color="auto"/>
              <w:right w:val="single" w:sz="4" w:space="0" w:color="auto"/>
            </w:tcBorders>
            <w:hideMark/>
          </w:tcPr>
          <w:p w14:paraId="72D01EA2"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314</w:t>
            </w:r>
          </w:p>
        </w:tc>
      </w:tr>
    </w:tbl>
    <w:p w14:paraId="72D01EA4" w14:textId="07094D89" w:rsidR="004E3AB0" w:rsidRPr="0070281F" w:rsidRDefault="004E3AB0" w:rsidP="004E3AB0">
      <w:pPr>
        <w:spacing w:line="360" w:lineRule="auto"/>
        <w:jc w:val="both"/>
        <w:rPr>
          <w:rFonts w:ascii="Arial" w:hAnsi="Arial" w:cs="Arial"/>
          <w:sz w:val="20"/>
          <w:szCs w:val="20"/>
        </w:rPr>
      </w:pPr>
      <w:r w:rsidRPr="0070281F">
        <w:rPr>
          <w:rFonts w:ascii="Arial" w:hAnsi="Arial" w:cs="Arial"/>
          <w:b/>
          <w:sz w:val="20"/>
          <w:szCs w:val="20"/>
        </w:rPr>
        <w:t xml:space="preserve">Source: </w:t>
      </w:r>
      <w:r w:rsidR="00F21437">
        <w:rPr>
          <w:rFonts w:ascii="Arial" w:hAnsi="Arial" w:cs="Arial"/>
          <w:sz w:val="20"/>
          <w:szCs w:val="20"/>
        </w:rPr>
        <w:t>Primary Data</w:t>
      </w:r>
      <w:r w:rsidR="00C63B13" w:rsidRPr="0070281F">
        <w:rPr>
          <w:rFonts w:ascii="Arial" w:hAnsi="Arial" w:cs="Arial"/>
          <w:sz w:val="20"/>
          <w:szCs w:val="20"/>
        </w:rPr>
        <w:t>, 2025</w:t>
      </w:r>
    </w:p>
    <w:p w14:paraId="72D01EA5" w14:textId="77777777" w:rsidR="004E3AB0" w:rsidRPr="0070281F" w:rsidRDefault="004E3AB0" w:rsidP="008B79D1">
      <w:pPr>
        <w:jc w:val="both"/>
        <w:rPr>
          <w:rFonts w:ascii="Arial" w:hAnsi="Arial" w:cs="Arial"/>
          <w:sz w:val="20"/>
          <w:szCs w:val="20"/>
        </w:rPr>
      </w:pPr>
      <w:r w:rsidRPr="0070281F">
        <w:rPr>
          <w:rFonts w:ascii="Arial" w:hAnsi="Arial" w:cs="Arial"/>
          <w:sz w:val="20"/>
          <w:szCs w:val="20"/>
        </w:rPr>
        <w:t>Calcul</w:t>
      </w:r>
      <w:r w:rsidR="008B79D1" w:rsidRPr="0070281F">
        <w:rPr>
          <w:rFonts w:ascii="Arial" w:hAnsi="Arial" w:cs="Arial"/>
          <w:sz w:val="20"/>
          <w:szCs w:val="20"/>
        </w:rPr>
        <w:t xml:space="preserve">ation of Degree of freedom (DF); </w:t>
      </w:r>
      <w:r w:rsidRPr="0070281F">
        <w:rPr>
          <w:rFonts w:ascii="Arial" w:hAnsi="Arial" w:cs="Arial"/>
          <w:sz w:val="20"/>
          <w:szCs w:val="20"/>
        </w:rPr>
        <w:t>DF = (R-1) (C-1)</w:t>
      </w:r>
    </w:p>
    <w:p w14:paraId="72D01EA6" w14:textId="77777777" w:rsidR="004E3AB0" w:rsidRPr="0070281F" w:rsidRDefault="004E3AB0" w:rsidP="008B79D1">
      <w:pPr>
        <w:jc w:val="both"/>
        <w:rPr>
          <w:rFonts w:ascii="Arial" w:hAnsi="Arial" w:cs="Arial"/>
          <w:sz w:val="20"/>
          <w:szCs w:val="20"/>
        </w:rPr>
      </w:pPr>
      <w:r w:rsidRPr="0070281F">
        <w:rPr>
          <w:rFonts w:ascii="Arial" w:hAnsi="Arial" w:cs="Arial"/>
          <w:sz w:val="20"/>
          <w:szCs w:val="20"/>
        </w:rPr>
        <w:t xml:space="preserve">Where </w:t>
      </w:r>
      <w:r w:rsidRPr="0070281F">
        <w:rPr>
          <w:rFonts w:ascii="Arial" w:hAnsi="Arial" w:cs="Arial"/>
          <w:sz w:val="20"/>
          <w:szCs w:val="20"/>
        </w:rPr>
        <w:tab/>
        <w:t>R = Number of Row in t</w:t>
      </w:r>
      <w:r w:rsidR="008B79D1" w:rsidRPr="0070281F">
        <w:rPr>
          <w:rFonts w:ascii="Arial" w:hAnsi="Arial" w:cs="Arial"/>
          <w:sz w:val="20"/>
          <w:szCs w:val="20"/>
        </w:rPr>
        <w:t xml:space="preserve">he contingency table, </w:t>
      </w:r>
      <w:r w:rsidRPr="0070281F">
        <w:rPr>
          <w:rFonts w:ascii="Arial" w:hAnsi="Arial" w:cs="Arial"/>
          <w:sz w:val="20"/>
          <w:szCs w:val="20"/>
        </w:rPr>
        <w:t>C = Number of columns in the contingency table</w:t>
      </w:r>
    </w:p>
    <w:p w14:paraId="72D01EA7" w14:textId="77777777" w:rsidR="004E3AB0" w:rsidRPr="0070281F" w:rsidRDefault="008B79D1" w:rsidP="008B79D1">
      <w:pPr>
        <w:jc w:val="both"/>
        <w:rPr>
          <w:rFonts w:ascii="Arial" w:hAnsi="Arial" w:cs="Arial"/>
          <w:sz w:val="20"/>
          <w:szCs w:val="20"/>
        </w:rPr>
      </w:pPr>
      <w:r w:rsidRPr="0070281F">
        <w:rPr>
          <w:rFonts w:ascii="Arial" w:hAnsi="Arial" w:cs="Arial"/>
          <w:sz w:val="20"/>
          <w:szCs w:val="20"/>
        </w:rPr>
        <w:t xml:space="preserve">DF = (3-1) (5-1) = 2 x 4 </w:t>
      </w:r>
      <w:r w:rsidR="004E3AB0" w:rsidRPr="0070281F">
        <w:rPr>
          <w:rFonts w:ascii="Arial" w:hAnsi="Arial" w:cs="Arial"/>
          <w:sz w:val="20"/>
          <w:szCs w:val="20"/>
        </w:rPr>
        <w:t xml:space="preserve">= </w:t>
      </w:r>
      <w:r w:rsidR="004E3AB0" w:rsidRPr="0070281F">
        <w:rPr>
          <w:rFonts w:ascii="Arial" w:hAnsi="Arial" w:cs="Arial"/>
          <w:b/>
          <w:sz w:val="20"/>
          <w:szCs w:val="20"/>
        </w:rPr>
        <w:t>8</w:t>
      </w:r>
    </w:p>
    <w:p w14:paraId="72D01EA8" w14:textId="77777777" w:rsidR="004E3AB0" w:rsidRPr="0070281F" w:rsidRDefault="004E3AB0" w:rsidP="008B79D1">
      <w:pPr>
        <w:jc w:val="both"/>
        <w:rPr>
          <w:rFonts w:ascii="Arial" w:hAnsi="Arial" w:cs="Arial"/>
          <w:b/>
          <w:sz w:val="20"/>
          <w:szCs w:val="20"/>
        </w:rPr>
      </w:pPr>
      <w:r w:rsidRPr="0070281F">
        <w:rPr>
          <w:rFonts w:ascii="Arial" w:hAnsi="Arial" w:cs="Arial"/>
          <w:sz w:val="20"/>
          <w:szCs w:val="20"/>
        </w:rPr>
        <w:t xml:space="preserve">At 0.05 significant level and 8 degree of freedom the table value of chi-square = </w:t>
      </w:r>
      <w:r w:rsidRPr="0070281F">
        <w:rPr>
          <w:rFonts w:ascii="Arial" w:hAnsi="Arial" w:cs="Arial"/>
          <w:b/>
          <w:sz w:val="20"/>
          <w:szCs w:val="20"/>
        </w:rPr>
        <w:t>15.51</w:t>
      </w:r>
    </w:p>
    <w:p w14:paraId="72D01EA9" w14:textId="77777777" w:rsidR="004E3AB0" w:rsidRPr="0070281F" w:rsidRDefault="004E3AB0" w:rsidP="008B79D1">
      <w:pPr>
        <w:jc w:val="both"/>
        <w:rPr>
          <w:rFonts w:ascii="Arial" w:hAnsi="Arial" w:cs="Arial"/>
          <w:sz w:val="20"/>
          <w:szCs w:val="20"/>
        </w:rPr>
      </w:pPr>
      <w:r w:rsidRPr="0070281F">
        <w:rPr>
          <w:rFonts w:ascii="Arial" w:hAnsi="Arial" w:cs="Arial"/>
          <w:sz w:val="20"/>
          <w:szCs w:val="20"/>
        </w:rPr>
        <w:t>Computation of chi-square (X</w:t>
      </w:r>
      <w:r w:rsidRPr="0070281F">
        <w:rPr>
          <w:rFonts w:ascii="Arial" w:hAnsi="Arial" w:cs="Arial"/>
          <w:sz w:val="20"/>
          <w:szCs w:val="20"/>
          <w:vertAlign w:val="superscript"/>
        </w:rPr>
        <w:t>2</w:t>
      </w:r>
      <w:r w:rsidRPr="0070281F">
        <w:rPr>
          <w:rFonts w:ascii="Arial" w:hAnsi="Arial" w:cs="Arial"/>
          <w:sz w:val="20"/>
          <w:szCs w:val="20"/>
        </w:rPr>
        <w:t>)</w:t>
      </w:r>
    </w:p>
    <w:p w14:paraId="72D01EAA" w14:textId="77777777" w:rsidR="004E3AB0" w:rsidRPr="0070281F" w:rsidRDefault="00000000" w:rsidP="008B79D1">
      <w:pPr>
        <w:jc w:val="both"/>
        <w:rPr>
          <w:rFonts w:ascii="Arial" w:hAnsi="Arial" w:cs="Arial"/>
          <w:sz w:val="20"/>
          <w:szCs w:val="20"/>
        </w:rPr>
      </w:pPr>
      <m:oMathPara>
        <m:oMathParaPr>
          <m:jc m:val="left"/>
        </m:oMathParaPr>
        <m:oMath>
          <m:sSup>
            <m:sSupPr>
              <m:ctrlPr>
                <w:rPr>
                  <w:rFonts w:ascii="Cambria Math" w:hAnsi="Cambria Math" w:cs="Arial"/>
                  <w:sz w:val="20"/>
                  <w:szCs w:val="20"/>
                </w:rPr>
              </m:ctrlPr>
            </m:sSupPr>
            <m:e>
              <m:r>
                <m:rPr>
                  <m:sty m:val="p"/>
                </m:rP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f>
                <m:fPr>
                  <m:ctrlPr>
                    <w:rPr>
                      <w:rFonts w:ascii="Cambria Math" w:hAnsi="Cambria Math" w:cs="Arial"/>
                      <w:sz w:val="20"/>
                      <w:szCs w:val="20"/>
                    </w:rPr>
                  </m:ctrlPr>
                </m:fPr>
                <m:num>
                  <m:r>
                    <m:rPr>
                      <m:sty m:val="p"/>
                    </m:rPr>
                    <w:rPr>
                      <w:rFonts w:ascii="Cambria Math" w:hAnsi="Cambria Math" w:cs="Arial"/>
                      <w:sz w:val="20"/>
                      <w:szCs w:val="20"/>
                    </w:rPr>
                    <m:t>(0-e)</m:t>
                  </m:r>
                </m:num>
                <m:den>
                  <m:r>
                    <w:rPr>
                      <w:rFonts w:ascii="Cambria Math" w:hAnsi="Cambria Math" w:cs="Arial"/>
                      <w:sz w:val="20"/>
                      <w:szCs w:val="20"/>
                    </w:rPr>
                    <m:t>e</m:t>
                  </m:r>
                </m:den>
              </m:f>
            </m:e>
            <m:sup>
              <m:r>
                <w:rPr>
                  <w:rFonts w:ascii="Cambria Math" w:hAnsi="Cambria Math" w:cs="Arial"/>
                  <w:sz w:val="20"/>
                  <w:szCs w:val="20"/>
                </w:rPr>
                <m:t>2</m:t>
              </m:r>
            </m:sup>
          </m:sSup>
        </m:oMath>
      </m:oMathPara>
    </w:p>
    <w:p w14:paraId="72D01EAB" w14:textId="77777777" w:rsidR="004E3AB0" w:rsidRPr="0070281F" w:rsidRDefault="004E3AB0" w:rsidP="008B79D1">
      <w:pPr>
        <w:jc w:val="both"/>
        <w:rPr>
          <w:rFonts w:ascii="Arial" w:hAnsi="Arial" w:cs="Arial"/>
          <w:sz w:val="20"/>
          <w:szCs w:val="20"/>
        </w:rPr>
      </w:pPr>
      <w:r w:rsidRPr="0070281F">
        <w:rPr>
          <w:rFonts w:ascii="Arial" w:hAnsi="Arial" w:cs="Arial"/>
          <w:sz w:val="20"/>
          <w:szCs w:val="20"/>
        </w:rPr>
        <w:t xml:space="preserve">Where </w:t>
      </w:r>
      <w:r w:rsidRPr="0070281F">
        <w:rPr>
          <w:rFonts w:ascii="Arial" w:hAnsi="Arial" w:cs="Arial"/>
          <w:sz w:val="20"/>
          <w:szCs w:val="20"/>
        </w:rPr>
        <w:tab/>
        <w:t xml:space="preserve">O </w:t>
      </w:r>
      <w:r w:rsidR="008B79D1" w:rsidRPr="0070281F">
        <w:rPr>
          <w:rFonts w:ascii="Arial" w:hAnsi="Arial" w:cs="Arial"/>
          <w:sz w:val="20"/>
          <w:szCs w:val="20"/>
        </w:rPr>
        <w:t xml:space="preserve">= Observed frequency, </w:t>
      </w:r>
      <w:r w:rsidRPr="0070281F">
        <w:rPr>
          <w:rFonts w:ascii="Arial" w:hAnsi="Arial" w:cs="Arial"/>
          <w:sz w:val="20"/>
          <w:szCs w:val="20"/>
        </w:rPr>
        <w:t>e = Expected frequency</w:t>
      </w:r>
    </w:p>
    <w:p w14:paraId="72D01EAC" w14:textId="77777777" w:rsidR="004E3AB0" w:rsidRPr="0070281F" w:rsidRDefault="004E3AB0" w:rsidP="008B79D1">
      <w:pPr>
        <w:jc w:val="both"/>
        <w:rPr>
          <w:rFonts w:ascii="Arial" w:hAnsi="Arial" w:cs="Arial"/>
          <w:sz w:val="20"/>
          <w:szCs w:val="20"/>
        </w:rPr>
      </w:pPr>
      <w:r w:rsidRPr="0070281F">
        <w:rPr>
          <w:rFonts w:ascii="Arial" w:hAnsi="Arial" w:cs="Arial"/>
          <w:sz w:val="20"/>
          <w:szCs w:val="20"/>
        </w:rPr>
        <w:t xml:space="preserve">Expected frequency (e) is giving by </w:t>
      </w:r>
      <m:oMath>
        <m:f>
          <m:fPr>
            <m:ctrlPr>
              <w:rPr>
                <w:rFonts w:ascii="Cambria Math" w:hAnsi="Cambria Math" w:cs="Arial"/>
                <w:sz w:val="20"/>
                <w:szCs w:val="20"/>
              </w:rPr>
            </m:ctrlPr>
          </m:fPr>
          <m:num>
            <m:r>
              <m:rPr>
                <m:sty m:val="p"/>
              </m:rPr>
              <w:rPr>
                <w:rFonts w:ascii="Cambria Math" w:hAnsi="Cambria Math" w:cs="Arial"/>
                <w:sz w:val="20"/>
                <w:szCs w:val="20"/>
              </w:rPr>
              <m:t>RT X CT</m:t>
            </m:r>
          </m:num>
          <m:den>
            <m:r>
              <w:rPr>
                <w:rFonts w:ascii="Cambria Math" w:hAnsi="Cambria Math" w:cs="Arial"/>
                <w:sz w:val="20"/>
                <w:szCs w:val="20"/>
              </w:rPr>
              <m:t>GT</m:t>
            </m:r>
          </m:den>
        </m:f>
      </m:oMath>
    </w:p>
    <w:p w14:paraId="2E6F95AF" w14:textId="168D5376" w:rsidR="00153FCC" w:rsidRPr="0070281F" w:rsidRDefault="008B79D1" w:rsidP="008B79D1">
      <w:pPr>
        <w:jc w:val="both"/>
        <w:rPr>
          <w:rFonts w:ascii="Arial" w:hAnsi="Arial" w:cs="Arial"/>
          <w:sz w:val="20"/>
          <w:szCs w:val="20"/>
        </w:rPr>
      </w:pPr>
      <w:r w:rsidRPr="0070281F">
        <w:rPr>
          <w:rFonts w:ascii="Arial" w:hAnsi="Arial" w:cs="Arial"/>
          <w:sz w:val="20"/>
          <w:szCs w:val="20"/>
        </w:rPr>
        <w:t xml:space="preserve">Where </w:t>
      </w:r>
      <w:r w:rsidRPr="0070281F">
        <w:rPr>
          <w:rFonts w:ascii="Arial" w:hAnsi="Arial" w:cs="Arial"/>
          <w:sz w:val="20"/>
          <w:szCs w:val="20"/>
        </w:rPr>
        <w:tab/>
        <w:t xml:space="preserve">RT = Row total; CT = Colum total; GT = </w:t>
      </w:r>
      <w:r w:rsidR="004E3AB0" w:rsidRPr="0070281F">
        <w:rPr>
          <w:rFonts w:ascii="Arial" w:hAnsi="Arial" w:cs="Arial"/>
          <w:sz w:val="20"/>
          <w:szCs w:val="20"/>
        </w:rPr>
        <w:t>Grand total</w:t>
      </w:r>
    </w:p>
    <w:p w14:paraId="72D01EAE" w14:textId="14F93967" w:rsidR="004E3AB0" w:rsidRPr="0070281F" w:rsidRDefault="008B79D1" w:rsidP="004E3AB0">
      <w:pPr>
        <w:spacing w:line="360" w:lineRule="auto"/>
        <w:jc w:val="both"/>
        <w:rPr>
          <w:rFonts w:ascii="Arial" w:hAnsi="Arial" w:cs="Arial"/>
          <w:b/>
          <w:sz w:val="20"/>
          <w:szCs w:val="20"/>
        </w:rPr>
      </w:pPr>
      <w:r w:rsidRPr="0070281F">
        <w:rPr>
          <w:rFonts w:ascii="Arial" w:hAnsi="Arial" w:cs="Arial"/>
          <w:b/>
          <w:sz w:val="20"/>
          <w:szCs w:val="20"/>
        </w:rPr>
        <w:t xml:space="preserve">      Table </w:t>
      </w:r>
      <w:r w:rsidR="00360ADE">
        <w:rPr>
          <w:rFonts w:ascii="Arial" w:hAnsi="Arial" w:cs="Arial"/>
          <w:b/>
          <w:sz w:val="20"/>
          <w:szCs w:val="20"/>
        </w:rPr>
        <w:t>8</w:t>
      </w:r>
      <w:r w:rsidR="004E3AB0" w:rsidRPr="0070281F">
        <w:rPr>
          <w:rFonts w:ascii="Arial" w:hAnsi="Arial" w:cs="Arial"/>
          <w:b/>
          <w:sz w:val="20"/>
          <w:szCs w:val="20"/>
        </w:rPr>
        <w:t xml:space="preserve">: Computation of Chi-Square for Hypothesis Two </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1134"/>
        <w:gridCol w:w="1417"/>
        <w:gridCol w:w="2552"/>
      </w:tblGrid>
      <w:tr w:rsidR="00745AEF" w:rsidRPr="0070281F" w14:paraId="72D01EB5"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AF"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Observed Frequency (o)</w:t>
            </w:r>
          </w:p>
        </w:tc>
        <w:tc>
          <w:tcPr>
            <w:tcW w:w="2410" w:type="dxa"/>
            <w:tcBorders>
              <w:top w:val="single" w:sz="4" w:space="0" w:color="auto"/>
              <w:left w:val="single" w:sz="4" w:space="0" w:color="auto"/>
              <w:bottom w:val="single" w:sz="4" w:space="0" w:color="auto"/>
              <w:right w:val="single" w:sz="4" w:space="0" w:color="auto"/>
            </w:tcBorders>
            <w:hideMark/>
          </w:tcPr>
          <w:p w14:paraId="72D01EB0"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Expected Frequency (e)</w:t>
            </w:r>
          </w:p>
        </w:tc>
        <w:tc>
          <w:tcPr>
            <w:tcW w:w="1134" w:type="dxa"/>
            <w:tcBorders>
              <w:top w:val="single" w:sz="4" w:space="0" w:color="auto"/>
              <w:left w:val="single" w:sz="4" w:space="0" w:color="auto"/>
              <w:bottom w:val="single" w:sz="4" w:space="0" w:color="auto"/>
              <w:right w:val="single" w:sz="4" w:space="0" w:color="auto"/>
            </w:tcBorders>
            <w:hideMark/>
          </w:tcPr>
          <w:p w14:paraId="72D01EB1"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(o-e)</w:t>
            </w:r>
          </w:p>
        </w:tc>
        <w:tc>
          <w:tcPr>
            <w:tcW w:w="1417" w:type="dxa"/>
            <w:tcBorders>
              <w:top w:val="single" w:sz="4" w:space="0" w:color="auto"/>
              <w:left w:val="single" w:sz="4" w:space="0" w:color="auto"/>
              <w:bottom w:val="single" w:sz="4" w:space="0" w:color="auto"/>
              <w:right w:val="single" w:sz="4" w:space="0" w:color="auto"/>
            </w:tcBorders>
            <w:hideMark/>
          </w:tcPr>
          <w:p w14:paraId="72D01EB2"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(o-e)</w:t>
            </w:r>
            <w:r w:rsidRPr="0070281F">
              <w:rPr>
                <w:rFonts w:ascii="Arial" w:hAnsi="Arial" w:cs="Arial"/>
                <w:b/>
                <w:sz w:val="20"/>
                <w:szCs w:val="20"/>
                <w:vertAlign w:val="superscript"/>
              </w:rPr>
              <w:t>2</w:t>
            </w:r>
          </w:p>
        </w:tc>
        <w:tc>
          <w:tcPr>
            <w:tcW w:w="2552" w:type="dxa"/>
            <w:tcBorders>
              <w:top w:val="single" w:sz="4" w:space="0" w:color="auto"/>
              <w:left w:val="single" w:sz="4" w:space="0" w:color="auto"/>
              <w:bottom w:val="single" w:sz="4" w:space="0" w:color="auto"/>
              <w:right w:val="single" w:sz="4" w:space="0" w:color="auto"/>
            </w:tcBorders>
            <w:hideMark/>
          </w:tcPr>
          <w:p w14:paraId="72D01EB3" w14:textId="77777777" w:rsidR="004E3AB0" w:rsidRPr="0070281F" w:rsidRDefault="004E3AB0" w:rsidP="0050014C">
            <w:pPr>
              <w:pStyle w:val="NoSpacing"/>
              <w:rPr>
                <w:rFonts w:ascii="Arial" w:hAnsi="Arial" w:cs="Arial"/>
                <w:b/>
                <w:sz w:val="20"/>
                <w:szCs w:val="20"/>
                <w:u w:val="single"/>
                <w:vertAlign w:val="superscript"/>
              </w:rPr>
            </w:pPr>
            <w:r w:rsidRPr="0070281F">
              <w:rPr>
                <w:rFonts w:ascii="Arial" w:hAnsi="Arial" w:cs="Arial"/>
                <w:b/>
                <w:sz w:val="20"/>
                <w:szCs w:val="20"/>
                <w:u w:val="single"/>
              </w:rPr>
              <w:t>(o-e)</w:t>
            </w:r>
            <w:r w:rsidRPr="0070281F">
              <w:rPr>
                <w:rFonts w:ascii="Arial" w:hAnsi="Arial" w:cs="Arial"/>
                <w:b/>
                <w:sz w:val="20"/>
                <w:szCs w:val="20"/>
                <w:u w:val="single"/>
                <w:vertAlign w:val="superscript"/>
              </w:rPr>
              <w:t>2</w:t>
            </w:r>
          </w:p>
          <w:p w14:paraId="72D01EB4"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 xml:space="preserve">    E</w:t>
            </w:r>
          </w:p>
        </w:tc>
      </w:tr>
      <w:tr w:rsidR="00745AEF" w:rsidRPr="0070281F" w14:paraId="72D01EBB"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B6"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22</w:t>
            </w:r>
          </w:p>
        </w:tc>
        <w:tc>
          <w:tcPr>
            <w:tcW w:w="2410" w:type="dxa"/>
            <w:tcBorders>
              <w:top w:val="single" w:sz="4" w:space="0" w:color="auto"/>
              <w:left w:val="single" w:sz="4" w:space="0" w:color="auto"/>
              <w:bottom w:val="single" w:sz="4" w:space="0" w:color="auto"/>
              <w:right w:val="single" w:sz="4" w:space="0" w:color="auto"/>
            </w:tcBorders>
            <w:hideMark/>
          </w:tcPr>
          <w:p w14:paraId="72D01EB7"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22.36</w:t>
            </w:r>
          </w:p>
        </w:tc>
        <w:tc>
          <w:tcPr>
            <w:tcW w:w="1134" w:type="dxa"/>
            <w:tcBorders>
              <w:top w:val="single" w:sz="4" w:space="0" w:color="auto"/>
              <w:left w:val="single" w:sz="4" w:space="0" w:color="auto"/>
              <w:bottom w:val="single" w:sz="4" w:space="0" w:color="auto"/>
              <w:right w:val="single" w:sz="4" w:space="0" w:color="auto"/>
            </w:tcBorders>
            <w:hideMark/>
          </w:tcPr>
          <w:p w14:paraId="72D01EB8"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-0.36</w:t>
            </w:r>
          </w:p>
        </w:tc>
        <w:tc>
          <w:tcPr>
            <w:tcW w:w="1417" w:type="dxa"/>
            <w:tcBorders>
              <w:top w:val="single" w:sz="4" w:space="0" w:color="auto"/>
              <w:left w:val="single" w:sz="4" w:space="0" w:color="auto"/>
              <w:bottom w:val="single" w:sz="4" w:space="0" w:color="auto"/>
              <w:right w:val="single" w:sz="4" w:space="0" w:color="auto"/>
            </w:tcBorders>
            <w:hideMark/>
          </w:tcPr>
          <w:p w14:paraId="72D01EB9"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0.1296</w:t>
            </w:r>
          </w:p>
        </w:tc>
        <w:tc>
          <w:tcPr>
            <w:tcW w:w="2552" w:type="dxa"/>
            <w:tcBorders>
              <w:top w:val="single" w:sz="4" w:space="0" w:color="auto"/>
              <w:left w:val="single" w:sz="4" w:space="0" w:color="auto"/>
              <w:bottom w:val="single" w:sz="4" w:space="0" w:color="auto"/>
              <w:right w:val="single" w:sz="4" w:space="0" w:color="auto"/>
            </w:tcBorders>
            <w:hideMark/>
          </w:tcPr>
          <w:p w14:paraId="72D01EB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0.01</w:t>
            </w:r>
          </w:p>
        </w:tc>
      </w:tr>
      <w:tr w:rsidR="00745AEF" w:rsidRPr="0070281F" w14:paraId="72D01EC1"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BC"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25</w:t>
            </w:r>
          </w:p>
        </w:tc>
        <w:tc>
          <w:tcPr>
            <w:tcW w:w="2410" w:type="dxa"/>
            <w:tcBorders>
              <w:top w:val="single" w:sz="4" w:space="0" w:color="auto"/>
              <w:left w:val="single" w:sz="4" w:space="0" w:color="auto"/>
              <w:bottom w:val="single" w:sz="4" w:space="0" w:color="auto"/>
              <w:right w:val="single" w:sz="4" w:space="0" w:color="auto"/>
            </w:tcBorders>
            <w:hideMark/>
          </w:tcPr>
          <w:p w14:paraId="72D01EBD"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37.49</w:t>
            </w:r>
          </w:p>
        </w:tc>
        <w:tc>
          <w:tcPr>
            <w:tcW w:w="1134" w:type="dxa"/>
            <w:tcBorders>
              <w:top w:val="single" w:sz="4" w:space="0" w:color="auto"/>
              <w:left w:val="single" w:sz="4" w:space="0" w:color="auto"/>
              <w:bottom w:val="single" w:sz="4" w:space="0" w:color="auto"/>
              <w:right w:val="single" w:sz="4" w:space="0" w:color="auto"/>
            </w:tcBorders>
            <w:hideMark/>
          </w:tcPr>
          <w:p w14:paraId="72D01EBE"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-12.49</w:t>
            </w:r>
          </w:p>
        </w:tc>
        <w:tc>
          <w:tcPr>
            <w:tcW w:w="1417" w:type="dxa"/>
            <w:tcBorders>
              <w:top w:val="single" w:sz="4" w:space="0" w:color="auto"/>
              <w:left w:val="single" w:sz="4" w:space="0" w:color="auto"/>
              <w:bottom w:val="single" w:sz="4" w:space="0" w:color="auto"/>
              <w:right w:val="single" w:sz="4" w:space="0" w:color="auto"/>
            </w:tcBorders>
            <w:hideMark/>
          </w:tcPr>
          <w:p w14:paraId="72D01EBF"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156.0001</w:t>
            </w:r>
          </w:p>
        </w:tc>
        <w:tc>
          <w:tcPr>
            <w:tcW w:w="2552" w:type="dxa"/>
            <w:tcBorders>
              <w:top w:val="single" w:sz="4" w:space="0" w:color="auto"/>
              <w:left w:val="single" w:sz="4" w:space="0" w:color="auto"/>
              <w:bottom w:val="single" w:sz="4" w:space="0" w:color="auto"/>
              <w:right w:val="single" w:sz="4" w:space="0" w:color="auto"/>
            </w:tcBorders>
            <w:hideMark/>
          </w:tcPr>
          <w:p w14:paraId="72D01EC0"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4.16</w:t>
            </w:r>
          </w:p>
        </w:tc>
      </w:tr>
      <w:tr w:rsidR="00745AEF" w:rsidRPr="0070281F" w14:paraId="72D01EC7"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C2"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21</w:t>
            </w:r>
          </w:p>
        </w:tc>
        <w:tc>
          <w:tcPr>
            <w:tcW w:w="2410" w:type="dxa"/>
            <w:tcBorders>
              <w:top w:val="single" w:sz="4" w:space="0" w:color="auto"/>
              <w:left w:val="single" w:sz="4" w:space="0" w:color="auto"/>
              <w:bottom w:val="single" w:sz="4" w:space="0" w:color="auto"/>
              <w:right w:val="single" w:sz="4" w:space="0" w:color="auto"/>
            </w:tcBorders>
            <w:hideMark/>
          </w:tcPr>
          <w:p w14:paraId="72D01EC3"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15.48</w:t>
            </w:r>
          </w:p>
        </w:tc>
        <w:tc>
          <w:tcPr>
            <w:tcW w:w="1134" w:type="dxa"/>
            <w:tcBorders>
              <w:top w:val="single" w:sz="4" w:space="0" w:color="auto"/>
              <w:left w:val="single" w:sz="4" w:space="0" w:color="auto"/>
              <w:bottom w:val="single" w:sz="4" w:space="0" w:color="auto"/>
              <w:right w:val="single" w:sz="4" w:space="0" w:color="auto"/>
            </w:tcBorders>
            <w:hideMark/>
          </w:tcPr>
          <w:p w14:paraId="72D01EC4"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5.52</w:t>
            </w:r>
          </w:p>
        </w:tc>
        <w:tc>
          <w:tcPr>
            <w:tcW w:w="1417" w:type="dxa"/>
            <w:tcBorders>
              <w:top w:val="single" w:sz="4" w:space="0" w:color="auto"/>
              <w:left w:val="single" w:sz="4" w:space="0" w:color="auto"/>
              <w:bottom w:val="single" w:sz="4" w:space="0" w:color="auto"/>
              <w:right w:val="single" w:sz="4" w:space="0" w:color="auto"/>
            </w:tcBorders>
            <w:hideMark/>
          </w:tcPr>
          <w:p w14:paraId="72D01EC5"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30.4704</w:t>
            </w:r>
          </w:p>
        </w:tc>
        <w:tc>
          <w:tcPr>
            <w:tcW w:w="2552" w:type="dxa"/>
            <w:tcBorders>
              <w:top w:val="single" w:sz="4" w:space="0" w:color="auto"/>
              <w:left w:val="single" w:sz="4" w:space="0" w:color="auto"/>
              <w:bottom w:val="single" w:sz="4" w:space="0" w:color="auto"/>
              <w:right w:val="single" w:sz="4" w:space="0" w:color="auto"/>
            </w:tcBorders>
            <w:hideMark/>
          </w:tcPr>
          <w:p w14:paraId="72D01EC6"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1.97</w:t>
            </w:r>
          </w:p>
        </w:tc>
      </w:tr>
      <w:tr w:rsidR="00745AEF" w:rsidRPr="0070281F" w14:paraId="72D01ECD"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C8"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23</w:t>
            </w:r>
          </w:p>
        </w:tc>
        <w:tc>
          <w:tcPr>
            <w:tcW w:w="2410" w:type="dxa"/>
            <w:tcBorders>
              <w:top w:val="single" w:sz="4" w:space="0" w:color="auto"/>
              <w:left w:val="single" w:sz="4" w:space="0" w:color="auto"/>
              <w:bottom w:val="single" w:sz="4" w:space="0" w:color="auto"/>
              <w:right w:val="single" w:sz="4" w:space="0" w:color="auto"/>
            </w:tcBorders>
            <w:hideMark/>
          </w:tcPr>
          <w:p w14:paraId="72D01EC9"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19.61</w:t>
            </w:r>
          </w:p>
        </w:tc>
        <w:tc>
          <w:tcPr>
            <w:tcW w:w="1134" w:type="dxa"/>
            <w:tcBorders>
              <w:top w:val="single" w:sz="4" w:space="0" w:color="auto"/>
              <w:left w:val="single" w:sz="4" w:space="0" w:color="auto"/>
              <w:bottom w:val="single" w:sz="4" w:space="0" w:color="auto"/>
              <w:right w:val="single" w:sz="4" w:space="0" w:color="auto"/>
            </w:tcBorders>
            <w:hideMark/>
          </w:tcPr>
          <w:p w14:paraId="72D01EC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3.39</w:t>
            </w:r>
          </w:p>
        </w:tc>
        <w:tc>
          <w:tcPr>
            <w:tcW w:w="1417" w:type="dxa"/>
            <w:tcBorders>
              <w:top w:val="single" w:sz="4" w:space="0" w:color="auto"/>
              <w:left w:val="single" w:sz="4" w:space="0" w:color="auto"/>
              <w:bottom w:val="single" w:sz="4" w:space="0" w:color="auto"/>
              <w:right w:val="single" w:sz="4" w:space="0" w:color="auto"/>
            </w:tcBorders>
            <w:hideMark/>
          </w:tcPr>
          <w:p w14:paraId="72D01ECB"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11.4921</w:t>
            </w:r>
          </w:p>
        </w:tc>
        <w:tc>
          <w:tcPr>
            <w:tcW w:w="2552" w:type="dxa"/>
            <w:tcBorders>
              <w:top w:val="single" w:sz="4" w:space="0" w:color="auto"/>
              <w:left w:val="single" w:sz="4" w:space="0" w:color="auto"/>
              <w:bottom w:val="single" w:sz="4" w:space="0" w:color="auto"/>
              <w:right w:val="single" w:sz="4" w:space="0" w:color="auto"/>
            </w:tcBorders>
            <w:hideMark/>
          </w:tcPr>
          <w:p w14:paraId="72D01ECC"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0.59</w:t>
            </w:r>
          </w:p>
        </w:tc>
      </w:tr>
      <w:tr w:rsidR="00745AEF" w:rsidRPr="0070281F" w14:paraId="72D01ED3"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CE"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17</w:t>
            </w:r>
          </w:p>
        </w:tc>
        <w:tc>
          <w:tcPr>
            <w:tcW w:w="2410" w:type="dxa"/>
            <w:tcBorders>
              <w:top w:val="single" w:sz="4" w:space="0" w:color="auto"/>
              <w:left w:val="single" w:sz="4" w:space="0" w:color="auto"/>
              <w:bottom w:val="single" w:sz="4" w:space="0" w:color="auto"/>
              <w:right w:val="single" w:sz="4" w:space="0" w:color="auto"/>
            </w:tcBorders>
            <w:hideMark/>
          </w:tcPr>
          <w:p w14:paraId="72D01ECF"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13.07</w:t>
            </w:r>
          </w:p>
        </w:tc>
        <w:tc>
          <w:tcPr>
            <w:tcW w:w="1134" w:type="dxa"/>
            <w:tcBorders>
              <w:top w:val="single" w:sz="4" w:space="0" w:color="auto"/>
              <w:left w:val="single" w:sz="4" w:space="0" w:color="auto"/>
              <w:bottom w:val="single" w:sz="4" w:space="0" w:color="auto"/>
              <w:right w:val="single" w:sz="4" w:space="0" w:color="auto"/>
            </w:tcBorders>
            <w:hideMark/>
          </w:tcPr>
          <w:p w14:paraId="72D01ED0"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3.93</w:t>
            </w:r>
          </w:p>
        </w:tc>
        <w:tc>
          <w:tcPr>
            <w:tcW w:w="1417" w:type="dxa"/>
            <w:tcBorders>
              <w:top w:val="single" w:sz="4" w:space="0" w:color="auto"/>
              <w:left w:val="single" w:sz="4" w:space="0" w:color="auto"/>
              <w:bottom w:val="single" w:sz="4" w:space="0" w:color="auto"/>
              <w:right w:val="single" w:sz="4" w:space="0" w:color="auto"/>
            </w:tcBorders>
            <w:hideMark/>
          </w:tcPr>
          <w:p w14:paraId="72D01ED1"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15.4449</w:t>
            </w:r>
          </w:p>
        </w:tc>
        <w:tc>
          <w:tcPr>
            <w:tcW w:w="2552" w:type="dxa"/>
            <w:tcBorders>
              <w:top w:val="single" w:sz="4" w:space="0" w:color="auto"/>
              <w:left w:val="single" w:sz="4" w:space="0" w:color="auto"/>
              <w:bottom w:val="single" w:sz="4" w:space="0" w:color="auto"/>
              <w:right w:val="single" w:sz="4" w:space="0" w:color="auto"/>
            </w:tcBorders>
            <w:hideMark/>
          </w:tcPr>
          <w:p w14:paraId="72D01ED2"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1.18</w:t>
            </w:r>
          </w:p>
        </w:tc>
      </w:tr>
      <w:tr w:rsidR="00745AEF" w:rsidRPr="0070281F" w14:paraId="72D01ED9"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D4"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19</w:t>
            </w:r>
          </w:p>
        </w:tc>
        <w:tc>
          <w:tcPr>
            <w:tcW w:w="2410" w:type="dxa"/>
            <w:tcBorders>
              <w:top w:val="single" w:sz="4" w:space="0" w:color="auto"/>
              <w:left w:val="single" w:sz="4" w:space="0" w:color="auto"/>
              <w:bottom w:val="single" w:sz="4" w:space="0" w:color="auto"/>
              <w:right w:val="single" w:sz="4" w:space="0" w:color="auto"/>
            </w:tcBorders>
            <w:hideMark/>
          </w:tcPr>
          <w:p w14:paraId="72D01ED5"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18.42</w:t>
            </w:r>
          </w:p>
        </w:tc>
        <w:tc>
          <w:tcPr>
            <w:tcW w:w="1134" w:type="dxa"/>
            <w:tcBorders>
              <w:top w:val="single" w:sz="4" w:space="0" w:color="auto"/>
              <w:left w:val="single" w:sz="4" w:space="0" w:color="auto"/>
              <w:bottom w:val="single" w:sz="4" w:space="0" w:color="auto"/>
              <w:right w:val="single" w:sz="4" w:space="0" w:color="auto"/>
            </w:tcBorders>
            <w:hideMark/>
          </w:tcPr>
          <w:p w14:paraId="72D01ED6"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0.58</w:t>
            </w:r>
          </w:p>
        </w:tc>
        <w:tc>
          <w:tcPr>
            <w:tcW w:w="1417" w:type="dxa"/>
            <w:tcBorders>
              <w:top w:val="single" w:sz="4" w:space="0" w:color="auto"/>
              <w:left w:val="single" w:sz="4" w:space="0" w:color="auto"/>
              <w:bottom w:val="single" w:sz="4" w:space="0" w:color="auto"/>
              <w:right w:val="single" w:sz="4" w:space="0" w:color="auto"/>
            </w:tcBorders>
            <w:hideMark/>
          </w:tcPr>
          <w:p w14:paraId="72D01ED7"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0.3364</w:t>
            </w:r>
          </w:p>
        </w:tc>
        <w:tc>
          <w:tcPr>
            <w:tcW w:w="2552" w:type="dxa"/>
            <w:tcBorders>
              <w:top w:val="single" w:sz="4" w:space="0" w:color="auto"/>
              <w:left w:val="single" w:sz="4" w:space="0" w:color="auto"/>
              <w:bottom w:val="single" w:sz="4" w:space="0" w:color="auto"/>
              <w:right w:val="single" w:sz="4" w:space="0" w:color="auto"/>
            </w:tcBorders>
            <w:hideMark/>
          </w:tcPr>
          <w:p w14:paraId="72D01ED8"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0.02</w:t>
            </w:r>
          </w:p>
        </w:tc>
      </w:tr>
      <w:tr w:rsidR="00745AEF" w:rsidRPr="0070281F" w14:paraId="72D01EDF"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D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30</w:t>
            </w:r>
          </w:p>
        </w:tc>
        <w:tc>
          <w:tcPr>
            <w:tcW w:w="2410" w:type="dxa"/>
            <w:tcBorders>
              <w:top w:val="single" w:sz="4" w:space="0" w:color="auto"/>
              <w:left w:val="single" w:sz="4" w:space="0" w:color="auto"/>
              <w:bottom w:val="single" w:sz="4" w:space="0" w:color="auto"/>
              <w:right w:val="single" w:sz="4" w:space="0" w:color="auto"/>
            </w:tcBorders>
            <w:hideMark/>
          </w:tcPr>
          <w:p w14:paraId="72D01EDB"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30.89</w:t>
            </w:r>
          </w:p>
        </w:tc>
        <w:tc>
          <w:tcPr>
            <w:tcW w:w="1134" w:type="dxa"/>
            <w:tcBorders>
              <w:top w:val="single" w:sz="4" w:space="0" w:color="auto"/>
              <w:left w:val="single" w:sz="4" w:space="0" w:color="auto"/>
              <w:bottom w:val="single" w:sz="4" w:space="0" w:color="auto"/>
              <w:right w:val="single" w:sz="4" w:space="0" w:color="auto"/>
            </w:tcBorders>
            <w:hideMark/>
          </w:tcPr>
          <w:p w14:paraId="72D01EDC"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-0.89</w:t>
            </w:r>
          </w:p>
        </w:tc>
        <w:tc>
          <w:tcPr>
            <w:tcW w:w="1417" w:type="dxa"/>
            <w:tcBorders>
              <w:top w:val="single" w:sz="4" w:space="0" w:color="auto"/>
              <w:left w:val="single" w:sz="4" w:space="0" w:color="auto"/>
              <w:bottom w:val="single" w:sz="4" w:space="0" w:color="auto"/>
              <w:right w:val="single" w:sz="4" w:space="0" w:color="auto"/>
            </w:tcBorders>
            <w:hideMark/>
          </w:tcPr>
          <w:p w14:paraId="72D01EDD"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0.7921</w:t>
            </w:r>
          </w:p>
        </w:tc>
        <w:tc>
          <w:tcPr>
            <w:tcW w:w="2552" w:type="dxa"/>
            <w:tcBorders>
              <w:top w:val="single" w:sz="4" w:space="0" w:color="auto"/>
              <w:left w:val="single" w:sz="4" w:space="0" w:color="auto"/>
              <w:bottom w:val="single" w:sz="4" w:space="0" w:color="auto"/>
              <w:right w:val="single" w:sz="4" w:space="0" w:color="auto"/>
            </w:tcBorders>
            <w:hideMark/>
          </w:tcPr>
          <w:p w14:paraId="72D01EDE"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0.03</w:t>
            </w:r>
          </w:p>
        </w:tc>
      </w:tr>
      <w:tr w:rsidR="00745AEF" w:rsidRPr="0070281F" w14:paraId="72D01EE5"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E0"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12</w:t>
            </w:r>
          </w:p>
        </w:tc>
        <w:tc>
          <w:tcPr>
            <w:tcW w:w="2410" w:type="dxa"/>
            <w:tcBorders>
              <w:top w:val="single" w:sz="4" w:space="0" w:color="auto"/>
              <w:left w:val="single" w:sz="4" w:space="0" w:color="auto"/>
              <w:bottom w:val="single" w:sz="4" w:space="0" w:color="auto"/>
              <w:right w:val="single" w:sz="4" w:space="0" w:color="auto"/>
            </w:tcBorders>
            <w:hideMark/>
          </w:tcPr>
          <w:p w14:paraId="72D01EE1"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12.75</w:t>
            </w:r>
          </w:p>
        </w:tc>
        <w:tc>
          <w:tcPr>
            <w:tcW w:w="1134" w:type="dxa"/>
            <w:tcBorders>
              <w:top w:val="single" w:sz="4" w:space="0" w:color="auto"/>
              <w:left w:val="single" w:sz="4" w:space="0" w:color="auto"/>
              <w:bottom w:val="single" w:sz="4" w:space="0" w:color="auto"/>
              <w:right w:val="single" w:sz="4" w:space="0" w:color="auto"/>
            </w:tcBorders>
            <w:hideMark/>
          </w:tcPr>
          <w:p w14:paraId="72D01EE2"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-0.75</w:t>
            </w:r>
          </w:p>
        </w:tc>
        <w:tc>
          <w:tcPr>
            <w:tcW w:w="1417" w:type="dxa"/>
            <w:tcBorders>
              <w:top w:val="single" w:sz="4" w:space="0" w:color="auto"/>
              <w:left w:val="single" w:sz="4" w:space="0" w:color="auto"/>
              <w:bottom w:val="single" w:sz="4" w:space="0" w:color="auto"/>
              <w:right w:val="single" w:sz="4" w:space="0" w:color="auto"/>
            </w:tcBorders>
            <w:hideMark/>
          </w:tcPr>
          <w:p w14:paraId="72D01EE3"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0.5625</w:t>
            </w:r>
          </w:p>
        </w:tc>
        <w:tc>
          <w:tcPr>
            <w:tcW w:w="2552" w:type="dxa"/>
            <w:tcBorders>
              <w:top w:val="single" w:sz="4" w:space="0" w:color="auto"/>
              <w:left w:val="single" w:sz="4" w:space="0" w:color="auto"/>
              <w:bottom w:val="single" w:sz="4" w:space="0" w:color="auto"/>
              <w:right w:val="single" w:sz="4" w:space="0" w:color="auto"/>
            </w:tcBorders>
            <w:hideMark/>
          </w:tcPr>
          <w:p w14:paraId="72D01EE4"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0.04</w:t>
            </w:r>
          </w:p>
        </w:tc>
      </w:tr>
      <w:tr w:rsidR="00745AEF" w:rsidRPr="0070281F" w14:paraId="72D01EEB"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E6"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17</w:t>
            </w:r>
          </w:p>
        </w:tc>
        <w:tc>
          <w:tcPr>
            <w:tcW w:w="2410" w:type="dxa"/>
            <w:tcBorders>
              <w:top w:val="single" w:sz="4" w:space="0" w:color="auto"/>
              <w:left w:val="single" w:sz="4" w:space="0" w:color="auto"/>
              <w:bottom w:val="single" w:sz="4" w:space="0" w:color="auto"/>
              <w:right w:val="single" w:sz="4" w:space="0" w:color="auto"/>
            </w:tcBorders>
            <w:hideMark/>
          </w:tcPr>
          <w:p w14:paraId="72D01EE7"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16.16</w:t>
            </w:r>
          </w:p>
        </w:tc>
        <w:tc>
          <w:tcPr>
            <w:tcW w:w="1134" w:type="dxa"/>
            <w:tcBorders>
              <w:top w:val="single" w:sz="4" w:space="0" w:color="auto"/>
              <w:left w:val="single" w:sz="4" w:space="0" w:color="auto"/>
              <w:bottom w:val="single" w:sz="4" w:space="0" w:color="auto"/>
              <w:right w:val="single" w:sz="4" w:space="0" w:color="auto"/>
            </w:tcBorders>
            <w:hideMark/>
          </w:tcPr>
          <w:p w14:paraId="72D01EE8"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0.84</w:t>
            </w:r>
          </w:p>
        </w:tc>
        <w:tc>
          <w:tcPr>
            <w:tcW w:w="1417" w:type="dxa"/>
            <w:tcBorders>
              <w:top w:val="single" w:sz="4" w:space="0" w:color="auto"/>
              <w:left w:val="single" w:sz="4" w:space="0" w:color="auto"/>
              <w:bottom w:val="single" w:sz="4" w:space="0" w:color="auto"/>
              <w:right w:val="single" w:sz="4" w:space="0" w:color="auto"/>
            </w:tcBorders>
            <w:hideMark/>
          </w:tcPr>
          <w:p w14:paraId="72D01EE9"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0.7056</w:t>
            </w:r>
          </w:p>
        </w:tc>
        <w:tc>
          <w:tcPr>
            <w:tcW w:w="2552" w:type="dxa"/>
            <w:tcBorders>
              <w:top w:val="single" w:sz="4" w:space="0" w:color="auto"/>
              <w:left w:val="single" w:sz="4" w:space="0" w:color="auto"/>
              <w:bottom w:val="single" w:sz="4" w:space="0" w:color="auto"/>
              <w:right w:val="single" w:sz="4" w:space="0" w:color="auto"/>
            </w:tcBorders>
            <w:hideMark/>
          </w:tcPr>
          <w:p w14:paraId="72D01EE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0.04</w:t>
            </w:r>
          </w:p>
        </w:tc>
      </w:tr>
      <w:tr w:rsidR="00745AEF" w:rsidRPr="0070281F" w14:paraId="72D01EF1"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EC"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11</w:t>
            </w:r>
          </w:p>
        </w:tc>
        <w:tc>
          <w:tcPr>
            <w:tcW w:w="2410" w:type="dxa"/>
            <w:tcBorders>
              <w:top w:val="single" w:sz="4" w:space="0" w:color="auto"/>
              <w:left w:val="single" w:sz="4" w:space="0" w:color="auto"/>
              <w:bottom w:val="single" w:sz="4" w:space="0" w:color="auto"/>
              <w:right w:val="single" w:sz="4" w:space="0" w:color="auto"/>
            </w:tcBorders>
            <w:hideMark/>
          </w:tcPr>
          <w:p w14:paraId="72D01EED"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10.77</w:t>
            </w:r>
          </w:p>
        </w:tc>
        <w:tc>
          <w:tcPr>
            <w:tcW w:w="1134" w:type="dxa"/>
            <w:tcBorders>
              <w:top w:val="single" w:sz="4" w:space="0" w:color="auto"/>
              <w:left w:val="single" w:sz="4" w:space="0" w:color="auto"/>
              <w:bottom w:val="single" w:sz="4" w:space="0" w:color="auto"/>
              <w:right w:val="single" w:sz="4" w:space="0" w:color="auto"/>
            </w:tcBorders>
            <w:hideMark/>
          </w:tcPr>
          <w:p w14:paraId="72D01EEE"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0.23</w:t>
            </w:r>
          </w:p>
        </w:tc>
        <w:tc>
          <w:tcPr>
            <w:tcW w:w="1417" w:type="dxa"/>
            <w:tcBorders>
              <w:top w:val="single" w:sz="4" w:space="0" w:color="auto"/>
              <w:left w:val="single" w:sz="4" w:space="0" w:color="auto"/>
              <w:bottom w:val="single" w:sz="4" w:space="0" w:color="auto"/>
              <w:right w:val="single" w:sz="4" w:space="0" w:color="auto"/>
            </w:tcBorders>
            <w:hideMark/>
          </w:tcPr>
          <w:p w14:paraId="72D01EEF"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0.0529</w:t>
            </w:r>
          </w:p>
        </w:tc>
        <w:tc>
          <w:tcPr>
            <w:tcW w:w="2552" w:type="dxa"/>
            <w:tcBorders>
              <w:top w:val="single" w:sz="4" w:space="0" w:color="auto"/>
              <w:left w:val="single" w:sz="4" w:space="0" w:color="auto"/>
              <w:bottom w:val="single" w:sz="4" w:space="0" w:color="auto"/>
              <w:right w:val="single" w:sz="4" w:space="0" w:color="auto"/>
            </w:tcBorders>
            <w:hideMark/>
          </w:tcPr>
          <w:p w14:paraId="72D01EF0"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0.01</w:t>
            </w:r>
          </w:p>
        </w:tc>
      </w:tr>
      <w:tr w:rsidR="00745AEF" w:rsidRPr="0070281F" w14:paraId="72D01EF7"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F2"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24</w:t>
            </w:r>
          </w:p>
        </w:tc>
        <w:tc>
          <w:tcPr>
            <w:tcW w:w="2410" w:type="dxa"/>
            <w:tcBorders>
              <w:top w:val="single" w:sz="4" w:space="0" w:color="auto"/>
              <w:left w:val="single" w:sz="4" w:space="0" w:color="auto"/>
              <w:bottom w:val="single" w:sz="4" w:space="0" w:color="auto"/>
              <w:right w:val="single" w:sz="4" w:space="0" w:color="auto"/>
            </w:tcBorders>
            <w:hideMark/>
          </w:tcPr>
          <w:p w14:paraId="72D01EF3"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24.22</w:t>
            </w:r>
          </w:p>
        </w:tc>
        <w:tc>
          <w:tcPr>
            <w:tcW w:w="1134" w:type="dxa"/>
            <w:tcBorders>
              <w:top w:val="single" w:sz="4" w:space="0" w:color="auto"/>
              <w:left w:val="single" w:sz="4" w:space="0" w:color="auto"/>
              <w:bottom w:val="single" w:sz="4" w:space="0" w:color="auto"/>
              <w:right w:val="single" w:sz="4" w:space="0" w:color="auto"/>
            </w:tcBorders>
            <w:hideMark/>
          </w:tcPr>
          <w:p w14:paraId="72D01EF4"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-0.22</w:t>
            </w:r>
          </w:p>
        </w:tc>
        <w:tc>
          <w:tcPr>
            <w:tcW w:w="1417" w:type="dxa"/>
            <w:tcBorders>
              <w:top w:val="single" w:sz="4" w:space="0" w:color="auto"/>
              <w:left w:val="single" w:sz="4" w:space="0" w:color="auto"/>
              <w:bottom w:val="single" w:sz="4" w:space="0" w:color="auto"/>
              <w:right w:val="single" w:sz="4" w:space="0" w:color="auto"/>
            </w:tcBorders>
            <w:hideMark/>
          </w:tcPr>
          <w:p w14:paraId="72D01EF5"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0.0484</w:t>
            </w:r>
          </w:p>
        </w:tc>
        <w:tc>
          <w:tcPr>
            <w:tcW w:w="2552" w:type="dxa"/>
            <w:tcBorders>
              <w:top w:val="single" w:sz="4" w:space="0" w:color="auto"/>
              <w:left w:val="single" w:sz="4" w:space="0" w:color="auto"/>
              <w:bottom w:val="single" w:sz="4" w:space="0" w:color="auto"/>
              <w:right w:val="single" w:sz="4" w:space="0" w:color="auto"/>
            </w:tcBorders>
            <w:hideMark/>
          </w:tcPr>
          <w:p w14:paraId="72D01EF6"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0.00</w:t>
            </w:r>
          </w:p>
        </w:tc>
      </w:tr>
      <w:tr w:rsidR="00745AEF" w:rsidRPr="0070281F" w14:paraId="72D01EFD"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F8"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54</w:t>
            </w:r>
          </w:p>
        </w:tc>
        <w:tc>
          <w:tcPr>
            <w:tcW w:w="2410" w:type="dxa"/>
            <w:tcBorders>
              <w:top w:val="single" w:sz="4" w:space="0" w:color="auto"/>
              <w:left w:val="single" w:sz="4" w:space="0" w:color="auto"/>
              <w:bottom w:val="single" w:sz="4" w:space="0" w:color="auto"/>
              <w:right w:val="single" w:sz="4" w:space="0" w:color="auto"/>
            </w:tcBorders>
            <w:hideMark/>
          </w:tcPr>
          <w:p w14:paraId="72D01EF9"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45.61</w:t>
            </w:r>
          </w:p>
        </w:tc>
        <w:tc>
          <w:tcPr>
            <w:tcW w:w="1134" w:type="dxa"/>
            <w:tcBorders>
              <w:top w:val="single" w:sz="4" w:space="0" w:color="auto"/>
              <w:left w:val="single" w:sz="4" w:space="0" w:color="auto"/>
              <w:bottom w:val="single" w:sz="4" w:space="0" w:color="auto"/>
              <w:right w:val="single" w:sz="4" w:space="0" w:color="auto"/>
            </w:tcBorders>
            <w:hideMark/>
          </w:tcPr>
          <w:p w14:paraId="72D01EF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8.39</w:t>
            </w:r>
          </w:p>
        </w:tc>
        <w:tc>
          <w:tcPr>
            <w:tcW w:w="1417" w:type="dxa"/>
            <w:tcBorders>
              <w:top w:val="single" w:sz="4" w:space="0" w:color="auto"/>
              <w:left w:val="single" w:sz="4" w:space="0" w:color="auto"/>
              <w:bottom w:val="single" w:sz="4" w:space="0" w:color="auto"/>
              <w:right w:val="single" w:sz="4" w:space="0" w:color="auto"/>
            </w:tcBorders>
            <w:hideMark/>
          </w:tcPr>
          <w:p w14:paraId="72D01EFB"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70.3921</w:t>
            </w:r>
          </w:p>
        </w:tc>
        <w:tc>
          <w:tcPr>
            <w:tcW w:w="2552" w:type="dxa"/>
            <w:tcBorders>
              <w:top w:val="single" w:sz="4" w:space="0" w:color="auto"/>
              <w:left w:val="single" w:sz="4" w:space="0" w:color="auto"/>
              <w:bottom w:val="single" w:sz="4" w:space="0" w:color="auto"/>
              <w:right w:val="single" w:sz="4" w:space="0" w:color="auto"/>
            </w:tcBorders>
            <w:hideMark/>
          </w:tcPr>
          <w:p w14:paraId="72D01EFC"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1.54</w:t>
            </w:r>
          </w:p>
        </w:tc>
      </w:tr>
      <w:tr w:rsidR="00745AEF" w:rsidRPr="0070281F" w14:paraId="72D01F03"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FE"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12</w:t>
            </w:r>
          </w:p>
        </w:tc>
        <w:tc>
          <w:tcPr>
            <w:tcW w:w="2410" w:type="dxa"/>
            <w:tcBorders>
              <w:top w:val="single" w:sz="4" w:space="0" w:color="auto"/>
              <w:left w:val="single" w:sz="4" w:space="0" w:color="auto"/>
              <w:bottom w:val="single" w:sz="4" w:space="0" w:color="auto"/>
              <w:right w:val="single" w:sz="4" w:space="0" w:color="auto"/>
            </w:tcBorders>
            <w:hideMark/>
          </w:tcPr>
          <w:p w14:paraId="72D01EFF"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16.77</w:t>
            </w:r>
          </w:p>
        </w:tc>
        <w:tc>
          <w:tcPr>
            <w:tcW w:w="1134" w:type="dxa"/>
            <w:tcBorders>
              <w:top w:val="single" w:sz="4" w:space="0" w:color="auto"/>
              <w:left w:val="single" w:sz="4" w:space="0" w:color="auto"/>
              <w:bottom w:val="single" w:sz="4" w:space="0" w:color="auto"/>
              <w:right w:val="single" w:sz="4" w:space="0" w:color="auto"/>
            </w:tcBorders>
            <w:hideMark/>
          </w:tcPr>
          <w:p w14:paraId="72D01F00"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-4.77</w:t>
            </w:r>
          </w:p>
        </w:tc>
        <w:tc>
          <w:tcPr>
            <w:tcW w:w="1417" w:type="dxa"/>
            <w:tcBorders>
              <w:top w:val="single" w:sz="4" w:space="0" w:color="auto"/>
              <w:left w:val="single" w:sz="4" w:space="0" w:color="auto"/>
              <w:bottom w:val="single" w:sz="4" w:space="0" w:color="auto"/>
              <w:right w:val="single" w:sz="4" w:space="0" w:color="auto"/>
            </w:tcBorders>
            <w:hideMark/>
          </w:tcPr>
          <w:p w14:paraId="72D01F01"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22.7529</w:t>
            </w:r>
          </w:p>
        </w:tc>
        <w:tc>
          <w:tcPr>
            <w:tcW w:w="2552" w:type="dxa"/>
            <w:tcBorders>
              <w:top w:val="single" w:sz="4" w:space="0" w:color="auto"/>
              <w:left w:val="single" w:sz="4" w:space="0" w:color="auto"/>
              <w:bottom w:val="single" w:sz="4" w:space="0" w:color="auto"/>
              <w:right w:val="single" w:sz="4" w:space="0" w:color="auto"/>
            </w:tcBorders>
            <w:hideMark/>
          </w:tcPr>
          <w:p w14:paraId="72D01F02"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1.36</w:t>
            </w:r>
          </w:p>
        </w:tc>
      </w:tr>
      <w:tr w:rsidR="00745AEF" w:rsidRPr="0070281F" w14:paraId="72D01F09"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F04"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17</w:t>
            </w:r>
          </w:p>
        </w:tc>
        <w:tc>
          <w:tcPr>
            <w:tcW w:w="2410" w:type="dxa"/>
            <w:tcBorders>
              <w:top w:val="single" w:sz="4" w:space="0" w:color="auto"/>
              <w:left w:val="single" w:sz="4" w:space="0" w:color="auto"/>
              <w:bottom w:val="single" w:sz="4" w:space="0" w:color="auto"/>
              <w:right w:val="single" w:sz="4" w:space="0" w:color="auto"/>
            </w:tcBorders>
            <w:hideMark/>
          </w:tcPr>
          <w:p w14:paraId="72D01F05"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21.24</w:t>
            </w:r>
          </w:p>
        </w:tc>
        <w:tc>
          <w:tcPr>
            <w:tcW w:w="1134" w:type="dxa"/>
            <w:tcBorders>
              <w:top w:val="single" w:sz="4" w:space="0" w:color="auto"/>
              <w:left w:val="single" w:sz="4" w:space="0" w:color="auto"/>
              <w:bottom w:val="single" w:sz="4" w:space="0" w:color="auto"/>
              <w:right w:val="single" w:sz="4" w:space="0" w:color="auto"/>
            </w:tcBorders>
            <w:hideMark/>
          </w:tcPr>
          <w:p w14:paraId="72D01F06"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-4.24</w:t>
            </w:r>
          </w:p>
        </w:tc>
        <w:tc>
          <w:tcPr>
            <w:tcW w:w="1417" w:type="dxa"/>
            <w:tcBorders>
              <w:top w:val="single" w:sz="4" w:space="0" w:color="auto"/>
              <w:left w:val="single" w:sz="4" w:space="0" w:color="auto"/>
              <w:bottom w:val="single" w:sz="4" w:space="0" w:color="auto"/>
              <w:right w:val="single" w:sz="4" w:space="0" w:color="auto"/>
            </w:tcBorders>
            <w:hideMark/>
          </w:tcPr>
          <w:p w14:paraId="72D01F07"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17.9776</w:t>
            </w:r>
          </w:p>
        </w:tc>
        <w:tc>
          <w:tcPr>
            <w:tcW w:w="2552" w:type="dxa"/>
            <w:tcBorders>
              <w:top w:val="single" w:sz="4" w:space="0" w:color="auto"/>
              <w:left w:val="single" w:sz="4" w:space="0" w:color="auto"/>
              <w:bottom w:val="single" w:sz="4" w:space="0" w:color="auto"/>
              <w:right w:val="single" w:sz="4" w:space="0" w:color="auto"/>
            </w:tcBorders>
            <w:hideMark/>
          </w:tcPr>
          <w:p w14:paraId="72D01F08"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0.85</w:t>
            </w:r>
          </w:p>
        </w:tc>
      </w:tr>
      <w:tr w:rsidR="00745AEF" w:rsidRPr="0070281F" w14:paraId="72D01F0F"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F0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10</w:t>
            </w:r>
          </w:p>
        </w:tc>
        <w:tc>
          <w:tcPr>
            <w:tcW w:w="2410" w:type="dxa"/>
            <w:tcBorders>
              <w:top w:val="single" w:sz="4" w:space="0" w:color="auto"/>
              <w:left w:val="single" w:sz="4" w:space="0" w:color="auto"/>
              <w:bottom w:val="single" w:sz="4" w:space="0" w:color="auto"/>
              <w:right w:val="single" w:sz="4" w:space="0" w:color="auto"/>
            </w:tcBorders>
            <w:hideMark/>
          </w:tcPr>
          <w:p w14:paraId="72D01F0B"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14.16</w:t>
            </w:r>
          </w:p>
        </w:tc>
        <w:tc>
          <w:tcPr>
            <w:tcW w:w="1134" w:type="dxa"/>
            <w:tcBorders>
              <w:top w:val="single" w:sz="4" w:space="0" w:color="auto"/>
              <w:left w:val="single" w:sz="4" w:space="0" w:color="auto"/>
              <w:bottom w:val="single" w:sz="4" w:space="0" w:color="auto"/>
              <w:right w:val="single" w:sz="4" w:space="0" w:color="auto"/>
            </w:tcBorders>
            <w:hideMark/>
          </w:tcPr>
          <w:p w14:paraId="72D01F0C"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-4.16</w:t>
            </w:r>
          </w:p>
        </w:tc>
        <w:tc>
          <w:tcPr>
            <w:tcW w:w="1417" w:type="dxa"/>
            <w:tcBorders>
              <w:top w:val="single" w:sz="4" w:space="0" w:color="auto"/>
              <w:left w:val="single" w:sz="4" w:space="0" w:color="auto"/>
              <w:bottom w:val="single" w:sz="4" w:space="0" w:color="auto"/>
              <w:right w:val="single" w:sz="4" w:space="0" w:color="auto"/>
            </w:tcBorders>
            <w:hideMark/>
          </w:tcPr>
          <w:p w14:paraId="72D01F0D"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17.3056</w:t>
            </w:r>
          </w:p>
        </w:tc>
        <w:tc>
          <w:tcPr>
            <w:tcW w:w="2552" w:type="dxa"/>
            <w:tcBorders>
              <w:top w:val="single" w:sz="4" w:space="0" w:color="auto"/>
              <w:left w:val="single" w:sz="4" w:space="0" w:color="auto"/>
              <w:bottom w:val="single" w:sz="4" w:space="0" w:color="auto"/>
              <w:right w:val="single" w:sz="4" w:space="0" w:color="auto"/>
            </w:tcBorders>
            <w:hideMark/>
          </w:tcPr>
          <w:p w14:paraId="72D01F0E"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1.22</w:t>
            </w:r>
          </w:p>
        </w:tc>
      </w:tr>
      <w:tr w:rsidR="00745AEF" w:rsidRPr="0070281F" w14:paraId="72D01F13" w14:textId="77777777" w:rsidTr="008B79D1">
        <w:tc>
          <w:tcPr>
            <w:tcW w:w="7371" w:type="dxa"/>
            <w:gridSpan w:val="4"/>
            <w:tcBorders>
              <w:top w:val="single" w:sz="4" w:space="0" w:color="auto"/>
              <w:left w:val="single" w:sz="4" w:space="0" w:color="auto"/>
              <w:bottom w:val="single" w:sz="4" w:space="0" w:color="auto"/>
              <w:right w:val="single" w:sz="4" w:space="0" w:color="auto"/>
            </w:tcBorders>
          </w:tcPr>
          <w:p w14:paraId="72D01F10" w14:textId="77777777" w:rsidR="004E3AB0" w:rsidRPr="0070281F" w:rsidRDefault="004E3AB0" w:rsidP="0050014C">
            <w:pPr>
              <w:pStyle w:val="NoSpacing"/>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72D01F11" w14:textId="77777777" w:rsidR="008B79D1" w:rsidRPr="0070281F" w:rsidRDefault="004E3AB0" w:rsidP="0050014C">
            <w:pPr>
              <w:pStyle w:val="NoSpacing"/>
              <w:rPr>
                <w:rFonts w:ascii="Arial" w:hAnsi="Arial" w:cs="Arial"/>
                <w:sz w:val="20"/>
                <w:szCs w:val="20"/>
                <w:u w:val="single"/>
              </w:rPr>
            </w:pPr>
            <w:r w:rsidRPr="0070281F">
              <w:rPr>
                <w:rFonts w:ascii="Arial" w:hAnsi="Arial" w:cs="Arial"/>
                <w:sz w:val="20"/>
                <w:szCs w:val="20"/>
              </w:rPr>
              <w:t>(X</w:t>
            </w:r>
            <w:r w:rsidRPr="0070281F">
              <w:rPr>
                <w:rFonts w:ascii="Arial" w:hAnsi="Arial" w:cs="Arial"/>
                <w:sz w:val="20"/>
                <w:szCs w:val="20"/>
                <w:vertAlign w:val="superscript"/>
              </w:rPr>
              <w:t>2</w:t>
            </w:r>
            <w:r w:rsidRPr="0070281F">
              <w:rPr>
                <w:rFonts w:ascii="Arial" w:hAnsi="Arial" w:cs="Arial"/>
                <w:sz w:val="20"/>
                <w:szCs w:val="20"/>
              </w:rPr>
              <w:t xml:space="preserve">) =∑ </w:t>
            </w:r>
            <w:r w:rsidRPr="0070281F">
              <w:rPr>
                <w:rFonts w:ascii="Arial" w:hAnsi="Arial" w:cs="Arial"/>
                <w:sz w:val="20"/>
                <w:szCs w:val="20"/>
                <w:u w:val="single"/>
              </w:rPr>
              <w:t>(o-e)</w:t>
            </w:r>
            <w:r w:rsidRPr="0070281F">
              <w:rPr>
                <w:rFonts w:ascii="Arial" w:hAnsi="Arial" w:cs="Arial"/>
                <w:sz w:val="20"/>
                <w:szCs w:val="20"/>
                <w:u w:val="single"/>
                <w:vertAlign w:val="superscript"/>
              </w:rPr>
              <w:t xml:space="preserve">2  </w:t>
            </w:r>
            <w:r w:rsidRPr="0070281F">
              <w:rPr>
                <w:rFonts w:ascii="Arial" w:hAnsi="Arial" w:cs="Arial"/>
                <w:sz w:val="20"/>
                <w:szCs w:val="20"/>
              </w:rPr>
              <w:t>= 13.02</w:t>
            </w:r>
          </w:p>
          <w:p w14:paraId="72D01F12" w14:textId="77777777" w:rsidR="004E3AB0" w:rsidRPr="0070281F" w:rsidRDefault="004E3AB0" w:rsidP="0050014C">
            <w:pPr>
              <w:pStyle w:val="NoSpacing"/>
              <w:rPr>
                <w:rFonts w:ascii="Arial" w:hAnsi="Arial" w:cs="Arial"/>
                <w:sz w:val="20"/>
                <w:szCs w:val="20"/>
                <w:u w:val="single"/>
              </w:rPr>
            </w:pPr>
            <w:r w:rsidRPr="0070281F">
              <w:rPr>
                <w:rFonts w:ascii="Arial" w:hAnsi="Arial" w:cs="Arial"/>
                <w:sz w:val="20"/>
                <w:szCs w:val="20"/>
              </w:rPr>
              <w:t xml:space="preserve">         </w:t>
            </w:r>
            <w:r w:rsidR="008B79D1" w:rsidRPr="0070281F">
              <w:rPr>
                <w:rFonts w:ascii="Arial" w:hAnsi="Arial" w:cs="Arial"/>
                <w:sz w:val="20"/>
                <w:szCs w:val="20"/>
              </w:rPr>
              <w:t xml:space="preserve">         E</w:t>
            </w:r>
            <w:r w:rsidRPr="0070281F">
              <w:rPr>
                <w:rFonts w:ascii="Arial" w:hAnsi="Arial" w:cs="Arial"/>
                <w:sz w:val="20"/>
                <w:szCs w:val="20"/>
              </w:rPr>
              <w:t xml:space="preserve">                    </w:t>
            </w:r>
            <w:r w:rsidR="008B79D1" w:rsidRPr="0070281F">
              <w:rPr>
                <w:rFonts w:ascii="Arial" w:hAnsi="Arial" w:cs="Arial"/>
                <w:sz w:val="20"/>
                <w:szCs w:val="20"/>
              </w:rPr>
              <w:t xml:space="preserve">         </w:t>
            </w:r>
          </w:p>
        </w:tc>
      </w:tr>
    </w:tbl>
    <w:p w14:paraId="72D01F14" w14:textId="27A70B24" w:rsidR="004E3AB0" w:rsidRPr="0070281F" w:rsidRDefault="00F21437" w:rsidP="004E3AB0">
      <w:pPr>
        <w:spacing w:line="360" w:lineRule="auto"/>
        <w:jc w:val="both"/>
        <w:rPr>
          <w:rFonts w:ascii="Arial" w:hAnsi="Arial" w:cs="Arial"/>
          <w:sz w:val="20"/>
          <w:szCs w:val="20"/>
        </w:rPr>
      </w:pPr>
      <w:r>
        <w:rPr>
          <w:rFonts w:ascii="Arial" w:hAnsi="Arial" w:cs="Arial"/>
          <w:b/>
          <w:sz w:val="20"/>
          <w:szCs w:val="20"/>
        </w:rPr>
        <w:t>Source: Primary Data</w:t>
      </w:r>
      <w:r w:rsidR="008B79D1" w:rsidRPr="0070281F">
        <w:rPr>
          <w:rFonts w:ascii="Arial" w:hAnsi="Arial" w:cs="Arial"/>
          <w:sz w:val="20"/>
          <w:szCs w:val="20"/>
        </w:rPr>
        <w:t>, 2025</w:t>
      </w:r>
      <w:r w:rsidR="004E3AB0" w:rsidRPr="0070281F">
        <w:rPr>
          <w:rFonts w:ascii="Arial" w:hAnsi="Arial" w:cs="Arial"/>
          <w:sz w:val="20"/>
          <w:szCs w:val="20"/>
        </w:rPr>
        <w:t>.</w:t>
      </w:r>
    </w:p>
    <w:p w14:paraId="35BD65A0" w14:textId="77777777" w:rsidR="00DB4742" w:rsidRDefault="00DB4742" w:rsidP="004E3AB0">
      <w:pPr>
        <w:spacing w:line="360" w:lineRule="auto"/>
        <w:jc w:val="both"/>
        <w:rPr>
          <w:rFonts w:ascii="Arial" w:hAnsi="Arial" w:cs="Arial"/>
          <w:b/>
          <w:sz w:val="20"/>
          <w:szCs w:val="20"/>
        </w:rPr>
      </w:pPr>
    </w:p>
    <w:p w14:paraId="4E8BB084" w14:textId="77777777" w:rsidR="00DB4742" w:rsidRDefault="00DB4742" w:rsidP="004E3AB0">
      <w:pPr>
        <w:spacing w:line="360" w:lineRule="auto"/>
        <w:jc w:val="both"/>
        <w:rPr>
          <w:rFonts w:ascii="Arial" w:hAnsi="Arial" w:cs="Arial"/>
          <w:b/>
          <w:sz w:val="20"/>
          <w:szCs w:val="20"/>
        </w:rPr>
      </w:pPr>
    </w:p>
    <w:p w14:paraId="72D01F15" w14:textId="3DF080D8" w:rsidR="004E3AB0" w:rsidRPr="0070281F" w:rsidRDefault="004E3AB0" w:rsidP="004E3AB0">
      <w:pPr>
        <w:spacing w:line="360" w:lineRule="auto"/>
        <w:jc w:val="both"/>
        <w:rPr>
          <w:rFonts w:ascii="Arial" w:hAnsi="Arial" w:cs="Arial"/>
          <w:b/>
          <w:sz w:val="20"/>
          <w:szCs w:val="20"/>
        </w:rPr>
      </w:pPr>
      <w:r w:rsidRPr="0070281F">
        <w:rPr>
          <w:rFonts w:ascii="Arial" w:hAnsi="Arial" w:cs="Arial"/>
          <w:b/>
          <w:sz w:val="20"/>
          <w:szCs w:val="20"/>
        </w:rPr>
        <w:lastRenderedPageBreak/>
        <w:t>Decision</w:t>
      </w:r>
    </w:p>
    <w:p w14:paraId="060D94A9" w14:textId="4BA06458" w:rsidR="001C6BCB" w:rsidRPr="001C6BCB" w:rsidRDefault="001C6BCB" w:rsidP="001C6BCB">
      <w:pPr>
        <w:spacing w:line="360" w:lineRule="auto"/>
        <w:jc w:val="both"/>
        <w:rPr>
          <w:rFonts w:ascii="Arial" w:hAnsi="Arial" w:cs="Arial"/>
          <w:sz w:val="20"/>
          <w:szCs w:val="20"/>
        </w:rPr>
      </w:pPr>
      <w:r w:rsidRPr="001C6BCB">
        <w:rPr>
          <w:rFonts w:ascii="Arial" w:hAnsi="Arial" w:cs="Arial"/>
          <w:sz w:val="20"/>
          <w:szCs w:val="20"/>
        </w:rPr>
        <w:t xml:space="preserve">The chi-square test result (χ² = 13.02, </w:t>
      </w:r>
      <w:proofErr w:type="spellStart"/>
      <w:r w:rsidRPr="001C6BCB">
        <w:rPr>
          <w:rFonts w:ascii="Arial" w:hAnsi="Arial" w:cs="Arial"/>
          <w:sz w:val="20"/>
          <w:szCs w:val="20"/>
        </w:rPr>
        <w:t>df</w:t>
      </w:r>
      <w:proofErr w:type="spellEnd"/>
      <w:r w:rsidRPr="001C6BCB">
        <w:rPr>
          <w:rFonts w:ascii="Arial" w:hAnsi="Arial" w:cs="Arial"/>
          <w:sz w:val="20"/>
          <w:szCs w:val="20"/>
        </w:rPr>
        <w:t xml:space="preserve"> = 8, p &gt; 0.05) was lower than the critical value (15.51). This indicates that the observed association between specific dimensions of gender inequality and perceptions of SDG realization was not statistically significant at the 5% level. Consequently, Hypothesis Two was rejected.</w:t>
      </w:r>
    </w:p>
    <w:p w14:paraId="51C0E84F" w14:textId="55A460C3" w:rsidR="001C6BCB" w:rsidRPr="001C6BCB" w:rsidRDefault="001C6BCB" w:rsidP="001C6BCB">
      <w:pPr>
        <w:spacing w:line="360" w:lineRule="auto"/>
        <w:jc w:val="both"/>
        <w:rPr>
          <w:rFonts w:ascii="Arial" w:hAnsi="Arial" w:cs="Arial"/>
          <w:sz w:val="20"/>
          <w:szCs w:val="20"/>
        </w:rPr>
      </w:pPr>
      <w:r w:rsidRPr="001C6BCB">
        <w:rPr>
          <w:rFonts w:ascii="Arial" w:hAnsi="Arial" w:cs="Arial"/>
          <w:sz w:val="20"/>
          <w:szCs w:val="20"/>
        </w:rPr>
        <w:t xml:space="preserve">Nevertheless, descriptive results from the 314 valid responses provide useful insights. A majority of respondents identified cultural practices, political exclusion, and economic disparities as the most critical barriers to gender equality in Nigeria. For instance, 71% strongly agreed that discriminatory social norms hinder women’s progress, while over half highlighted limited political representation as a persistent obstacle. These perception-based findings align with earlier </w:t>
      </w:r>
      <w:r w:rsidR="00C801D6" w:rsidRPr="001C6BCB">
        <w:rPr>
          <w:rFonts w:ascii="Arial" w:hAnsi="Arial" w:cs="Arial"/>
          <w:sz w:val="20"/>
          <w:szCs w:val="20"/>
        </w:rPr>
        <w:t>studies</w:t>
      </w:r>
      <w:r w:rsidR="00816DD9">
        <w:rPr>
          <w:rFonts w:ascii="Arial" w:hAnsi="Arial" w:cs="Arial"/>
          <w:sz w:val="20"/>
          <w:szCs w:val="20"/>
        </w:rPr>
        <w:t xml:space="preserve"> from UN women, (2022)</w:t>
      </w:r>
      <w:r w:rsidR="00C801D6" w:rsidRPr="001C6BCB">
        <w:rPr>
          <w:rFonts w:ascii="Arial" w:hAnsi="Arial" w:cs="Arial"/>
          <w:sz w:val="20"/>
          <w:szCs w:val="20"/>
        </w:rPr>
        <w:t xml:space="preserve"> and</w:t>
      </w:r>
      <w:r w:rsidRPr="001C6BCB">
        <w:rPr>
          <w:rFonts w:ascii="Arial" w:hAnsi="Arial" w:cs="Arial"/>
          <w:sz w:val="20"/>
          <w:szCs w:val="20"/>
        </w:rPr>
        <w:t xml:space="preserve"> secondary data showing that women’s representation in Nigeria’s National Assembly remains below 10%, far short of the 35% target set by the National Gender Policy</w:t>
      </w:r>
      <w:r w:rsidR="00740D3D">
        <w:rPr>
          <w:rFonts w:ascii="Arial" w:hAnsi="Arial" w:cs="Arial"/>
          <w:sz w:val="20"/>
          <w:szCs w:val="20"/>
        </w:rPr>
        <w:t xml:space="preserve"> (</w:t>
      </w:r>
      <w:proofErr w:type="spellStart"/>
      <w:r w:rsidR="00740D3D">
        <w:rPr>
          <w:rFonts w:ascii="Arial" w:hAnsi="Arial" w:cs="Arial"/>
          <w:sz w:val="20"/>
          <w:szCs w:val="20"/>
        </w:rPr>
        <w:t>Fadipe</w:t>
      </w:r>
      <w:proofErr w:type="spellEnd"/>
      <w:r w:rsidR="00740D3D">
        <w:rPr>
          <w:rFonts w:ascii="Arial" w:hAnsi="Arial" w:cs="Arial"/>
          <w:sz w:val="20"/>
          <w:szCs w:val="20"/>
        </w:rPr>
        <w:t>, 202</w:t>
      </w:r>
      <w:r w:rsidR="003C4EAD">
        <w:rPr>
          <w:rFonts w:ascii="Arial" w:hAnsi="Arial" w:cs="Arial"/>
          <w:sz w:val="20"/>
          <w:szCs w:val="20"/>
        </w:rPr>
        <w:t>4</w:t>
      </w:r>
      <w:r w:rsidR="00740D3D">
        <w:rPr>
          <w:rFonts w:ascii="Arial" w:hAnsi="Arial" w:cs="Arial"/>
          <w:sz w:val="20"/>
          <w:szCs w:val="20"/>
        </w:rPr>
        <w:t>)</w:t>
      </w:r>
      <w:r w:rsidRPr="001C6BCB">
        <w:rPr>
          <w:rFonts w:ascii="Arial" w:hAnsi="Arial" w:cs="Arial"/>
          <w:sz w:val="20"/>
          <w:szCs w:val="20"/>
        </w:rPr>
        <w:t>.</w:t>
      </w:r>
    </w:p>
    <w:p w14:paraId="57A19967" w14:textId="05ADEA2E" w:rsidR="005A6150" w:rsidRPr="0070281F" w:rsidRDefault="001C6BCB" w:rsidP="001C6BCB">
      <w:pPr>
        <w:spacing w:line="360" w:lineRule="auto"/>
        <w:jc w:val="both"/>
        <w:rPr>
          <w:rFonts w:ascii="Arial" w:hAnsi="Arial" w:cs="Arial"/>
          <w:sz w:val="20"/>
          <w:szCs w:val="20"/>
        </w:rPr>
      </w:pPr>
      <w:r w:rsidRPr="001C6BCB">
        <w:rPr>
          <w:rFonts w:ascii="Arial" w:hAnsi="Arial" w:cs="Arial"/>
          <w:sz w:val="20"/>
          <w:szCs w:val="20"/>
        </w:rPr>
        <w:t>Thus, although the chi-square test did not confirm a statistically significant association, the descriptive evidence underscores public concern that entrenched cultural, political, and economic inequalities continue to hinder Nigeria’s progress toward the SDGs.</w:t>
      </w:r>
    </w:p>
    <w:p w14:paraId="72D01F17" w14:textId="77777777" w:rsidR="004E3AB0" w:rsidRPr="0070281F" w:rsidRDefault="004E3AB0" w:rsidP="004E3AB0">
      <w:pPr>
        <w:pStyle w:val="NoSpacing"/>
        <w:rPr>
          <w:rFonts w:ascii="Arial" w:hAnsi="Arial" w:cs="Arial"/>
          <w:b/>
          <w:sz w:val="20"/>
          <w:szCs w:val="20"/>
        </w:rPr>
      </w:pPr>
    </w:p>
    <w:p w14:paraId="72D01F18" w14:textId="5C0A88AC" w:rsidR="00842920" w:rsidRPr="0070281F" w:rsidRDefault="00842920" w:rsidP="00A6326C">
      <w:pPr>
        <w:pStyle w:val="NoSpacing"/>
        <w:numPr>
          <w:ilvl w:val="0"/>
          <w:numId w:val="5"/>
        </w:numPr>
        <w:rPr>
          <w:rFonts w:ascii="Arial" w:hAnsi="Arial" w:cs="Arial"/>
          <w:b/>
          <w:sz w:val="20"/>
          <w:szCs w:val="20"/>
        </w:rPr>
      </w:pPr>
      <w:r w:rsidRPr="0070281F">
        <w:rPr>
          <w:rFonts w:ascii="Arial" w:hAnsi="Arial" w:cs="Arial"/>
          <w:b/>
          <w:sz w:val="20"/>
          <w:szCs w:val="20"/>
        </w:rPr>
        <w:t>CONCLUSION AND RECOMMENDATIONS</w:t>
      </w:r>
    </w:p>
    <w:p w14:paraId="72D01F19" w14:textId="77777777" w:rsidR="00C54D83" w:rsidRPr="0070281F" w:rsidRDefault="00C54D83" w:rsidP="001234B8">
      <w:pPr>
        <w:pStyle w:val="NoSpacing"/>
        <w:rPr>
          <w:rFonts w:ascii="Arial" w:hAnsi="Arial" w:cs="Arial"/>
          <w:b/>
          <w:sz w:val="20"/>
          <w:szCs w:val="20"/>
        </w:rPr>
      </w:pPr>
    </w:p>
    <w:p w14:paraId="704AC2CF" w14:textId="42C27CF3" w:rsidR="00242E87" w:rsidRPr="0070281F" w:rsidRDefault="009B47CB" w:rsidP="006E01DD">
      <w:pPr>
        <w:pStyle w:val="NoSpacing"/>
        <w:spacing w:after="240" w:line="360" w:lineRule="auto"/>
        <w:jc w:val="both"/>
        <w:rPr>
          <w:rFonts w:ascii="Arial" w:hAnsi="Arial" w:cs="Arial"/>
          <w:sz w:val="20"/>
          <w:szCs w:val="20"/>
        </w:rPr>
      </w:pPr>
      <w:r w:rsidRPr="0070281F">
        <w:rPr>
          <w:rFonts w:ascii="Arial" w:hAnsi="Arial" w:cs="Arial"/>
          <w:sz w:val="20"/>
          <w:szCs w:val="20"/>
        </w:rPr>
        <w:t xml:space="preserve">This study has demonstrated that gender equality is indeed a </w:t>
      </w:r>
      <w:r w:rsidR="00F47AAE">
        <w:rPr>
          <w:rFonts w:ascii="Arial" w:hAnsi="Arial" w:cs="Arial"/>
          <w:sz w:val="20"/>
          <w:szCs w:val="20"/>
        </w:rPr>
        <w:t>central</w:t>
      </w:r>
      <w:r w:rsidRPr="0070281F">
        <w:rPr>
          <w:rFonts w:ascii="Arial" w:hAnsi="Arial" w:cs="Arial"/>
          <w:sz w:val="20"/>
          <w:szCs w:val="20"/>
        </w:rPr>
        <w:t xml:space="preserve"> goal to the realization of Sustainable Development Goals (SDGs) in Nigeria. Using Anambra State as a case study, the findings provide clear evidence that without the active inclusion of women in education, politics, the economy, and health systems, Nigeria’s aspirations for sustainable development will remain unattainable. The analysis established that respondents overwhelmingly perceive gender equality as central to reducing poverty, promoting justice, enhancing governance, and ensuring environmental sustainability. Women’s empowerment was strongly linked to improvements in household welfare, social stability, and democratic inclusivity. </w:t>
      </w:r>
    </w:p>
    <w:p w14:paraId="30D4A2DF" w14:textId="6EE74CCA" w:rsidR="00931A28" w:rsidRPr="0070281F" w:rsidRDefault="006E01DD" w:rsidP="006E01DD">
      <w:pPr>
        <w:pStyle w:val="NoSpacing"/>
        <w:spacing w:after="240" w:line="360" w:lineRule="auto"/>
        <w:jc w:val="both"/>
        <w:rPr>
          <w:rFonts w:ascii="Arial" w:hAnsi="Arial" w:cs="Arial"/>
          <w:sz w:val="20"/>
          <w:szCs w:val="20"/>
        </w:rPr>
      </w:pPr>
      <w:r w:rsidRPr="0070281F">
        <w:rPr>
          <w:rFonts w:ascii="Arial" w:hAnsi="Arial" w:cs="Arial"/>
          <w:sz w:val="20"/>
          <w:szCs w:val="20"/>
        </w:rPr>
        <w:t>Yet, despite these positive perceptions, the persistence of patriarchal norms, structural discrimination, and political exclusion continues to hinder women’s full participation. As shown in this study, systemic inequalities are not only a violation of human rights but also a developmental constraint. By marginalizing half of its population, Nigeria undermines its capacity to achieve the SDGs by 2030.</w:t>
      </w:r>
      <w:r w:rsidR="00242E87" w:rsidRPr="0070281F">
        <w:rPr>
          <w:rFonts w:ascii="Arial" w:hAnsi="Arial" w:cs="Arial"/>
          <w:sz w:val="20"/>
          <w:szCs w:val="20"/>
        </w:rPr>
        <w:t xml:space="preserve"> </w:t>
      </w:r>
      <w:r w:rsidRPr="0070281F">
        <w:rPr>
          <w:rFonts w:ascii="Arial" w:hAnsi="Arial" w:cs="Arial"/>
          <w:sz w:val="20"/>
          <w:szCs w:val="20"/>
        </w:rPr>
        <w:t>In essence, this research concludes that gender equality is not peripheral but central to Nigeria’s sustainable development journey. The path toward equity and justice is also the path toward accelerated progress in education, economic growth, governance, and human well-being.</w:t>
      </w:r>
    </w:p>
    <w:p w14:paraId="72D01F1D" w14:textId="5B7B9E2F" w:rsidR="005A1842" w:rsidRPr="0070281F" w:rsidRDefault="00587B78" w:rsidP="00A829EA">
      <w:pPr>
        <w:pStyle w:val="NoSpacing"/>
        <w:spacing w:after="240" w:line="360" w:lineRule="auto"/>
        <w:jc w:val="both"/>
        <w:rPr>
          <w:rFonts w:ascii="Arial" w:hAnsi="Arial" w:cs="Arial"/>
          <w:sz w:val="20"/>
          <w:szCs w:val="20"/>
        </w:rPr>
      </w:pPr>
      <w:r w:rsidRPr="0070281F">
        <w:rPr>
          <w:rFonts w:ascii="Arial" w:hAnsi="Arial" w:cs="Arial"/>
          <w:sz w:val="20"/>
          <w:szCs w:val="20"/>
        </w:rPr>
        <w:t>Based on the findings, the following recommendations are advanced to strengthen gender equality as a p</w:t>
      </w:r>
      <w:r w:rsidR="001E373E">
        <w:rPr>
          <w:rFonts w:ascii="Arial" w:hAnsi="Arial" w:cs="Arial"/>
          <w:sz w:val="20"/>
          <w:szCs w:val="20"/>
        </w:rPr>
        <w:t>ivotal</w:t>
      </w:r>
      <w:r w:rsidRPr="0070281F">
        <w:rPr>
          <w:rFonts w:ascii="Arial" w:hAnsi="Arial" w:cs="Arial"/>
          <w:sz w:val="20"/>
          <w:szCs w:val="20"/>
        </w:rPr>
        <w:t xml:space="preserve"> goal for Nigeria’s development</w:t>
      </w:r>
      <w:r w:rsidR="00861402" w:rsidRPr="0070281F">
        <w:rPr>
          <w:rFonts w:ascii="Arial" w:hAnsi="Arial" w:cs="Arial"/>
          <w:sz w:val="20"/>
          <w:szCs w:val="20"/>
        </w:rPr>
        <w:t>:</w:t>
      </w:r>
    </w:p>
    <w:p w14:paraId="22DBE4A7" w14:textId="77777777" w:rsidR="004A7A62" w:rsidRPr="004A7A62" w:rsidRDefault="00861402" w:rsidP="00B7564B">
      <w:pPr>
        <w:pStyle w:val="NoSpacing"/>
        <w:numPr>
          <w:ilvl w:val="0"/>
          <w:numId w:val="4"/>
        </w:numPr>
        <w:spacing w:line="276" w:lineRule="auto"/>
        <w:jc w:val="both"/>
        <w:rPr>
          <w:rFonts w:ascii="Arial" w:hAnsi="Arial" w:cs="Arial"/>
          <w:sz w:val="20"/>
          <w:szCs w:val="20"/>
          <w:lang w:eastAsia="en-GB"/>
        </w:rPr>
      </w:pPr>
      <w:r w:rsidRPr="00D95073">
        <w:rPr>
          <w:rFonts w:ascii="Arial" w:hAnsi="Arial" w:cs="Arial"/>
          <w:i/>
          <w:sz w:val="20"/>
          <w:szCs w:val="20"/>
          <w:lang w:eastAsia="en-GB"/>
        </w:rPr>
        <w:t>Strengthening Legal and Policy Frameworks</w:t>
      </w:r>
      <w:r w:rsidR="00AD4761" w:rsidRPr="00D95073">
        <w:rPr>
          <w:rFonts w:ascii="Arial" w:hAnsi="Arial" w:cs="Arial"/>
          <w:i/>
          <w:sz w:val="20"/>
          <w:szCs w:val="20"/>
          <w:lang w:eastAsia="en-GB"/>
        </w:rPr>
        <w:t xml:space="preserve"> and Combating Gender-Based Violence</w:t>
      </w:r>
      <w:r w:rsidRPr="00E30BDE">
        <w:rPr>
          <w:rFonts w:ascii="Arial" w:hAnsi="Arial" w:cs="Arial"/>
          <w:i/>
          <w:sz w:val="20"/>
          <w:szCs w:val="20"/>
          <w:lang w:eastAsia="en-GB"/>
        </w:rPr>
        <w:t>:</w:t>
      </w:r>
      <w:r w:rsidRPr="00E30BDE">
        <w:rPr>
          <w:rFonts w:ascii="Arial" w:hAnsi="Arial" w:cs="Arial"/>
          <w:sz w:val="20"/>
          <w:szCs w:val="20"/>
          <w:lang w:eastAsia="en-GB"/>
        </w:rPr>
        <w:t xml:space="preserve"> </w:t>
      </w:r>
      <w:r w:rsidR="00E30BDE" w:rsidRPr="00E30BDE">
        <w:rPr>
          <w:rFonts w:ascii="Arial" w:hAnsi="Arial" w:cs="Arial"/>
          <w:sz w:val="20"/>
          <w:szCs w:val="20"/>
          <w:lang w:val="en-US" w:eastAsia="en-GB"/>
        </w:rPr>
        <w:t xml:space="preserve">Since over 70% of respondents highlighted weak enforcement of gender-sensitive laws as a major </w:t>
      </w:r>
      <w:r w:rsidR="00E30BDE" w:rsidRPr="00E30BDE">
        <w:rPr>
          <w:rFonts w:ascii="Arial" w:hAnsi="Arial" w:cs="Arial"/>
          <w:sz w:val="20"/>
          <w:szCs w:val="20"/>
          <w:lang w:val="en-US" w:eastAsia="en-GB"/>
        </w:rPr>
        <w:lastRenderedPageBreak/>
        <w:t>barrier, Nigeria must go beyond symbolic commitments to global conventions. The National Gender Policy (2006) should be fully operationalized with measurable benchmarks to address issues raised by respondents, particularly on violence against women and lack of policy accountability.</w:t>
      </w:r>
    </w:p>
    <w:p w14:paraId="72D01F1F" w14:textId="1024619B" w:rsidR="00861402" w:rsidRPr="00E30BDE" w:rsidRDefault="00861402" w:rsidP="00B7564B">
      <w:pPr>
        <w:pStyle w:val="NoSpacing"/>
        <w:numPr>
          <w:ilvl w:val="0"/>
          <w:numId w:val="4"/>
        </w:numPr>
        <w:spacing w:line="276" w:lineRule="auto"/>
        <w:jc w:val="both"/>
        <w:rPr>
          <w:rFonts w:ascii="Arial" w:hAnsi="Arial" w:cs="Arial"/>
          <w:sz w:val="20"/>
          <w:szCs w:val="20"/>
          <w:lang w:eastAsia="en-GB"/>
        </w:rPr>
      </w:pPr>
      <w:r w:rsidRPr="00E30BDE">
        <w:rPr>
          <w:rFonts w:ascii="Arial" w:hAnsi="Arial" w:cs="Arial"/>
          <w:i/>
          <w:sz w:val="20"/>
          <w:szCs w:val="20"/>
          <w:lang w:eastAsia="en-GB"/>
        </w:rPr>
        <w:t>Promoting Education and Literacy:</w:t>
      </w:r>
      <w:r w:rsidRPr="00E30BDE">
        <w:rPr>
          <w:rFonts w:ascii="Arial" w:hAnsi="Arial" w:cs="Arial"/>
          <w:sz w:val="20"/>
          <w:szCs w:val="20"/>
          <w:lang w:eastAsia="en-GB"/>
        </w:rPr>
        <w:t xml:space="preserve"> </w:t>
      </w:r>
      <w:r w:rsidR="004A7A62" w:rsidRPr="004A7A62">
        <w:rPr>
          <w:rFonts w:ascii="Arial" w:hAnsi="Arial" w:cs="Arial"/>
          <w:sz w:val="20"/>
          <w:szCs w:val="20"/>
          <w:lang w:eastAsia="en-GB"/>
        </w:rPr>
        <w:t>Findings from this study showed that cultural stereotypes continue to discourage girls’ education, especially in rural communities. To respond to this, scholarships, rural infrastructure, and sensitization campaigns should be targeted at dismantling these barriers, as strongly emphasized by respondents</w:t>
      </w:r>
      <w:r w:rsidRPr="00E30BDE">
        <w:rPr>
          <w:rFonts w:ascii="Arial" w:hAnsi="Arial" w:cs="Arial"/>
          <w:spacing w:val="2"/>
          <w:sz w:val="20"/>
          <w:szCs w:val="20"/>
          <w:lang w:eastAsia="en-GB"/>
        </w:rPr>
        <w:t>. </w:t>
      </w:r>
    </w:p>
    <w:p w14:paraId="72D01F21" w14:textId="76EB9063" w:rsidR="00E34CBD" w:rsidRPr="0070281F" w:rsidRDefault="00861402" w:rsidP="002C0585">
      <w:pPr>
        <w:pStyle w:val="NoSpacing"/>
        <w:numPr>
          <w:ilvl w:val="0"/>
          <w:numId w:val="4"/>
        </w:numPr>
        <w:spacing w:line="276" w:lineRule="auto"/>
        <w:jc w:val="both"/>
        <w:rPr>
          <w:rFonts w:ascii="Arial" w:hAnsi="Arial" w:cs="Arial"/>
          <w:sz w:val="20"/>
          <w:szCs w:val="20"/>
          <w:lang w:eastAsia="en-GB"/>
        </w:rPr>
      </w:pPr>
      <w:r w:rsidRPr="0070281F">
        <w:rPr>
          <w:rFonts w:ascii="Arial" w:hAnsi="Arial" w:cs="Arial"/>
          <w:i/>
          <w:sz w:val="20"/>
          <w:szCs w:val="20"/>
          <w:lang w:eastAsia="en-GB"/>
        </w:rPr>
        <w:t>Addressing Economic Disparities</w:t>
      </w:r>
      <w:r w:rsidRPr="0070281F">
        <w:rPr>
          <w:rFonts w:ascii="Arial" w:hAnsi="Arial" w:cs="Arial"/>
          <w:sz w:val="20"/>
          <w:szCs w:val="20"/>
          <w:lang w:eastAsia="en-GB"/>
        </w:rPr>
        <w:t xml:space="preserve">: </w:t>
      </w:r>
      <w:r w:rsidR="00230448" w:rsidRPr="00230448">
        <w:rPr>
          <w:rFonts w:ascii="Arial" w:hAnsi="Arial" w:cs="Arial"/>
          <w:sz w:val="20"/>
          <w:szCs w:val="20"/>
          <w:lang w:eastAsia="en-GB"/>
        </w:rPr>
        <w:t>Survey results revealed that limited access to land and employment opportunities are perceived as the most persistent obstacles to women’s empowerment. To bridge this gap, financial institutions and government agencies should adopt gender-responsive policies that expand women’s access to credit, property rights, and entrepreneurship</w:t>
      </w:r>
      <w:r w:rsidR="00B127C9" w:rsidRPr="0070281F">
        <w:rPr>
          <w:rFonts w:ascii="Arial" w:hAnsi="Arial" w:cs="Arial"/>
          <w:sz w:val="20"/>
          <w:szCs w:val="20"/>
          <w:lang w:eastAsia="en-GB"/>
        </w:rPr>
        <w:t>.</w:t>
      </w:r>
      <w:r w:rsidRPr="0070281F">
        <w:rPr>
          <w:rFonts w:ascii="Arial" w:hAnsi="Arial" w:cs="Arial"/>
          <w:spacing w:val="2"/>
          <w:sz w:val="20"/>
          <w:szCs w:val="20"/>
          <w:lang w:eastAsia="en-GB"/>
        </w:rPr>
        <w:t> </w:t>
      </w:r>
    </w:p>
    <w:p w14:paraId="762F66E7" w14:textId="68B229D0" w:rsidR="00687693" w:rsidRPr="0070281F" w:rsidRDefault="00861402" w:rsidP="005A1842">
      <w:pPr>
        <w:pStyle w:val="NoSpacing"/>
        <w:numPr>
          <w:ilvl w:val="0"/>
          <w:numId w:val="4"/>
        </w:numPr>
        <w:spacing w:line="276" w:lineRule="auto"/>
        <w:jc w:val="both"/>
        <w:rPr>
          <w:rFonts w:ascii="Arial" w:hAnsi="Arial" w:cs="Arial"/>
          <w:i/>
          <w:sz w:val="20"/>
          <w:szCs w:val="20"/>
          <w:lang w:eastAsia="en-GB"/>
        </w:rPr>
      </w:pPr>
      <w:r w:rsidRPr="0070281F">
        <w:rPr>
          <w:rFonts w:ascii="Arial" w:hAnsi="Arial" w:cs="Arial"/>
          <w:i/>
          <w:sz w:val="20"/>
          <w:szCs w:val="20"/>
          <w:lang w:eastAsia="en-GB"/>
        </w:rPr>
        <w:t>Transforming Social Norms and Attitudes</w:t>
      </w:r>
      <w:r w:rsidRPr="0070281F">
        <w:rPr>
          <w:rFonts w:ascii="Arial" w:hAnsi="Arial" w:cs="Arial"/>
          <w:sz w:val="20"/>
          <w:szCs w:val="20"/>
          <w:lang w:eastAsia="en-GB"/>
        </w:rPr>
        <w:t>:</w:t>
      </w:r>
      <w:r w:rsidR="00E34CBD" w:rsidRPr="0070281F">
        <w:rPr>
          <w:rFonts w:ascii="Arial" w:hAnsi="Arial" w:cs="Arial"/>
          <w:sz w:val="20"/>
          <w:szCs w:val="20"/>
          <w:lang w:eastAsia="en-GB"/>
        </w:rPr>
        <w:t xml:space="preserve"> </w:t>
      </w:r>
      <w:r w:rsidR="00E01D91" w:rsidRPr="00E01D91">
        <w:rPr>
          <w:rFonts w:ascii="Arial" w:hAnsi="Arial" w:cs="Arial"/>
          <w:sz w:val="20"/>
          <w:szCs w:val="20"/>
          <w:lang w:eastAsia="en-GB"/>
        </w:rPr>
        <w:t>Respondents consistently ranked patriarchal culture as the strongest obstacle to gender equality. Community-based interventions should therefore prioritize engaging traditional and religious leaders to challenge practices such as child marriage, discriminatory inheritance, and widowhood rites</w:t>
      </w:r>
      <w:r w:rsidR="00687693" w:rsidRPr="0070281F">
        <w:rPr>
          <w:rFonts w:ascii="Arial" w:hAnsi="Arial" w:cs="Arial"/>
          <w:sz w:val="20"/>
          <w:szCs w:val="20"/>
          <w:lang w:eastAsia="en-GB"/>
        </w:rPr>
        <w:t xml:space="preserve">. </w:t>
      </w:r>
    </w:p>
    <w:p w14:paraId="72D01F23" w14:textId="727F2ABE" w:rsidR="00E34CBD" w:rsidRPr="0070281F" w:rsidRDefault="00861402" w:rsidP="005A1842">
      <w:pPr>
        <w:pStyle w:val="NoSpacing"/>
        <w:numPr>
          <w:ilvl w:val="0"/>
          <w:numId w:val="4"/>
        </w:numPr>
        <w:spacing w:line="276" w:lineRule="auto"/>
        <w:jc w:val="both"/>
        <w:rPr>
          <w:rFonts w:ascii="Arial" w:hAnsi="Arial" w:cs="Arial"/>
          <w:i/>
          <w:sz w:val="20"/>
          <w:szCs w:val="20"/>
          <w:lang w:eastAsia="en-GB"/>
        </w:rPr>
      </w:pPr>
      <w:r w:rsidRPr="0070281F">
        <w:rPr>
          <w:rFonts w:ascii="Arial" w:hAnsi="Arial" w:cs="Arial"/>
          <w:i/>
          <w:sz w:val="20"/>
          <w:szCs w:val="20"/>
          <w:lang w:eastAsia="en-GB"/>
        </w:rPr>
        <w:t>Empowering Women in Leadership:</w:t>
      </w:r>
      <w:r w:rsidR="00E34CBD" w:rsidRPr="0070281F">
        <w:rPr>
          <w:rFonts w:ascii="Arial" w:hAnsi="Arial" w:cs="Arial"/>
          <w:i/>
          <w:sz w:val="20"/>
          <w:szCs w:val="20"/>
          <w:lang w:eastAsia="en-GB"/>
        </w:rPr>
        <w:t xml:space="preserve"> </w:t>
      </w:r>
      <w:r w:rsidR="00D95073" w:rsidRPr="00D95073">
        <w:rPr>
          <w:rFonts w:ascii="Arial" w:hAnsi="Arial" w:cs="Arial"/>
          <w:sz w:val="20"/>
          <w:szCs w:val="20"/>
          <w:lang w:eastAsia="en-GB"/>
        </w:rPr>
        <w:t>With women’s representation in Nigeria’s National Assembly still below 10%</w:t>
      </w:r>
      <w:r w:rsidR="00A77A59">
        <w:rPr>
          <w:rFonts w:ascii="Arial" w:hAnsi="Arial" w:cs="Arial"/>
          <w:sz w:val="20"/>
          <w:szCs w:val="20"/>
          <w:lang w:eastAsia="en-GB"/>
        </w:rPr>
        <w:t xml:space="preserve">, </w:t>
      </w:r>
      <w:r w:rsidR="00D95073" w:rsidRPr="00D95073">
        <w:rPr>
          <w:rFonts w:ascii="Arial" w:hAnsi="Arial" w:cs="Arial"/>
          <w:sz w:val="20"/>
          <w:szCs w:val="20"/>
          <w:lang w:eastAsia="en-GB"/>
        </w:rPr>
        <w:t xml:space="preserve">affirmative action and political party quotas must be institutionalized. Legal frameworks should guarantee a minimum threshold of women in elective and appointive </w:t>
      </w:r>
      <w:r w:rsidR="00A77A59" w:rsidRPr="00D95073">
        <w:rPr>
          <w:rFonts w:ascii="Arial" w:hAnsi="Arial" w:cs="Arial"/>
          <w:sz w:val="20"/>
          <w:szCs w:val="20"/>
          <w:lang w:eastAsia="en-GB"/>
        </w:rPr>
        <w:t>offices.</w:t>
      </w:r>
      <w:r w:rsidRPr="0070281F">
        <w:rPr>
          <w:rFonts w:ascii="Arial" w:hAnsi="Arial" w:cs="Arial"/>
          <w:spacing w:val="2"/>
          <w:sz w:val="20"/>
          <w:szCs w:val="20"/>
          <w:lang w:eastAsia="en-GB"/>
        </w:rPr>
        <w:t> </w:t>
      </w:r>
    </w:p>
    <w:p w14:paraId="72D01F24" w14:textId="0812A281" w:rsidR="00E34CBD" w:rsidRPr="0070281F" w:rsidRDefault="00861402" w:rsidP="005A1842">
      <w:pPr>
        <w:pStyle w:val="NoSpacing"/>
        <w:numPr>
          <w:ilvl w:val="0"/>
          <w:numId w:val="4"/>
        </w:numPr>
        <w:spacing w:line="276" w:lineRule="auto"/>
        <w:jc w:val="both"/>
        <w:rPr>
          <w:rFonts w:ascii="Arial" w:hAnsi="Arial" w:cs="Arial"/>
          <w:i/>
          <w:sz w:val="20"/>
          <w:szCs w:val="20"/>
          <w:lang w:eastAsia="en-GB"/>
        </w:rPr>
      </w:pPr>
      <w:r w:rsidRPr="0070281F">
        <w:rPr>
          <w:rFonts w:ascii="Arial" w:hAnsi="Arial" w:cs="Arial"/>
          <w:i/>
          <w:sz w:val="20"/>
          <w:szCs w:val="20"/>
          <w:lang w:eastAsia="en-GB"/>
        </w:rPr>
        <w:t>Collaboration and Partnerships:</w:t>
      </w:r>
      <w:r w:rsidR="00E34CBD" w:rsidRPr="0070281F">
        <w:rPr>
          <w:rFonts w:ascii="Arial" w:hAnsi="Arial" w:cs="Arial"/>
          <w:sz w:val="20"/>
          <w:szCs w:val="20"/>
          <w:lang w:eastAsia="en-GB"/>
        </w:rPr>
        <w:t xml:space="preserve"> </w:t>
      </w:r>
      <w:r w:rsidR="00A77A59" w:rsidRPr="00A77A59">
        <w:rPr>
          <w:rFonts w:ascii="Arial" w:hAnsi="Arial" w:cs="Arial"/>
          <w:sz w:val="20"/>
          <w:szCs w:val="20"/>
          <w:lang w:eastAsia="en-GB"/>
        </w:rPr>
        <w:t>Given respondents’ emphasis on the role of institutional support, Nigeria should strengthen partnerships with international organizations (e.g., UN Women, UNDP, African Union) and adopt lessons from global best practices where gender equality has been effectively mainstreamed</w:t>
      </w:r>
      <w:r w:rsidRPr="0070281F">
        <w:rPr>
          <w:rFonts w:ascii="Arial" w:hAnsi="Arial" w:cs="Arial"/>
          <w:spacing w:val="2"/>
          <w:sz w:val="20"/>
          <w:szCs w:val="20"/>
          <w:lang w:eastAsia="en-GB"/>
        </w:rPr>
        <w:t>. </w:t>
      </w:r>
    </w:p>
    <w:p w14:paraId="09F08668" w14:textId="4CD801F8" w:rsidR="00925500" w:rsidRPr="0067201E" w:rsidRDefault="00861402" w:rsidP="005F5CD0">
      <w:pPr>
        <w:pStyle w:val="NoSpacing"/>
        <w:numPr>
          <w:ilvl w:val="0"/>
          <w:numId w:val="4"/>
        </w:numPr>
        <w:spacing w:line="360" w:lineRule="auto"/>
        <w:jc w:val="both"/>
        <w:rPr>
          <w:rFonts w:ascii="Arial" w:hAnsi="Arial" w:cs="Arial"/>
          <w:i/>
          <w:sz w:val="20"/>
          <w:szCs w:val="20"/>
          <w:lang w:eastAsia="en-GB"/>
        </w:rPr>
      </w:pPr>
      <w:r w:rsidRPr="0070281F">
        <w:rPr>
          <w:rFonts w:ascii="Arial" w:hAnsi="Arial" w:cs="Arial"/>
          <w:i/>
          <w:sz w:val="20"/>
          <w:szCs w:val="20"/>
          <w:lang w:eastAsia="en-GB"/>
        </w:rPr>
        <w:t>Data Collection and Monitoring</w:t>
      </w:r>
      <w:r w:rsidRPr="0070281F">
        <w:rPr>
          <w:rFonts w:ascii="Arial" w:hAnsi="Arial" w:cs="Arial"/>
          <w:sz w:val="20"/>
          <w:szCs w:val="20"/>
          <w:lang w:eastAsia="en-GB"/>
        </w:rPr>
        <w:t>:</w:t>
      </w:r>
      <w:r w:rsidR="00E34CBD" w:rsidRPr="0070281F">
        <w:rPr>
          <w:rFonts w:ascii="Arial" w:hAnsi="Arial" w:cs="Arial"/>
          <w:sz w:val="20"/>
          <w:szCs w:val="20"/>
          <w:lang w:eastAsia="en-GB"/>
        </w:rPr>
        <w:t xml:space="preserve"> </w:t>
      </w:r>
      <w:r w:rsidR="003D6923" w:rsidRPr="003D6923">
        <w:rPr>
          <w:rFonts w:ascii="Arial" w:hAnsi="Arial" w:cs="Arial"/>
          <w:sz w:val="20"/>
          <w:szCs w:val="20"/>
          <w:lang w:eastAsia="en-GB"/>
        </w:rPr>
        <w:t>The study highlighted gaps in reliable gender-disaggregated data, which respondents viewed as a barrier to tracking progress. The government and MDAs must prioritize systematic collection and analysis of gender indicators to identify lagging areas and measure the impact of interventions</w:t>
      </w:r>
      <w:r w:rsidR="00E34CBD" w:rsidRPr="0070281F">
        <w:rPr>
          <w:rFonts w:ascii="Arial" w:hAnsi="Arial" w:cs="Arial"/>
          <w:sz w:val="20"/>
          <w:szCs w:val="20"/>
        </w:rPr>
        <w:t>.</w:t>
      </w:r>
    </w:p>
    <w:p w14:paraId="6AC67DD1" w14:textId="5BD59A02" w:rsidR="0067201E" w:rsidRDefault="0067201E" w:rsidP="0067201E">
      <w:pPr>
        <w:pStyle w:val="NoSpacing"/>
        <w:spacing w:line="360" w:lineRule="auto"/>
        <w:jc w:val="both"/>
        <w:rPr>
          <w:rFonts w:ascii="Arial" w:hAnsi="Arial" w:cs="Arial"/>
          <w:i/>
          <w:sz w:val="20"/>
          <w:szCs w:val="20"/>
          <w:lang w:eastAsia="en-GB"/>
        </w:rPr>
      </w:pPr>
    </w:p>
    <w:p w14:paraId="51383001" w14:textId="77777777" w:rsidR="0067201E" w:rsidRDefault="0067201E" w:rsidP="0067201E">
      <w:pPr>
        <w:rPr>
          <w:highlight w:val="yellow"/>
        </w:rPr>
      </w:pPr>
      <w:r>
        <w:rPr>
          <w:highlight w:val="yellow"/>
        </w:rPr>
        <w:t>Disclaimer (Artificial intelligence)</w:t>
      </w:r>
    </w:p>
    <w:p w14:paraId="7396779E" w14:textId="77777777" w:rsidR="0067201E" w:rsidRDefault="0067201E" w:rsidP="0067201E">
      <w:pPr>
        <w:rPr>
          <w:highlight w:val="yellow"/>
        </w:rPr>
      </w:pPr>
    </w:p>
    <w:p w14:paraId="6E77DFC2" w14:textId="77777777" w:rsidR="0067201E" w:rsidRDefault="0067201E" w:rsidP="0067201E">
      <w:pPr>
        <w:rPr>
          <w:highlight w:val="yellow"/>
        </w:rPr>
      </w:pPr>
      <w:r>
        <w:rPr>
          <w:highlight w:val="yellow"/>
        </w:rPr>
        <w:t xml:space="preserve">Option 1: </w:t>
      </w:r>
    </w:p>
    <w:p w14:paraId="07CFFCF5" w14:textId="77777777" w:rsidR="0067201E" w:rsidRDefault="0067201E" w:rsidP="0067201E">
      <w:pPr>
        <w:rPr>
          <w:highlight w:val="yellow"/>
        </w:rPr>
      </w:pPr>
    </w:p>
    <w:p w14:paraId="00A1597E" w14:textId="62A702FA" w:rsidR="00C359C2" w:rsidRPr="008A6379" w:rsidRDefault="0067201E" w:rsidP="008A6379">
      <w:pPr>
        <w:rPr>
          <w:highlight w:val="yellow"/>
        </w:rPr>
      </w:pPr>
      <w:r>
        <w:rPr>
          <w:highlight w:val="yellow"/>
        </w:rPr>
        <w:t xml:space="preserve">Author(s) hereby </w:t>
      </w:r>
      <w:proofErr w:type="gramStart"/>
      <w:r>
        <w:rPr>
          <w:highlight w:val="yellow"/>
        </w:rPr>
        <w:t>declare</w:t>
      </w:r>
      <w:proofErr w:type="gramEnd"/>
      <w:r>
        <w:rPr>
          <w:highlight w:val="yellow"/>
        </w:rPr>
        <w:t xml:space="preserve"> that NO generative AI technologies such as Large Language Models (ChatGPT, COPILOT, etc.) and text-to-image generators have been used during the writing or editing of this manuscript. </w:t>
      </w:r>
    </w:p>
    <w:p w14:paraId="19BCED50" w14:textId="479F98B5" w:rsidR="00AD49D4" w:rsidRPr="0070281F" w:rsidRDefault="00AD49D4" w:rsidP="00C3355F">
      <w:pPr>
        <w:spacing w:after="0"/>
        <w:jc w:val="both"/>
        <w:rPr>
          <w:rFonts w:ascii="Arial" w:hAnsi="Arial" w:cs="Arial"/>
          <w:sz w:val="20"/>
          <w:szCs w:val="20"/>
        </w:rPr>
      </w:pPr>
    </w:p>
    <w:p w14:paraId="071E3D70" w14:textId="77777777" w:rsidR="00F12156" w:rsidRDefault="00AD49D4" w:rsidP="00AD49D4">
      <w:pPr>
        <w:spacing w:after="0"/>
        <w:jc w:val="both"/>
        <w:rPr>
          <w:rFonts w:ascii="Arial" w:hAnsi="Arial" w:cs="Arial"/>
          <w:sz w:val="20"/>
          <w:szCs w:val="20"/>
        </w:rPr>
      </w:pPr>
      <w:r w:rsidRPr="0070281F">
        <w:rPr>
          <w:rFonts w:ascii="Arial" w:hAnsi="Arial" w:cs="Arial"/>
          <w:b/>
          <w:bCs/>
          <w:sz w:val="20"/>
          <w:szCs w:val="20"/>
        </w:rPr>
        <w:t>References</w:t>
      </w:r>
    </w:p>
    <w:p w14:paraId="27AB7EEB" w14:textId="6B87A868" w:rsidR="000D1334" w:rsidRDefault="00F12156" w:rsidP="00AD49D4">
      <w:pPr>
        <w:spacing w:after="0"/>
        <w:jc w:val="both"/>
        <w:rPr>
          <w:rFonts w:ascii="Arial" w:hAnsi="Arial" w:cs="Arial"/>
          <w:sz w:val="20"/>
          <w:szCs w:val="20"/>
        </w:rPr>
      </w:pPr>
      <w:proofErr w:type="spellStart"/>
      <w:r w:rsidRPr="003C4EAD">
        <w:rPr>
          <w:rFonts w:ascii="Arial" w:hAnsi="Arial" w:cs="Arial"/>
          <w:sz w:val="20"/>
          <w:szCs w:val="20"/>
        </w:rPr>
        <w:t>Abolade</w:t>
      </w:r>
      <w:proofErr w:type="spellEnd"/>
      <w:r w:rsidRPr="003C4EAD">
        <w:rPr>
          <w:rFonts w:ascii="Arial" w:hAnsi="Arial" w:cs="Arial"/>
          <w:sz w:val="20"/>
          <w:szCs w:val="20"/>
        </w:rPr>
        <w:t xml:space="preserve">, D.A., </w:t>
      </w:r>
      <w:r w:rsidR="00946049">
        <w:rPr>
          <w:rFonts w:ascii="Arial" w:hAnsi="Arial" w:cs="Arial"/>
          <w:sz w:val="20"/>
          <w:szCs w:val="20"/>
        </w:rPr>
        <w:t>(</w:t>
      </w:r>
      <w:r w:rsidRPr="003C4EAD">
        <w:rPr>
          <w:rFonts w:ascii="Arial" w:hAnsi="Arial" w:cs="Arial"/>
          <w:sz w:val="20"/>
          <w:szCs w:val="20"/>
        </w:rPr>
        <w:t>2021</w:t>
      </w:r>
      <w:r w:rsidR="00946049">
        <w:rPr>
          <w:rFonts w:ascii="Arial" w:hAnsi="Arial" w:cs="Arial"/>
          <w:sz w:val="20"/>
          <w:szCs w:val="20"/>
        </w:rPr>
        <w:t>)</w:t>
      </w:r>
      <w:r w:rsidRPr="003C4EAD">
        <w:rPr>
          <w:rFonts w:ascii="Arial" w:hAnsi="Arial" w:cs="Arial"/>
          <w:sz w:val="20"/>
          <w:szCs w:val="20"/>
        </w:rPr>
        <w:t xml:space="preserve">. Gender equality and sustainable development in Nigeria: Issues and challenges. </w:t>
      </w:r>
    </w:p>
    <w:p w14:paraId="64BD696E" w14:textId="387B5F78" w:rsidR="00F12156" w:rsidRDefault="00F12156" w:rsidP="000D1334">
      <w:pPr>
        <w:spacing w:after="0"/>
        <w:ind w:firstLine="720"/>
        <w:jc w:val="both"/>
        <w:rPr>
          <w:rFonts w:ascii="Arial" w:hAnsi="Arial" w:cs="Arial"/>
          <w:sz w:val="20"/>
          <w:szCs w:val="20"/>
        </w:rPr>
      </w:pPr>
      <w:r w:rsidRPr="003C4EAD">
        <w:rPr>
          <w:rStyle w:val="Emphasis"/>
          <w:rFonts w:ascii="Arial" w:hAnsi="Arial" w:cs="Arial"/>
          <w:sz w:val="20"/>
          <w:szCs w:val="20"/>
        </w:rPr>
        <w:t>Trends Economics and Management</w:t>
      </w:r>
      <w:r w:rsidRPr="003C4EAD">
        <w:rPr>
          <w:rFonts w:ascii="Arial" w:hAnsi="Arial" w:cs="Arial"/>
          <w:sz w:val="20"/>
          <w:szCs w:val="20"/>
        </w:rPr>
        <w:t>, 15(37), 9–25.</w:t>
      </w:r>
      <w:r w:rsidR="003E77B8" w:rsidRPr="003E77B8">
        <w:t xml:space="preserve"> </w:t>
      </w:r>
      <w:hyperlink r:id="rId7" w:history="1">
        <w:r w:rsidR="00F17C84" w:rsidRPr="000C4081">
          <w:rPr>
            <w:rStyle w:val="Hyperlink"/>
            <w:rFonts w:ascii="Arial" w:hAnsi="Arial" w:cs="Arial"/>
            <w:sz w:val="20"/>
            <w:szCs w:val="20"/>
          </w:rPr>
          <w:t>https://doi.org/10.13164/trends.2021.37.9</w:t>
        </w:r>
      </w:hyperlink>
    </w:p>
    <w:p w14:paraId="77927757" w14:textId="77777777" w:rsidR="00D32328" w:rsidRPr="003C4EAD" w:rsidRDefault="00AD49D4" w:rsidP="00AD49D4">
      <w:pPr>
        <w:spacing w:after="0"/>
        <w:jc w:val="both"/>
        <w:rPr>
          <w:rFonts w:ascii="Arial" w:hAnsi="Arial" w:cs="Arial"/>
          <w:i/>
          <w:iCs/>
          <w:sz w:val="20"/>
          <w:szCs w:val="20"/>
        </w:rPr>
      </w:pPr>
      <w:r w:rsidRPr="003C4EAD">
        <w:rPr>
          <w:rFonts w:ascii="Arial" w:hAnsi="Arial" w:cs="Arial"/>
          <w:sz w:val="20"/>
          <w:szCs w:val="20"/>
        </w:rPr>
        <w:t xml:space="preserve">Agbo, M. (2016). Gender equality: The need for enforcement of legislation in Nigeria. </w:t>
      </w:r>
      <w:r w:rsidRPr="003C4EAD">
        <w:rPr>
          <w:rFonts w:ascii="Arial" w:hAnsi="Arial" w:cs="Arial"/>
          <w:i/>
          <w:iCs/>
          <w:sz w:val="20"/>
          <w:szCs w:val="20"/>
        </w:rPr>
        <w:t xml:space="preserve">Proceedings of </w:t>
      </w:r>
    </w:p>
    <w:p w14:paraId="20016AE3" w14:textId="76CA46D5" w:rsidR="00AD49D4" w:rsidRDefault="00AD49D4" w:rsidP="00D32328">
      <w:pPr>
        <w:spacing w:after="0"/>
        <w:ind w:left="720"/>
        <w:jc w:val="both"/>
        <w:rPr>
          <w:rFonts w:ascii="Arial" w:hAnsi="Arial" w:cs="Arial"/>
          <w:sz w:val="20"/>
          <w:szCs w:val="20"/>
        </w:rPr>
      </w:pPr>
      <w:r w:rsidRPr="003C4EAD">
        <w:rPr>
          <w:rFonts w:ascii="Arial" w:hAnsi="Arial" w:cs="Arial"/>
          <w:i/>
          <w:iCs/>
          <w:sz w:val="20"/>
          <w:szCs w:val="20"/>
        </w:rPr>
        <w:t>the 3rd International Conference on Social Sciences, 3</w:t>
      </w:r>
      <w:r w:rsidR="00E642BA" w:rsidRPr="003C4EAD">
        <w:rPr>
          <w:rFonts w:ascii="Arial" w:hAnsi="Arial" w:cs="Arial"/>
          <w:sz w:val="20"/>
          <w:szCs w:val="20"/>
        </w:rPr>
        <w:t>, 41–47.</w:t>
      </w:r>
    </w:p>
    <w:p w14:paraId="6BF4A39D" w14:textId="77777777" w:rsidR="00376DB3" w:rsidRPr="00640229" w:rsidRDefault="00376DB3" w:rsidP="00D440AF">
      <w:pPr>
        <w:spacing w:after="0"/>
        <w:jc w:val="both"/>
        <w:rPr>
          <w:rFonts w:ascii="Arial" w:hAnsi="Arial" w:cs="Arial"/>
          <w:i/>
          <w:iCs/>
          <w:sz w:val="20"/>
          <w:szCs w:val="20"/>
        </w:rPr>
      </w:pPr>
      <w:proofErr w:type="spellStart"/>
      <w:r w:rsidRPr="00376DB3">
        <w:rPr>
          <w:rFonts w:ascii="Arial" w:hAnsi="Arial" w:cs="Arial"/>
          <w:sz w:val="20"/>
          <w:szCs w:val="20"/>
        </w:rPr>
        <w:t>Akiyode</w:t>
      </w:r>
      <w:proofErr w:type="spellEnd"/>
      <w:r w:rsidRPr="00376DB3">
        <w:rPr>
          <w:rFonts w:ascii="Arial" w:hAnsi="Arial" w:cs="Arial"/>
          <w:sz w:val="20"/>
          <w:szCs w:val="20"/>
        </w:rPr>
        <w:t xml:space="preserve">-Afolabi, A. (2011). </w:t>
      </w:r>
      <w:r w:rsidRPr="00640229">
        <w:rPr>
          <w:rFonts w:ascii="Arial" w:hAnsi="Arial" w:cs="Arial"/>
          <w:i/>
          <w:iCs/>
          <w:sz w:val="20"/>
          <w:szCs w:val="20"/>
        </w:rPr>
        <w:t xml:space="preserve">2011 election: Gender ranking of political candidates and other issues in </w:t>
      </w:r>
    </w:p>
    <w:p w14:paraId="747A3CC0" w14:textId="6F6A5020" w:rsidR="00D440AF" w:rsidRPr="00D440AF" w:rsidRDefault="00376DB3" w:rsidP="00376DB3">
      <w:pPr>
        <w:spacing w:after="0"/>
        <w:ind w:left="720"/>
        <w:jc w:val="both"/>
        <w:rPr>
          <w:rFonts w:ascii="Arial" w:hAnsi="Arial" w:cs="Arial"/>
          <w:sz w:val="20"/>
          <w:szCs w:val="20"/>
        </w:rPr>
      </w:pPr>
      <w:r w:rsidRPr="00640229">
        <w:rPr>
          <w:rFonts w:ascii="Arial" w:hAnsi="Arial" w:cs="Arial"/>
          <w:i/>
          <w:iCs/>
          <w:sz w:val="20"/>
          <w:szCs w:val="20"/>
        </w:rPr>
        <w:t>women’s political participation.</w:t>
      </w:r>
      <w:r w:rsidRPr="00376DB3">
        <w:rPr>
          <w:rFonts w:ascii="Arial" w:hAnsi="Arial" w:cs="Arial"/>
          <w:sz w:val="20"/>
          <w:szCs w:val="20"/>
        </w:rPr>
        <w:t xml:space="preserve"> Lagos, Nigeria: Women Advocates Research and Documentation Center (WARDC)</w:t>
      </w:r>
      <w:r w:rsidR="00D440AF" w:rsidRPr="00D440AF">
        <w:rPr>
          <w:rFonts w:ascii="Arial" w:hAnsi="Arial" w:cs="Arial"/>
          <w:sz w:val="20"/>
          <w:szCs w:val="20"/>
        </w:rPr>
        <w:t>.</w:t>
      </w:r>
      <w:r w:rsidR="00340EEE" w:rsidRPr="00340EEE">
        <w:t xml:space="preserve"> </w:t>
      </w:r>
      <w:r w:rsidR="00340EEE" w:rsidRPr="00340EEE">
        <w:rPr>
          <w:rFonts w:ascii="Arial" w:hAnsi="Arial" w:cs="Arial"/>
          <w:sz w:val="20"/>
          <w:szCs w:val="20"/>
        </w:rPr>
        <w:t>https://wardcnigeria.org/</w:t>
      </w:r>
    </w:p>
    <w:p w14:paraId="7A37A91A" w14:textId="77777777" w:rsidR="00AD49D4" w:rsidRPr="003C4EAD" w:rsidRDefault="00AD49D4" w:rsidP="00AD49D4">
      <w:pPr>
        <w:spacing w:after="0"/>
        <w:jc w:val="both"/>
        <w:rPr>
          <w:rFonts w:ascii="Arial" w:hAnsi="Arial" w:cs="Arial"/>
          <w:sz w:val="20"/>
          <w:szCs w:val="20"/>
        </w:rPr>
      </w:pPr>
      <w:proofErr w:type="spellStart"/>
      <w:r w:rsidRPr="003C4EAD">
        <w:rPr>
          <w:rFonts w:ascii="Arial" w:hAnsi="Arial" w:cs="Arial"/>
          <w:sz w:val="20"/>
          <w:szCs w:val="20"/>
        </w:rPr>
        <w:lastRenderedPageBreak/>
        <w:t>Amadiume</w:t>
      </w:r>
      <w:proofErr w:type="spellEnd"/>
      <w:r w:rsidRPr="003C4EAD">
        <w:rPr>
          <w:rFonts w:ascii="Arial" w:hAnsi="Arial" w:cs="Arial"/>
          <w:sz w:val="20"/>
          <w:szCs w:val="20"/>
        </w:rPr>
        <w:t xml:space="preserve">, I. (1997). </w:t>
      </w:r>
      <w:r w:rsidRPr="003C4EAD">
        <w:rPr>
          <w:rFonts w:ascii="Arial" w:hAnsi="Arial" w:cs="Arial"/>
          <w:i/>
          <w:iCs/>
          <w:sz w:val="20"/>
          <w:szCs w:val="20"/>
        </w:rPr>
        <w:t>Reinventing Africa: Matriarchy, religion, and culture</w:t>
      </w:r>
      <w:r w:rsidRPr="003C4EAD">
        <w:rPr>
          <w:rFonts w:ascii="Arial" w:hAnsi="Arial" w:cs="Arial"/>
          <w:sz w:val="20"/>
          <w:szCs w:val="20"/>
        </w:rPr>
        <w:t>. London: Zed Books.</w:t>
      </w:r>
    </w:p>
    <w:p w14:paraId="13BB378A" w14:textId="77777777" w:rsidR="00132E04" w:rsidRPr="003C4EAD" w:rsidRDefault="00AD49D4" w:rsidP="00AD49D4">
      <w:pPr>
        <w:spacing w:after="0"/>
        <w:jc w:val="both"/>
        <w:rPr>
          <w:rFonts w:ascii="Arial" w:hAnsi="Arial" w:cs="Arial"/>
          <w:i/>
          <w:iCs/>
          <w:sz w:val="20"/>
          <w:szCs w:val="20"/>
        </w:rPr>
      </w:pPr>
      <w:r w:rsidRPr="003C4EAD">
        <w:rPr>
          <w:rFonts w:ascii="Arial" w:hAnsi="Arial" w:cs="Arial"/>
          <w:sz w:val="20"/>
          <w:szCs w:val="20"/>
        </w:rPr>
        <w:t xml:space="preserve">Babalola, A. (2014). Gender inequality: Nigerian and international perspectives. </w:t>
      </w:r>
      <w:r w:rsidRPr="003C4EAD">
        <w:rPr>
          <w:rFonts w:ascii="Arial" w:hAnsi="Arial" w:cs="Arial"/>
          <w:i/>
          <w:iCs/>
          <w:sz w:val="20"/>
          <w:szCs w:val="20"/>
        </w:rPr>
        <w:t xml:space="preserve">British Journal of Arts </w:t>
      </w:r>
    </w:p>
    <w:p w14:paraId="445F3A9D" w14:textId="65A0E241" w:rsidR="00AD49D4" w:rsidRPr="003C4EAD" w:rsidRDefault="00AD49D4" w:rsidP="00132E04">
      <w:pPr>
        <w:spacing w:after="0"/>
        <w:ind w:firstLine="720"/>
        <w:jc w:val="both"/>
        <w:rPr>
          <w:rFonts w:ascii="Arial" w:hAnsi="Arial" w:cs="Arial"/>
          <w:sz w:val="20"/>
          <w:szCs w:val="20"/>
        </w:rPr>
      </w:pPr>
      <w:r w:rsidRPr="003C4EAD">
        <w:rPr>
          <w:rFonts w:ascii="Arial" w:hAnsi="Arial" w:cs="Arial"/>
          <w:i/>
          <w:iCs/>
          <w:sz w:val="20"/>
          <w:szCs w:val="20"/>
        </w:rPr>
        <w:t>and Social Sciences, 17</w:t>
      </w:r>
      <w:r w:rsidR="00E642BA" w:rsidRPr="003C4EAD">
        <w:rPr>
          <w:rFonts w:ascii="Arial" w:hAnsi="Arial" w:cs="Arial"/>
          <w:sz w:val="20"/>
          <w:szCs w:val="20"/>
        </w:rPr>
        <w:t>, 16</w:t>
      </w:r>
      <w:r w:rsidR="00874904">
        <w:rPr>
          <w:rFonts w:ascii="Arial" w:hAnsi="Arial" w:cs="Arial"/>
          <w:sz w:val="20"/>
          <w:szCs w:val="20"/>
        </w:rPr>
        <w:t>7-174</w:t>
      </w:r>
      <w:r w:rsidR="00E642BA" w:rsidRPr="003C4EAD">
        <w:rPr>
          <w:rFonts w:ascii="Arial" w:hAnsi="Arial" w:cs="Arial"/>
          <w:sz w:val="20"/>
          <w:szCs w:val="20"/>
        </w:rPr>
        <w:t xml:space="preserve">. </w:t>
      </w:r>
    </w:p>
    <w:p w14:paraId="19A8BF58" w14:textId="77777777" w:rsidR="00AD49D4" w:rsidRPr="003C4EAD" w:rsidRDefault="00AD49D4" w:rsidP="00AD49D4">
      <w:pPr>
        <w:spacing w:after="0"/>
        <w:jc w:val="both"/>
        <w:rPr>
          <w:rFonts w:ascii="Arial" w:hAnsi="Arial" w:cs="Arial"/>
          <w:sz w:val="20"/>
          <w:szCs w:val="20"/>
        </w:rPr>
      </w:pPr>
      <w:r w:rsidRPr="003C4EAD">
        <w:rPr>
          <w:rFonts w:ascii="Arial" w:hAnsi="Arial" w:cs="Arial"/>
          <w:sz w:val="20"/>
          <w:szCs w:val="20"/>
        </w:rPr>
        <w:t xml:space="preserve">Butler, J. (1990). </w:t>
      </w:r>
      <w:r w:rsidRPr="003C4EAD">
        <w:rPr>
          <w:rFonts w:ascii="Arial" w:hAnsi="Arial" w:cs="Arial"/>
          <w:i/>
          <w:iCs/>
          <w:sz w:val="20"/>
          <w:szCs w:val="20"/>
        </w:rPr>
        <w:t>Gender trouble: Feminism and the subversion of identity</w:t>
      </w:r>
      <w:r w:rsidRPr="003C4EAD">
        <w:rPr>
          <w:rFonts w:ascii="Arial" w:hAnsi="Arial" w:cs="Arial"/>
          <w:sz w:val="20"/>
          <w:szCs w:val="20"/>
        </w:rPr>
        <w:t>. New York: Routledge.</w:t>
      </w:r>
    </w:p>
    <w:p w14:paraId="2202F16A" w14:textId="77777777" w:rsidR="003C4EAD" w:rsidRPr="003C4EAD" w:rsidRDefault="003C4EAD" w:rsidP="003C4EAD">
      <w:pPr>
        <w:spacing w:after="0"/>
        <w:jc w:val="both"/>
        <w:rPr>
          <w:rFonts w:ascii="Arial" w:hAnsi="Arial" w:cs="Arial"/>
          <w:sz w:val="20"/>
          <w:szCs w:val="20"/>
        </w:rPr>
      </w:pPr>
      <w:proofErr w:type="spellStart"/>
      <w:r w:rsidRPr="003C4EAD">
        <w:rPr>
          <w:rFonts w:ascii="Arial" w:hAnsi="Arial" w:cs="Arial"/>
          <w:sz w:val="20"/>
          <w:szCs w:val="20"/>
        </w:rPr>
        <w:t>Fadipe</w:t>
      </w:r>
      <w:proofErr w:type="spellEnd"/>
      <w:r w:rsidRPr="003C4EAD">
        <w:rPr>
          <w:rFonts w:ascii="Arial" w:hAnsi="Arial" w:cs="Arial"/>
          <w:sz w:val="20"/>
          <w:szCs w:val="20"/>
        </w:rPr>
        <w:t xml:space="preserve">, A. (2024, November 20). Nigeria ranks lowest among Sub-Saharan African countries in </w:t>
      </w:r>
    </w:p>
    <w:p w14:paraId="7605A860" w14:textId="102317A6" w:rsidR="003C4EAD" w:rsidRPr="003C4EAD" w:rsidRDefault="003C4EAD" w:rsidP="003C4EAD">
      <w:pPr>
        <w:spacing w:after="0"/>
        <w:ind w:left="720"/>
        <w:jc w:val="both"/>
        <w:rPr>
          <w:rFonts w:ascii="Arial" w:hAnsi="Arial" w:cs="Arial"/>
          <w:sz w:val="20"/>
          <w:szCs w:val="20"/>
        </w:rPr>
      </w:pPr>
      <w:r w:rsidRPr="003C4EAD">
        <w:rPr>
          <w:rFonts w:ascii="Arial" w:hAnsi="Arial" w:cs="Arial"/>
          <w:sz w:val="20"/>
          <w:szCs w:val="20"/>
        </w:rPr>
        <w:t xml:space="preserve">women’s representation in parliament. </w:t>
      </w:r>
      <w:r w:rsidRPr="00D4520B">
        <w:rPr>
          <w:rFonts w:ascii="Arial" w:hAnsi="Arial" w:cs="Arial"/>
          <w:i/>
          <w:iCs/>
          <w:sz w:val="20"/>
          <w:szCs w:val="20"/>
        </w:rPr>
        <w:t>Global Voices</w:t>
      </w:r>
      <w:r w:rsidRPr="003C4EAD">
        <w:rPr>
          <w:rFonts w:ascii="Arial" w:hAnsi="Arial" w:cs="Arial"/>
          <w:sz w:val="20"/>
          <w:szCs w:val="20"/>
        </w:rPr>
        <w:t xml:space="preserve">. Retrieved from </w:t>
      </w:r>
      <w:hyperlink r:id="rId8" w:history="1">
        <w:r w:rsidRPr="003C4EAD">
          <w:rPr>
            <w:rStyle w:val="Hyperlink"/>
            <w:rFonts w:ascii="Arial" w:hAnsi="Arial" w:cs="Arial"/>
            <w:sz w:val="20"/>
            <w:szCs w:val="20"/>
          </w:rPr>
          <w:t>https://globalvoices.org/2024/11/20/nigeria-ranks-lowest-among-sub-saharan-african-countries-in-womens-representation-in-parliament/</w:t>
        </w:r>
      </w:hyperlink>
    </w:p>
    <w:p w14:paraId="362F9278" w14:textId="77777777" w:rsidR="00625CF5" w:rsidRDefault="00AD49D4" w:rsidP="003C4EAD">
      <w:pPr>
        <w:spacing w:after="0"/>
        <w:jc w:val="both"/>
        <w:rPr>
          <w:rFonts w:ascii="Arial" w:hAnsi="Arial" w:cs="Arial"/>
          <w:sz w:val="20"/>
          <w:szCs w:val="20"/>
        </w:rPr>
      </w:pPr>
      <w:r w:rsidRPr="003C4EAD">
        <w:rPr>
          <w:rFonts w:ascii="Arial" w:hAnsi="Arial" w:cs="Arial"/>
          <w:sz w:val="20"/>
          <w:szCs w:val="20"/>
        </w:rPr>
        <w:t xml:space="preserve">Federal Ministry of Women Affairs and Social Development. (2006). </w:t>
      </w:r>
      <w:r w:rsidRPr="00E675F2">
        <w:rPr>
          <w:rFonts w:ascii="Arial" w:hAnsi="Arial" w:cs="Arial"/>
          <w:i/>
          <w:iCs/>
          <w:sz w:val="20"/>
          <w:szCs w:val="20"/>
        </w:rPr>
        <w:t>National gender policy.</w:t>
      </w:r>
      <w:r w:rsidRPr="003C4EAD">
        <w:rPr>
          <w:rFonts w:ascii="Arial" w:hAnsi="Arial" w:cs="Arial"/>
          <w:sz w:val="20"/>
          <w:szCs w:val="20"/>
        </w:rPr>
        <w:t xml:space="preserve"> Abuja</w:t>
      </w:r>
      <w:r w:rsidR="00625CF5">
        <w:rPr>
          <w:rFonts w:ascii="Arial" w:hAnsi="Arial" w:cs="Arial"/>
          <w:sz w:val="20"/>
          <w:szCs w:val="20"/>
        </w:rPr>
        <w:t xml:space="preserve">, </w:t>
      </w:r>
    </w:p>
    <w:p w14:paraId="3B13D462" w14:textId="3A4CFA6A" w:rsidR="00AD49D4" w:rsidRPr="003C4EAD" w:rsidRDefault="00625CF5" w:rsidP="00625CF5">
      <w:pPr>
        <w:spacing w:after="0"/>
        <w:ind w:firstLine="720"/>
        <w:jc w:val="both"/>
        <w:rPr>
          <w:rFonts w:ascii="Arial" w:hAnsi="Arial" w:cs="Arial"/>
          <w:sz w:val="20"/>
          <w:szCs w:val="20"/>
        </w:rPr>
      </w:pPr>
      <w:r w:rsidRPr="00625CF5">
        <w:rPr>
          <w:rFonts w:ascii="Arial" w:hAnsi="Arial" w:cs="Arial"/>
          <w:sz w:val="20"/>
          <w:szCs w:val="20"/>
        </w:rPr>
        <w:t>Nigeria: Federal Ministry of Women Affairs and Social Development.</w:t>
      </w:r>
    </w:p>
    <w:p w14:paraId="14CE2313" w14:textId="4198EA6A" w:rsidR="00F12156" w:rsidRPr="003C4EAD" w:rsidRDefault="00AD49D4" w:rsidP="00AD49D4">
      <w:pPr>
        <w:spacing w:after="0"/>
        <w:jc w:val="both"/>
        <w:rPr>
          <w:rFonts w:ascii="Arial" w:hAnsi="Arial" w:cs="Arial"/>
          <w:sz w:val="20"/>
          <w:szCs w:val="20"/>
        </w:rPr>
      </w:pPr>
      <w:r w:rsidRPr="003C4EAD">
        <w:rPr>
          <w:rFonts w:ascii="Arial" w:hAnsi="Arial" w:cs="Arial"/>
          <w:sz w:val="20"/>
          <w:szCs w:val="20"/>
        </w:rPr>
        <w:t xml:space="preserve">Firestone, S. (1972). </w:t>
      </w:r>
      <w:r w:rsidRPr="003C4EAD">
        <w:rPr>
          <w:rFonts w:ascii="Arial" w:hAnsi="Arial" w:cs="Arial"/>
          <w:i/>
          <w:iCs/>
          <w:sz w:val="20"/>
          <w:szCs w:val="20"/>
        </w:rPr>
        <w:t>The dialectic of sex</w:t>
      </w:r>
      <w:r w:rsidRPr="003C4EAD">
        <w:rPr>
          <w:rFonts w:ascii="Arial" w:hAnsi="Arial" w:cs="Arial"/>
          <w:sz w:val="20"/>
          <w:szCs w:val="20"/>
        </w:rPr>
        <w:t>. London</w:t>
      </w:r>
      <w:r w:rsidR="005F2772">
        <w:rPr>
          <w:rFonts w:ascii="Arial" w:hAnsi="Arial" w:cs="Arial"/>
          <w:sz w:val="20"/>
          <w:szCs w:val="20"/>
        </w:rPr>
        <w:t>, UK</w:t>
      </w:r>
      <w:r w:rsidRPr="003C4EAD">
        <w:rPr>
          <w:rFonts w:ascii="Arial" w:hAnsi="Arial" w:cs="Arial"/>
          <w:sz w:val="20"/>
          <w:szCs w:val="20"/>
        </w:rPr>
        <w:t>: Paladin.</w:t>
      </w:r>
    </w:p>
    <w:p w14:paraId="60CA5393" w14:textId="725F68E6" w:rsidR="009B2DBD" w:rsidRDefault="00F12156" w:rsidP="00AD49D4">
      <w:pPr>
        <w:spacing w:after="0"/>
        <w:jc w:val="both"/>
        <w:rPr>
          <w:rFonts w:ascii="Arial" w:hAnsi="Arial" w:cs="Arial"/>
          <w:sz w:val="20"/>
          <w:szCs w:val="20"/>
        </w:rPr>
      </w:pPr>
      <w:r w:rsidRPr="003C4EAD">
        <w:rPr>
          <w:rFonts w:ascii="Arial" w:hAnsi="Arial" w:cs="Arial"/>
          <w:sz w:val="20"/>
          <w:szCs w:val="20"/>
        </w:rPr>
        <w:t xml:space="preserve">Gbajumo-Sheriff, M. </w:t>
      </w:r>
      <w:r w:rsidR="0082117D">
        <w:rPr>
          <w:rFonts w:ascii="Arial" w:hAnsi="Arial" w:cs="Arial"/>
          <w:sz w:val="20"/>
          <w:szCs w:val="20"/>
        </w:rPr>
        <w:t>(</w:t>
      </w:r>
      <w:r w:rsidRPr="003C4EAD">
        <w:rPr>
          <w:rFonts w:ascii="Arial" w:hAnsi="Arial" w:cs="Arial"/>
          <w:sz w:val="20"/>
          <w:szCs w:val="20"/>
        </w:rPr>
        <w:t>2022</w:t>
      </w:r>
      <w:r w:rsidR="0082117D">
        <w:rPr>
          <w:rFonts w:ascii="Arial" w:hAnsi="Arial" w:cs="Arial"/>
          <w:sz w:val="20"/>
          <w:szCs w:val="20"/>
        </w:rPr>
        <w:t>)</w:t>
      </w:r>
      <w:r w:rsidRPr="003C4EAD">
        <w:rPr>
          <w:rFonts w:ascii="Arial" w:hAnsi="Arial" w:cs="Arial"/>
          <w:sz w:val="20"/>
          <w:szCs w:val="20"/>
        </w:rPr>
        <w:t xml:space="preserve">. Gender equity in Nigeria: Sustainability, diversity, and inclusion. In: </w:t>
      </w:r>
    </w:p>
    <w:p w14:paraId="7D42A95B" w14:textId="45477117" w:rsidR="00F12156" w:rsidRPr="003C4EAD" w:rsidRDefault="00F12156" w:rsidP="009B2DBD">
      <w:pPr>
        <w:spacing w:after="0"/>
        <w:ind w:firstLine="720"/>
        <w:jc w:val="both"/>
        <w:rPr>
          <w:rFonts w:ascii="Arial" w:hAnsi="Arial" w:cs="Arial"/>
          <w:sz w:val="20"/>
          <w:szCs w:val="20"/>
        </w:rPr>
      </w:pPr>
      <w:r w:rsidRPr="003C4EAD">
        <w:rPr>
          <w:rStyle w:val="Emphasis"/>
          <w:rFonts w:ascii="Arial" w:hAnsi="Arial" w:cs="Arial"/>
          <w:sz w:val="20"/>
          <w:szCs w:val="20"/>
        </w:rPr>
        <w:t>Management and Leadership for a Sustainable Africa</w:t>
      </w:r>
      <w:r w:rsidRPr="003C4EAD">
        <w:rPr>
          <w:rFonts w:ascii="Arial" w:hAnsi="Arial" w:cs="Arial"/>
          <w:sz w:val="20"/>
          <w:szCs w:val="20"/>
        </w:rPr>
        <w:t>, Vol. 1. Springer, pp.59–76.</w:t>
      </w:r>
    </w:p>
    <w:p w14:paraId="76715B2D" w14:textId="77777777" w:rsidR="00FE5863" w:rsidRPr="003C4EAD" w:rsidRDefault="00AD49D4" w:rsidP="00AD49D4">
      <w:pPr>
        <w:spacing w:after="0"/>
        <w:jc w:val="both"/>
        <w:rPr>
          <w:rFonts w:ascii="Arial" w:hAnsi="Arial" w:cs="Arial"/>
          <w:sz w:val="20"/>
          <w:szCs w:val="20"/>
        </w:rPr>
      </w:pPr>
      <w:r w:rsidRPr="003C4EAD">
        <w:rPr>
          <w:rFonts w:ascii="Arial" w:hAnsi="Arial" w:cs="Arial"/>
          <w:sz w:val="20"/>
          <w:szCs w:val="20"/>
        </w:rPr>
        <w:t xml:space="preserve">Independent National Electoral Commission (INEC). (2019). </w:t>
      </w:r>
      <w:r w:rsidRPr="003C4EAD">
        <w:rPr>
          <w:rFonts w:ascii="Arial" w:hAnsi="Arial" w:cs="Arial"/>
          <w:i/>
          <w:iCs/>
          <w:sz w:val="20"/>
          <w:szCs w:val="20"/>
        </w:rPr>
        <w:t>2019 general elections report</w:t>
      </w:r>
      <w:r w:rsidRPr="003C4EAD">
        <w:rPr>
          <w:rFonts w:ascii="Arial" w:hAnsi="Arial" w:cs="Arial"/>
          <w:sz w:val="20"/>
          <w:szCs w:val="20"/>
        </w:rPr>
        <w:t xml:space="preserve">. Abuja: </w:t>
      </w:r>
    </w:p>
    <w:p w14:paraId="3E58C4E7" w14:textId="03E800BF" w:rsidR="00AD49D4" w:rsidRPr="003C4EAD" w:rsidRDefault="00AD49D4" w:rsidP="00FE5863">
      <w:pPr>
        <w:spacing w:after="0"/>
        <w:ind w:firstLine="720"/>
        <w:jc w:val="both"/>
        <w:rPr>
          <w:rFonts w:ascii="Arial" w:hAnsi="Arial" w:cs="Arial"/>
          <w:sz w:val="20"/>
          <w:szCs w:val="20"/>
        </w:rPr>
      </w:pPr>
      <w:r w:rsidRPr="003C4EAD">
        <w:rPr>
          <w:rFonts w:ascii="Arial" w:hAnsi="Arial" w:cs="Arial"/>
          <w:sz w:val="20"/>
          <w:szCs w:val="20"/>
        </w:rPr>
        <w:t>INEC.</w:t>
      </w:r>
    </w:p>
    <w:p w14:paraId="3B6D917B" w14:textId="77777777" w:rsidR="00FE5863" w:rsidRPr="003C4EAD" w:rsidRDefault="00AD49D4" w:rsidP="00AD49D4">
      <w:pPr>
        <w:spacing w:after="0"/>
        <w:jc w:val="both"/>
        <w:rPr>
          <w:rFonts w:ascii="Arial" w:hAnsi="Arial" w:cs="Arial"/>
          <w:i/>
          <w:iCs/>
          <w:sz w:val="20"/>
          <w:szCs w:val="20"/>
        </w:rPr>
      </w:pPr>
      <w:r w:rsidRPr="003C4EAD">
        <w:rPr>
          <w:rFonts w:ascii="Arial" w:hAnsi="Arial" w:cs="Arial"/>
          <w:sz w:val="20"/>
          <w:szCs w:val="20"/>
        </w:rPr>
        <w:t xml:space="preserve">Lawal, A. A. (2006). Education and gender equity in Nigeria: A historical perspective. </w:t>
      </w:r>
      <w:r w:rsidRPr="003C4EAD">
        <w:rPr>
          <w:rFonts w:ascii="Arial" w:hAnsi="Arial" w:cs="Arial"/>
          <w:i/>
          <w:iCs/>
          <w:sz w:val="20"/>
          <w:szCs w:val="20"/>
        </w:rPr>
        <w:t xml:space="preserve">Journal of Social </w:t>
      </w:r>
    </w:p>
    <w:p w14:paraId="3DB4CE75" w14:textId="33A3D588" w:rsidR="00AD49D4" w:rsidRPr="003C4EAD" w:rsidRDefault="00AD49D4" w:rsidP="00FE5863">
      <w:pPr>
        <w:spacing w:after="0"/>
        <w:ind w:firstLine="720"/>
        <w:jc w:val="both"/>
        <w:rPr>
          <w:rFonts w:ascii="Arial" w:hAnsi="Arial" w:cs="Arial"/>
          <w:sz w:val="20"/>
          <w:szCs w:val="20"/>
        </w:rPr>
      </w:pPr>
      <w:r w:rsidRPr="003C4EAD">
        <w:rPr>
          <w:rFonts w:ascii="Arial" w:hAnsi="Arial" w:cs="Arial"/>
          <w:i/>
          <w:iCs/>
          <w:sz w:val="20"/>
          <w:szCs w:val="20"/>
        </w:rPr>
        <w:t>Sciences, 13</w:t>
      </w:r>
      <w:r w:rsidR="00E642BA" w:rsidRPr="003C4EAD">
        <w:rPr>
          <w:rFonts w:ascii="Arial" w:hAnsi="Arial" w:cs="Arial"/>
          <w:sz w:val="20"/>
          <w:szCs w:val="20"/>
        </w:rPr>
        <w:t>(3), 331–336.</w:t>
      </w:r>
    </w:p>
    <w:p w14:paraId="5530D3A3" w14:textId="77777777" w:rsidR="00FE5863" w:rsidRPr="003C4EAD" w:rsidRDefault="00AD49D4" w:rsidP="00AD49D4">
      <w:pPr>
        <w:spacing w:after="0"/>
        <w:jc w:val="both"/>
        <w:rPr>
          <w:rFonts w:ascii="Arial" w:hAnsi="Arial" w:cs="Arial"/>
          <w:i/>
          <w:iCs/>
          <w:sz w:val="20"/>
          <w:szCs w:val="20"/>
        </w:rPr>
      </w:pPr>
      <w:r w:rsidRPr="003C4EAD">
        <w:rPr>
          <w:rFonts w:ascii="Arial" w:hAnsi="Arial" w:cs="Arial"/>
          <w:sz w:val="20"/>
          <w:szCs w:val="20"/>
        </w:rPr>
        <w:t xml:space="preserve">McKinsey Global Institute. (2015). </w:t>
      </w:r>
      <w:r w:rsidRPr="003C4EAD">
        <w:rPr>
          <w:rFonts w:ascii="Arial" w:hAnsi="Arial" w:cs="Arial"/>
          <w:i/>
          <w:iCs/>
          <w:sz w:val="20"/>
          <w:szCs w:val="20"/>
        </w:rPr>
        <w:t xml:space="preserve">The power of parity: How advancing women’s equality can add $12 </w:t>
      </w:r>
    </w:p>
    <w:p w14:paraId="5C6129A8" w14:textId="7572EE67" w:rsidR="00AD49D4" w:rsidRPr="003C4EAD" w:rsidRDefault="00AD49D4" w:rsidP="00FE5863">
      <w:pPr>
        <w:spacing w:after="0"/>
        <w:ind w:firstLine="720"/>
        <w:jc w:val="both"/>
        <w:rPr>
          <w:rFonts w:ascii="Arial" w:hAnsi="Arial" w:cs="Arial"/>
          <w:sz w:val="20"/>
          <w:szCs w:val="20"/>
        </w:rPr>
      </w:pPr>
      <w:r w:rsidRPr="003C4EAD">
        <w:rPr>
          <w:rFonts w:ascii="Arial" w:hAnsi="Arial" w:cs="Arial"/>
          <w:i/>
          <w:iCs/>
          <w:sz w:val="20"/>
          <w:szCs w:val="20"/>
        </w:rPr>
        <w:t>trillion to global growth</w:t>
      </w:r>
      <w:r w:rsidRPr="003C4EAD">
        <w:rPr>
          <w:rFonts w:ascii="Arial" w:hAnsi="Arial" w:cs="Arial"/>
          <w:sz w:val="20"/>
          <w:szCs w:val="20"/>
        </w:rPr>
        <w:t>. McKinsey &amp; Company.</w:t>
      </w:r>
    </w:p>
    <w:p w14:paraId="1687F2FE" w14:textId="77777777" w:rsidR="00AD49D4" w:rsidRPr="003C4EAD" w:rsidRDefault="00AD49D4" w:rsidP="00AD49D4">
      <w:pPr>
        <w:spacing w:after="0"/>
        <w:jc w:val="both"/>
        <w:rPr>
          <w:rFonts w:ascii="Arial" w:hAnsi="Arial" w:cs="Arial"/>
          <w:sz w:val="20"/>
          <w:szCs w:val="20"/>
        </w:rPr>
      </w:pPr>
      <w:r w:rsidRPr="003C4EAD">
        <w:rPr>
          <w:rFonts w:ascii="Arial" w:hAnsi="Arial" w:cs="Arial"/>
          <w:sz w:val="20"/>
          <w:szCs w:val="20"/>
        </w:rPr>
        <w:t xml:space="preserve">National Bureau of Statistics (NBS). (2006). </w:t>
      </w:r>
      <w:r w:rsidRPr="003C4EAD">
        <w:rPr>
          <w:rFonts w:ascii="Arial" w:hAnsi="Arial" w:cs="Arial"/>
          <w:i/>
          <w:iCs/>
          <w:sz w:val="20"/>
          <w:szCs w:val="20"/>
        </w:rPr>
        <w:t>2006 population and housing census</w:t>
      </w:r>
      <w:r w:rsidRPr="003C4EAD">
        <w:rPr>
          <w:rFonts w:ascii="Arial" w:hAnsi="Arial" w:cs="Arial"/>
          <w:sz w:val="20"/>
          <w:szCs w:val="20"/>
        </w:rPr>
        <w:t>. Abuja: NBS.</w:t>
      </w:r>
    </w:p>
    <w:p w14:paraId="7F946B8E" w14:textId="77777777" w:rsidR="00A15C3B" w:rsidRDefault="00A15C3B" w:rsidP="00AD49D4">
      <w:pPr>
        <w:spacing w:after="0"/>
        <w:jc w:val="both"/>
        <w:rPr>
          <w:rFonts w:ascii="Arial" w:hAnsi="Arial" w:cs="Arial"/>
          <w:sz w:val="20"/>
          <w:szCs w:val="20"/>
        </w:rPr>
      </w:pPr>
      <w:r w:rsidRPr="00A15C3B">
        <w:rPr>
          <w:rFonts w:ascii="Arial" w:hAnsi="Arial" w:cs="Arial"/>
          <w:sz w:val="20"/>
          <w:szCs w:val="20"/>
        </w:rPr>
        <w:t xml:space="preserve">National Population Commission (NPC). (2006). </w:t>
      </w:r>
      <w:r w:rsidRPr="00A15C3B">
        <w:rPr>
          <w:rFonts w:ascii="Arial" w:hAnsi="Arial" w:cs="Arial"/>
          <w:i/>
          <w:iCs/>
          <w:sz w:val="20"/>
          <w:szCs w:val="20"/>
        </w:rPr>
        <w:t>2006 population and housing census</w:t>
      </w:r>
      <w:r w:rsidRPr="00A15C3B">
        <w:rPr>
          <w:rFonts w:ascii="Arial" w:hAnsi="Arial" w:cs="Arial"/>
          <w:sz w:val="20"/>
          <w:szCs w:val="20"/>
        </w:rPr>
        <w:t xml:space="preserve">. Abuja, Nigeria: </w:t>
      </w:r>
    </w:p>
    <w:p w14:paraId="254DCA90" w14:textId="3460C5E3" w:rsidR="00A15C3B" w:rsidRDefault="00A15C3B" w:rsidP="00A15C3B">
      <w:pPr>
        <w:spacing w:after="0"/>
        <w:ind w:firstLine="720"/>
        <w:jc w:val="both"/>
        <w:rPr>
          <w:rFonts w:ascii="Arial" w:hAnsi="Arial" w:cs="Arial"/>
          <w:sz w:val="20"/>
          <w:szCs w:val="20"/>
        </w:rPr>
      </w:pPr>
      <w:r w:rsidRPr="00A15C3B">
        <w:rPr>
          <w:rFonts w:ascii="Arial" w:hAnsi="Arial" w:cs="Arial"/>
          <w:sz w:val="20"/>
          <w:szCs w:val="20"/>
        </w:rPr>
        <w:t>NPC.</w:t>
      </w:r>
    </w:p>
    <w:p w14:paraId="6341324B" w14:textId="14F8BBEA" w:rsidR="00A12F4D" w:rsidRPr="003C4EAD" w:rsidRDefault="00AD49D4" w:rsidP="00AD49D4">
      <w:pPr>
        <w:spacing w:after="0"/>
        <w:jc w:val="both"/>
        <w:rPr>
          <w:rFonts w:ascii="Arial" w:hAnsi="Arial" w:cs="Arial"/>
          <w:sz w:val="20"/>
          <w:szCs w:val="20"/>
        </w:rPr>
      </w:pPr>
      <w:r w:rsidRPr="003C4EAD">
        <w:rPr>
          <w:rFonts w:ascii="Arial" w:hAnsi="Arial" w:cs="Arial"/>
          <w:sz w:val="20"/>
          <w:szCs w:val="20"/>
        </w:rPr>
        <w:t xml:space="preserve">Nwogu, M. I. O., &amp; Okonkwo, A. N. (2023). Cultural and legislative constraints militating against </w:t>
      </w:r>
    </w:p>
    <w:p w14:paraId="2232AD94" w14:textId="130C8B1A" w:rsidR="00AD49D4" w:rsidRPr="003C4EAD" w:rsidRDefault="00AD49D4" w:rsidP="00A12F4D">
      <w:pPr>
        <w:spacing w:after="0"/>
        <w:ind w:left="720"/>
        <w:jc w:val="both"/>
        <w:rPr>
          <w:rFonts w:ascii="Arial" w:hAnsi="Arial" w:cs="Arial"/>
          <w:sz w:val="20"/>
          <w:szCs w:val="20"/>
        </w:rPr>
      </w:pPr>
      <w:r w:rsidRPr="003C4EAD">
        <w:rPr>
          <w:rFonts w:ascii="Arial" w:hAnsi="Arial" w:cs="Arial"/>
          <w:sz w:val="20"/>
          <w:szCs w:val="20"/>
        </w:rPr>
        <w:t xml:space="preserve">women’s rights in Nigeria: The way forward for a more inclusive protection. </w:t>
      </w:r>
      <w:r w:rsidRPr="003C4EAD">
        <w:rPr>
          <w:rFonts w:ascii="Arial" w:hAnsi="Arial" w:cs="Arial"/>
          <w:i/>
          <w:iCs/>
          <w:sz w:val="20"/>
          <w:szCs w:val="20"/>
        </w:rPr>
        <w:t>Nnamdi Azikiwe University Journal of International Law and Jurisprudence, 14</w:t>
      </w:r>
      <w:r w:rsidRPr="003C4EAD">
        <w:rPr>
          <w:rFonts w:ascii="Arial" w:hAnsi="Arial" w:cs="Arial"/>
          <w:sz w:val="20"/>
          <w:szCs w:val="20"/>
        </w:rPr>
        <w:t>(1), 42–53.</w:t>
      </w:r>
    </w:p>
    <w:p w14:paraId="687F2AAF" w14:textId="77777777" w:rsidR="00A12F4D" w:rsidRPr="003C4EAD" w:rsidRDefault="00AD49D4" w:rsidP="00AD49D4">
      <w:pPr>
        <w:spacing w:after="0"/>
        <w:jc w:val="both"/>
        <w:rPr>
          <w:rFonts w:ascii="Arial" w:hAnsi="Arial" w:cs="Arial"/>
          <w:sz w:val="20"/>
          <w:szCs w:val="20"/>
        </w:rPr>
      </w:pPr>
      <w:r w:rsidRPr="003C4EAD">
        <w:rPr>
          <w:rFonts w:ascii="Arial" w:hAnsi="Arial" w:cs="Arial"/>
          <w:sz w:val="20"/>
          <w:szCs w:val="20"/>
        </w:rPr>
        <w:t xml:space="preserve">Okeke-Ihejirika, P., &amp; Franceschet, S. (2002). Democratization and state feminism: Gender politics in </w:t>
      </w:r>
    </w:p>
    <w:p w14:paraId="0D39D239" w14:textId="1B433E80" w:rsidR="00AD49D4" w:rsidRPr="003C4EAD" w:rsidRDefault="00AD49D4" w:rsidP="00A12F4D">
      <w:pPr>
        <w:spacing w:after="0"/>
        <w:ind w:left="720"/>
        <w:jc w:val="both"/>
        <w:rPr>
          <w:rFonts w:ascii="Arial" w:hAnsi="Arial" w:cs="Arial"/>
          <w:sz w:val="20"/>
          <w:szCs w:val="20"/>
        </w:rPr>
      </w:pPr>
      <w:r w:rsidRPr="003C4EAD">
        <w:rPr>
          <w:rFonts w:ascii="Arial" w:hAnsi="Arial" w:cs="Arial"/>
          <w:sz w:val="20"/>
          <w:szCs w:val="20"/>
        </w:rPr>
        <w:t xml:space="preserve">Africa and Latin America. </w:t>
      </w:r>
      <w:r w:rsidRPr="003C4EAD">
        <w:rPr>
          <w:rFonts w:ascii="Arial" w:hAnsi="Arial" w:cs="Arial"/>
          <w:i/>
          <w:iCs/>
          <w:sz w:val="20"/>
          <w:szCs w:val="20"/>
        </w:rPr>
        <w:t>Development and Change, 33</w:t>
      </w:r>
      <w:r w:rsidRPr="003C4EAD">
        <w:rPr>
          <w:rFonts w:ascii="Arial" w:hAnsi="Arial" w:cs="Arial"/>
          <w:sz w:val="20"/>
          <w:szCs w:val="20"/>
        </w:rPr>
        <w:t xml:space="preserve">(3), 439–466. </w:t>
      </w:r>
    </w:p>
    <w:p w14:paraId="16D634AA" w14:textId="77777777" w:rsidR="00A12F4D" w:rsidRPr="003C4EAD" w:rsidRDefault="00AD49D4" w:rsidP="00AD49D4">
      <w:pPr>
        <w:spacing w:after="0"/>
        <w:jc w:val="both"/>
        <w:rPr>
          <w:rFonts w:ascii="Arial" w:hAnsi="Arial" w:cs="Arial"/>
          <w:sz w:val="20"/>
          <w:szCs w:val="20"/>
        </w:rPr>
      </w:pPr>
      <w:proofErr w:type="spellStart"/>
      <w:r w:rsidRPr="003C4EAD">
        <w:rPr>
          <w:rFonts w:ascii="Arial" w:hAnsi="Arial" w:cs="Arial"/>
          <w:sz w:val="20"/>
          <w:szCs w:val="20"/>
        </w:rPr>
        <w:t>Okonjo</w:t>
      </w:r>
      <w:proofErr w:type="spellEnd"/>
      <w:r w:rsidRPr="003C4EAD">
        <w:rPr>
          <w:rFonts w:ascii="Arial" w:hAnsi="Arial" w:cs="Arial"/>
          <w:sz w:val="20"/>
          <w:szCs w:val="20"/>
        </w:rPr>
        <w:t xml:space="preserve">, K. (1991). The dual-sex political system in operation: Igbo women and community politics in </w:t>
      </w:r>
    </w:p>
    <w:p w14:paraId="6B723660" w14:textId="77777777" w:rsidR="00F12156" w:rsidRPr="003C4EAD" w:rsidRDefault="00AD49D4" w:rsidP="00F12156">
      <w:pPr>
        <w:spacing w:after="0"/>
        <w:ind w:left="720"/>
        <w:jc w:val="both"/>
        <w:rPr>
          <w:rFonts w:ascii="Arial" w:hAnsi="Arial" w:cs="Arial"/>
          <w:sz w:val="20"/>
          <w:szCs w:val="20"/>
        </w:rPr>
      </w:pPr>
      <w:r w:rsidRPr="003C4EAD">
        <w:rPr>
          <w:rFonts w:ascii="Arial" w:hAnsi="Arial" w:cs="Arial"/>
          <w:sz w:val="20"/>
          <w:szCs w:val="20"/>
        </w:rPr>
        <w:t xml:space="preserve">midwestern Nigeria. In N. </w:t>
      </w:r>
      <w:proofErr w:type="spellStart"/>
      <w:r w:rsidRPr="003C4EAD">
        <w:rPr>
          <w:rFonts w:ascii="Arial" w:hAnsi="Arial" w:cs="Arial"/>
          <w:sz w:val="20"/>
          <w:szCs w:val="20"/>
        </w:rPr>
        <w:t>Hafkin</w:t>
      </w:r>
      <w:proofErr w:type="spellEnd"/>
      <w:r w:rsidRPr="003C4EAD">
        <w:rPr>
          <w:rFonts w:ascii="Arial" w:hAnsi="Arial" w:cs="Arial"/>
          <w:sz w:val="20"/>
          <w:szCs w:val="20"/>
        </w:rPr>
        <w:t xml:space="preserve"> &amp; E. Bay (Eds.), </w:t>
      </w:r>
      <w:r w:rsidRPr="003C4EAD">
        <w:rPr>
          <w:rFonts w:ascii="Arial" w:hAnsi="Arial" w:cs="Arial"/>
          <w:i/>
          <w:iCs/>
          <w:sz w:val="20"/>
          <w:szCs w:val="20"/>
        </w:rPr>
        <w:t>Women in Africa: Studies in social and economic change</w:t>
      </w:r>
      <w:r w:rsidRPr="003C4EAD">
        <w:rPr>
          <w:rFonts w:ascii="Arial" w:hAnsi="Arial" w:cs="Arial"/>
          <w:sz w:val="20"/>
          <w:szCs w:val="20"/>
        </w:rPr>
        <w:t xml:space="preserve"> (pp. 45–58). Stanford: Stanford University Press.</w:t>
      </w:r>
    </w:p>
    <w:p w14:paraId="6D028369" w14:textId="77777777" w:rsidR="00575C7A" w:rsidRDefault="00F12156" w:rsidP="00575C7A">
      <w:pPr>
        <w:spacing w:after="0"/>
        <w:jc w:val="both"/>
        <w:rPr>
          <w:rFonts w:ascii="Arial" w:hAnsi="Arial" w:cs="Arial"/>
          <w:sz w:val="20"/>
          <w:szCs w:val="20"/>
        </w:rPr>
      </w:pPr>
      <w:r w:rsidRPr="003C4EAD">
        <w:rPr>
          <w:rFonts w:ascii="Arial" w:hAnsi="Arial" w:cs="Arial"/>
          <w:sz w:val="20"/>
          <w:szCs w:val="20"/>
        </w:rPr>
        <w:t xml:space="preserve">Olanrewaju, A., Pathak, R., and </w:t>
      </w:r>
      <w:proofErr w:type="spellStart"/>
      <w:r w:rsidRPr="003C4EAD">
        <w:rPr>
          <w:rFonts w:ascii="Arial" w:hAnsi="Arial" w:cs="Arial"/>
          <w:sz w:val="20"/>
          <w:szCs w:val="20"/>
        </w:rPr>
        <w:t>Rewhorn</w:t>
      </w:r>
      <w:proofErr w:type="spellEnd"/>
      <w:r w:rsidRPr="003C4EAD">
        <w:rPr>
          <w:rFonts w:ascii="Arial" w:hAnsi="Arial" w:cs="Arial"/>
          <w:sz w:val="20"/>
          <w:szCs w:val="20"/>
        </w:rPr>
        <w:t xml:space="preserve">, S., </w:t>
      </w:r>
      <w:r w:rsidR="00575C7A">
        <w:rPr>
          <w:rFonts w:ascii="Arial" w:hAnsi="Arial" w:cs="Arial"/>
          <w:sz w:val="20"/>
          <w:szCs w:val="20"/>
        </w:rPr>
        <w:t>(</w:t>
      </w:r>
      <w:r w:rsidRPr="003C4EAD">
        <w:rPr>
          <w:rFonts w:ascii="Arial" w:hAnsi="Arial" w:cs="Arial"/>
          <w:sz w:val="20"/>
          <w:szCs w:val="20"/>
        </w:rPr>
        <w:t>2015</w:t>
      </w:r>
      <w:r w:rsidR="00575C7A">
        <w:rPr>
          <w:rFonts w:ascii="Arial" w:hAnsi="Arial" w:cs="Arial"/>
          <w:sz w:val="20"/>
          <w:szCs w:val="20"/>
        </w:rPr>
        <w:t>)</w:t>
      </w:r>
      <w:r w:rsidRPr="003C4EAD">
        <w:rPr>
          <w:rFonts w:ascii="Arial" w:hAnsi="Arial" w:cs="Arial"/>
          <w:sz w:val="20"/>
          <w:szCs w:val="20"/>
        </w:rPr>
        <w:t xml:space="preserve">. Gender inequality: Determinants and outcomes </w:t>
      </w:r>
    </w:p>
    <w:p w14:paraId="058A4EAE" w14:textId="630CE7D7" w:rsidR="00F12156" w:rsidRPr="003C4EAD" w:rsidRDefault="00F12156" w:rsidP="00575C7A">
      <w:pPr>
        <w:spacing w:after="0"/>
        <w:ind w:firstLine="720"/>
        <w:jc w:val="both"/>
        <w:rPr>
          <w:rFonts w:ascii="Arial" w:hAnsi="Arial" w:cs="Arial"/>
          <w:sz w:val="20"/>
          <w:szCs w:val="20"/>
        </w:rPr>
      </w:pPr>
      <w:r w:rsidRPr="003C4EAD">
        <w:rPr>
          <w:rFonts w:ascii="Arial" w:hAnsi="Arial" w:cs="Arial"/>
          <w:sz w:val="20"/>
          <w:szCs w:val="20"/>
        </w:rPr>
        <w:t xml:space="preserve">in Nigeria. </w:t>
      </w:r>
      <w:r w:rsidRPr="003C4EAD">
        <w:rPr>
          <w:rStyle w:val="Emphasis"/>
          <w:rFonts w:ascii="Arial" w:hAnsi="Arial" w:cs="Arial"/>
          <w:sz w:val="20"/>
          <w:szCs w:val="20"/>
        </w:rPr>
        <w:t>Journal of Business and Socio-Economic Development</w:t>
      </w:r>
      <w:r w:rsidRPr="003C4EAD">
        <w:rPr>
          <w:rFonts w:ascii="Arial" w:hAnsi="Arial" w:cs="Arial"/>
          <w:sz w:val="20"/>
          <w:szCs w:val="20"/>
        </w:rPr>
        <w:t>, 4(1), 231-244</w:t>
      </w:r>
    </w:p>
    <w:p w14:paraId="04ADA7E9" w14:textId="77777777" w:rsidR="008A6379" w:rsidRDefault="004E2DCE" w:rsidP="004E2DCE">
      <w:pPr>
        <w:spacing w:after="0"/>
        <w:jc w:val="both"/>
        <w:rPr>
          <w:rFonts w:ascii="Arial" w:hAnsi="Arial" w:cs="Arial"/>
          <w:sz w:val="20"/>
          <w:szCs w:val="20"/>
        </w:rPr>
      </w:pPr>
      <w:r w:rsidRPr="003C4EAD">
        <w:rPr>
          <w:rFonts w:ascii="Arial" w:hAnsi="Arial" w:cs="Arial"/>
          <w:sz w:val="20"/>
          <w:szCs w:val="20"/>
        </w:rPr>
        <w:t xml:space="preserve">Ono, Y. and Endo, Y. (2024). The underrepresentation of women in politics: A literature review on </w:t>
      </w:r>
    </w:p>
    <w:p w14:paraId="6ADCEF46" w14:textId="1AC7E5DC" w:rsidR="004E2DCE" w:rsidRPr="003C4EAD" w:rsidRDefault="004E2DCE" w:rsidP="008A6379">
      <w:pPr>
        <w:spacing w:after="0"/>
        <w:ind w:left="720"/>
        <w:jc w:val="both"/>
        <w:rPr>
          <w:rFonts w:ascii="Arial" w:hAnsi="Arial" w:cs="Arial"/>
          <w:sz w:val="20"/>
          <w:szCs w:val="20"/>
        </w:rPr>
      </w:pPr>
      <w:r w:rsidRPr="003C4EAD">
        <w:rPr>
          <w:rFonts w:ascii="Arial" w:hAnsi="Arial" w:cs="Arial"/>
          <w:sz w:val="20"/>
          <w:szCs w:val="20"/>
        </w:rPr>
        <w:t>gender bias in political recruitment process. Interdiscipl</w:t>
      </w:r>
      <w:r w:rsidR="009603D4" w:rsidRPr="003C4EAD">
        <w:rPr>
          <w:rFonts w:ascii="Arial" w:hAnsi="Arial" w:cs="Arial"/>
          <w:sz w:val="20"/>
          <w:szCs w:val="20"/>
        </w:rPr>
        <w:t xml:space="preserve">inary Information Sciences, </w:t>
      </w:r>
      <w:r w:rsidRPr="003C4EAD">
        <w:rPr>
          <w:rFonts w:ascii="Arial" w:hAnsi="Arial" w:cs="Arial"/>
          <w:sz w:val="20"/>
          <w:szCs w:val="20"/>
        </w:rPr>
        <w:t>30(1), 36-53.</w:t>
      </w:r>
    </w:p>
    <w:p w14:paraId="04E6B1ED" w14:textId="77777777" w:rsidR="00A12F4D" w:rsidRPr="003C4EAD" w:rsidRDefault="00AD49D4" w:rsidP="00AD49D4">
      <w:pPr>
        <w:spacing w:after="0"/>
        <w:jc w:val="both"/>
        <w:rPr>
          <w:rFonts w:ascii="Arial" w:hAnsi="Arial" w:cs="Arial"/>
          <w:sz w:val="20"/>
          <w:szCs w:val="20"/>
        </w:rPr>
      </w:pPr>
      <w:proofErr w:type="spellStart"/>
      <w:r w:rsidRPr="003C4EAD">
        <w:rPr>
          <w:rFonts w:ascii="Arial" w:hAnsi="Arial" w:cs="Arial"/>
          <w:sz w:val="20"/>
          <w:szCs w:val="20"/>
        </w:rPr>
        <w:t>Oyekanmi</w:t>
      </w:r>
      <w:proofErr w:type="spellEnd"/>
      <w:r w:rsidRPr="003C4EAD">
        <w:rPr>
          <w:rFonts w:ascii="Arial" w:hAnsi="Arial" w:cs="Arial"/>
          <w:sz w:val="20"/>
          <w:szCs w:val="20"/>
        </w:rPr>
        <w:t xml:space="preserve">, F. D. (2008). Widowhood in Nigeria: Problems and prospects for development. In T. Falola </w:t>
      </w:r>
    </w:p>
    <w:p w14:paraId="58EDEA91" w14:textId="452E3F22" w:rsidR="00AD49D4" w:rsidRPr="003C4EAD" w:rsidRDefault="00AD49D4" w:rsidP="00A12F4D">
      <w:pPr>
        <w:spacing w:after="0"/>
        <w:ind w:left="720"/>
        <w:jc w:val="both"/>
        <w:rPr>
          <w:rFonts w:ascii="Arial" w:hAnsi="Arial" w:cs="Arial"/>
          <w:sz w:val="20"/>
          <w:szCs w:val="20"/>
        </w:rPr>
      </w:pPr>
      <w:r w:rsidRPr="003C4EAD">
        <w:rPr>
          <w:rFonts w:ascii="Arial" w:hAnsi="Arial" w:cs="Arial"/>
          <w:sz w:val="20"/>
          <w:szCs w:val="20"/>
        </w:rPr>
        <w:t xml:space="preserve">&amp; O. C. </w:t>
      </w:r>
      <w:proofErr w:type="spellStart"/>
      <w:r w:rsidRPr="003C4EAD">
        <w:rPr>
          <w:rFonts w:ascii="Arial" w:hAnsi="Arial" w:cs="Arial"/>
          <w:sz w:val="20"/>
          <w:szCs w:val="20"/>
        </w:rPr>
        <w:t>Okpeh</w:t>
      </w:r>
      <w:proofErr w:type="spellEnd"/>
      <w:r w:rsidRPr="003C4EAD">
        <w:rPr>
          <w:rFonts w:ascii="Arial" w:hAnsi="Arial" w:cs="Arial"/>
          <w:sz w:val="20"/>
          <w:szCs w:val="20"/>
        </w:rPr>
        <w:t xml:space="preserve"> (Eds.), </w:t>
      </w:r>
      <w:r w:rsidRPr="003C4EAD">
        <w:rPr>
          <w:rFonts w:ascii="Arial" w:hAnsi="Arial" w:cs="Arial"/>
          <w:i/>
          <w:iCs/>
          <w:sz w:val="20"/>
          <w:szCs w:val="20"/>
        </w:rPr>
        <w:t>Population movements, conflicts and displacements in Nigeria</w:t>
      </w:r>
      <w:r w:rsidR="00E422BC">
        <w:rPr>
          <w:rFonts w:ascii="Arial" w:hAnsi="Arial" w:cs="Arial"/>
          <w:sz w:val="20"/>
          <w:szCs w:val="20"/>
        </w:rPr>
        <w:t xml:space="preserve"> (</w:t>
      </w:r>
      <w:r w:rsidR="00C473D9">
        <w:rPr>
          <w:rFonts w:ascii="Arial" w:hAnsi="Arial" w:cs="Arial"/>
          <w:sz w:val="20"/>
          <w:szCs w:val="20"/>
        </w:rPr>
        <w:t xml:space="preserve">pp. </w:t>
      </w:r>
      <w:r w:rsidR="00E422BC">
        <w:rPr>
          <w:rFonts w:ascii="Arial" w:hAnsi="Arial" w:cs="Arial"/>
          <w:sz w:val="20"/>
          <w:szCs w:val="20"/>
        </w:rPr>
        <w:t xml:space="preserve">213-229). </w:t>
      </w:r>
      <w:r w:rsidRPr="003C4EAD">
        <w:rPr>
          <w:rFonts w:ascii="Arial" w:hAnsi="Arial" w:cs="Arial"/>
          <w:sz w:val="20"/>
          <w:szCs w:val="20"/>
        </w:rPr>
        <w:t>Trenton</w:t>
      </w:r>
      <w:r w:rsidR="00C473D9">
        <w:rPr>
          <w:rFonts w:ascii="Arial" w:hAnsi="Arial" w:cs="Arial"/>
          <w:sz w:val="20"/>
          <w:szCs w:val="20"/>
        </w:rPr>
        <w:t>, NJ</w:t>
      </w:r>
      <w:r w:rsidRPr="003C4EAD">
        <w:rPr>
          <w:rFonts w:ascii="Arial" w:hAnsi="Arial" w:cs="Arial"/>
          <w:sz w:val="20"/>
          <w:szCs w:val="20"/>
        </w:rPr>
        <w:t>: Africa World Press.</w:t>
      </w:r>
    </w:p>
    <w:p w14:paraId="584AF5C5" w14:textId="77777777" w:rsidR="00A12F4D" w:rsidRPr="003C4EAD" w:rsidRDefault="00AD49D4" w:rsidP="00AD49D4">
      <w:pPr>
        <w:spacing w:after="0"/>
        <w:jc w:val="both"/>
        <w:rPr>
          <w:rFonts w:ascii="Arial" w:hAnsi="Arial" w:cs="Arial"/>
          <w:i/>
          <w:iCs/>
          <w:sz w:val="20"/>
          <w:szCs w:val="20"/>
        </w:rPr>
      </w:pPr>
      <w:r w:rsidRPr="003C4EAD">
        <w:rPr>
          <w:rFonts w:ascii="Arial" w:hAnsi="Arial" w:cs="Arial"/>
          <w:sz w:val="20"/>
          <w:szCs w:val="20"/>
        </w:rPr>
        <w:t xml:space="preserve">Scott, J. W. (1986). Gender: A useful category of historical analysis. </w:t>
      </w:r>
      <w:r w:rsidRPr="003C4EAD">
        <w:rPr>
          <w:rFonts w:ascii="Arial" w:hAnsi="Arial" w:cs="Arial"/>
          <w:i/>
          <w:iCs/>
          <w:sz w:val="20"/>
          <w:szCs w:val="20"/>
        </w:rPr>
        <w:t xml:space="preserve">The American Historical Review, </w:t>
      </w:r>
    </w:p>
    <w:p w14:paraId="26346344" w14:textId="7DB2DD78" w:rsidR="00AD49D4" w:rsidRPr="003C4EAD" w:rsidRDefault="00AD49D4" w:rsidP="00A12F4D">
      <w:pPr>
        <w:spacing w:after="0"/>
        <w:ind w:firstLine="720"/>
        <w:jc w:val="both"/>
        <w:rPr>
          <w:rFonts w:ascii="Arial" w:hAnsi="Arial" w:cs="Arial"/>
          <w:sz w:val="20"/>
          <w:szCs w:val="20"/>
        </w:rPr>
      </w:pPr>
      <w:r w:rsidRPr="003C4EAD">
        <w:rPr>
          <w:rFonts w:ascii="Arial" w:hAnsi="Arial" w:cs="Arial"/>
          <w:i/>
          <w:iCs/>
          <w:sz w:val="20"/>
          <w:szCs w:val="20"/>
        </w:rPr>
        <w:t>91</w:t>
      </w:r>
      <w:r w:rsidRPr="003C4EAD">
        <w:rPr>
          <w:rFonts w:ascii="Arial" w:hAnsi="Arial" w:cs="Arial"/>
          <w:sz w:val="20"/>
          <w:szCs w:val="20"/>
        </w:rPr>
        <w:t xml:space="preserve">(5), 1053–1075. </w:t>
      </w:r>
    </w:p>
    <w:p w14:paraId="42D0F45B" w14:textId="77777777" w:rsidR="00AD49D4" w:rsidRPr="003C4EAD" w:rsidRDefault="00AD49D4" w:rsidP="00AD49D4">
      <w:pPr>
        <w:spacing w:after="0"/>
        <w:jc w:val="both"/>
        <w:rPr>
          <w:rFonts w:ascii="Arial" w:hAnsi="Arial" w:cs="Arial"/>
          <w:sz w:val="20"/>
          <w:szCs w:val="20"/>
        </w:rPr>
      </w:pPr>
      <w:r w:rsidRPr="003C4EAD">
        <w:rPr>
          <w:rFonts w:ascii="Arial" w:hAnsi="Arial" w:cs="Arial"/>
          <w:sz w:val="20"/>
          <w:szCs w:val="20"/>
        </w:rPr>
        <w:t xml:space="preserve">Sen, A. (1999). </w:t>
      </w:r>
      <w:r w:rsidRPr="003C4EAD">
        <w:rPr>
          <w:rFonts w:ascii="Arial" w:hAnsi="Arial" w:cs="Arial"/>
          <w:i/>
          <w:iCs/>
          <w:sz w:val="20"/>
          <w:szCs w:val="20"/>
        </w:rPr>
        <w:t>Development as freedom</w:t>
      </w:r>
      <w:r w:rsidRPr="003C4EAD">
        <w:rPr>
          <w:rFonts w:ascii="Arial" w:hAnsi="Arial" w:cs="Arial"/>
          <w:sz w:val="20"/>
          <w:szCs w:val="20"/>
        </w:rPr>
        <w:t>. New York: Alfred A. Knopf.</w:t>
      </w:r>
    </w:p>
    <w:p w14:paraId="63D79232" w14:textId="639A41C0" w:rsidR="003A5DF6" w:rsidRPr="003C4EAD" w:rsidRDefault="003A5DF6" w:rsidP="003A5DF6">
      <w:pPr>
        <w:spacing w:after="0" w:line="240" w:lineRule="auto"/>
        <w:jc w:val="both"/>
        <w:rPr>
          <w:rFonts w:ascii="Arial" w:hAnsi="Arial" w:cs="Arial"/>
          <w:sz w:val="20"/>
          <w:szCs w:val="20"/>
        </w:rPr>
      </w:pPr>
      <w:r w:rsidRPr="003C4EAD">
        <w:rPr>
          <w:rFonts w:ascii="Arial" w:hAnsi="Arial" w:cs="Arial"/>
          <w:sz w:val="20"/>
          <w:szCs w:val="20"/>
        </w:rPr>
        <w:t xml:space="preserve">Tuki, D. (2024). Examining the effect of gender, education, and religion on attitudes toward gender </w:t>
      </w:r>
    </w:p>
    <w:p w14:paraId="4BF84F6F" w14:textId="6E45FE34" w:rsidR="003A5DF6" w:rsidRPr="003C4EAD" w:rsidRDefault="003A5DF6" w:rsidP="003A5DF6">
      <w:pPr>
        <w:spacing w:after="0" w:line="240" w:lineRule="auto"/>
        <w:ind w:left="720"/>
        <w:jc w:val="both"/>
        <w:rPr>
          <w:rFonts w:ascii="Arial" w:hAnsi="Arial" w:cs="Arial"/>
          <w:sz w:val="20"/>
          <w:szCs w:val="20"/>
        </w:rPr>
      </w:pPr>
      <w:r w:rsidRPr="003C4EAD">
        <w:rPr>
          <w:rFonts w:ascii="Arial" w:hAnsi="Arial" w:cs="Arial"/>
          <w:sz w:val="20"/>
          <w:szCs w:val="20"/>
        </w:rPr>
        <w:t xml:space="preserve">equality in Nigeria. Politics, Groups, and Identities, 1, 27. </w:t>
      </w:r>
      <w:hyperlink r:id="rId9" w:history="1">
        <w:r w:rsidRPr="003C4EAD">
          <w:rPr>
            <w:rStyle w:val="Hyperlink"/>
            <w:rFonts w:ascii="Arial" w:hAnsi="Arial" w:cs="Arial"/>
            <w:sz w:val="20"/>
            <w:szCs w:val="20"/>
          </w:rPr>
          <w:t>https://doi.org/10.1080/21565503.2024.2304311</w:t>
        </w:r>
      </w:hyperlink>
    </w:p>
    <w:p w14:paraId="324A17D7" w14:textId="0DF6B131" w:rsidR="00D51D8C" w:rsidRPr="003C4EAD" w:rsidRDefault="00AD49D4" w:rsidP="003A5DF6">
      <w:pPr>
        <w:spacing w:after="0"/>
        <w:jc w:val="both"/>
        <w:rPr>
          <w:rFonts w:ascii="Arial" w:hAnsi="Arial" w:cs="Arial"/>
          <w:sz w:val="20"/>
          <w:szCs w:val="20"/>
        </w:rPr>
      </w:pPr>
      <w:r w:rsidRPr="003C4EAD">
        <w:rPr>
          <w:rFonts w:ascii="Arial" w:hAnsi="Arial" w:cs="Arial"/>
          <w:sz w:val="20"/>
          <w:szCs w:val="20"/>
        </w:rPr>
        <w:t xml:space="preserve">Ude, A. A. (2008). Gender accountability: An assessment of the performance of women in public office </w:t>
      </w:r>
    </w:p>
    <w:p w14:paraId="275E9541" w14:textId="069C392D" w:rsidR="00AD49D4" w:rsidRPr="003C4EAD" w:rsidRDefault="00AD49D4" w:rsidP="00D51D8C">
      <w:pPr>
        <w:spacing w:after="0"/>
        <w:ind w:left="720"/>
        <w:jc w:val="both"/>
        <w:rPr>
          <w:rFonts w:ascii="Arial" w:hAnsi="Arial" w:cs="Arial"/>
          <w:sz w:val="20"/>
          <w:szCs w:val="20"/>
        </w:rPr>
      </w:pPr>
      <w:r w:rsidRPr="003C4EAD">
        <w:rPr>
          <w:rFonts w:ascii="Arial" w:hAnsi="Arial" w:cs="Arial"/>
          <w:sz w:val="20"/>
          <w:szCs w:val="20"/>
        </w:rPr>
        <w:t>(1999–2007). In A. Afolabi-</w:t>
      </w:r>
      <w:proofErr w:type="spellStart"/>
      <w:r w:rsidRPr="003C4EAD">
        <w:rPr>
          <w:rFonts w:ascii="Arial" w:hAnsi="Arial" w:cs="Arial"/>
          <w:sz w:val="20"/>
          <w:szCs w:val="20"/>
        </w:rPr>
        <w:t>Akiyode</w:t>
      </w:r>
      <w:proofErr w:type="spellEnd"/>
      <w:r w:rsidRPr="003C4EAD">
        <w:rPr>
          <w:rFonts w:ascii="Arial" w:hAnsi="Arial" w:cs="Arial"/>
          <w:sz w:val="20"/>
          <w:szCs w:val="20"/>
        </w:rPr>
        <w:t xml:space="preserve"> &amp; O. Odemwingie (Eds.), </w:t>
      </w:r>
      <w:r w:rsidRPr="003C4EAD">
        <w:rPr>
          <w:rFonts w:ascii="Arial" w:hAnsi="Arial" w:cs="Arial"/>
          <w:i/>
          <w:iCs/>
          <w:sz w:val="20"/>
          <w:szCs w:val="20"/>
        </w:rPr>
        <w:t>Gender audit 2007 election and issues in women’s political participation in Nigeria II</w:t>
      </w:r>
      <w:r w:rsidRPr="003C4EAD">
        <w:rPr>
          <w:rFonts w:ascii="Arial" w:hAnsi="Arial" w:cs="Arial"/>
          <w:sz w:val="20"/>
          <w:szCs w:val="20"/>
        </w:rPr>
        <w:t>. Lagos: WARDC.</w:t>
      </w:r>
    </w:p>
    <w:p w14:paraId="17315CFD" w14:textId="5F750DD6" w:rsidR="00D51D8C" w:rsidRPr="003C4EAD" w:rsidRDefault="00AD49D4" w:rsidP="00AD49D4">
      <w:pPr>
        <w:spacing w:after="0"/>
        <w:jc w:val="both"/>
        <w:rPr>
          <w:rFonts w:ascii="Arial" w:hAnsi="Arial" w:cs="Arial"/>
          <w:sz w:val="20"/>
          <w:szCs w:val="20"/>
        </w:rPr>
      </w:pPr>
      <w:r w:rsidRPr="003C4EAD">
        <w:rPr>
          <w:rFonts w:ascii="Arial" w:hAnsi="Arial" w:cs="Arial"/>
          <w:sz w:val="20"/>
          <w:szCs w:val="20"/>
        </w:rPr>
        <w:t>Udegbe, I. B. (2004</w:t>
      </w:r>
      <w:r w:rsidR="006470E2" w:rsidRPr="003C4EAD">
        <w:rPr>
          <w:rFonts w:ascii="Arial" w:hAnsi="Arial" w:cs="Arial"/>
          <w:sz w:val="20"/>
          <w:szCs w:val="20"/>
        </w:rPr>
        <w:t>a</w:t>
      </w:r>
      <w:r w:rsidRPr="003C4EAD">
        <w:rPr>
          <w:rFonts w:ascii="Arial" w:hAnsi="Arial" w:cs="Arial"/>
          <w:sz w:val="20"/>
          <w:szCs w:val="20"/>
        </w:rPr>
        <w:t xml:space="preserve">). Political restructuring and women’s access to power. In A. </w:t>
      </w:r>
      <w:proofErr w:type="spellStart"/>
      <w:r w:rsidRPr="003C4EAD">
        <w:rPr>
          <w:rFonts w:ascii="Arial" w:hAnsi="Arial" w:cs="Arial"/>
          <w:sz w:val="20"/>
          <w:szCs w:val="20"/>
        </w:rPr>
        <w:t>Amuwo</w:t>
      </w:r>
      <w:proofErr w:type="spellEnd"/>
      <w:r w:rsidRPr="003C4EAD">
        <w:rPr>
          <w:rFonts w:ascii="Arial" w:hAnsi="Arial" w:cs="Arial"/>
          <w:sz w:val="20"/>
          <w:szCs w:val="20"/>
        </w:rPr>
        <w:t xml:space="preserve"> et al. (Eds.), </w:t>
      </w:r>
    </w:p>
    <w:p w14:paraId="34E16D3C" w14:textId="057FE99A" w:rsidR="00AD49D4" w:rsidRPr="003C4EAD" w:rsidRDefault="00AD49D4" w:rsidP="00D51D8C">
      <w:pPr>
        <w:spacing w:after="0"/>
        <w:ind w:firstLine="720"/>
        <w:jc w:val="both"/>
        <w:rPr>
          <w:rFonts w:ascii="Arial" w:hAnsi="Arial" w:cs="Arial"/>
          <w:sz w:val="20"/>
          <w:szCs w:val="20"/>
        </w:rPr>
      </w:pPr>
      <w:r w:rsidRPr="003C4EAD">
        <w:rPr>
          <w:rFonts w:ascii="Arial" w:hAnsi="Arial" w:cs="Arial"/>
          <w:i/>
          <w:iCs/>
          <w:sz w:val="20"/>
          <w:szCs w:val="20"/>
        </w:rPr>
        <w:t>Federalism and political restructuring in Nigeria</w:t>
      </w:r>
      <w:r w:rsidRPr="003C4EAD">
        <w:rPr>
          <w:rFonts w:ascii="Arial" w:hAnsi="Arial" w:cs="Arial"/>
          <w:sz w:val="20"/>
          <w:szCs w:val="20"/>
        </w:rPr>
        <w:t>. Ibadan: Spectrum Books.</w:t>
      </w:r>
    </w:p>
    <w:p w14:paraId="40403E21" w14:textId="77777777" w:rsidR="006470E2" w:rsidRPr="003C4EAD" w:rsidRDefault="00AD49D4" w:rsidP="006470E2">
      <w:pPr>
        <w:spacing w:after="0"/>
        <w:jc w:val="both"/>
        <w:rPr>
          <w:rFonts w:ascii="Arial" w:hAnsi="Arial" w:cs="Arial"/>
          <w:sz w:val="20"/>
          <w:szCs w:val="20"/>
        </w:rPr>
      </w:pPr>
      <w:r w:rsidRPr="003C4EAD">
        <w:rPr>
          <w:rFonts w:ascii="Arial" w:hAnsi="Arial" w:cs="Arial"/>
          <w:sz w:val="20"/>
          <w:szCs w:val="20"/>
        </w:rPr>
        <w:t>Udegbe, I. B. (2004</w:t>
      </w:r>
      <w:r w:rsidR="006470E2" w:rsidRPr="003C4EAD">
        <w:rPr>
          <w:rFonts w:ascii="Arial" w:hAnsi="Arial" w:cs="Arial"/>
          <w:sz w:val="20"/>
          <w:szCs w:val="20"/>
        </w:rPr>
        <w:t>b</w:t>
      </w:r>
      <w:r w:rsidRPr="003C4EAD">
        <w:rPr>
          <w:rFonts w:ascii="Arial" w:hAnsi="Arial" w:cs="Arial"/>
          <w:sz w:val="20"/>
          <w:szCs w:val="20"/>
        </w:rPr>
        <w:t xml:space="preserve">). Gender and leadership in Nigeria: Problems and prospects. In I. A. Akintoye &amp; </w:t>
      </w:r>
    </w:p>
    <w:p w14:paraId="4728773B" w14:textId="3C55BCFE" w:rsidR="00AD49D4" w:rsidRPr="003C4EAD" w:rsidRDefault="00AD49D4" w:rsidP="006470E2">
      <w:pPr>
        <w:spacing w:after="0"/>
        <w:ind w:left="720"/>
        <w:jc w:val="both"/>
        <w:rPr>
          <w:rFonts w:ascii="Arial" w:hAnsi="Arial" w:cs="Arial"/>
          <w:sz w:val="20"/>
          <w:szCs w:val="20"/>
        </w:rPr>
      </w:pPr>
      <w:r w:rsidRPr="003C4EAD">
        <w:rPr>
          <w:rFonts w:ascii="Arial" w:hAnsi="Arial" w:cs="Arial"/>
          <w:sz w:val="20"/>
          <w:szCs w:val="20"/>
        </w:rPr>
        <w:t xml:space="preserve">I. O. </w:t>
      </w:r>
      <w:proofErr w:type="spellStart"/>
      <w:r w:rsidRPr="003C4EAD">
        <w:rPr>
          <w:rFonts w:ascii="Arial" w:hAnsi="Arial" w:cs="Arial"/>
          <w:sz w:val="20"/>
          <w:szCs w:val="20"/>
        </w:rPr>
        <w:t>Orubuloye</w:t>
      </w:r>
      <w:proofErr w:type="spellEnd"/>
      <w:r w:rsidRPr="003C4EAD">
        <w:rPr>
          <w:rFonts w:ascii="Arial" w:hAnsi="Arial" w:cs="Arial"/>
          <w:sz w:val="20"/>
          <w:szCs w:val="20"/>
        </w:rPr>
        <w:t xml:space="preserve"> (Eds.), </w:t>
      </w:r>
      <w:r w:rsidRPr="003C4EAD">
        <w:rPr>
          <w:rFonts w:ascii="Arial" w:hAnsi="Arial" w:cs="Arial"/>
          <w:i/>
          <w:iCs/>
          <w:sz w:val="20"/>
          <w:szCs w:val="20"/>
        </w:rPr>
        <w:t>Gender, politics and governance in Africa</w:t>
      </w:r>
      <w:r w:rsidRPr="003C4EAD">
        <w:rPr>
          <w:rFonts w:ascii="Arial" w:hAnsi="Arial" w:cs="Arial"/>
          <w:sz w:val="20"/>
          <w:szCs w:val="20"/>
        </w:rPr>
        <w:t xml:space="preserve"> (pp. 1–22). Lagos: Development Policy Centre.</w:t>
      </w:r>
    </w:p>
    <w:p w14:paraId="42589AE7" w14:textId="77777777" w:rsidR="00EE3AF6" w:rsidRPr="00EE3AF6" w:rsidRDefault="00EE3AF6" w:rsidP="00AD49D4">
      <w:pPr>
        <w:spacing w:after="0"/>
        <w:jc w:val="both"/>
        <w:rPr>
          <w:rFonts w:ascii="Arial" w:hAnsi="Arial" w:cs="Arial"/>
          <w:i/>
          <w:iCs/>
          <w:sz w:val="20"/>
          <w:szCs w:val="20"/>
        </w:rPr>
      </w:pPr>
      <w:r w:rsidRPr="00EE3AF6">
        <w:rPr>
          <w:rFonts w:ascii="Arial" w:hAnsi="Arial" w:cs="Arial"/>
          <w:sz w:val="20"/>
          <w:szCs w:val="20"/>
        </w:rPr>
        <w:t xml:space="preserve">United Nations. (1979). </w:t>
      </w:r>
      <w:r w:rsidRPr="00EE3AF6">
        <w:rPr>
          <w:rFonts w:ascii="Arial" w:hAnsi="Arial" w:cs="Arial"/>
          <w:i/>
          <w:iCs/>
          <w:sz w:val="20"/>
          <w:szCs w:val="20"/>
        </w:rPr>
        <w:t xml:space="preserve">Convention on the Elimination of All Forms of Discrimination against Women </w:t>
      </w:r>
    </w:p>
    <w:p w14:paraId="0C38C757" w14:textId="79440AA0" w:rsidR="00EE3AF6" w:rsidRDefault="00EE3AF6" w:rsidP="00EE3AF6">
      <w:pPr>
        <w:spacing w:after="0"/>
        <w:ind w:firstLine="720"/>
        <w:jc w:val="both"/>
        <w:rPr>
          <w:rFonts w:ascii="Arial" w:hAnsi="Arial" w:cs="Arial"/>
          <w:sz w:val="20"/>
          <w:szCs w:val="20"/>
        </w:rPr>
      </w:pPr>
      <w:r w:rsidRPr="00EE3AF6">
        <w:rPr>
          <w:rFonts w:ascii="Arial" w:hAnsi="Arial" w:cs="Arial"/>
          <w:i/>
          <w:iCs/>
          <w:sz w:val="20"/>
          <w:szCs w:val="20"/>
        </w:rPr>
        <w:lastRenderedPageBreak/>
        <w:t xml:space="preserve">(CEDAW). </w:t>
      </w:r>
      <w:r w:rsidRPr="00EE3AF6">
        <w:rPr>
          <w:rFonts w:ascii="Arial" w:hAnsi="Arial" w:cs="Arial"/>
          <w:sz w:val="20"/>
          <w:szCs w:val="20"/>
        </w:rPr>
        <w:t>New York, NY: United Nations.</w:t>
      </w:r>
    </w:p>
    <w:p w14:paraId="17E976F6" w14:textId="491D8309" w:rsidR="001E38B1" w:rsidRPr="003C4EAD" w:rsidRDefault="009A0D31" w:rsidP="00AD49D4">
      <w:pPr>
        <w:spacing w:after="0"/>
        <w:jc w:val="both"/>
        <w:rPr>
          <w:rFonts w:ascii="Arial" w:hAnsi="Arial" w:cs="Arial"/>
          <w:sz w:val="20"/>
          <w:szCs w:val="20"/>
        </w:rPr>
      </w:pPr>
      <w:r w:rsidRPr="003C4EAD">
        <w:rPr>
          <w:rFonts w:ascii="Arial" w:hAnsi="Arial" w:cs="Arial"/>
          <w:sz w:val="20"/>
          <w:szCs w:val="20"/>
        </w:rPr>
        <w:t xml:space="preserve">United Nations. (1995). </w:t>
      </w:r>
      <w:r w:rsidRPr="008405F0">
        <w:rPr>
          <w:rFonts w:ascii="Arial" w:hAnsi="Arial" w:cs="Arial"/>
          <w:i/>
          <w:iCs/>
          <w:sz w:val="20"/>
          <w:szCs w:val="20"/>
        </w:rPr>
        <w:t>Beijing declaration and platform for action</w:t>
      </w:r>
      <w:r w:rsidRPr="003C4EAD">
        <w:rPr>
          <w:rFonts w:ascii="Arial" w:hAnsi="Arial" w:cs="Arial"/>
          <w:sz w:val="20"/>
          <w:szCs w:val="20"/>
        </w:rPr>
        <w:t>. New York: United Nations.</w:t>
      </w:r>
    </w:p>
    <w:p w14:paraId="3843B4F2" w14:textId="77777777" w:rsidR="006470E2" w:rsidRPr="003C4EAD" w:rsidRDefault="00AD49D4" w:rsidP="00AD49D4">
      <w:pPr>
        <w:spacing w:after="0"/>
        <w:jc w:val="both"/>
        <w:rPr>
          <w:rFonts w:ascii="Arial" w:hAnsi="Arial" w:cs="Arial"/>
          <w:sz w:val="20"/>
          <w:szCs w:val="20"/>
        </w:rPr>
      </w:pPr>
      <w:r w:rsidRPr="003C4EAD">
        <w:rPr>
          <w:rFonts w:ascii="Arial" w:hAnsi="Arial" w:cs="Arial"/>
          <w:sz w:val="20"/>
          <w:szCs w:val="20"/>
        </w:rPr>
        <w:t xml:space="preserve">United Nations. (2015). </w:t>
      </w:r>
      <w:r w:rsidRPr="003C4EAD">
        <w:rPr>
          <w:rFonts w:ascii="Arial" w:hAnsi="Arial" w:cs="Arial"/>
          <w:i/>
          <w:iCs/>
          <w:sz w:val="20"/>
          <w:szCs w:val="20"/>
        </w:rPr>
        <w:t>Transforming our world: The 2030 agenda for sustainable development</w:t>
      </w:r>
      <w:r w:rsidRPr="003C4EAD">
        <w:rPr>
          <w:rFonts w:ascii="Arial" w:hAnsi="Arial" w:cs="Arial"/>
          <w:sz w:val="20"/>
          <w:szCs w:val="20"/>
        </w:rPr>
        <w:t xml:space="preserve">. New </w:t>
      </w:r>
    </w:p>
    <w:p w14:paraId="7672E381" w14:textId="7B9C5A5E" w:rsidR="00AD49D4" w:rsidRPr="003C4EAD" w:rsidRDefault="00AD49D4" w:rsidP="006470E2">
      <w:pPr>
        <w:spacing w:after="0"/>
        <w:ind w:firstLine="720"/>
        <w:jc w:val="both"/>
        <w:rPr>
          <w:rFonts w:ascii="Arial" w:hAnsi="Arial" w:cs="Arial"/>
          <w:sz w:val="20"/>
          <w:szCs w:val="20"/>
        </w:rPr>
      </w:pPr>
      <w:r w:rsidRPr="003C4EAD">
        <w:rPr>
          <w:rFonts w:ascii="Arial" w:hAnsi="Arial" w:cs="Arial"/>
          <w:sz w:val="20"/>
          <w:szCs w:val="20"/>
        </w:rPr>
        <w:t>York: United Nations.</w:t>
      </w:r>
    </w:p>
    <w:p w14:paraId="327D0CC5" w14:textId="77777777" w:rsidR="005E2189" w:rsidRDefault="00577470" w:rsidP="00577470">
      <w:pPr>
        <w:spacing w:after="0"/>
        <w:jc w:val="both"/>
        <w:rPr>
          <w:rFonts w:ascii="Arial" w:hAnsi="Arial" w:cs="Arial"/>
          <w:sz w:val="20"/>
          <w:szCs w:val="20"/>
        </w:rPr>
      </w:pPr>
      <w:r w:rsidRPr="00577470">
        <w:rPr>
          <w:rFonts w:ascii="Arial" w:hAnsi="Arial" w:cs="Arial"/>
          <w:sz w:val="20"/>
          <w:szCs w:val="20"/>
        </w:rPr>
        <w:t>U</w:t>
      </w:r>
      <w:r w:rsidR="005E2189">
        <w:rPr>
          <w:rFonts w:ascii="Arial" w:hAnsi="Arial" w:cs="Arial"/>
          <w:sz w:val="20"/>
          <w:szCs w:val="20"/>
        </w:rPr>
        <w:t xml:space="preserve">nited </w:t>
      </w:r>
      <w:r w:rsidRPr="00577470">
        <w:rPr>
          <w:rFonts w:ascii="Arial" w:hAnsi="Arial" w:cs="Arial"/>
          <w:sz w:val="20"/>
          <w:szCs w:val="20"/>
        </w:rPr>
        <w:t>N</w:t>
      </w:r>
      <w:r w:rsidR="005E2189">
        <w:rPr>
          <w:rFonts w:ascii="Arial" w:hAnsi="Arial" w:cs="Arial"/>
          <w:sz w:val="20"/>
          <w:szCs w:val="20"/>
        </w:rPr>
        <w:t>ations</w:t>
      </w:r>
      <w:r w:rsidRPr="00577470">
        <w:rPr>
          <w:rFonts w:ascii="Arial" w:hAnsi="Arial" w:cs="Arial"/>
          <w:sz w:val="20"/>
          <w:szCs w:val="20"/>
        </w:rPr>
        <w:t xml:space="preserve"> Women. (2020). </w:t>
      </w:r>
      <w:r w:rsidRPr="007A76EE">
        <w:rPr>
          <w:rFonts w:ascii="Arial" w:hAnsi="Arial" w:cs="Arial"/>
          <w:i/>
          <w:iCs/>
          <w:sz w:val="20"/>
          <w:szCs w:val="20"/>
        </w:rPr>
        <w:t>HeForShe Nigeria: Engaging men in the fight for gender equality</w:t>
      </w:r>
      <w:r w:rsidRPr="00577470">
        <w:rPr>
          <w:rFonts w:ascii="Arial" w:hAnsi="Arial" w:cs="Arial"/>
          <w:sz w:val="20"/>
          <w:szCs w:val="20"/>
        </w:rPr>
        <w:t xml:space="preserve">. </w:t>
      </w:r>
    </w:p>
    <w:p w14:paraId="24DBFCB2" w14:textId="532AAA32" w:rsidR="00577470" w:rsidRDefault="00577470" w:rsidP="005E2189">
      <w:pPr>
        <w:spacing w:after="0"/>
        <w:ind w:firstLine="720"/>
        <w:jc w:val="both"/>
        <w:rPr>
          <w:rFonts w:ascii="Arial" w:hAnsi="Arial" w:cs="Arial"/>
          <w:sz w:val="20"/>
          <w:szCs w:val="20"/>
        </w:rPr>
      </w:pPr>
      <w:r w:rsidRPr="00577470">
        <w:rPr>
          <w:rFonts w:ascii="Arial" w:hAnsi="Arial" w:cs="Arial"/>
          <w:sz w:val="20"/>
          <w:szCs w:val="20"/>
        </w:rPr>
        <w:t xml:space="preserve"> </w:t>
      </w:r>
      <w:hyperlink r:id="rId10" w:history="1">
        <w:r w:rsidRPr="000C4081">
          <w:rPr>
            <w:rStyle w:val="Hyperlink"/>
            <w:rFonts w:ascii="Arial" w:hAnsi="Arial" w:cs="Arial"/>
            <w:sz w:val="20"/>
            <w:szCs w:val="20"/>
          </w:rPr>
          <w:t>https://www.unwomen.org</w:t>
        </w:r>
      </w:hyperlink>
    </w:p>
    <w:p w14:paraId="5016CA2B" w14:textId="62064042" w:rsidR="006470E2" w:rsidRPr="003C4EAD" w:rsidRDefault="00AD49D4" w:rsidP="00577470">
      <w:pPr>
        <w:spacing w:after="0"/>
        <w:jc w:val="both"/>
        <w:rPr>
          <w:rFonts w:ascii="Arial" w:hAnsi="Arial" w:cs="Arial"/>
          <w:i/>
          <w:iCs/>
          <w:sz w:val="20"/>
          <w:szCs w:val="20"/>
        </w:rPr>
      </w:pPr>
      <w:r w:rsidRPr="003C4EAD">
        <w:rPr>
          <w:rFonts w:ascii="Arial" w:hAnsi="Arial" w:cs="Arial"/>
          <w:sz w:val="20"/>
          <w:szCs w:val="20"/>
        </w:rPr>
        <w:t xml:space="preserve">United Nations Children’s Fund (UNICEF). (2021). </w:t>
      </w:r>
      <w:r w:rsidRPr="003C4EAD">
        <w:rPr>
          <w:rFonts w:ascii="Arial" w:hAnsi="Arial" w:cs="Arial"/>
          <w:i/>
          <w:iCs/>
          <w:sz w:val="20"/>
          <w:szCs w:val="20"/>
        </w:rPr>
        <w:t xml:space="preserve">Ending child marriage in Nigeria: Progress and </w:t>
      </w:r>
    </w:p>
    <w:p w14:paraId="6E8B58B3" w14:textId="5D8846F3" w:rsidR="00AD49D4" w:rsidRPr="003C4EAD" w:rsidRDefault="00AD49D4" w:rsidP="006470E2">
      <w:pPr>
        <w:spacing w:after="0"/>
        <w:ind w:firstLine="720"/>
        <w:jc w:val="both"/>
        <w:rPr>
          <w:rFonts w:ascii="Arial" w:hAnsi="Arial" w:cs="Arial"/>
          <w:sz w:val="20"/>
          <w:szCs w:val="20"/>
        </w:rPr>
      </w:pPr>
      <w:r w:rsidRPr="003C4EAD">
        <w:rPr>
          <w:rFonts w:ascii="Arial" w:hAnsi="Arial" w:cs="Arial"/>
          <w:i/>
          <w:iCs/>
          <w:sz w:val="20"/>
          <w:szCs w:val="20"/>
        </w:rPr>
        <w:t>prospects</w:t>
      </w:r>
      <w:r w:rsidRPr="003C4EAD">
        <w:rPr>
          <w:rFonts w:ascii="Arial" w:hAnsi="Arial" w:cs="Arial"/>
          <w:sz w:val="20"/>
          <w:szCs w:val="20"/>
        </w:rPr>
        <w:t>. New York: UNICEF.</w:t>
      </w:r>
    </w:p>
    <w:p w14:paraId="39D35355" w14:textId="77777777" w:rsidR="006470E2" w:rsidRPr="003C4EAD" w:rsidRDefault="00AD49D4" w:rsidP="00AD49D4">
      <w:pPr>
        <w:spacing w:after="0"/>
        <w:jc w:val="both"/>
        <w:rPr>
          <w:rFonts w:ascii="Arial" w:hAnsi="Arial" w:cs="Arial"/>
          <w:i/>
          <w:iCs/>
          <w:sz w:val="20"/>
          <w:szCs w:val="20"/>
        </w:rPr>
      </w:pPr>
      <w:r w:rsidRPr="003C4EAD">
        <w:rPr>
          <w:rFonts w:ascii="Arial" w:hAnsi="Arial" w:cs="Arial"/>
          <w:sz w:val="20"/>
          <w:szCs w:val="20"/>
        </w:rPr>
        <w:t xml:space="preserve">United Nations Development Fund for Women (UNIFEM). (2005). </w:t>
      </w:r>
      <w:r w:rsidRPr="003C4EAD">
        <w:rPr>
          <w:rFonts w:ascii="Arial" w:hAnsi="Arial" w:cs="Arial"/>
          <w:i/>
          <w:iCs/>
          <w:sz w:val="20"/>
          <w:szCs w:val="20"/>
        </w:rPr>
        <w:t xml:space="preserve">CEDAW and accountability to gender </w:t>
      </w:r>
    </w:p>
    <w:p w14:paraId="72D6C11D" w14:textId="1556B10F" w:rsidR="00AD49D4" w:rsidRPr="003C4EAD" w:rsidRDefault="00AD49D4" w:rsidP="006470E2">
      <w:pPr>
        <w:spacing w:after="0"/>
        <w:ind w:firstLine="720"/>
        <w:jc w:val="both"/>
        <w:rPr>
          <w:rFonts w:ascii="Arial" w:hAnsi="Arial" w:cs="Arial"/>
          <w:sz w:val="20"/>
          <w:szCs w:val="20"/>
        </w:rPr>
      </w:pPr>
      <w:r w:rsidRPr="003C4EAD">
        <w:rPr>
          <w:rFonts w:ascii="Arial" w:hAnsi="Arial" w:cs="Arial"/>
          <w:i/>
          <w:iCs/>
          <w:sz w:val="20"/>
          <w:szCs w:val="20"/>
        </w:rPr>
        <w:t>equality in development programming</w:t>
      </w:r>
      <w:r w:rsidRPr="003C4EAD">
        <w:rPr>
          <w:rFonts w:ascii="Arial" w:hAnsi="Arial" w:cs="Arial"/>
          <w:sz w:val="20"/>
          <w:szCs w:val="20"/>
        </w:rPr>
        <w:t>. New York: UNIFEM.</w:t>
      </w:r>
    </w:p>
    <w:p w14:paraId="16F3D8A4" w14:textId="77777777" w:rsidR="006470E2" w:rsidRPr="003C4EAD" w:rsidRDefault="00AD49D4" w:rsidP="00AD49D4">
      <w:pPr>
        <w:spacing w:after="0"/>
        <w:jc w:val="both"/>
        <w:rPr>
          <w:rFonts w:ascii="Arial" w:hAnsi="Arial" w:cs="Arial"/>
          <w:i/>
          <w:iCs/>
          <w:sz w:val="20"/>
          <w:szCs w:val="20"/>
        </w:rPr>
      </w:pPr>
      <w:r w:rsidRPr="003C4EAD">
        <w:rPr>
          <w:rFonts w:ascii="Arial" w:hAnsi="Arial" w:cs="Arial"/>
          <w:sz w:val="20"/>
          <w:szCs w:val="20"/>
        </w:rPr>
        <w:t xml:space="preserve">United Nations Development </w:t>
      </w:r>
      <w:proofErr w:type="spellStart"/>
      <w:r w:rsidRPr="003C4EAD">
        <w:rPr>
          <w:rFonts w:ascii="Arial" w:hAnsi="Arial" w:cs="Arial"/>
          <w:sz w:val="20"/>
          <w:szCs w:val="20"/>
        </w:rPr>
        <w:t>Programme</w:t>
      </w:r>
      <w:proofErr w:type="spellEnd"/>
      <w:r w:rsidRPr="003C4EAD">
        <w:rPr>
          <w:rFonts w:ascii="Arial" w:hAnsi="Arial" w:cs="Arial"/>
          <w:sz w:val="20"/>
          <w:szCs w:val="20"/>
        </w:rPr>
        <w:t xml:space="preserve"> (UNDP). (1995). </w:t>
      </w:r>
      <w:r w:rsidRPr="003C4EAD">
        <w:rPr>
          <w:rFonts w:ascii="Arial" w:hAnsi="Arial" w:cs="Arial"/>
          <w:i/>
          <w:iCs/>
          <w:sz w:val="20"/>
          <w:szCs w:val="20"/>
        </w:rPr>
        <w:t xml:space="preserve">Human development report 1995: Gender </w:t>
      </w:r>
    </w:p>
    <w:p w14:paraId="33BB5991" w14:textId="7B30B745" w:rsidR="00AD49D4" w:rsidRPr="003C4EAD" w:rsidRDefault="00AD49D4" w:rsidP="006470E2">
      <w:pPr>
        <w:spacing w:after="0"/>
        <w:ind w:firstLine="720"/>
        <w:jc w:val="both"/>
        <w:rPr>
          <w:rFonts w:ascii="Arial" w:hAnsi="Arial" w:cs="Arial"/>
          <w:sz w:val="20"/>
          <w:szCs w:val="20"/>
        </w:rPr>
      </w:pPr>
      <w:r w:rsidRPr="003C4EAD">
        <w:rPr>
          <w:rFonts w:ascii="Arial" w:hAnsi="Arial" w:cs="Arial"/>
          <w:i/>
          <w:iCs/>
          <w:sz w:val="20"/>
          <w:szCs w:val="20"/>
        </w:rPr>
        <w:t>and human development</w:t>
      </w:r>
      <w:r w:rsidRPr="003C4EAD">
        <w:rPr>
          <w:rFonts w:ascii="Arial" w:hAnsi="Arial" w:cs="Arial"/>
          <w:sz w:val="20"/>
          <w:szCs w:val="20"/>
        </w:rPr>
        <w:t>. New York: Oxford University Press.</w:t>
      </w:r>
    </w:p>
    <w:p w14:paraId="355DBEC2" w14:textId="77777777" w:rsidR="006470E2" w:rsidRPr="003C4EAD" w:rsidRDefault="00AD49D4" w:rsidP="00AD49D4">
      <w:pPr>
        <w:spacing w:after="0"/>
        <w:jc w:val="both"/>
        <w:rPr>
          <w:rFonts w:ascii="Arial" w:hAnsi="Arial" w:cs="Arial"/>
          <w:i/>
          <w:iCs/>
          <w:sz w:val="20"/>
          <w:szCs w:val="20"/>
        </w:rPr>
      </w:pPr>
      <w:r w:rsidRPr="003C4EAD">
        <w:rPr>
          <w:rFonts w:ascii="Arial" w:hAnsi="Arial" w:cs="Arial"/>
          <w:sz w:val="20"/>
          <w:szCs w:val="20"/>
        </w:rPr>
        <w:t xml:space="preserve">United Nations Women (UN Women). (2022). </w:t>
      </w:r>
      <w:r w:rsidRPr="003C4EAD">
        <w:rPr>
          <w:rFonts w:ascii="Arial" w:hAnsi="Arial" w:cs="Arial"/>
          <w:i/>
          <w:iCs/>
          <w:sz w:val="20"/>
          <w:szCs w:val="20"/>
        </w:rPr>
        <w:t xml:space="preserve">Progress on the sustainable development goals: The </w:t>
      </w:r>
    </w:p>
    <w:p w14:paraId="3567D609" w14:textId="08BB4430" w:rsidR="00AD49D4" w:rsidRPr="003C4EAD" w:rsidRDefault="00AD49D4" w:rsidP="006470E2">
      <w:pPr>
        <w:spacing w:after="0"/>
        <w:ind w:firstLine="720"/>
        <w:jc w:val="both"/>
        <w:rPr>
          <w:rFonts w:ascii="Arial" w:hAnsi="Arial" w:cs="Arial"/>
          <w:sz w:val="20"/>
          <w:szCs w:val="20"/>
        </w:rPr>
      </w:pPr>
      <w:r w:rsidRPr="003C4EAD">
        <w:rPr>
          <w:rFonts w:ascii="Arial" w:hAnsi="Arial" w:cs="Arial"/>
          <w:i/>
          <w:iCs/>
          <w:sz w:val="20"/>
          <w:szCs w:val="20"/>
        </w:rPr>
        <w:t>gender snapshot 2022</w:t>
      </w:r>
      <w:r w:rsidRPr="003C4EAD">
        <w:rPr>
          <w:rFonts w:ascii="Arial" w:hAnsi="Arial" w:cs="Arial"/>
          <w:sz w:val="20"/>
          <w:szCs w:val="20"/>
        </w:rPr>
        <w:t>. New York</w:t>
      </w:r>
      <w:r w:rsidR="00341862">
        <w:rPr>
          <w:rFonts w:ascii="Arial" w:hAnsi="Arial" w:cs="Arial"/>
          <w:sz w:val="20"/>
          <w:szCs w:val="20"/>
        </w:rPr>
        <w:t>, NY</w:t>
      </w:r>
      <w:r w:rsidRPr="003C4EAD">
        <w:rPr>
          <w:rFonts w:ascii="Arial" w:hAnsi="Arial" w:cs="Arial"/>
          <w:sz w:val="20"/>
          <w:szCs w:val="20"/>
        </w:rPr>
        <w:t>: UN Women.</w:t>
      </w:r>
    </w:p>
    <w:p w14:paraId="0D843E66" w14:textId="4ED81301" w:rsidR="006470E2" w:rsidRPr="003C4EAD" w:rsidRDefault="00AD49D4" w:rsidP="00AD49D4">
      <w:pPr>
        <w:spacing w:after="0"/>
        <w:jc w:val="both"/>
        <w:rPr>
          <w:rFonts w:ascii="Arial" w:hAnsi="Arial" w:cs="Arial"/>
          <w:sz w:val="20"/>
          <w:szCs w:val="20"/>
        </w:rPr>
      </w:pPr>
      <w:r w:rsidRPr="003C4EAD">
        <w:rPr>
          <w:rFonts w:ascii="Arial" w:hAnsi="Arial" w:cs="Arial"/>
          <w:sz w:val="20"/>
          <w:szCs w:val="20"/>
        </w:rPr>
        <w:t xml:space="preserve">Walby, S. (1992). Post-post-modernism? </w:t>
      </w:r>
      <w:r w:rsidR="009603D4" w:rsidRPr="003C4EAD">
        <w:rPr>
          <w:rFonts w:ascii="Arial" w:hAnsi="Arial" w:cs="Arial"/>
          <w:sz w:val="20"/>
          <w:szCs w:val="20"/>
        </w:rPr>
        <w:t>Theorizing</w:t>
      </w:r>
      <w:r w:rsidRPr="003C4EAD">
        <w:rPr>
          <w:rFonts w:ascii="Arial" w:hAnsi="Arial" w:cs="Arial"/>
          <w:sz w:val="20"/>
          <w:szCs w:val="20"/>
        </w:rPr>
        <w:t xml:space="preserve"> social complexity. In M. Barrett &amp; A. Phillips (Eds.), </w:t>
      </w:r>
    </w:p>
    <w:p w14:paraId="6B8AE03F" w14:textId="686BE02E" w:rsidR="00AD49D4" w:rsidRPr="003C4EAD" w:rsidRDefault="00AD49D4" w:rsidP="006470E2">
      <w:pPr>
        <w:spacing w:after="0"/>
        <w:ind w:firstLine="720"/>
        <w:jc w:val="both"/>
        <w:rPr>
          <w:rFonts w:ascii="Arial" w:hAnsi="Arial" w:cs="Arial"/>
          <w:sz w:val="20"/>
          <w:szCs w:val="20"/>
        </w:rPr>
      </w:pPr>
      <w:r w:rsidRPr="003C4EAD">
        <w:rPr>
          <w:rFonts w:ascii="Arial" w:hAnsi="Arial" w:cs="Arial"/>
          <w:i/>
          <w:iCs/>
          <w:sz w:val="20"/>
          <w:szCs w:val="20"/>
        </w:rPr>
        <w:t>Contemporary feminist debates</w:t>
      </w:r>
      <w:r w:rsidRPr="003C4EAD">
        <w:rPr>
          <w:rFonts w:ascii="Arial" w:hAnsi="Arial" w:cs="Arial"/>
          <w:sz w:val="20"/>
          <w:szCs w:val="20"/>
        </w:rPr>
        <w:t>. Cambridge: Polity Press.</w:t>
      </w:r>
    </w:p>
    <w:p w14:paraId="49C9CDF1" w14:textId="77777777" w:rsidR="00AD49D4" w:rsidRPr="003C4EAD" w:rsidRDefault="00AD49D4" w:rsidP="00AD49D4">
      <w:pPr>
        <w:spacing w:after="0"/>
        <w:jc w:val="both"/>
        <w:rPr>
          <w:rFonts w:ascii="Arial" w:hAnsi="Arial" w:cs="Arial"/>
          <w:sz w:val="20"/>
          <w:szCs w:val="20"/>
        </w:rPr>
      </w:pPr>
      <w:r w:rsidRPr="003C4EAD">
        <w:rPr>
          <w:rFonts w:ascii="Arial" w:hAnsi="Arial" w:cs="Arial"/>
          <w:sz w:val="20"/>
          <w:szCs w:val="20"/>
        </w:rPr>
        <w:t xml:space="preserve">World Bank. (1995). </w:t>
      </w:r>
      <w:r w:rsidRPr="003C4EAD">
        <w:rPr>
          <w:rFonts w:ascii="Arial" w:hAnsi="Arial" w:cs="Arial"/>
          <w:i/>
          <w:iCs/>
          <w:sz w:val="20"/>
          <w:szCs w:val="20"/>
        </w:rPr>
        <w:t>Participation sourcebook</w:t>
      </w:r>
      <w:r w:rsidRPr="003C4EAD">
        <w:rPr>
          <w:rFonts w:ascii="Arial" w:hAnsi="Arial" w:cs="Arial"/>
          <w:sz w:val="20"/>
          <w:szCs w:val="20"/>
        </w:rPr>
        <w:t>. Washington, DC: World Bank.</w:t>
      </w:r>
    </w:p>
    <w:p w14:paraId="5DEE7688" w14:textId="22CF144A" w:rsidR="00AD49D4" w:rsidRPr="0070281F" w:rsidRDefault="00AD49D4" w:rsidP="00AD49D4">
      <w:pPr>
        <w:spacing w:after="0"/>
        <w:jc w:val="both"/>
        <w:rPr>
          <w:rFonts w:ascii="Arial" w:hAnsi="Arial" w:cs="Arial"/>
          <w:sz w:val="20"/>
          <w:szCs w:val="20"/>
        </w:rPr>
      </w:pPr>
      <w:r w:rsidRPr="003C4EAD">
        <w:rPr>
          <w:rFonts w:ascii="Arial" w:hAnsi="Arial" w:cs="Arial"/>
          <w:sz w:val="20"/>
          <w:szCs w:val="20"/>
        </w:rPr>
        <w:t xml:space="preserve">World Economic Forum. (2023). </w:t>
      </w:r>
      <w:r w:rsidRPr="003C4EAD">
        <w:rPr>
          <w:rFonts w:ascii="Arial" w:hAnsi="Arial" w:cs="Arial"/>
          <w:i/>
          <w:iCs/>
          <w:sz w:val="20"/>
          <w:szCs w:val="20"/>
        </w:rPr>
        <w:t>Global g</w:t>
      </w:r>
      <w:r w:rsidRPr="0070281F">
        <w:rPr>
          <w:rFonts w:ascii="Arial" w:hAnsi="Arial" w:cs="Arial"/>
          <w:i/>
          <w:iCs/>
          <w:sz w:val="20"/>
          <w:szCs w:val="20"/>
        </w:rPr>
        <w:t>ender gap report 2023</w:t>
      </w:r>
      <w:r w:rsidRPr="0070281F">
        <w:rPr>
          <w:rFonts w:ascii="Arial" w:hAnsi="Arial" w:cs="Arial"/>
          <w:sz w:val="20"/>
          <w:szCs w:val="20"/>
        </w:rPr>
        <w:t xml:space="preserve">. </w:t>
      </w:r>
      <w:r w:rsidR="007C0F16" w:rsidRPr="007C0F16">
        <w:rPr>
          <w:rFonts w:ascii="Arial" w:hAnsi="Arial" w:cs="Arial"/>
          <w:sz w:val="20"/>
          <w:szCs w:val="20"/>
        </w:rPr>
        <w:t>Geneva, Switzerland: WEF</w:t>
      </w:r>
      <w:r w:rsidRPr="0070281F">
        <w:rPr>
          <w:rFonts w:ascii="Arial" w:hAnsi="Arial" w:cs="Arial"/>
          <w:sz w:val="20"/>
          <w:szCs w:val="20"/>
        </w:rPr>
        <w:t>.</w:t>
      </w:r>
    </w:p>
    <w:p w14:paraId="5F472A98" w14:textId="77777777" w:rsidR="000324F5" w:rsidRPr="0070281F" w:rsidRDefault="000324F5">
      <w:pPr>
        <w:spacing w:after="0"/>
        <w:jc w:val="both"/>
        <w:rPr>
          <w:rFonts w:ascii="Arial" w:hAnsi="Arial" w:cs="Arial"/>
          <w:sz w:val="20"/>
          <w:szCs w:val="20"/>
        </w:rPr>
      </w:pPr>
    </w:p>
    <w:sectPr w:rsidR="000324F5" w:rsidRPr="0070281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65DE0" w14:textId="77777777" w:rsidR="00AE67FB" w:rsidRDefault="00AE67FB" w:rsidP="00DB4FF4">
      <w:pPr>
        <w:spacing w:after="0" w:line="240" w:lineRule="auto"/>
      </w:pPr>
      <w:r>
        <w:separator/>
      </w:r>
    </w:p>
  </w:endnote>
  <w:endnote w:type="continuationSeparator" w:id="0">
    <w:p w14:paraId="7E9AD9C9" w14:textId="77777777" w:rsidR="00AE67FB" w:rsidRDefault="00AE67FB" w:rsidP="00DB4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2C9E" w14:textId="77777777" w:rsidR="0030157E" w:rsidRDefault="00301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20F4" w14:textId="77777777" w:rsidR="0030157E" w:rsidRDefault="00301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ED2F" w14:textId="77777777" w:rsidR="0030157E" w:rsidRDefault="00301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1FD9" w14:textId="77777777" w:rsidR="00AE67FB" w:rsidRDefault="00AE67FB" w:rsidP="00DB4FF4">
      <w:pPr>
        <w:spacing w:after="0" w:line="240" w:lineRule="auto"/>
      </w:pPr>
      <w:r>
        <w:separator/>
      </w:r>
    </w:p>
  </w:footnote>
  <w:footnote w:type="continuationSeparator" w:id="0">
    <w:p w14:paraId="265DD90A" w14:textId="77777777" w:rsidR="00AE67FB" w:rsidRDefault="00AE67FB" w:rsidP="00DB4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4A87" w14:textId="43727793" w:rsidR="0030157E" w:rsidRDefault="00000000">
    <w:pPr>
      <w:pStyle w:val="Header"/>
    </w:pPr>
    <w:r>
      <w:rPr>
        <w:noProof/>
      </w:rPr>
      <w:pict w14:anchorId="41B12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07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AD53" w14:textId="4B653FE0" w:rsidR="0030157E" w:rsidRDefault="00000000">
    <w:pPr>
      <w:pStyle w:val="Header"/>
    </w:pPr>
    <w:r>
      <w:rPr>
        <w:noProof/>
      </w:rPr>
      <w:pict w14:anchorId="0A286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07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3213" w14:textId="773194F6" w:rsidR="0030157E" w:rsidRDefault="00000000">
    <w:pPr>
      <w:pStyle w:val="Header"/>
    </w:pPr>
    <w:r>
      <w:rPr>
        <w:noProof/>
      </w:rPr>
      <w:pict w14:anchorId="4CE7E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07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251"/>
    <w:multiLevelType w:val="hybridMultilevel"/>
    <w:tmpl w:val="A3A46A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736212"/>
    <w:multiLevelType w:val="hybridMultilevel"/>
    <w:tmpl w:val="17AA1AFA"/>
    <w:lvl w:ilvl="0" w:tplc="7098F410">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42258"/>
    <w:multiLevelType w:val="hybridMultilevel"/>
    <w:tmpl w:val="DD5A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466F2"/>
    <w:multiLevelType w:val="hybridMultilevel"/>
    <w:tmpl w:val="5C64E4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3C7A2F"/>
    <w:multiLevelType w:val="hybridMultilevel"/>
    <w:tmpl w:val="8C2AA9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F4F5E"/>
    <w:multiLevelType w:val="hybridMultilevel"/>
    <w:tmpl w:val="1D744B5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56664956"/>
    <w:multiLevelType w:val="hybridMultilevel"/>
    <w:tmpl w:val="7E4EF030"/>
    <w:lvl w:ilvl="0" w:tplc="04090017">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6121B"/>
    <w:multiLevelType w:val="hybridMultilevel"/>
    <w:tmpl w:val="C9347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06E0"/>
    <w:multiLevelType w:val="hybridMultilevel"/>
    <w:tmpl w:val="E75AE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985618"/>
    <w:multiLevelType w:val="hybridMultilevel"/>
    <w:tmpl w:val="BF48E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85727DC"/>
    <w:multiLevelType w:val="hybridMultilevel"/>
    <w:tmpl w:val="C5C4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D97DD1"/>
    <w:multiLevelType w:val="hybridMultilevel"/>
    <w:tmpl w:val="122206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2278342">
    <w:abstractNumId w:val="3"/>
  </w:num>
  <w:num w:numId="2" w16cid:durableId="1689984445">
    <w:abstractNumId w:val="5"/>
  </w:num>
  <w:num w:numId="3" w16cid:durableId="1357852839">
    <w:abstractNumId w:val="11"/>
  </w:num>
  <w:num w:numId="4" w16cid:durableId="142964501">
    <w:abstractNumId w:val="0"/>
  </w:num>
  <w:num w:numId="5" w16cid:durableId="1597862182">
    <w:abstractNumId w:val="7"/>
  </w:num>
  <w:num w:numId="6" w16cid:durableId="1164859021">
    <w:abstractNumId w:val="1"/>
  </w:num>
  <w:num w:numId="7" w16cid:durableId="1134102714">
    <w:abstractNumId w:val="6"/>
  </w:num>
  <w:num w:numId="8" w16cid:durableId="1198393114">
    <w:abstractNumId w:val="10"/>
  </w:num>
  <w:num w:numId="9" w16cid:durableId="1483424180">
    <w:abstractNumId w:val="9"/>
  </w:num>
  <w:num w:numId="10" w16cid:durableId="1232544694">
    <w:abstractNumId w:val="2"/>
  </w:num>
  <w:num w:numId="11" w16cid:durableId="1363163740">
    <w:abstractNumId w:val="8"/>
  </w:num>
  <w:num w:numId="12" w16cid:durableId="50116438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4B8"/>
    <w:rsid w:val="000049C7"/>
    <w:rsid w:val="00007161"/>
    <w:rsid w:val="00021E62"/>
    <w:rsid w:val="00025E76"/>
    <w:rsid w:val="00031D56"/>
    <w:rsid w:val="000324F5"/>
    <w:rsid w:val="0003322B"/>
    <w:rsid w:val="000400F4"/>
    <w:rsid w:val="00041133"/>
    <w:rsid w:val="00042C71"/>
    <w:rsid w:val="00045F2D"/>
    <w:rsid w:val="000637A0"/>
    <w:rsid w:val="00071104"/>
    <w:rsid w:val="00080FDD"/>
    <w:rsid w:val="00083187"/>
    <w:rsid w:val="00084363"/>
    <w:rsid w:val="00085349"/>
    <w:rsid w:val="00086772"/>
    <w:rsid w:val="000A0C36"/>
    <w:rsid w:val="000A2E46"/>
    <w:rsid w:val="000A7C58"/>
    <w:rsid w:val="000B153A"/>
    <w:rsid w:val="000B55CD"/>
    <w:rsid w:val="000D0F01"/>
    <w:rsid w:val="000D1334"/>
    <w:rsid w:val="000E790A"/>
    <w:rsid w:val="0010060A"/>
    <w:rsid w:val="00101E5B"/>
    <w:rsid w:val="00105243"/>
    <w:rsid w:val="001063B2"/>
    <w:rsid w:val="00113319"/>
    <w:rsid w:val="00114756"/>
    <w:rsid w:val="001234B8"/>
    <w:rsid w:val="00130424"/>
    <w:rsid w:val="00132E04"/>
    <w:rsid w:val="00140154"/>
    <w:rsid w:val="001517B3"/>
    <w:rsid w:val="00153FCC"/>
    <w:rsid w:val="001602C3"/>
    <w:rsid w:val="00160492"/>
    <w:rsid w:val="00167AD1"/>
    <w:rsid w:val="00175895"/>
    <w:rsid w:val="00175F9F"/>
    <w:rsid w:val="001800C2"/>
    <w:rsid w:val="001835FD"/>
    <w:rsid w:val="00183D1B"/>
    <w:rsid w:val="001B35DD"/>
    <w:rsid w:val="001B3D76"/>
    <w:rsid w:val="001B4A37"/>
    <w:rsid w:val="001C1BCD"/>
    <w:rsid w:val="001C6BCB"/>
    <w:rsid w:val="001D1C5B"/>
    <w:rsid w:val="001E373E"/>
    <w:rsid w:val="001E38B1"/>
    <w:rsid w:val="001E4698"/>
    <w:rsid w:val="001F149E"/>
    <w:rsid w:val="001F4611"/>
    <w:rsid w:val="001F7AB4"/>
    <w:rsid w:val="00205048"/>
    <w:rsid w:val="00230448"/>
    <w:rsid w:val="00234E2E"/>
    <w:rsid w:val="002426C6"/>
    <w:rsid w:val="00242E87"/>
    <w:rsid w:val="002468A2"/>
    <w:rsid w:val="002524EF"/>
    <w:rsid w:val="002533DD"/>
    <w:rsid w:val="00272B89"/>
    <w:rsid w:val="00283470"/>
    <w:rsid w:val="002846AC"/>
    <w:rsid w:val="002959D4"/>
    <w:rsid w:val="002A08BD"/>
    <w:rsid w:val="002A0900"/>
    <w:rsid w:val="002A1F05"/>
    <w:rsid w:val="002A3273"/>
    <w:rsid w:val="002A4079"/>
    <w:rsid w:val="002B3BCF"/>
    <w:rsid w:val="002B3EEB"/>
    <w:rsid w:val="002B412A"/>
    <w:rsid w:val="002C0585"/>
    <w:rsid w:val="002C107B"/>
    <w:rsid w:val="002D0E6E"/>
    <w:rsid w:val="002D1DED"/>
    <w:rsid w:val="002D5655"/>
    <w:rsid w:val="002E769E"/>
    <w:rsid w:val="003013DE"/>
    <w:rsid w:val="0030157E"/>
    <w:rsid w:val="00310946"/>
    <w:rsid w:val="003218FC"/>
    <w:rsid w:val="00323AF9"/>
    <w:rsid w:val="00336CB2"/>
    <w:rsid w:val="00340EEE"/>
    <w:rsid w:val="00341862"/>
    <w:rsid w:val="00350FDD"/>
    <w:rsid w:val="003605F2"/>
    <w:rsid w:val="00360ADE"/>
    <w:rsid w:val="00363AC1"/>
    <w:rsid w:val="003737BE"/>
    <w:rsid w:val="00376DB3"/>
    <w:rsid w:val="00377D21"/>
    <w:rsid w:val="00381445"/>
    <w:rsid w:val="00393966"/>
    <w:rsid w:val="00395EAA"/>
    <w:rsid w:val="003A0B24"/>
    <w:rsid w:val="003A2BA4"/>
    <w:rsid w:val="003A593B"/>
    <w:rsid w:val="003A5DF6"/>
    <w:rsid w:val="003B222D"/>
    <w:rsid w:val="003B7B3C"/>
    <w:rsid w:val="003B7E71"/>
    <w:rsid w:val="003C0942"/>
    <w:rsid w:val="003C3A59"/>
    <w:rsid w:val="003C4EAD"/>
    <w:rsid w:val="003C5F3C"/>
    <w:rsid w:val="003C6B70"/>
    <w:rsid w:val="003D6923"/>
    <w:rsid w:val="003E1D88"/>
    <w:rsid w:val="003E2A9F"/>
    <w:rsid w:val="003E320F"/>
    <w:rsid w:val="003E77B8"/>
    <w:rsid w:val="003F61C4"/>
    <w:rsid w:val="004008EA"/>
    <w:rsid w:val="00400CA2"/>
    <w:rsid w:val="00406CBC"/>
    <w:rsid w:val="00421411"/>
    <w:rsid w:val="0042179D"/>
    <w:rsid w:val="00422676"/>
    <w:rsid w:val="00430311"/>
    <w:rsid w:val="0043543F"/>
    <w:rsid w:val="00441774"/>
    <w:rsid w:val="00442396"/>
    <w:rsid w:val="00483C4B"/>
    <w:rsid w:val="00485632"/>
    <w:rsid w:val="00491718"/>
    <w:rsid w:val="004A178A"/>
    <w:rsid w:val="004A2F8C"/>
    <w:rsid w:val="004A4CA0"/>
    <w:rsid w:val="004A52E4"/>
    <w:rsid w:val="004A7A62"/>
    <w:rsid w:val="004C00EC"/>
    <w:rsid w:val="004D3256"/>
    <w:rsid w:val="004E2A14"/>
    <w:rsid w:val="004E2DCE"/>
    <w:rsid w:val="004E3AB0"/>
    <w:rsid w:val="004E748F"/>
    <w:rsid w:val="0050014C"/>
    <w:rsid w:val="0050037E"/>
    <w:rsid w:val="0051259B"/>
    <w:rsid w:val="005139ED"/>
    <w:rsid w:val="005172E7"/>
    <w:rsid w:val="005260B0"/>
    <w:rsid w:val="00531305"/>
    <w:rsid w:val="00533A54"/>
    <w:rsid w:val="0053731D"/>
    <w:rsid w:val="005528BE"/>
    <w:rsid w:val="00555A74"/>
    <w:rsid w:val="0056150A"/>
    <w:rsid w:val="00562117"/>
    <w:rsid w:val="005636D7"/>
    <w:rsid w:val="005641AC"/>
    <w:rsid w:val="00567709"/>
    <w:rsid w:val="0057365B"/>
    <w:rsid w:val="00575C7A"/>
    <w:rsid w:val="00577470"/>
    <w:rsid w:val="00587B78"/>
    <w:rsid w:val="0059204F"/>
    <w:rsid w:val="005943E3"/>
    <w:rsid w:val="005A1842"/>
    <w:rsid w:val="005A6150"/>
    <w:rsid w:val="005A7002"/>
    <w:rsid w:val="005B791F"/>
    <w:rsid w:val="005C058A"/>
    <w:rsid w:val="005C0A95"/>
    <w:rsid w:val="005C6F30"/>
    <w:rsid w:val="005D2289"/>
    <w:rsid w:val="005D28DE"/>
    <w:rsid w:val="005D7DF2"/>
    <w:rsid w:val="005E2189"/>
    <w:rsid w:val="005E6F21"/>
    <w:rsid w:val="005F2772"/>
    <w:rsid w:val="005F5545"/>
    <w:rsid w:val="005F5CD0"/>
    <w:rsid w:val="006007D3"/>
    <w:rsid w:val="006151A1"/>
    <w:rsid w:val="00616DEA"/>
    <w:rsid w:val="00625CF5"/>
    <w:rsid w:val="00640229"/>
    <w:rsid w:val="006470E2"/>
    <w:rsid w:val="006605EC"/>
    <w:rsid w:val="00661B89"/>
    <w:rsid w:val="00663224"/>
    <w:rsid w:val="006716B4"/>
    <w:rsid w:val="0067201E"/>
    <w:rsid w:val="00673A2D"/>
    <w:rsid w:val="00687693"/>
    <w:rsid w:val="00687C2A"/>
    <w:rsid w:val="006A5B59"/>
    <w:rsid w:val="006B3439"/>
    <w:rsid w:val="006B709F"/>
    <w:rsid w:val="006E01DD"/>
    <w:rsid w:val="006E34D6"/>
    <w:rsid w:val="006E46AC"/>
    <w:rsid w:val="006F4C0F"/>
    <w:rsid w:val="006F6A2E"/>
    <w:rsid w:val="006F7389"/>
    <w:rsid w:val="007007B5"/>
    <w:rsid w:val="0070281F"/>
    <w:rsid w:val="00704ADF"/>
    <w:rsid w:val="00705AF1"/>
    <w:rsid w:val="00721015"/>
    <w:rsid w:val="00723A9E"/>
    <w:rsid w:val="00727620"/>
    <w:rsid w:val="00734D6F"/>
    <w:rsid w:val="007352D3"/>
    <w:rsid w:val="00740D3D"/>
    <w:rsid w:val="00745AEF"/>
    <w:rsid w:val="00781C48"/>
    <w:rsid w:val="0078534A"/>
    <w:rsid w:val="0078603A"/>
    <w:rsid w:val="007860B5"/>
    <w:rsid w:val="00790971"/>
    <w:rsid w:val="00792952"/>
    <w:rsid w:val="00792C8D"/>
    <w:rsid w:val="007A76EE"/>
    <w:rsid w:val="007B54D9"/>
    <w:rsid w:val="007C0F16"/>
    <w:rsid w:val="007C0F31"/>
    <w:rsid w:val="007C28A6"/>
    <w:rsid w:val="007C4891"/>
    <w:rsid w:val="007E10CA"/>
    <w:rsid w:val="007F345C"/>
    <w:rsid w:val="007F5C6B"/>
    <w:rsid w:val="007F6F5B"/>
    <w:rsid w:val="0080471D"/>
    <w:rsid w:val="008077A2"/>
    <w:rsid w:val="008106C1"/>
    <w:rsid w:val="00816DD9"/>
    <w:rsid w:val="0082117D"/>
    <w:rsid w:val="008405F0"/>
    <w:rsid w:val="00842920"/>
    <w:rsid w:val="00861402"/>
    <w:rsid w:val="0086292F"/>
    <w:rsid w:val="00863A11"/>
    <w:rsid w:val="008718AD"/>
    <w:rsid w:val="00874904"/>
    <w:rsid w:val="00875CBF"/>
    <w:rsid w:val="00882E83"/>
    <w:rsid w:val="00897CDD"/>
    <w:rsid w:val="008A6379"/>
    <w:rsid w:val="008B0F3A"/>
    <w:rsid w:val="008B79D1"/>
    <w:rsid w:val="008C4784"/>
    <w:rsid w:val="008C51AD"/>
    <w:rsid w:val="008D7338"/>
    <w:rsid w:val="008E014A"/>
    <w:rsid w:val="00901B3A"/>
    <w:rsid w:val="0090287B"/>
    <w:rsid w:val="00911268"/>
    <w:rsid w:val="0091600C"/>
    <w:rsid w:val="00916B5A"/>
    <w:rsid w:val="00925500"/>
    <w:rsid w:val="00931A28"/>
    <w:rsid w:val="00936880"/>
    <w:rsid w:val="00937A12"/>
    <w:rsid w:val="009428FB"/>
    <w:rsid w:val="00946049"/>
    <w:rsid w:val="00946235"/>
    <w:rsid w:val="00947FE2"/>
    <w:rsid w:val="009575D4"/>
    <w:rsid w:val="009603D4"/>
    <w:rsid w:val="00964F3D"/>
    <w:rsid w:val="00977F0A"/>
    <w:rsid w:val="00993C83"/>
    <w:rsid w:val="00996752"/>
    <w:rsid w:val="009A0D31"/>
    <w:rsid w:val="009A1824"/>
    <w:rsid w:val="009A7B15"/>
    <w:rsid w:val="009B17E8"/>
    <w:rsid w:val="009B2DBD"/>
    <w:rsid w:val="009B47CB"/>
    <w:rsid w:val="009B52E8"/>
    <w:rsid w:val="009B7776"/>
    <w:rsid w:val="009C1D2C"/>
    <w:rsid w:val="009C25A7"/>
    <w:rsid w:val="009D0153"/>
    <w:rsid w:val="009D37FD"/>
    <w:rsid w:val="009D4314"/>
    <w:rsid w:val="009E65BB"/>
    <w:rsid w:val="009F5B2C"/>
    <w:rsid w:val="00A12F4D"/>
    <w:rsid w:val="00A15C3B"/>
    <w:rsid w:val="00A3210D"/>
    <w:rsid w:val="00A33AAF"/>
    <w:rsid w:val="00A33C91"/>
    <w:rsid w:val="00A403F8"/>
    <w:rsid w:val="00A45640"/>
    <w:rsid w:val="00A4601D"/>
    <w:rsid w:val="00A47846"/>
    <w:rsid w:val="00A6326C"/>
    <w:rsid w:val="00A63474"/>
    <w:rsid w:val="00A665D0"/>
    <w:rsid w:val="00A76750"/>
    <w:rsid w:val="00A77A59"/>
    <w:rsid w:val="00A829EA"/>
    <w:rsid w:val="00A90EDC"/>
    <w:rsid w:val="00A946D5"/>
    <w:rsid w:val="00AB30E4"/>
    <w:rsid w:val="00AB6020"/>
    <w:rsid w:val="00AB6638"/>
    <w:rsid w:val="00AD37E1"/>
    <w:rsid w:val="00AD4761"/>
    <w:rsid w:val="00AD49D4"/>
    <w:rsid w:val="00AD6785"/>
    <w:rsid w:val="00AE0FA9"/>
    <w:rsid w:val="00AE67FB"/>
    <w:rsid w:val="00AE7CA1"/>
    <w:rsid w:val="00AE7D4F"/>
    <w:rsid w:val="00AF06A6"/>
    <w:rsid w:val="00B120D4"/>
    <w:rsid w:val="00B127C9"/>
    <w:rsid w:val="00B13B14"/>
    <w:rsid w:val="00B2009E"/>
    <w:rsid w:val="00B35155"/>
    <w:rsid w:val="00B62E4B"/>
    <w:rsid w:val="00B62F56"/>
    <w:rsid w:val="00B63B78"/>
    <w:rsid w:val="00B735F2"/>
    <w:rsid w:val="00B75651"/>
    <w:rsid w:val="00B8255C"/>
    <w:rsid w:val="00B83221"/>
    <w:rsid w:val="00BB2A46"/>
    <w:rsid w:val="00BB61BB"/>
    <w:rsid w:val="00BC1260"/>
    <w:rsid w:val="00BC6283"/>
    <w:rsid w:val="00BD0172"/>
    <w:rsid w:val="00BD2588"/>
    <w:rsid w:val="00BD5A95"/>
    <w:rsid w:val="00BE4D23"/>
    <w:rsid w:val="00BF1B41"/>
    <w:rsid w:val="00BF3C22"/>
    <w:rsid w:val="00C1034A"/>
    <w:rsid w:val="00C107FE"/>
    <w:rsid w:val="00C3355F"/>
    <w:rsid w:val="00C359C2"/>
    <w:rsid w:val="00C40C2C"/>
    <w:rsid w:val="00C40CA0"/>
    <w:rsid w:val="00C41CBC"/>
    <w:rsid w:val="00C41FF3"/>
    <w:rsid w:val="00C42C70"/>
    <w:rsid w:val="00C43D56"/>
    <w:rsid w:val="00C473D9"/>
    <w:rsid w:val="00C534F1"/>
    <w:rsid w:val="00C54D83"/>
    <w:rsid w:val="00C617F8"/>
    <w:rsid w:val="00C63B13"/>
    <w:rsid w:val="00C701E3"/>
    <w:rsid w:val="00C801D6"/>
    <w:rsid w:val="00C844ED"/>
    <w:rsid w:val="00C90FDA"/>
    <w:rsid w:val="00CA44E3"/>
    <w:rsid w:val="00CA4A9C"/>
    <w:rsid w:val="00CB3E6D"/>
    <w:rsid w:val="00CB42F3"/>
    <w:rsid w:val="00CD3A78"/>
    <w:rsid w:val="00CE2017"/>
    <w:rsid w:val="00CE4D7B"/>
    <w:rsid w:val="00CE5060"/>
    <w:rsid w:val="00CF14CF"/>
    <w:rsid w:val="00D01EC4"/>
    <w:rsid w:val="00D05DB4"/>
    <w:rsid w:val="00D11664"/>
    <w:rsid w:val="00D14B43"/>
    <w:rsid w:val="00D16049"/>
    <w:rsid w:val="00D24DCE"/>
    <w:rsid w:val="00D32328"/>
    <w:rsid w:val="00D348E0"/>
    <w:rsid w:val="00D431BF"/>
    <w:rsid w:val="00D440AF"/>
    <w:rsid w:val="00D4520B"/>
    <w:rsid w:val="00D51D8C"/>
    <w:rsid w:val="00D52738"/>
    <w:rsid w:val="00D60C25"/>
    <w:rsid w:val="00D6149C"/>
    <w:rsid w:val="00D62B7F"/>
    <w:rsid w:val="00D7126D"/>
    <w:rsid w:val="00D73D2A"/>
    <w:rsid w:val="00D77402"/>
    <w:rsid w:val="00D8178D"/>
    <w:rsid w:val="00D84AE5"/>
    <w:rsid w:val="00D853C2"/>
    <w:rsid w:val="00D95073"/>
    <w:rsid w:val="00D96F0A"/>
    <w:rsid w:val="00DA45D3"/>
    <w:rsid w:val="00DB4742"/>
    <w:rsid w:val="00DB4FF4"/>
    <w:rsid w:val="00DC12B2"/>
    <w:rsid w:val="00DC5F64"/>
    <w:rsid w:val="00DD356B"/>
    <w:rsid w:val="00DE28D1"/>
    <w:rsid w:val="00DF611F"/>
    <w:rsid w:val="00DF7B5A"/>
    <w:rsid w:val="00E01D91"/>
    <w:rsid w:val="00E156D7"/>
    <w:rsid w:val="00E22053"/>
    <w:rsid w:val="00E3097B"/>
    <w:rsid w:val="00E30BDE"/>
    <w:rsid w:val="00E34CBD"/>
    <w:rsid w:val="00E35772"/>
    <w:rsid w:val="00E3714F"/>
    <w:rsid w:val="00E422BC"/>
    <w:rsid w:val="00E53E57"/>
    <w:rsid w:val="00E575B4"/>
    <w:rsid w:val="00E642BA"/>
    <w:rsid w:val="00E6594E"/>
    <w:rsid w:val="00E675F2"/>
    <w:rsid w:val="00E67822"/>
    <w:rsid w:val="00E67849"/>
    <w:rsid w:val="00E709F6"/>
    <w:rsid w:val="00E72D07"/>
    <w:rsid w:val="00E7323D"/>
    <w:rsid w:val="00E750ED"/>
    <w:rsid w:val="00E86EAF"/>
    <w:rsid w:val="00E97887"/>
    <w:rsid w:val="00EA2363"/>
    <w:rsid w:val="00EA37A1"/>
    <w:rsid w:val="00EA547C"/>
    <w:rsid w:val="00EA7D78"/>
    <w:rsid w:val="00EB12C9"/>
    <w:rsid w:val="00EB18ED"/>
    <w:rsid w:val="00EC16C4"/>
    <w:rsid w:val="00EC30A4"/>
    <w:rsid w:val="00EC65C8"/>
    <w:rsid w:val="00ED0D5F"/>
    <w:rsid w:val="00ED1B76"/>
    <w:rsid w:val="00EE1814"/>
    <w:rsid w:val="00EE3AF6"/>
    <w:rsid w:val="00EE7262"/>
    <w:rsid w:val="00F00CA9"/>
    <w:rsid w:val="00F01F46"/>
    <w:rsid w:val="00F05831"/>
    <w:rsid w:val="00F12156"/>
    <w:rsid w:val="00F13BCD"/>
    <w:rsid w:val="00F14934"/>
    <w:rsid w:val="00F17C84"/>
    <w:rsid w:val="00F21437"/>
    <w:rsid w:val="00F42E67"/>
    <w:rsid w:val="00F47AAE"/>
    <w:rsid w:val="00F569EE"/>
    <w:rsid w:val="00F57DD6"/>
    <w:rsid w:val="00F666A9"/>
    <w:rsid w:val="00F853D8"/>
    <w:rsid w:val="00F916A9"/>
    <w:rsid w:val="00F94319"/>
    <w:rsid w:val="00F97089"/>
    <w:rsid w:val="00FB356C"/>
    <w:rsid w:val="00FB3B3D"/>
    <w:rsid w:val="00FB4736"/>
    <w:rsid w:val="00FC7BD5"/>
    <w:rsid w:val="00FE1AE9"/>
    <w:rsid w:val="00FE5863"/>
    <w:rsid w:val="00FF3938"/>
    <w:rsid w:val="00FF7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01BE7"/>
  <w15:chartTrackingRefBased/>
  <w15:docId w15:val="{44CD0476-EF84-4EEC-8794-5FBF7ED5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AB0"/>
    <w:pPr>
      <w:spacing w:after="200" w:line="276" w:lineRule="auto"/>
    </w:pPr>
    <w:rPr>
      <w:lang w:val="en-US"/>
    </w:rPr>
  </w:style>
  <w:style w:type="paragraph" w:styleId="Heading1">
    <w:name w:val="heading 1"/>
    <w:basedOn w:val="Normal"/>
    <w:link w:val="Heading1Char"/>
    <w:uiPriority w:val="9"/>
    <w:qFormat/>
    <w:rsid w:val="008429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E3A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E3AB0"/>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4E3AB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234B8"/>
    <w:pPr>
      <w:spacing w:after="0" w:line="240" w:lineRule="auto"/>
    </w:pPr>
  </w:style>
  <w:style w:type="character" w:customStyle="1" w:styleId="Heading1Char">
    <w:name w:val="Heading 1 Char"/>
    <w:basedOn w:val="DefaultParagraphFont"/>
    <w:link w:val="Heading1"/>
    <w:uiPriority w:val="9"/>
    <w:rsid w:val="00842920"/>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8429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v3um">
    <w:name w:val="uv3um"/>
    <w:basedOn w:val="DefaultParagraphFont"/>
    <w:rsid w:val="004D3256"/>
  </w:style>
  <w:style w:type="character" w:styleId="Hyperlink">
    <w:name w:val="Hyperlink"/>
    <w:basedOn w:val="DefaultParagraphFont"/>
    <w:uiPriority w:val="99"/>
    <w:unhideWhenUsed/>
    <w:rsid w:val="00080FDD"/>
    <w:rPr>
      <w:color w:val="0000FF"/>
      <w:u w:val="single"/>
    </w:rPr>
  </w:style>
  <w:style w:type="character" w:styleId="HTMLCite">
    <w:name w:val="HTML Cite"/>
    <w:basedOn w:val="DefaultParagraphFont"/>
    <w:uiPriority w:val="99"/>
    <w:semiHidden/>
    <w:unhideWhenUsed/>
    <w:rsid w:val="00080FDD"/>
    <w:rPr>
      <w:i/>
      <w:iCs/>
    </w:rPr>
  </w:style>
  <w:style w:type="character" w:customStyle="1" w:styleId="reference-accessdate">
    <w:name w:val="reference-accessdate"/>
    <w:basedOn w:val="DefaultParagraphFont"/>
    <w:rsid w:val="00080FDD"/>
  </w:style>
  <w:style w:type="character" w:customStyle="1" w:styleId="nowrap">
    <w:name w:val="nowrap"/>
    <w:basedOn w:val="DefaultParagraphFont"/>
    <w:rsid w:val="00080FDD"/>
  </w:style>
  <w:style w:type="character" w:customStyle="1" w:styleId="NoSpacingChar">
    <w:name w:val="No Spacing Char"/>
    <w:link w:val="NoSpacing"/>
    <w:uiPriority w:val="1"/>
    <w:rsid w:val="004E3AB0"/>
  </w:style>
  <w:style w:type="table" w:styleId="TableGrid">
    <w:name w:val="Table Grid"/>
    <w:basedOn w:val="TableNormal"/>
    <w:uiPriority w:val="59"/>
    <w:rsid w:val="004E3A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AB0"/>
    <w:pPr>
      <w:ind w:left="720"/>
      <w:contextualSpacing/>
    </w:pPr>
  </w:style>
  <w:style w:type="character" w:customStyle="1" w:styleId="Heading2Char">
    <w:name w:val="Heading 2 Char"/>
    <w:basedOn w:val="DefaultParagraphFont"/>
    <w:link w:val="Heading2"/>
    <w:uiPriority w:val="9"/>
    <w:rsid w:val="004E3AB0"/>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4E3AB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semiHidden/>
    <w:rsid w:val="004E3AB0"/>
    <w:rPr>
      <w:rFonts w:asciiTheme="majorHAnsi" w:eastAsiaTheme="majorEastAsia" w:hAnsiTheme="majorHAnsi" w:cstheme="majorBidi"/>
      <w:b/>
      <w:bCs/>
      <w:i/>
      <w:iCs/>
      <w:color w:val="5B9BD5" w:themeColor="accent1"/>
      <w:lang w:val="en-US"/>
    </w:rPr>
  </w:style>
  <w:style w:type="paragraph" w:styleId="Footer">
    <w:name w:val="footer"/>
    <w:basedOn w:val="Normal"/>
    <w:link w:val="FooterChar"/>
    <w:uiPriority w:val="99"/>
    <w:rsid w:val="004E3AB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E3AB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E3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AB0"/>
    <w:rPr>
      <w:rFonts w:ascii="Tahoma" w:hAnsi="Tahoma" w:cs="Tahoma"/>
      <w:sz w:val="16"/>
      <w:szCs w:val="16"/>
      <w:lang w:val="en-US"/>
    </w:rPr>
  </w:style>
  <w:style w:type="paragraph" w:customStyle="1" w:styleId="Default">
    <w:name w:val="Default"/>
    <w:rsid w:val="004E3AB0"/>
    <w:pPr>
      <w:autoSpaceDE w:val="0"/>
      <w:autoSpaceDN w:val="0"/>
      <w:adjustRightInd w:val="0"/>
      <w:spacing w:after="0" w:line="240" w:lineRule="auto"/>
    </w:pPr>
    <w:rPr>
      <w:rFonts w:ascii="Symbol" w:hAnsi="Symbol" w:cs="Symbol"/>
      <w:color w:val="000000"/>
      <w:sz w:val="24"/>
      <w:szCs w:val="24"/>
      <w:lang w:val="en-US"/>
    </w:rPr>
  </w:style>
  <w:style w:type="character" w:styleId="Strong">
    <w:name w:val="Strong"/>
    <w:basedOn w:val="DefaultParagraphFont"/>
    <w:uiPriority w:val="22"/>
    <w:qFormat/>
    <w:rsid w:val="004E3AB0"/>
    <w:rPr>
      <w:b/>
      <w:bCs/>
    </w:rPr>
  </w:style>
  <w:style w:type="character" w:customStyle="1" w:styleId="posted-on">
    <w:name w:val="posted-on"/>
    <w:basedOn w:val="DefaultParagraphFont"/>
    <w:rsid w:val="004E3AB0"/>
  </w:style>
  <w:style w:type="character" w:customStyle="1" w:styleId="byline">
    <w:name w:val="byline"/>
    <w:basedOn w:val="DefaultParagraphFont"/>
    <w:rsid w:val="004E3AB0"/>
  </w:style>
  <w:style w:type="character" w:customStyle="1" w:styleId="author">
    <w:name w:val="author"/>
    <w:basedOn w:val="DefaultParagraphFont"/>
    <w:rsid w:val="004E3AB0"/>
  </w:style>
  <w:style w:type="character" w:customStyle="1" w:styleId="cat-links">
    <w:name w:val="cat-links"/>
    <w:basedOn w:val="DefaultParagraphFont"/>
    <w:rsid w:val="004E3AB0"/>
  </w:style>
  <w:style w:type="character" w:customStyle="1" w:styleId="tags-links">
    <w:name w:val="tags-links"/>
    <w:basedOn w:val="DefaultParagraphFont"/>
    <w:rsid w:val="004E3AB0"/>
  </w:style>
  <w:style w:type="paragraph" w:customStyle="1" w:styleId="site-title">
    <w:name w:val="site-title"/>
    <w:basedOn w:val="Normal"/>
    <w:rsid w:val="004E3A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description">
    <w:name w:val="site-description"/>
    <w:basedOn w:val="Normal"/>
    <w:rsid w:val="004E3AB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4E3AB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4E3AB0"/>
    <w:rPr>
      <w:rFonts w:asciiTheme="majorHAnsi" w:eastAsiaTheme="majorEastAsia" w:hAnsiTheme="majorHAnsi" w:cstheme="majorBidi"/>
      <w:i/>
      <w:iCs/>
      <w:color w:val="5B9BD5" w:themeColor="accent1"/>
      <w:spacing w:val="15"/>
      <w:sz w:val="24"/>
      <w:szCs w:val="24"/>
      <w:lang w:val="en-US"/>
    </w:rPr>
  </w:style>
  <w:style w:type="character" w:customStyle="1" w:styleId="mw-headline">
    <w:name w:val="mw-headline"/>
    <w:basedOn w:val="DefaultParagraphFont"/>
    <w:rsid w:val="004E3AB0"/>
  </w:style>
  <w:style w:type="character" w:customStyle="1" w:styleId="UnresolvedMention1">
    <w:name w:val="Unresolved Mention1"/>
    <w:basedOn w:val="DefaultParagraphFont"/>
    <w:uiPriority w:val="99"/>
    <w:semiHidden/>
    <w:unhideWhenUsed/>
    <w:rsid w:val="00E750ED"/>
    <w:rPr>
      <w:color w:val="605E5C"/>
      <w:shd w:val="clear" w:color="auto" w:fill="E1DFDD"/>
    </w:rPr>
  </w:style>
  <w:style w:type="paragraph" w:customStyle="1" w:styleId="Author0">
    <w:name w:val="Author"/>
    <w:basedOn w:val="Normal"/>
    <w:rsid w:val="00C3355F"/>
    <w:pPr>
      <w:spacing w:after="0" w:line="280" w:lineRule="exact"/>
      <w:jc w:val="right"/>
    </w:pPr>
    <w:rPr>
      <w:rFonts w:ascii="Helvetica" w:eastAsia="Times New Roman" w:hAnsi="Helvetica" w:cs="Times New Roman"/>
      <w:b/>
      <w:sz w:val="24"/>
      <w:szCs w:val="20"/>
    </w:rPr>
  </w:style>
  <w:style w:type="paragraph" w:customStyle="1" w:styleId="AcknHead">
    <w:name w:val="Ackn Head"/>
    <w:basedOn w:val="Normal"/>
    <w:rsid w:val="00C3355F"/>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C359C2"/>
    <w:pPr>
      <w:keepNext/>
      <w:spacing w:after="240" w:line="240" w:lineRule="auto"/>
    </w:pPr>
    <w:rPr>
      <w:rFonts w:ascii="Helvetica" w:eastAsia="Times New Roman" w:hAnsi="Helvetica" w:cs="Times New Roman"/>
      <w:b/>
      <w:caps/>
      <w:szCs w:val="20"/>
    </w:rPr>
  </w:style>
  <w:style w:type="paragraph" w:customStyle="1" w:styleId="Body">
    <w:name w:val="Body"/>
    <w:basedOn w:val="Normal"/>
    <w:rsid w:val="00085349"/>
    <w:pPr>
      <w:spacing w:after="240" w:line="240" w:lineRule="auto"/>
      <w:jc w:val="both"/>
    </w:pPr>
    <w:rPr>
      <w:rFonts w:ascii="Helvetica" w:eastAsia="Times New Roman" w:hAnsi="Helvetica" w:cs="Times New Roman"/>
      <w:sz w:val="20"/>
      <w:szCs w:val="20"/>
    </w:rPr>
  </w:style>
  <w:style w:type="paragraph" w:customStyle="1" w:styleId="Affiliation">
    <w:name w:val="Affiliation"/>
    <w:basedOn w:val="Normal"/>
    <w:rsid w:val="004008EA"/>
    <w:pPr>
      <w:spacing w:after="240" w:line="240" w:lineRule="exact"/>
      <w:jc w:val="right"/>
    </w:pPr>
    <w:rPr>
      <w:rFonts w:ascii="Helvetica" w:eastAsia="Times New Roman" w:hAnsi="Helvetica" w:cs="Times New Roman"/>
      <w:sz w:val="20"/>
      <w:szCs w:val="20"/>
    </w:rPr>
  </w:style>
  <w:style w:type="paragraph" w:styleId="Header">
    <w:name w:val="header"/>
    <w:basedOn w:val="Normal"/>
    <w:link w:val="HeaderChar"/>
    <w:uiPriority w:val="99"/>
    <w:unhideWhenUsed/>
    <w:rsid w:val="00DB4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FF4"/>
    <w:rPr>
      <w:lang w:val="en-US"/>
    </w:rPr>
  </w:style>
  <w:style w:type="character" w:styleId="Emphasis">
    <w:name w:val="Emphasis"/>
    <w:basedOn w:val="DefaultParagraphFont"/>
    <w:uiPriority w:val="20"/>
    <w:qFormat/>
    <w:rsid w:val="00F12156"/>
    <w:rPr>
      <w:i/>
      <w:iCs/>
    </w:rPr>
  </w:style>
  <w:style w:type="character" w:styleId="UnresolvedMention">
    <w:name w:val="Unresolved Mention"/>
    <w:basedOn w:val="DefaultParagraphFont"/>
    <w:uiPriority w:val="99"/>
    <w:semiHidden/>
    <w:unhideWhenUsed/>
    <w:rsid w:val="003A5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5592">
      <w:bodyDiv w:val="1"/>
      <w:marLeft w:val="0"/>
      <w:marRight w:val="0"/>
      <w:marTop w:val="0"/>
      <w:marBottom w:val="0"/>
      <w:divBdr>
        <w:top w:val="none" w:sz="0" w:space="0" w:color="auto"/>
        <w:left w:val="none" w:sz="0" w:space="0" w:color="auto"/>
        <w:bottom w:val="none" w:sz="0" w:space="0" w:color="auto"/>
        <w:right w:val="none" w:sz="0" w:space="0" w:color="auto"/>
      </w:divBdr>
    </w:div>
    <w:div w:id="376705724">
      <w:bodyDiv w:val="1"/>
      <w:marLeft w:val="0"/>
      <w:marRight w:val="0"/>
      <w:marTop w:val="0"/>
      <w:marBottom w:val="0"/>
      <w:divBdr>
        <w:top w:val="none" w:sz="0" w:space="0" w:color="auto"/>
        <w:left w:val="none" w:sz="0" w:space="0" w:color="auto"/>
        <w:bottom w:val="none" w:sz="0" w:space="0" w:color="auto"/>
        <w:right w:val="none" w:sz="0" w:space="0" w:color="auto"/>
      </w:divBdr>
    </w:div>
    <w:div w:id="808017014">
      <w:bodyDiv w:val="1"/>
      <w:marLeft w:val="0"/>
      <w:marRight w:val="0"/>
      <w:marTop w:val="0"/>
      <w:marBottom w:val="0"/>
      <w:divBdr>
        <w:top w:val="none" w:sz="0" w:space="0" w:color="auto"/>
        <w:left w:val="none" w:sz="0" w:space="0" w:color="auto"/>
        <w:bottom w:val="none" w:sz="0" w:space="0" w:color="auto"/>
        <w:right w:val="none" w:sz="0" w:space="0" w:color="auto"/>
      </w:divBdr>
    </w:div>
    <w:div w:id="96851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voices.org/2024/11/20/nigeria-ranks-lowest-among-sub-saharan-african-countries-in-womens-representation-in-parliamen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3164/trends.2021.37.9"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women.org" TargetMode="External"/><Relationship Id="rId4" Type="http://schemas.openxmlformats.org/officeDocument/2006/relationships/webSettings" Target="webSettings.xml"/><Relationship Id="rId9" Type="http://schemas.openxmlformats.org/officeDocument/2006/relationships/hyperlink" Target="https://doi.org/10.1080/21565503.2024.230431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4711</TotalTime>
  <Pages>16</Pages>
  <Words>6693</Words>
  <Characters>38151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funmilayo francis</cp:lastModifiedBy>
  <cp:revision>415</cp:revision>
  <dcterms:created xsi:type="dcterms:W3CDTF">2025-06-09T08:46:00Z</dcterms:created>
  <dcterms:modified xsi:type="dcterms:W3CDTF">2025-09-02T13:04:00Z</dcterms:modified>
</cp:coreProperties>
</file>