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2AF7" w14:textId="578E9303" w:rsidR="00471EF4" w:rsidRDefault="00471EF4" w:rsidP="004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sz w:val="20"/>
          <w:szCs w:val="20"/>
          <w:lang w:val="en"/>
        </w:rPr>
      </w:pPr>
      <w:r w:rsidRPr="00471EF4">
        <w:rPr>
          <w:rFonts w:ascii="Courier New" w:eastAsia="Times New Roman" w:hAnsi="Courier New" w:cs="Courier New"/>
          <w:b/>
          <w:bCs/>
          <w:sz w:val="20"/>
          <w:szCs w:val="20"/>
          <w:lang w:val="en"/>
        </w:rPr>
        <w:t>THE EFFECT OF FLOODING ON SEVERAL SOIL NUTRIENT CONTENT</w:t>
      </w:r>
      <w:r w:rsidR="000D4B66">
        <w:rPr>
          <w:rFonts w:ascii="Courier New" w:eastAsia="Times New Roman" w:hAnsi="Courier New" w:cs="Courier New"/>
          <w:b/>
          <w:bCs/>
          <w:sz w:val="20"/>
          <w:szCs w:val="20"/>
          <w:lang w:val="en"/>
        </w:rPr>
        <w:t>S</w:t>
      </w:r>
      <w:r w:rsidRPr="00471EF4">
        <w:rPr>
          <w:rFonts w:ascii="Courier New" w:eastAsia="Times New Roman" w:hAnsi="Courier New" w:cs="Courier New"/>
          <w:b/>
          <w:bCs/>
          <w:sz w:val="20"/>
          <w:szCs w:val="20"/>
          <w:lang w:val="en"/>
        </w:rPr>
        <w:t xml:space="preserve"> IN RICE FIELDS IN LEMPAKE VILLAGE</w:t>
      </w:r>
    </w:p>
    <w:p w14:paraId="0CC6E22C" w14:textId="77777777" w:rsidR="009767C8" w:rsidRDefault="009767C8" w:rsidP="004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sz w:val="20"/>
          <w:szCs w:val="20"/>
          <w:lang w:val="en"/>
        </w:rPr>
      </w:pPr>
    </w:p>
    <w:p w14:paraId="471F2A3D" w14:textId="77777777" w:rsidR="009767C8" w:rsidRPr="000D4B66" w:rsidRDefault="009767C8" w:rsidP="004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bCs/>
          <w:sz w:val="20"/>
          <w:szCs w:val="20"/>
          <w:lang w:val="en"/>
        </w:rPr>
      </w:pPr>
    </w:p>
    <w:p w14:paraId="7E61C046" w14:textId="77777777" w:rsidR="00C9044F" w:rsidRDefault="00C9044F"/>
    <w:p w14:paraId="26B31FEB"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ABSTRACT</w:t>
      </w:r>
    </w:p>
    <w:p w14:paraId="40A8AA81" w14:textId="5DB92C89" w:rsidR="00F86C2C" w:rsidRDefault="00471EF4" w:rsidP="00F86C2C">
      <w:pPr>
        <w:pStyle w:val="HTMLPreformatted"/>
        <w:ind w:firstLine="567"/>
        <w:jc w:val="both"/>
      </w:pPr>
      <w:r>
        <w:rPr>
          <w:rStyle w:val="y2iqfc"/>
          <w:rFonts w:eastAsiaTheme="majorEastAsia"/>
          <w:lang w:val="en"/>
        </w:rPr>
        <w:t xml:space="preserve">Flooding can damage agricultural land because it can carry and deposit mud, wood waste, gravel, rocks, and sand, causing damage and loss of topsoil. The purpose of this study was to determine the post-flood soil nutrient content in rice fields in Lempake Village, Samarinda City. This research was conducted from June to November 2024 in the rice fields of Lempake Village, and soil analysis was conducted at the Soil Science Laboratory, Faculty of Agriculture, Mulawarman University. Soil samples were collected in the field using simple random sampling at 13 points before and 13 points after the flood. </w:t>
      </w:r>
      <w:r w:rsidRPr="00B513F7">
        <w:rPr>
          <w:rStyle w:val="y2iqfc"/>
          <w:rFonts w:eastAsiaTheme="majorEastAsia"/>
          <w:highlight w:val="yellow"/>
          <w:lang w:val="en"/>
        </w:rPr>
        <w:t xml:space="preserve">Soil chemical properties were analyzed using the disturbed soil composite method, including soil pH, </w:t>
      </w:r>
      <w:r w:rsidR="008E1AC3" w:rsidRPr="00B513F7">
        <w:rPr>
          <w:rStyle w:val="y2iqfc"/>
          <w:rFonts w:eastAsiaTheme="majorEastAsia"/>
          <w:highlight w:val="yellow"/>
          <w:lang w:val="en"/>
        </w:rPr>
        <w:t>t</w:t>
      </w:r>
      <w:r w:rsidRPr="00B513F7">
        <w:rPr>
          <w:rStyle w:val="y2iqfc"/>
          <w:rFonts w:eastAsiaTheme="majorEastAsia"/>
          <w:highlight w:val="yellow"/>
          <w:lang w:val="en"/>
        </w:rPr>
        <w:t xml:space="preserve">otal N and </w:t>
      </w:r>
      <w:r w:rsidR="008E1AC3" w:rsidRPr="00B513F7">
        <w:rPr>
          <w:rStyle w:val="y2iqfc"/>
          <w:rFonts w:eastAsiaTheme="majorEastAsia"/>
          <w:highlight w:val="yellow"/>
          <w:lang w:val="en"/>
        </w:rPr>
        <w:t>N-a</w:t>
      </w:r>
      <w:r w:rsidRPr="00B513F7">
        <w:rPr>
          <w:rStyle w:val="y2iqfc"/>
          <w:rFonts w:eastAsiaTheme="majorEastAsia"/>
          <w:highlight w:val="yellow"/>
          <w:lang w:val="en"/>
        </w:rPr>
        <w:t xml:space="preserve">vailable analysis, </w:t>
      </w:r>
      <w:r w:rsidR="008E1AC3" w:rsidRPr="00B513F7">
        <w:rPr>
          <w:rStyle w:val="y2iqfc"/>
          <w:rFonts w:eastAsiaTheme="majorEastAsia"/>
          <w:highlight w:val="yellow"/>
          <w:lang w:val="en"/>
        </w:rPr>
        <w:t>t</w:t>
      </w:r>
      <w:r w:rsidRPr="00B513F7">
        <w:rPr>
          <w:rStyle w:val="y2iqfc"/>
          <w:rFonts w:eastAsiaTheme="majorEastAsia"/>
          <w:highlight w:val="yellow"/>
          <w:lang w:val="en"/>
        </w:rPr>
        <w:t>otal K analysis, and Cu</w:t>
      </w:r>
      <w:r w:rsidR="008E1AC3" w:rsidRPr="00B513F7">
        <w:rPr>
          <w:rStyle w:val="y2iqfc"/>
          <w:rFonts w:eastAsiaTheme="majorEastAsia"/>
          <w:highlight w:val="yellow"/>
          <w:lang w:val="en"/>
        </w:rPr>
        <w:t>-</w:t>
      </w:r>
      <w:r w:rsidRPr="00B513F7">
        <w:rPr>
          <w:rStyle w:val="y2iqfc"/>
          <w:rFonts w:eastAsiaTheme="majorEastAsia"/>
          <w:highlight w:val="yellow"/>
          <w:lang w:val="en"/>
        </w:rPr>
        <w:t xml:space="preserve">availability. Data analysis was conducted using a comparative descriptive method by comparing the results of soil sample analysis with the soil chemical analysis data assessment criteria set out in the </w:t>
      </w:r>
      <w:r w:rsidR="008E1AC3" w:rsidRPr="00B513F7">
        <w:rPr>
          <w:rStyle w:val="y2iqfc"/>
          <w:rFonts w:eastAsiaTheme="majorEastAsia"/>
          <w:highlight w:val="yellow"/>
          <w:lang w:val="en"/>
        </w:rPr>
        <w:t>s</w:t>
      </w:r>
      <w:r w:rsidRPr="00B513F7">
        <w:rPr>
          <w:rStyle w:val="y2iqfc"/>
          <w:rFonts w:eastAsiaTheme="majorEastAsia"/>
          <w:highlight w:val="yellow"/>
          <w:lang w:val="en"/>
        </w:rPr>
        <w:t xml:space="preserve">oil </w:t>
      </w:r>
      <w:r w:rsidR="008E1AC3" w:rsidRPr="00B513F7">
        <w:rPr>
          <w:rStyle w:val="y2iqfc"/>
          <w:rFonts w:eastAsiaTheme="majorEastAsia"/>
          <w:highlight w:val="yellow"/>
          <w:lang w:val="en"/>
        </w:rPr>
        <w:t>a</w:t>
      </w:r>
      <w:r w:rsidRPr="00B513F7">
        <w:rPr>
          <w:rStyle w:val="y2iqfc"/>
          <w:rFonts w:eastAsiaTheme="majorEastAsia"/>
          <w:highlight w:val="yellow"/>
          <w:lang w:val="en"/>
        </w:rPr>
        <w:t xml:space="preserve">nalysis </w:t>
      </w:r>
      <w:r w:rsidR="008E1AC3" w:rsidRPr="00B513F7">
        <w:rPr>
          <w:rStyle w:val="y2iqfc"/>
          <w:rFonts w:eastAsiaTheme="majorEastAsia"/>
          <w:highlight w:val="yellow"/>
          <w:lang w:val="en"/>
        </w:rPr>
        <w:t>r</w:t>
      </w:r>
      <w:r w:rsidRPr="00B513F7">
        <w:rPr>
          <w:rStyle w:val="y2iqfc"/>
          <w:rFonts w:eastAsiaTheme="majorEastAsia"/>
          <w:highlight w:val="yellow"/>
          <w:lang w:val="en"/>
        </w:rPr>
        <w:t xml:space="preserve">esults </w:t>
      </w:r>
      <w:r w:rsidR="008E1AC3" w:rsidRPr="00B513F7">
        <w:rPr>
          <w:rStyle w:val="y2iqfc"/>
          <w:rFonts w:eastAsiaTheme="majorEastAsia"/>
          <w:highlight w:val="yellow"/>
          <w:lang w:val="en"/>
        </w:rPr>
        <w:t>a</w:t>
      </w:r>
      <w:r w:rsidRPr="00B513F7">
        <w:rPr>
          <w:rStyle w:val="y2iqfc"/>
          <w:rFonts w:eastAsiaTheme="majorEastAsia"/>
          <w:highlight w:val="yellow"/>
          <w:lang w:val="en"/>
        </w:rPr>
        <w:t xml:space="preserve">ssessment </w:t>
      </w:r>
      <w:r w:rsidR="008E1AC3" w:rsidRPr="00B513F7">
        <w:rPr>
          <w:rStyle w:val="y2iqfc"/>
          <w:rFonts w:eastAsiaTheme="majorEastAsia"/>
          <w:highlight w:val="yellow"/>
          <w:lang w:val="en"/>
        </w:rPr>
        <w:t>c</w:t>
      </w:r>
      <w:r w:rsidRPr="00B513F7">
        <w:rPr>
          <w:rStyle w:val="y2iqfc"/>
          <w:rFonts w:eastAsiaTheme="majorEastAsia"/>
          <w:highlight w:val="yellow"/>
          <w:lang w:val="en"/>
        </w:rPr>
        <w:t>riteria of the Ministry of Agriculture of the Republic of Indonesia. The results of the study showed that flooding in rice fields can</w:t>
      </w:r>
      <w:r w:rsidR="00F86C2C" w:rsidRPr="00B513F7">
        <w:rPr>
          <w:rStyle w:val="y2iqfc"/>
          <w:rFonts w:eastAsiaTheme="majorEastAsia"/>
          <w:highlight w:val="yellow"/>
          <w:lang w:val="en"/>
        </w:rPr>
        <w:t xml:space="preserve"> </w:t>
      </w:r>
      <w:r w:rsidR="00F86C2C" w:rsidRPr="00B513F7">
        <w:rPr>
          <w:rStyle w:val="y2iqfc"/>
          <w:rFonts w:eastAsiaTheme="majorEastAsia"/>
          <w:highlight w:val="yellow"/>
          <w:lang w:val="en"/>
        </w:rPr>
        <w:t>cause a decrease in soil pH (from 3.02 to 2.92), NO</w:t>
      </w:r>
      <w:r w:rsidR="00F86C2C" w:rsidRPr="00B513F7">
        <w:rPr>
          <w:rStyle w:val="y2iqfc"/>
          <w:rFonts w:eastAsiaTheme="majorEastAsia"/>
          <w:highlight w:val="yellow"/>
          <w:vertAlign w:val="subscript"/>
          <w:lang w:val="en"/>
        </w:rPr>
        <w:t>3</w:t>
      </w:r>
      <w:r w:rsidR="00F86C2C" w:rsidRPr="00B513F7">
        <w:rPr>
          <w:rStyle w:val="y2iqfc"/>
          <w:rFonts w:eastAsiaTheme="majorEastAsia"/>
          <w:highlight w:val="yellow"/>
          <w:vertAlign w:val="superscript"/>
          <w:lang w:val="en"/>
        </w:rPr>
        <w:t>-</w:t>
      </w:r>
      <w:r w:rsidR="00F86C2C" w:rsidRPr="00B513F7">
        <w:rPr>
          <w:rStyle w:val="y2iqfc"/>
          <w:rFonts w:eastAsiaTheme="majorEastAsia"/>
          <w:highlight w:val="yellow"/>
          <w:lang w:val="en"/>
        </w:rPr>
        <w:t xml:space="preserve"> content (from 4.57 ppm to 1.52 ppm), NH</w:t>
      </w:r>
      <w:r w:rsidR="00F86C2C" w:rsidRPr="00B513F7">
        <w:rPr>
          <w:rStyle w:val="y2iqfc"/>
          <w:rFonts w:eastAsiaTheme="majorEastAsia"/>
          <w:highlight w:val="yellow"/>
          <w:vertAlign w:val="subscript"/>
          <w:lang w:val="en"/>
        </w:rPr>
        <w:t>4</w:t>
      </w:r>
      <w:r w:rsidR="00F86C2C" w:rsidRPr="00B513F7">
        <w:rPr>
          <w:rStyle w:val="y2iqfc"/>
          <w:rFonts w:eastAsiaTheme="majorEastAsia"/>
          <w:highlight w:val="yellow"/>
          <w:vertAlign w:val="superscript"/>
          <w:lang w:val="en"/>
        </w:rPr>
        <w:t>+</w:t>
      </w:r>
      <w:r w:rsidR="00F86C2C" w:rsidRPr="00B513F7">
        <w:rPr>
          <w:rStyle w:val="y2iqfc"/>
          <w:rFonts w:eastAsiaTheme="majorEastAsia"/>
          <w:highlight w:val="yellow"/>
          <w:lang w:val="en"/>
        </w:rPr>
        <w:t xml:space="preserve"> content (from 2.27 ppm to 1.09 ppm), available K content (from 59.17 ppm to 20.83 ppm) and Cu content (from 7.96 ppm to 6.66 ppm).</w:t>
      </w:r>
    </w:p>
    <w:p w14:paraId="40DC50FD" w14:textId="21A1DECC" w:rsidR="00471EF4" w:rsidRDefault="00471EF4" w:rsidP="00471EF4">
      <w:pPr>
        <w:pStyle w:val="HTMLPreformatted"/>
        <w:jc w:val="both"/>
      </w:pPr>
    </w:p>
    <w:p w14:paraId="426DA5AA" w14:textId="77777777" w:rsidR="00471EF4" w:rsidRDefault="00471EF4" w:rsidP="00471EF4">
      <w:pPr>
        <w:pStyle w:val="HTMLPreformatted"/>
        <w:rPr>
          <w:rStyle w:val="y2iqfc"/>
          <w:rFonts w:eastAsiaTheme="majorEastAsia"/>
          <w:lang w:val="en"/>
        </w:rPr>
      </w:pPr>
    </w:p>
    <w:p w14:paraId="17C016C0" w14:textId="2DDAEAC7" w:rsidR="00471EF4" w:rsidRDefault="00471EF4" w:rsidP="00471EF4">
      <w:pPr>
        <w:pStyle w:val="HTMLPreformatted"/>
        <w:rPr>
          <w:rStyle w:val="y2iqfc"/>
          <w:rFonts w:eastAsiaTheme="majorEastAsia"/>
          <w:lang w:val="en"/>
        </w:rPr>
      </w:pPr>
      <w:r>
        <w:rPr>
          <w:rStyle w:val="y2iqfc"/>
          <w:rFonts w:eastAsiaTheme="majorEastAsia"/>
          <w:lang w:val="en"/>
        </w:rPr>
        <w:t>Keywords: Floods, Rice Fields, Several Soil Chemical Properties</w:t>
      </w:r>
    </w:p>
    <w:p w14:paraId="3F3581B7" w14:textId="77777777" w:rsidR="00471EF4" w:rsidRDefault="00471EF4" w:rsidP="00471EF4">
      <w:pPr>
        <w:pStyle w:val="HTMLPreformatted"/>
        <w:rPr>
          <w:rStyle w:val="y2iqfc"/>
          <w:rFonts w:eastAsiaTheme="majorEastAsia"/>
          <w:lang w:val="en"/>
        </w:rPr>
      </w:pPr>
    </w:p>
    <w:p w14:paraId="02BE2BA4"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1. INTRODUCTION</w:t>
      </w:r>
    </w:p>
    <w:p w14:paraId="549CE41B" w14:textId="77777777"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Flooding is a condition in which a normally dry area (not a wetland) becomes inundated with water, caused by high rainfall and the topography of the area, which consists of concave lowlands. Furthermore, flooding can also be caused by surface water overflowing, the volume of which exceeds the discharge capacity of the drainage system or river flow system. Flooding is also caused by low soil infiltration capacity, meaning the soil can no longer absorb water (Balanhati et al., 2023). Flooding is an event or condition in which an area or land is submerged due to an increase in water volume in one location. Flooding with a depth of more than 40 cm can be caused by high rainfall, flash flooding, or tidal waves. Flooding caused by high rainfall can cause loss of soil nutrients, which can lead to crop failure.</w:t>
      </w:r>
    </w:p>
    <w:p w14:paraId="2FCA3CEB" w14:textId="6B360445" w:rsidR="00471EF4" w:rsidRDefault="00471EF4" w:rsidP="00471EF4">
      <w:pPr>
        <w:pStyle w:val="HTMLPreformatted"/>
        <w:ind w:firstLine="567"/>
        <w:jc w:val="both"/>
      </w:pPr>
      <w:r>
        <w:rPr>
          <w:rStyle w:val="y2iqfc"/>
          <w:rFonts w:eastAsiaTheme="majorEastAsia"/>
          <w:lang w:val="en"/>
        </w:rPr>
        <w:t>Flooding caused by heavy rainfall can impact soil conditions. One effect of rainfall-induced flooding is the loss of several soil nutrients due to erosion, leaching, and sedimentation. Flooding caused by heavy rainfall begins with the kinetic energy of rain, which causes splash erosion. Then, the eroded and water-saturated soil causes large amounts of surface runoff, ultimately leading to flooding. Eroded soil tends to lose its nutrient-rich top layer. Nutrients consist of macronutrients and micronutrients. These nutrients are easily released from the soil because they are water-soluble and bound to fine soil particles. Therefore, when the soil is exposed to raindrops or flowing rainwater, the fine particles in the soil are lifted from the top layer and then dissolved and carried by the water to lower locations. Flooding that occurs in agricultural land for a certain period of time can result in losses for farmers, namely</w:t>
      </w:r>
      <w:r w:rsidR="000D4B66">
        <w:rPr>
          <w:rStyle w:val="y2iqfc"/>
          <w:rFonts w:eastAsiaTheme="majorEastAsia"/>
          <w:lang w:val="en"/>
        </w:rPr>
        <w:t>,</w:t>
      </w:r>
      <w:r>
        <w:rPr>
          <w:rStyle w:val="y2iqfc"/>
          <w:rFonts w:eastAsiaTheme="majorEastAsia"/>
          <w:lang w:val="en"/>
        </w:rPr>
        <w:t xml:space="preserve"> crop failure due to nutrient loss.</w:t>
      </w:r>
    </w:p>
    <w:p w14:paraId="61C942E9" w14:textId="7423A473" w:rsidR="00471EF4" w:rsidRDefault="00471EF4" w:rsidP="00471EF4">
      <w:pPr>
        <w:pStyle w:val="HTMLPreformatted"/>
        <w:ind w:firstLine="567"/>
        <w:jc w:val="both"/>
      </w:pPr>
      <w:r>
        <w:rPr>
          <w:rStyle w:val="y2iqfc"/>
          <w:rFonts w:eastAsiaTheme="majorEastAsia"/>
          <w:lang w:val="en"/>
        </w:rPr>
        <w:lastRenderedPageBreak/>
        <w:t>According to Sihaloho and Sembiring (2019), flooding that hits agricultural land can cause damage in the form of a decrease in several soil chemical properties, namely the levels of total N, total P, and available P, so that plant growth on the land is hampered. Furthermore, Niki et al. (2022) stated that flooding can damage agricultural land because it can carry and store mud, wood waste, gravel, stones, and sand</w:t>
      </w:r>
      <w:r w:rsidR="000D4B66">
        <w:rPr>
          <w:rStyle w:val="y2iqfc"/>
          <w:rFonts w:eastAsiaTheme="majorEastAsia"/>
          <w:lang w:val="en"/>
        </w:rPr>
        <w:t>,</w:t>
      </w:r>
      <w:r>
        <w:rPr>
          <w:rStyle w:val="y2iqfc"/>
          <w:rFonts w:eastAsiaTheme="majorEastAsia"/>
          <w:lang w:val="en"/>
        </w:rPr>
        <w:t xml:space="preserve"> so that the land can be damaged and also result in the loss of the topsoil on agricultural land. Land affected by flooding will experience changes in soil fertility status, which will affect the availability of nutrients needed by plants. Milla et al (2024) stated that this flood not only has a direct impact on plant damage but also affects agricultural land damage, namely</w:t>
      </w:r>
      <w:r w:rsidR="000D4B66">
        <w:rPr>
          <w:rStyle w:val="y2iqfc"/>
          <w:rFonts w:eastAsiaTheme="majorEastAsia"/>
          <w:lang w:val="en"/>
        </w:rPr>
        <w:t>,</w:t>
      </w:r>
      <w:r>
        <w:rPr>
          <w:rStyle w:val="y2iqfc"/>
          <w:rFonts w:eastAsiaTheme="majorEastAsia"/>
          <w:lang w:val="en"/>
        </w:rPr>
        <w:t xml:space="preserve"> it can have an impact on land degradation.</w:t>
      </w:r>
    </w:p>
    <w:p w14:paraId="24D127C8" w14:textId="29DF224F"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To support plant growth and production, nutrients must be available in sufficient and balanced quantities. According to Simatupang et al. (2021), soil fertility is a term that indicates the soil's ability to provide nutrients in sufficient, balanced, and optimal amounts to support plant productivity. Rice paddies are a primary source of food production, and their fertility is highly dependent on nutrient availability. Flooding can impact soil quality, particularly macronutrient and micronutrient levels.</w:t>
      </w:r>
    </w:p>
    <w:p w14:paraId="06EFDF14" w14:textId="1668B815"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 xml:space="preserve">In Samarinda City, several cropping areas frequently experience flooding, including </w:t>
      </w:r>
      <w:r w:rsidR="000D4B66">
        <w:rPr>
          <w:rStyle w:val="y2iqfc"/>
          <w:rFonts w:eastAsiaTheme="majorEastAsia"/>
          <w:lang w:val="en"/>
        </w:rPr>
        <w:t xml:space="preserve">the </w:t>
      </w:r>
      <w:r>
        <w:rPr>
          <w:rStyle w:val="y2iqfc"/>
          <w:rFonts w:eastAsiaTheme="majorEastAsia"/>
          <w:lang w:val="en"/>
        </w:rPr>
        <w:t>North Samarinda District, particularly Lempake Village, which is prone to flooding every rainy season (Risal, 2022).</w:t>
      </w:r>
    </w:p>
    <w:p w14:paraId="611CDF66" w14:textId="261DC88F"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The purpose of this research was to determine the post-flood soil nutrient content of rice paddies in Lempake Village, Samarinda City.</w:t>
      </w:r>
    </w:p>
    <w:p w14:paraId="026515C2" w14:textId="77777777" w:rsidR="00471EF4" w:rsidRDefault="00471EF4" w:rsidP="00471EF4">
      <w:pPr>
        <w:pStyle w:val="HTMLPreformatted"/>
        <w:ind w:firstLine="567"/>
        <w:jc w:val="both"/>
      </w:pPr>
    </w:p>
    <w:p w14:paraId="3B75B416"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 RESEARCH METHODS</w:t>
      </w:r>
    </w:p>
    <w:p w14:paraId="2D8A8DA7"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2.1. Time and Location</w:t>
      </w:r>
    </w:p>
    <w:p w14:paraId="37691B75" w14:textId="77777777"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This research was conducted from June to November 2024 in the rice fields of Lempake Village, and soil analysis tests were conducted at the Soil Science Laboratory, Faculty of Agriculture, Mulawarman University.</w:t>
      </w:r>
    </w:p>
    <w:p w14:paraId="564F1E89" w14:textId="77777777" w:rsidR="00471EF4" w:rsidRDefault="00471EF4" w:rsidP="00471EF4">
      <w:pPr>
        <w:pStyle w:val="HTMLPreformatted"/>
        <w:rPr>
          <w:rStyle w:val="y2iqfc"/>
          <w:rFonts w:eastAsiaTheme="majorEastAsia"/>
          <w:lang w:val="en"/>
        </w:rPr>
      </w:pPr>
    </w:p>
    <w:p w14:paraId="34534F1A"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2.2. Materials and Equipment</w:t>
      </w:r>
    </w:p>
    <w:p w14:paraId="7B0E7068" w14:textId="77777777" w:rsidR="00471EF4" w:rsidRDefault="00471EF4" w:rsidP="00471EF4">
      <w:pPr>
        <w:pStyle w:val="HTMLPreformatted"/>
        <w:ind w:firstLine="567"/>
        <w:jc w:val="both"/>
      </w:pPr>
      <w:r>
        <w:rPr>
          <w:rStyle w:val="y2iqfc"/>
          <w:rFonts w:eastAsiaTheme="majorEastAsia"/>
          <w:lang w:val="en"/>
        </w:rPr>
        <w:t>The materials used were disturbed soil samples collected at the research site and chemicals for laboratory analysis. The equipment used included: an oven, Erlenmeyer flask, pipette, burette, Kjeldahl flask, and a set of Kjeldahl distillers. Equipment needed in the field included: a GPS (Global Positioning System), a soil drill, plastic bags, label paper, a measuring tape, stationery (books and pens), and software: ArcGIS 10.7.</w:t>
      </w:r>
    </w:p>
    <w:p w14:paraId="5547C1D1" w14:textId="77777777" w:rsidR="00471EF4" w:rsidRDefault="00471EF4" w:rsidP="00471EF4">
      <w:pPr>
        <w:pStyle w:val="HTMLPreformatted"/>
        <w:rPr>
          <w:rStyle w:val="y2iqfc"/>
          <w:rFonts w:eastAsiaTheme="majorEastAsia"/>
          <w:lang w:val="en"/>
        </w:rPr>
      </w:pPr>
    </w:p>
    <w:p w14:paraId="1793FB52" w14:textId="15E6E0B8" w:rsidR="00471EF4" w:rsidRPr="00471EF4" w:rsidRDefault="00471EF4" w:rsidP="00471EF4">
      <w:pPr>
        <w:pStyle w:val="HTMLPreformatted"/>
        <w:jc w:val="both"/>
        <w:rPr>
          <w:rStyle w:val="y2iqfc"/>
          <w:rFonts w:eastAsiaTheme="majorEastAsia"/>
          <w:b/>
          <w:bCs/>
          <w:lang w:val="en"/>
        </w:rPr>
      </w:pPr>
      <w:r w:rsidRPr="00471EF4">
        <w:rPr>
          <w:rStyle w:val="y2iqfc"/>
          <w:rFonts w:eastAsiaTheme="majorEastAsia"/>
          <w:b/>
          <w:bCs/>
          <w:lang w:val="en"/>
        </w:rPr>
        <w:t>2.3. Data Collection Method</w:t>
      </w:r>
    </w:p>
    <w:p w14:paraId="231D2DB1" w14:textId="677FD390"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This research employed direct field surveys and laboratory analysis. Soil sampling in the field employed a simple random sampling method, which imposes no restrictions on the number of samples selected. All sampling points had an equal chance of being selected and were independent of each other.</w:t>
      </w:r>
    </w:p>
    <w:p w14:paraId="1602421F" w14:textId="0B62DBB8"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 xml:space="preserve">Soil samples were collected for the purpose of analyzing soil chemical properties at 13 points before and 13 points after the flood. Soil sampling was carried out using a soil auger, each with a depth of 0-20 cm. The sampling density at each point was 35 m, with 13 observation points covering a land area of </w:t>
      </w:r>
      <w:r>
        <w:rPr>
          <w:rStyle w:val="y2iqfc"/>
          <w:rFonts w:ascii="Cambria Math" w:eastAsiaTheme="majorEastAsia" w:hAnsi="Cambria Math" w:cs="Cambria Math"/>
          <w:lang w:val="en"/>
        </w:rPr>
        <w:t>​​</w:t>
      </w:r>
      <w:r>
        <w:rPr>
          <w:rStyle w:val="y2iqfc"/>
          <w:rFonts w:eastAsiaTheme="majorEastAsia"/>
          <w:lang w:val="en"/>
        </w:rPr>
        <w:t>10 hectares. These soil samples were composited into two composite soil samples, which were then analyzed in the laboratory.</w:t>
      </w:r>
    </w:p>
    <w:p w14:paraId="43350A6E" w14:textId="77777777" w:rsidR="00471EF4" w:rsidRDefault="00471EF4" w:rsidP="00471EF4">
      <w:pPr>
        <w:pStyle w:val="HTMLPreformatted"/>
        <w:ind w:firstLine="567"/>
        <w:jc w:val="both"/>
      </w:pPr>
    </w:p>
    <w:p w14:paraId="794CA119" w14:textId="77777777"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2.4. Research Procedures</w:t>
      </w:r>
    </w:p>
    <w:p w14:paraId="0BCD36AB" w14:textId="77777777" w:rsidR="00471EF4" w:rsidRDefault="00471EF4" w:rsidP="00471EF4">
      <w:pPr>
        <w:pStyle w:val="HTMLPreformatted"/>
        <w:ind w:left="426" w:hanging="426"/>
        <w:jc w:val="both"/>
        <w:rPr>
          <w:rStyle w:val="y2iqfc"/>
          <w:rFonts w:eastAsiaTheme="majorEastAsia"/>
          <w:lang w:val="en"/>
        </w:rPr>
      </w:pPr>
      <w:r>
        <w:rPr>
          <w:rStyle w:val="y2iqfc"/>
          <w:rFonts w:eastAsiaTheme="majorEastAsia"/>
          <w:lang w:val="en"/>
        </w:rPr>
        <w:t>1. Field Survey and Determination of Soil Sampling Locations.</w:t>
      </w:r>
    </w:p>
    <w:p w14:paraId="5AB6F7E4" w14:textId="23C912CF" w:rsidR="00471EF4" w:rsidRDefault="00471EF4" w:rsidP="00471EF4">
      <w:pPr>
        <w:pStyle w:val="HTMLPreformatted"/>
        <w:ind w:left="426" w:hanging="426"/>
        <w:jc w:val="both"/>
        <w:rPr>
          <w:rStyle w:val="y2iqfc"/>
          <w:rFonts w:eastAsiaTheme="majorEastAsia"/>
          <w:lang w:val="en"/>
        </w:rPr>
      </w:pPr>
      <w:r>
        <w:rPr>
          <w:rStyle w:val="y2iqfc"/>
          <w:rFonts w:eastAsiaTheme="majorEastAsia"/>
          <w:lang w:val="en"/>
        </w:rPr>
        <w:lastRenderedPageBreak/>
        <w:t xml:space="preserve">   The field survey was conducted by interviewing farmers in the rice fields. Then, soil samples were collected at two times: before and after the flood, at a depth of 0-20 cm, using a predetermined random sampling method.</w:t>
      </w:r>
    </w:p>
    <w:p w14:paraId="3850C164" w14:textId="3C7E72D2" w:rsidR="00471EF4" w:rsidRDefault="00471EF4" w:rsidP="00471EF4">
      <w:pPr>
        <w:pStyle w:val="HTMLPreformatted"/>
        <w:ind w:left="426" w:hanging="426"/>
        <w:jc w:val="both"/>
        <w:rPr>
          <w:rStyle w:val="y2iqfc"/>
          <w:rFonts w:eastAsiaTheme="majorEastAsia"/>
          <w:lang w:val="en"/>
        </w:rPr>
      </w:pPr>
      <w:r>
        <w:rPr>
          <w:rStyle w:val="y2iqfc"/>
          <w:rFonts w:eastAsiaTheme="majorEastAsia"/>
          <w:lang w:val="en"/>
        </w:rPr>
        <w:t xml:space="preserve">2. Soil Analysis: </w:t>
      </w:r>
      <w:r w:rsidR="000D4B66">
        <w:rPr>
          <w:rStyle w:val="y2iqfc"/>
          <w:rFonts w:eastAsiaTheme="majorEastAsia"/>
          <w:lang w:val="en"/>
        </w:rPr>
        <w:t>L</w:t>
      </w:r>
      <w:r>
        <w:rPr>
          <w:rStyle w:val="y2iqfc"/>
          <w:rFonts w:eastAsiaTheme="majorEastAsia"/>
          <w:lang w:val="en"/>
        </w:rPr>
        <w:t>aboratory soil analysis was conducted after field sampling. Nutrients analyzed included Total N and Available N, Available K, and Copper (Cu).</w:t>
      </w:r>
    </w:p>
    <w:p w14:paraId="0D17F1D2" w14:textId="25DD4061" w:rsidR="00471EF4" w:rsidRDefault="00471EF4" w:rsidP="00471EF4">
      <w:pPr>
        <w:pStyle w:val="HTMLPreformatted"/>
        <w:ind w:left="426" w:hanging="426"/>
        <w:jc w:val="both"/>
        <w:rPr>
          <w:rStyle w:val="y2iqfc"/>
          <w:rFonts w:eastAsiaTheme="majorEastAsia"/>
          <w:lang w:val="en"/>
        </w:rPr>
      </w:pPr>
      <w:r>
        <w:rPr>
          <w:rStyle w:val="y2iqfc"/>
          <w:rFonts w:eastAsiaTheme="majorEastAsia"/>
          <w:lang w:val="en"/>
        </w:rPr>
        <w:t xml:space="preserve">3. Data Tabulation: </w:t>
      </w:r>
      <w:r w:rsidR="000D4B66">
        <w:rPr>
          <w:rStyle w:val="y2iqfc"/>
          <w:rFonts w:eastAsiaTheme="majorEastAsia"/>
          <w:lang w:val="en"/>
        </w:rPr>
        <w:t>A</w:t>
      </w:r>
      <w:r>
        <w:rPr>
          <w:rStyle w:val="y2iqfc"/>
          <w:rFonts w:eastAsiaTheme="majorEastAsia"/>
          <w:lang w:val="en"/>
        </w:rPr>
        <w:t>fter obtaining the soil chemical properties, they were tabulated using Microsoft Excel. The data was entered into tables for easy viewing.</w:t>
      </w:r>
    </w:p>
    <w:p w14:paraId="6AA4CC9E" w14:textId="77777777" w:rsidR="00471EF4" w:rsidRDefault="00471EF4" w:rsidP="00471EF4">
      <w:pPr>
        <w:pStyle w:val="HTMLPreformatted"/>
        <w:jc w:val="both"/>
        <w:rPr>
          <w:rStyle w:val="y2iqfc"/>
          <w:rFonts w:eastAsiaTheme="majorEastAsia"/>
          <w:lang w:val="en"/>
        </w:rPr>
      </w:pPr>
    </w:p>
    <w:p w14:paraId="4F4AC69A" w14:textId="77777777" w:rsidR="00471EF4" w:rsidRDefault="00471EF4" w:rsidP="00471EF4">
      <w:pPr>
        <w:pStyle w:val="HTMLPreformatted"/>
        <w:jc w:val="both"/>
        <w:rPr>
          <w:rStyle w:val="y2iqfc"/>
          <w:rFonts w:eastAsiaTheme="majorEastAsia"/>
          <w:lang w:val="en"/>
        </w:rPr>
      </w:pPr>
      <w:r>
        <w:rPr>
          <w:rStyle w:val="y2iqfc"/>
          <w:rFonts w:eastAsiaTheme="majorEastAsia"/>
          <w:lang w:val="en"/>
        </w:rPr>
        <w:t xml:space="preserve">2.5. </w:t>
      </w:r>
      <w:r w:rsidRPr="00471EF4">
        <w:rPr>
          <w:rStyle w:val="y2iqfc"/>
          <w:rFonts w:eastAsiaTheme="majorEastAsia"/>
          <w:b/>
          <w:bCs/>
          <w:lang w:val="en"/>
        </w:rPr>
        <w:t>Soil Analysis Method</w:t>
      </w:r>
    </w:p>
    <w:p w14:paraId="02B1EFCB" w14:textId="77777777" w:rsidR="00471EF4" w:rsidRDefault="00471EF4" w:rsidP="00471EF4">
      <w:pPr>
        <w:pStyle w:val="HTMLPreformatted"/>
        <w:ind w:firstLine="567"/>
        <w:jc w:val="both"/>
        <w:rPr>
          <w:rStyle w:val="y2iqfc"/>
          <w:rFonts w:eastAsiaTheme="majorEastAsia"/>
          <w:lang w:val="en"/>
        </w:rPr>
      </w:pPr>
      <w:r>
        <w:rPr>
          <w:rStyle w:val="y2iqfc"/>
          <w:rFonts w:eastAsiaTheme="majorEastAsia"/>
          <w:lang w:val="en"/>
        </w:rPr>
        <w:t>The soil chemical properties were analyzed using the composite disturbed soil method.</w:t>
      </w:r>
    </w:p>
    <w:p w14:paraId="7F48FD28" w14:textId="77777777" w:rsidR="00471EF4" w:rsidRDefault="00471EF4" w:rsidP="00471EF4">
      <w:pPr>
        <w:pStyle w:val="HTMLPreformatted"/>
        <w:jc w:val="both"/>
        <w:rPr>
          <w:rStyle w:val="y2iqfc"/>
          <w:rFonts w:eastAsiaTheme="majorEastAsia"/>
          <w:lang w:val="en"/>
        </w:rPr>
      </w:pPr>
      <w:r>
        <w:rPr>
          <w:rStyle w:val="y2iqfc"/>
          <w:rFonts w:eastAsiaTheme="majorEastAsia"/>
          <w:lang w:val="en"/>
        </w:rPr>
        <w:t>1. Total N and Available N analysis using the Morgan-Wolf method</w:t>
      </w:r>
    </w:p>
    <w:p w14:paraId="2E24F380" w14:textId="77777777" w:rsidR="00471EF4" w:rsidRDefault="00471EF4" w:rsidP="00471EF4">
      <w:pPr>
        <w:pStyle w:val="HTMLPreformatted"/>
        <w:jc w:val="both"/>
        <w:rPr>
          <w:rStyle w:val="y2iqfc"/>
          <w:rFonts w:eastAsiaTheme="majorEastAsia"/>
          <w:lang w:val="en"/>
        </w:rPr>
      </w:pPr>
      <w:r>
        <w:rPr>
          <w:rStyle w:val="y2iqfc"/>
          <w:rFonts w:eastAsiaTheme="majorEastAsia"/>
          <w:lang w:val="en"/>
        </w:rPr>
        <w:t>2. Total K analysis using the Bray I method</w:t>
      </w:r>
    </w:p>
    <w:p w14:paraId="5A9E4BBE" w14:textId="77777777" w:rsidR="00471EF4" w:rsidRDefault="00471EF4" w:rsidP="00471EF4">
      <w:pPr>
        <w:pStyle w:val="HTMLPreformatted"/>
        <w:jc w:val="both"/>
        <w:rPr>
          <w:rStyle w:val="y2iqfc"/>
          <w:rFonts w:eastAsiaTheme="majorEastAsia"/>
          <w:lang w:val="en"/>
        </w:rPr>
      </w:pPr>
      <w:r>
        <w:rPr>
          <w:rStyle w:val="y2iqfc"/>
          <w:rFonts w:eastAsiaTheme="majorEastAsia"/>
          <w:lang w:val="en"/>
        </w:rPr>
        <w:t>3. Cu availability analysis of DTPA extract</w:t>
      </w:r>
    </w:p>
    <w:p w14:paraId="05CC947D" w14:textId="77777777" w:rsidR="00471EF4" w:rsidRDefault="00471EF4" w:rsidP="00471EF4">
      <w:pPr>
        <w:pStyle w:val="HTMLPreformatted"/>
        <w:jc w:val="both"/>
      </w:pPr>
      <w:r>
        <w:rPr>
          <w:rStyle w:val="y2iqfc"/>
          <w:rFonts w:eastAsiaTheme="majorEastAsia"/>
          <w:lang w:val="en"/>
        </w:rPr>
        <w:t>4. Soil pH analysis using 20 ml of distilled water</w:t>
      </w:r>
    </w:p>
    <w:p w14:paraId="0E7EC6BF" w14:textId="77777777" w:rsidR="00471EF4" w:rsidRDefault="00471EF4" w:rsidP="00471EF4">
      <w:pPr>
        <w:pStyle w:val="HTMLPreformatted"/>
        <w:rPr>
          <w:rStyle w:val="y2iqfc"/>
          <w:rFonts w:eastAsiaTheme="majorEastAsia"/>
          <w:lang w:val="en"/>
        </w:rPr>
      </w:pPr>
    </w:p>
    <w:p w14:paraId="15AB8611" w14:textId="03BD414D" w:rsidR="00471EF4" w:rsidRPr="00471EF4" w:rsidRDefault="00471EF4" w:rsidP="00471EF4">
      <w:pPr>
        <w:pStyle w:val="HTMLPreformatted"/>
        <w:rPr>
          <w:rStyle w:val="y2iqfc"/>
          <w:rFonts w:eastAsiaTheme="majorEastAsia"/>
          <w:b/>
          <w:bCs/>
          <w:lang w:val="en"/>
        </w:rPr>
      </w:pPr>
      <w:r w:rsidRPr="00471EF4">
        <w:rPr>
          <w:rStyle w:val="y2iqfc"/>
          <w:rFonts w:eastAsiaTheme="majorEastAsia"/>
          <w:b/>
          <w:bCs/>
          <w:lang w:val="en"/>
        </w:rPr>
        <w:t>2.6. Data Analysis Method</w:t>
      </w:r>
    </w:p>
    <w:p w14:paraId="462ABC67" w14:textId="33FB87CE" w:rsidR="00471EF4" w:rsidRDefault="00471EF4" w:rsidP="00266D65">
      <w:pPr>
        <w:pStyle w:val="HTMLPreformatted"/>
        <w:ind w:firstLine="567"/>
        <w:jc w:val="both"/>
        <w:rPr>
          <w:rStyle w:val="y2iqfc"/>
          <w:rFonts w:eastAsiaTheme="majorEastAsia"/>
          <w:lang w:val="en"/>
        </w:rPr>
      </w:pPr>
      <w:r>
        <w:rPr>
          <w:rStyle w:val="y2iqfc"/>
          <w:rFonts w:eastAsiaTheme="majorEastAsia"/>
          <w:lang w:val="en"/>
        </w:rPr>
        <w:t>Data analysis was conducted using a comparative descriptive method by comparing the results of soil sample analysis with the soil chemical analysis data assessment criteria set out in the Criteria for Assessment of Soil Analysis Results of the Ministry of Agriculture of the Republic of Indonesia (2023), as presented in Table 1. Research Criteria for Soil Chemical Analysis Results and Criteria for Micronutrients Cu, Zn, and Fe Using DTPA Extract according to Eviati (2023) are presented in Table 2. Criteria for Micronutrients Cu, Zn, and Fe Using DTPA Extract.</w:t>
      </w:r>
    </w:p>
    <w:p w14:paraId="41858C4C" w14:textId="77777777" w:rsidR="00266D65" w:rsidRDefault="00266D65" w:rsidP="00266D65">
      <w:pPr>
        <w:pStyle w:val="HTMLPreformatted"/>
        <w:ind w:firstLine="567"/>
        <w:jc w:val="both"/>
      </w:pPr>
    </w:p>
    <w:p w14:paraId="59EEBD2A" w14:textId="0EA72D1B" w:rsidR="00266D65" w:rsidRDefault="00266D65" w:rsidP="00266D65">
      <w:pPr>
        <w:pStyle w:val="HTMLPreformatted"/>
      </w:pPr>
      <w:bookmarkStart w:id="0" w:name="_Hlk181473247"/>
      <w:r>
        <w:rPr>
          <w:rStyle w:val="y2iqfc"/>
          <w:rFonts w:eastAsiaTheme="majorEastAsia"/>
          <w:lang w:val="en"/>
        </w:rPr>
        <w:t xml:space="preserve">Table 1. Research Criteria for Soil Chemical Analysis Results </w:t>
      </w:r>
    </w:p>
    <w:tbl>
      <w:tblPr>
        <w:tblStyle w:val="PlainTable21"/>
        <w:tblW w:w="8863" w:type="dxa"/>
        <w:tblLook w:val="04A0" w:firstRow="1" w:lastRow="0" w:firstColumn="1" w:lastColumn="0" w:noHBand="0" w:noVBand="1"/>
      </w:tblPr>
      <w:tblGrid>
        <w:gridCol w:w="845"/>
        <w:gridCol w:w="1792"/>
        <w:gridCol w:w="1240"/>
        <w:gridCol w:w="1240"/>
        <w:gridCol w:w="1390"/>
        <w:gridCol w:w="1275"/>
        <w:gridCol w:w="1081"/>
      </w:tblGrid>
      <w:tr w:rsidR="00266D65" w:rsidRPr="00266D65" w14:paraId="732E1983" w14:textId="77777777" w:rsidTr="00266D65">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845" w:type="dxa"/>
            <w:vMerge w:val="restart"/>
            <w:tcBorders>
              <w:top w:val="single" w:sz="4" w:space="0" w:color="auto"/>
              <w:left w:val="single" w:sz="4" w:space="0" w:color="auto"/>
              <w:bottom w:val="single" w:sz="4" w:space="0" w:color="auto"/>
              <w:right w:val="single" w:sz="4" w:space="0" w:color="auto"/>
            </w:tcBorders>
          </w:tcPr>
          <w:p w14:paraId="495577A3" w14:textId="77777777" w:rsidR="00266D65" w:rsidRPr="007A4266" w:rsidRDefault="00266D65" w:rsidP="00C35656">
            <w:pPr>
              <w:jc w:val="center"/>
              <w:rPr>
                <w:rFonts w:ascii="Courier New" w:hAnsi="Courier New" w:cs="Courier New"/>
                <w:sz w:val="16"/>
                <w:szCs w:val="16"/>
              </w:rPr>
            </w:pPr>
            <w:bookmarkStart w:id="1" w:name="_Hlk181472976"/>
            <w:bookmarkEnd w:id="0"/>
            <w:r w:rsidRPr="007A4266">
              <w:rPr>
                <w:rFonts w:ascii="Courier New" w:hAnsi="Courier New" w:cs="Courier New"/>
                <w:sz w:val="16"/>
                <w:szCs w:val="16"/>
              </w:rPr>
              <w:t>No.</w:t>
            </w:r>
          </w:p>
        </w:tc>
        <w:tc>
          <w:tcPr>
            <w:tcW w:w="1792" w:type="dxa"/>
            <w:vMerge w:val="restart"/>
            <w:tcBorders>
              <w:top w:val="single" w:sz="4" w:space="0" w:color="auto"/>
              <w:left w:val="single" w:sz="4" w:space="0" w:color="auto"/>
              <w:bottom w:val="single" w:sz="4" w:space="0" w:color="auto"/>
              <w:right w:val="single" w:sz="4" w:space="0" w:color="auto"/>
            </w:tcBorders>
          </w:tcPr>
          <w:p w14:paraId="6EDB7337" w14:textId="77777777"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Parameter Tanah</w:t>
            </w:r>
          </w:p>
        </w:tc>
        <w:tc>
          <w:tcPr>
            <w:tcW w:w="6226" w:type="dxa"/>
            <w:gridSpan w:val="5"/>
            <w:tcBorders>
              <w:top w:val="single" w:sz="4" w:space="0" w:color="auto"/>
              <w:left w:val="single" w:sz="4" w:space="0" w:color="auto"/>
              <w:bottom w:val="single" w:sz="4" w:space="0" w:color="auto"/>
              <w:right w:val="single" w:sz="4" w:space="0" w:color="auto"/>
            </w:tcBorders>
          </w:tcPr>
          <w:p w14:paraId="73DFFE5D" w14:textId="2DB64308"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Value</w:t>
            </w:r>
          </w:p>
        </w:tc>
      </w:tr>
      <w:tr w:rsidR="00266D65" w:rsidRPr="00266D65" w14:paraId="6D21110C" w14:textId="77777777" w:rsidTr="00266D65">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845" w:type="dxa"/>
            <w:vMerge/>
            <w:tcBorders>
              <w:top w:val="single" w:sz="4" w:space="0" w:color="auto"/>
              <w:left w:val="single" w:sz="4" w:space="0" w:color="auto"/>
              <w:bottom w:val="single" w:sz="4" w:space="0" w:color="auto"/>
              <w:right w:val="single" w:sz="4" w:space="0" w:color="auto"/>
            </w:tcBorders>
          </w:tcPr>
          <w:p w14:paraId="4A95ADCD" w14:textId="77777777" w:rsidR="00266D65" w:rsidRPr="007A4266" w:rsidRDefault="00266D65" w:rsidP="00C35656">
            <w:pPr>
              <w:jc w:val="both"/>
              <w:rPr>
                <w:rFonts w:ascii="Courier New" w:hAnsi="Courier New" w:cs="Courier New"/>
                <w:sz w:val="16"/>
                <w:szCs w:val="16"/>
              </w:rPr>
            </w:pPr>
          </w:p>
        </w:tc>
        <w:tc>
          <w:tcPr>
            <w:tcW w:w="1792" w:type="dxa"/>
            <w:vMerge/>
            <w:tcBorders>
              <w:top w:val="single" w:sz="4" w:space="0" w:color="auto"/>
              <w:left w:val="single" w:sz="4" w:space="0" w:color="auto"/>
              <w:bottom w:val="single" w:sz="4" w:space="0" w:color="auto"/>
              <w:right w:val="single" w:sz="4" w:space="0" w:color="auto"/>
            </w:tcBorders>
          </w:tcPr>
          <w:p w14:paraId="6B396B02" w14:textId="77777777" w:rsidR="00266D65" w:rsidRPr="007A4266" w:rsidRDefault="00266D65"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p>
        </w:tc>
        <w:tc>
          <w:tcPr>
            <w:tcW w:w="1240" w:type="dxa"/>
            <w:tcBorders>
              <w:top w:val="single" w:sz="4" w:space="0" w:color="auto"/>
              <w:left w:val="single" w:sz="4" w:space="0" w:color="auto"/>
              <w:bottom w:val="single" w:sz="4" w:space="0" w:color="auto"/>
              <w:right w:val="single" w:sz="4" w:space="0" w:color="auto"/>
            </w:tcBorders>
          </w:tcPr>
          <w:p w14:paraId="14CB2E41" w14:textId="074FB02D"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Very Low</w:t>
            </w:r>
          </w:p>
        </w:tc>
        <w:tc>
          <w:tcPr>
            <w:tcW w:w="1240" w:type="dxa"/>
            <w:tcBorders>
              <w:top w:val="single" w:sz="4" w:space="0" w:color="auto"/>
              <w:left w:val="single" w:sz="4" w:space="0" w:color="auto"/>
              <w:bottom w:val="single" w:sz="4" w:space="0" w:color="auto"/>
              <w:right w:val="single" w:sz="4" w:space="0" w:color="auto"/>
            </w:tcBorders>
          </w:tcPr>
          <w:p w14:paraId="51BA3746" w14:textId="1CDB44B9"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Low</w:t>
            </w:r>
          </w:p>
        </w:tc>
        <w:tc>
          <w:tcPr>
            <w:tcW w:w="1390" w:type="dxa"/>
            <w:tcBorders>
              <w:top w:val="single" w:sz="4" w:space="0" w:color="auto"/>
              <w:left w:val="single" w:sz="4" w:space="0" w:color="auto"/>
              <w:bottom w:val="single" w:sz="4" w:space="0" w:color="auto"/>
              <w:right w:val="single" w:sz="4" w:space="0" w:color="auto"/>
            </w:tcBorders>
          </w:tcPr>
          <w:p w14:paraId="6FE75317" w14:textId="7E67624F"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Medium</w:t>
            </w:r>
          </w:p>
        </w:tc>
        <w:tc>
          <w:tcPr>
            <w:tcW w:w="1275" w:type="dxa"/>
            <w:tcBorders>
              <w:top w:val="single" w:sz="4" w:space="0" w:color="auto"/>
              <w:left w:val="single" w:sz="4" w:space="0" w:color="auto"/>
              <w:bottom w:val="single" w:sz="4" w:space="0" w:color="auto"/>
              <w:right w:val="single" w:sz="4" w:space="0" w:color="auto"/>
            </w:tcBorders>
          </w:tcPr>
          <w:p w14:paraId="186B9152" w14:textId="1C0D0BE2"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High</w:t>
            </w:r>
          </w:p>
        </w:tc>
        <w:tc>
          <w:tcPr>
            <w:tcW w:w="1081" w:type="dxa"/>
            <w:tcBorders>
              <w:top w:val="single" w:sz="4" w:space="0" w:color="auto"/>
              <w:left w:val="single" w:sz="4" w:space="0" w:color="auto"/>
              <w:bottom w:val="single" w:sz="4" w:space="0" w:color="auto"/>
              <w:right w:val="single" w:sz="4" w:space="0" w:color="auto"/>
            </w:tcBorders>
          </w:tcPr>
          <w:p w14:paraId="71B2A2EB" w14:textId="07F998F8"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Very High</w:t>
            </w:r>
          </w:p>
        </w:tc>
      </w:tr>
      <w:tr w:rsidR="00266D65" w:rsidRPr="00266D65" w14:paraId="30533151" w14:textId="77777777" w:rsidTr="00266D65">
        <w:trPr>
          <w:trHeight w:val="437"/>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2897E6FB"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1.</w:t>
            </w:r>
          </w:p>
        </w:tc>
        <w:tc>
          <w:tcPr>
            <w:tcW w:w="1792" w:type="dxa"/>
            <w:tcBorders>
              <w:top w:val="single" w:sz="4" w:space="0" w:color="auto"/>
              <w:left w:val="single" w:sz="4" w:space="0" w:color="auto"/>
              <w:bottom w:val="single" w:sz="4" w:space="0" w:color="auto"/>
              <w:right w:val="single" w:sz="4" w:space="0" w:color="auto"/>
            </w:tcBorders>
          </w:tcPr>
          <w:p w14:paraId="6684FB21" w14:textId="584DECB2"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CEC (meq/100 g soil)</w:t>
            </w:r>
          </w:p>
        </w:tc>
        <w:tc>
          <w:tcPr>
            <w:tcW w:w="1240" w:type="dxa"/>
            <w:tcBorders>
              <w:top w:val="single" w:sz="4" w:space="0" w:color="auto"/>
              <w:left w:val="single" w:sz="4" w:space="0" w:color="auto"/>
              <w:bottom w:val="single" w:sz="4" w:space="0" w:color="auto"/>
              <w:right w:val="single" w:sz="4" w:space="0" w:color="auto"/>
            </w:tcBorders>
          </w:tcPr>
          <w:p w14:paraId="16A319ED"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5</w:t>
            </w:r>
          </w:p>
        </w:tc>
        <w:tc>
          <w:tcPr>
            <w:tcW w:w="1240" w:type="dxa"/>
            <w:tcBorders>
              <w:top w:val="single" w:sz="4" w:space="0" w:color="auto"/>
              <w:left w:val="single" w:sz="4" w:space="0" w:color="auto"/>
              <w:bottom w:val="single" w:sz="4" w:space="0" w:color="auto"/>
              <w:right w:val="single" w:sz="4" w:space="0" w:color="auto"/>
            </w:tcBorders>
          </w:tcPr>
          <w:p w14:paraId="0A265305"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5 - 16</w:t>
            </w:r>
          </w:p>
        </w:tc>
        <w:tc>
          <w:tcPr>
            <w:tcW w:w="1390" w:type="dxa"/>
            <w:tcBorders>
              <w:top w:val="single" w:sz="4" w:space="0" w:color="auto"/>
              <w:left w:val="single" w:sz="4" w:space="0" w:color="auto"/>
              <w:bottom w:val="single" w:sz="4" w:space="0" w:color="auto"/>
              <w:right w:val="single" w:sz="4" w:space="0" w:color="auto"/>
            </w:tcBorders>
          </w:tcPr>
          <w:p w14:paraId="7B4BA9F3"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17 - 24</w:t>
            </w:r>
          </w:p>
        </w:tc>
        <w:tc>
          <w:tcPr>
            <w:tcW w:w="1275" w:type="dxa"/>
            <w:tcBorders>
              <w:top w:val="single" w:sz="4" w:space="0" w:color="auto"/>
              <w:left w:val="single" w:sz="4" w:space="0" w:color="auto"/>
              <w:bottom w:val="single" w:sz="4" w:space="0" w:color="auto"/>
              <w:right w:val="single" w:sz="4" w:space="0" w:color="auto"/>
            </w:tcBorders>
          </w:tcPr>
          <w:p w14:paraId="20C3C5E4"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25 - 40</w:t>
            </w:r>
          </w:p>
        </w:tc>
        <w:tc>
          <w:tcPr>
            <w:tcW w:w="1081" w:type="dxa"/>
            <w:tcBorders>
              <w:top w:val="single" w:sz="4" w:space="0" w:color="auto"/>
              <w:left w:val="single" w:sz="4" w:space="0" w:color="auto"/>
              <w:bottom w:val="single" w:sz="4" w:space="0" w:color="auto"/>
              <w:right w:val="single" w:sz="4" w:space="0" w:color="auto"/>
            </w:tcBorders>
          </w:tcPr>
          <w:p w14:paraId="118B83FD"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40</w:t>
            </w:r>
          </w:p>
        </w:tc>
      </w:tr>
      <w:tr w:rsidR="00266D65" w:rsidRPr="00266D65" w14:paraId="45FEB742" w14:textId="77777777" w:rsidTr="00266D65">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0297B0F1"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2.</w:t>
            </w:r>
          </w:p>
        </w:tc>
        <w:tc>
          <w:tcPr>
            <w:tcW w:w="1792" w:type="dxa"/>
            <w:tcBorders>
              <w:top w:val="single" w:sz="4" w:space="0" w:color="auto"/>
              <w:left w:val="single" w:sz="4" w:space="0" w:color="auto"/>
              <w:bottom w:val="single" w:sz="4" w:space="0" w:color="auto"/>
              <w:right w:val="single" w:sz="4" w:space="0" w:color="auto"/>
            </w:tcBorders>
          </w:tcPr>
          <w:p w14:paraId="106BD017" w14:textId="79D7EE5F"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Base Saturation (%)</w:t>
            </w:r>
          </w:p>
        </w:tc>
        <w:tc>
          <w:tcPr>
            <w:tcW w:w="1240" w:type="dxa"/>
            <w:tcBorders>
              <w:top w:val="single" w:sz="4" w:space="0" w:color="auto"/>
              <w:left w:val="single" w:sz="4" w:space="0" w:color="auto"/>
              <w:bottom w:val="single" w:sz="4" w:space="0" w:color="auto"/>
              <w:right w:val="single" w:sz="4" w:space="0" w:color="auto"/>
            </w:tcBorders>
          </w:tcPr>
          <w:p w14:paraId="131AC13A"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20</w:t>
            </w:r>
          </w:p>
        </w:tc>
        <w:tc>
          <w:tcPr>
            <w:tcW w:w="1240" w:type="dxa"/>
            <w:tcBorders>
              <w:top w:val="single" w:sz="4" w:space="0" w:color="auto"/>
              <w:left w:val="single" w:sz="4" w:space="0" w:color="auto"/>
              <w:bottom w:val="single" w:sz="4" w:space="0" w:color="auto"/>
              <w:right w:val="single" w:sz="4" w:space="0" w:color="auto"/>
            </w:tcBorders>
          </w:tcPr>
          <w:p w14:paraId="04738166"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20 - 40</w:t>
            </w:r>
          </w:p>
        </w:tc>
        <w:tc>
          <w:tcPr>
            <w:tcW w:w="1390" w:type="dxa"/>
            <w:tcBorders>
              <w:top w:val="single" w:sz="4" w:space="0" w:color="auto"/>
              <w:left w:val="single" w:sz="4" w:space="0" w:color="auto"/>
              <w:bottom w:val="single" w:sz="4" w:space="0" w:color="auto"/>
              <w:right w:val="single" w:sz="4" w:space="0" w:color="auto"/>
            </w:tcBorders>
          </w:tcPr>
          <w:p w14:paraId="5E37E9CA"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41 - 60</w:t>
            </w:r>
          </w:p>
        </w:tc>
        <w:tc>
          <w:tcPr>
            <w:tcW w:w="1275" w:type="dxa"/>
            <w:tcBorders>
              <w:top w:val="single" w:sz="4" w:space="0" w:color="auto"/>
              <w:left w:val="single" w:sz="4" w:space="0" w:color="auto"/>
              <w:bottom w:val="single" w:sz="4" w:space="0" w:color="auto"/>
              <w:right w:val="single" w:sz="4" w:space="0" w:color="auto"/>
            </w:tcBorders>
          </w:tcPr>
          <w:p w14:paraId="2210CC04"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61 - 80</w:t>
            </w:r>
          </w:p>
        </w:tc>
        <w:tc>
          <w:tcPr>
            <w:tcW w:w="1081" w:type="dxa"/>
            <w:tcBorders>
              <w:top w:val="single" w:sz="4" w:space="0" w:color="auto"/>
              <w:left w:val="single" w:sz="4" w:space="0" w:color="auto"/>
              <w:bottom w:val="single" w:sz="4" w:space="0" w:color="auto"/>
              <w:right w:val="single" w:sz="4" w:space="0" w:color="auto"/>
            </w:tcBorders>
          </w:tcPr>
          <w:p w14:paraId="796F82ED"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80</w:t>
            </w:r>
          </w:p>
        </w:tc>
      </w:tr>
      <w:tr w:rsidR="00266D65" w:rsidRPr="00266D65" w14:paraId="3AB0E600" w14:textId="77777777" w:rsidTr="00266D65">
        <w:trPr>
          <w:trHeight w:val="209"/>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57C92DE0" w14:textId="77777777" w:rsidR="00266D65" w:rsidRPr="007A4266" w:rsidRDefault="00266D65" w:rsidP="00C35656">
            <w:pPr>
              <w:jc w:val="center"/>
              <w:rPr>
                <w:rFonts w:ascii="Courier New" w:hAnsi="Courier New" w:cs="Courier New"/>
                <w:b w:val="0"/>
                <w:bCs w:val="0"/>
                <w:sz w:val="16"/>
                <w:szCs w:val="16"/>
              </w:rPr>
            </w:pPr>
            <w:r w:rsidRPr="007A4266">
              <w:rPr>
                <w:rFonts w:ascii="Courier New" w:hAnsi="Courier New" w:cs="Courier New"/>
                <w:sz w:val="16"/>
                <w:szCs w:val="16"/>
              </w:rPr>
              <w:t>3</w:t>
            </w:r>
            <w:r w:rsidRPr="007A4266">
              <w:rPr>
                <w:rFonts w:ascii="Courier New" w:hAnsi="Courier New" w:cs="Courier New"/>
                <w:b w:val="0"/>
                <w:bCs w:val="0"/>
                <w:sz w:val="16"/>
                <w:szCs w:val="16"/>
              </w:rPr>
              <w:t>.</w:t>
            </w:r>
          </w:p>
        </w:tc>
        <w:tc>
          <w:tcPr>
            <w:tcW w:w="1792" w:type="dxa"/>
            <w:tcBorders>
              <w:top w:val="single" w:sz="4" w:space="0" w:color="auto"/>
              <w:left w:val="single" w:sz="4" w:space="0" w:color="auto"/>
              <w:bottom w:val="single" w:sz="4" w:space="0" w:color="auto"/>
              <w:right w:val="single" w:sz="4" w:space="0" w:color="auto"/>
            </w:tcBorders>
          </w:tcPr>
          <w:p w14:paraId="5BF1CE7A"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N-Total (%)</w:t>
            </w:r>
          </w:p>
        </w:tc>
        <w:tc>
          <w:tcPr>
            <w:tcW w:w="1240" w:type="dxa"/>
            <w:tcBorders>
              <w:top w:val="single" w:sz="4" w:space="0" w:color="auto"/>
              <w:left w:val="single" w:sz="4" w:space="0" w:color="auto"/>
              <w:bottom w:val="single" w:sz="4" w:space="0" w:color="auto"/>
              <w:right w:val="single" w:sz="4" w:space="0" w:color="auto"/>
            </w:tcBorders>
          </w:tcPr>
          <w:p w14:paraId="668B11EF"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0,1</w:t>
            </w:r>
          </w:p>
        </w:tc>
        <w:tc>
          <w:tcPr>
            <w:tcW w:w="1240" w:type="dxa"/>
            <w:tcBorders>
              <w:top w:val="single" w:sz="4" w:space="0" w:color="auto"/>
              <w:left w:val="single" w:sz="4" w:space="0" w:color="auto"/>
              <w:bottom w:val="single" w:sz="4" w:space="0" w:color="auto"/>
              <w:right w:val="single" w:sz="4" w:space="0" w:color="auto"/>
            </w:tcBorders>
          </w:tcPr>
          <w:p w14:paraId="003BE215"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0,1 – 0,2</w:t>
            </w:r>
          </w:p>
        </w:tc>
        <w:tc>
          <w:tcPr>
            <w:tcW w:w="1390" w:type="dxa"/>
            <w:tcBorders>
              <w:top w:val="single" w:sz="4" w:space="0" w:color="auto"/>
              <w:left w:val="single" w:sz="4" w:space="0" w:color="auto"/>
              <w:bottom w:val="single" w:sz="4" w:space="0" w:color="auto"/>
              <w:right w:val="single" w:sz="4" w:space="0" w:color="auto"/>
            </w:tcBorders>
          </w:tcPr>
          <w:p w14:paraId="145CF475"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0,21 – 0,5</w:t>
            </w:r>
          </w:p>
        </w:tc>
        <w:tc>
          <w:tcPr>
            <w:tcW w:w="1275" w:type="dxa"/>
            <w:tcBorders>
              <w:top w:val="single" w:sz="4" w:space="0" w:color="auto"/>
              <w:left w:val="single" w:sz="4" w:space="0" w:color="auto"/>
              <w:bottom w:val="single" w:sz="4" w:space="0" w:color="auto"/>
              <w:right w:val="single" w:sz="4" w:space="0" w:color="auto"/>
            </w:tcBorders>
          </w:tcPr>
          <w:p w14:paraId="4D1AE227"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0,51 – 0,75</w:t>
            </w:r>
          </w:p>
        </w:tc>
        <w:tc>
          <w:tcPr>
            <w:tcW w:w="1081" w:type="dxa"/>
            <w:tcBorders>
              <w:top w:val="single" w:sz="4" w:space="0" w:color="auto"/>
              <w:left w:val="single" w:sz="4" w:space="0" w:color="auto"/>
              <w:bottom w:val="single" w:sz="4" w:space="0" w:color="auto"/>
              <w:right w:val="single" w:sz="4" w:space="0" w:color="auto"/>
            </w:tcBorders>
          </w:tcPr>
          <w:p w14:paraId="1B62DC7A"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0,75</w:t>
            </w:r>
          </w:p>
        </w:tc>
      </w:tr>
      <w:tr w:rsidR="00266D65" w:rsidRPr="00266D65" w14:paraId="1F6370C7" w14:textId="77777777" w:rsidTr="00266D65">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2F7451E3"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4.</w:t>
            </w:r>
          </w:p>
        </w:tc>
        <w:tc>
          <w:tcPr>
            <w:tcW w:w="1792" w:type="dxa"/>
            <w:tcBorders>
              <w:top w:val="single" w:sz="4" w:space="0" w:color="auto"/>
              <w:left w:val="single" w:sz="4" w:space="0" w:color="auto"/>
              <w:bottom w:val="single" w:sz="4" w:space="0" w:color="auto"/>
              <w:right w:val="single" w:sz="4" w:space="0" w:color="auto"/>
            </w:tcBorders>
          </w:tcPr>
          <w:p w14:paraId="1C763AAC" w14:textId="505E25FA"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P-available (ppm P)</w:t>
            </w:r>
          </w:p>
        </w:tc>
        <w:tc>
          <w:tcPr>
            <w:tcW w:w="1240" w:type="dxa"/>
            <w:tcBorders>
              <w:top w:val="single" w:sz="4" w:space="0" w:color="auto"/>
              <w:left w:val="single" w:sz="4" w:space="0" w:color="auto"/>
              <w:bottom w:val="single" w:sz="4" w:space="0" w:color="auto"/>
              <w:right w:val="single" w:sz="4" w:space="0" w:color="auto"/>
            </w:tcBorders>
          </w:tcPr>
          <w:p w14:paraId="7EB59DB7"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4</w:t>
            </w:r>
          </w:p>
        </w:tc>
        <w:tc>
          <w:tcPr>
            <w:tcW w:w="1240" w:type="dxa"/>
            <w:tcBorders>
              <w:top w:val="single" w:sz="4" w:space="0" w:color="auto"/>
              <w:left w:val="single" w:sz="4" w:space="0" w:color="auto"/>
              <w:bottom w:val="single" w:sz="4" w:space="0" w:color="auto"/>
              <w:right w:val="single" w:sz="4" w:space="0" w:color="auto"/>
            </w:tcBorders>
          </w:tcPr>
          <w:p w14:paraId="18706F64"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5 - 7</w:t>
            </w:r>
          </w:p>
        </w:tc>
        <w:tc>
          <w:tcPr>
            <w:tcW w:w="1390" w:type="dxa"/>
            <w:tcBorders>
              <w:top w:val="single" w:sz="4" w:space="0" w:color="auto"/>
              <w:left w:val="single" w:sz="4" w:space="0" w:color="auto"/>
              <w:bottom w:val="single" w:sz="4" w:space="0" w:color="auto"/>
              <w:right w:val="single" w:sz="4" w:space="0" w:color="auto"/>
            </w:tcBorders>
          </w:tcPr>
          <w:p w14:paraId="2C6E1730"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8 – 10</w:t>
            </w:r>
          </w:p>
        </w:tc>
        <w:tc>
          <w:tcPr>
            <w:tcW w:w="1275" w:type="dxa"/>
            <w:tcBorders>
              <w:top w:val="single" w:sz="4" w:space="0" w:color="auto"/>
              <w:left w:val="single" w:sz="4" w:space="0" w:color="auto"/>
              <w:bottom w:val="single" w:sz="4" w:space="0" w:color="auto"/>
              <w:right w:val="single" w:sz="4" w:space="0" w:color="auto"/>
            </w:tcBorders>
          </w:tcPr>
          <w:p w14:paraId="167C4756"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11 - 15</w:t>
            </w:r>
          </w:p>
        </w:tc>
        <w:tc>
          <w:tcPr>
            <w:tcW w:w="1081" w:type="dxa"/>
            <w:tcBorders>
              <w:top w:val="single" w:sz="4" w:space="0" w:color="auto"/>
              <w:left w:val="single" w:sz="4" w:space="0" w:color="auto"/>
              <w:bottom w:val="single" w:sz="4" w:space="0" w:color="auto"/>
              <w:right w:val="single" w:sz="4" w:space="0" w:color="auto"/>
            </w:tcBorders>
          </w:tcPr>
          <w:p w14:paraId="38C958E1"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15</w:t>
            </w:r>
          </w:p>
        </w:tc>
      </w:tr>
      <w:tr w:rsidR="00266D65" w:rsidRPr="00266D65" w14:paraId="6EB3C2A9" w14:textId="77777777" w:rsidTr="00266D65">
        <w:trPr>
          <w:trHeight w:val="507"/>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44EA4F3F"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5.</w:t>
            </w:r>
          </w:p>
        </w:tc>
        <w:tc>
          <w:tcPr>
            <w:tcW w:w="1792" w:type="dxa"/>
            <w:tcBorders>
              <w:top w:val="single" w:sz="4" w:space="0" w:color="auto"/>
              <w:left w:val="single" w:sz="4" w:space="0" w:color="auto"/>
              <w:bottom w:val="single" w:sz="4" w:space="0" w:color="auto"/>
              <w:right w:val="single" w:sz="4" w:space="0" w:color="auto"/>
            </w:tcBorders>
          </w:tcPr>
          <w:p w14:paraId="6BEEEC44" w14:textId="674768BB"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K-available (mg/100 g)</w:t>
            </w:r>
          </w:p>
        </w:tc>
        <w:tc>
          <w:tcPr>
            <w:tcW w:w="1240" w:type="dxa"/>
            <w:tcBorders>
              <w:top w:val="single" w:sz="4" w:space="0" w:color="auto"/>
              <w:left w:val="single" w:sz="4" w:space="0" w:color="auto"/>
              <w:bottom w:val="single" w:sz="4" w:space="0" w:color="auto"/>
              <w:right w:val="single" w:sz="4" w:space="0" w:color="auto"/>
            </w:tcBorders>
          </w:tcPr>
          <w:p w14:paraId="47EAD860"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10</w:t>
            </w:r>
          </w:p>
        </w:tc>
        <w:tc>
          <w:tcPr>
            <w:tcW w:w="1240" w:type="dxa"/>
            <w:tcBorders>
              <w:top w:val="single" w:sz="4" w:space="0" w:color="auto"/>
              <w:left w:val="single" w:sz="4" w:space="0" w:color="auto"/>
              <w:bottom w:val="single" w:sz="4" w:space="0" w:color="auto"/>
              <w:right w:val="single" w:sz="4" w:space="0" w:color="auto"/>
            </w:tcBorders>
          </w:tcPr>
          <w:p w14:paraId="177BB577"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10 - 20</w:t>
            </w:r>
          </w:p>
        </w:tc>
        <w:tc>
          <w:tcPr>
            <w:tcW w:w="1390" w:type="dxa"/>
            <w:tcBorders>
              <w:top w:val="single" w:sz="4" w:space="0" w:color="auto"/>
              <w:left w:val="single" w:sz="4" w:space="0" w:color="auto"/>
              <w:bottom w:val="single" w:sz="4" w:space="0" w:color="auto"/>
              <w:right w:val="single" w:sz="4" w:space="0" w:color="auto"/>
            </w:tcBorders>
          </w:tcPr>
          <w:p w14:paraId="7FED60DB"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21 - 40</w:t>
            </w:r>
          </w:p>
        </w:tc>
        <w:tc>
          <w:tcPr>
            <w:tcW w:w="1275" w:type="dxa"/>
            <w:tcBorders>
              <w:top w:val="single" w:sz="4" w:space="0" w:color="auto"/>
              <w:left w:val="single" w:sz="4" w:space="0" w:color="auto"/>
              <w:bottom w:val="single" w:sz="4" w:space="0" w:color="auto"/>
              <w:right w:val="single" w:sz="4" w:space="0" w:color="auto"/>
            </w:tcBorders>
          </w:tcPr>
          <w:p w14:paraId="50A9AE77"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41 – 60</w:t>
            </w:r>
          </w:p>
        </w:tc>
        <w:tc>
          <w:tcPr>
            <w:tcW w:w="1081" w:type="dxa"/>
            <w:tcBorders>
              <w:top w:val="single" w:sz="4" w:space="0" w:color="auto"/>
              <w:left w:val="single" w:sz="4" w:space="0" w:color="auto"/>
              <w:bottom w:val="single" w:sz="4" w:space="0" w:color="auto"/>
              <w:right w:val="single" w:sz="4" w:space="0" w:color="auto"/>
            </w:tcBorders>
          </w:tcPr>
          <w:p w14:paraId="1896DD48"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60</w:t>
            </w:r>
          </w:p>
        </w:tc>
      </w:tr>
      <w:tr w:rsidR="00266D65" w:rsidRPr="00266D65" w14:paraId="14EEB717" w14:textId="77777777" w:rsidTr="00266D6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013FAD62"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6.</w:t>
            </w:r>
          </w:p>
        </w:tc>
        <w:tc>
          <w:tcPr>
            <w:tcW w:w="1792" w:type="dxa"/>
            <w:tcBorders>
              <w:top w:val="single" w:sz="4" w:space="0" w:color="auto"/>
              <w:left w:val="single" w:sz="4" w:space="0" w:color="auto"/>
              <w:bottom w:val="single" w:sz="4" w:space="0" w:color="auto"/>
              <w:right w:val="single" w:sz="4" w:space="0" w:color="auto"/>
            </w:tcBorders>
          </w:tcPr>
          <w:p w14:paraId="02EB2FF1"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C-Organik (%)</w:t>
            </w:r>
          </w:p>
        </w:tc>
        <w:tc>
          <w:tcPr>
            <w:tcW w:w="1240" w:type="dxa"/>
            <w:tcBorders>
              <w:top w:val="single" w:sz="4" w:space="0" w:color="auto"/>
              <w:left w:val="single" w:sz="4" w:space="0" w:color="auto"/>
              <w:bottom w:val="single" w:sz="4" w:space="0" w:color="auto"/>
              <w:right w:val="single" w:sz="4" w:space="0" w:color="auto"/>
            </w:tcBorders>
          </w:tcPr>
          <w:p w14:paraId="139AF1E4" w14:textId="2D669B52"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1,0</w:t>
            </w:r>
          </w:p>
        </w:tc>
        <w:tc>
          <w:tcPr>
            <w:tcW w:w="1240" w:type="dxa"/>
            <w:tcBorders>
              <w:top w:val="single" w:sz="4" w:space="0" w:color="auto"/>
              <w:left w:val="single" w:sz="4" w:space="0" w:color="auto"/>
              <w:bottom w:val="single" w:sz="4" w:space="0" w:color="auto"/>
              <w:right w:val="single" w:sz="4" w:space="0" w:color="auto"/>
            </w:tcBorders>
          </w:tcPr>
          <w:p w14:paraId="3A3E85CA" w14:textId="357AEA12"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1,0 - 2,0</w:t>
            </w:r>
          </w:p>
        </w:tc>
        <w:tc>
          <w:tcPr>
            <w:tcW w:w="1390" w:type="dxa"/>
            <w:tcBorders>
              <w:top w:val="single" w:sz="4" w:space="0" w:color="auto"/>
              <w:left w:val="single" w:sz="4" w:space="0" w:color="auto"/>
              <w:bottom w:val="single" w:sz="4" w:space="0" w:color="auto"/>
              <w:right w:val="single" w:sz="4" w:space="0" w:color="auto"/>
            </w:tcBorders>
          </w:tcPr>
          <w:p w14:paraId="0B9F6C4B" w14:textId="118208C4"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2,0 - 3,0</w:t>
            </w:r>
          </w:p>
        </w:tc>
        <w:tc>
          <w:tcPr>
            <w:tcW w:w="1275" w:type="dxa"/>
            <w:tcBorders>
              <w:top w:val="single" w:sz="4" w:space="0" w:color="auto"/>
              <w:left w:val="single" w:sz="4" w:space="0" w:color="auto"/>
              <w:bottom w:val="single" w:sz="4" w:space="0" w:color="auto"/>
              <w:right w:val="single" w:sz="4" w:space="0" w:color="auto"/>
            </w:tcBorders>
          </w:tcPr>
          <w:p w14:paraId="7E0A2334" w14:textId="70608844"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3,0 - 5,0</w:t>
            </w:r>
          </w:p>
        </w:tc>
        <w:tc>
          <w:tcPr>
            <w:tcW w:w="1081" w:type="dxa"/>
            <w:tcBorders>
              <w:top w:val="single" w:sz="4" w:space="0" w:color="auto"/>
              <w:left w:val="single" w:sz="4" w:space="0" w:color="auto"/>
              <w:bottom w:val="single" w:sz="4" w:space="0" w:color="auto"/>
              <w:right w:val="single" w:sz="4" w:space="0" w:color="auto"/>
            </w:tcBorders>
          </w:tcPr>
          <w:p w14:paraId="65F5774D" w14:textId="42589323"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5,0</w:t>
            </w:r>
          </w:p>
        </w:tc>
      </w:tr>
      <w:tr w:rsidR="00266D65" w:rsidRPr="00266D65" w14:paraId="2D4B4BF0" w14:textId="77777777" w:rsidTr="00266D65">
        <w:trPr>
          <w:trHeight w:val="547"/>
        </w:trPr>
        <w:tc>
          <w:tcPr>
            <w:cnfStyle w:val="001000000000" w:firstRow="0" w:lastRow="0" w:firstColumn="1" w:lastColumn="0" w:oddVBand="0" w:evenVBand="0" w:oddHBand="0" w:evenHBand="0" w:firstRowFirstColumn="0" w:firstRowLastColumn="0" w:lastRowFirstColumn="0" w:lastRowLastColumn="0"/>
            <w:tcW w:w="845" w:type="dxa"/>
            <w:tcBorders>
              <w:top w:val="single" w:sz="4" w:space="0" w:color="auto"/>
              <w:left w:val="single" w:sz="4" w:space="0" w:color="auto"/>
              <w:bottom w:val="single" w:sz="4" w:space="0" w:color="auto"/>
              <w:right w:val="single" w:sz="4" w:space="0" w:color="auto"/>
            </w:tcBorders>
          </w:tcPr>
          <w:p w14:paraId="24F2B956" w14:textId="77777777" w:rsidR="00266D65" w:rsidRPr="007A4266" w:rsidRDefault="00266D65" w:rsidP="00C35656">
            <w:pPr>
              <w:jc w:val="center"/>
              <w:rPr>
                <w:rFonts w:ascii="Courier New" w:hAnsi="Courier New" w:cs="Courier New"/>
                <w:sz w:val="16"/>
                <w:szCs w:val="16"/>
              </w:rPr>
            </w:pPr>
            <w:r w:rsidRPr="007A4266">
              <w:rPr>
                <w:rFonts w:ascii="Courier New" w:hAnsi="Courier New" w:cs="Courier New"/>
                <w:sz w:val="16"/>
                <w:szCs w:val="16"/>
              </w:rPr>
              <w:t>7.</w:t>
            </w:r>
          </w:p>
        </w:tc>
        <w:tc>
          <w:tcPr>
            <w:tcW w:w="1792" w:type="dxa"/>
            <w:tcBorders>
              <w:top w:val="single" w:sz="4" w:space="0" w:color="auto"/>
              <w:left w:val="single" w:sz="4" w:space="0" w:color="auto"/>
              <w:bottom w:val="single" w:sz="4" w:space="0" w:color="auto"/>
              <w:right w:val="single" w:sz="4" w:space="0" w:color="auto"/>
            </w:tcBorders>
          </w:tcPr>
          <w:p w14:paraId="0EBCD2C4"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pH</w:t>
            </w:r>
          </w:p>
        </w:tc>
        <w:tc>
          <w:tcPr>
            <w:tcW w:w="1240" w:type="dxa"/>
            <w:tcBorders>
              <w:top w:val="single" w:sz="4" w:space="0" w:color="auto"/>
              <w:left w:val="single" w:sz="4" w:space="0" w:color="auto"/>
              <w:bottom w:val="single" w:sz="4" w:space="0" w:color="auto"/>
              <w:right w:val="single" w:sz="4" w:space="0" w:color="auto"/>
            </w:tcBorders>
          </w:tcPr>
          <w:p w14:paraId="7CEE575B" w14:textId="41291F39"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Very Acidic</w:t>
            </w:r>
          </w:p>
        </w:tc>
        <w:tc>
          <w:tcPr>
            <w:tcW w:w="1240" w:type="dxa"/>
            <w:tcBorders>
              <w:top w:val="single" w:sz="4" w:space="0" w:color="auto"/>
              <w:left w:val="single" w:sz="4" w:space="0" w:color="auto"/>
              <w:bottom w:val="single" w:sz="4" w:space="0" w:color="auto"/>
              <w:right w:val="single" w:sz="4" w:space="0" w:color="auto"/>
            </w:tcBorders>
          </w:tcPr>
          <w:p w14:paraId="5E9A3A10" w14:textId="15AAF109"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Acidic</w:t>
            </w:r>
          </w:p>
        </w:tc>
        <w:tc>
          <w:tcPr>
            <w:tcW w:w="1390" w:type="dxa"/>
            <w:tcBorders>
              <w:top w:val="single" w:sz="4" w:space="0" w:color="auto"/>
              <w:left w:val="single" w:sz="4" w:space="0" w:color="auto"/>
              <w:bottom w:val="single" w:sz="4" w:space="0" w:color="auto"/>
              <w:right w:val="single" w:sz="4" w:space="0" w:color="auto"/>
            </w:tcBorders>
          </w:tcPr>
          <w:p w14:paraId="17D6FE42" w14:textId="77777777" w:rsidR="00266D65" w:rsidRPr="007A4266" w:rsidRDefault="00266D65" w:rsidP="00266D65">
            <w:pPr>
              <w:pStyle w:val="HTMLPreformatted"/>
              <w:cnfStyle w:val="000000000000" w:firstRow="0" w:lastRow="0" w:firstColumn="0" w:lastColumn="0" w:oddVBand="0" w:evenVBand="0" w:oddHBand="0" w:evenHBand="0" w:firstRowFirstColumn="0" w:firstRowLastColumn="0" w:lastRowFirstColumn="0" w:lastRowLastColumn="0"/>
              <w:rPr>
                <w:b/>
                <w:bCs/>
                <w:sz w:val="16"/>
                <w:szCs w:val="16"/>
              </w:rPr>
            </w:pPr>
            <w:r w:rsidRPr="007A4266">
              <w:rPr>
                <w:rStyle w:val="y2iqfc"/>
                <w:rFonts w:eastAsiaTheme="majorEastAsia"/>
                <w:b/>
                <w:bCs/>
                <w:sz w:val="16"/>
                <w:szCs w:val="16"/>
                <w:lang w:val="en"/>
              </w:rPr>
              <w:t>slightly acidic</w:t>
            </w:r>
          </w:p>
          <w:p w14:paraId="5DB26954" w14:textId="3872669A"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p>
        </w:tc>
        <w:tc>
          <w:tcPr>
            <w:tcW w:w="1275" w:type="dxa"/>
            <w:tcBorders>
              <w:top w:val="single" w:sz="4" w:space="0" w:color="auto"/>
              <w:left w:val="single" w:sz="4" w:space="0" w:color="auto"/>
              <w:bottom w:val="single" w:sz="4" w:space="0" w:color="auto"/>
              <w:right w:val="single" w:sz="4" w:space="0" w:color="auto"/>
            </w:tcBorders>
          </w:tcPr>
          <w:p w14:paraId="7C89C927" w14:textId="0D4B3432" w:rsidR="00266D65" w:rsidRPr="007A4266" w:rsidRDefault="00266D65" w:rsidP="00266D65">
            <w:pPr>
              <w:pStyle w:val="HTMLPreformatted"/>
              <w:cnfStyle w:val="000000000000" w:firstRow="0" w:lastRow="0" w:firstColumn="0" w:lastColumn="0" w:oddVBand="0" w:evenVBand="0" w:oddHBand="0" w:evenHBand="0" w:firstRowFirstColumn="0" w:firstRowLastColumn="0" w:lastRowFirstColumn="0" w:lastRowLastColumn="0"/>
              <w:rPr>
                <w:b/>
                <w:bCs/>
                <w:sz w:val="16"/>
                <w:szCs w:val="16"/>
              </w:rPr>
            </w:pPr>
            <w:r w:rsidRPr="007A4266">
              <w:rPr>
                <w:rStyle w:val="y2iqfc"/>
                <w:rFonts w:eastAsiaTheme="majorEastAsia"/>
                <w:b/>
                <w:bCs/>
                <w:sz w:val="16"/>
                <w:szCs w:val="16"/>
                <w:lang w:val="en"/>
              </w:rPr>
              <w:t>slightly alkaline</w:t>
            </w:r>
          </w:p>
          <w:p w14:paraId="207F9C7A" w14:textId="1D024E7D"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p>
        </w:tc>
        <w:tc>
          <w:tcPr>
            <w:tcW w:w="1081" w:type="dxa"/>
            <w:tcBorders>
              <w:top w:val="single" w:sz="4" w:space="0" w:color="auto"/>
              <w:left w:val="single" w:sz="4" w:space="0" w:color="auto"/>
              <w:bottom w:val="single" w:sz="4" w:space="0" w:color="auto"/>
              <w:right w:val="single" w:sz="4" w:space="0" w:color="auto"/>
            </w:tcBorders>
          </w:tcPr>
          <w:p w14:paraId="5AA2A971" w14:textId="64AFF713"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b/>
                <w:bCs/>
                <w:sz w:val="16"/>
                <w:szCs w:val="16"/>
              </w:rPr>
            </w:pPr>
            <w:r w:rsidRPr="007A4266">
              <w:rPr>
                <w:rFonts w:ascii="Courier New" w:hAnsi="Courier New" w:cs="Courier New"/>
                <w:b/>
                <w:bCs/>
                <w:sz w:val="16"/>
                <w:szCs w:val="16"/>
              </w:rPr>
              <w:t>Alkaline</w:t>
            </w:r>
          </w:p>
        </w:tc>
      </w:tr>
      <w:tr w:rsidR="00266D65" w:rsidRPr="00266D65" w14:paraId="4DD22B6C" w14:textId="77777777" w:rsidTr="00266D6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637" w:type="dxa"/>
            <w:gridSpan w:val="2"/>
            <w:tcBorders>
              <w:top w:val="single" w:sz="4" w:space="0" w:color="auto"/>
              <w:left w:val="single" w:sz="4" w:space="0" w:color="auto"/>
              <w:bottom w:val="single" w:sz="4" w:space="0" w:color="auto"/>
              <w:right w:val="single" w:sz="4" w:space="0" w:color="auto"/>
            </w:tcBorders>
          </w:tcPr>
          <w:p w14:paraId="3CAD01A4" w14:textId="77777777" w:rsidR="00266D65" w:rsidRPr="007A4266" w:rsidRDefault="00266D65" w:rsidP="00C35656">
            <w:pPr>
              <w:jc w:val="center"/>
              <w:rPr>
                <w:rFonts w:ascii="Courier New" w:hAnsi="Courier New" w:cs="Courier New"/>
                <w:sz w:val="16"/>
                <w:szCs w:val="16"/>
              </w:rPr>
            </w:pPr>
          </w:p>
        </w:tc>
        <w:tc>
          <w:tcPr>
            <w:tcW w:w="1240" w:type="dxa"/>
            <w:tcBorders>
              <w:top w:val="single" w:sz="4" w:space="0" w:color="auto"/>
              <w:left w:val="single" w:sz="4" w:space="0" w:color="auto"/>
              <w:bottom w:val="single" w:sz="4" w:space="0" w:color="auto"/>
              <w:right w:val="single" w:sz="4" w:space="0" w:color="auto"/>
            </w:tcBorders>
          </w:tcPr>
          <w:p w14:paraId="5424C70B"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&lt; 4,5</w:t>
            </w:r>
          </w:p>
        </w:tc>
        <w:tc>
          <w:tcPr>
            <w:tcW w:w="1240" w:type="dxa"/>
            <w:tcBorders>
              <w:top w:val="single" w:sz="4" w:space="0" w:color="auto"/>
              <w:left w:val="single" w:sz="4" w:space="0" w:color="auto"/>
              <w:bottom w:val="single" w:sz="4" w:space="0" w:color="auto"/>
              <w:right w:val="single" w:sz="4" w:space="0" w:color="auto"/>
            </w:tcBorders>
          </w:tcPr>
          <w:p w14:paraId="21F4E25D"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4,5 - 5,5</w:t>
            </w:r>
          </w:p>
        </w:tc>
        <w:tc>
          <w:tcPr>
            <w:tcW w:w="1390" w:type="dxa"/>
            <w:tcBorders>
              <w:top w:val="single" w:sz="4" w:space="0" w:color="auto"/>
              <w:left w:val="single" w:sz="4" w:space="0" w:color="auto"/>
              <w:bottom w:val="single" w:sz="4" w:space="0" w:color="auto"/>
              <w:right w:val="single" w:sz="4" w:space="0" w:color="auto"/>
            </w:tcBorders>
          </w:tcPr>
          <w:p w14:paraId="4A9CDCCE"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5,5 - 6,5</w:t>
            </w:r>
          </w:p>
        </w:tc>
        <w:tc>
          <w:tcPr>
            <w:tcW w:w="1275" w:type="dxa"/>
            <w:tcBorders>
              <w:top w:val="single" w:sz="4" w:space="0" w:color="auto"/>
              <w:left w:val="single" w:sz="4" w:space="0" w:color="auto"/>
              <w:bottom w:val="single" w:sz="4" w:space="0" w:color="auto"/>
              <w:right w:val="single" w:sz="4" w:space="0" w:color="auto"/>
            </w:tcBorders>
          </w:tcPr>
          <w:p w14:paraId="7ECFAE90"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7,6 - 8,5</w:t>
            </w:r>
          </w:p>
        </w:tc>
        <w:tc>
          <w:tcPr>
            <w:tcW w:w="1081" w:type="dxa"/>
            <w:tcBorders>
              <w:top w:val="single" w:sz="4" w:space="0" w:color="auto"/>
              <w:left w:val="single" w:sz="4" w:space="0" w:color="auto"/>
              <w:bottom w:val="single" w:sz="4" w:space="0" w:color="auto"/>
              <w:right w:val="single" w:sz="4" w:space="0" w:color="auto"/>
            </w:tcBorders>
          </w:tcPr>
          <w:p w14:paraId="0068C174"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16"/>
                <w:szCs w:val="16"/>
              </w:rPr>
            </w:pPr>
            <w:r w:rsidRPr="007A4266">
              <w:rPr>
                <w:rFonts w:ascii="Courier New" w:hAnsi="Courier New" w:cs="Courier New"/>
                <w:sz w:val="16"/>
                <w:szCs w:val="16"/>
              </w:rPr>
              <w:t>&gt; 8,5</w:t>
            </w:r>
          </w:p>
        </w:tc>
      </w:tr>
    </w:tbl>
    <w:p w14:paraId="55CA894B" w14:textId="77777777" w:rsidR="00266D65" w:rsidRPr="00F77D86" w:rsidRDefault="00266D65" w:rsidP="00266D65">
      <w:pPr>
        <w:spacing w:after="0" w:line="240" w:lineRule="auto"/>
        <w:contextualSpacing/>
        <w:jc w:val="both"/>
        <w:rPr>
          <w:rFonts w:ascii="Times New Roman" w:hAnsi="Times New Roman" w:cs="Times New Roman"/>
        </w:rPr>
      </w:pPr>
      <w:bookmarkStart w:id="2" w:name="_Hlk190888912"/>
      <w:bookmarkEnd w:id="1"/>
      <w:r w:rsidRPr="00F77D86">
        <w:rPr>
          <w:rFonts w:ascii="Times New Roman" w:hAnsi="Times New Roman" w:cs="Times New Roman"/>
          <w:lang w:val="id-ID"/>
        </w:rPr>
        <w:t>S</w:t>
      </w:r>
      <w:r>
        <w:rPr>
          <w:rFonts w:ascii="Times New Roman" w:hAnsi="Times New Roman" w:cs="Times New Roman"/>
          <w:lang w:val="id-ID"/>
        </w:rPr>
        <w:t>ource</w:t>
      </w:r>
      <w:r w:rsidRPr="00F77D86">
        <w:rPr>
          <w:rFonts w:ascii="Times New Roman" w:hAnsi="Times New Roman" w:cs="Times New Roman"/>
          <w:lang w:val="id-ID"/>
        </w:rPr>
        <w:t xml:space="preserve">: </w:t>
      </w:r>
      <w:r w:rsidRPr="00F77D86">
        <w:rPr>
          <w:rFonts w:ascii="Times New Roman" w:hAnsi="Times New Roman" w:cs="Times New Roman"/>
        </w:rPr>
        <w:t>Eviati (2023)</w:t>
      </w:r>
    </w:p>
    <w:p w14:paraId="78977C63" w14:textId="77777777" w:rsidR="00266D65" w:rsidRPr="00F77D86" w:rsidRDefault="00266D65" w:rsidP="00266D65">
      <w:pPr>
        <w:spacing w:after="0" w:line="240" w:lineRule="auto"/>
        <w:jc w:val="both"/>
        <w:rPr>
          <w:rFonts w:ascii="Times New Roman" w:hAnsi="Times New Roman" w:cs="Times New Roman"/>
        </w:rPr>
      </w:pPr>
    </w:p>
    <w:p w14:paraId="668BDB46" w14:textId="77777777" w:rsidR="00266D65" w:rsidRPr="00F77D86" w:rsidRDefault="00266D65" w:rsidP="00266D65">
      <w:pPr>
        <w:spacing w:after="0" w:line="240" w:lineRule="auto"/>
        <w:jc w:val="both"/>
        <w:rPr>
          <w:rFonts w:ascii="Times New Roman" w:hAnsi="Times New Roman" w:cs="Times New Roman"/>
        </w:rPr>
      </w:pPr>
    </w:p>
    <w:p w14:paraId="1E67E945" w14:textId="77777777" w:rsidR="00266D65" w:rsidRPr="00F77D86" w:rsidRDefault="00266D65" w:rsidP="00266D65">
      <w:pPr>
        <w:spacing w:after="0" w:line="240" w:lineRule="auto"/>
        <w:jc w:val="both"/>
        <w:rPr>
          <w:rFonts w:ascii="Times New Roman" w:hAnsi="Times New Roman" w:cs="Times New Roman"/>
        </w:rPr>
      </w:pPr>
    </w:p>
    <w:p w14:paraId="136CB191" w14:textId="77777777" w:rsidR="00266D65" w:rsidRPr="00F77D86" w:rsidRDefault="00266D65" w:rsidP="00266D65">
      <w:pPr>
        <w:spacing w:after="0" w:line="240" w:lineRule="auto"/>
        <w:jc w:val="both"/>
        <w:rPr>
          <w:rFonts w:ascii="Times New Roman" w:hAnsi="Times New Roman" w:cs="Times New Roman"/>
        </w:rPr>
      </w:pPr>
    </w:p>
    <w:p w14:paraId="4BE4D5AD" w14:textId="77777777" w:rsidR="00266D65" w:rsidRDefault="00266D65" w:rsidP="00266D65">
      <w:pPr>
        <w:spacing w:after="0" w:line="240" w:lineRule="auto"/>
        <w:jc w:val="both"/>
        <w:rPr>
          <w:rFonts w:ascii="Times New Roman" w:hAnsi="Times New Roman" w:cs="Times New Roman"/>
        </w:rPr>
      </w:pPr>
    </w:p>
    <w:p w14:paraId="26EAB268" w14:textId="77777777" w:rsidR="007A4266" w:rsidRDefault="007A4266" w:rsidP="00266D65">
      <w:pPr>
        <w:spacing w:after="0" w:line="240" w:lineRule="auto"/>
        <w:jc w:val="both"/>
        <w:rPr>
          <w:rFonts w:ascii="Times New Roman" w:hAnsi="Times New Roman" w:cs="Times New Roman"/>
        </w:rPr>
      </w:pPr>
    </w:p>
    <w:p w14:paraId="3E92B1BB" w14:textId="77777777" w:rsidR="009F03D0" w:rsidRDefault="009F03D0" w:rsidP="00266D65">
      <w:pPr>
        <w:spacing w:after="0" w:line="240" w:lineRule="auto"/>
        <w:jc w:val="both"/>
        <w:rPr>
          <w:rFonts w:ascii="Times New Roman" w:hAnsi="Times New Roman" w:cs="Times New Roman"/>
        </w:rPr>
      </w:pPr>
    </w:p>
    <w:p w14:paraId="04E69167" w14:textId="77777777" w:rsidR="009F03D0" w:rsidRDefault="009F03D0" w:rsidP="00266D65">
      <w:pPr>
        <w:spacing w:after="0" w:line="240" w:lineRule="auto"/>
        <w:jc w:val="both"/>
        <w:rPr>
          <w:rFonts w:ascii="Times New Roman" w:hAnsi="Times New Roman" w:cs="Times New Roman"/>
        </w:rPr>
      </w:pPr>
    </w:p>
    <w:p w14:paraId="611E2628" w14:textId="77777777" w:rsidR="009F03D0" w:rsidRDefault="009F03D0" w:rsidP="00266D65">
      <w:pPr>
        <w:spacing w:after="0" w:line="240" w:lineRule="auto"/>
        <w:jc w:val="both"/>
        <w:rPr>
          <w:rFonts w:ascii="Times New Roman" w:hAnsi="Times New Roman" w:cs="Times New Roman"/>
        </w:rPr>
      </w:pPr>
    </w:p>
    <w:p w14:paraId="1CBFB987" w14:textId="77777777" w:rsidR="009F03D0" w:rsidRPr="00F77D86" w:rsidRDefault="009F03D0" w:rsidP="00266D65">
      <w:pPr>
        <w:spacing w:after="0" w:line="240" w:lineRule="auto"/>
        <w:jc w:val="both"/>
        <w:rPr>
          <w:rFonts w:ascii="Times New Roman" w:hAnsi="Times New Roman" w:cs="Times New Roman"/>
        </w:rPr>
      </w:pPr>
    </w:p>
    <w:p w14:paraId="24E62B0F" w14:textId="77777777" w:rsidR="00266D65" w:rsidRPr="00F77D86" w:rsidRDefault="00266D65" w:rsidP="00266D65">
      <w:pPr>
        <w:spacing w:after="0" w:line="240" w:lineRule="auto"/>
        <w:jc w:val="both"/>
        <w:rPr>
          <w:rFonts w:ascii="Times New Roman" w:hAnsi="Times New Roman" w:cs="Times New Roman"/>
        </w:rPr>
      </w:pPr>
    </w:p>
    <w:bookmarkEnd w:id="2"/>
    <w:p w14:paraId="698C65BE" w14:textId="7F67C194" w:rsidR="00266D65" w:rsidRPr="00266D65" w:rsidRDefault="00266D65" w:rsidP="00266D65">
      <w:pPr>
        <w:pStyle w:val="HTMLPreformatted"/>
      </w:pPr>
      <w:r>
        <w:rPr>
          <w:rStyle w:val="y2iqfc"/>
          <w:rFonts w:eastAsiaTheme="majorEastAsia"/>
          <w:lang w:val="en"/>
        </w:rPr>
        <w:lastRenderedPageBreak/>
        <w:t xml:space="preserve">Table 2. Research Criteria for Soil Chemical Analysis Results </w:t>
      </w:r>
    </w:p>
    <w:tbl>
      <w:tblPr>
        <w:tblStyle w:val="PlainTable211"/>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03"/>
        <w:gridCol w:w="1244"/>
        <w:gridCol w:w="1244"/>
        <w:gridCol w:w="1244"/>
        <w:gridCol w:w="1244"/>
        <w:gridCol w:w="1257"/>
      </w:tblGrid>
      <w:tr w:rsidR="00266D65" w:rsidRPr="00F77D86" w14:paraId="6F2DB5BB" w14:textId="77777777" w:rsidTr="00266D65">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2" w:type="dxa"/>
            <w:vMerge w:val="restart"/>
            <w:tcBorders>
              <w:bottom w:val="none" w:sz="0" w:space="0" w:color="auto"/>
            </w:tcBorders>
          </w:tcPr>
          <w:p w14:paraId="28874325" w14:textId="77777777" w:rsidR="00266D65" w:rsidRPr="007A4266" w:rsidRDefault="00266D65" w:rsidP="00C35656">
            <w:pPr>
              <w:jc w:val="center"/>
              <w:rPr>
                <w:rFonts w:ascii="Courier New" w:hAnsi="Courier New" w:cs="Courier New"/>
                <w:sz w:val="20"/>
                <w:szCs w:val="20"/>
              </w:rPr>
            </w:pPr>
            <w:bookmarkStart w:id="3" w:name="_Hlk190888985"/>
            <w:r w:rsidRPr="007A4266">
              <w:rPr>
                <w:rFonts w:ascii="Courier New" w:hAnsi="Courier New" w:cs="Courier New"/>
                <w:sz w:val="20"/>
                <w:szCs w:val="20"/>
              </w:rPr>
              <w:t>No.</w:t>
            </w:r>
          </w:p>
        </w:tc>
        <w:tc>
          <w:tcPr>
            <w:tcW w:w="1403" w:type="dxa"/>
            <w:vMerge w:val="restart"/>
            <w:tcBorders>
              <w:bottom w:val="none" w:sz="0" w:space="0" w:color="auto"/>
            </w:tcBorders>
          </w:tcPr>
          <w:p w14:paraId="68279B29" w14:textId="494E4091" w:rsidR="00266D65" w:rsidRPr="007A4266" w:rsidRDefault="00266D65" w:rsidP="00266D65">
            <w:pPr>
              <w:pStyle w:val="HTMLPreformatted"/>
              <w:cnfStyle w:val="100000000000" w:firstRow="1" w:lastRow="0" w:firstColumn="0" w:lastColumn="0" w:oddVBand="0" w:evenVBand="0" w:oddHBand="0" w:evenHBand="0" w:firstRowFirstColumn="0" w:firstRowLastColumn="0" w:lastRowFirstColumn="0" w:lastRowLastColumn="0"/>
            </w:pPr>
            <w:r w:rsidRPr="007A4266">
              <w:rPr>
                <w:rStyle w:val="y2iqfc"/>
                <w:rFonts w:eastAsiaTheme="majorEastAsia"/>
                <w:lang w:val="en"/>
              </w:rPr>
              <w:t>Macro and Micro Elements</w:t>
            </w:r>
          </w:p>
        </w:tc>
        <w:tc>
          <w:tcPr>
            <w:tcW w:w="6233" w:type="dxa"/>
            <w:gridSpan w:val="5"/>
            <w:tcBorders>
              <w:bottom w:val="none" w:sz="0" w:space="0" w:color="auto"/>
            </w:tcBorders>
          </w:tcPr>
          <w:p w14:paraId="527860FD" w14:textId="172B566A"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Value</w:t>
            </w:r>
          </w:p>
        </w:tc>
      </w:tr>
      <w:tr w:rsidR="00266D65" w:rsidRPr="00F77D86" w14:paraId="56E9AFF6" w14:textId="77777777" w:rsidTr="00266D65">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242" w:type="dxa"/>
            <w:vMerge/>
            <w:tcBorders>
              <w:top w:val="none" w:sz="0" w:space="0" w:color="auto"/>
              <w:bottom w:val="none" w:sz="0" w:space="0" w:color="auto"/>
            </w:tcBorders>
          </w:tcPr>
          <w:p w14:paraId="47A1AF62" w14:textId="77777777" w:rsidR="00266D65" w:rsidRPr="007A4266" w:rsidRDefault="00266D65" w:rsidP="00266D65">
            <w:pPr>
              <w:jc w:val="both"/>
              <w:rPr>
                <w:rFonts w:ascii="Courier New" w:hAnsi="Courier New" w:cs="Courier New"/>
                <w:sz w:val="20"/>
                <w:szCs w:val="20"/>
              </w:rPr>
            </w:pPr>
          </w:p>
        </w:tc>
        <w:tc>
          <w:tcPr>
            <w:tcW w:w="1403" w:type="dxa"/>
            <w:vMerge/>
            <w:tcBorders>
              <w:top w:val="none" w:sz="0" w:space="0" w:color="auto"/>
              <w:bottom w:val="none" w:sz="0" w:space="0" w:color="auto"/>
            </w:tcBorders>
          </w:tcPr>
          <w:p w14:paraId="20D22489" w14:textId="77777777" w:rsidR="00266D65" w:rsidRPr="007A4266" w:rsidRDefault="00266D65" w:rsidP="00266D65">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tc>
        <w:tc>
          <w:tcPr>
            <w:tcW w:w="1244" w:type="dxa"/>
            <w:tcBorders>
              <w:top w:val="none" w:sz="0" w:space="0" w:color="auto"/>
              <w:bottom w:val="none" w:sz="0" w:space="0" w:color="auto"/>
            </w:tcBorders>
          </w:tcPr>
          <w:p w14:paraId="38D05EC2" w14:textId="30062177"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Very Low</w:t>
            </w:r>
          </w:p>
        </w:tc>
        <w:tc>
          <w:tcPr>
            <w:tcW w:w="1244" w:type="dxa"/>
            <w:tcBorders>
              <w:top w:val="none" w:sz="0" w:space="0" w:color="auto"/>
              <w:bottom w:val="none" w:sz="0" w:space="0" w:color="auto"/>
            </w:tcBorders>
          </w:tcPr>
          <w:p w14:paraId="2CCFFACA" w14:textId="5CE345A4"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Low</w:t>
            </w:r>
          </w:p>
        </w:tc>
        <w:tc>
          <w:tcPr>
            <w:tcW w:w="1244" w:type="dxa"/>
            <w:tcBorders>
              <w:top w:val="none" w:sz="0" w:space="0" w:color="auto"/>
              <w:bottom w:val="none" w:sz="0" w:space="0" w:color="auto"/>
            </w:tcBorders>
          </w:tcPr>
          <w:p w14:paraId="41D4E7B5" w14:textId="3C257F70"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Medium</w:t>
            </w:r>
          </w:p>
        </w:tc>
        <w:tc>
          <w:tcPr>
            <w:tcW w:w="1244" w:type="dxa"/>
            <w:tcBorders>
              <w:top w:val="none" w:sz="0" w:space="0" w:color="auto"/>
              <w:bottom w:val="none" w:sz="0" w:space="0" w:color="auto"/>
            </w:tcBorders>
          </w:tcPr>
          <w:p w14:paraId="1FC9D9CE" w14:textId="01337F9A"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High</w:t>
            </w:r>
          </w:p>
        </w:tc>
        <w:tc>
          <w:tcPr>
            <w:tcW w:w="1257" w:type="dxa"/>
            <w:tcBorders>
              <w:top w:val="none" w:sz="0" w:space="0" w:color="auto"/>
              <w:bottom w:val="none" w:sz="0" w:space="0" w:color="auto"/>
            </w:tcBorders>
          </w:tcPr>
          <w:p w14:paraId="1DB57F84" w14:textId="7E9B7A1C" w:rsidR="00266D65" w:rsidRPr="007A4266" w:rsidRDefault="00266D65" w:rsidP="00266D65">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A4266">
              <w:rPr>
                <w:rFonts w:ascii="Courier New" w:hAnsi="Courier New" w:cs="Courier New"/>
                <w:b/>
                <w:bCs/>
                <w:sz w:val="20"/>
                <w:szCs w:val="20"/>
              </w:rPr>
              <w:t>Very High</w:t>
            </w:r>
          </w:p>
        </w:tc>
      </w:tr>
      <w:tr w:rsidR="00266D65" w:rsidRPr="00F77D86" w14:paraId="5FCC4472" w14:textId="77777777" w:rsidTr="00266D65">
        <w:trPr>
          <w:trHeight w:val="412"/>
        </w:trPr>
        <w:tc>
          <w:tcPr>
            <w:cnfStyle w:val="001000000000" w:firstRow="0" w:lastRow="0" w:firstColumn="1" w:lastColumn="0" w:oddVBand="0" w:evenVBand="0" w:oddHBand="0" w:evenHBand="0" w:firstRowFirstColumn="0" w:firstRowLastColumn="0" w:lastRowFirstColumn="0" w:lastRowLastColumn="0"/>
            <w:tcW w:w="1242" w:type="dxa"/>
          </w:tcPr>
          <w:p w14:paraId="5E10555E"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1.</w:t>
            </w:r>
          </w:p>
        </w:tc>
        <w:tc>
          <w:tcPr>
            <w:tcW w:w="1403" w:type="dxa"/>
          </w:tcPr>
          <w:p w14:paraId="33A7F1A8"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NH</w:t>
            </w:r>
            <w:r w:rsidRPr="007A4266">
              <w:rPr>
                <w:rFonts w:ascii="Courier New" w:hAnsi="Courier New" w:cs="Courier New"/>
                <w:sz w:val="20"/>
                <w:szCs w:val="20"/>
                <w:vertAlign w:val="subscript"/>
              </w:rPr>
              <w:t>4</w:t>
            </w:r>
            <w:r w:rsidRPr="007A4266">
              <w:rPr>
                <w:rFonts w:ascii="Courier New" w:hAnsi="Courier New" w:cs="Courier New"/>
                <w:sz w:val="20"/>
                <w:szCs w:val="20"/>
              </w:rPr>
              <w:t xml:space="preserve"> (ppm)</w:t>
            </w:r>
          </w:p>
        </w:tc>
        <w:tc>
          <w:tcPr>
            <w:tcW w:w="1244" w:type="dxa"/>
          </w:tcPr>
          <w:p w14:paraId="4CEE9332"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w:t>
            </w:r>
          </w:p>
        </w:tc>
        <w:tc>
          <w:tcPr>
            <w:tcW w:w="1244" w:type="dxa"/>
          </w:tcPr>
          <w:p w14:paraId="7791C4D8"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w:t>
            </w:r>
          </w:p>
        </w:tc>
        <w:tc>
          <w:tcPr>
            <w:tcW w:w="1244" w:type="dxa"/>
          </w:tcPr>
          <w:p w14:paraId="2E3990F3"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3</w:t>
            </w:r>
          </w:p>
        </w:tc>
        <w:tc>
          <w:tcPr>
            <w:tcW w:w="1244" w:type="dxa"/>
          </w:tcPr>
          <w:p w14:paraId="717A8521"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8</w:t>
            </w:r>
          </w:p>
        </w:tc>
        <w:tc>
          <w:tcPr>
            <w:tcW w:w="1257" w:type="dxa"/>
          </w:tcPr>
          <w:p w14:paraId="04522E70"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21</w:t>
            </w:r>
          </w:p>
        </w:tc>
      </w:tr>
      <w:tr w:rsidR="00266D65" w:rsidRPr="00F77D86" w14:paraId="36EEC782" w14:textId="77777777" w:rsidTr="00266D6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bottom w:val="none" w:sz="0" w:space="0" w:color="auto"/>
            </w:tcBorders>
          </w:tcPr>
          <w:p w14:paraId="3A6AA760"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2.</w:t>
            </w:r>
          </w:p>
        </w:tc>
        <w:tc>
          <w:tcPr>
            <w:tcW w:w="1403" w:type="dxa"/>
            <w:tcBorders>
              <w:top w:val="none" w:sz="0" w:space="0" w:color="auto"/>
              <w:bottom w:val="none" w:sz="0" w:space="0" w:color="auto"/>
            </w:tcBorders>
          </w:tcPr>
          <w:p w14:paraId="28A3DF2D"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NO</w:t>
            </w:r>
            <w:r w:rsidRPr="007A4266">
              <w:rPr>
                <w:rFonts w:ascii="Courier New" w:hAnsi="Courier New" w:cs="Courier New"/>
                <w:sz w:val="20"/>
                <w:szCs w:val="20"/>
                <w:vertAlign w:val="subscript"/>
              </w:rPr>
              <w:t>3</w:t>
            </w:r>
            <w:r w:rsidRPr="007A4266">
              <w:rPr>
                <w:rFonts w:ascii="Courier New" w:hAnsi="Courier New" w:cs="Courier New"/>
                <w:sz w:val="20"/>
                <w:szCs w:val="20"/>
              </w:rPr>
              <w:t xml:space="preserve"> (ppm)</w:t>
            </w:r>
          </w:p>
        </w:tc>
        <w:tc>
          <w:tcPr>
            <w:tcW w:w="1244" w:type="dxa"/>
            <w:tcBorders>
              <w:top w:val="none" w:sz="0" w:space="0" w:color="auto"/>
              <w:bottom w:val="none" w:sz="0" w:space="0" w:color="auto"/>
            </w:tcBorders>
          </w:tcPr>
          <w:p w14:paraId="31B577E6"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w:t>
            </w:r>
          </w:p>
        </w:tc>
        <w:tc>
          <w:tcPr>
            <w:tcW w:w="1244" w:type="dxa"/>
            <w:tcBorders>
              <w:top w:val="none" w:sz="0" w:space="0" w:color="auto"/>
              <w:bottom w:val="none" w:sz="0" w:space="0" w:color="auto"/>
            </w:tcBorders>
          </w:tcPr>
          <w:p w14:paraId="19C56F06"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w:t>
            </w:r>
          </w:p>
        </w:tc>
        <w:tc>
          <w:tcPr>
            <w:tcW w:w="1244" w:type="dxa"/>
            <w:tcBorders>
              <w:top w:val="none" w:sz="0" w:space="0" w:color="auto"/>
              <w:bottom w:val="none" w:sz="0" w:space="0" w:color="auto"/>
            </w:tcBorders>
          </w:tcPr>
          <w:p w14:paraId="4641030F"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4</w:t>
            </w:r>
          </w:p>
        </w:tc>
        <w:tc>
          <w:tcPr>
            <w:tcW w:w="1244" w:type="dxa"/>
            <w:tcBorders>
              <w:top w:val="none" w:sz="0" w:space="0" w:color="auto"/>
              <w:bottom w:val="none" w:sz="0" w:space="0" w:color="auto"/>
            </w:tcBorders>
          </w:tcPr>
          <w:p w14:paraId="471F3409"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10</w:t>
            </w:r>
          </w:p>
        </w:tc>
        <w:tc>
          <w:tcPr>
            <w:tcW w:w="1257" w:type="dxa"/>
            <w:tcBorders>
              <w:top w:val="none" w:sz="0" w:space="0" w:color="auto"/>
              <w:bottom w:val="none" w:sz="0" w:space="0" w:color="auto"/>
            </w:tcBorders>
          </w:tcPr>
          <w:p w14:paraId="131C1217"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20</w:t>
            </w:r>
          </w:p>
        </w:tc>
      </w:tr>
    </w:tbl>
    <w:bookmarkEnd w:id="3"/>
    <w:p w14:paraId="0168A730" w14:textId="73D3DD0A" w:rsidR="00266D65" w:rsidRPr="00F77D86" w:rsidRDefault="00266D65" w:rsidP="00266D65">
      <w:pPr>
        <w:spacing w:after="0" w:line="240" w:lineRule="auto"/>
        <w:rPr>
          <w:rFonts w:ascii="Times New Roman" w:hAnsi="Times New Roman" w:cs="Times New Roman"/>
        </w:rPr>
      </w:pPr>
      <w:r w:rsidRPr="00F77D86">
        <w:rPr>
          <w:rFonts w:ascii="Times New Roman" w:hAnsi="Times New Roman" w:cs="Times New Roman"/>
          <w:lang w:val="id-ID"/>
        </w:rPr>
        <w:t>S</w:t>
      </w:r>
      <w:r>
        <w:rPr>
          <w:rFonts w:ascii="Times New Roman" w:hAnsi="Times New Roman" w:cs="Times New Roman"/>
          <w:lang w:val="id-ID"/>
        </w:rPr>
        <w:t>ource</w:t>
      </w:r>
      <w:r w:rsidRPr="00F77D86">
        <w:rPr>
          <w:rFonts w:ascii="Times New Roman" w:hAnsi="Times New Roman" w:cs="Times New Roman"/>
          <w:lang w:val="id-ID"/>
        </w:rPr>
        <w:t xml:space="preserve">: </w:t>
      </w:r>
      <w:r w:rsidRPr="00F77D86">
        <w:rPr>
          <w:rFonts w:ascii="Times New Roman" w:hAnsi="Times New Roman" w:cs="Times New Roman"/>
        </w:rPr>
        <w:t>Eviati (2023)</w:t>
      </w:r>
    </w:p>
    <w:p w14:paraId="26E29190" w14:textId="77777777" w:rsidR="00266D65" w:rsidRPr="00F77D86" w:rsidRDefault="00266D65" w:rsidP="00266D65">
      <w:pPr>
        <w:spacing w:after="0" w:line="240" w:lineRule="auto"/>
        <w:jc w:val="both"/>
        <w:rPr>
          <w:rFonts w:ascii="Times New Roman" w:hAnsi="Times New Roman" w:cs="Times New Roman"/>
        </w:rPr>
      </w:pPr>
      <w:bookmarkStart w:id="4" w:name="_Hlk190889076"/>
    </w:p>
    <w:bookmarkEnd w:id="4"/>
    <w:p w14:paraId="123FE142" w14:textId="1FB8B2D3" w:rsidR="00266D65" w:rsidRDefault="00266D65" w:rsidP="00266D65">
      <w:pPr>
        <w:pStyle w:val="HTMLPreformatted"/>
      </w:pPr>
      <w:r>
        <w:rPr>
          <w:rStyle w:val="y2iqfc"/>
          <w:rFonts w:eastAsiaTheme="majorEastAsia"/>
          <w:lang w:val="en"/>
        </w:rPr>
        <w:t xml:space="preserve">Table 3. Criteria for Micronutrients Cu, Zn, and Fe Using DTPA Extract </w:t>
      </w:r>
    </w:p>
    <w:tbl>
      <w:tblPr>
        <w:tblStyle w:val="PlainTable21"/>
        <w:tblW w:w="0" w:type="auto"/>
        <w:tblLook w:val="04A0" w:firstRow="1" w:lastRow="0" w:firstColumn="1" w:lastColumn="0" w:noHBand="0" w:noVBand="1"/>
      </w:tblPr>
      <w:tblGrid>
        <w:gridCol w:w="1419"/>
        <w:gridCol w:w="1704"/>
        <w:gridCol w:w="1847"/>
        <w:gridCol w:w="1768"/>
        <w:gridCol w:w="1767"/>
      </w:tblGrid>
      <w:tr w:rsidR="00266D65" w:rsidRPr="007A4266" w14:paraId="323001A0" w14:textId="77777777" w:rsidTr="00C356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top w:val="single" w:sz="4" w:space="0" w:color="auto"/>
              <w:bottom w:val="single" w:sz="4" w:space="0" w:color="auto"/>
            </w:tcBorders>
          </w:tcPr>
          <w:p w14:paraId="0D9A72B3" w14:textId="77777777" w:rsidR="00266D65" w:rsidRPr="007A4266" w:rsidRDefault="00266D65" w:rsidP="00C35656">
            <w:pPr>
              <w:jc w:val="center"/>
              <w:rPr>
                <w:rFonts w:ascii="Courier New" w:hAnsi="Courier New" w:cs="Courier New"/>
                <w:sz w:val="20"/>
                <w:szCs w:val="20"/>
              </w:rPr>
            </w:pPr>
            <w:bookmarkStart w:id="5" w:name="_Hlk190889127"/>
            <w:r w:rsidRPr="007A4266">
              <w:rPr>
                <w:rFonts w:ascii="Courier New" w:hAnsi="Courier New" w:cs="Courier New"/>
                <w:sz w:val="20"/>
                <w:szCs w:val="20"/>
              </w:rPr>
              <w:t>No.</w:t>
            </w:r>
          </w:p>
        </w:tc>
        <w:tc>
          <w:tcPr>
            <w:tcW w:w="1897" w:type="dxa"/>
            <w:tcBorders>
              <w:top w:val="single" w:sz="4" w:space="0" w:color="auto"/>
              <w:bottom w:val="single" w:sz="4" w:space="0" w:color="auto"/>
            </w:tcBorders>
          </w:tcPr>
          <w:p w14:paraId="792EFBD0" w14:textId="2334DB17"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Micro Element DTPA*</w:t>
            </w:r>
          </w:p>
        </w:tc>
        <w:tc>
          <w:tcPr>
            <w:tcW w:w="1976" w:type="dxa"/>
            <w:tcBorders>
              <w:top w:val="single" w:sz="4" w:space="0" w:color="auto"/>
              <w:bottom w:val="single" w:sz="4" w:space="0" w:color="auto"/>
            </w:tcBorders>
          </w:tcPr>
          <w:p w14:paraId="6A71E2C0" w14:textId="77777777" w:rsidR="00266D65" w:rsidRPr="007A4266" w:rsidRDefault="00266D65" w:rsidP="00266D65">
            <w:pPr>
              <w:pStyle w:val="HTMLPreformatted"/>
              <w:cnfStyle w:val="100000000000" w:firstRow="1" w:lastRow="0" w:firstColumn="0" w:lastColumn="0" w:oddVBand="0" w:evenVBand="0" w:oddHBand="0" w:evenHBand="0" w:firstRowFirstColumn="0" w:firstRowLastColumn="0" w:lastRowFirstColumn="0" w:lastRowLastColumn="0"/>
            </w:pPr>
            <w:r w:rsidRPr="007A4266">
              <w:rPr>
                <w:rStyle w:val="y2iqfc"/>
                <w:rFonts w:eastAsiaTheme="majorEastAsia"/>
                <w:lang w:val="en"/>
              </w:rPr>
              <w:t>Deficiency</w:t>
            </w:r>
          </w:p>
          <w:p w14:paraId="1A7F6302" w14:textId="17DF3E9E"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p>
        </w:tc>
        <w:tc>
          <w:tcPr>
            <w:tcW w:w="1945" w:type="dxa"/>
            <w:tcBorders>
              <w:top w:val="single" w:sz="4" w:space="0" w:color="auto"/>
              <w:bottom w:val="single" w:sz="4" w:space="0" w:color="auto"/>
            </w:tcBorders>
          </w:tcPr>
          <w:p w14:paraId="240614BA" w14:textId="77777777"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Marginal</w:t>
            </w:r>
          </w:p>
        </w:tc>
        <w:tc>
          <w:tcPr>
            <w:tcW w:w="1871" w:type="dxa"/>
            <w:tcBorders>
              <w:top w:val="single" w:sz="4" w:space="0" w:color="auto"/>
              <w:bottom w:val="single" w:sz="4" w:space="0" w:color="auto"/>
            </w:tcBorders>
          </w:tcPr>
          <w:p w14:paraId="04139CC9" w14:textId="77777777" w:rsidR="00266D65" w:rsidRPr="007A4266" w:rsidRDefault="00266D65" w:rsidP="00266D65">
            <w:pPr>
              <w:pStyle w:val="HTMLPreformatted"/>
              <w:cnfStyle w:val="100000000000" w:firstRow="1" w:lastRow="0" w:firstColumn="0" w:lastColumn="0" w:oddVBand="0" w:evenVBand="0" w:oddHBand="0" w:evenHBand="0" w:firstRowFirstColumn="0" w:firstRowLastColumn="0" w:lastRowFirstColumn="0" w:lastRowLastColumn="0"/>
            </w:pPr>
            <w:r w:rsidRPr="007A4266">
              <w:rPr>
                <w:rStyle w:val="y2iqfc"/>
                <w:rFonts w:eastAsiaTheme="majorEastAsia"/>
                <w:lang w:val="en"/>
              </w:rPr>
              <w:t>Sufficient</w:t>
            </w:r>
          </w:p>
          <w:p w14:paraId="1855E49C" w14:textId="622016B2" w:rsidR="00266D65" w:rsidRPr="007A4266" w:rsidRDefault="00266D65" w:rsidP="00C35656">
            <w:pPr>
              <w:jc w:val="center"/>
              <w:cnfStyle w:val="100000000000" w:firstRow="1" w:lastRow="0" w:firstColumn="0" w:lastColumn="0" w:oddVBand="0" w:evenVBand="0" w:oddHBand="0" w:evenHBand="0" w:firstRowFirstColumn="0" w:firstRowLastColumn="0" w:lastRowFirstColumn="0" w:lastRowLastColumn="0"/>
              <w:rPr>
                <w:rFonts w:ascii="Courier New" w:hAnsi="Courier New" w:cs="Courier New"/>
                <w:sz w:val="20"/>
                <w:szCs w:val="20"/>
              </w:rPr>
            </w:pPr>
          </w:p>
        </w:tc>
      </w:tr>
      <w:tr w:rsidR="00266D65" w:rsidRPr="007A4266" w14:paraId="5DB918AC" w14:textId="77777777" w:rsidTr="00C35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top w:val="single" w:sz="4" w:space="0" w:color="auto"/>
              <w:bottom w:val="nil"/>
            </w:tcBorders>
          </w:tcPr>
          <w:p w14:paraId="76BB1F81"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1.</w:t>
            </w:r>
          </w:p>
        </w:tc>
        <w:tc>
          <w:tcPr>
            <w:tcW w:w="1897" w:type="dxa"/>
            <w:tcBorders>
              <w:top w:val="single" w:sz="4" w:space="0" w:color="auto"/>
              <w:bottom w:val="nil"/>
            </w:tcBorders>
          </w:tcPr>
          <w:p w14:paraId="03B4838A"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Zn (ppm)</w:t>
            </w:r>
          </w:p>
        </w:tc>
        <w:tc>
          <w:tcPr>
            <w:tcW w:w="1976" w:type="dxa"/>
            <w:tcBorders>
              <w:top w:val="single" w:sz="4" w:space="0" w:color="auto"/>
              <w:bottom w:val="nil"/>
            </w:tcBorders>
          </w:tcPr>
          <w:p w14:paraId="3F26F95C"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0,5</w:t>
            </w:r>
          </w:p>
        </w:tc>
        <w:tc>
          <w:tcPr>
            <w:tcW w:w="1945" w:type="dxa"/>
            <w:tcBorders>
              <w:top w:val="single" w:sz="4" w:space="0" w:color="auto"/>
              <w:bottom w:val="nil"/>
            </w:tcBorders>
          </w:tcPr>
          <w:p w14:paraId="5539090D"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0,5 – 1,0</w:t>
            </w:r>
          </w:p>
        </w:tc>
        <w:tc>
          <w:tcPr>
            <w:tcW w:w="1871" w:type="dxa"/>
            <w:tcBorders>
              <w:top w:val="single" w:sz="4" w:space="0" w:color="auto"/>
              <w:bottom w:val="nil"/>
            </w:tcBorders>
          </w:tcPr>
          <w:p w14:paraId="081D0E45"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1,0</w:t>
            </w:r>
          </w:p>
        </w:tc>
      </w:tr>
      <w:tr w:rsidR="00266D65" w:rsidRPr="007A4266" w14:paraId="6E0C5599" w14:textId="77777777" w:rsidTr="00C35656">
        <w:tc>
          <w:tcPr>
            <w:cnfStyle w:val="001000000000" w:firstRow="0" w:lastRow="0" w:firstColumn="1" w:lastColumn="0" w:oddVBand="0" w:evenVBand="0" w:oddHBand="0" w:evenHBand="0" w:firstRowFirstColumn="0" w:firstRowLastColumn="0" w:lastRowFirstColumn="0" w:lastRowLastColumn="0"/>
            <w:tcW w:w="1671" w:type="dxa"/>
            <w:tcBorders>
              <w:top w:val="nil"/>
              <w:bottom w:val="nil"/>
            </w:tcBorders>
          </w:tcPr>
          <w:p w14:paraId="20F473C0"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2.</w:t>
            </w:r>
          </w:p>
        </w:tc>
        <w:tc>
          <w:tcPr>
            <w:tcW w:w="1897" w:type="dxa"/>
            <w:tcBorders>
              <w:top w:val="nil"/>
              <w:bottom w:val="nil"/>
            </w:tcBorders>
          </w:tcPr>
          <w:p w14:paraId="5D094A7D"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Fe (ppm)</w:t>
            </w:r>
          </w:p>
        </w:tc>
        <w:tc>
          <w:tcPr>
            <w:tcW w:w="1976" w:type="dxa"/>
            <w:tcBorders>
              <w:top w:val="nil"/>
              <w:bottom w:val="nil"/>
            </w:tcBorders>
          </w:tcPr>
          <w:p w14:paraId="487B9106"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2,5</w:t>
            </w:r>
          </w:p>
        </w:tc>
        <w:tc>
          <w:tcPr>
            <w:tcW w:w="1945" w:type="dxa"/>
            <w:tcBorders>
              <w:top w:val="nil"/>
              <w:bottom w:val="nil"/>
            </w:tcBorders>
          </w:tcPr>
          <w:p w14:paraId="4777776F"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2,5 – 4,5</w:t>
            </w:r>
          </w:p>
        </w:tc>
        <w:tc>
          <w:tcPr>
            <w:tcW w:w="1871" w:type="dxa"/>
            <w:tcBorders>
              <w:top w:val="nil"/>
              <w:bottom w:val="nil"/>
            </w:tcBorders>
          </w:tcPr>
          <w:p w14:paraId="4D2DB883"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4,5</w:t>
            </w:r>
          </w:p>
        </w:tc>
      </w:tr>
      <w:tr w:rsidR="00266D65" w:rsidRPr="007A4266" w14:paraId="66F129D5" w14:textId="77777777" w:rsidTr="00C35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tcBorders>
              <w:top w:val="nil"/>
              <w:bottom w:val="nil"/>
            </w:tcBorders>
          </w:tcPr>
          <w:p w14:paraId="6A3CD0E1"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3.</w:t>
            </w:r>
          </w:p>
        </w:tc>
        <w:tc>
          <w:tcPr>
            <w:tcW w:w="1897" w:type="dxa"/>
            <w:tcBorders>
              <w:top w:val="nil"/>
              <w:bottom w:val="nil"/>
            </w:tcBorders>
          </w:tcPr>
          <w:p w14:paraId="3A264325"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Mn (ppm)</w:t>
            </w:r>
          </w:p>
        </w:tc>
        <w:tc>
          <w:tcPr>
            <w:tcW w:w="1976" w:type="dxa"/>
            <w:tcBorders>
              <w:top w:val="nil"/>
              <w:bottom w:val="nil"/>
            </w:tcBorders>
          </w:tcPr>
          <w:p w14:paraId="68EAC27F"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1,0</w:t>
            </w:r>
          </w:p>
        </w:tc>
        <w:tc>
          <w:tcPr>
            <w:tcW w:w="1945" w:type="dxa"/>
            <w:tcBorders>
              <w:top w:val="nil"/>
              <w:bottom w:val="nil"/>
            </w:tcBorders>
          </w:tcPr>
          <w:p w14:paraId="11347D19"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w:t>
            </w:r>
          </w:p>
        </w:tc>
        <w:tc>
          <w:tcPr>
            <w:tcW w:w="1871" w:type="dxa"/>
            <w:tcBorders>
              <w:top w:val="nil"/>
              <w:bottom w:val="nil"/>
            </w:tcBorders>
          </w:tcPr>
          <w:p w14:paraId="25AFDE55" w14:textId="77777777" w:rsidR="00266D65" w:rsidRPr="007A4266" w:rsidRDefault="00266D65" w:rsidP="00C35656">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1,0</w:t>
            </w:r>
          </w:p>
        </w:tc>
      </w:tr>
      <w:tr w:rsidR="00266D65" w:rsidRPr="007A4266" w14:paraId="3DE24F4B" w14:textId="77777777" w:rsidTr="00C35656">
        <w:tc>
          <w:tcPr>
            <w:cnfStyle w:val="001000000000" w:firstRow="0" w:lastRow="0" w:firstColumn="1" w:lastColumn="0" w:oddVBand="0" w:evenVBand="0" w:oddHBand="0" w:evenHBand="0" w:firstRowFirstColumn="0" w:firstRowLastColumn="0" w:lastRowFirstColumn="0" w:lastRowLastColumn="0"/>
            <w:tcW w:w="1671" w:type="dxa"/>
            <w:tcBorders>
              <w:top w:val="nil"/>
            </w:tcBorders>
          </w:tcPr>
          <w:p w14:paraId="4CDED11B" w14:textId="77777777" w:rsidR="00266D65" w:rsidRPr="007A4266" w:rsidRDefault="00266D65" w:rsidP="00C35656">
            <w:pPr>
              <w:jc w:val="center"/>
              <w:rPr>
                <w:rFonts w:ascii="Courier New" w:hAnsi="Courier New" w:cs="Courier New"/>
                <w:sz w:val="20"/>
                <w:szCs w:val="20"/>
              </w:rPr>
            </w:pPr>
            <w:r w:rsidRPr="007A4266">
              <w:rPr>
                <w:rFonts w:ascii="Courier New" w:hAnsi="Courier New" w:cs="Courier New"/>
                <w:sz w:val="20"/>
                <w:szCs w:val="20"/>
              </w:rPr>
              <w:t>4.</w:t>
            </w:r>
          </w:p>
        </w:tc>
        <w:tc>
          <w:tcPr>
            <w:tcW w:w="1897" w:type="dxa"/>
            <w:tcBorders>
              <w:top w:val="nil"/>
            </w:tcBorders>
          </w:tcPr>
          <w:p w14:paraId="1B08D4E6"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Cu (ppm)</w:t>
            </w:r>
          </w:p>
        </w:tc>
        <w:tc>
          <w:tcPr>
            <w:tcW w:w="1976" w:type="dxa"/>
            <w:tcBorders>
              <w:top w:val="nil"/>
            </w:tcBorders>
          </w:tcPr>
          <w:p w14:paraId="3CDC3819"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0,2</w:t>
            </w:r>
          </w:p>
        </w:tc>
        <w:tc>
          <w:tcPr>
            <w:tcW w:w="1945" w:type="dxa"/>
            <w:tcBorders>
              <w:top w:val="nil"/>
            </w:tcBorders>
          </w:tcPr>
          <w:p w14:paraId="6760E7ED"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w:t>
            </w:r>
          </w:p>
        </w:tc>
        <w:tc>
          <w:tcPr>
            <w:tcW w:w="1871" w:type="dxa"/>
            <w:tcBorders>
              <w:top w:val="nil"/>
            </w:tcBorders>
          </w:tcPr>
          <w:p w14:paraId="0BAE6EEE" w14:textId="77777777" w:rsidR="00266D65" w:rsidRPr="007A4266" w:rsidRDefault="00266D65" w:rsidP="00C35656">
            <w:pPr>
              <w:jc w:val="center"/>
              <w:cnfStyle w:val="000000000000" w:firstRow="0" w:lastRow="0" w:firstColumn="0" w:lastColumn="0" w:oddVBand="0" w:evenVBand="0" w:oddHBand="0" w:evenHBand="0" w:firstRowFirstColumn="0" w:firstRowLastColumn="0" w:lastRowFirstColumn="0" w:lastRowLastColumn="0"/>
              <w:rPr>
                <w:rFonts w:ascii="Courier New" w:hAnsi="Courier New" w:cs="Courier New"/>
                <w:sz w:val="20"/>
                <w:szCs w:val="20"/>
              </w:rPr>
            </w:pPr>
            <w:r w:rsidRPr="007A4266">
              <w:rPr>
                <w:rFonts w:ascii="Courier New" w:hAnsi="Courier New" w:cs="Courier New"/>
                <w:sz w:val="20"/>
                <w:szCs w:val="20"/>
              </w:rPr>
              <w:t>0,2</w:t>
            </w:r>
          </w:p>
        </w:tc>
      </w:tr>
    </w:tbl>
    <w:bookmarkEnd w:id="5"/>
    <w:p w14:paraId="2E08B7E1" w14:textId="55706EC1" w:rsidR="00266D65" w:rsidRPr="007A4266" w:rsidRDefault="00266D65" w:rsidP="00266D65">
      <w:pPr>
        <w:spacing w:after="0" w:line="240" w:lineRule="auto"/>
        <w:contextualSpacing/>
        <w:jc w:val="both"/>
        <w:rPr>
          <w:rFonts w:ascii="Courier New" w:hAnsi="Courier New" w:cs="Courier New"/>
          <w:sz w:val="20"/>
          <w:szCs w:val="20"/>
        </w:rPr>
      </w:pPr>
      <w:r w:rsidRPr="007A4266">
        <w:rPr>
          <w:rFonts w:ascii="Courier New" w:hAnsi="Courier New" w:cs="Courier New"/>
          <w:sz w:val="20"/>
          <w:szCs w:val="20"/>
          <w:lang w:val="id-ID"/>
        </w:rPr>
        <w:t xml:space="preserve">Source: </w:t>
      </w:r>
      <w:r w:rsidRPr="007A4266">
        <w:rPr>
          <w:rFonts w:ascii="Courier New" w:hAnsi="Courier New" w:cs="Courier New"/>
          <w:sz w:val="20"/>
          <w:szCs w:val="20"/>
        </w:rPr>
        <w:t>Eviati (2023)</w:t>
      </w:r>
    </w:p>
    <w:p w14:paraId="1F82FF18" w14:textId="77777777" w:rsidR="00266D65" w:rsidRPr="00F77D86" w:rsidRDefault="00266D65" w:rsidP="00266D65">
      <w:pPr>
        <w:spacing w:after="0" w:line="240" w:lineRule="auto"/>
        <w:contextualSpacing/>
        <w:jc w:val="both"/>
        <w:rPr>
          <w:rFonts w:ascii="Times New Roman" w:hAnsi="Times New Roman" w:cs="Times New Roman"/>
        </w:rPr>
      </w:pPr>
    </w:p>
    <w:p w14:paraId="415DA6BD" w14:textId="77777777" w:rsidR="00266D65" w:rsidRPr="00266D65" w:rsidRDefault="00266D65" w:rsidP="00266D65">
      <w:pPr>
        <w:pStyle w:val="HTMLPreformatted"/>
        <w:rPr>
          <w:rStyle w:val="y2iqfc"/>
          <w:rFonts w:eastAsiaTheme="majorEastAsia"/>
          <w:b/>
          <w:bCs/>
          <w:lang w:val="en"/>
        </w:rPr>
      </w:pPr>
      <w:r w:rsidRPr="00266D65">
        <w:rPr>
          <w:rStyle w:val="y2iqfc"/>
          <w:rFonts w:eastAsiaTheme="majorEastAsia"/>
          <w:b/>
          <w:bCs/>
          <w:lang w:val="en"/>
        </w:rPr>
        <w:t>3. RESEARCH RESULTS AND DISCUSSION</w:t>
      </w:r>
    </w:p>
    <w:p w14:paraId="40D2751B" w14:textId="77777777" w:rsidR="00266D65" w:rsidRPr="00266D65" w:rsidRDefault="00266D65" w:rsidP="00266D65">
      <w:pPr>
        <w:pStyle w:val="HTMLPreformatted"/>
        <w:rPr>
          <w:rStyle w:val="y2iqfc"/>
          <w:rFonts w:eastAsiaTheme="majorEastAsia"/>
          <w:b/>
          <w:bCs/>
          <w:lang w:val="en"/>
        </w:rPr>
      </w:pPr>
      <w:r w:rsidRPr="00266D65">
        <w:rPr>
          <w:rStyle w:val="y2iqfc"/>
          <w:rFonts w:eastAsiaTheme="majorEastAsia"/>
          <w:b/>
          <w:bCs/>
          <w:lang w:val="en"/>
        </w:rPr>
        <w:t>3.1. Research Location Description</w:t>
      </w:r>
    </w:p>
    <w:p w14:paraId="405EF87B" w14:textId="6A43AF33" w:rsidR="00266D65" w:rsidRDefault="00266D65" w:rsidP="007A4266">
      <w:pPr>
        <w:pStyle w:val="HTMLPreformatted"/>
        <w:ind w:firstLine="567"/>
        <w:jc w:val="both"/>
        <w:rPr>
          <w:rStyle w:val="y2iqfc"/>
          <w:rFonts w:eastAsiaTheme="majorEastAsia"/>
          <w:lang w:val="en"/>
        </w:rPr>
      </w:pPr>
      <w:r>
        <w:rPr>
          <w:rStyle w:val="y2iqfc"/>
          <w:rFonts w:eastAsiaTheme="majorEastAsia"/>
          <w:lang w:val="en"/>
        </w:rPr>
        <w:t xml:space="preserve">This research was conducted on Jl. Muang Ilir, Lempake Village, North Samarinda District, Samarinda City, located between 0°24'13.8" South Latitude and 117°11'00.9" East Longitude. Based on field surveys and interviews with farmers, some rice fields are consistently flooded during the rainy season. These rice fields are flooded up to the irrigation line for approximately one week. The flooding is caused by high rainfall intensity and blockages at the end of the irrigation channel. The area of </w:t>
      </w:r>
      <w:r>
        <w:rPr>
          <w:rStyle w:val="y2iqfc"/>
          <w:rFonts w:ascii="Cambria Math" w:eastAsiaTheme="majorEastAsia" w:hAnsi="Cambria Math" w:cs="Cambria Math"/>
          <w:lang w:val="en"/>
        </w:rPr>
        <w:t>​​</w:t>
      </w:r>
      <w:r>
        <w:rPr>
          <w:rStyle w:val="y2iqfc"/>
          <w:rFonts w:eastAsiaTheme="majorEastAsia"/>
          <w:lang w:val="en"/>
        </w:rPr>
        <w:t>rice fields affected by the flooding is approximately 13 hectares.</w:t>
      </w:r>
    </w:p>
    <w:p w14:paraId="79693D56" w14:textId="77777777" w:rsidR="007A4266" w:rsidRDefault="007A4266" w:rsidP="007A4266">
      <w:pPr>
        <w:pStyle w:val="HTMLPreformatted"/>
        <w:ind w:firstLine="567"/>
        <w:jc w:val="both"/>
      </w:pPr>
    </w:p>
    <w:p w14:paraId="404A2FB1" w14:textId="77777777" w:rsidR="00266D65" w:rsidRPr="00266D65" w:rsidRDefault="00266D65" w:rsidP="00266D65">
      <w:pPr>
        <w:pStyle w:val="HTMLPreformatted"/>
        <w:rPr>
          <w:rStyle w:val="y2iqfc"/>
          <w:rFonts w:eastAsiaTheme="majorEastAsia"/>
          <w:b/>
          <w:bCs/>
          <w:lang w:val="en"/>
        </w:rPr>
      </w:pPr>
      <w:r w:rsidRPr="00266D65">
        <w:rPr>
          <w:rStyle w:val="y2iqfc"/>
          <w:rFonts w:eastAsiaTheme="majorEastAsia"/>
          <w:b/>
          <w:bCs/>
          <w:lang w:val="en"/>
        </w:rPr>
        <w:t>3.2. Research Results</w:t>
      </w:r>
    </w:p>
    <w:p w14:paraId="79148126" w14:textId="77777777" w:rsidR="00266D65" w:rsidRPr="00266D65" w:rsidRDefault="00266D65" w:rsidP="00266D65">
      <w:pPr>
        <w:pStyle w:val="HTMLPreformatted"/>
        <w:rPr>
          <w:rStyle w:val="y2iqfc"/>
          <w:rFonts w:eastAsiaTheme="majorEastAsia"/>
          <w:b/>
          <w:bCs/>
          <w:lang w:val="en"/>
        </w:rPr>
      </w:pPr>
      <w:r w:rsidRPr="00266D65">
        <w:rPr>
          <w:rStyle w:val="y2iqfc"/>
          <w:rFonts w:eastAsiaTheme="majorEastAsia"/>
          <w:b/>
          <w:bCs/>
          <w:lang w:val="en"/>
        </w:rPr>
        <w:t>3.2.1. Rainfall in June-July 2024</w:t>
      </w:r>
    </w:p>
    <w:p w14:paraId="22AB8591" w14:textId="5395B703" w:rsidR="00266D65" w:rsidRDefault="00266D65" w:rsidP="00266D65">
      <w:pPr>
        <w:pStyle w:val="HTMLPreformatted"/>
        <w:ind w:firstLine="567"/>
        <w:jc w:val="both"/>
        <w:rPr>
          <w:rStyle w:val="y2iqfc"/>
          <w:rFonts w:eastAsiaTheme="majorEastAsia"/>
          <w:lang w:val="en"/>
        </w:rPr>
      </w:pPr>
      <w:r>
        <w:rPr>
          <w:rStyle w:val="y2iqfc"/>
          <w:rFonts w:eastAsiaTheme="majorEastAsia"/>
          <w:lang w:val="en"/>
        </w:rPr>
        <w:t>Data on the number of rainy days from June to July 2024 are presented in Table 4.</w:t>
      </w:r>
    </w:p>
    <w:p w14:paraId="292FE1C5" w14:textId="77777777" w:rsidR="00266D65" w:rsidRDefault="00266D65" w:rsidP="00266D65">
      <w:pPr>
        <w:pStyle w:val="HTMLPreformatted"/>
      </w:pPr>
      <w:r>
        <w:rPr>
          <w:rStyle w:val="y2iqfc"/>
          <w:rFonts w:eastAsiaTheme="majorEastAsia"/>
          <w:lang w:val="en"/>
        </w:rPr>
        <w:t>Table 4. Rainfall in Lempake Village, June-July 2024</w:t>
      </w:r>
    </w:p>
    <w:tbl>
      <w:tblPr>
        <w:tblStyle w:val="TableGrid"/>
        <w:tblW w:w="0" w:type="auto"/>
        <w:jc w:val="center"/>
        <w:tblLook w:val="04A0" w:firstRow="1" w:lastRow="0" w:firstColumn="1" w:lastColumn="0" w:noHBand="0" w:noVBand="1"/>
      </w:tblPr>
      <w:tblGrid>
        <w:gridCol w:w="1994"/>
        <w:gridCol w:w="1994"/>
        <w:gridCol w:w="2177"/>
        <w:gridCol w:w="1813"/>
      </w:tblGrid>
      <w:tr w:rsidR="00266D65" w:rsidRPr="00F77D86" w14:paraId="53A926EB" w14:textId="77777777" w:rsidTr="00266D65">
        <w:trPr>
          <w:trHeight w:val="442"/>
          <w:jc w:val="center"/>
        </w:trPr>
        <w:tc>
          <w:tcPr>
            <w:tcW w:w="1994" w:type="dxa"/>
          </w:tcPr>
          <w:p w14:paraId="22EA23CD" w14:textId="7F10C7D5" w:rsidR="00266D65" w:rsidRPr="007A4266" w:rsidRDefault="007A4266" w:rsidP="00266D65">
            <w:pPr>
              <w:keepNext/>
              <w:jc w:val="center"/>
              <w:rPr>
                <w:rFonts w:ascii="Courier New" w:hAnsi="Courier New" w:cs="Courier New"/>
                <w:b/>
                <w:bCs/>
                <w:sz w:val="20"/>
                <w:szCs w:val="20"/>
              </w:rPr>
            </w:pPr>
            <w:r w:rsidRPr="007A4266">
              <w:rPr>
                <w:rFonts w:ascii="Courier New" w:hAnsi="Courier New" w:cs="Courier New"/>
                <w:b/>
                <w:bCs/>
                <w:sz w:val="20"/>
                <w:szCs w:val="20"/>
              </w:rPr>
              <w:t>Month</w:t>
            </w:r>
            <w:r w:rsidR="00266D65" w:rsidRPr="007A4266">
              <w:rPr>
                <w:rFonts w:ascii="Courier New" w:hAnsi="Courier New" w:cs="Courier New"/>
                <w:b/>
                <w:bCs/>
                <w:sz w:val="20"/>
                <w:szCs w:val="20"/>
              </w:rPr>
              <w:t xml:space="preserve"> </w:t>
            </w:r>
          </w:p>
          <w:p w14:paraId="6420C95E" w14:textId="5217ACD3" w:rsidR="00266D65" w:rsidRPr="007A4266" w:rsidRDefault="00266D65" w:rsidP="00266D65">
            <w:pPr>
              <w:keepNext/>
              <w:jc w:val="center"/>
              <w:rPr>
                <w:rFonts w:ascii="Courier New" w:hAnsi="Courier New" w:cs="Courier New"/>
                <w:b/>
                <w:bCs/>
                <w:sz w:val="20"/>
                <w:szCs w:val="20"/>
              </w:rPr>
            </w:pPr>
          </w:p>
        </w:tc>
        <w:tc>
          <w:tcPr>
            <w:tcW w:w="1994" w:type="dxa"/>
          </w:tcPr>
          <w:p w14:paraId="58DA04A5" w14:textId="2FEC9D45" w:rsidR="00266D65" w:rsidRPr="007A4266" w:rsidRDefault="00266D65" w:rsidP="00266D65">
            <w:pPr>
              <w:keepNext/>
              <w:jc w:val="center"/>
              <w:rPr>
                <w:rFonts w:ascii="Courier New" w:hAnsi="Courier New" w:cs="Courier New"/>
                <w:b/>
                <w:bCs/>
                <w:sz w:val="20"/>
                <w:szCs w:val="20"/>
              </w:rPr>
            </w:pPr>
            <w:r w:rsidRPr="007A4266">
              <w:rPr>
                <w:rStyle w:val="y2iqfc"/>
                <w:rFonts w:ascii="Courier New" w:hAnsi="Courier New" w:cs="Courier New"/>
                <w:sz w:val="20"/>
                <w:szCs w:val="20"/>
                <w:lang w:val="en"/>
              </w:rPr>
              <w:t xml:space="preserve">Rainfall (mm) </w:t>
            </w:r>
          </w:p>
        </w:tc>
        <w:tc>
          <w:tcPr>
            <w:tcW w:w="2177" w:type="dxa"/>
          </w:tcPr>
          <w:p w14:paraId="3EF1248E" w14:textId="577D8A2D" w:rsidR="00266D65" w:rsidRPr="007A4266" w:rsidRDefault="00266D65" w:rsidP="00266D65">
            <w:pPr>
              <w:keepNext/>
              <w:jc w:val="center"/>
              <w:rPr>
                <w:rFonts w:ascii="Courier New" w:hAnsi="Courier New" w:cs="Courier New"/>
                <w:b/>
                <w:bCs/>
                <w:sz w:val="20"/>
                <w:szCs w:val="20"/>
              </w:rPr>
            </w:pPr>
            <w:r w:rsidRPr="007A4266">
              <w:rPr>
                <w:rStyle w:val="y2iqfc"/>
                <w:rFonts w:ascii="Courier New" w:hAnsi="Courier New" w:cs="Courier New"/>
                <w:sz w:val="20"/>
                <w:szCs w:val="20"/>
                <w:lang w:val="en"/>
              </w:rPr>
              <w:t xml:space="preserve">Max Rainfall (mm) </w:t>
            </w:r>
          </w:p>
        </w:tc>
        <w:tc>
          <w:tcPr>
            <w:tcW w:w="1813" w:type="dxa"/>
          </w:tcPr>
          <w:p w14:paraId="441423AB" w14:textId="062AC761" w:rsidR="00266D65" w:rsidRPr="007A4266" w:rsidRDefault="00266D65" w:rsidP="00266D65">
            <w:pPr>
              <w:keepNext/>
              <w:jc w:val="center"/>
              <w:rPr>
                <w:rFonts w:ascii="Courier New" w:hAnsi="Courier New" w:cs="Courier New"/>
                <w:b/>
                <w:bCs/>
                <w:sz w:val="20"/>
                <w:szCs w:val="20"/>
              </w:rPr>
            </w:pPr>
            <w:r w:rsidRPr="007A4266">
              <w:rPr>
                <w:rStyle w:val="y2iqfc"/>
                <w:rFonts w:ascii="Courier New" w:hAnsi="Courier New" w:cs="Courier New"/>
                <w:sz w:val="20"/>
                <w:szCs w:val="20"/>
                <w:lang w:val="en"/>
              </w:rPr>
              <w:t>Rainy Days (days)</w:t>
            </w:r>
          </w:p>
        </w:tc>
      </w:tr>
      <w:tr w:rsidR="00266D65" w:rsidRPr="00F77D86" w14:paraId="689FEB48" w14:textId="77777777" w:rsidTr="00266D65">
        <w:trPr>
          <w:trHeight w:val="430"/>
          <w:jc w:val="center"/>
        </w:trPr>
        <w:tc>
          <w:tcPr>
            <w:tcW w:w="1994" w:type="dxa"/>
          </w:tcPr>
          <w:p w14:paraId="1B46F05F" w14:textId="414BAB54"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Jun</w:t>
            </w:r>
            <w:r w:rsidR="007A4266">
              <w:rPr>
                <w:rFonts w:ascii="Courier New" w:hAnsi="Courier New" w:cs="Courier New"/>
                <w:sz w:val="20"/>
                <w:szCs w:val="20"/>
              </w:rPr>
              <w:t>e</w:t>
            </w:r>
            <w:r w:rsidRPr="007A4266">
              <w:rPr>
                <w:rFonts w:ascii="Courier New" w:hAnsi="Courier New" w:cs="Courier New"/>
                <w:sz w:val="20"/>
                <w:szCs w:val="20"/>
              </w:rPr>
              <w:t xml:space="preserve"> 2024</w:t>
            </w:r>
          </w:p>
        </w:tc>
        <w:tc>
          <w:tcPr>
            <w:tcW w:w="1994" w:type="dxa"/>
          </w:tcPr>
          <w:p w14:paraId="0B802EAD" w14:textId="507F8239"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209.5</w:t>
            </w:r>
          </w:p>
        </w:tc>
        <w:tc>
          <w:tcPr>
            <w:tcW w:w="2177" w:type="dxa"/>
          </w:tcPr>
          <w:p w14:paraId="4F8B653C" w14:textId="78FABBAC"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44.0</w:t>
            </w:r>
          </w:p>
        </w:tc>
        <w:tc>
          <w:tcPr>
            <w:tcW w:w="1813" w:type="dxa"/>
          </w:tcPr>
          <w:p w14:paraId="31B78617" w14:textId="1C0394BE"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 xml:space="preserve">27 </w:t>
            </w:r>
          </w:p>
        </w:tc>
      </w:tr>
      <w:tr w:rsidR="00266D65" w:rsidRPr="00F77D86" w14:paraId="2DB14AEA" w14:textId="77777777" w:rsidTr="00266D65">
        <w:trPr>
          <w:trHeight w:val="442"/>
          <w:jc w:val="center"/>
        </w:trPr>
        <w:tc>
          <w:tcPr>
            <w:tcW w:w="1994" w:type="dxa"/>
          </w:tcPr>
          <w:p w14:paraId="5A121B92" w14:textId="6EEB7B63"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Jul</w:t>
            </w:r>
            <w:r w:rsidR="007A4266">
              <w:rPr>
                <w:rFonts w:ascii="Courier New" w:hAnsi="Courier New" w:cs="Courier New"/>
                <w:sz w:val="20"/>
                <w:szCs w:val="20"/>
              </w:rPr>
              <w:t>y</w:t>
            </w:r>
            <w:r w:rsidRPr="007A4266">
              <w:rPr>
                <w:rFonts w:ascii="Courier New" w:hAnsi="Courier New" w:cs="Courier New"/>
                <w:sz w:val="20"/>
                <w:szCs w:val="20"/>
              </w:rPr>
              <w:t xml:space="preserve"> 2024</w:t>
            </w:r>
          </w:p>
        </w:tc>
        <w:tc>
          <w:tcPr>
            <w:tcW w:w="1994" w:type="dxa"/>
          </w:tcPr>
          <w:p w14:paraId="03B897E5" w14:textId="167A521F"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171.3</w:t>
            </w:r>
          </w:p>
        </w:tc>
        <w:tc>
          <w:tcPr>
            <w:tcW w:w="2177" w:type="dxa"/>
          </w:tcPr>
          <w:p w14:paraId="5BA7D63A" w14:textId="066AA3CB"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79.7</w:t>
            </w:r>
          </w:p>
        </w:tc>
        <w:tc>
          <w:tcPr>
            <w:tcW w:w="1813" w:type="dxa"/>
          </w:tcPr>
          <w:p w14:paraId="50D24516" w14:textId="5C08A698" w:rsidR="00266D65" w:rsidRPr="007A4266" w:rsidRDefault="00266D65" w:rsidP="00C35656">
            <w:pPr>
              <w:keepNext/>
              <w:jc w:val="center"/>
              <w:rPr>
                <w:rFonts w:ascii="Courier New" w:hAnsi="Courier New" w:cs="Courier New"/>
                <w:sz w:val="20"/>
                <w:szCs w:val="20"/>
              </w:rPr>
            </w:pPr>
            <w:r w:rsidRPr="007A4266">
              <w:rPr>
                <w:rFonts w:ascii="Courier New" w:hAnsi="Courier New" w:cs="Courier New"/>
                <w:sz w:val="20"/>
                <w:szCs w:val="20"/>
              </w:rPr>
              <w:t xml:space="preserve">17 </w:t>
            </w:r>
          </w:p>
        </w:tc>
      </w:tr>
    </w:tbl>
    <w:p w14:paraId="5ED5572D" w14:textId="77777777" w:rsidR="00266D65" w:rsidRDefault="00266D65" w:rsidP="00266D65">
      <w:pPr>
        <w:pStyle w:val="HTMLPreformatted"/>
        <w:rPr>
          <w:rStyle w:val="y2iqfc"/>
          <w:rFonts w:eastAsiaTheme="majorEastAsia"/>
          <w:lang w:val="en"/>
        </w:rPr>
      </w:pPr>
      <w:r>
        <w:rPr>
          <w:rStyle w:val="y2iqfc"/>
          <w:rFonts w:eastAsiaTheme="majorEastAsia"/>
          <w:lang w:val="en"/>
        </w:rPr>
        <w:t>Source: Meteorology, Climatology, and Geophysics Agency 2024</w:t>
      </w:r>
    </w:p>
    <w:p w14:paraId="397E5129" w14:textId="77777777" w:rsidR="00266D65" w:rsidRDefault="00266D65" w:rsidP="00266D65">
      <w:pPr>
        <w:pStyle w:val="HTMLPreformatted"/>
        <w:rPr>
          <w:rStyle w:val="y2iqfc"/>
          <w:rFonts w:eastAsiaTheme="majorEastAsia"/>
          <w:lang w:val="en"/>
        </w:rPr>
      </w:pPr>
    </w:p>
    <w:p w14:paraId="3DFC5661" w14:textId="77777777" w:rsidR="00266D65" w:rsidRDefault="00266D65" w:rsidP="00266D65">
      <w:pPr>
        <w:pStyle w:val="HTMLPreformatted"/>
        <w:ind w:firstLine="567"/>
        <w:jc w:val="both"/>
      </w:pPr>
      <w:r>
        <w:rPr>
          <w:rStyle w:val="y2iqfc"/>
          <w:rFonts w:eastAsiaTheme="majorEastAsia"/>
          <w:lang w:val="en"/>
        </w:rPr>
        <w:t>Table 4 shows that June and July recorded rainfall of 209.5 mm and 171.3 mm, with maximum rainfall of 44 mm and 79.7 mm, respectively. Local weather conditions in the Samarinda region during June 2024 generally showed variable wind direction, with dominant winds blowing from the west and southwest, with wind speeds typically ranging from 1 to 3 knots. The average duration of sunshine in June 2024 was 2.8 hours, and the average evaporation rate was 2.6 mm. Generally, significant weather events in June 2024 were dominated by mist, fog, and rain. The drought index in June 2024 was generally in the low to moderate category.</w:t>
      </w:r>
    </w:p>
    <w:p w14:paraId="185A2271" w14:textId="77777777" w:rsidR="00266D65" w:rsidRDefault="00266D65" w:rsidP="00471EF4">
      <w:pPr>
        <w:jc w:val="both"/>
      </w:pPr>
    </w:p>
    <w:p w14:paraId="6A170C96" w14:textId="77777777" w:rsidR="00266D65" w:rsidRDefault="00266D65" w:rsidP="00471EF4">
      <w:pPr>
        <w:jc w:val="both"/>
      </w:pPr>
    </w:p>
    <w:p w14:paraId="65F12FCB" w14:textId="77777777" w:rsidR="00266D65" w:rsidRDefault="00266D65" w:rsidP="00266D65">
      <w:pPr>
        <w:jc w:val="center"/>
      </w:pPr>
    </w:p>
    <w:p w14:paraId="7C7C0A7E" w14:textId="1370B58A" w:rsidR="00266D65" w:rsidRDefault="00266D65" w:rsidP="00266D65">
      <w:pPr>
        <w:jc w:val="center"/>
      </w:pPr>
      <w:r w:rsidRPr="00F77D86">
        <w:rPr>
          <w:rFonts w:ascii="Times New Roman" w:hAnsi="Times New Roman" w:cs="Times New Roman"/>
          <w:noProof/>
        </w:rPr>
        <w:drawing>
          <wp:inline distT="0" distB="0" distL="0" distR="0" wp14:anchorId="77D620DB" wp14:editId="6CB77B20">
            <wp:extent cx="3812345" cy="22491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869829" cy="2283065"/>
                    </a:xfrm>
                    <a:prstGeom prst="rect">
                      <a:avLst/>
                    </a:prstGeom>
                  </pic:spPr>
                </pic:pic>
              </a:graphicData>
            </a:graphic>
          </wp:inline>
        </w:drawing>
      </w:r>
    </w:p>
    <w:p w14:paraId="02D3F4BB" w14:textId="201EA5D5" w:rsidR="00266D65" w:rsidRDefault="00266D65" w:rsidP="00266D65">
      <w:pPr>
        <w:pStyle w:val="HTMLPreformatted"/>
        <w:jc w:val="center"/>
        <w:rPr>
          <w:rStyle w:val="y2iqfc"/>
          <w:rFonts w:eastAsiaTheme="majorEastAsia"/>
          <w:lang w:val="en"/>
        </w:rPr>
      </w:pPr>
      <w:r>
        <w:rPr>
          <w:rStyle w:val="y2iqfc"/>
          <w:rFonts w:eastAsiaTheme="majorEastAsia"/>
          <w:lang w:val="en"/>
        </w:rPr>
        <w:t>Figure 1. Rainfall Data in Lempake Village, June 2024</w:t>
      </w:r>
    </w:p>
    <w:p w14:paraId="186060C9" w14:textId="77777777" w:rsidR="00266D65" w:rsidRDefault="00266D65" w:rsidP="00266D65">
      <w:pPr>
        <w:pStyle w:val="HTMLPreformatted"/>
        <w:rPr>
          <w:rStyle w:val="y2iqfc"/>
          <w:rFonts w:eastAsiaTheme="majorEastAsia"/>
          <w:lang w:val="en"/>
        </w:rPr>
      </w:pPr>
    </w:p>
    <w:p w14:paraId="2CE51332" w14:textId="6B1E42D2" w:rsidR="00266D65" w:rsidRDefault="00266D65" w:rsidP="00266D65">
      <w:pPr>
        <w:pStyle w:val="HTMLPreformatted"/>
        <w:jc w:val="center"/>
      </w:pPr>
      <w:r w:rsidRPr="00F77D86">
        <w:rPr>
          <w:rFonts w:ascii="Times New Roman" w:hAnsi="Times New Roman" w:cs="Times New Roman"/>
          <w:noProof/>
        </w:rPr>
        <w:drawing>
          <wp:inline distT="0" distB="0" distL="0" distR="0" wp14:anchorId="02F67472" wp14:editId="43DDDA28">
            <wp:extent cx="3812400" cy="226137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12400" cy="2261372"/>
                    </a:xfrm>
                    <a:prstGeom prst="rect">
                      <a:avLst/>
                    </a:prstGeom>
                  </pic:spPr>
                </pic:pic>
              </a:graphicData>
            </a:graphic>
          </wp:inline>
        </w:drawing>
      </w:r>
    </w:p>
    <w:p w14:paraId="53696B97" w14:textId="1018CF4E" w:rsidR="00266D65" w:rsidRDefault="00266D65" w:rsidP="00266D65">
      <w:pPr>
        <w:pStyle w:val="HTMLPreformatted"/>
        <w:jc w:val="center"/>
        <w:rPr>
          <w:rStyle w:val="y2iqfc"/>
          <w:rFonts w:eastAsiaTheme="majorEastAsia"/>
          <w:lang w:val="en"/>
        </w:rPr>
      </w:pPr>
      <w:r>
        <w:rPr>
          <w:rStyle w:val="y2iqfc"/>
          <w:rFonts w:eastAsiaTheme="majorEastAsia"/>
          <w:lang w:val="en"/>
        </w:rPr>
        <w:t>Figure 2. Rainfall Data in Lempake Village, July 2024</w:t>
      </w:r>
    </w:p>
    <w:p w14:paraId="40336E72" w14:textId="77777777" w:rsidR="00266D65" w:rsidRDefault="00266D65" w:rsidP="00266D65">
      <w:pPr>
        <w:pStyle w:val="HTMLPreformatted"/>
        <w:rPr>
          <w:rStyle w:val="y2iqfc"/>
          <w:rFonts w:eastAsiaTheme="majorEastAsia"/>
          <w:lang w:val="en"/>
        </w:rPr>
      </w:pPr>
    </w:p>
    <w:p w14:paraId="75179ADD" w14:textId="167CF280" w:rsidR="00253BC2" w:rsidRDefault="00253BC2" w:rsidP="00253BC2">
      <w:pPr>
        <w:pStyle w:val="HTMLPreformatted"/>
        <w:ind w:firstLine="567"/>
        <w:jc w:val="both"/>
        <w:rPr>
          <w:rStyle w:val="y2iqfc"/>
          <w:rFonts w:eastAsiaTheme="majorEastAsia"/>
          <w:lang w:val="en"/>
        </w:rPr>
      </w:pPr>
      <w:r>
        <w:rPr>
          <w:rStyle w:val="y2iqfc"/>
          <w:rFonts w:eastAsiaTheme="majorEastAsia"/>
          <w:lang w:val="en"/>
        </w:rPr>
        <w:t>Local weather conditions in the Samarinda region during July 2024 generally showed variable wind direction, with dominant winds blowing from the southwest, west, and north, with wind speeds ranging from 1 to 3 knots. Rainfall in July 2024 in Lempake reached 171.3 mm. The average temperature in July 2024 in Samarinda was 27.8ºC, with an average humidity of 87%. The average duration of sunshine in July 2024 was 3.4 hours, and the average evaporation rate was 3.0 mm. Generally, significant weather in July 2024 was dominated by rain.</w:t>
      </w:r>
    </w:p>
    <w:p w14:paraId="6672D02B" w14:textId="408979EF" w:rsidR="00266D65" w:rsidRDefault="00266D65" w:rsidP="00266D65">
      <w:pPr>
        <w:pStyle w:val="HTMLPreformatted"/>
        <w:ind w:firstLine="567"/>
        <w:jc w:val="both"/>
      </w:pPr>
      <w:r>
        <w:rPr>
          <w:rStyle w:val="y2iqfc"/>
          <w:rFonts w:eastAsiaTheme="majorEastAsia"/>
          <w:lang w:val="en"/>
        </w:rPr>
        <w:t>Based on Mohr's climate classification, June and July 2024 in Lempake were wet months, with rainfall exceeding 100 mm. Wet months with high rainfall can cause flooding due to inadequate soil absorption. Flooding is closely related to soil absorption capacity, so land use factors also influence flood potential.</w:t>
      </w:r>
    </w:p>
    <w:p w14:paraId="2F1FC106" w14:textId="77777777" w:rsidR="00253BC2" w:rsidRDefault="00253BC2" w:rsidP="00253BC2">
      <w:pPr>
        <w:pStyle w:val="HTMLPreformatted"/>
        <w:rPr>
          <w:rStyle w:val="y2iqfc"/>
          <w:rFonts w:eastAsiaTheme="majorEastAsia"/>
          <w:b/>
          <w:bCs/>
          <w:lang w:val="en"/>
        </w:rPr>
      </w:pPr>
    </w:p>
    <w:p w14:paraId="79B050BB" w14:textId="727289DC"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3.2.2. Soil Nutrient Analysis</w:t>
      </w:r>
    </w:p>
    <w:p w14:paraId="7C161B87" w14:textId="08B3A1D0" w:rsidR="00253BC2" w:rsidRDefault="00253BC2" w:rsidP="00253BC2">
      <w:pPr>
        <w:pStyle w:val="HTMLPreformatted"/>
        <w:jc w:val="both"/>
        <w:rPr>
          <w:rStyle w:val="y2iqfc"/>
          <w:rFonts w:eastAsiaTheme="majorEastAsia"/>
          <w:lang w:val="en"/>
        </w:rPr>
      </w:pPr>
      <w:r>
        <w:rPr>
          <w:rStyle w:val="y2iqfc"/>
          <w:rFonts w:eastAsiaTheme="majorEastAsia"/>
          <w:lang w:val="en"/>
        </w:rPr>
        <w:t>Soil analysis included macro and micro nutrients, such as Total N, NO</w:t>
      </w:r>
      <w:r w:rsidRPr="00253BC2">
        <w:rPr>
          <w:rStyle w:val="y2iqfc"/>
          <w:rFonts w:eastAsiaTheme="majorEastAsia"/>
          <w:vertAlign w:val="subscript"/>
          <w:lang w:val="en"/>
        </w:rPr>
        <w:t>3</w:t>
      </w:r>
      <w:r>
        <w:rPr>
          <w:rStyle w:val="y2iqfc"/>
          <w:rFonts w:eastAsiaTheme="majorEastAsia"/>
          <w:lang w:val="en"/>
        </w:rPr>
        <w:t>-, NH</w:t>
      </w:r>
      <w:r w:rsidRPr="00253BC2">
        <w:rPr>
          <w:rStyle w:val="y2iqfc"/>
          <w:rFonts w:eastAsiaTheme="majorEastAsia"/>
          <w:vertAlign w:val="subscript"/>
          <w:lang w:val="en"/>
        </w:rPr>
        <w:t>4</w:t>
      </w:r>
      <w:r>
        <w:rPr>
          <w:rStyle w:val="y2iqfc"/>
          <w:rFonts w:eastAsiaTheme="majorEastAsia"/>
          <w:lang w:val="en"/>
        </w:rPr>
        <w:t>+, Available K</w:t>
      </w:r>
      <w:r w:rsidRPr="00253BC2">
        <w:rPr>
          <w:rStyle w:val="y2iqfc"/>
          <w:rFonts w:eastAsiaTheme="majorEastAsia"/>
          <w:vertAlign w:val="subscript"/>
          <w:lang w:val="en"/>
        </w:rPr>
        <w:t>2</w:t>
      </w:r>
      <w:r>
        <w:rPr>
          <w:rStyle w:val="y2iqfc"/>
          <w:rFonts w:eastAsiaTheme="majorEastAsia"/>
          <w:lang w:val="en"/>
        </w:rPr>
        <w:t>O, and Cu, as well as soil pH. The results of the rice field soil analysis before and after flooding are presented in Tables 5 and 6.</w:t>
      </w:r>
    </w:p>
    <w:p w14:paraId="1054CDEB" w14:textId="77777777" w:rsidR="00253BC2" w:rsidRDefault="00253BC2" w:rsidP="00253BC2">
      <w:pPr>
        <w:pStyle w:val="HTMLPreformatted"/>
        <w:rPr>
          <w:rStyle w:val="y2iqfc"/>
          <w:rFonts w:eastAsiaTheme="majorEastAsia"/>
          <w:lang w:val="en"/>
        </w:rPr>
      </w:pPr>
    </w:p>
    <w:p w14:paraId="772B0526" w14:textId="6E5364F4" w:rsidR="00253BC2" w:rsidRDefault="00253BC2" w:rsidP="00253BC2">
      <w:pPr>
        <w:pStyle w:val="HTMLPreformatted"/>
        <w:rPr>
          <w:rStyle w:val="y2iqfc"/>
          <w:rFonts w:eastAsiaTheme="majorEastAsia"/>
          <w:lang w:val="en"/>
        </w:rPr>
      </w:pPr>
      <w:r>
        <w:rPr>
          <w:rStyle w:val="y2iqfc"/>
          <w:rFonts w:eastAsiaTheme="majorEastAsia"/>
          <w:lang w:val="en"/>
        </w:rPr>
        <w:lastRenderedPageBreak/>
        <w:t>Table 5. Soil Analysis Before Flooding</w:t>
      </w:r>
    </w:p>
    <w:tbl>
      <w:tblPr>
        <w:tblStyle w:val="PlainTable21"/>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57"/>
        <w:gridCol w:w="903"/>
        <w:gridCol w:w="1276"/>
        <w:gridCol w:w="1984"/>
      </w:tblGrid>
      <w:tr w:rsidR="00253BC2" w:rsidRPr="00F77D86" w14:paraId="50652BB7" w14:textId="77777777" w:rsidTr="007A4266">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85" w:type="dxa"/>
            <w:tcBorders>
              <w:bottom w:val="none" w:sz="0" w:space="0" w:color="auto"/>
            </w:tcBorders>
          </w:tcPr>
          <w:p w14:paraId="2B3AB971" w14:textId="54D2FAE8" w:rsidR="00253BC2" w:rsidRPr="007A4266" w:rsidRDefault="00253BC2" w:rsidP="00253BC2">
            <w:pPr>
              <w:jc w:val="both"/>
              <w:rPr>
                <w:rFonts w:ascii="Courier New" w:hAnsi="Courier New" w:cs="Courier New"/>
                <w:b w:val="0"/>
                <w:bCs w:val="0"/>
                <w:sz w:val="18"/>
                <w:szCs w:val="18"/>
              </w:rPr>
            </w:pPr>
            <w:bookmarkStart w:id="6" w:name="_Hlk179315336"/>
            <w:r w:rsidRPr="007A4266">
              <w:rPr>
                <w:rStyle w:val="y2iqfc"/>
                <w:rFonts w:ascii="Courier New" w:hAnsi="Courier New" w:cs="Courier New"/>
                <w:sz w:val="18"/>
                <w:szCs w:val="18"/>
                <w:lang w:val="en"/>
              </w:rPr>
              <w:t xml:space="preserve">Sample Code </w:t>
            </w:r>
          </w:p>
        </w:tc>
        <w:tc>
          <w:tcPr>
            <w:tcW w:w="2357" w:type="dxa"/>
            <w:tcBorders>
              <w:bottom w:val="none" w:sz="0" w:space="0" w:color="auto"/>
            </w:tcBorders>
          </w:tcPr>
          <w:p w14:paraId="06E8E039" w14:textId="6B73D442"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Parameter </w:t>
            </w:r>
          </w:p>
        </w:tc>
        <w:tc>
          <w:tcPr>
            <w:tcW w:w="903" w:type="dxa"/>
            <w:tcBorders>
              <w:bottom w:val="none" w:sz="0" w:space="0" w:color="auto"/>
            </w:tcBorders>
          </w:tcPr>
          <w:p w14:paraId="2EEE98B7" w14:textId="7DA2BC58"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Unit  </w:t>
            </w:r>
          </w:p>
        </w:tc>
        <w:tc>
          <w:tcPr>
            <w:tcW w:w="1276" w:type="dxa"/>
            <w:tcBorders>
              <w:bottom w:val="none" w:sz="0" w:space="0" w:color="auto"/>
            </w:tcBorders>
          </w:tcPr>
          <w:p w14:paraId="12656C31" w14:textId="635FB2E5"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Result </w:t>
            </w:r>
          </w:p>
        </w:tc>
        <w:tc>
          <w:tcPr>
            <w:tcW w:w="1984" w:type="dxa"/>
            <w:tcBorders>
              <w:bottom w:val="none" w:sz="0" w:space="0" w:color="auto"/>
            </w:tcBorders>
          </w:tcPr>
          <w:p w14:paraId="57F440C2" w14:textId="695ED9F9"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Criteria</w:t>
            </w:r>
          </w:p>
        </w:tc>
      </w:tr>
      <w:tr w:rsidR="007A4266" w:rsidRPr="00F77D86" w14:paraId="1031AC80" w14:textId="77777777" w:rsidTr="007A4266">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985" w:type="dxa"/>
            <w:vMerge w:val="restart"/>
          </w:tcPr>
          <w:p w14:paraId="544AF222" w14:textId="77777777" w:rsidR="00253BC2" w:rsidRPr="007A4266" w:rsidRDefault="00253BC2" w:rsidP="00C35656">
            <w:pPr>
              <w:jc w:val="both"/>
              <w:rPr>
                <w:rFonts w:ascii="Courier New" w:hAnsi="Courier New" w:cs="Courier New"/>
                <w:sz w:val="18"/>
                <w:szCs w:val="18"/>
              </w:rPr>
            </w:pPr>
          </w:p>
          <w:p w14:paraId="5A37D658" w14:textId="77777777" w:rsidR="00253BC2" w:rsidRPr="007A4266" w:rsidRDefault="00253BC2" w:rsidP="00C35656">
            <w:pPr>
              <w:jc w:val="both"/>
              <w:rPr>
                <w:rFonts w:ascii="Courier New" w:hAnsi="Courier New" w:cs="Courier New"/>
                <w:sz w:val="18"/>
                <w:szCs w:val="18"/>
              </w:rPr>
            </w:pPr>
          </w:p>
          <w:p w14:paraId="2B26DF90" w14:textId="77777777" w:rsidR="00253BC2" w:rsidRPr="007A4266" w:rsidRDefault="00253BC2" w:rsidP="00C35656">
            <w:pPr>
              <w:jc w:val="both"/>
              <w:rPr>
                <w:rFonts w:ascii="Courier New" w:hAnsi="Courier New" w:cs="Courier New"/>
                <w:sz w:val="18"/>
                <w:szCs w:val="18"/>
              </w:rPr>
            </w:pPr>
          </w:p>
          <w:p w14:paraId="0D5B58E1" w14:textId="6D4436AC" w:rsidR="00253BC2" w:rsidRPr="007A4266" w:rsidRDefault="00253BC2" w:rsidP="00C35656">
            <w:pPr>
              <w:jc w:val="both"/>
              <w:rPr>
                <w:rFonts w:ascii="Courier New" w:hAnsi="Courier New" w:cs="Courier New"/>
                <w:sz w:val="18"/>
                <w:szCs w:val="18"/>
              </w:rPr>
            </w:pPr>
            <w:r w:rsidRPr="007A4266">
              <w:rPr>
                <w:rFonts w:ascii="Courier New" w:hAnsi="Courier New" w:cs="Courier New"/>
                <w:sz w:val="18"/>
                <w:szCs w:val="18"/>
              </w:rPr>
              <w:t>Before Flooding</w:t>
            </w:r>
          </w:p>
        </w:tc>
        <w:tc>
          <w:tcPr>
            <w:tcW w:w="2357" w:type="dxa"/>
          </w:tcPr>
          <w:p w14:paraId="046D60BF"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pH</w:t>
            </w:r>
          </w:p>
        </w:tc>
        <w:tc>
          <w:tcPr>
            <w:tcW w:w="903" w:type="dxa"/>
          </w:tcPr>
          <w:p w14:paraId="73252AEB"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w:t>
            </w:r>
          </w:p>
        </w:tc>
        <w:tc>
          <w:tcPr>
            <w:tcW w:w="1276" w:type="dxa"/>
          </w:tcPr>
          <w:p w14:paraId="73EC67AA"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3,02</w:t>
            </w:r>
          </w:p>
        </w:tc>
        <w:tc>
          <w:tcPr>
            <w:tcW w:w="1984" w:type="dxa"/>
          </w:tcPr>
          <w:p w14:paraId="4F51CCFC" w14:textId="0EAAED56"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Very acidic</w:t>
            </w:r>
          </w:p>
        </w:tc>
      </w:tr>
      <w:tr w:rsidR="007A4266" w:rsidRPr="00F77D86" w14:paraId="29CC7859" w14:textId="77777777" w:rsidTr="007A4266">
        <w:trPr>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5CB372E1" w14:textId="77777777" w:rsidR="00253BC2" w:rsidRPr="007A4266" w:rsidRDefault="00253BC2" w:rsidP="00C35656">
            <w:pPr>
              <w:jc w:val="both"/>
              <w:rPr>
                <w:rFonts w:ascii="Courier New" w:hAnsi="Courier New" w:cs="Courier New"/>
                <w:sz w:val="18"/>
                <w:szCs w:val="18"/>
              </w:rPr>
            </w:pPr>
          </w:p>
        </w:tc>
        <w:tc>
          <w:tcPr>
            <w:tcW w:w="2357" w:type="dxa"/>
          </w:tcPr>
          <w:p w14:paraId="6B4B0D68"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N-Total</w:t>
            </w:r>
          </w:p>
        </w:tc>
        <w:tc>
          <w:tcPr>
            <w:tcW w:w="903" w:type="dxa"/>
          </w:tcPr>
          <w:p w14:paraId="394E4FA9"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w:t>
            </w:r>
          </w:p>
        </w:tc>
        <w:tc>
          <w:tcPr>
            <w:tcW w:w="1276" w:type="dxa"/>
          </w:tcPr>
          <w:p w14:paraId="0C52CA0F"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0,16</w:t>
            </w:r>
          </w:p>
        </w:tc>
        <w:tc>
          <w:tcPr>
            <w:tcW w:w="1984" w:type="dxa"/>
          </w:tcPr>
          <w:p w14:paraId="5F1E55BF" w14:textId="71FFEFF3"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Low</w:t>
            </w:r>
          </w:p>
        </w:tc>
      </w:tr>
      <w:tr w:rsidR="007A4266" w:rsidRPr="00F77D86" w14:paraId="28CEB601" w14:textId="77777777" w:rsidTr="007A426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2431C0C1" w14:textId="77777777" w:rsidR="00253BC2" w:rsidRPr="007A4266" w:rsidRDefault="00253BC2" w:rsidP="00C35656">
            <w:pPr>
              <w:jc w:val="both"/>
              <w:rPr>
                <w:rFonts w:ascii="Courier New" w:hAnsi="Courier New" w:cs="Courier New"/>
                <w:sz w:val="18"/>
                <w:szCs w:val="18"/>
              </w:rPr>
            </w:pPr>
          </w:p>
        </w:tc>
        <w:tc>
          <w:tcPr>
            <w:tcW w:w="2357" w:type="dxa"/>
          </w:tcPr>
          <w:p w14:paraId="23BC7E76"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vertAlign w:val="subscript"/>
              </w:rPr>
            </w:pPr>
            <w:r w:rsidRPr="007A4266">
              <w:rPr>
                <w:rFonts w:ascii="Courier New" w:hAnsi="Courier New" w:cs="Courier New"/>
                <w:sz w:val="18"/>
                <w:szCs w:val="18"/>
              </w:rPr>
              <w:t>NO</w:t>
            </w:r>
            <w:r w:rsidRPr="007A4266">
              <w:rPr>
                <w:rFonts w:ascii="Courier New" w:hAnsi="Courier New" w:cs="Courier New"/>
                <w:sz w:val="18"/>
                <w:szCs w:val="18"/>
                <w:vertAlign w:val="subscript"/>
              </w:rPr>
              <w:t>3</w:t>
            </w:r>
          </w:p>
        </w:tc>
        <w:tc>
          <w:tcPr>
            <w:tcW w:w="903" w:type="dxa"/>
          </w:tcPr>
          <w:p w14:paraId="114C4040" w14:textId="097CEC9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35498063"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4,57</w:t>
            </w:r>
          </w:p>
        </w:tc>
        <w:tc>
          <w:tcPr>
            <w:tcW w:w="1984" w:type="dxa"/>
          </w:tcPr>
          <w:p w14:paraId="5FCF2516" w14:textId="7C09452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Medium</w:t>
            </w:r>
          </w:p>
        </w:tc>
      </w:tr>
      <w:tr w:rsidR="007A4266" w:rsidRPr="00F77D86" w14:paraId="1CEE134E" w14:textId="77777777" w:rsidTr="007A4266">
        <w:trPr>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1D290541" w14:textId="77777777" w:rsidR="00253BC2" w:rsidRPr="007A4266" w:rsidRDefault="00253BC2" w:rsidP="00C35656">
            <w:pPr>
              <w:jc w:val="both"/>
              <w:rPr>
                <w:rFonts w:ascii="Courier New" w:hAnsi="Courier New" w:cs="Courier New"/>
                <w:sz w:val="18"/>
                <w:szCs w:val="18"/>
              </w:rPr>
            </w:pPr>
          </w:p>
        </w:tc>
        <w:tc>
          <w:tcPr>
            <w:tcW w:w="2357" w:type="dxa"/>
          </w:tcPr>
          <w:p w14:paraId="49BB4DA1"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vertAlign w:val="subscript"/>
              </w:rPr>
            </w:pPr>
            <w:r w:rsidRPr="007A4266">
              <w:rPr>
                <w:rFonts w:ascii="Courier New" w:hAnsi="Courier New" w:cs="Courier New"/>
                <w:sz w:val="18"/>
                <w:szCs w:val="18"/>
              </w:rPr>
              <w:t>NH</w:t>
            </w:r>
            <w:r w:rsidRPr="007A4266">
              <w:rPr>
                <w:rFonts w:ascii="Courier New" w:hAnsi="Courier New" w:cs="Courier New"/>
                <w:sz w:val="18"/>
                <w:szCs w:val="18"/>
                <w:vertAlign w:val="subscript"/>
              </w:rPr>
              <w:t>4</w:t>
            </w:r>
          </w:p>
        </w:tc>
        <w:tc>
          <w:tcPr>
            <w:tcW w:w="903" w:type="dxa"/>
          </w:tcPr>
          <w:p w14:paraId="319DEA1D" w14:textId="74DB3404"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122B1F19"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2,27</w:t>
            </w:r>
          </w:p>
        </w:tc>
        <w:tc>
          <w:tcPr>
            <w:tcW w:w="1984" w:type="dxa"/>
          </w:tcPr>
          <w:p w14:paraId="1B54BD47" w14:textId="3CA74646"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Low</w:t>
            </w:r>
          </w:p>
        </w:tc>
      </w:tr>
      <w:tr w:rsidR="007A4266" w:rsidRPr="00F77D86" w14:paraId="2105166C" w14:textId="77777777" w:rsidTr="007A426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746747E3" w14:textId="77777777" w:rsidR="00253BC2" w:rsidRPr="007A4266" w:rsidRDefault="00253BC2" w:rsidP="00C35656">
            <w:pPr>
              <w:jc w:val="both"/>
              <w:rPr>
                <w:rFonts w:ascii="Courier New" w:hAnsi="Courier New" w:cs="Courier New"/>
                <w:sz w:val="18"/>
                <w:szCs w:val="18"/>
              </w:rPr>
            </w:pPr>
          </w:p>
        </w:tc>
        <w:tc>
          <w:tcPr>
            <w:tcW w:w="2357" w:type="dxa"/>
          </w:tcPr>
          <w:p w14:paraId="393DC447" w14:textId="00B1F87B"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K</w:t>
            </w:r>
            <w:r w:rsidRPr="007A4266">
              <w:rPr>
                <w:rFonts w:ascii="Courier New" w:hAnsi="Courier New" w:cs="Courier New"/>
                <w:sz w:val="18"/>
                <w:szCs w:val="18"/>
                <w:vertAlign w:val="subscript"/>
              </w:rPr>
              <w:t>2</w:t>
            </w:r>
            <w:r w:rsidRPr="007A4266">
              <w:rPr>
                <w:rFonts w:ascii="Courier New" w:hAnsi="Courier New" w:cs="Courier New"/>
                <w:sz w:val="18"/>
                <w:szCs w:val="18"/>
              </w:rPr>
              <w:t xml:space="preserve">O </w:t>
            </w:r>
            <w:r w:rsidR="007A4266">
              <w:rPr>
                <w:rFonts w:ascii="Courier New" w:hAnsi="Courier New" w:cs="Courier New"/>
                <w:sz w:val="18"/>
                <w:szCs w:val="18"/>
              </w:rPr>
              <w:t>Available</w:t>
            </w:r>
          </w:p>
        </w:tc>
        <w:tc>
          <w:tcPr>
            <w:tcW w:w="903" w:type="dxa"/>
          </w:tcPr>
          <w:p w14:paraId="119FB887" w14:textId="5443F3AD"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3776D9A0" w14:textId="77777777"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59,17</w:t>
            </w:r>
          </w:p>
        </w:tc>
        <w:tc>
          <w:tcPr>
            <w:tcW w:w="1984" w:type="dxa"/>
          </w:tcPr>
          <w:p w14:paraId="6587AD02" w14:textId="2DB4A4A6" w:rsidR="00253BC2" w:rsidRPr="007A4266" w:rsidRDefault="00253BC2" w:rsidP="00C35656">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High</w:t>
            </w:r>
          </w:p>
        </w:tc>
      </w:tr>
      <w:tr w:rsidR="00253BC2" w:rsidRPr="00F77D86" w14:paraId="6B03BC83" w14:textId="77777777" w:rsidTr="007A4266">
        <w:trPr>
          <w:trHeight w:val="251"/>
        </w:trPr>
        <w:tc>
          <w:tcPr>
            <w:cnfStyle w:val="001000000000" w:firstRow="0" w:lastRow="0" w:firstColumn="1" w:lastColumn="0" w:oddVBand="0" w:evenVBand="0" w:oddHBand="0" w:evenHBand="0" w:firstRowFirstColumn="0" w:firstRowLastColumn="0" w:lastRowFirstColumn="0" w:lastRowLastColumn="0"/>
            <w:tcW w:w="1985" w:type="dxa"/>
            <w:vMerge/>
          </w:tcPr>
          <w:p w14:paraId="5B39E7E7" w14:textId="77777777" w:rsidR="00253BC2" w:rsidRPr="007A4266" w:rsidRDefault="00253BC2" w:rsidP="00C35656">
            <w:pPr>
              <w:jc w:val="both"/>
              <w:rPr>
                <w:rFonts w:ascii="Courier New" w:hAnsi="Courier New" w:cs="Courier New"/>
                <w:sz w:val="18"/>
                <w:szCs w:val="18"/>
              </w:rPr>
            </w:pPr>
          </w:p>
        </w:tc>
        <w:tc>
          <w:tcPr>
            <w:tcW w:w="2357" w:type="dxa"/>
          </w:tcPr>
          <w:p w14:paraId="57826B5F"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Cu</w:t>
            </w:r>
          </w:p>
        </w:tc>
        <w:tc>
          <w:tcPr>
            <w:tcW w:w="903" w:type="dxa"/>
          </w:tcPr>
          <w:p w14:paraId="415E0F47" w14:textId="5AAF871E"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507CE29F" w14:textId="77777777" w:rsidR="00253BC2" w:rsidRPr="007A4266" w:rsidRDefault="00253BC2" w:rsidP="00C35656">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7,96</w:t>
            </w:r>
          </w:p>
        </w:tc>
        <w:tc>
          <w:tcPr>
            <w:tcW w:w="1984" w:type="dxa"/>
          </w:tcPr>
          <w:p w14:paraId="620EC0B5" w14:textId="5AC80615" w:rsidR="00253BC2" w:rsidRPr="007A4266" w:rsidRDefault="00253BC2" w:rsidP="00253BC2">
            <w:pPr>
              <w:pStyle w:val="HTMLPreformatted"/>
              <w:cnfStyle w:val="000000000000" w:firstRow="0" w:lastRow="0" w:firstColumn="0" w:lastColumn="0" w:oddVBand="0" w:evenVBand="0" w:oddHBand="0" w:evenHBand="0" w:firstRowFirstColumn="0" w:firstRowLastColumn="0" w:lastRowFirstColumn="0" w:lastRowLastColumn="0"/>
              <w:rPr>
                <w:sz w:val="18"/>
                <w:szCs w:val="18"/>
              </w:rPr>
            </w:pPr>
            <w:r w:rsidRPr="007A4266">
              <w:rPr>
                <w:rStyle w:val="y2iqfc"/>
                <w:rFonts w:eastAsiaTheme="majorEastAsia"/>
                <w:sz w:val="18"/>
                <w:szCs w:val="18"/>
                <w:lang w:val="en"/>
              </w:rPr>
              <w:t>sufficient</w:t>
            </w:r>
          </w:p>
        </w:tc>
      </w:tr>
    </w:tbl>
    <w:bookmarkEnd w:id="6"/>
    <w:p w14:paraId="07C4AA8B" w14:textId="77777777" w:rsidR="00253BC2" w:rsidRDefault="00253BC2" w:rsidP="00253BC2">
      <w:pPr>
        <w:pStyle w:val="HTMLPreformatted"/>
      </w:pPr>
      <w:r>
        <w:rPr>
          <w:rStyle w:val="y2iqfc"/>
          <w:rFonts w:eastAsiaTheme="majorEastAsia"/>
          <w:lang w:val="en"/>
        </w:rPr>
        <w:t>Source: Soil Laboratory, Faculty of Agriculture, Mulawarman University 2024</w:t>
      </w:r>
    </w:p>
    <w:p w14:paraId="0963E8DA" w14:textId="77777777" w:rsidR="00253BC2" w:rsidRPr="00F77D86" w:rsidRDefault="00253BC2" w:rsidP="00253BC2">
      <w:pPr>
        <w:keepNext/>
        <w:spacing w:after="0" w:line="240" w:lineRule="auto"/>
        <w:ind w:left="1134" w:firstLine="567"/>
        <w:jc w:val="both"/>
        <w:rPr>
          <w:rFonts w:ascii="Times New Roman" w:hAnsi="Times New Roman" w:cs="Times New Roman"/>
        </w:rPr>
      </w:pPr>
    </w:p>
    <w:p w14:paraId="58E89F07" w14:textId="1236FFE0" w:rsidR="00253BC2" w:rsidRPr="00253BC2" w:rsidRDefault="00253BC2" w:rsidP="00253BC2">
      <w:pPr>
        <w:pStyle w:val="HTMLPreformatted"/>
      </w:pPr>
      <w:r>
        <w:rPr>
          <w:rStyle w:val="y2iqfc"/>
          <w:rFonts w:eastAsiaTheme="majorEastAsia"/>
          <w:lang w:val="en"/>
        </w:rPr>
        <w:t>Table 6. Soil Analysis After Flooding</w:t>
      </w:r>
    </w:p>
    <w:tbl>
      <w:tblPr>
        <w:tblStyle w:val="PlainTable21"/>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63"/>
        <w:gridCol w:w="897"/>
        <w:gridCol w:w="1276"/>
        <w:gridCol w:w="1984"/>
      </w:tblGrid>
      <w:tr w:rsidR="00253BC2" w:rsidRPr="00F77D86" w14:paraId="02608F50" w14:textId="77777777" w:rsidTr="007A4266">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985" w:type="dxa"/>
            <w:tcBorders>
              <w:bottom w:val="none" w:sz="0" w:space="0" w:color="auto"/>
            </w:tcBorders>
          </w:tcPr>
          <w:p w14:paraId="6F29B358" w14:textId="49D49DB9" w:rsidR="00253BC2" w:rsidRPr="007A4266" w:rsidRDefault="00253BC2" w:rsidP="00253BC2">
            <w:pPr>
              <w:jc w:val="both"/>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Sample Code </w:t>
            </w:r>
          </w:p>
        </w:tc>
        <w:tc>
          <w:tcPr>
            <w:tcW w:w="2363" w:type="dxa"/>
            <w:tcBorders>
              <w:bottom w:val="none" w:sz="0" w:space="0" w:color="auto"/>
            </w:tcBorders>
          </w:tcPr>
          <w:p w14:paraId="2DD23513" w14:textId="1305D80F"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Parameter </w:t>
            </w:r>
          </w:p>
        </w:tc>
        <w:tc>
          <w:tcPr>
            <w:tcW w:w="897" w:type="dxa"/>
            <w:tcBorders>
              <w:bottom w:val="none" w:sz="0" w:space="0" w:color="auto"/>
            </w:tcBorders>
          </w:tcPr>
          <w:p w14:paraId="744AE859" w14:textId="0FEF13E5"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Unit  </w:t>
            </w:r>
          </w:p>
        </w:tc>
        <w:tc>
          <w:tcPr>
            <w:tcW w:w="1276" w:type="dxa"/>
            <w:tcBorders>
              <w:bottom w:val="none" w:sz="0" w:space="0" w:color="auto"/>
            </w:tcBorders>
          </w:tcPr>
          <w:p w14:paraId="78C0A55A" w14:textId="2536E050"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 xml:space="preserve">Result </w:t>
            </w:r>
          </w:p>
        </w:tc>
        <w:tc>
          <w:tcPr>
            <w:tcW w:w="1984" w:type="dxa"/>
            <w:tcBorders>
              <w:bottom w:val="none" w:sz="0" w:space="0" w:color="auto"/>
            </w:tcBorders>
          </w:tcPr>
          <w:p w14:paraId="119453D3" w14:textId="7DBCD59B" w:rsidR="00253BC2" w:rsidRPr="007A4266" w:rsidRDefault="00253BC2" w:rsidP="00253BC2">
            <w:pPr>
              <w:jc w:val="both"/>
              <w:cnfStyle w:val="100000000000" w:firstRow="1" w:lastRow="0" w:firstColumn="0" w:lastColumn="0" w:oddVBand="0" w:evenVBand="0" w:oddHBand="0" w:evenHBand="0" w:firstRowFirstColumn="0" w:firstRowLastColumn="0" w:lastRowFirstColumn="0" w:lastRowLastColumn="0"/>
              <w:rPr>
                <w:rFonts w:ascii="Courier New" w:hAnsi="Courier New" w:cs="Courier New"/>
                <w:b w:val="0"/>
                <w:bCs w:val="0"/>
                <w:sz w:val="18"/>
                <w:szCs w:val="18"/>
              </w:rPr>
            </w:pPr>
            <w:r w:rsidRPr="007A4266">
              <w:rPr>
                <w:rStyle w:val="y2iqfc"/>
                <w:rFonts w:ascii="Courier New" w:hAnsi="Courier New" w:cs="Courier New"/>
                <w:sz w:val="18"/>
                <w:szCs w:val="18"/>
                <w:lang w:val="en"/>
              </w:rPr>
              <w:t>Criteria</w:t>
            </w:r>
          </w:p>
        </w:tc>
      </w:tr>
      <w:tr w:rsidR="00253BC2" w:rsidRPr="00F77D86" w14:paraId="645E0834" w14:textId="77777777" w:rsidTr="007A4266">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985" w:type="dxa"/>
            <w:vMerge w:val="restart"/>
            <w:tcBorders>
              <w:top w:val="none" w:sz="0" w:space="0" w:color="auto"/>
              <w:bottom w:val="none" w:sz="0" w:space="0" w:color="auto"/>
            </w:tcBorders>
          </w:tcPr>
          <w:p w14:paraId="4D669261" w14:textId="77777777" w:rsidR="00253BC2" w:rsidRPr="007A4266" w:rsidRDefault="00253BC2" w:rsidP="00253BC2">
            <w:pPr>
              <w:jc w:val="both"/>
              <w:rPr>
                <w:rFonts w:ascii="Courier New" w:hAnsi="Courier New" w:cs="Courier New"/>
                <w:sz w:val="18"/>
                <w:szCs w:val="18"/>
              </w:rPr>
            </w:pPr>
          </w:p>
          <w:p w14:paraId="730A746B" w14:textId="77777777" w:rsidR="00253BC2" w:rsidRPr="007A4266" w:rsidRDefault="00253BC2" w:rsidP="00253BC2">
            <w:pPr>
              <w:jc w:val="both"/>
              <w:rPr>
                <w:rFonts w:ascii="Courier New" w:hAnsi="Courier New" w:cs="Courier New"/>
                <w:sz w:val="18"/>
                <w:szCs w:val="18"/>
              </w:rPr>
            </w:pPr>
          </w:p>
          <w:p w14:paraId="73213444" w14:textId="77777777" w:rsidR="00253BC2" w:rsidRPr="007A4266" w:rsidRDefault="00253BC2" w:rsidP="00253BC2">
            <w:pPr>
              <w:jc w:val="both"/>
              <w:rPr>
                <w:rFonts w:ascii="Courier New" w:hAnsi="Courier New" w:cs="Courier New"/>
                <w:sz w:val="18"/>
                <w:szCs w:val="18"/>
              </w:rPr>
            </w:pPr>
          </w:p>
          <w:p w14:paraId="5BDEF73C" w14:textId="3823DE87" w:rsidR="00253BC2" w:rsidRPr="007A4266" w:rsidRDefault="00253BC2" w:rsidP="00253BC2">
            <w:pPr>
              <w:jc w:val="both"/>
              <w:rPr>
                <w:rFonts w:ascii="Courier New" w:hAnsi="Courier New" w:cs="Courier New"/>
                <w:sz w:val="18"/>
                <w:szCs w:val="18"/>
              </w:rPr>
            </w:pPr>
            <w:r w:rsidRPr="007A4266">
              <w:rPr>
                <w:rFonts w:ascii="Courier New" w:hAnsi="Courier New" w:cs="Courier New"/>
                <w:sz w:val="18"/>
                <w:szCs w:val="18"/>
              </w:rPr>
              <w:t>After Flooding</w:t>
            </w:r>
          </w:p>
        </w:tc>
        <w:tc>
          <w:tcPr>
            <w:tcW w:w="2363" w:type="dxa"/>
            <w:tcBorders>
              <w:top w:val="none" w:sz="0" w:space="0" w:color="auto"/>
              <w:bottom w:val="none" w:sz="0" w:space="0" w:color="auto"/>
            </w:tcBorders>
          </w:tcPr>
          <w:p w14:paraId="13BF8D3E"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pH</w:t>
            </w:r>
          </w:p>
        </w:tc>
        <w:tc>
          <w:tcPr>
            <w:tcW w:w="897" w:type="dxa"/>
            <w:tcBorders>
              <w:top w:val="none" w:sz="0" w:space="0" w:color="auto"/>
              <w:bottom w:val="none" w:sz="0" w:space="0" w:color="auto"/>
            </w:tcBorders>
          </w:tcPr>
          <w:p w14:paraId="369A5233"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w:t>
            </w:r>
          </w:p>
        </w:tc>
        <w:tc>
          <w:tcPr>
            <w:tcW w:w="1276" w:type="dxa"/>
            <w:tcBorders>
              <w:top w:val="none" w:sz="0" w:space="0" w:color="auto"/>
              <w:bottom w:val="none" w:sz="0" w:space="0" w:color="auto"/>
            </w:tcBorders>
          </w:tcPr>
          <w:p w14:paraId="59503DBA"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2,92</w:t>
            </w:r>
          </w:p>
        </w:tc>
        <w:tc>
          <w:tcPr>
            <w:tcW w:w="1984" w:type="dxa"/>
            <w:tcBorders>
              <w:top w:val="none" w:sz="0" w:space="0" w:color="auto"/>
              <w:bottom w:val="none" w:sz="0" w:space="0" w:color="auto"/>
            </w:tcBorders>
          </w:tcPr>
          <w:p w14:paraId="765CE22E" w14:textId="0FF3037E"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lang w:val="id-ID"/>
              </w:rPr>
            </w:pPr>
            <w:r w:rsidRPr="007A4266">
              <w:rPr>
                <w:rFonts w:ascii="Courier New" w:hAnsi="Courier New" w:cs="Courier New"/>
                <w:sz w:val="18"/>
                <w:szCs w:val="18"/>
              </w:rPr>
              <w:t>Very acidic</w:t>
            </w:r>
          </w:p>
        </w:tc>
      </w:tr>
      <w:tr w:rsidR="00253BC2" w:rsidRPr="00F77D86" w14:paraId="26246328" w14:textId="77777777" w:rsidTr="007A4266">
        <w:trPr>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066D98B9" w14:textId="77777777" w:rsidR="00253BC2" w:rsidRPr="007A4266" w:rsidRDefault="00253BC2" w:rsidP="00253BC2">
            <w:pPr>
              <w:jc w:val="both"/>
              <w:rPr>
                <w:rFonts w:ascii="Courier New" w:hAnsi="Courier New" w:cs="Courier New"/>
                <w:sz w:val="18"/>
                <w:szCs w:val="18"/>
              </w:rPr>
            </w:pPr>
          </w:p>
        </w:tc>
        <w:tc>
          <w:tcPr>
            <w:tcW w:w="2363" w:type="dxa"/>
          </w:tcPr>
          <w:p w14:paraId="35889EEA"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N-Total</w:t>
            </w:r>
          </w:p>
        </w:tc>
        <w:tc>
          <w:tcPr>
            <w:tcW w:w="897" w:type="dxa"/>
          </w:tcPr>
          <w:p w14:paraId="55454934"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w:t>
            </w:r>
          </w:p>
        </w:tc>
        <w:tc>
          <w:tcPr>
            <w:tcW w:w="1276" w:type="dxa"/>
          </w:tcPr>
          <w:p w14:paraId="5E1633B2"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0,17</w:t>
            </w:r>
          </w:p>
        </w:tc>
        <w:tc>
          <w:tcPr>
            <w:tcW w:w="1984" w:type="dxa"/>
          </w:tcPr>
          <w:p w14:paraId="14CA0B68" w14:textId="50C62F8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lang w:val="id-ID"/>
              </w:rPr>
            </w:pPr>
            <w:r w:rsidRPr="007A4266">
              <w:rPr>
                <w:rFonts w:ascii="Courier New" w:hAnsi="Courier New" w:cs="Courier New"/>
                <w:sz w:val="18"/>
                <w:szCs w:val="18"/>
              </w:rPr>
              <w:t>Low</w:t>
            </w:r>
          </w:p>
        </w:tc>
      </w:tr>
      <w:tr w:rsidR="00253BC2" w:rsidRPr="00F77D86" w14:paraId="1C772E25" w14:textId="77777777" w:rsidTr="007A426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85" w:type="dxa"/>
            <w:vMerge/>
            <w:tcBorders>
              <w:top w:val="none" w:sz="0" w:space="0" w:color="auto"/>
              <w:bottom w:val="none" w:sz="0" w:space="0" w:color="auto"/>
            </w:tcBorders>
          </w:tcPr>
          <w:p w14:paraId="5CFCCF38" w14:textId="77777777" w:rsidR="00253BC2" w:rsidRPr="007A4266" w:rsidRDefault="00253BC2" w:rsidP="00253BC2">
            <w:pPr>
              <w:jc w:val="both"/>
              <w:rPr>
                <w:rFonts w:ascii="Courier New" w:hAnsi="Courier New" w:cs="Courier New"/>
                <w:sz w:val="18"/>
                <w:szCs w:val="18"/>
              </w:rPr>
            </w:pPr>
          </w:p>
        </w:tc>
        <w:tc>
          <w:tcPr>
            <w:tcW w:w="2363" w:type="dxa"/>
            <w:tcBorders>
              <w:top w:val="none" w:sz="0" w:space="0" w:color="auto"/>
              <w:bottom w:val="none" w:sz="0" w:space="0" w:color="auto"/>
            </w:tcBorders>
          </w:tcPr>
          <w:p w14:paraId="69A68171"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vertAlign w:val="subscript"/>
              </w:rPr>
            </w:pPr>
            <w:r w:rsidRPr="007A4266">
              <w:rPr>
                <w:rFonts w:ascii="Courier New" w:hAnsi="Courier New" w:cs="Courier New"/>
                <w:sz w:val="18"/>
                <w:szCs w:val="18"/>
              </w:rPr>
              <w:t>NO</w:t>
            </w:r>
            <w:r w:rsidRPr="007A4266">
              <w:rPr>
                <w:rFonts w:ascii="Courier New" w:hAnsi="Courier New" w:cs="Courier New"/>
                <w:sz w:val="18"/>
                <w:szCs w:val="18"/>
                <w:vertAlign w:val="subscript"/>
              </w:rPr>
              <w:t>3</w:t>
            </w:r>
          </w:p>
        </w:tc>
        <w:tc>
          <w:tcPr>
            <w:tcW w:w="897" w:type="dxa"/>
            <w:tcBorders>
              <w:top w:val="none" w:sz="0" w:space="0" w:color="auto"/>
              <w:bottom w:val="none" w:sz="0" w:space="0" w:color="auto"/>
            </w:tcBorders>
          </w:tcPr>
          <w:p w14:paraId="33C0ADAF"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Borders>
              <w:top w:val="none" w:sz="0" w:space="0" w:color="auto"/>
              <w:bottom w:val="none" w:sz="0" w:space="0" w:color="auto"/>
            </w:tcBorders>
          </w:tcPr>
          <w:p w14:paraId="01D3E00E"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1,52</w:t>
            </w:r>
          </w:p>
        </w:tc>
        <w:tc>
          <w:tcPr>
            <w:tcW w:w="1984" w:type="dxa"/>
            <w:tcBorders>
              <w:top w:val="none" w:sz="0" w:space="0" w:color="auto"/>
              <w:bottom w:val="none" w:sz="0" w:space="0" w:color="auto"/>
            </w:tcBorders>
          </w:tcPr>
          <w:p w14:paraId="38472585" w14:textId="2B4DE83A"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Medium</w:t>
            </w:r>
          </w:p>
        </w:tc>
      </w:tr>
      <w:tr w:rsidR="00253BC2" w:rsidRPr="00F77D86" w14:paraId="096802E1" w14:textId="77777777" w:rsidTr="007A4266">
        <w:trPr>
          <w:trHeight w:val="273"/>
        </w:trPr>
        <w:tc>
          <w:tcPr>
            <w:cnfStyle w:val="001000000000" w:firstRow="0" w:lastRow="0" w:firstColumn="1" w:lastColumn="0" w:oddVBand="0" w:evenVBand="0" w:oddHBand="0" w:evenHBand="0" w:firstRowFirstColumn="0" w:firstRowLastColumn="0" w:lastRowFirstColumn="0" w:lastRowLastColumn="0"/>
            <w:tcW w:w="1985" w:type="dxa"/>
            <w:vMerge/>
          </w:tcPr>
          <w:p w14:paraId="23320F38" w14:textId="77777777" w:rsidR="00253BC2" w:rsidRPr="007A4266" w:rsidRDefault="00253BC2" w:rsidP="00253BC2">
            <w:pPr>
              <w:jc w:val="both"/>
              <w:rPr>
                <w:rFonts w:ascii="Courier New" w:hAnsi="Courier New" w:cs="Courier New"/>
                <w:sz w:val="18"/>
                <w:szCs w:val="18"/>
              </w:rPr>
            </w:pPr>
          </w:p>
        </w:tc>
        <w:tc>
          <w:tcPr>
            <w:tcW w:w="2363" w:type="dxa"/>
          </w:tcPr>
          <w:p w14:paraId="527E9FA6"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vertAlign w:val="subscript"/>
              </w:rPr>
            </w:pPr>
            <w:r w:rsidRPr="007A4266">
              <w:rPr>
                <w:rFonts w:ascii="Courier New" w:hAnsi="Courier New" w:cs="Courier New"/>
                <w:sz w:val="18"/>
                <w:szCs w:val="18"/>
              </w:rPr>
              <w:t>NH</w:t>
            </w:r>
            <w:r w:rsidRPr="007A4266">
              <w:rPr>
                <w:rFonts w:ascii="Courier New" w:hAnsi="Courier New" w:cs="Courier New"/>
                <w:sz w:val="18"/>
                <w:szCs w:val="18"/>
                <w:vertAlign w:val="subscript"/>
              </w:rPr>
              <w:t>4</w:t>
            </w:r>
          </w:p>
        </w:tc>
        <w:tc>
          <w:tcPr>
            <w:tcW w:w="897" w:type="dxa"/>
          </w:tcPr>
          <w:p w14:paraId="5EBF8802"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74D1935C"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1,09</w:t>
            </w:r>
          </w:p>
        </w:tc>
        <w:tc>
          <w:tcPr>
            <w:tcW w:w="1984" w:type="dxa"/>
          </w:tcPr>
          <w:p w14:paraId="270F1A13" w14:textId="3C1DFDED"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Low</w:t>
            </w:r>
          </w:p>
        </w:tc>
      </w:tr>
      <w:tr w:rsidR="00253BC2" w:rsidRPr="00F77D86" w14:paraId="66380930" w14:textId="77777777" w:rsidTr="007A426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85" w:type="dxa"/>
            <w:vMerge/>
            <w:tcBorders>
              <w:top w:val="none" w:sz="0" w:space="0" w:color="auto"/>
              <w:bottom w:val="none" w:sz="0" w:space="0" w:color="auto"/>
            </w:tcBorders>
          </w:tcPr>
          <w:p w14:paraId="76431926" w14:textId="77777777" w:rsidR="00253BC2" w:rsidRPr="007A4266" w:rsidRDefault="00253BC2" w:rsidP="00253BC2">
            <w:pPr>
              <w:jc w:val="both"/>
              <w:rPr>
                <w:rFonts w:ascii="Courier New" w:hAnsi="Courier New" w:cs="Courier New"/>
                <w:sz w:val="18"/>
                <w:szCs w:val="18"/>
              </w:rPr>
            </w:pPr>
          </w:p>
        </w:tc>
        <w:tc>
          <w:tcPr>
            <w:tcW w:w="2363" w:type="dxa"/>
            <w:tcBorders>
              <w:top w:val="none" w:sz="0" w:space="0" w:color="auto"/>
              <w:bottom w:val="none" w:sz="0" w:space="0" w:color="auto"/>
            </w:tcBorders>
          </w:tcPr>
          <w:p w14:paraId="0728B57A" w14:textId="513C056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K</w:t>
            </w:r>
            <w:r w:rsidRPr="007A4266">
              <w:rPr>
                <w:rFonts w:ascii="Courier New" w:hAnsi="Courier New" w:cs="Courier New"/>
                <w:sz w:val="18"/>
                <w:szCs w:val="18"/>
                <w:vertAlign w:val="subscript"/>
              </w:rPr>
              <w:t>2</w:t>
            </w:r>
            <w:r w:rsidRPr="007A4266">
              <w:rPr>
                <w:rFonts w:ascii="Courier New" w:hAnsi="Courier New" w:cs="Courier New"/>
                <w:sz w:val="18"/>
                <w:szCs w:val="18"/>
              </w:rPr>
              <w:t xml:space="preserve">O </w:t>
            </w:r>
            <w:r w:rsidR="007A4266">
              <w:rPr>
                <w:rFonts w:ascii="Courier New" w:hAnsi="Courier New" w:cs="Courier New"/>
                <w:sz w:val="18"/>
                <w:szCs w:val="18"/>
              </w:rPr>
              <w:t>Available</w:t>
            </w:r>
          </w:p>
        </w:tc>
        <w:tc>
          <w:tcPr>
            <w:tcW w:w="897" w:type="dxa"/>
            <w:tcBorders>
              <w:top w:val="none" w:sz="0" w:space="0" w:color="auto"/>
              <w:bottom w:val="none" w:sz="0" w:space="0" w:color="auto"/>
            </w:tcBorders>
          </w:tcPr>
          <w:p w14:paraId="3FC6C7BC"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Borders>
              <w:top w:val="none" w:sz="0" w:space="0" w:color="auto"/>
              <w:bottom w:val="none" w:sz="0" w:space="0" w:color="auto"/>
            </w:tcBorders>
          </w:tcPr>
          <w:p w14:paraId="47E95CE6" w14:textId="77777777"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20,83</w:t>
            </w:r>
          </w:p>
        </w:tc>
        <w:tc>
          <w:tcPr>
            <w:tcW w:w="1984" w:type="dxa"/>
            <w:tcBorders>
              <w:top w:val="none" w:sz="0" w:space="0" w:color="auto"/>
              <w:bottom w:val="none" w:sz="0" w:space="0" w:color="auto"/>
            </w:tcBorders>
          </w:tcPr>
          <w:p w14:paraId="5E9DC915" w14:textId="44EDAAF6" w:rsidR="00253BC2" w:rsidRPr="007A4266" w:rsidRDefault="00253BC2" w:rsidP="00253BC2">
            <w:pPr>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High</w:t>
            </w:r>
          </w:p>
        </w:tc>
      </w:tr>
      <w:tr w:rsidR="00253BC2" w:rsidRPr="00F77D86" w14:paraId="676041B1" w14:textId="77777777" w:rsidTr="007A4266">
        <w:trPr>
          <w:trHeight w:val="252"/>
        </w:trPr>
        <w:tc>
          <w:tcPr>
            <w:cnfStyle w:val="001000000000" w:firstRow="0" w:lastRow="0" w:firstColumn="1" w:lastColumn="0" w:oddVBand="0" w:evenVBand="0" w:oddHBand="0" w:evenHBand="0" w:firstRowFirstColumn="0" w:firstRowLastColumn="0" w:lastRowFirstColumn="0" w:lastRowLastColumn="0"/>
            <w:tcW w:w="1985" w:type="dxa"/>
            <w:vMerge/>
          </w:tcPr>
          <w:p w14:paraId="0EC5591F" w14:textId="77777777" w:rsidR="00253BC2" w:rsidRPr="007A4266" w:rsidRDefault="00253BC2" w:rsidP="00253BC2">
            <w:pPr>
              <w:jc w:val="both"/>
              <w:rPr>
                <w:rFonts w:ascii="Courier New" w:hAnsi="Courier New" w:cs="Courier New"/>
                <w:sz w:val="18"/>
                <w:szCs w:val="18"/>
              </w:rPr>
            </w:pPr>
          </w:p>
        </w:tc>
        <w:tc>
          <w:tcPr>
            <w:tcW w:w="2363" w:type="dxa"/>
          </w:tcPr>
          <w:p w14:paraId="43F8B634"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Cu</w:t>
            </w:r>
          </w:p>
        </w:tc>
        <w:tc>
          <w:tcPr>
            <w:tcW w:w="897" w:type="dxa"/>
          </w:tcPr>
          <w:p w14:paraId="3772CEB8"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ppm</w:t>
            </w:r>
          </w:p>
        </w:tc>
        <w:tc>
          <w:tcPr>
            <w:tcW w:w="1276" w:type="dxa"/>
          </w:tcPr>
          <w:p w14:paraId="4A713CEA" w14:textId="77777777"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rPr>
            </w:pPr>
            <w:r w:rsidRPr="007A4266">
              <w:rPr>
                <w:rFonts w:ascii="Courier New" w:hAnsi="Courier New" w:cs="Courier New"/>
                <w:sz w:val="18"/>
                <w:szCs w:val="18"/>
              </w:rPr>
              <w:t>6,66</w:t>
            </w:r>
          </w:p>
        </w:tc>
        <w:tc>
          <w:tcPr>
            <w:tcW w:w="1984" w:type="dxa"/>
          </w:tcPr>
          <w:p w14:paraId="753AAF34" w14:textId="4905F0F1" w:rsidR="00253BC2" w:rsidRPr="007A4266" w:rsidRDefault="00253BC2" w:rsidP="00253BC2">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sz w:val="18"/>
                <w:szCs w:val="18"/>
                <w:lang w:val="id-ID"/>
              </w:rPr>
            </w:pPr>
            <w:r w:rsidRPr="007A4266">
              <w:rPr>
                <w:rStyle w:val="y2iqfc"/>
                <w:rFonts w:ascii="Courier New" w:hAnsi="Courier New" w:cs="Courier New"/>
                <w:sz w:val="18"/>
                <w:szCs w:val="18"/>
                <w:lang w:val="en"/>
              </w:rPr>
              <w:t>sufficient</w:t>
            </w:r>
          </w:p>
        </w:tc>
      </w:tr>
    </w:tbl>
    <w:p w14:paraId="30B2D38E" w14:textId="77777777" w:rsidR="00253BC2" w:rsidRDefault="00253BC2" w:rsidP="00253BC2">
      <w:pPr>
        <w:pStyle w:val="HTMLPreformatted"/>
      </w:pPr>
      <w:r>
        <w:rPr>
          <w:rStyle w:val="y2iqfc"/>
          <w:rFonts w:eastAsiaTheme="majorEastAsia"/>
          <w:lang w:val="en"/>
        </w:rPr>
        <w:t>Source: Soil Laboratory, Faculty of Agriculture, Mulawarman University 2024</w:t>
      </w:r>
    </w:p>
    <w:p w14:paraId="48430304" w14:textId="77777777" w:rsidR="00253BC2" w:rsidRDefault="00253BC2" w:rsidP="00253BC2">
      <w:pPr>
        <w:pStyle w:val="HTMLPreformatted"/>
        <w:ind w:firstLine="567"/>
        <w:jc w:val="both"/>
      </w:pPr>
      <w:r>
        <w:rPr>
          <w:rStyle w:val="y2iqfc"/>
          <w:rFonts w:eastAsiaTheme="majorEastAsia"/>
          <w:lang w:val="en"/>
        </w:rPr>
        <w:t>The results of the analysis of rice field soil after being flooded for ±7 days showed that the rice field soil had a pH of 2.92 which means it was very acidic with a Total N content of 0.17% which is classified as low criteria, NO</w:t>
      </w:r>
      <w:r w:rsidRPr="007A4266">
        <w:rPr>
          <w:rStyle w:val="y2iqfc"/>
          <w:rFonts w:eastAsiaTheme="majorEastAsia"/>
          <w:vertAlign w:val="subscript"/>
          <w:lang w:val="en"/>
        </w:rPr>
        <w:t>3</w:t>
      </w:r>
      <w:r>
        <w:rPr>
          <w:rStyle w:val="y2iqfc"/>
          <w:rFonts w:eastAsiaTheme="majorEastAsia"/>
          <w:lang w:val="en"/>
        </w:rPr>
        <w:t>- of 1.52 ppm which is classified as low criteria, NH</w:t>
      </w:r>
      <w:r w:rsidRPr="007A4266">
        <w:rPr>
          <w:rStyle w:val="y2iqfc"/>
          <w:rFonts w:eastAsiaTheme="majorEastAsia"/>
          <w:vertAlign w:val="subscript"/>
          <w:lang w:val="en"/>
        </w:rPr>
        <w:t>4</w:t>
      </w:r>
      <w:r>
        <w:rPr>
          <w:rStyle w:val="y2iqfc"/>
          <w:rFonts w:eastAsiaTheme="majorEastAsia"/>
          <w:lang w:val="en"/>
        </w:rPr>
        <w:t>+ of 1.09 ppm which is classified as low criteria, and Available K of 20.83 ppm which is classified as high criteria and the micro nutrient content of copper (Cu) of 6.66 ppm which is classified as sufficient criteria.</w:t>
      </w:r>
    </w:p>
    <w:p w14:paraId="68508D39" w14:textId="1A790130" w:rsidR="00253BC2" w:rsidRDefault="00253BC2" w:rsidP="00253BC2">
      <w:pPr>
        <w:pStyle w:val="HTMLPreformatted"/>
        <w:ind w:firstLine="567"/>
        <w:jc w:val="both"/>
      </w:pPr>
      <w:r>
        <w:rPr>
          <w:rStyle w:val="y2iqfc"/>
          <w:rFonts w:eastAsiaTheme="majorEastAsia"/>
          <w:lang w:val="en"/>
        </w:rPr>
        <w:t>In essence, the nutrient content of the land after a flood does not change significantly because the flood duration is not very long. However, it still decreases due to erosion or the dissolution of the fertile soil layer due to the flow of water that inundates the rice fields. According to Arsyad (2010), erosion causes the loss of fertile soil layers that are good for plant growth and reduces the soil's ability to absorb and retain water. The transported soil will be deposited elsewhere. Thus, the damage caused by erosion occurs in two places: the land where the erosion occurs and the final destination where the transported soil is deposited. The damage experienced by the land where erosion occurs is a decline in chemical properties</w:t>
      </w:r>
      <w:r w:rsidR="000D4B66">
        <w:rPr>
          <w:rStyle w:val="y2iqfc"/>
          <w:rFonts w:eastAsiaTheme="majorEastAsia"/>
          <w:lang w:val="en"/>
        </w:rPr>
        <w:t>,</w:t>
      </w:r>
      <w:r>
        <w:rPr>
          <w:rStyle w:val="y2iqfc"/>
          <w:rFonts w:eastAsiaTheme="majorEastAsia"/>
          <w:lang w:val="en"/>
        </w:rPr>
        <w:t xml:space="preserve"> such as the loss of nutrients and organic matter. This is caused by the loss of the top layer of soil</w:t>
      </w:r>
      <w:r w:rsidR="000D4B66">
        <w:rPr>
          <w:rStyle w:val="y2iqfc"/>
          <w:rFonts w:eastAsiaTheme="majorEastAsia"/>
          <w:lang w:val="en"/>
        </w:rPr>
        <w:t>,</w:t>
      </w:r>
      <w:r>
        <w:rPr>
          <w:rStyle w:val="y2iqfc"/>
          <w:rFonts w:eastAsiaTheme="majorEastAsia"/>
          <w:lang w:val="en"/>
        </w:rPr>
        <w:t xml:space="preserve"> 15-30 cm thick, which has better chemical properties than the soil layer below.</w:t>
      </w:r>
    </w:p>
    <w:p w14:paraId="641DE06C" w14:textId="77777777"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(1) Soil pH</w:t>
      </w:r>
    </w:p>
    <w:p w14:paraId="693771FD" w14:textId="6AC27597" w:rsidR="00253BC2" w:rsidRDefault="00253BC2" w:rsidP="00253BC2">
      <w:pPr>
        <w:pStyle w:val="HTMLPreformatted"/>
        <w:ind w:firstLine="567"/>
        <w:jc w:val="both"/>
      </w:pPr>
      <w:r>
        <w:rPr>
          <w:rStyle w:val="y2iqfc"/>
          <w:rFonts w:eastAsiaTheme="majorEastAsia"/>
          <w:lang w:val="en"/>
        </w:rPr>
        <w:t>The soil pH value did not experience significant changes and remained within the same criteria, namely very acidic, before the flooding was 3.02</w:t>
      </w:r>
      <w:r w:rsidR="000D4B66">
        <w:rPr>
          <w:rStyle w:val="y2iqfc"/>
          <w:rFonts w:eastAsiaTheme="majorEastAsia"/>
          <w:lang w:val="en"/>
        </w:rPr>
        <w:t>,</w:t>
      </w:r>
      <w:r>
        <w:rPr>
          <w:rStyle w:val="y2iqfc"/>
          <w:rFonts w:eastAsiaTheme="majorEastAsia"/>
          <w:lang w:val="en"/>
        </w:rPr>
        <w:t xml:space="preserve"> and after the flooding</w:t>
      </w:r>
      <w:r w:rsidR="000D4B66">
        <w:rPr>
          <w:rStyle w:val="y2iqfc"/>
          <w:rFonts w:eastAsiaTheme="majorEastAsia"/>
          <w:lang w:val="en"/>
        </w:rPr>
        <w:t>, it</w:t>
      </w:r>
      <w:r>
        <w:rPr>
          <w:rStyle w:val="y2iqfc"/>
          <w:rFonts w:eastAsiaTheme="majorEastAsia"/>
          <w:lang w:val="en"/>
        </w:rPr>
        <w:t xml:space="preserve"> decreased to 2.92. This is because the flooding duration was not too long, resulting in pH changes that were not significant enough to affect overall soil quality. Harahap et al. (2021) stated that soil pH values </w:t>
      </w:r>
      <w:r>
        <w:rPr>
          <w:rStyle w:val="y2iqfc"/>
          <w:rFonts w:ascii="Cambria Math" w:eastAsiaTheme="majorEastAsia" w:hAnsi="Cambria Math" w:cs="Cambria Math"/>
          <w:lang w:val="en"/>
        </w:rPr>
        <w:t>​​</w:t>
      </w:r>
      <w:r>
        <w:rPr>
          <w:rStyle w:val="y2iqfc"/>
          <w:rFonts w:eastAsiaTheme="majorEastAsia"/>
          <w:lang w:val="en"/>
        </w:rPr>
        <w:t xml:space="preserve">in rainfed rice fields ranged from slightly acidic </w:t>
      </w:r>
      <w:r w:rsidR="000D4B66">
        <w:rPr>
          <w:rStyle w:val="y2iqfc"/>
          <w:rFonts w:eastAsiaTheme="majorEastAsia"/>
          <w:lang w:val="en"/>
        </w:rPr>
        <w:t>to</w:t>
      </w:r>
      <w:r>
        <w:rPr>
          <w:rStyle w:val="y2iqfc"/>
          <w:rFonts w:eastAsiaTheme="majorEastAsia"/>
          <w:lang w:val="en"/>
        </w:rPr>
        <w:t xml:space="preserve"> very acidic. Furthermore, Gusmara et al. (2016) stated that soil pH values </w:t>
      </w:r>
      <w:r>
        <w:rPr>
          <w:rStyle w:val="y2iqfc"/>
          <w:rFonts w:ascii="Cambria Math" w:eastAsiaTheme="majorEastAsia" w:hAnsi="Cambria Math" w:cs="Cambria Math"/>
          <w:lang w:val="en"/>
        </w:rPr>
        <w:t>​​</w:t>
      </w:r>
      <w:r>
        <w:rPr>
          <w:rStyle w:val="y2iqfc"/>
          <w:rFonts w:eastAsiaTheme="majorEastAsia"/>
          <w:lang w:val="en"/>
        </w:rPr>
        <w:t xml:space="preserve">are influenced by several factors, including seasonal conditions each year, farming methods, soil sampling methods, water content, and the pH measurement method used. Under flood conditions, soil pH is generally lower than before the flooding. According to Sihaloho and Martauli (2022), soil pH in unflooded rice </w:t>
      </w:r>
      <w:r>
        <w:rPr>
          <w:rStyle w:val="y2iqfc"/>
          <w:rFonts w:eastAsiaTheme="majorEastAsia"/>
          <w:lang w:val="en"/>
        </w:rPr>
        <w:lastRenderedPageBreak/>
        <w:t>fields is higher than in flooded rice fields because the organic matter content in unflooded soil is higher than in flooded soil. Another research result reported by Hamid et al. (2017) was that flooding can increase soil pH from 5.69 to 5.73.</w:t>
      </w:r>
    </w:p>
    <w:p w14:paraId="7B19E387" w14:textId="77777777" w:rsidR="00253BC2" w:rsidRDefault="00253BC2" w:rsidP="00253BC2">
      <w:pPr>
        <w:pStyle w:val="HTMLPreformatted"/>
        <w:ind w:firstLine="567"/>
        <w:jc w:val="both"/>
      </w:pPr>
    </w:p>
    <w:p w14:paraId="0BF71070" w14:textId="77777777"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(2) N Content</w:t>
      </w:r>
    </w:p>
    <w:p w14:paraId="61E7E958" w14:textId="037033BE" w:rsidR="00253BC2" w:rsidRDefault="00253BC2" w:rsidP="00253BC2">
      <w:pPr>
        <w:pStyle w:val="HTMLPreformatted"/>
        <w:ind w:firstLine="567"/>
        <w:jc w:val="both"/>
      </w:pPr>
      <w:r>
        <w:rPr>
          <w:rStyle w:val="y2iqfc"/>
          <w:rFonts w:eastAsiaTheme="majorEastAsia"/>
          <w:lang w:val="en"/>
        </w:rPr>
        <w:t>Total N content in the soil increased from 0.16% to 0.17%, but remains low. This increase in total N content occurs because when floodwaters recede, sediment carried by the water settles, containing organic N. This organic N is not directly available to plants and microorganisms but accumulates in the soil as part of the total N. Unlike the increase in total N content, NO</w:t>
      </w:r>
      <w:r w:rsidRPr="007A4266">
        <w:rPr>
          <w:rStyle w:val="y2iqfc"/>
          <w:rFonts w:eastAsiaTheme="majorEastAsia"/>
          <w:vertAlign w:val="subscript"/>
          <w:lang w:val="en"/>
        </w:rPr>
        <w:t>3</w:t>
      </w:r>
      <w:r>
        <w:rPr>
          <w:rStyle w:val="y2iqfc"/>
          <w:rFonts w:eastAsiaTheme="majorEastAsia"/>
          <w:lang w:val="en"/>
        </w:rPr>
        <w:t>- and NH</w:t>
      </w:r>
      <w:r w:rsidRPr="007A4266">
        <w:rPr>
          <w:rStyle w:val="y2iqfc"/>
          <w:rFonts w:eastAsiaTheme="majorEastAsia"/>
          <w:vertAlign w:val="subscript"/>
          <w:lang w:val="en"/>
        </w:rPr>
        <w:t>4</w:t>
      </w:r>
      <w:r>
        <w:rPr>
          <w:rStyle w:val="y2iqfc"/>
          <w:rFonts w:eastAsiaTheme="majorEastAsia"/>
          <w:lang w:val="en"/>
        </w:rPr>
        <w:t>+ actually decreased, from 4.57 ppm (moderate) and 2.27 ppm (low) to 1.52 ppm (very low) and 1.09 ppm (very low), respectively. This situation is explained by Winarso (2005) that the NO</w:t>
      </w:r>
      <w:r w:rsidRPr="007A4266">
        <w:rPr>
          <w:rStyle w:val="y2iqfc"/>
          <w:rFonts w:eastAsiaTheme="majorEastAsia"/>
          <w:vertAlign w:val="subscript"/>
          <w:lang w:val="en"/>
        </w:rPr>
        <w:t>3</w:t>
      </w:r>
      <w:r>
        <w:rPr>
          <w:rStyle w:val="y2iqfc"/>
          <w:rFonts w:eastAsiaTheme="majorEastAsia"/>
          <w:lang w:val="en"/>
        </w:rPr>
        <w:t>- content in the soil after being flooded decreases due to the denitrification process in waterlogged soil or in anaerobic conditions (lack of oxygen)</w:t>
      </w:r>
      <w:r w:rsidR="000D4B66">
        <w:rPr>
          <w:rStyle w:val="y2iqfc"/>
          <w:rFonts w:eastAsiaTheme="majorEastAsia"/>
          <w:lang w:val="en"/>
        </w:rPr>
        <w:t>,</w:t>
      </w:r>
      <w:r>
        <w:rPr>
          <w:rStyle w:val="y2iqfc"/>
          <w:rFonts w:eastAsiaTheme="majorEastAsia"/>
          <w:lang w:val="en"/>
        </w:rPr>
        <w:t xml:space="preserve"> which can cause nitrate (NO</w:t>
      </w:r>
      <w:r>
        <w:rPr>
          <w:rStyle w:val="y2iqfc"/>
          <w:rFonts w:ascii="Cambria Math" w:eastAsiaTheme="majorEastAsia" w:hAnsi="Cambria Math" w:cs="Cambria Math"/>
          <w:lang w:val="en"/>
        </w:rPr>
        <w:t>₃⁻</w:t>
      </w:r>
      <w:r>
        <w:rPr>
          <w:rStyle w:val="y2iqfc"/>
          <w:rFonts w:eastAsiaTheme="majorEastAsia"/>
          <w:lang w:val="en"/>
        </w:rPr>
        <w:t>) to be converted into nitrogen gas (N</w:t>
      </w:r>
      <w:r>
        <w:rPr>
          <w:rStyle w:val="y2iqfc"/>
          <w:rFonts w:ascii="Cambria Math" w:eastAsiaTheme="majorEastAsia" w:hAnsi="Cambria Math" w:cs="Cambria Math"/>
          <w:lang w:val="en"/>
        </w:rPr>
        <w:t>₂</w:t>
      </w:r>
      <w:r>
        <w:rPr>
          <w:rStyle w:val="y2iqfc"/>
          <w:rFonts w:eastAsiaTheme="majorEastAsia"/>
          <w:lang w:val="en"/>
        </w:rPr>
        <w:t>) or nitrogen oxides such as nitrite (NO</w:t>
      </w:r>
      <w:r>
        <w:rPr>
          <w:rStyle w:val="y2iqfc"/>
          <w:rFonts w:ascii="Cambria Math" w:eastAsiaTheme="majorEastAsia" w:hAnsi="Cambria Math" w:cs="Cambria Math"/>
          <w:lang w:val="en"/>
        </w:rPr>
        <w:t>₂⁻</w:t>
      </w:r>
      <w:r>
        <w:rPr>
          <w:rStyle w:val="y2iqfc"/>
          <w:rFonts w:eastAsiaTheme="majorEastAsia"/>
          <w:lang w:val="en"/>
        </w:rPr>
        <w:t>). This denitrification process reduces the amount of nitrate in the soil because bacteria convert nitrate into a gaseous form that will be released into the atmosphere. Although the total N remains high, the form of nitrate dissolved in the soil will decrease. The NH</w:t>
      </w:r>
      <w:r w:rsidRPr="007A4266">
        <w:rPr>
          <w:rStyle w:val="y2iqfc"/>
          <w:rFonts w:eastAsiaTheme="majorEastAsia"/>
          <w:vertAlign w:val="subscript"/>
          <w:lang w:val="en"/>
        </w:rPr>
        <w:t>4</w:t>
      </w:r>
      <w:r>
        <w:rPr>
          <w:rStyle w:val="y2iqfc"/>
          <w:rFonts w:eastAsiaTheme="majorEastAsia"/>
          <w:lang w:val="en"/>
        </w:rPr>
        <w:t>+ content in the soil after being flooded also decreased due to the inhibition of the ammonification process in the flooded soil, which resulted in several microorganisms involved in the decomposition process being more likely to convert NH</w:t>
      </w:r>
      <w:r w:rsidRPr="007A4266">
        <w:rPr>
          <w:rStyle w:val="y2iqfc"/>
          <w:rFonts w:eastAsiaTheme="majorEastAsia"/>
          <w:vertAlign w:val="subscript"/>
          <w:lang w:val="en"/>
        </w:rPr>
        <w:t>4</w:t>
      </w:r>
      <w:r>
        <w:rPr>
          <w:rStyle w:val="y2iqfc"/>
          <w:rFonts w:eastAsiaTheme="majorEastAsia"/>
          <w:lang w:val="en"/>
        </w:rPr>
        <w:t>+ into ammonia gas (NH</w:t>
      </w:r>
      <w:r>
        <w:rPr>
          <w:rStyle w:val="y2iqfc"/>
          <w:rFonts w:ascii="Cambria Math" w:eastAsiaTheme="majorEastAsia" w:hAnsi="Cambria Math" w:cs="Cambria Math"/>
          <w:lang w:val="en"/>
        </w:rPr>
        <w:t>₃</w:t>
      </w:r>
      <w:r>
        <w:rPr>
          <w:rStyle w:val="y2iqfc"/>
          <w:rFonts w:eastAsiaTheme="majorEastAsia"/>
          <w:lang w:val="en"/>
        </w:rPr>
        <w:t>)</w:t>
      </w:r>
      <w:r w:rsidR="000D4B66">
        <w:rPr>
          <w:rStyle w:val="y2iqfc"/>
          <w:rFonts w:eastAsiaTheme="majorEastAsia"/>
          <w:lang w:val="en"/>
        </w:rPr>
        <w:t>,</w:t>
      </w:r>
      <w:r>
        <w:rPr>
          <w:rStyle w:val="y2iqfc"/>
          <w:rFonts w:eastAsiaTheme="majorEastAsia"/>
          <w:lang w:val="en"/>
        </w:rPr>
        <w:t xml:space="preserve"> which could then be released into the atmosphere. The results of another study reported by Sihaloho and Sembiring (2019) showed that the Total N content in rice paddy soil before the flood was 0.25% (moderate), but after the flood showed a decrease to 0.11% (low). This was caused by the loss of topsoil due to flood currents</w:t>
      </w:r>
      <w:r w:rsidR="000D4B66">
        <w:rPr>
          <w:rStyle w:val="y2iqfc"/>
          <w:rFonts w:eastAsiaTheme="majorEastAsia"/>
          <w:lang w:val="en"/>
        </w:rPr>
        <w:t>,</w:t>
      </w:r>
      <w:r>
        <w:rPr>
          <w:rStyle w:val="y2iqfc"/>
          <w:rFonts w:eastAsiaTheme="majorEastAsia"/>
          <w:lang w:val="en"/>
        </w:rPr>
        <w:t xml:space="preserve"> along with the loss of N and Organic C content in the topsoil.</w:t>
      </w:r>
    </w:p>
    <w:p w14:paraId="203E46FF" w14:textId="18EFC1C4" w:rsidR="00253BC2" w:rsidRDefault="00253BC2" w:rsidP="00253BC2">
      <w:pPr>
        <w:pStyle w:val="HTMLPreformatted"/>
        <w:ind w:firstLine="567"/>
        <w:jc w:val="both"/>
      </w:pPr>
    </w:p>
    <w:p w14:paraId="654801E4" w14:textId="35BE2CEE" w:rsidR="00253BC2" w:rsidRPr="007A4266" w:rsidRDefault="00253BC2" w:rsidP="00253BC2">
      <w:pPr>
        <w:pStyle w:val="HTMLPreformatted"/>
        <w:rPr>
          <w:rStyle w:val="y2iqfc"/>
          <w:rFonts w:eastAsiaTheme="majorEastAsia"/>
          <w:b/>
          <w:bCs/>
          <w:lang w:val="en"/>
        </w:rPr>
      </w:pPr>
      <w:r w:rsidRPr="007A4266">
        <w:rPr>
          <w:rStyle w:val="y2iqfc"/>
          <w:rFonts w:eastAsiaTheme="majorEastAsia"/>
          <w:b/>
          <w:bCs/>
          <w:lang w:val="en"/>
        </w:rPr>
        <w:t xml:space="preserve">(3) Content of K-available </w:t>
      </w:r>
    </w:p>
    <w:p w14:paraId="1580A202" w14:textId="4457D226" w:rsidR="00266D65" w:rsidRDefault="00253BC2" w:rsidP="00253BC2">
      <w:pPr>
        <w:pStyle w:val="HTMLPreformatted"/>
        <w:ind w:firstLine="567"/>
        <w:jc w:val="both"/>
        <w:rPr>
          <w:rStyle w:val="y2iqfc"/>
          <w:rFonts w:eastAsiaTheme="majorEastAsia"/>
          <w:lang w:val="en"/>
        </w:rPr>
      </w:pPr>
      <w:r>
        <w:rPr>
          <w:rStyle w:val="y2iqfc"/>
          <w:rFonts w:eastAsiaTheme="majorEastAsia"/>
          <w:lang w:val="en"/>
        </w:rPr>
        <w:t>The available K content in the soil before the flood was 59.17 ppm (high), but after the flood</w:t>
      </w:r>
      <w:r w:rsidR="000D4B66">
        <w:rPr>
          <w:rStyle w:val="y2iqfc"/>
          <w:rFonts w:eastAsiaTheme="majorEastAsia"/>
          <w:lang w:val="en"/>
        </w:rPr>
        <w:t>,</w:t>
      </w:r>
      <w:r>
        <w:rPr>
          <w:rStyle w:val="y2iqfc"/>
          <w:rFonts w:eastAsiaTheme="majorEastAsia"/>
          <w:lang w:val="en"/>
        </w:rPr>
        <w:t xml:space="preserve"> it decreased to 20.83 ppm (low). This is because potassium is mobile and easily leached, resulting in low K availability in the soil. </w:t>
      </w:r>
      <w:r w:rsidR="00961504" w:rsidRPr="00827EE2">
        <w:rPr>
          <w:rStyle w:val="y2iqfc"/>
          <w:rFonts w:eastAsiaTheme="majorEastAsia"/>
          <w:highlight w:val="yellow"/>
          <w:lang w:val="en"/>
        </w:rPr>
        <w:t>As stated by Munawar (2011)</w:t>
      </w:r>
      <w:r w:rsidR="009F03D0">
        <w:rPr>
          <w:rStyle w:val="y2iqfc"/>
          <w:rFonts w:eastAsiaTheme="majorEastAsia"/>
          <w:highlight w:val="yellow"/>
          <w:lang w:val="en"/>
        </w:rPr>
        <w:t>,</w:t>
      </w:r>
      <w:r w:rsidR="00961504" w:rsidRPr="00827EE2">
        <w:rPr>
          <w:rStyle w:val="y2iqfc"/>
          <w:rFonts w:eastAsiaTheme="majorEastAsia"/>
          <w:highlight w:val="yellow"/>
          <w:lang w:val="en"/>
        </w:rPr>
        <w:t xml:space="preserve"> the concentration of K ions in soil solution and K in the soil absorption complex </w:t>
      </w:r>
      <w:r w:rsidR="00961504">
        <w:rPr>
          <w:rStyle w:val="y2iqfc"/>
          <w:rFonts w:eastAsiaTheme="majorEastAsia"/>
          <w:highlight w:val="yellow"/>
          <w:lang w:val="en"/>
        </w:rPr>
        <w:t>was</w:t>
      </w:r>
      <w:r w:rsidR="00961504" w:rsidRPr="00827EE2">
        <w:rPr>
          <w:rStyle w:val="y2iqfc"/>
          <w:rFonts w:eastAsiaTheme="majorEastAsia"/>
          <w:highlight w:val="yellow"/>
          <w:lang w:val="en"/>
        </w:rPr>
        <w:t xml:space="preserve"> influenced by moisture content, cation exchange capacity, other cation content, soil pH, aeration</w:t>
      </w:r>
      <w:r w:rsidR="009F03D0">
        <w:rPr>
          <w:rStyle w:val="y2iqfc"/>
          <w:rFonts w:eastAsiaTheme="majorEastAsia"/>
          <w:highlight w:val="yellow"/>
          <w:lang w:val="en"/>
        </w:rPr>
        <w:t>,</w:t>
      </w:r>
      <w:r w:rsidR="00961504" w:rsidRPr="00827EE2">
        <w:rPr>
          <w:rStyle w:val="y2iqfc"/>
          <w:rFonts w:eastAsiaTheme="majorEastAsia"/>
          <w:highlight w:val="yellow"/>
          <w:lang w:val="en"/>
        </w:rPr>
        <w:t xml:space="preserve"> and plant type.</w:t>
      </w:r>
      <w:r w:rsidR="00961504">
        <w:rPr>
          <w:rStyle w:val="y2iqfc"/>
          <w:rFonts w:eastAsiaTheme="majorEastAsia"/>
          <w:lang w:val="en"/>
        </w:rPr>
        <w:t xml:space="preserve"> </w:t>
      </w:r>
      <w:r>
        <w:rPr>
          <w:rStyle w:val="y2iqfc"/>
          <w:rFonts w:eastAsiaTheme="majorEastAsia"/>
          <w:lang w:val="en"/>
        </w:rPr>
        <w:t>The results of this study are similar to those reported by Sihaloho and Sembiring (2019), wh</w:t>
      </w:r>
      <w:r w:rsidR="000D4B66">
        <w:rPr>
          <w:rStyle w:val="y2iqfc"/>
          <w:rFonts w:eastAsiaTheme="majorEastAsia"/>
          <w:lang w:val="en"/>
        </w:rPr>
        <w:t>o</w:t>
      </w:r>
      <w:r>
        <w:rPr>
          <w:rStyle w:val="y2iqfc"/>
          <w:rFonts w:eastAsiaTheme="majorEastAsia"/>
          <w:lang w:val="en"/>
        </w:rPr>
        <w:t xml:space="preserve"> found that the K content in paddy fields before the flood was 0.56 me/100g (moderate), but in the paddy fields after the flood</w:t>
      </w:r>
      <w:r w:rsidR="000D4B66">
        <w:rPr>
          <w:rStyle w:val="y2iqfc"/>
          <w:rFonts w:eastAsiaTheme="majorEastAsia"/>
          <w:lang w:val="en"/>
        </w:rPr>
        <w:t>,</w:t>
      </w:r>
      <w:r>
        <w:rPr>
          <w:rStyle w:val="y2iqfc"/>
          <w:rFonts w:eastAsiaTheme="majorEastAsia"/>
          <w:lang w:val="en"/>
        </w:rPr>
        <w:t xml:space="preserve"> it decreased to 0.49 me/100g (moderate). This occurs due to the loss of topsoil along with organic matter in the topsoil.</w:t>
      </w:r>
    </w:p>
    <w:p w14:paraId="364A3B7F" w14:textId="77777777" w:rsidR="00253BC2" w:rsidRDefault="00253BC2" w:rsidP="00253BC2">
      <w:pPr>
        <w:pStyle w:val="HTMLPreformatted"/>
        <w:ind w:firstLine="567"/>
        <w:jc w:val="both"/>
      </w:pPr>
    </w:p>
    <w:p w14:paraId="2CD114B7" w14:textId="77777777"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(4) Cu Content</w:t>
      </w:r>
    </w:p>
    <w:p w14:paraId="6BE04EA0" w14:textId="46962BD9" w:rsidR="00253BC2" w:rsidRDefault="00253BC2" w:rsidP="007A4266">
      <w:pPr>
        <w:pStyle w:val="HTMLPreformatted"/>
        <w:ind w:firstLine="567"/>
        <w:jc w:val="both"/>
        <w:rPr>
          <w:rStyle w:val="y2iqfc"/>
          <w:rFonts w:eastAsiaTheme="majorEastAsia"/>
          <w:lang w:val="en"/>
        </w:rPr>
      </w:pPr>
      <w:r>
        <w:rPr>
          <w:rStyle w:val="y2iqfc"/>
          <w:rFonts w:eastAsiaTheme="majorEastAsia"/>
          <w:lang w:val="en"/>
        </w:rPr>
        <w:t xml:space="preserve">The Cu content did not change significantly due to the flooding, decreasing from 7.96 ppm (sufficient) before the flood to 6.66 ppm (sufficient). Several factors can contribute to this decrease in Cu content, including erosion, leaching, and changes in redox potential. Floodwaters cause erosion, eroding the topsoil containing organic matter and essential nutrients, including Cu. Water-soluble Cu is carried by water movement and leached into deeper soil layers or out of the plant root zone. Flooding causes anaerobic conditions (lack of oxygen). These conditions affect soil chemistry, reduce redox potential, and alter nutrient availability, including Cu, and affect soil microbial activity. </w:t>
      </w:r>
      <w:r>
        <w:rPr>
          <w:rStyle w:val="y2iqfc"/>
          <w:rFonts w:eastAsiaTheme="majorEastAsia"/>
          <w:lang w:val="en"/>
        </w:rPr>
        <w:lastRenderedPageBreak/>
        <w:t>The Cu content in flooded soils decreases due to the formation of poorly soluble sulfides (Hardjowigeno and Rayes, 2005). Furthermore, organic carbon (C) content influences soil Cu content. The lower the organic carbon content, the lower the Cu content in the soil. Decreased Cu levels in soil solution generally only occur in highly reduced soils, caused by the formation of CuS deposits or Cu chelation by organic acids.</w:t>
      </w:r>
    </w:p>
    <w:p w14:paraId="15C6866A" w14:textId="77777777" w:rsidR="007A4266" w:rsidRDefault="007A4266" w:rsidP="007A4266">
      <w:pPr>
        <w:pStyle w:val="HTMLPreformatted"/>
        <w:ind w:firstLine="567"/>
        <w:jc w:val="both"/>
      </w:pPr>
    </w:p>
    <w:p w14:paraId="6CA49519" w14:textId="77777777" w:rsidR="00253BC2" w:rsidRPr="00253BC2" w:rsidRDefault="00253BC2" w:rsidP="00253BC2">
      <w:pPr>
        <w:pStyle w:val="HTMLPreformatted"/>
        <w:rPr>
          <w:rStyle w:val="y2iqfc"/>
          <w:rFonts w:eastAsiaTheme="majorEastAsia"/>
          <w:b/>
          <w:bCs/>
          <w:lang w:val="en"/>
        </w:rPr>
      </w:pPr>
      <w:r w:rsidRPr="00253BC2">
        <w:rPr>
          <w:rStyle w:val="y2iqfc"/>
          <w:rFonts w:eastAsiaTheme="majorEastAsia"/>
          <w:b/>
          <w:bCs/>
          <w:lang w:val="en"/>
        </w:rPr>
        <w:t>4. CONCLUSION</w:t>
      </w:r>
    </w:p>
    <w:p w14:paraId="0858194E" w14:textId="77777777" w:rsidR="00215D7C" w:rsidRDefault="00215D7C" w:rsidP="00215D7C">
      <w:pPr>
        <w:pStyle w:val="HTMLPreformatted"/>
        <w:ind w:firstLine="567"/>
        <w:jc w:val="both"/>
      </w:pPr>
      <w:r>
        <w:rPr>
          <w:rStyle w:val="y2iqfc"/>
          <w:rFonts w:eastAsiaTheme="majorEastAsia"/>
          <w:lang w:val="en"/>
        </w:rPr>
        <w:t>Based on the results of the research and discussion, it can be concluded that flooding in rice fields can cause a decrease in soil pH (from 3.02 to 2.92), NO</w:t>
      </w:r>
      <w:r w:rsidRPr="00215D7C">
        <w:rPr>
          <w:rStyle w:val="y2iqfc"/>
          <w:rFonts w:eastAsiaTheme="majorEastAsia"/>
          <w:vertAlign w:val="subscript"/>
          <w:lang w:val="en"/>
        </w:rPr>
        <w:t>3</w:t>
      </w:r>
      <w:r w:rsidRPr="00215D7C">
        <w:rPr>
          <w:rStyle w:val="y2iqfc"/>
          <w:rFonts w:eastAsiaTheme="majorEastAsia"/>
          <w:vertAlign w:val="superscript"/>
          <w:lang w:val="en"/>
        </w:rPr>
        <w:t>-</w:t>
      </w:r>
      <w:r>
        <w:rPr>
          <w:rStyle w:val="y2iqfc"/>
          <w:rFonts w:eastAsiaTheme="majorEastAsia"/>
          <w:lang w:val="en"/>
        </w:rPr>
        <w:t xml:space="preserve"> content (from 4.57 ppm to 1.52 ppm), NH</w:t>
      </w:r>
      <w:r w:rsidRPr="00215D7C">
        <w:rPr>
          <w:rStyle w:val="y2iqfc"/>
          <w:rFonts w:eastAsiaTheme="majorEastAsia"/>
          <w:vertAlign w:val="subscript"/>
          <w:lang w:val="en"/>
        </w:rPr>
        <w:t>4</w:t>
      </w:r>
      <w:r w:rsidRPr="00215D7C">
        <w:rPr>
          <w:rStyle w:val="y2iqfc"/>
          <w:rFonts w:eastAsiaTheme="majorEastAsia"/>
          <w:vertAlign w:val="superscript"/>
          <w:lang w:val="en"/>
        </w:rPr>
        <w:t>+</w:t>
      </w:r>
      <w:r>
        <w:rPr>
          <w:rStyle w:val="y2iqfc"/>
          <w:rFonts w:eastAsiaTheme="majorEastAsia"/>
          <w:lang w:val="en"/>
        </w:rPr>
        <w:t xml:space="preserve"> content (from 2.27 ppm to 1.09 ppm), available K content (from 59.17 ppm to 20.83 ppm) and Cu content (from 7.96 ppm to 6.66 ppm).</w:t>
      </w:r>
    </w:p>
    <w:p w14:paraId="131A1341" w14:textId="6A615683" w:rsidR="005D5964" w:rsidRDefault="005D5964" w:rsidP="00253BC2">
      <w:pPr>
        <w:pStyle w:val="HTMLPreformatted"/>
        <w:ind w:firstLine="567"/>
        <w:jc w:val="both"/>
        <w:rPr>
          <w:rStyle w:val="y2iqfc"/>
          <w:rFonts w:eastAsiaTheme="majorEastAsia"/>
          <w:lang w:val="en"/>
        </w:rPr>
      </w:pPr>
    </w:p>
    <w:p w14:paraId="1C69E944" w14:textId="7BEFADD7" w:rsidR="005D5964" w:rsidRPr="00270720" w:rsidRDefault="005D5964" w:rsidP="005D5964">
      <w:pPr>
        <w:rPr>
          <w:highlight w:val="yellow"/>
        </w:rPr>
      </w:pPr>
      <w:r w:rsidRPr="00270720">
        <w:rPr>
          <w:highlight w:val="yellow"/>
        </w:rPr>
        <w:t>Disclaimer (Artificial intelligence)</w:t>
      </w:r>
    </w:p>
    <w:p w14:paraId="26268F40" w14:textId="5BF71DE0" w:rsidR="005D5964" w:rsidRPr="00270720" w:rsidRDefault="00F86C2C" w:rsidP="005D5964">
      <w:pPr>
        <w:rPr>
          <w:highlight w:val="yellow"/>
        </w:rPr>
      </w:pPr>
      <w:r>
        <w:rPr>
          <w:highlight w:val="yellow"/>
        </w:rPr>
        <w:t xml:space="preserve">The author </w:t>
      </w:r>
      <w:r w:rsidR="005D5964" w:rsidRPr="00270720">
        <w:rPr>
          <w:highlight w:val="yellow"/>
        </w:rPr>
        <w:t xml:space="preserve">(s) hereby declare that NO generative AI technologies such as Large Language Models (ChatGPT, COPILOT, etc.) and text-to-image generators have been used during the writing or editing of this manuscript. </w:t>
      </w:r>
    </w:p>
    <w:p w14:paraId="0DCC5906" w14:textId="77777777" w:rsidR="00253BC2" w:rsidRDefault="00253BC2" w:rsidP="00EE6E96">
      <w:pPr>
        <w:jc w:val="both"/>
      </w:pPr>
    </w:p>
    <w:p w14:paraId="7E83BE55" w14:textId="46A8F4AD" w:rsidR="00EE6E96" w:rsidRPr="00EE6E96" w:rsidRDefault="00B3429E" w:rsidP="00EE6E96">
      <w:pPr>
        <w:pStyle w:val="HTMLPreformatted"/>
        <w:rPr>
          <w:rStyle w:val="y2iqfc"/>
          <w:rFonts w:eastAsiaTheme="majorEastAsia"/>
          <w:b/>
          <w:bCs/>
          <w:lang w:val="en"/>
        </w:rPr>
      </w:pPr>
      <w:r>
        <w:rPr>
          <w:rStyle w:val="y2iqfc"/>
          <w:rFonts w:eastAsiaTheme="majorEastAsia"/>
          <w:b/>
          <w:bCs/>
          <w:lang w:val="en"/>
        </w:rPr>
        <w:t>REFERENCES</w:t>
      </w:r>
    </w:p>
    <w:p w14:paraId="1B5AFDB8" w14:textId="77777777" w:rsidR="00B5667E" w:rsidRPr="00B5667E" w:rsidRDefault="00B5667E" w:rsidP="00B5667E">
      <w:pPr>
        <w:pStyle w:val="HTMLPreformatted"/>
        <w:ind w:left="567" w:hanging="567"/>
        <w:jc w:val="both"/>
        <w:rPr>
          <w:rStyle w:val="y2iqfc"/>
          <w:rFonts w:eastAsiaTheme="majorEastAsia"/>
          <w:highlight w:val="yellow"/>
          <w:lang w:val="en"/>
        </w:rPr>
      </w:pPr>
      <w:r w:rsidRPr="00B5667E">
        <w:rPr>
          <w:rStyle w:val="y2iqfc"/>
          <w:rFonts w:eastAsiaTheme="majorEastAsia"/>
          <w:highlight w:val="yellow"/>
          <w:lang w:val="en"/>
        </w:rPr>
        <w:t xml:space="preserve">(1) Balahanti, R., W. Mononimbar, and P.H. Gosal. (2023). Analysis of Flood Vulnerability Levels in Singkil District, Manado City. Spatial Journal. 11 (1): 69-79. </w:t>
      </w:r>
      <w:r w:rsidRPr="00B5667E">
        <w:rPr>
          <w:highlight w:val="yellow"/>
          <w:lang w:val="id-ID"/>
        </w:rPr>
        <w:t>https://ejournal.unsrat.ac.id/v3/index.php/spasial/article/view/51447</w:t>
      </w:r>
    </w:p>
    <w:p w14:paraId="0CC44F51" w14:textId="77777777" w:rsidR="00B5667E" w:rsidRPr="00B5667E" w:rsidRDefault="00B5667E" w:rsidP="00B5667E">
      <w:pPr>
        <w:pStyle w:val="HTMLPreformatted"/>
        <w:ind w:left="567" w:hanging="567"/>
        <w:jc w:val="both"/>
        <w:rPr>
          <w:rStyle w:val="y2iqfc"/>
          <w:rFonts w:eastAsiaTheme="majorEastAsia"/>
          <w:highlight w:val="yellow"/>
          <w:lang w:val="en"/>
        </w:rPr>
      </w:pPr>
      <w:r w:rsidRPr="00B5667E">
        <w:rPr>
          <w:rStyle w:val="y2iqfc"/>
          <w:rFonts w:eastAsiaTheme="majorEastAsia"/>
          <w:highlight w:val="yellow"/>
          <w:lang w:val="en"/>
        </w:rPr>
        <w:t xml:space="preserve">(2) Sihaloho, N. K., and D.S. Sembiring. (2019). Evaluation of Paddy Field Suitability Post-Flash Flood for Rice Plants in Southeast Aceh Regency. Journal of Agrotechnology Science 3: 81-95. </w:t>
      </w:r>
      <w:r w:rsidRPr="00B5667E">
        <w:rPr>
          <w:highlight w:val="yellow"/>
        </w:rPr>
        <w:t xml:space="preserve"> https://portaluniversitasquality.ac.id:5388/ojssystem/index.php/Agroteknosains/article/view/188</w:t>
      </w:r>
    </w:p>
    <w:p w14:paraId="6223973D" w14:textId="77777777" w:rsidR="00B5667E" w:rsidRPr="00B5667E" w:rsidRDefault="00B5667E" w:rsidP="00B5667E">
      <w:pPr>
        <w:pStyle w:val="HTMLPreformatted"/>
        <w:ind w:left="567" w:hanging="567"/>
        <w:jc w:val="both"/>
        <w:rPr>
          <w:rStyle w:val="y2iqfc"/>
          <w:rFonts w:eastAsiaTheme="majorEastAsia"/>
          <w:highlight w:val="yellow"/>
          <w:lang w:val="en"/>
        </w:rPr>
      </w:pPr>
      <w:r w:rsidRPr="00B5667E">
        <w:rPr>
          <w:rStyle w:val="y2iqfc"/>
          <w:rFonts w:eastAsiaTheme="majorEastAsia"/>
          <w:highlight w:val="yellow"/>
          <w:lang w:val="en"/>
        </w:rPr>
        <w:t>(3) Niki, U.H.L., U.P. Jawang, and M.H. Ndapauri. (2002). Evaluation of Soil Fertility Status on Agricultural Land Post-Flash Flood in Watupuda Village, Umalulu District. Agrisaintifika Journal of Agricultural Sciences 6(2</w:t>
      </w:r>
      <w:proofErr w:type="gramStart"/>
      <w:r w:rsidRPr="00B5667E">
        <w:rPr>
          <w:rStyle w:val="y2iqfc"/>
          <w:rFonts w:eastAsiaTheme="majorEastAsia"/>
          <w:highlight w:val="yellow"/>
          <w:lang w:val="en"/>
        </w:rPr>
        <w:t>):139-148.DOI</w:t>
      </w:r>
      <w:proofErr w:type="gramEnd"/>
      <w:r w:rsidRPr="00B5667E">
        <w:rPr>
          <w:rStyle w:val="y2iqfc"/>
          <w:rFonts w:eastAsiaTheme="majorEastAsia"/>
          <w:highlight w:val="yellow"/>
          <w:lang w:val="en"/>
        </w:rPr>
        <w:t>:10.32585/</w:t>
      </w:r>
      <w:proofErr w:type="gramStart"/>
      <w:r w:rsidRPr="00B5667E">
        <w:rPr>
          <w:rStyle w:val="y2iqfc"/>
          <w:rFonts w:eastAsiaTheme="majorEastAsia"/>
          <w:highlight w:val="yellow"/>
          <w:lang w:val="en"/>
        </w:rPr>
        <w:t>ags.v</w:t>
      </w:r>
      <w:proofErr w:type="gramEnd"/>
      <w:r w:rsidRPr="00B5667E">
        <w:rPr>
          <w:rStyle w:val="y2iqfc"/>
          <w:rFonts w:eastAsiaTheme="majorEastAsia"/>
          <w:highlight w:val="yellow"/>
          <w:lang w:val="en"/>
        </w:rPr>
        <w:t xml:space="preserve">6i2.3244. </w:t>
      </w:r>
      <w:r w:rsidRPr="00B5667E">
        <w:rPr>
          <w:highlight w:val="yellow"/>
        </w:rPr>
        <w:t>https://journal.univetbantara.ac.id/index.php/agrisaintifika/article/view/3244</w:t>
      </w:r>
    </w:p>
    <w:p w14:paraId="0A6DDD93" w14:textId="77777777" w:rsidR="00B5667E" w:rsidRPr="00B5667E" w:rsidRDefault="00B5667E" w:rsidP="00B5667E">
      <w:pPr>
        <w:pStyle w:val="HTMLPreformatted"/>
        <w:ind w:left="567" w:hanging="567"/>
        <w:jc w:val="both"/>
        <w:rPr>
          <w:rStyle w:val="y2iqfc"/>
          <w:rFonts w:eastAsiaTheme="majorEastAsia"/>
          <w:highlight w:val="yellow"/>
          <w:lang w:val="en"/>
        </w:rPr>
      </w:pPr>
      <w:r w:rsidRPr="00B5667E">
        <w:rPr>
          <w:rStyle w:val="y2iqfc"/>
          <w:rFonts w:eastAsiaTheme="majorEastAsia"/>
          <w:highlight w:val="yellow"/>
          <w:lang w:val="en"/>
        </w:rPr>
        <w:t>(4) Milla, S., M.U. Nganji, L.D. Lewu, S.K.K.L. Kapoe, A.U.H. Pari, and O.K. Taranau. (2024). Analysis of Soil Fertility Status on Agricultural Land in Lambanapu Village, Kambera District, East Sumba Regency. Sandalwood Journal. 02 (1): 39-45.</w:t>
      </w:r>
    </w:p>
    <w:p w14:paraId="33D9FEC9" w14:textId="77777777" w:rsidR="00B5667E" w:rsidRPr="00B5667E" w:rsidRDefault="00B5667E" w:rsidP="00B5667E">
      <w:pPr>
        <w:pStyle w:val="HTMLPreformatted"/>
        <w:ind w:left="567" w:hanging="567"/>
        <w:jc w:val="both"/>
        <w:rPr>
          <w:highlight w:val="yellow"/>
        </w:rPr>
      </w:pPr>
      <w:r w:rsidRPr="00B5667E">
        <w:rPr>
          <w:rStyle w:val="y2iqfc"/>
          <w:rFonts w:eastAsiaTheme="majorEastAsia"/>
          <w:highlight w:val="yellow"/>
          <w:lang w:val="en"/>
        </w:rPr>
        <w:t xml:space="preserve">     </w:t>
      </w:r>
      <w:r w:rsidRPr="00B5667E">
        <w:rPr>
          <w:highlight w:val="yellow"/>
        </w:rPr>
        <w:t>https://ojs.unkriswina.ac.id/index.php/JTS/article/view/769</w:t>
      </w:r>
    </w:p>
    <w:p w14:paraId="4D102934" w14:textId="77777777" w:rsidR="00B5667E" w:rsidRPr="00B5667E" w:rsidRDefault="00B5667E" w:rsidP="00B5667E">
      <w:pPr>
        <w:pStyle w:val="HTMLPreformatted"/>
        <w:ind w:left="567" w:hanging="567"/>
        <w:jc w:val="both"/>
        <w:rPr>
          <w:rStyle w:val="y2iqfc"/>
          <w:rFonts w:eastAsiaTheme="majorEastAsia"/>
          <w:highlight w:val="yellow"/>
          <w:lang w:val="en"/>
        </w:rPr>
      </w:pPr>
      <w:r w:rsidRPr="00B5667E">
        <w:rPr>
          <w:rStyle w:val="y2iqfc"/>
          <w:rFonts w:eastAsiaTheme="majorEastAsia"/>
          <w:highlight w:val="yellow"/>
          <w:lang w:val="en"/>
        </w:rPr>
        <w:t xml:space="preserve">(5) Simatupang, R.N., N.M. Trigunasih, and I.D.M. Arthagama. (2021). Evaluation of soil fertility status in rice field land use in Subak, North Denpasar District, based on a geographic information system (GIS). Nandur Journal 1 (3): 112–121. </w:t>
      </w:r>
      <w:r w:rsidRPr="00B5667E">
        <w:rPr>
          <w:highlight w:val="yellow"/>
          <w:lang w:val="id-ID"/>
        </w:rPr>
        <w:t>https://jurnal.harianregional.com/nandur/id-77072</w:t>
      </w:r>
    </w:p>
    <w:p w14:paraId="000994F9" w14:textId="77777777" w:rsidR="00B5667E" w:rsidRPr="00B5667E" w:rsidRDefault="00B5667E" w:rsidP="00B5667E">
      <w:pPr>
        <w:pStyle w:val="HTMLPreformatted"/>
        <w:ind w:left="567" w:hanging="567"/>
        <w:jc w:val="both"/>
        <w:rPr>
          <w:rStyle w:val="y2iqfc"/>
          <w:rFonts w:eastAsiaTheme="majorEastAsia"/>
          <w:highlight w:val="yellow"/>
          <w:lang w:val="en"/>
        </w:rPr>
      </w:pPr>
      <w:r w:rsidRPr="00B5667E">
        <w:rPr>
          <w:rStyle w:val="y2iqfc"/>
          <w:rFonts w:eastAsiaTheme="majorEastAsia"/>
          <w:highlight w:val="yellow"/>
          <w:lang w:val="en"/>
        </w:rPr>
        <w:t>(6) Risal, A. T. (2022). Adaptation strategies for dryland farmers in flood-affected areas in Lempake Village, Samarinda City. Geoedusains Journal. 3 (1): 27–37.</w:t>
      </w:r>
      <w:r w:rsidRPr="00B5667E">
        <w:rPr>
          <w:highlight w:val="yellow"/>
        </w:rPr>
        <w:t xml:space="preserve">     https://jurnal.fkip.unmul.ac.id/index.php/geoedusains/article/view/1298</w:t>
      </w:r>
    </w:p>
    <w:p w14:paraId="0AA4C936" w14:textId="77777777" w:rsidR="00B5667E" w:rsidRPr="00B5667E" w:rsidRDefault="00B5667E" w:rsidP="00B5667E">
      <w:pPr>
        <w:pStyle w:val="HTMLPreformatted"/>
        <w:ind w:left="567" w:hanging="567"/>
        <w:jc w:val="both"/>
        <w:rPr>
          <w:rStyle w:val="y2iqfc"/>
          <w:rFonts w:eastAsiaTheme="majorEastAsia"/>
          <w:highlight w:val="yellow"/>
          <w:lang w:val="en"/>
        </w:rPr>
      </w:pPr>
      <w:r w:rsidRPr="00B5667E">
        <w:rPr>
          <w:rStyle w:val="y2iqfc"/>
          <w:rFonts w:eastAsiaTheme="majorEastAsia"/>
          <w:highlight w:val="yellow"/>
          <w:lang w:val="en"/>
        </w:rPr>
        <w:t>(7) Arsyad, S. (2010). Soil and Water Conservation. IPB Press. Bogor.</w:t>
      </w:r>
    </w:p>
    <w:p w14:paraId="6EC7CB4C" w14:textId="77777777" w:rsidR="00B5667E" w:rsidRPr="00B5667E" w:rsidRDefault="00B5667E" w:rsidP="00B5667E">
      <w:pPr>
        <w:suppressAutoHyphens/>
        <w:spacing w:after="0" w:line="240" w:lineRule="auto"/>
        <w:jc w:val="both"/>
        <w:rPr>
          <w:rStyle w:val="y2iqfc"/>
          <w:rFonts w:ascii="Courier New" w:hAnsi="Courier New" w:cs="Courier New"/>
          <w:sz w:val="20"/>
          <w:szCs w:val="20"/>
          <w:highlight w:val="yellow"/>
        </w:rPr>
      </w:pPr>
      <w:r w:rsidRPr="00B5667E">
        <w:rPr>
          <w:rStyle w:val="y2iqfc"/>
          <w:rFonts w:ascii="Courier New" w:eastAsiaTheme="majorEastAsia" w:hAnsi="Courier New" w:cs="Courier New"/>
          <w:sz w:val="20"/>
          <w:szCs w:val="20"/>
          <w:highlight w:val="yellow"/>
          <w:lang w:val="en"/>
        </w:rPr>
        <w:t xml:space="preserve">    </w:t>
      </w:r>
      <w:hyperlink r:id="rId9" w:history="1">
        <w:r w:rsidRPr="00B5667E">
          <w:rPr>
            <w:rStyle w:val="Hyperlink"/>
            <w:rFonts w:ascii="Courier New" w:hAnsi="Courier New" w:cs="Courier New"/>
            <w:sz w:val="20"/>
            <w:szCs w:val="20"/>
            <w:highlight w:val="yellow"/>
          </w:rPr>
          <w:t>https://soil.ipb.ac.id/soil-and-water-conservation/</w:t>
        </w:r>
      </w:hyperlink>
    </w:p>
    <w:p w14:paraId="01CF1054" w14:textId="77777777" w:rsidR="00B5667E" w:rsidRPr="00B5667E" w:rsidRDefault="00B5667E" w:rsidP="00B5667E">
      <w:pPr>
        <w:pStyle w:val="HTMLPreformatted"/>
        <w:ind w:left="567" w:hanging="567"/>
        <w:jc w:val="both"/>
        <w:rPr>
          <w:rStyle w:val="y2iqfc"/>
          <w:rFonts w:eastAsiaTheme="majorEastAsia"/>
          <w:highlight w:val="yellow"/>
          <w:lang w:val="en"/>
        </w:rPr>
      </w:pPr>
      <w:r w:rsidRPr="00B5667E">
        <w:rPr>
          <w:rStyle w:val="y2iqfc"/>
          <w:rFonts w:eastAsiaTheme="majorEastAsia"/>
          <w:highlight w:val="yellow"/>
          <w:lang w:val="en"/>
        </w:rPr>
        <w:lastRenderedPageBreak/>
        <w:t xml:space="preserve">(8) Harahap, F. S., Kurniawan, D., Susanti, R. (2021). Mapping of Soil pH and Organic Carbon Status of Rainfed Rice Fields in Panai Tengah District, Labuhanbatu Regency. Agrosains Journal of Agronomy Research. 23 (1): 37-42. </w:t>
      </w:r>
      <w:r w:rsidRPr="00B5667E">
        <w:rPr>
          <w:highlight w:val="yellow"/>
          <w:lang w:val="id-ID"/>
        </w:rPr>
        <w:t>https://jurnal.uns.ac.id/agrosains/article/view/48479</w:t>
      </w:r>
    </w:p>
    <w:p w14:paraId="7FB20F33" w14:textId="77777777" w:rsidR="00B5667E" w:rsidRPr="00B5667E" w:rsidRDefault="00B5667E" w:rsidP="00B5667E">
      <w:pPr>
        <w:pStyle w:val="HTMLPreformatted"/>
        <w:ind w:left="567" w:hanging="567"/>
        <w:jc w:val="both"/>
        <w:rPr>
          <w:rStyle w:val="y2iqfc"/>
          <w:rFonts w:eastAsiaTheme="majorEastAsia"/>
          <w:highlight w:val="yellow"/>
          <w:lang w:val="en"/>
        </w:rPr>
      </w:pPr>
      <w:r w:rsidRPr="00B5667E">
        <w:rPr>
          <w:rStyle w:val="y2iqfc"/>
          <w:rFonts w:eastAsiaTheme="majorEastAsia"/>
          <w:highlight w:val="yellow"/>
          <w:lang w:val="en"/>
        </w:rPr>
        <w:t>(9) Hamid, I., S. Priatna, and A. Hermawan. (2017). Characteristics of Several Physical and Chemical Properties of Soil in Former Tin Mining Lands. Journal of Science Research, 19(1).</w:t>
      </w:r>
    </w:p>
    <w:p w14:paraId="6CFE0991" w14:textId="77777777" w:rsidR="00B5667E" w:rsidRPr="00B5667E" w:rsidRDefault="00B5667E" w:rsidP="00B5667E">
      <w:pPr>
        <w:suppressAutoHyphens/>
        <w:spacing w:after="0" w:line="240" w:lineRule="auto"/>
        <w:jc w:val="both"/>
        <w:rPr>
          <w:rStyle w:val="y2iqfc"/>
          <w:rFonts w:ascii="Courier New" w:hAnsi="Courier New" w:cs="Courier New"/>
          <w:sz w:val="20"/>
          <w:szCs w:val="20"/>
          <w:highlight w:val="yellow"/>
          <w:lang w:val="id-ID"/>
        </w:rPr>
      </w:pPr>
      <w:r w:rsidRPr="00B5667E">
        <w:rPr>
          <w:rFonts w:ascii="Courier New" w:hAnsi="Courier New" w:cs="Courier New"/>
          <w:sz w:val="20"/>
          <w:szCs w:val="20"/>
          <w:highlight w:val="yellow"/>
          <w:lang w:val="id-ID"/>
        </w:rPr>
        <w:t xml:space="preserve">     https://ejurnal.mipa.unsri.ac.id/index.php/jps/article/view/8</w:t>
      </w:r>
    </w:p>
    <w:p w14:paraId="68C20220" w14:textId="77777777" w:rsidR="00B5667E" w:rsidRPr="00B5667E" w:rsidRDefault="00B5667E" w:rsidP="00B5667E">
      <w:pPr>
        <w:pStyle w:val="HTMLPreformatted"/>
        <w:ind w:left="709" w:hanging="709"/>
        <w:jc w:val="both"/>
        <w:rPr>
          <w:rStyle w:val="y2iqfc"/>
          <w:highlight w:val="yellow"/>
        </w:rPr>
      </w:pPr>
      <w:r w:rsidRPr="00B5667E">
        <w:rPr>
          <w:rStyle w:val="y2iqfc"/>
          <w:rFonts w:eastAsiaTheme="majorEastAsia"/>
          <w:highlight w:val="yellow"/>
          <w:lang w:val="en"/>
        </w:rPr>
        <w:t>(10)  Munawar, A. (2011). Soil Fertility and Plant Nutrition. IPB Press, Bogor. https://kikp-pertanian.id/bppsdmp/opac/detail-opac?id=4340</w:t>
      </w:r>
    </w:p>
    <w:p w14:paraId="75D8689A" w14:textId="77777777" w:rsidR="00B5667E" w:rsidRPr="00B5667E" w:rsidRDefault="00B5667E" w:rsidP="00B5667E">
      <w:pPr>
        <w:spacing w:after="0" w:line="240" w:lineRule="auto"/>
        <w:ind w:left="567" w:hanging="567"/>
        <w:jc w:val="both"/>
        <w:rPr>
          <w:rStyle w:val="y2iqfc"/>
          <w:rFonts w:ascii="Courier New" w:hAnsi="Courier New" w:cs="Courier New"/>
          <w:sz w:val="20"/>
          <w:szCs w:val="20"/>
          <w:highlight w:val="yellow"/>
        </w:rPr>
      </w:pPr>
      <w:r w:rsidRPr="00B5667E">
        <w:rPr>
          <w:rStyle w:val="y2iqfc"/>
          <w:rFonts w:ascii="Courier New" w:eastAsiaTheme="majorEastAsia" w:hAnsi="Courier New" w:cs="Courier New"/>
          <w:sz w:val="20"/>
          <w:szCs w:val="20"/>
          <w:highlight w:val="yellow"/>
          <w:lang w:val="en"/>
        </w:rPr>
        <w:t xml:space="preserve">(11)  Hardjowigeno, S., M. L. Rayes. 2005. Paddy Fields: Characteristics of Paddy Field Conditions and Problems in Indonesia. Malang. Bayumedia Publishing. </w:t>
      </w:r>
      <w:r w:rsidRPr="00B5667E">
        <w:rPr>
          <w:rFonts w:ascii="Courier New" w:hAnsi="Courier New" w:cs="Courier New"/>
          <w:sz w:val="20"/>
          <w:szCs w:val="20"/>
          <w:highlight w:val="yellow"/>
        </w:rPr>
        <w:t>https://kikp-pertanian.id/polbangtanmalang/opac/detail-opac?id=1861</w:t>
      </w:r>
    </w:p>
    <w:p w14:paraId="0A31DA21" w14:textId="77777777" w:rsidR="00B5667E" w:rsidRPr="009178AF" w:rsidRDefault="00B5667E" w:rsidP="00B5667E">
      <w:pPr>
        <w:pStyle w:val="HTMLPreformatted"/>
        <w:ind w:left="567" w:hanging="567"/>
        <w:jc w:val="both"/>
      </w:pPr>
      <w:r w:rsidRPr="00B5667E">
        <w:rPr>
          <w:rStyle w:val="y2iqfc"/>
          <w:rFonts w:eastAsiaTheme="majorEastAsia"/>
          <w:highlight w:val="yellow"/>
          <w:lang w:val="en"/>
        </w:rPr>
        <w:t xml:space="preserve">(12) Winarso, S. 2025. Soil Fertility: The Basis for Soil Health and Quality. Gava Media, Yogyakarta. </w:t>
      </w:r>
      <w:r w:rsidRPr="00B5667E">
        <w:rPr>
          <w:highlight w:val="yellow"/>
        </w:rPr>
        <w:t>https://scholar.google.com/citations?view_op=view_citation&amp;hl=en&amp;user=d1BjAfcAAAAJ&amp;citation_for_view=d1BjAfcAAAAJ:u5HHmVD_uO8C.</w:t>
      </w:r>
    </w:p>
    <w:p w14:paraId="3589D2F8" w14:textId="77777777" w:rsidR="00B5667E" w:rsidRDefault="00B5667E" w:rsidP="00B5667E">
      <w:pPr>
        <w:pStyle w:val="HTMLPreformatted"/>
        <w:ind w:left="567" w:hanging="567"/>
        <w:jc w:val="both"/>
      </w:pPr>
    </w:p>
    <w:p w14:paraId="036F49AA" w14:textId="77777777" w:rsidR="00B5667E" w:rsidRDefault="00B5667E" w:rsidP="00B5667E">
      <w:pPr>
        <w:ind w:left="567" w:hanging="567"/>
        <w:jc w:val="both"/>
      </w:pPr>
    </w:p>
    <w:p w14:paraId="5F69C2DE" w14:textId="77777777" w:rsidR="00B5667E" w:rsidRDefault="00B5667E" w:rsidP="00B5667E">
      <w:pPr>
        <w:ind w:left="567" w:hanging="567"/>
        <w:jc w:val="both"/>
      </w:pPr>
    </w:p>
    <w:sectPr w:rsidR="00B5667E" w:rsidSect="00471EF4">
      <w:headerReference w:type="even" r:id="rId10"/>
      <w:headerReference w:type="default" r:id="rId11"/>
      <w:footerReference w:type="even" r:id="rId12"/>
      <w:footerReference w:type="default" r:id="rId13"/>
      <w:headerReference w:type="first" r:id="rId14"/>
      <w:footerReference w:type="first" r:id="rId15"/>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833CB" w14:textId="77777777" w:rsidR="00524AC8" w:rsidRDefault="00524AC8" w:rsidP="004B169D">
      <w:pPr>
        <w:spacing w:after="0" w:line="240" w:lineRule="auto"/>
      </w:pPr>
      <w:r>
        <w:separator/>
      </w:r>
    </w:p>
  </w:endnote>
  <w:endnote w:type="continuationSeparator" w:id="0">
    <w:p w14:paraId="0D6CF0F6" w14:textId="77777777" w:rsidR="00524AC8" w:rsidRDefault="00524AC8" w:rsidP="004B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BBB4" w14:textId="77777777" w:rsidR="004B169D" w:rsidRDefault="004B1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8479" w14:textId="77777777" w:rsidR="004B169D" w:rsidRDefault="004B1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ABC3" w14:textId="77777777" w:rsidR="004B169D" w:rsidRDefault="004B1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2630" w14:textId="77777777" w:rsidR="00524AC8" w:rsidRDefault="00524AC8" w:rsidP="004B169D">
      <w:pPr>
        <w:spacing w:after="0" w:line="240" w:lineRule="auto"/>
      </w:pPr>
      <w:r>
        <w:separator/>
      </w:r>
    </w:p>
  </w:footnote>
  <w:footnote w:type="continuationSeparator" w:id="0">
    <w:p w14:paraId="51FD9C41" w14:textId="77777777" w:rsidR="00524AC8" w:rsidRDefault="00524AC8" w:rsidP="004B1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351D" w14:textId="46DC36EC" w:rsidR="004B169D" w:rsidRDefault="00000000">
    <w:pPr>
      <w:pStyle w:val="Header"/>
    </w:pPr>
    <w:r>
      <w:rPr>
        <w:noProof/>
      </w:rPr>
      <w:pict w14:anchorId="41CBE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232032" o:spid="_x0000_s1026"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A7A1" w14:textId="5879B59E" w:rsidR="004B169D" w:rsidRDefault="00000000">
    <w:pPr>
      <w:pStyle w:val="Header"/>
    </w:pPr>
    <w:r>
      <w:rPr>
        <w:noProof/>
      </w:rPr>
      <w:pict w14:anchorId="529FD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232033" o:spid="_x0000_s1027"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A71" w14:textId="55A9BF2E" w:rsidR="004B169D" w:rsidRDefault="00000000">
    <w:pPr>
      <w:pStyle w:val="Header"/>
    </w:pPr>
    <w:r>
      <w:rPr>
        <w:noProof/>
      </w:rPr>
      <w:pict w14:anchorId="51982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232031" o:spid="_x0000_s1025"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NzG3MLAwMzO0NDZS0lEKTi0uzszPAykwrgUAlDTq0SwAAAA="/>
  </w:docVars>
  <w:rsids>
    <w:rsidRoot w:val="00471EF4"/>
    <w:rsid w:val="00092E4C"/>
    <w:rsid w:val="000D4B66"/>
    <w:rsid w:val="000F258E"/>
    <w:rsid w:val="001015AE"/>
    <w:rsid w:val="0010180E"/>
    <w:rsid w:val="00106480"/>
    <w:rsid w:val="00181718"/>
    <w:rsid w:val="00215D7C"/>
    <w:rsid w:val="00253BC2"/>
    <w:rsid w:val="00266D65"/>
    <w:rsid w:val="00275A77"/>
    <w:rsid w:val="00471EF4"/>
    <w:rsid w:val="004844F9"/>
    <w:rsid w:val="004B169D"/>
    <w:rsid w:val="004B6C89"/>
    <w:rsid w:val="00524AC8"/>
    <w:rsid w:val="005D5964"/>
    <w:rsid w:val="007A4266"/>
    <w:rsid w:val="008E1AC3"/>
    <w:rsid w:val="00942E09"/>
    <w:rsid w:val="00961504"/>
    <w:rsid w:val="009767C8"/>
    <w:rsid w:val="009F03D0"/>
    <w:rsid w:val="00A31206"/>
    <w:rsid w:val="00AB2A1E"/>
    <w:rsid w:val="00AC4431"/>
    <w:rsid w:val="00B169D9"/>
    <w:rsid w:val="00B3429E"/>
    <w:rsid w:val="00B513F7"/>
    <w:rsid w:val="00B5667E"/>
    <w:rsid w:val="00C9044F"/>
    <w:rsid w:val="00D42F6C"/>
    <w:rsid w:val="00D746B7"/>
    <w:rsid w:val="00DB62F9"/>
    <w:rsid w:val="00DB6D04"/>
    <w:rsid w:val="00E457CE"/>
    <w:rsid w:val="00EE6E96"/>
    <w:rsid w:val="00F86C2C"/>
    <w:rsid w:val="00FC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92F43"/>
  <w15:chartTrackingRefBased/>
  <w15:docId w15:val="{7D25E714-F8F4-411F-AD36-0021D4BF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EF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71EF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71EF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71EF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71EF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71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EF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71E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71EF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71EF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71EF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71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EF4"/>
    <w:rPr>
      <w:rFonts w:eastAsiaTheme="majorEastAsia" w:cstheme="majorBidi"/>
      <w:color w:val="272727" w:themeColor="text1" w:themeTint="D8"/>
    </w:rPr>
  </w:style>
  <w:style w:type="paragraph" w:styleId="Title">
    <w:name w:val="Title"/>
    <w:basedOn w:val="Normal"/>
    <w:next w:val="Normal"/>
    <w:link w:val="TitleChar"/>
    <w:uiPriority w:val="10"/>
    <w:qFormat/>
    <w:rsid w:val="00471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E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E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1EF4"/>
    <w:rPr>
      <w:i/>
      <w:iCs/>
      <w:color w:val="404040" w:themeColor="text1" w:themeTint="BF"/>
    </w:rPr>
  </w:style>
  <w:style w:type="paragraph" w:styleId="ListParagraph">
    <w:name w:val="List Paragraph"/>
    <w:basedOn w:val="Normal"/>
    <w:uiPriority w:val="34"/>
    <w:qFormat/>
    <w:rsid w:val="00471EF4"/>
    <w:pPr>
      <w:ind w:left="720"/>
      <w:contextualSpacing/>
    </w:pPr>
  </w:style>
  <w:style w:type="character" w:styleId="IntenseEmphasis">
    <w:name w:val="Intense Emphasis"/>
    <w:basedOn w:val="DefaultParagraphFont"/>
    <w:uiPriority w:val="21"/>
    <w:qFormat/>
    <w:rsid w:val="00471EF4"/>
    <w:rPr>
      <w:i/>
      <w:iCs/>
      <w:color w:val="365F91" w:themeColor="accent1" w:themeShade="BF"/>
    </w:rPr>
  </w:style>
  <w:style w:type="paragraph" w:styleId="IntenseQuote">
    <w:name w:val="Intense Quote"/>
    <w:basedOn w:val="Normal"/>
    <w:next w:val="Normal"/>
    <w:link w:val="IntenseQuoteChar"/>
    <w:uiPriority w:val="30"/>
    <w:qFormat/>
    <w:rsid w:val="00471E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71EF4"/>
    <w:rPr>
      <w:i/>
      <w:iCs/>
      <w:color w:val="365F91" w:themeColor="accent1" w:themeShade="BF"/>
    </w:rPr>
  </w:style>
  <w:style w:type="character" w:styleId="IntenseReference">
    <w:name w:val="Intense Reference"/>
    <w:basedOn w:val="DefaultParagraphFont"/>
    <w:uiPriority w:val="32"/>
    <w:qFormat/>
    <w:rsid w:val="00471EF4"/>
    <w:rPr>
      <w:b/>
      <w:bCs/>
      <w:smallCaps/>
      <w:color w:val="365F91" w:themeColor="accent1" w:themeShade="BF"/>
      <w:spacing w:val="5"/>
    </w:rPr>
  </w:style>
  <w:style w:type="paragraph" w:styleId="HTMLPreformatted">
    <w:name w:val="HTML Preformatted"/>
    <w:basedOn w:val="Normal"/>
    <w:link w:val="HTMLPreformattedChar"/>
    <w:uiPriority w:val="99"/>
    <w:unhideWhenUsed/>
    <w:rsid w:val="00471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71EF4"/>
    <w:rPr>
      <w:rFonts w:ascii="Courier New" w:eastAsia="Times New Roman" w:hAnsi="Courier New" w:cs="Courier New"/>
      <w:sz w:val="20"/>
      <w:szCs w:val="20"/>
    </w:rPr>
  </w:style>
  <w:style w:type="character" w:customStyle="1" w:styleId="y2iqfc">
    <w:name w:val="y2iqfc"/>
    <w:basedOn w:val="DefaultParagraphFont"/>
    <w:rsid w:val="00471EF4"/>
  </w:style>
  <w:style w:type="table" w:customStyle="1" w:styleId="PlainTable21">
    <w:name w:val="Plain Table 21"/>
    <w:basedOn w:val="TableNormal"/>
    <w:uiPriority w:val="42"/>
    <w:rsid w:val="00266D65"/>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uiPriority w:val="42"/>
    <w:rsid w:val="00266D65"/>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266D65"/>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A4266"/>
    <w:rPr>
      <w:color w:val="0066CC"/>
      <w:u w:val="single"/>
    </w:rPr>
  </w:style>
  <w:style w:type="character" w:customStyle="1" w:styleId="UnresolvedMention1">
    <w:name w:val="Unresolved Mention1"/>
    <w:basedOn w:val="DefaultParagraphFont"/>
    <w:uiPriority w:val="99"/>
    <w:semiHidden/>
    <w:unhideWhenUsed/>
    <w:rsid w:val="00DB62F9"/>
    <w:rPr>
      <w:color w:val="605E5C"/>
      <w:shd w:val="clear" w:color="auto" w:fill="E1DFDD"/>
    </w:rPr>
  </w:style>
  <w:style w:type="paragraph" w:styleId="Header">
    <w:name w:val="header"/>
    <w:basedOn w:val="Normal"/>
    <w:link w:val="HeaderChar"/>
    <w:uiPriority w:val="99"/>
    <w:unhideWhenUsed/>
    <w:rsid w:val="004B1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69D"/>
  </w:style>
  <w:style w:type="paragraph" w:styleId="Footer">
    <w:name w:val="footer"/>
    <w:basedOn w:val="Normal"/>
    <w:link w:val="FooterChar"/>
    <w:uiPriority w:val="99"/>
    <w:unhideWhenUsed/>
    <w:rsid w:val="004B1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oil.ipb.ac.id/soil-and-water-conservati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Evi23</b:Tag>
    <b:SourceType>Book</b:SourceType>
    <b:Guid>{FD887E87-0982-4406-8348-5728DC1779E3}</b:Guid>
    <b:Title>ANALISIS KIMIA TANAH, TANAMAN, AIR DAN PUPUK</b:Title>
    <b:Year>2023</b:Year>
    <b:Author>
      <b:Author>
        <b:NameList>
          <b:Person>
            <b:Last>Eviati</b:Last>
            <b:First>Sulaeman,</b:First>
            <b:Middle>H Lenita, dll</b:Middle>
          </b:Person>
        </b:NameList>
      </b:Author>
    </b:Author>
    <b:City>Bogor</b:City>
    <b:Publisher>KEMENTRIAN PERTANIAN REPUBLIK INDONESIA</b:Publisher>
    <b:RefOrder>11</b:RefOrder>
  </b:Source>
</b:Sources>
</file>

<file path=customXml/itemProps1.xml><?xml version="1.0" encoding="utf-8"?>
<ds:datastoreItem xmlns:ds="http://schemas.openxmlformats.org/officeDocument/2006/customXml" ds:itemID="{B66C7D05-6EC1-4DA8-8AE9-AF4162C3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3549</Words>
  <Characters>18991</Characters>
  <Application>Microsoft Office Word</Application>
  <DocSecurity>0</DocSecurity>
  <Lines>633</Lines>
  <Paragraphs>321</Paragraphs>
  <ScaleCrop>false</ScaleCrop>
  <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ACERE5473G</cp:lastModifiedBy>
  <cp:revision>2</cp:revision>
  <dcterms:created xsi:type="dcterms:W3CDTF">2025-09-17T10:14:00Z</dcterms:created>
  <dcterms:modified xsi:type="dcterms:W3CDTF">2025-09-17T10:14:00Z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3ae20be3-074b-4072-ae45-0e0f534d8baf</vt:lpwstr>
  </property>
</Properties>
</file>