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422DD" w14:textId="77777777" w:rsidR="0096005B" w:rsidRPr="00AE3B2F" w:rsidRDefault="00F91384" w:rsidP="00AE3B2F">
      <w:pPr>
        <w:jc w:val="center"/>
        <w:rPr>
          <w:b/>
          <w:sz w:val="28"/>
          <w:szCs w:val="28"/>
        </w:rPr>
      </w:pPr>
      <w:r w:rsidRPr="00AE3B2F">
        <w:rPr>
          <w:b/>
          <w:sz w:val="28"/>
          <w:szCs w:val="28"/>
        </w:rPr>
        <w:t xml:space="preserve">Diagnostic Accuracy of Ultrasonography </w:t>
      </w:r>
      <w:r w:rsidR="00C4516B" w:rsidRPr="00AE3B2F">
        <w:rPr>
          <w:b/>
          <w:sz w:val="28"/>
          <w:szCs w:val="28"/>
        </w:rPr>
        <w:t>versus</w:t>
      </w:r>
      <w:r w:rsidRPr="00AE3B2F">
        <w:rPr>
          <w:b/>
          <w:sz w:val="28"/>
          <w:szCs w:val="28"/>
        </w:rPr>
        <w:t xml:space="preserve"> </w:t>
      </w:r>
      <w:proofErr w:type="spellStart"/>
      <w:r w:rsidRPr="00AE3B2F">
        <w:rPr>
          <w:b/>
          <w:sz w:val="28"/>
          <w:szCs w:val="28"/>
        </w:rPr>
        <w:t>Sestamibi</w:t>
      </w:r>
      <w:proofErr w:type="spellEnd"/>
      <w:r w:rsidRPr="00AE3B2F">
        <w:rPr>
          <w:b/>
          <w:sz w:val="28"/>
          <w:szCs w:val="28"/>
        </w:rPr>
        <w:t xml:space="preserve"> Scan in Preoperative Localization of Solitary Parathyroid Adenoma: A Cross-Sectional Analysis from a Tertiary Care Center in Bangladesh</w:t>
      </w:r>
    </w:p>
    <w:p w14:paraId="486A7497" w14:textId="77777777" w:rsidR="00F91384" w:rsidRDefault="00F91384">
      <w:pPr>
        <w:rPr>
          <w:b/>
        </w:rPr>
      </w:pPr>
    </w:p>
    <w:p w14:paraId="74AC85E9" w14:textId="13577DFA" w:rsidR="00DD770A" w:rsidRDefault="00DD770A">
      <w:pPr>
        <w:rPr>
          <w:b/>
        </w:rPr>
      </w:pPr>
    </w:p>
    <w:p w14:paraId="1E88904D" w14:textId="77777777" w:rsidR="00E01CB1" w:rsidRDefault="00E01CB1">
      <w:pPr>
        <w:rPr>
          <w:b/>
        </w:rPr>
      </w:pPr>
    </w:p>
    <w:p w14:paraId="69E05C70" w14:textId="77777777" w:rsidR="00DD770A" w:rsidRDefault="00DD770A">
      <w:pPr>
        <w:rPr>
          <w:b/>
        </w:rPr>
      </w:pPr>
    </w:p>
    <w:p w14:paraId="3C59CD93" w14:textId="4AFF12E7" w:rsidR="00437666" w:rsidRPr="00352995" w:rsidRDefault="00437666" w:rsidP="00352995">
      <w:pPr>
        <w:spacing w:line="276" w:lineRule="auto"/>
        <w:jc w:val="center"/>
        <w:rPr>
          <w:b/>
          <w:i/>
          <w:iCs/>
          <w:sz w:val="18"/>
          <w:szCs w:val="20"/>
        </w:rPr>
      </w:pPr>
      <w:r w:rsidRPr="00352995">
        <w:rPr>
          <w:b/>
          <w:i/>
          <w:iCs/>
          <w:sz w:val="20"/>
          <w:szCs w:val="20"/>
        </w:rPr>
        <w:t>ABSTRACT</w:t>
      </w:r>
    </w:p>
    <w:p w14:paraId="5C305D63" w14:textId="77777777" w:rsidR="00437666" w:rsidRPr="00F822F2" w:rsidRDefault="00437666" w:rsidP="00F822F2">
      <w:pPr>
        <w:jc w:val="both"/>
        <w:rPr>
          <w:i/>
          <w:sz w:val="20"/>
        </w:rPr>
      </w:pPr>
      <w:r w:rsidRPr="00F822F2">
        <w:rPr>
          <w:b/>
          <w:i/>
          <w:sz w:val="20"/>
        </w:rPr>
        <w:t xml:space="preserve">Background: </w:t>
      </w:r>
      <w:r w:rsidR="002C4C03" w:rsidRPr="00F822F2">
        <w:rPr>
          <w:i/>
          <w:sz w:val="20"/>
        </w:rPr>
        <w:t>Solitary parathyroid adenoma is the main etiological factor of primary hyperparathyroidism. Perfect preoperative localization is instrumental in ensuring focused parathyroidectomy in order to decrease complications.</w:t>
      </w:r>
      <w:r w:rsidR="002C4C03" w:rsidRPr="00F822F2">
        <w:rPr>
          <w:b/>
          <w:i/>
          <w:sz w:val="20"/>
        </w:rPr>
        <w:t xml:space="preserve"> Objective: </w:t>
      </w:r>
      <w:r w:rsidR="002C4C03" w:rsidRPr="00F822F2">
        <w:rPr>
          <w:i/>
          <w:sz w:val="20"/>
        </w:rPr>
        <w:t xml:space="preserve">This study aims to determine the accurate diagnostic tool between Ultrasonography and </w:t>
      </w:r>
      <w:proofErr w:type="spellStart"/>
      <w:r w:rsidR="002C4C03" w:rsidRPr="00F822F2">
        <w:rPr>
          <w:i/>
          <w:sz w:val="20"/>
        </w:rPr>
        <w:t>Sestamibi</w:t>
      </w:r>
      <w:proofErr w:type="spellEnd"/>
      <w:r w:rsidR="002C4C03" w:rsidRPr="00F822F2">
        <w:rPr>
          <w:i/>
          <w:sz w:val="20"/>
        </w:rPr>
        <w:t xml:space="preserve"> Scan to localize preoperative Solitary Parathyroid Adenoma. </w:t>
      </w:r>
      <w:r w:rsidR="002C4C03" w:rsidRPr="00F822F2">
        <w:rPr>
          <w:b/>
          <w:i/>
          <w:sz w:val="20"/>
        </w:rPr>
        <w:t>Methodology:</w:t>
      </w:r>
      <w:r w:rsidR="002C4C03" w:rsidRPr="00F822F2">
        <w:rPr>
          <w:i/>
          <w:sz w:val="20"/>
        </w:rPr>
        <w:t xml:space="preserve"> The study embraced a cross-sectional design conducted in the period of July 2022 to June 2023 at BSMMU, Dhaka. Conveniently, 14 PHPT patients with the biochemical diagnosis were added to the study because of a solitary adenoma. This study included 14 patients with ethical considerations. Demographics, clinical presentation, outcomes of imaging, intraoperative findings, and Biochemical Frozen section (BFS). Ultrasonography and </w:t>
      </w:r>
      <w:proofErr w:type="spellStart"/>
      <w:r w:rsidR="002C4C03" w:rsidRPr="00F822F2">
        <w:rPr>
          <w:i/>
          <w:sz w:val="20"/>
        </w:rPr>
        <w:t>Sestamibi</w:t>
      </w:r>
      <w:proofErr w:type="spellEnd"/>
      <w:r w:rsidR="002C4C03" w:rsidRPr="00F822F2">
        <w:rPr>
          <w:i/>
          <w:sz w:val="20"/>
        </w:rPr>
        <w:t xml:space="preserve"> Scan result was validated by BFS. The statistical analysis was accomplished with SPSS v22, and sensitivity, specificity, accuracy, PPV, and NPV were computed. </w:t>
      </w:r>
      <w:r w:rsidR="002C4C03" w:rsidRPr="00F822F2">
        <w:rPr>
          <w:b/>
          <w:i/>
          <w:sz w:val="20"/>
        </w:rPr>
        <w:t>Result:</w:t>
      </w:r>
      <w:r w:rsidR="002C4C03" w:rsidRPr="00F822F2">
        <w:rPr>
          <w:i/>
          <w:sz w:val="20"/>
        </w:rPr>
        <w:t xml:space="preserve"> </w:t>
      </w:r>
      <w:r w:rsidR="00F822F2" w:rsidRPr="00F822F2">
        <w:rPr>
          <w:i/>
          <w:sz w:val="20"/>
        </w:rPr>
        <w:t xml:space="preserve">The mean age was 32.36 ± 9.76 years, and predominance (71.4%) of male subjects was found. Most often, they presented to the medical center with renal symptoms (64.3%). USG had proper localization in 66.6% of cases with left lower lesions, 66.7% of right lower lesions, and 100-percent of right upper lesions, but false-negative to medial superior adenomas. </w:t>
      </w:r>
      <w:proofErr w:type="spellStart"/>
      <w:r w:rsidR="00F822F2" w:rsidRPr="00F822F2">
        <w:rPr>
          <w:i/>
          <w:sz w:val="20"/>
        </w:rPr>
        <w:t>Sestamibi</w:t>
      </w:r>
      <w:proofErr w:type="spellEnd"/>
      <w:r w:rsidR="00F822F2" w:rsidRPr="00F822F2">
        <w:rPr>
          <w:i/>
          <w:sz w:val="20"/>
        </w:rPr>
        <w:t xml:space="preserve"> scan revealed concordance between peroperative findings and scan findings of 100% at all sites. The validity test against BFS showed USG sensitivity 75.0%, specificity 50%, accuracy 71.4%, PPV 90.0 percent and NPV 25.0%. </w:t>
      </w:r>
      <w:proofErr w:type="spellStart"/>
      <w:r w:rsidR="00F822F2" w:rsidRPr="00F822F2">
        <w:rPr>
          <w:i/>
          <w:sz w:val="20"/>
        </w:rPr>
        <w:t>Sestamibi</w:t>
      </w:r>
      <w:proofErr w:type="spellEnd"/>
      <w:r w:rsidR="00F822F2" w:rsidRPr="00F822F2">
        <w:rPr>
          <w:i/>
          <w:sz w:val="20"/>
        </w:rPr>
        <w:t xml:space="preserve"> was sensitive with 100.0%, specificity of 0.0%, accuracy of 85.7%, PPV of 85.7% and NPV of 0.0. </w:t>
      </w:r>
      <w:r w:rsidR="00F822F2" w:rsidRPr="00F822F2">
        <w:rPr>
          <w:b/>
          <w:i/>
          <w:sz w:val="20"/>
        </w:rPr>
        <w:t>Conclusion:</w:t>
      </w:r>
      <w:r w:rsidR="00F822F2" w:rsidRPr="00F822F2">
        <w:rPr>
          <w:i/>
          <w:sz w:val="20"/>
        </w:rPr>
        <w:t xml:space="preserve"> According to the diagnosis accuracy, </w:t>
      </w:r>
      <w:proofErr w:type="spellStart"/>
      <w:r w:rsidR="00F822F2" w:rsidRPr="00F822F2">
        <w:rPr>
          <w:i/>
          <w:sz w:val="20"/>
        </w:rPr>
        <w:t>Sestamibi</w:t>
      </w:r>
      <w:proofErr w:type="spellEnd"/>
      <w:r w:rsidR="00F822F2" w:rsidRPr="00F822F2">
        <w:rPr>
          <w:i/>
          <w:sz w:val="20"/>
        </w:rPr>
        <w:t xml:space="preserve"> scan had a better diagnosis accuracy than USG, especially for ectopic adenomas. The combination of the two modalities would result in superior preoperative localization of solitary parathyroid adenoma, leading to optimization of surgical results.</w:t>
      </w:r>
    </w:p>
    <w:p w14:paraId="467B88C3" w14:textId="77777777" w:rsidR="00F822F2" w:rsidRPr="00F822F2" w:rsidRDefault="00F822F2" w:rsidP="00F822F2">
      <w:pPr>
        <w:jc w:val="both"/>
        <w:rPr>
          <w:i/>
          <w:sz w:val="20"/>
        </w:rPr>
      </w:pPr>
    </w:p>
    <w:p w14:paraId="0C3A8CF7" w14:textId="77777777" w:rsidR="00F822F2" w:rsidRPr="00F822F2" w:rsidRDefault="00F822F2" w:rsidP="00F822F2">
      <w:pPr>
        <w:jc w:val="both"/>
        <w:rPr>
          <w:i/>
          <w:sz w:val="20"/>
        </w:rPr>
      </w:pPr>
      <w:r w:rsidRPr="00F822F2">
        <w:rPr>
          <w:b/>
          <w:i/>
          <w:sz w:val="20"/>
        </w:rPr>
        <w:t xml:space="preserve">Keywords: </w:t>
      </w:r>
      <w:r w:rsidRPr="00F822F2">
        <w:rPr>
          <w:i/>
          <w:sz w:val="20"/>
        </w:rPr>
        <w:t xml:space="preserve">Parathyroid adenoma, Ultrasonography, </w:t>
      </w:r>
      <w:proofErr w:type="spellStart"/>
      <w:r w:rsidRPr="00F822F2">
        <w:rPr>
          <w:i/>
          <w:sz w:val="20"/>
        </w:rPr>
        <w:t>Sestamibi</w:t>
      </w:r>
      <w:proofErr w:type="spellEnd"/>
      <w:r w:rsidRPr="00F822F2">
        <w:rPr>
          <w:i/>
          <w:sz w:val="20"/>
        </w:rPr>
        <w:t xml:space="preserve"> scan, Biochemical frozen section</w:t>
      </w:r>
    </w:p>
    <w:p w14:paraId="3D3E9754" w14:textId="77777777" w:rsidR="00437666" w:rsidRDefault="00437666">
      <w:pPr>
        <w:rPr>
          <w:sz w:val="20"/>
        </w:rPr>
      </w:pPr>
    </w:p>
    <w:p w14:paraId="1A2F1018" w14:textId="3DFA9EF0" w:rsidR="00494F19" w:rsidRPr="00494F19" w:rsidRDefault="00494F19">
      <w:pPr>
        <w:rPr>
          <w:szCs w:val="24"/>
        </w:rPr>
      </w:pPr>
    </w:p>
    <w:p w14:paraId="196D3771" w14:textId="77777777" w:rsidR="00494F19" w:rsidRPr="002C4C03" w:rsidRDefault="00494F19">
      <w:pPr>
        <w:rPr>
          <w:sz w:val="20"/>
        </w:rPr>
      </w:pPr>
    </w:p>
    <w:p w14:paraId="254042D1" w14:textId="41BE58D2" w:rsidR="00F91384" w:rsidRDefault="00F91384">
      <w:pPr>
        <w:rPr>
          <w:sz w:val="20"/>
        </w:rPr>
      </w:pPr>
      <w:r>
        <w:rPr>
          <w:b/>
        </w:rPr>
        <w:t>INTRODUCTION</w:t>
      </w:r>
    </w:p>
    <w:p w14:paraId="2D50027A" w14:textId="77777777" w:rsidR="00F91384" w:rsidRDefault="00F91384">
      <w:pPr>
        <w:rPr>
          <w:sz w:val="20"/>
        </w:rPr>
      </w:pPr>
    </w:p>
    <w:p w14:paraId="717BBEC9" w14:textId="77777777" w:rsidR="00F91384" w:rsidRDefault="00000CFA" w:rsidP="00F822F2">
      <w:pPr>
        <w:jc w:val="both"/>
        <w:rPr>
          <w:sz w:val="20"/>
        </w:rPr>
      </w:pPr>
      <w:r w:rsidRPr="00F825B2">
        <w:rPr>
          <w:sz w:val="20"/>
        </w:rPr>
        <w:t xml:space="preserve">Parathyroid gland adenoma is referred to as a benign, non-cancerous, and encapsulated neoplasm of the chief or </w:t>
      </w:r>
      <w:proofErr w:type="spellStart"/>
      <w:r w:rsidRPr="00F825B2">
        <w:rPr>
          <w:sz w:val="20"/>
        </w:rPr>
        <w:t>oncocytic</w:t>
      </w:r>
      <w:proofErr w:type="spellEnd"/>
      <w:r w:rsidRPr="00F825B2">
        <w:rPr>
          <w:sz w:val="20"/>
        </w:rPr>
        <w:t xml:space="preserve"> parathyroid parenchymal cells </w:t>
      </w:r>
      <w:sdt>
        <w:sdtPr>
          <w:rPr>
            <w:sz w:val="20"/>
          </w:rPr>
          <w:id w:val="-1925638871"/>
          <w:citation/>
        </w:sdtPr>
        <w:sdtEndPr/>
        <w:sdtContent>
          <w:r w:rsidRPr="00F825B2">
            <w:rPr>
              <w:sz w:val="20"/>
            </w:rPr>
            <w:fldChar w:fldCharType="begin"/>
          </w:r>
          <w:r w:rsidRPr="00F825B2">
            <w:rPr>
              <w:sz w:val="20"/>
            </w:rPr>
            <w:instrText xml:space="preserve"> CITATION Tho19 \l 1033 </w:instrText>
          </w:r>
          <w:r w:rsidRPr="00F825B2">
            <w:rPr>
              <w:sz w:val="20"/>
            </w:rPr>
            <w:fldChar w:fldCharType="separate"/>
          </w:r>
          <w:r w:rsidR="00F825B2" w:rsidRPr="00F825B2">
            <w:rPr>
              <w:noProof/>
              <w:sz w:val="20"/>
            </w:rPr>
            <w:t>[1]</w:t>
          </w:r>
          <w:r w:rsidRPr="00F825B2">
            <w:rPr>
              <w:sz w:val="20"/>
            </w:rPr>
            <w:fldChar w:fldCharType="end"/>
          </w:r>
        </w:sdtContent>
      </w:sdt>
      <w:r w:rsidRPr="00F825B2">
        <w:rPr>
          <w:sz w:val="20"/>
        </w:rPr>
        <w:t xml:space="preserve">. Although it is non-cancerous, it can cause several health issues, such as primary hyperparathyroidism, leading to skeletal and kidney-related health diseases </w:t>
      </w:r>
      <w:sdt>
        <w:sdtPr>
          <w:rPr>
            <w:sz w:val="20"/>
          </w:rPr>
          <w:id w:val="451525781"/>
          <w:citation/>
        </w:sdtPr>
        <w:sdtEndPr/>
        <w:sdtContent>
          <w:r w:rsidRPr="00F825B2">
            <w:rPr>
              <w:sz w:val="20"/>
            </w:rPr>
            <w:fldChar w:fldCharType="begin"/>
          </w:r>
          <w:r w:rsidRPr="00F825B2">
            <w:rPr>
              <w:sz w:val="20"/>
            </w:rPr>
            <w:instrText xml:space="preserve"> CITATION Han18 \l 1033 </w:instrText>
          </w:r>
          <w:r w:rsidRPr="00F825B2">
            <w:rPr>
              <w:sz w:val="20"/>
            </w:rPr>
            <w:fldChar w:fldCharType="separate"/>
          </w:r>
          <w:r w:rsidR="00F825B2" w:rsidRPr="00F825B2">
            <w:rPr>
              <w:noProof/>
              <w:sz w:val="20"/>
            </w:rPr>
            <w:t>[2]</w:t>
          </w:r>
          <w:r w:rsidRPr="00F825B2">
            <w:rPr>
              <w:sz w:val="20"/>
            </w:rPr>
            <w:fldChar w:fldCharType="end"/>
          </w:r>
        </w:sdtContent>
      </w:sdt>
      <w:r w:rsidRPr="00F825B2">
        <w:rPr>
          <w:sz w:val="20"/>
        </w:rPr>
        <w:t xml:space="preserve">. </w:t>
      </w:r>
      <w:r w:rsidR="00C821DD" w:rsidRPr="00F825B2">
        <w:rPr>
          <w:sz w:val="20"/>
        </w:rPr>
        <w:t xml:space="preserve">Primary Hyperparathyroidism is considered the third most prevalent thyroid disorder </w:t>
      </w:r>
      <w:sdt>
        <w:sdtPr>
          <w:rPr>
            <w:sz w:val="20"/>
          </w:rPr>
          <w:id w:val="-1456789062"/>
          <w:citation/>
        </w:sdtPr>
        <w:sdtEndPr/>
        <w:sdtContent>
          <w:r w:rsidR="00C821DD" w:rsidRPr="00F825B2">
            <w:rPr>
              <w:sz w:val="20"/>
            </w:rPr>
            <w:fldChar w:fldCharType="begin"/>
          </w:r>
          <w:r w:rsidR="00C821DD" w:rsidRPr="00F825B2">
            <w:rPr>
              <w:sz w:val="20"/>
            </w:rPr>
            <w:instrText xml:space="preserve"> CITATION Ron11 \l 1033 </w:instrText>
          </w:r>
          <w:r w:rsidR="00C821DD" w:rsidRPr="00F825B2">
            <w:rPr>
              <w:sz w:val="20"/>
            </w:rPr>
            <w:fldChar w:fldCharType="separate"/>
          </w:r>
          <w:r w:rsidR="00F825B2" w:rsidRPr="00F825B2">
            <w:rPr>
              <w:noProof/>
              <w:sz w:val="20"/>
            </w:rPr>
            <w:t>[3]</w:t>
          </w:r>
          <w:r w:rsidR="00C821DD" w:rsidRPr="00F825B2">
            <w:rPr>
              <w:sz w:val="20"/>
            </w:rPr>
            <w:fldChar w:fldCharType="end"/>
          </w:r>
        </w:sdtContent>
      </w:sdt>
      <w:r w:rsidR="00C821DD" w:rsidRPr="00F825B2">
        <w:rPr>
          <w:sz w:val="20"/>
        </w:rPr>
        <w:t xml:space="preserve"> after diabetes mellitus, with a frequency rate of 80-85% worldwide </w:t>
      </w:r>
      <w:sdt>
        <w:sdtPr>
          <w:rPr>
            <w:sz w:val="20"/>
          </w:rPr>
          <w:id w:val="87351156"/>
          <w:citation/>
        </w:sdtPr>
        <w:sdtEndPr/>
        <w:sdtContent>
          <w:r w:rsidR="00C821DD" w:rsidRPr="00F825B2">
            <w:rPr>
              <w:sz w:val="20"/>
            </w:rPr>
            <w:fldChar w:fldCharType="begin"/>
          </w:r>
          <w:r w:rsidR="00C821DD" w:rsidRPr="00F825B2">
            <w:rPr>
              <w:sz w:val="20"/>
            </w:rPr>
            <w:instrText xml:space="preserve"> CITATION Kai15 \l 1033 </w:instrText>
          </w:r>
          <w:r w:rsidR="00C821DD" w:rsidRPr="00F825B2">
            <w:rPr>
              <w:sz w:val="20"/>
            </w:rPr>
            <w:fldChar w:fldCharType="separate"/>
          </w:r>
          <w:r w:rsidR="00F825B2" w:rsidRPr="00F825B2">
            <w:rPr>
              <w:noProof/>
              <w:sz w:val="20"/>
            </w:rPr>
            <w:t>[4]</w:t>
          </w:r>
          <w:r w:rsidR="00C821DD" w:rsidRPr="00F825B2">
            <w:rPr>
              <w:sz w:val="20"/>
            </w:rPr>
            <w:fldChar w:fldCharType="end"/>
          </w:r>
        </w:sdtContent>
      </w:sdt>
      <w:r w:rsidR="00C821DD" w:rsidRPr="00F825B2">
        <w:rPr>
          <w:sz w:val="20"/>
        </w:rPr>
        <w:t xml:space="preserve">. </w:t>
      </w:r>
      <w:r w:rsidR="002163C9" w:rsidRPr="00F825B2">
        <w:rPr>
          <w:sz w:val="20"/>
        </w:rPr>
        <w:t xml:space="preserve">Parathyroid adenoma is a part of parathyroid disease that can be caused by long-term calcium deficiency or a clinical history of radiation therapy </w:t>
      </w:r>
      <w:sdt>
        <w:sdtPr>
          <w:rPr>
            <w:sz w:val="20"/>
          </w:rPr>
          <w:id w:val="-1193457504"/>
          <w:citation/>
        </w:sdtPr>
        <w:sdtEndPr/>
        <w:sdtContent>
          <w:r w:rsidR="002163C9" w:rsidRPr="00F825B2">
            <w:rPr>
              <w:sz w:val="20"/>
            </w:rPr>
            <w:fldChar w:fldCharType="begin"/>
          </w:r>
          <w:r w:rsidR="002163C9" w:rsidRPr="00F825B2">
            <w:rPr>
              <w:sz w:val="20"/>
            </w:rPr>
            <w:instrText xml:space="preserve"> CITATION Sam231 \l 1033 </w:instrText>
          </w:r>
          <w:r w:rsidR="002163C9" w:rsidRPr="00F825B2">
            <w:rPr>
              <w:sz w:val="20"/>
            </w:rPr>
            <w:fldChar w:fldCharType="separate"/>
          </w:r>
          <w:r w:rsidR="00F825B2" w:rsidRPr="00F825B2">
            <w:rPr>
              <w:noProof/>
              <w:sz w:val="20"/>
            </w:rPr>
            <w:t>[5]</w:t>
          </w:r>
          <w:r w:rsidR="002163C9" w:rsidRPr="00F825B2">
            <w:rPr>
              <w:sz w:val="20"/>
            </w:rPr>
            <w:fldChar w:fldCharType="end"/>
          </w:r>
        </w:sdtContent>
      </w:sdt>
      <w:r w:rsidR="002163C9" w:rsidRPr="00F825B2">
        <w:rPr>
          <w:sz w:val="20"/>
        </w:rPr>
        <w:t xml:space="preserve">. </w:t>
      </w:r>
      <w:r w:rsidR="00B211D2" w:rsidRPr="00F825B2">
        <w:rPr>
          <w:sz w:val="20"/>
        </w:rPr>
        <w:t xml:space="preserve">Surgical removal of the Solitary Parathyroid Adenoma is the preferred treatment procedure to get rid of associated health issues </w:t>
      </w:r>
      <w:sdt>
        <w:sdtPr>
          <w:rPr>
            <w:sz w:val="20"/>
          </w:rPr>
          <w:id w:val="-1542964578"/>
          <w:citation/>
        </w:sdtPr>
        <w:sdtEndPr/>
        <w:sdtContent>
          <w:r w:rsidR="00B211D2" w:rsidRPr="00F825B2">
            <w:rPr>
              <w:sz w:val="20"/>
            </w:rPr>
            <w:fldChar w:fldCharType="begin"/>
          </w:r>
          <w:r w:rsidR="00B211D2" w:rsidRPr="00F825B2">
            <w:rPr>
              <w:sz w:val="20"/>
            </w:rPr>
            <w:instrText xml:space="preserve"> CITATION Tho19 \l 1033 </w:instrText>
          </w:r>
          <w:r w:rsidR="00B211D2" w:rsidRPr="00F825B2">
            <w:rPr>
              <w:sz w:val="20"/>
            </w:rPr>
            <w:fldChar w:fldCharType="separate"/>
          </w:r>
          <w:r w:rsidR="00F825B2" w:rsidRPr="00F825B2">
            <w:rPr>
              <w:noProof/>
              <w:sz w:val="20"/>
            </w:rPr>
            <w:t>[1]</w:t>
          </w:r>
          <w:r w:rsidR="00B211D2" w:rsidRPr="00F825B2">
            <w:rPr>
              <w:sz w:val="20"/>
            </w:rPr>
            <w:fldChar w:fldCharType="end"/>
          </w:r>
        </w:sdtContent>
      </w:sdt>
      <w:r w:rsidR="00B211D2" w:rsidRPr="00F825B2">
        <w:rPr>
          <w:sz w:val="20"/>
        </w:rPr>
        <w:t xml:space="preserve">. </w:t>
      </w:r>
      <w:r w:rsidR="00E628D5" w:rsidRPr="00F825B2">
        <w:rPr>
          <w:sz w:val="20"/>
        </w:rPr>
        <w:t xml:space="preserve">Appropriate identification of preoperative identification of localized solitary parathyroid adenoma is necessary for performing focused parathyroidectomy with minimal invasion, shorter operation period, and fewer complications. In 95% of </w:t>
      </w:r>
      <w:r w:rsidR="00996174" w:rsidRPr="00F825B2">
        <w:rPr>
          <w:sz w:val="20"/>
        </w:rPr>
        <w:t xml:space="preserve">primary hyperparathyroidism </w:t>
      </w:r>
      <w:r w:rsidR="00E628D5" w:rsidRPr="00F825B2">
        <w:rPr>
          <w:sz w:val="20"/>
        </w:rPr>
        <w:t>cases, the surgery becomes successful, and the major cause of surgical failure in the rest of the cases is ectopic glands and anatomic variations in location</w:t>
      </w:r>
      <w:sdt>
        <w:sdtPr>
          <w:rPr>
            <w:sz w:val="20"/>
          </w:rPr>
          <w:id w:val="743298727"/>
          <w:citation/>
        </w:sdtPr>
        <w:sdtEndPr/>
        <w:sdtContent>
          <w:r w:rsidR="00E628D5" w:rsidRPr="00F825B2">
            <w:rPr>
              <w:sz w:val="20"/>
            </w:rPr>
            <w:fldChar w:fldCharType="begin"/>
          </w:r>
          <w:r w:rsidR="00E628D5" w:rsidRPr="00F825B2">
            <w:rPr>
              <w:sz w:val="20"/>
            </w:rPr>
            <w:instrText xml:space="preserve"> CITATION ATC93 \l 1033 </w:instrText>
          </w:r>
          <w:r w:rsidR="00E628D5" w:rsidRPr="00F825B2">
            <w:rPr>
              <w:sz w:val="20"/>
            </w:rPr>
            <w:fldChar w:fldCharType="separate"/>
          </w:r>
          <w:r w:rsidR="00F825B2">
            <w:rPr>
              <w:noProof/>
              <w:sz w:val="20"/>
            </w:rPr>
            <w:t xml:space="preserve"> </w:t>
          </w:r>
          <w:r w:rsidR="00F825B2" w:rsidRPr="00F825B2">
            <w:rPr>
              <w:noProof/>
              <w:sz w:val="20"/>
            </w:rPr>
            <w:t>[6]</w:t>
          </w:r>
          <w:r w:rsidR="00E628D5" w:rsidRPr="00F825B2">
            <w:rPr>
              <w:sz w:val="20"/>
            </w:rPr>
            <w:fldChar w:fldCharType="end"/>
          </w:r>
        </w:sdtContent>
      </w:sdt>
      <w:r w:rsidR="00996174" w:rsidRPr="00F825B2">
        <w:rPr>
          <w:sz w:val="20"/>
        </w:rPr>
        <w:t>.</w:t>
      </w:r>
      <w:r w:rsidR="00E628D5" w:rsidRPr="00F825B2">
        <w:rPr>
          <w:sz w:val="20"/>
        </w:rPr>
        <w:t xml:space="preserve"> </w:t>
      </w:r>
      <w:r w:rsidR="00815CFB" w:rsidRPr="00F825B2">
        <w:rPr>
          <w:sz w:val="20"/>
        </w:rPr>
        <w:t>The</w:t>
      </w:r>
      <w:r w:rsidR="0096005B" w:rsidRPr="00F825B2">
        <w:rPr>
          <w:sz w:val="20"/>
        </w:rPr>
        <w:t xml:space="preserve"> </w:t>
      </w:r>
      <w:r w:rsidR="00815CFB" w:rsidRPr="00F825B2">
        <w:rPr>
          <w:sz w:val="20"/>
        </w:rPr>
        <w:t>two most common</w:t>
      </w:r>
      <w:r w:rsidR="00B211D2" w:rsidRPr="00F825B2">
        <w:rPr>
          <w:sz w:val="20"/>
        </w:rPr>
        <w:t xml:space="preserve"> preoperative</w:t>
      </w:r>
      <w:r w:rsidR="00815CFB" w:rsidRPr="00F825B2">
        <w:rPr>
          <w:sz w:val="20"/>
        </w:rPr>
        <w:t xml:space="preserve"> </w:t>
      </w:r>
      <w:r w:rsidR="0096005B" w:rsidRPr="00F825B2">
        <w:rPr>
          <w:sz w:val="20"/>
        </w:rPr>
        <w:t xml:space="preserve">diagnostic </w:t>
      </w:r>
      <w:r w:rsidR="00815CFB" w:rsidRPr="00F825B2">
        <w:rPr>
          <w:sz w:val="20"/>
        </w:rPr>
        <w:t>approaches</w:t>
      </w:r>
      <w:r w:rsidR="0096005B" w:rsidRPr="00F825B2">
        <w:rPr>
          <w:sz w:val="20"/>
        </w:rPr>
        <w:t xml:space="preserve"> </w:t>
      </w:r>
      <w:r w:rsidR="00815CFB" w:rsidRPr="00F825B2">
        <w:rPr>
          <w:sz w:val="20"/>
        </w:rPr>
        <w:t>to detect</w:t>
      </w:r>
      <w:r w:rsidR="0096005B" w:rsidRPr="00F825B2">
        <w:rPr>
          <w:sz w:val="20"/>
        </w:rPr>
        <w:t xml:space="preserve"> Solitary Parathyroid Adenoma</w:t>
      </w:r>
      <w:r w:rsidR="00815CFB" w:rsidRPr="00F825B2">
        <w:rPr>
          <w:sz w:val="20"/>
        </w:rPr>
        <w:t xml:space="preserve"> are parathyroid ultrasonography </w:t>
      </w:r>
      <w:sdt>
        <w:sdtPr>
          <w:rPr>
            <w:sz w:val="20"/>
          </w:rPr>
          <w:id w:val="-1962562236"/>
          <w:citation/>
        </w:sdtPr>
        <w:sdtEndPr/>
        <w:sdtContent>
          <w:r w:rsidR="00815CFB" w:rsidRPr="00F825B2">
            <w:rPr>
              <w:sz w:val="20"/>
            </w:rPr>
            <w:fldChar w:fldCharType="begin"/>
          </w:r>
          <w:r w:rsidR="00815CFB" w:rsidRPr="00F825B2">
            <w:rPr>
              <w:sz w:val="20"/>
            </w:rPr>
            <w:instrText xml:space="preserve"> CITATION Sun15 \l 1033 </w:instrText>
          </w:r>
          <w:r w:rsidR="00815CFB" w:rsidRPr="00F825B2">
            <w:rPr>
              <w:sz w:val="20"/>
            </w:rPr>
            <w:fldChar w:fldCharType="separate"/>
          </w:r>
          <w:r w:rsidR="00F825B2" w:rsidRPr="00F825B2">
            <w:rPr>
              <w:noProof/>
              <w:sz w:val="20"/>
            </w:rPr>
            <w:t>[7]</w:t>
          </w:r>
          <w:r w:rsidR="00815CFB" w:rsidRPr="00F825B2">
            <w:rPr>
              <w:sz w:val="20"/>
            </w:rPr>
            <w:fldChar w:fldCharType="end"/>
          </w:r>
        </w:sdtContent>
      </w:sdt>
      <w:r w:rsidR="00815CFB" w:rsidRPr="00F825B2">
        <w:rPr>
          <w:sz w:val="20"/>
        </w:rPr>
        <w:t xml:space="preserve"> and </w:t>
      </w:r>
      <w:proofErr w:type="spellStart"/>
      <w:r w:rsidR="00815CFB" w:rsidRPr="00F825B2">
        <w:rPr>
          <w:sz w:val="20"/>
        </w:rPr>
        <w:t>Sestamibi</w:t>
      </w:r>
      <w:proofErr w:type="spellEnd"/>
      <w:r w:rsidR="00815CFB" w:rsidRPr="00F825B2">
        <w:rPr>
          <w:sz w:val="20"/>
        </w:rPr>
        <w:t xml:space="preserve"> Scan </w:t>
      </w:r>
      <w:sdt>
        <w:sdtPr>
          <w:rPr>
            <w:sz w:val="20"/>
          </w:rPr>
          <w:id w:val="-647355163"/>
          <w:citation/>
        </w:sdtPr>
        <w:sdtEndPr/>
        <w:sdtContent>
          <w:r w:rsidR="00815CFB" w:rsidRPr="00F825B2">
            <w:rPr>
              <w:sz w:val="20"/>
            </w:rPr>
            <w:fldChar w:fldCharType="begin"/>
          </w:r>
          <w:r w:rsidR="00815CFB" w:rsidRPr="00F825B2">
            <w:rPr>
              <w:sz w:val="20"/>
            </w:rPr>
            <w:instrText xml:space="preserve"> CITATION CNP10 \l 1033 </w:instrText>
          </w:r>
          <w:r w:rsidR="00815CFB" w:rsidRPr="00F825B2">
            <w:rPr>
              <w:sz w:val="20"/>
            </w:rPr>
            <w:fldChar w:fldCharType="separate"/>
          </w:r>
          <w:r w:rsidR="00F825B2" w:rsidRPr="00F825B2">
            <w:rPr>
              <w:noProof/>
              <w:sz w:val="20"/>
            </w:rPr>
            <w:t>[8]</w:t>
          </w:r>
          <w:r w:rsidR="00815CFB" w:rsidRPr="00F825B2">
            <w:rPr>
              <w:sz w:val="20"/>
            </w:rPr>
            <w:fldChar w:fldCharType="end"/>
          </w:r>
        </w:sdtContent>
      </w:sdt>
      <w:r w:rsidR="00B211D2" w:rsidRPr="00F825B2">
        <w:rPr>
          <w:sz w:val="20"/>
        </w:rPr>
        <w:t xml:space="preserve"> in Bangladesh </w:t>
      </w:r>
      <w:sdt>
        <w:sdtPr>
          <w:rPr>
            <w:sz w:val="20"/>
          </w:rPr>
          <w:id w:val="388077289"/>
          <w:citation/>
        </w:sdtPr>
        <w:sdtEndPr/>
        <w:sdtContent>
          <w:r w:rsidR="00B211D2" w:rsidRPr="00F825B2">
            <w:rPr>
              <w:sz w:val="20"/>
            </w:rPr>
            <w:fldChar w:fldCharType="begin"/>
          </w:r>
          <w:r w:rsidR="00B211D2" w:rsidRPr="00F825B2">
            <w:rPr>
              <w:sz w:val="20"/>
            </w:rPr>
            <w:instrText xml:space="preserve"> CITATION Afs12 \l 1033 </w:instrText>
          </w:r>
          <w:r w:rsidR="00B211D2" w:rsidRPr="00F825B2">
            <w:rPr>
              <w:sz w:val="20"/>
            </w:rPr>
            <w:fldChar w:fldCharType="separate"/>
          </w:r>
          <w:r w:rsidR="00F825B2" w:rsidRPr="00F825B2">
            <w:rPr>
              <w:noProof/>
              <w:sz w:val="20"/>
            </w:rPr>
            <w:t>[9]</w:t>
          </w:r>
          <w:r w:rsidR="00B211D2" w:rsidRPr="00F825B2">
            <w:rPr>
              <w:sz w:val="20"/>
            </w:rPr>
            <w:fldChar w:fldCharType="end"/>
          </w:r>
        </w:sdtContent>
      </w:sdt>
      <w:r w:rsidR="00B211D2" w:rsidRPr="00F825B2">
        <w:rPr>
          <w:sz w:val="20"/>
        </w:rPr>
        <w:t xml:space="preserve">. </w:t>
      </w:r>
      <w:r w:rsidR="00996174" w:rsidRPr="00F825B2">
        <w:rPr>
          <w:sz w:val="20"/>
        </w:rPr>
        <w:t xml:space="preserve">The parathyroid </w:t>
      </w:r>
      <w:r w:rsidR="00BE2346" w:rsidRPr="00F825B2">
        <w:rPr>
          <w:sz w:val="20"/>
        </w:rPr>
        <w:t xml:space="preserve">ultrasound scan is cost-effective, safe, and highly accessible in the Bangladeshi context, where the </w:t>
      </w:r>
      <w:proofErr w:type="spellStart"/>
      <w:r w:rsidR="00BE2346" w:rsidRPr="00F825B2">
        <w:rPr>
          <w:sz w:val="20"/>
        </w:rPr>
        <w:t>sestamibi</w:t>
      </w:r>
      <w:proofErr w:type="spellEnd"/>
      <w:r w:rsidR="00BE2346" w:rsidRPr="00F825B2">
        <w:rPr>
          <w:sz w:val="20"/>
        </w:rPr>
        <w:t xml:space="preserve"> scan provides functional localization with success regarding</w:t>
      </w:r>
      <w:r w:rsidR="00996174" w:rsidRPr="00F825B2">
        <w:rPr>
          <w:sz w:val="20"/>
        </w:rPr>
        <w:t xml:space="preserve"> metabolic activity </w:t>
      </w:r>
      <w:sdt>
        <w:sdtPr>
          <w:rPr>
            <w:sz w:val="20"/>
          </w:rPr>
          <w:id w:val="-109128448"/>
          <w:citation/>
        </w:sdtPr>
        <w:sdtEndPr/>
        <w:sdtContent>
          <w:r w:rsidR="00996174" w:rsidRPr="00F825B2">
            <w:rPr>
              <w:sz w:val="20"/>
            </w:rPr>
            <w:fldChar w:fldCharType="begin"/>
          </w:r>
          <w:r w:rsidR="00996174" w:rsidRPr="00F825B2">
            <w:rPr>
              <w:sz w:val="20"/>
            </w:rPr>
            <w:instrText xml:space="preserve"> CITATION Bea20 \l 1033 </w:instrText>
          </w:r>
          <w:r w:rsidR="00996174" w:rsidRPr="00F825B2">
            <w:rPr>
              <w:sz w:val="20"/>
            </w:rPr>
            <w:fldChar w:fldCharType="separate"/>
          </w:r>
          <w:r w:rsidR="00F825B2" w:rsidRPr="00F825B2">
            <w:rPr>
              <w:noProof/>
              <w:sz w:val="20"/>
            </w:rPr>
            <w:t>[10]</w:t>
          </w:r>
          <w:r w:rsidR="00996174" w:rsidRPr="00F825B2">
            <w:rPr>
              <w:sz w:val="20"/>
            </w:rPr>
            <w:fldChar w:fldCharType="end"/>
          </w:r>
        </w:sdtContent>
      </w:sdt>
      <w:r w:rsidR="00996174" w:rsidRPr="00F825B2">
        <w:rPr>
          <w:sz w:val="20"/>
        </w:rPr>
        <w:t xml:space="preserve">. Nevertheless, the sensitivity of the diagnosis depends on the patient population, disease pattern, and operator expertise. The combination of both modalities is </w:t>
      </w:r>
      <w:r w:rsidR="00BE2346" w:rsidRPr="00F825B2">
        <w:rPr>
          <w:sz w:val="20"/>
        </w:rPr>
        <w:t>typically recommended to enhance</w:t>
      </w:r>
      <w:r w:rsidR="00996174" w:rsidRPr="00F825B2">
        <w:rPr>
          <w:sz w:val="20"/>
        </w:rPr>
        <w:t xml:space="preserve"> the accuracy of localization and the rate of surgical success </w:t>
      </w:r>
      <w:sdt>
        <w:sdtPr>
          <w:rPr>
            <w:sz w:val="20"/>
          </w:rPr>
          <w:id w:val="1025986091"/>
          <w:citation/>
        </w:sdtPr>
        <w:sdtEndPr/>
        <w:sdtContent>
          <w:r w:rsidR="00996174" w:rsidRPr="00F825B2">
            <w:rPr>
              <w:sz w:val="20"/>
            </w:rPr>
            <w:fldChar w:fldCharType="begin"/>
          </w:r>
          <w:r w:rsidR="00996174" w:rsidRPr="00F825B2">
            <w:rPr>
              <w:sz w:val="20"/>
            </w:rPr>
            <w:instrText xml:space="preserve"> CITATION Fad17 \l 1033 </w:instrText>
          </w:r>
          <w:r w:rsidR="00996174" w:rsidRPr="00F825B2">
            <w:rPr>
              <w:sz w:val="20"/>
            </w:rPr>
            <w:fldChar w:fldCharType="separate"/>
          </w:r>
          <w:r w:rsidR="00F825B2" w:rsidRPr="00F825B2">
            <w:rPr>
              <w:noProof/>
              <w:sz w:val="20"/>
            </w:rPr>
            <w:t>[11]</w:t>
          </w:r>
          <w:r w:rsidR="00996174" w:rsidRPr="00F825B2">
            <w:rPr>
              <w:sz w:val="20"/>
            </w:rPr>
            <w:fldChar w:fldCharType="end"/>
          </w:r>
        </w:sdtContent>
      </w:sdt>
      <w:r w:rsidR="00996174" w:rsidRPr="00F825B2">
        <w:rPr>
          <w:sz w:val="20"/>
        </w:rPr>
        <w:t>.</w:t>
      </w:r>
      <w:r w:rsidR="0041083D" w:rsidRPr="00F825B2">
        <w:rPr>
          <w:sz w:val="20"/>
        </w:rPr>
        <w:t xml:space="preserve"> </w:t>
      </w:r>
      <w:r w:rsidR="007A7857" w:rsidRPr="00F825B2">
        <w:rPr>
          <w:sz w:val="20"/>
        </w:rPr>
        <w:t>During minimal invasive parathyroidectomy, there is another procedure used, named Biochemical Frozen section (BFS), with a high sensitivity, specificity, and accuracy rate to localize the parathyroid gland</w:t>
      </w:r>
      <w:r w:rsidR="0056346E" w:rsidRPr="00F825B2">
        <w:rPr>
          <w:sz w:val="20"/>
        </w:rPr>
        <w:t xml:space="preserve"> </w:t>
      </w:r>
      <w:sdt>
        <w:sdtPr>
          <w:rPr>
            <w:sz w:val="20"/>
          </w:rPr>
          <w:id w:val="1063375192"/>
          <w:citation/>
        </w:sdtPr>
        <w:sdtEndPr/>
        <w:sdtContent>
          <w:r w:rsidR="0056346E" w:rsidRPr="00F825B2">
            <w:rPr>
              <w:sz w:val="20"/>
            </w:rPr>
            <w:fldChar w:fldCharType="begin"/>
          </w:r>
          <w:r w:rsidR="0056346E" w:rsidRPr="00F825B2">
            <w:rPr>
              <w:sz w:val="20"/>
            </w:rPr>
            <w:instrText xml:space="preserve"> CITATION MOn22 \l 1033 </w:instrText>
          </w:r>
          <w:r w:rsidR="0056346E" w:rsidRPr="00F825B2">
            <w:rPr>
              <w:sz w:val="20"/>
            </w:rPr>
            <w:fldChar w:fldCharType="separate"/>
          </w:r>
          <w:r w:rsidR="00F825B2" w:rsidRPr="00F825B2">
            <w:rPr>
              <w:noProof/>
              <w:sz w:val="20"/>
            </w:rPr>
            <w:t>[12]</w:t>
          </w:r>
          <w:r w:rsidR="0056346E" w:rsidRPr="00F825B2">
            <w:rPr>
              <w:sz w:val="20"/>
            </w:rPr>
            <w:fldChar w:fldCharType="end"/>
          </w:r>
        </w:sdtContent>
      </w:sdt>
      <w:r w:rsidR="0056346E" w:rsidRPr="00F825B2">
        <w:rPr>
          <w:sz w:val="20"/>
        </w:rPr>
        <w:t xml:space="preserve">. This technique </w:t>
      </w:r>
      <w:r w:rsidR="00C619D2" w:rsidRPr="00F825B2">
        <w:rPr>
          <w:sz w:val="20"/>
        </w:rPr>
        <w:t xml:space="preserve">is costly and time-consuming. </w:t>
      </w:r>
      <w:r w:rsidR="0041083D" w:rsidRPr="00F825B2">
        <w:rPr>
          <w:sz w:val="20"/>
        </w:rPr>
        <w:t xml:space="preserve">Research data comparing the magnitude of diagnostic accuracy of pre-surgical ultrasonography and </w:t>
      </w:r>
      <w:proofErr w:type="spellStart"/>
      <w:r w:rsidR="0041083D" w:rsidRPr="00F825B2">
        <w:rPr>
          <w:sz w:val="20"/>
        </w:rPr>
        <w:t>sestamibi</w:t>
      </w:r>
      <w:proofErr w:type="spellEnd"/>
      <w:r w:rsidR="0041083D" w:rsidRPr="00F825B2">
        <w:rPr>
          <w:sz w:val="20"/>
        </w:rPr>
        <w:t xml:space="preserve"> scan in the localization of solitary adenoma of the parathyroid glands is limited in Bangladesh. The current study intends to compare and contrast the effectiveness of ultrasonography versus </w:t>
      </w:r>
      <w:proofErr w:type="spellStart"/>
      <w:r w:rsidR="0041083D" w:rsidRPr="00F825B2">
        <w:rPr>
          <w:sz w:val="20"/>
        </w:rPr>
        <w:t>sestamibi</w:t>
      </w:r>
      <w:proofErr w:type="spellEnd"/>
      <w:r w:rsidR="0041083D" w:rsidRPr="00F825B2">
        <w:rPr>
          <w:sz w:val="20"/>
        </w:rPr>
        <w:t xml:space="preserve"> scan in the preoperative localization of Solitary Parathyroid Adenoma </w:t>
      </w:r>
      <w:r w:rsidR="00C619D2" w:rsidRPr="00F825B2">
        <w:rPr>
          <w:sz w:val="20"/>
        </w:rPr>
        <w:t xml:space="preserve">with Biochemical Frozen section (BFS) </w:t>
      </w:r>
      <w:r w:rsidR="0041083D" w:rsidRPr="00F825B2">
        <w:rPr>
          <w:sz w:val="20"/>
        </w:rPr>
        <w:t>in a tertiary care center in Bangladesh.</w:t>
      </w:r>
    </w:p>
    <w:p w14:paraId="33531543" w14:textId="77777777" w:rsidR="0041083D" w:rsidRDefault="0041083D">
      <w:pPr>
        <w:rPr>
          <w:sz w:val="20"/>
        </w:rPr>
      </w:pPr>
    </w:p>
    <w:p w14:paraId="15638914" w14:textId="77777777" w:rsidR="0041083D" w:rsidRPr="0041083D" w:rsidRDefault="0041083D">
      <w:pPr>
        <w:rPr>
          <w:b/>
        </w:rPr>
      </w:pPr>
      <w:r w:rsidRPr="0041083D">
        <w:rPr>
          <w:b/>
        </w:rPr>
        <w:t>METHODOLOGY</w:t>
      </w:r>
    </w:p>
    <w:p w14:paraId="268E80A9" w14:textId="77777777" w:rsidR="0041083D" w:rsidRDefault="0041083D">
      <w:pPr>
        <w:rPr>
          <w:sz w:val="20"/>
        </w:rPr>
      </w:pPr>
    </w:p>
    <w:p w14:paraId="43EA964E" w14:textId="77777777" w:rsidR="0041083D" w:rsidRDefault="0041083D" w:rsidP="00F822F2">
      <w:pPr>
        <w:jc w:val="both"/>
        <w:rPr>
          <w:sz w:val="20"/>
        </w:rPr>
      </w:pPr>
      <w:r>
        <w:rPr>
          <w:sz w:val="20"/>
        </w:rPr>
        <w:t xml:space="preserve">A cross-sectional study with 14 participants of </w:t>
      </w:r>
      <w:r w:rsidRPr="0041083D">
        <w:rPr>
          <w:sz w:val="20"/>
        </w:rPr>
        <w:t>Primary Hyperparathyroidism</w:t>
      </w:r>
      <w:r w:rsidR="00BE2346">
        <w:rPr>
          <w:sz w:val="20"/>
        </w:rPr>
        <w:t xml:space="preserve"> (PHPT) was conducted in</w:t>
      </w:r>
      <w:r>
        <w:rPr>
          <w:sz w:val="20"/>
        </w:rPr>
        <w:t xml:space="preserve"> the </w:t>
      </w:r>
      <w:r w:rsidR="00BE2346" w:rsidRPr="00BE2346">
        <w:rPr>
          <w:sz w:val="20"/>
        </w:rPr>
        <w:t>Department of General Surgery, Ba</w:t>
      </w:r>
      <w:r w:rsidR="00BE2346">
        <w:rPr>
          <w:sz w:val="20"/>
        </w:rPr>
        <w:t xml:space="preserve">ngabandhu Sheikh Mujib Medical </w:t>
      </w:r>
      <w:r w:rsidR="00BE2346" w:rsidRPr="00BE2346">
        <w:rPr>
          <w:sz w:val="20"/>
        </w:rPr>
        <w:t xml:space="preserve">University. </w:t>
      </w:r>
      <w:r w:rsidR="00BE2346">
        <w:rPr>
          <w:sz w:val="20"/>
        </w:rPr>
        <w:t>The study timeline was July 2022 to June 2023, and the study included participants while maintaining all ethical considerations. A convenient sampling method was applied for sample collection, and the participants were enrolled by following study-specific inclusion and exclusion criteria.</w:t>
      </w:r>
    </w:p>
    <w:p w14:paraId="1995100C" w14:textId="77777777" w:rsidR="00BE2346" w:rsidRDefault="00BE2346" w:rsidP="00F822F2">
      <w:pPr>
        <w:jc w:val="both"/>
        <w:rPr>
          <w:sz w:val="20"/>
        </w:rPr>
      </w:pPr>
    </w:p>
    <w:p w14:paraId="06954A72" w14:textId="77777777" w:rsidR="00BE2346" w:rsidRPr="00BE2346" w:rsidRDefault="00BE2346" w:rsidP="00F822F2">
      <w:pPr>
        <w:jc w:val="both"/>
        <w:rPr>
          <w:b/>
          <w:sz w:val="20"/>
        </w:rPr>
      </w:pPr>
      <w:r w:rsidRPr="00BE2346">
        <w:rPr>
          <w:b/>
          <w:sz w:val="20"/>
        </w:rPr>
        <w:t>Inclusion criteria</w:t>
      </w:r>
    </w:p>
    <w:p w14:paraId="28559FBA" w14:textId="77777777" w:rsidR="00BE2346" w:rsidRDefault="00BE2346" w:rsidP="00F822F2">
      <w:pPr>
        <w:jc w:val="both"/>
        <w:rPr>
          <w:sz w:val="20"/>
        </w:rPr>
      </w:pPr>
    </w:p>
    <w:p w14:paraId="77DD71C4" w14:textId="77777777" w:rsidR="00BE2346" w:rsidRDefault="00BE2346" w:rsidP="00F822F2">
      <w:pPr>
        <w:pStyle w:val="ListParagraph"/>
        <w:numPr>
          <w:ilvl w:val="0"/>
          <w:numId w:val="1"/>
        </w:numPr>
        <w:jc w:val="both"/>
        <w:rPr>
          <w:sz w:val="20"/>
        </w:rPr>
      </w:pPr>
      <w:r>
        <w:rPr>
          <w:sz w:val="20"/>
        </w:rPr>
        <w:t xml:space="preserve">There is </w:t>
      </w:r>
      <w:r w:rsidR="00E72D3D">
        <w:rPr>
          <w:sz w:val="20"/>
        </w:rPr>
        <w:t>no age limit for participant enrolment.</w:t>
      </w:r>
    </w:p>
    <w:p w14:paraId="05626C2F" w14:textId="77777777" w:rsidR="00BE2346" w:rsidRDefault="00BE2346" w:rsidP="00F822F2">
      <w:pPr>
        <w:pStyle w:val="ListParagraph"/>
        <w:numPr>
          <w:ilvl w:val="0"/>
          <w:numId w:val="1"/>
        </w:numPr>
        <w:jc w:val="both"/>
        <w:rPr>
          <w:sz w:val="20"/>
        </w:rPr>
      </w:pPr>
      <w:r>
        <w:rPr>
          <w:sz w:val="20"/>
        </w:rPr>
        <w:t xml:space="preserve">Biochemically confirmed case of </w:t>
      </w:r>
      <w:r w:rsidRPr="00BE2346">
        <w:rPr>
          <w:sz w:val="20"/>
        </w:rPr>
        <w:t>Primary Hyperparathyroidism (PHPT)</w:t>
      </w:r>
      <w:r>
        <w:rPr>
          <w:sz w:val="20"/>
        </w:rPr>
        <w:t xml:space="preserve"> caused by a </w:t>
      </w:r>
      <w:r w:rsidRPr="00BE2346">
        <w:rPr>
          <w:sz w:val="20"/>
        </w:rPr>
        <w:t>single parathyroid adenoma</w:t>
      </w:r>
      <w:r>
        <w:rPr>
          <w:sz w:val="20"/>
        </w:rPr>
        <w:t>.</w:t>
      </w:r>
    </w:p>
    <w:p w14:paraId="2BDD03D8" w14:textId="77777777" w:rsidR="00BE2346" w:rsidRDefault="00BE2346" w:rsidP="00F822F2">
      <w:pPr>
        <w:pStyle w:val="ListParagraph"/>
        <w:numPr>
          <w:ilvl w:val="0"/>
          <w:numId w:val="1"/>
        </w:numPr>
        <w:jc w:val="both"/>
        <w:rPr>
          <w:sz w:val="20"/>
        </w:rPr>
      </w:pPr>
      <w:r>
        <w:rPr>
          <w:sz w:val="20"/>
        </w:rPr>
        <w:t xml:space="preserve">Patients are willing to provide written informed consent for undergoing </w:t>
      </w:r>
      <w:r w:rsidRPr="00BE2346">
        <w:rPr>
          <w:sz w:val="20"/>
        </w:rPr>
        <w:t xml:space="preserve">USG and </w:t>
      </w:r>
      <w:r>
        <w:rPr>
          <w:sz w:val="20"/>
        </w:rPr>
        <w:t xml:space="preserve">a </w:t>
      </w:r>
      <w:proofErr w:type="spellStart"/>
      <w:r w:rsidRPr="00BE2346">
        <w:rPr>
          <w:sz w:val="20"/>
        </w:rPr>
        <w:t>sestamibi</w:t>
      </w:r>
      <w:proofErr w:type="spellEnd"/>
      <w:r w:rsidRPr="00BE2346">
        <w:rPr>
          <w:sz w:val="20"/>
        </w:rPr>
        <w:t xml:space="preserve"> scan.</w:t>
      </w:r>
    </w:p>
    <w:p w14:paraId="58E934DB" w14:textId="77777777" w:rsidR="00BE2346" w:rsidRDefault="00BE2346" w:rsidP="00F822F2">
      <w:pPr>
        <w:jc w:val="both"/>
        <w:rPr>
          <w:sz w:val="20"/>
        </w:rPr>
      </w:pPr>
    </w:p>
    <w:p w14:paraId="059DA907" w14:textId="77777777" w:rsidR="00BE2346" w:rsidRPr="00BE2346" w:rsidRDefault="00BE2346" w:rsidP="00F822F2">
      <w:pPr>
        <w:jc w:val="both"/>
        <w:rPr>
          <w:b/>
          <w:sz w:val="20"/>
        </w:rPr>
      </w:pPr>
      <w:r w:rsidRPr="00BE2346">
        <w:rPr>
          <w:b/>
          <w:sz w:val="20"/>
        </w:rPr>
        <w:t>Exclusion criteria</w:t>
      </w:r>
    </w:p>
    <w:p w14:paraId="0C6A2180" w14:textId="77777777" w:rsidR="00BE2346" w:rsidRDefault="00BE2346" w:rsidP="00F822F2">
      <w:pPr>
        <w:jc w:val="both"/>
        <w:rPr>
          <w:sz w:val="20"/>
        </w:rPr>
      </w:pPr>
    </w:p>
    <w:p w14:paraId="5E93E891" w14:textId="77777777" w:rsidR="00547597" w:rsidRPr="00547597" w:rsidRDefault="00547597" w:rsidP="00F822F2">
      <w:pPr>
        <w:pStyle w:val="ListParagraph"/>
        <w:numPr>
          <w:ilvl w:val="0"/>
          <w:numId w:val="2"/>
        </w:numPr>
        <w:jc w:val="both"/>
        <w:rPr>
          <w:sz w:val="20"/>
        </w:rPr>
      </w:pPr>
      <w:r>
        <w:rPr>
          <w:sz w:val="20"/>
        </w:rPr>
        <w:t>Detection of malignancy.</w:t>
      </w:r>
    </w:p>
    <w:p w14:paraId="6B4DDDF0" w14:textId="77777777" w:rsidR="00BE2346" w:rsidRDefault="00BE2346" w:rsidP="00F822F2">
      <w:pPr>
        <w:pStyle w:val="ListParagraph"/>
        <w:numPr>
          <w:ilvl w:val="0"/>
          <w:numId w:val="2"/>
        </w:numPr>
        <w:jc w:val="both"/>
        <w:rPr>
          <w:sz w:val="20"/>
        </w:rPr>
      </w:pPr>
      <w:r>
        <w:rPr>
          <w:sz w:val="20"/>
        </w:rPr>
        <w:t xml:space="preserve">Patient diagnosed with </w:t>
      </w:r>
      <w:r w:rsidRPr="00BE2346">
        <w:rPr>
          <w:sz w:val="20"/>
        </w:rPr>
        <w:t>Double adenomas (DA)</w:t>
      </w:r>
      <w:r>
        <w:rPr>
          <w:sz w:val="20"/>
        </w:rPr>
        <w:t xml:space="preserve"> or </w:t>
      </w:r>
      <w:r w:rsidRPr="00BE2346">
        <w:rPr>
          <w:sz w:val="20"/>
        </w:rPr>
        <w:t>multi-gland disease (MGD)</w:t>
      </w:r>
      <w:r>
        <w:rPr>
          <w:sz w:val="20"/>
        </w:rPr>
        <w:t xml:space="preserve"> or hyperplasia.</w:t>
      </w:r>
    </w:p>
    <w:p w14:paraId="2548232B" w14:textId="77777777" w:rsidR="00BE2346" w:rsidRDefault="00BE2346" w:rsidP="00F822F2">
      <w:pPr>
        <w:pStyle w:val="ListParagraph"/>
        <w:numPr>
          <w:ilvl w:val="0"/>
          <w:numId w:val="2"/>
        </w:numPr>
        <w:jc w:val="both"/>
        <w:rPr>
          <w:sz w:val="20"/>
        </w:rPr>
      </w:pPr>
      <w:r>
        <w:rPr>
          <w:sz w:val="20"/>
        </w:rPr>
        <w:t>History of recurrent</w:t>
      </w:r>
      <w:r w:rsidRPr="00BE2346">
        <w:rPr>
          <w:sz w:val="20"/>
        </w:rPr>
        <w:t xml:space="preserve"> hyperparathyroidism, intr</w:t>
      </w:r>
      <w:r>
        <w:rPr>
          <w:sz w:val="20"/>
        </w:rPr>
        <w:t xml:space="preserve">a-thyroid parathyroid adenoma, and </w:t>
      </w:r>
      <w:r w:rsidRPr="00BE2346">
        <w:rPr>
          <w:sz w:val="20"/>
        </w:rPr>
        <w:t xml:space="preserve">ectopic parathyroid adenoma in </w:t>
      </w:r>
      <w:r>
        <w:rPr>
          <w:sz w:val="20"/>
        </w:rPr>
        <w:t xml:space="preserve">the </w:t>
      </w:r>
      <w:r w:rsidRPr="00BE2346">
        <w:rPr>
          <w:sz w:val="20"/>
        </w:rPr>
        <w:t xml:space="preserve">mediastinum needing </w:t>
      </w:r>
      <w:r>
        <w:rPr>
          <w:sz w:val="20"/>
        </w:rPr>
        <w:t>thoracotomy.</w:t>
      </w:r>
    </w:p>
    <w:p w14:paraId="5B7A0083" w14:textId="77777777" w:rsidR="00BE2346" w:rsidRDefault="00BE2346" w:rsidP="00F822F2">
      <w:pPr>
        <w:pStyle w:val="ListParagraph"/>
        <w:numPr>
          <w:ilvl w:val="0"/>
          <w:numId w:val="2"/>
        </w:numPr>
        <w:jc w:val="both"/>
        <w:rPr>
          <w:sz w:val="20"/>
        </w:rPr>
      </w:pPr>
      <w:r>
        <w:rPr>
          <w:sz w:val="20"/>
        </w:rPr>
        <w:t xml:space="preserve">An associated parathyroid </w:t>
      </w:r>
      <w:r w:rsidRPr="00BE2346">
        <w:rPr>
          <w:sz w:val="20"/>
        </w:rPr>
        <w:t xml:space="preserve">adenoma with other neck pathology </w:t>
      </w:r>
      <w:r>
        <w:rPr>
          <w:sz w:val="20"/>
        </w:rPr>
        <w:t>needs</w:t>
      </w:r>
      <w:r w:rsidRPr="00BE2346">
        <w:rPr>
          <w:sz w:val="20"/>
        </w:rPr>
        <w:t xml:space="preserve"> exploration.</w:t>
      </w:r>
    </w:p>
    <w:p w14:paraId="72727DE6" w14:textId="77777777" w:rsidR="00547597" w:rsidRDefault="00547597" w:rsidP="00F822F2">
      <w:pPr>
        <w:pStyle w:val="ListParagraph"/>
        <w:numPr>
          <w:ilvl w:val="0"/>
          <w:numId w:val="2"/>
        </w:numPr>
        <w:jc w:val="both"/>
        <w:rPr>
          <w:sz w:val="20"/>
        </w:rPr>
      </w:pPr>
      <w:r>
        <w:rPr>
          <w:sz w:val="20"/>
        </w:rPr>
        <w:t>Lack of informed consent.</w:t>
      </w:r>
    </w:p>
    <w:p w14:paraId="2D54D85E" w14:textId="77777777" w:rsidR="00547597" w:rsidRDefault="00547597" w:rsidP="00547597">
      <w:pPr>
        <w:rPr>
          <w:sz w:val="20"/>
        </w:rPr>
      </w:pPr>
    </w:p>
    <w:p w14:paraId="2AFD52B6" w14:textId="11406FAE" w:rsidR="009E3D34" w:rsidRDefault="0030150D" w:rsidP="00F822F2">
      <w:pPr>
        <w:jc w:val="both"/>
        <w:rPr>
          <w:sz w:val="20"/>
        </w:rPr>
      </w:pPr>
      <w:r w:rsidRPr="00D62CFF">
        <w:rPr>
          <w:sz w:val="20"/>
        </w:rPr>
        <w:t xml:space="preserve">The interviewer administered structured questionnaires and collected data considering the variables: age, sex, clinical features, laboratory investigation, USG of neck findings, </w:t>
      </w:r>
      <w:proofErr w:type="spellStart"/>
      <w:r w:rsidRPr="00D62CFF">
        <w:rPr>
          <w:sz w:val="20"/>
        </w:rPr>
        <w:t>sestamibi</w:t>
      </w:r>
      <w:proofErr w:type="spellEnd"/>
      <w:r w:rsidRPr="00D62CFF">
        <w:rPr>
          <w:sz w:val="20"/>
        </w:rPr>
        <w:t xml:space="preserve"> scan, </w:t>
      </w:r>
      <w:proofErr w:type="spellStart"/>
      <w:r w:rsidRPr="00D62CFF">
        <w:rPr>
          <w:sz w:val="20"/>
        </w:rPr>
        <w:t>peroperative</w:t>
      </w:r>
      <w:proofErr w:type="spellEnd"/>
      <w:r w:rsidRPr="00D62CFF">
        <w:rPr>
          <w:sz w:val="20"/>
        </w:rPr>
        <w:t xml:space="preserve"> findings, biochemical frozen section, postoperative follow-up, and events (till hospital period and over the telephone during homestay). </w:t>
      </w:r>
      <w:r w:rsidR="00547597" w:rsidRPr="00D62CFF">
        <w:rPr>
          <w:sz w:val="20"/>
        </w:rPr>
        <w:t>USG</w:t>
      </w:r>
      <w:r w:rsidR="00547597" w:rsidRPr="00F822F2">
        <w:rPr>
          <w:sz w:val="20"/>
        </w:rPr>
        <w:t xml:space="preserve"> and </w:t>
      </w:r>
      <w:proofErr w:type="spellStart"/>
      <w:r w:rsidR="00E97B9D" w:rsidRPr="00F822F2">
        <w:rPr>
          <w:sz w:val="20"/>
        </w:rPr>
        <w:t>Sestamibi</w:t>
      </w:r>
      <w:proofErr w:type="spellEnd"/>
      <w:r w:rsidR="00547597" w:rsidRPr="00F822F2">
        <w:rPr>
          <w:sz w:val="20"/>
        </w:rPr>
        <w:t xml:space="preserve"> </w:t>
      </w:r>
      <w:proofErr w:type="gramStart"/>
      <w:r w:rsidR="00547597" w:rsidRPr="00F822F2">
        <w:rPr>
          <w:sz w:val="20"/>
        </w:rPr>
        <w:t>scan  were</w:t>
      </w:r>
      <w:proofErr w:type="gramEnd"/>
      <w:r w:rsidR="00547597" w:rsidRPr="00F822F2">
        <w:rPr>
          <w:sz w:val="20"/>
        </w:rPr>
        <w:t xml:space="preserve"> done within the period of 4-6 weeks prior to surgery. The routine preoperative optimization involved optimization of comorbidities and adjustment of metabolic disturbances. The findings of the </w:t>
      </w:r>
      <w:r w:rsidR="002C4C03" w:rsidRPr="00F822F2">
        <w:rPr>
          <w:sz w:val="20"/>
        </w:rPr>
        <w:t xml:space="preserve">USG and </w:t>
      </w:r>
      <w:proofErr w:type="spellStart"/>
      <w:r w:rsidR="002C4C03" w:rsidRPr="00F822F2">
        <w:rPr>
          <w:sz w:val="20"/>
        </w:rPr>
        <w:t>Sestamibi</w:t>
      </w:r>
      <w:proofErr w:type="spellEnd"/>
      <w:r w:rsidR="002C4C03" w:rsidRPr="00F822F2">
        <w:rPr>
          <w:sz w:val="20"/>
        </w:rPr>
        <w:t xml:space="preserve"> scan </w:t>
      </w:r>
      <w:r w:rsidR="002202F5" w:rsidRPr="00F822F2">
        <w:rPr>
          <w:sz w:val="20"/>
        </w:rPr>
        <w:t xml:space="preserve">of </w:t>
      </w:r>
      <w:r w:rsidR="002C4C03" w:rsidRPr="00F822F2">
        <w:rPr>
          <w:sz w:val="20"/>
        </w:rPr>
        <w:t>adenoma</w:t>
      </w:r>
      <w:r w:rsidR="002202F5" w:rsidRPr="00F822F2">
        <w:rPr>
          <w:sz w:val="20"/>
        </w:rPr>
        <w:t xml:space="preserve"> location were </w:t>
      </w:r>
      <w:r w:rsidR="00547597" w:rsidRPr="00F822F2">
        <w:rPr>
          <w:sz w:val="20"/>
        </w:rPr>
        <w:t xml:space="preserve">compared against the results of </w:t>
      </w:r>
      <w:r w:rsidR="002C4C03" w:rsidRPr="00F822F2">
        <w:rPr>
          <w:sz w:val="20"/>
        </w:rPr>
        <w:t xml:space="preserve">the </w:t>
      </w:r>
      <w:r w:rsidR="00C07C96" w:rsidRPr="00F822F2">
        <w:rPr>
          <w:sz w:val="20"/>
        </w:rPr>
        <w:t>Biochemical Frozen section</w:t>
      </w:r>
      <w:r w:rsidR="002C4C03" w:rsidRPr="00F822F2">
        <w:rPr>
          <w:sz w:val="20"/>
        </w:rPr>
        <w:t xml:space="preserve">, which was considered </w:t>
      </w:r>
      <w:r w:rsidR="00C07C96" w:rsidRPr="00F822F2">
        <w:rPr>
          <w:sz w:val="20"/>
        </w:rPr>
        <w:t xml:space="preserve">the </w:t>
      </w:r>
      <w:r w:rsidR="002C4C03" w:rsidRPr="00F822F2">
        <w:rPr>
          <w:sz w:val="20"/>
        </w:rPr>
        <w:t>gold standard,</w:t>
      </w:r>
      <w:r w:rsidR="00C07C96" w:rsidRPr="00F822F2">
        <w:rPr>
          <w:sz w:val="20"/>
        </w:rPr>
        <w:t xml:space="preserve"> to validate the procedure</w:t>
      </w:r>
      <w:r w:rsidR="00547597" w:rsidRPr="00F822F2">
        <w:rPr>
          <w:sz w:val="20"/>
        </w:rPr>
        <w:t xml:space="preserve">. </w:t>
      </w:r>
    </w:p>
    <w:p w14:paraId="535ACB4F" w14:textId="77777777" w:rsidR="002202F5" w:rsidRPr="00F822F2" w:rsidRDefault="002202F5" w:rsidP="00F822F2">
      <w:pPr>
        <w:jc w:val="both"/>
        <w:rPr>
          <w:sz w:val="20"/>
        </w:rPr>
      </w:pPr>
      <w:r w:rsidRPr="00F822F2">
        <w:rPr>
          <w:sz w:val="20"/>
        </w:rPr>
        <w:t>After data collection, Statistical Package for Social Sciences (SPSS) version 22.0 was used for data analysis. The statistical terms included in this study are mean, percentages, standard deviations, etc. Statistical analysis - Test of validity was performed. A p-value&lt;0.05 was interpreted as statistically significant.</w:t>
      </w:r>
    </w:p>
    <w:p w14:paraId="5D368292" w14:textId="77777777" w:rsidR="002202F5" w:rsidRPr="00F822F2" w:rsidRDefault="002202F5" w:rsidP="00F822F2">
      <w:pPr>
        <w:jc w:val="both"/>
        <w:rPr>
          <w:sz w:val="20"/>
        </w:rPr>
      </w:pPr>
    </w:p>
    <w:p w14:paraId="0F3BF1F6" w14:textId="77777777" w:rsidR="002202F5" w:rsidRPr="002202F5" w:rsidRDefault="002202F5" w:rsidP="002202F5">
      <w:pPr>
        <w:rPr>
          <w:b/>
        </w:rPr>
      </w:pPr>
      <w:r w:rsidRPr="002202F5">
        <w:rPr>
          <w:b/>
        </w:rPr>
        <w:t>RESULT</w:t>
      </w:r>
    </w:p>
    <w:p w14:paraId="09BE1275" w14:textId="77777777" w:rsidR="002202F5" w:rsidRDefault="002202F5" w:rsidP="002202F5">
      <w:pPr>
        <w:rPr>
          <w:sz w:val="20"/>
        </w:rPr>
      </w:pPr>
    </w:p>
    <w:p w14:paraId="5BD6CCCC" w14:textId="77777777" w:rsidR="008E7FA8" w:rsidRDefault="008E7FA8" w:rsidP="00F822F2">
      <w:pPr>
        <w:jc w:val="both"/>
        <w:rPr>
          <w:sz w:val="20"/>
        </w:rPr>
      </w:pPr>
      <w:r>
        <w:rPr>
          <w:sz w:val="20"/>
        </w:rPr>
        <w:t xml:space="preserve">This study included 14 patients via a convenience sampling method. All study subjects underwent both ultrasonography </w:t>
      </w:r>
      <w:r w:rsidRPr="008E7FA8">
        <w:rPr>
          <w:sz w:val="20"/>
        </w:rPr>
        <w:t xml:space="preserve">and a </w:t>
      </w:r>
      <w:proofErr w:type="spellStart"/>
      <w:r w:rsidRPr="008E7FA8">
        <w:rPr>
          <w:sz w:val="20"/>
        </w:rPr>
        <w:t>sestamibi</w:t>
      </w:r>
      <w:proofErr w:type="spellEnd"/>
      <w:r w:rsidRPr="008E7FA8">
        <w:rPr>
          <w:sz w:val="20"/>
        </w:rPr>
        <w:t xml:space="preserve"> scan</w:t>
      </w:r>
      <w:r>
        <w:rPr>
          <w:sz w:val="20"/>
        </w:rPr>
        <w:t xml:space="preserve"> to localize a preoperative </w:t>
      </w:r>
      <w:r w:rsidRPr="008E7FA8">
        <w:rPr>
          <w:sz w:val="20"/>
        </w:rPr>
        <w:t>Solitary Parathyroid Adenoma</w:t>
      </w:r>
      <w:r>
        <w:rPr>
          <w:sz w:val="20"/>
        </w:rPr>
        <w:t xml:space="preserve">. </w:t>
      </w:r>
    </w:p>
    <w:p w14:paraId="5A7B9416" w14:textId="77777777" w:rsidR="008E7FA8" w:rsidRDefault="008E7FA8" w:rsidP="00F822F2">
      <w:pPr>
        <w:jc w:val="both"/>
        <w:rPr>
          <w:sz w:val="20"/>
        </w:rPr>
      </w:pPr>
    </w:p>
    <w:p w14:paraId="51ECF1FF" w14:textId="77777777" w:rsidR="008E7FA8" w:rsidRDefault="008E7FA8" w:rsidP="008E7FA8">
      <w:pPr>
        <w:jc w:val="center"/>
        <w:rPr>
          <w:sz w:val="20"/>
        </w:rPr>
      </w:pPr>
      <w:r w:rsidRPr="00474066">
        <w:rPr>
          <w:b/>
          <w:bCs/>
          <w:noProof/>
          <w:sz w:val="20"/>
          <w:bdr w:val="none" w:sz="0" w:space="0" w:color="auto" w:frame="1"/>
        </w:rPr>
        <w:drawing>
          <wp:inline distT="0" distB="0" distL="0" distR="0" wp14:anchorId="29AD63CB" wp14:editId="7BDA30BE">
            <wp:extent cx="4142105" cy="2186609"/>
            <wp:effectExtent l="38100" t="0" r="10795" b="44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0CB3F5" w14:textId="2A14831E" w:rsidR="00F06403" w:rsidRPr="00352995" w:rsidRDefault="00F06403" w:rsidP="008E7FA8">
      <w:pPr>
        <w:jc w:val="center"/>
        <w:rPr>
          <w:i/>
          <w:iCs/>
          <w:color w:val="0070C0"/>
          <w:sz w:val="20"/>
        </w:rPr>
      </w:pPr>
      <w:r w:rsidRPr="00352995">
        <w:rPr>
          <w:i/>
          <w:iCs/>
          <w:color w:val="0070C0"/>
          <w:sz w:val="20"/>
        </w:rPr>
        <w:t>Figure 1: Demographic distribution o</w:t>
      </w:r>
      <w:r w:rsidR="00133831" w:rsidRPr="00352995">
        <w:rPr>
          <w:i/>
          <w:iCs/>
          <w:color w:val="0070C0"/>
          <w:sz w:val="20"/>
        </w:rPr>
        <w:t>f participants</w:t>
      </w:r>
      <w:r w:rsidRPr="00352995">
        <w:rPr>
          <w:i/>
          <w:iCs/>
          <w:color w:val="0070C0"/>
          <w:sz w:val="20"/>
        </w:rPr>
        <w:t>, sex</w:t>
      </w:r>
      <w:r w:rsidR="00133831" w:rsidRPr="00352995">
        <w:rPr>
          <w:i/>
          <w:iCs/>
          <w:color w:val="0070C0"/>
          <w:sz w:val="20"/>
        </w:rPr>
        <w:t xml:space="preserve"> (n=14)</w:t>
      </w:r>
    </w:p>
    <w:p w14:paraId="24607C32" w14:textId="77777777" w:rsidR="00F06403" w:rsidRDefault="00F06403" w:rsidP="008E7FA8">
      <w:pPr>
        <w:jc w:val="center"/>
        <w:rPr>
          <w:sz w:val="20"/>
        </w:rPr>
      </w:pPr>
    </w:p>
    <w:p w14:paraId="24895ADD" w14:textId="543D2D33" w:rsidR="00F06403" w:rsidRDefault="00F06403" w:rsidP="00F822F2">
      <w:pPr>
        <w:jc w:val="both"/>
        <w:rPr>
          <w:sz w:val="20"/>
        </w:rPr>
      </w:pPr>
      <w:r>
        <w:rPr>
          <w:sz w:val="20"/>
        </w:rPr>
        <w:lastRenderedPageBreak/>
        <w:t xml:space="preserve">Figure 1 shows the gender distribution of patients, which shows that </w:t>
      </w:r>
      <w:r w:rsidR="003F0D4E" w:rsidRPr="003F0D4E">
        <w:rPr>
          <w:sz w:val="20"/>
        </w:rPr>
        <w:t xml:space="preserve">male patients were </w:t>
      </w:r>
      <w:r w:rsidR="003F0D4E" w:rsidRPr="003F0D4E">
        <w:rPr>
          <w:sz w:val="20"/>
          <w:highlight w:val="green"/>
        </w:rPr>
        <w:t>approximately 2.5 times more likely</w:t>
      </w:r>
      <w:r>
        <w:rPr>
          <w:sz w:val="20"/>
        </w:rPr>
        <w:t xml:space="preserve"> more likely to develop </w:t>
      </w:r>
      <w:r w:rsidRPr="00F06403">
        <w:rPr>
          <w:sz w:val="20"/>
        </w:rPr>
        <w:t>Solitary Parathyroid Adenoma</w:t>
      </w:r>
      <w:r>
        <w:rPr>
          <w:sz w:val="20"/>
        </w:rPr>
        <w:t xml:space="preserve"> than females. The male-to-female ratio in this study is 2.5:1.</w:t>
      </w:r>
    </w:p>
    <w:p w14:paraId="446F9BD0" w14:textId="77777777" w:rsidR="00F06403" w:rsidRDefault="00F06403" w:rsidP="00F06403">
      <w:pPr>
        <w:jc w:val="both"/>
        <w:rPr>
          <w:sz w:val="20"/>
        </w:rPr>
      </w:pPr>
    </w:p>
    <w:p w14:paraId="08B95800" w14:textId="77777777" w:rsidR="00F06403" w:rsidRDefault="00E72D3D" w:rsidP="00E72D3D">
      <w:pPr>
        <w:jc w:val="center"/>
        <w:rPr>
          <w:sz w:val="20"/>
        </w:rPr>
      </w:pPr>
      <w:r>
        <w:rPr>
          <w:b/>
          <w:bCs/>
          <w:noProof/>
          <w:sz w:val="20"/>
          <w:szCs w:val="20"/>
        </w:rPr>
        <w:drawing>
          <wp:inline distT="0" distB="0" distL="0" distR="0" wp14:anchorId="7C8CEC98" wp14:editId="455D81EC">
            <wp:extent cx="4086971" cy="2409190"/>
            <wp:effectExtent l="0" t="0" r="8890" b="10160"/>
            <wp:docPr id="1132503740" name="Chart 11325037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71BEE2" w14:textId="6BD2FA82" w:rsidR="00E72D3D" w:rsidRPr="00352995" w:rsidRDefault="00E72D3D" w:rsidP="00E72D3D">
      <w:pPr>
        <w:jc w:val="center"/>
        <w:rPr>
          <w:i/>
          <w:iCs/>
          <w:color w:val="0070C0"/>
          <w:sz w:val="20"/>
        </w:rPr>
      </w:pPr>
      <w:r w:rsidRPr="00352995">
        <w:rPr>
          <w:i/>
          <w:iCs/>
          <w:color w:val="0070C0"/>
          <w:sz w:val="20"/>
        </w:rPr>
        <w:t xml:space="preserve">Figure 2: </w:t>
      </w:r>
      <w:r w:rsidR="001666B7">
        <w:rPr>
          <w:i/>
          <w:iCs/>
          <w:color w:val="0070C0"/>
          <w:sz w:val="20"/>
        </w:rPr>
        <w:t xml:space="preserve">Bar graph showing </w:t>
      </w:r>
      <w:bookmarkStart w:id="0" w:name="_GoBack"/>
      <w:bookmarkEnd w:id="0"/>
      <w:r w:rsidRPr="00352995">
        <w:rPr>
          <w:i/>
          <w:iCs/>
          <w:color w:val="0070C0"/>
          <w:sz w:val="20"/>
        </w:rPr>
        <w:t>Demograph</w:t>
      </w:r>
      <w:r w:rsidR="00133831" w:rsidRPr="00352995">
        <w:rPr>
          <w:i/>
          <w:iCs/>
          <w:color w:val="0070C0"/>
          <w:sz w:val="20"/>
        </w:rPr>
        <w:t>ic distribution of participants</w:t>
      </w:r>
      <w:r w:rsidRPr="00352995">
        <w:rPr>
          <w:i/>
          <w:iCs/>
          <w:color w:val="0070C0"/>
          <w:sz w:val="20"/>
        </w:rPr>
        <w:t>, age</w:t>
      </w:r>
      <w:r w:rsidR="00133831" w:rsidRPr="00352995">
        <w:rPr>
          <w:i/>
          <w:iCs/>
          <w:color w:val="0070C0"/>
          <w:sz w:val="20"/>
        </w:rPr>
        <w:t xml:space="preserve"> (n=14)</w:t>
      </w:r>
    </w:p>
    <w:p w14:paraId="2BB4B780" w14:textId="77777777" w:rsidR="00133831" w:rsidRDefault="00133831" w:rsidP="00E72D3D">
      <w:pPr>
        <w:jc w:val="center"/>
        <w:rPr>
          <w:sz w:val="20"/>
        </w:rPr>
      </w:pPr>
    </w:p>
    <w:p w14:paraId="4EF06358" w14:textId="7774ABFB" w:rsidR="00133831" w:rsidRPr="00C07C96" w:rsidRDefault="00133831" w:rsidP="00133831">
      <w:pPr>
        <w:jc w:val="both"/>
        <w:rPr>
          <w:b/>
          <w:sz w:val="20"/>
        </w:rPr>
      </w:pPr>
      <w:r w:rsidRPr="00C07C96">
        <w:rPr>
          <w:b/>
          <w:sz w:val="20"/>
        </w:rPr>
        <w:t>Table 1: Demographic distribution of participants, age (n=14)</w:t>
      </w:r>
    </w:p>
    <w:p w14:paraId="7720097F" w14:textId="77777777" w:rsidR="00133831" w:rsidRDefault="00133831" w:rsidP="00133831">
      <w:pPr>
        <w:jc w:val="both"/>
        <w:rPr>
          <w:sz w:val="20"/>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50"/>
        <w:gridCol w:w="1980"/>
        <w:gridCol w:w="1890"/>
      </w:tblGrid>
      <w:tr w:rsidR="00133831" w:rsidRPr="00133831" w14:paraId="0896AB48" w14:textId="77777777" w:rsidTr="00133831">
        <w:trPr>
          <w:tblHeader/>
          <w:tblCellSpacing w:w="15" w:type="dxa"/>
        </w:trPr>
        <w:tc>
          <w:tcPr>
            <w:tcW w:w="2205" w:type="dxa"/>
            <w:tcBorders>
              <w:top w:val="nil"/>
              <w:bottom w:val="single" w:sz="4" w:space="0" w:color="auto"/>
            </w:tcBorders>
            <w:vAlign w:val="center"/>
            <w:hideMark/>
          </w:tcPr>
          <w:p w14:paraId="231947DF" w14:textId="77777777" w:rsidR="00133831" w:rsidRPr="00133831" w:rsidRDefault="00133831" w:rsidP="00133831">
            <w:pPr>
              <w:widowControl/>
              <w:autoSpaceDE/>
              <w:autoSpaceDN/>
              <w:rPr>
                <w:rFonts w:eastAsia="Times New Roman" w:cs="Times New Roman"/>
                <w:bCs/>
                <w:sz w:val="20"/>
                <w:szCs w:val="24"/>
              </w:rPr>
            </w:pPr>
            <w:r w:rsidRPr="00133831">
              <w:rPr>
                <w:rFonts w:eastAsia="Times New Roman" w:cs="Times New Roman"/>
                <w:bCs/>
                <w:sz w:val="20"/>
                <w:szCs w:val="24"/>
              </w:rPr>
              <w:t>Age group (years)</w:t>
            </w:r>
          </w:p>
        </w:tc>
        <w:tc>
          <w:tcPr>
            <w:tcW w:w="1950" w:type="dxa"/>
            <w:tcBorders>
              <w:top w:val="nil"/>
              <w:bottom w:val="single" w:sz="4" w:space="0" w:color="auto"/>
            </w:tcBorders>
            <w:vAlign w:val="center"/>
            <w:hideMark/>
          </w:tcPr>
          <w:p w14:paraId="1BE6FDDF" w14:textId="77777777" w:rsidR="00133831" w:rsidRPr="00133831" w:rsidRDefault="00133831" w:rsidP="00133831">
            <w:pPr>
              <w:widowControl/>
              <w:autoSpaceDE/>
              <w:autoSpaceDN/>
              <w:jc w:val="center"/>
              <w:rPr>
                <w:rFonts w:eastAsia="Times New Roman" w:cs="Times New Roman"/>
                <w:bCs/>
                <w:sz w:val="20"/>
                <w:szCs w:val="24"/>
              </w:rPr>
            </w:pPr>
            <w:r w:rsidRPr="00133831">
              <w:rPr>
                <w:rFonts w:eastAsia="Times New Roman" w:cs="Times New Roman"/>
                <w:bCs/>
                <w:sz w:val="20"/>
                <w:szCs w:val="24"/>
              </w:rPr>
              <w:t>Frequency (n)</w:t>
            </w:r>
          </w:p>
        </w:tc>
        <w:tc>
          <w:tcPr>
            <w:tcW w:w="1845" w:type="dxa"/>
            <w:tcBorders>
              <w:top w:val="nil"/>
              <w:bottom w:val="single" w:sz="4" w:space="0" w:color="auto"/>
            </w:tcBorders>
            <w:vAlign w:val="center"/>
            <w:hideMark/>
          </w:tcPr>
          <w:p w14:paraId="07A60EE9" w14:textId="77777777" w:rsidR="00133831" w:rsidRPr="00133831" w:rsidRDefault="00133831" w:rsidP="00133831">
            <w:pPr>
              <w:widowControl/>
              <w:autoSpaceDE/>
              <w:autoSpaceDN/>
              <w:jc w:val="center"/>
              <w:rPr>
                <w:rFonts w:eastAsia="Times New Roman" w:cs="Times New Roman"/>
                <w:bCs/>
                <w:sz w:val="20"/>
                <w:szCs w:val="24"/>
              </w:rPr>
            </w:pPr>
            <w:r w:rsidRPr="00133831">
              <w:rPr>
                <w:rFonts w:eastAsia="Times New Roman" w:cs="Times New Roman"/>
                <w:bCs/>
                <w:sz w:val="20"/>
                <w:szCs w:val="24"/>
              </w:rPr>
              <w:t>Percentage (%)</w:t>
            </w:r>
          </w:p>
        </w:tc>
      </w:tr>
      <w:tr w:rsidR="00133831" w:rsidRPr="00133831" w14:paraId="33128F78" w14:textId="77777777" w:rsidTr="00133831">
        <w:trPr>
          <w:tblCellSpacing w:w="15" w:type="dxa"/>
        </w:trPr>
        <w:tc>
          <w:tcPr>
            <w:tcW w:w="2205" w:type="dxa"/>
            <w:vAlign w:val="center"/>
            <w:hideMark/>
          </w:tcPr>
          <w:p w14:paraId="1735AA32" w14:textId="77777777" w:rsidR="00133831" w:rsidRPr="00133831" w:rsidRDefault="00133831" w:rsidP="00133831">
            <w:pPr>
              <w:widowControl/>
              <w:autoSpaceDE/>
              <w:autoSpaceDN/>
              <w:rPr>
                <w:rFonts w:eastAsia="Times New Roman" w:cs="Times New Roman"/>
                <w:sz w:val="20"/>
                <w:szCs w:val="24"/>
              </w:rPr>
            </w:pPr>
            <w:r w:rsidRPr="00133831">
              <w:rPr>
                <w:rFonts w:eastAsia="Times New Roman" w:cs="Times New Roman"/>
                <w:sz w:val="20"/>
                <w:szCs w:val="24"/>
              </w:rPr>
              <w:t>11–20</w:t>
            </w:r>
          </w:p>
        </w:tc>
        <w:tc>
          <w:tcPr>
            <w:tcW w:w="1950" w:type="dxa"/>
            <w:vAlign w:val="center"/>
            <w:hideMark/>
          </w:tcPr>
          <w:p w14:paraId="00CF0D1F"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3</w:t>
            </w:r>
          </w:p>
        </w:tc>
        <w:tc>
          <w:tcPr>
            <w:tcW w:w="1845" w:type="dxa"/>
            <w:vAlign w:val="center"/>
            <w:hideMark/>
          </w:tcPr>
          <w:p w14:paraId="22370048"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21.4</w:t>
            </w:r>
          </w:p>
        </w:tc>
      </w:tr>
      <w:tr w:rsidR="00133831" w:rsidRPr="00133831" w14:paraId="5C04CED6" w14:textId="77777777" w:rsidTr="00133831">
        <w:trPr>
          <w:tblCellSpacing w:w="15" w:type="dxa"/>
        </w:trPr>
        <w:tc>
          <w:tcPr>
            <w:tcW w:w="2205" w:type="dxa"/>
            <w:vAlign w:val="center"/>
            <w:hideMark/>
          </w:tcPr>
          <w:p w14:paraId="6A16AE3E" w14:textId="77777777" w:rsidR="00133831" w:rsidRPr="00133831" w:rsidRDefault="00133831" w:rsidP="00133831">
            <w:pPr>
              <w:widowControl/>
              <w:autoSpaceDE/>
              <w:autoSpaceDN/>
              <w:rPr>
                <w:rFonts w:eastAsia="Times New Roman" w:cs="Times New Roman"/>
                <w:sz w:val="20"/>
                <w:szCs w:val="24"/>
              </w:rPr>
            </w:pPr>
            <w:r w:rsidRPr="00133831">
              <w:rPr>
                <w:rFonts w:eastAsia="Times New Roman" w:cs="Times New Roman"/>
                <w:sz w:val="20"/>
                <w:szCs w:val="24"/>
              </w:rPr>
              <w:t>21–30</w:t>
            </w:r>
          </w:p>
        </w:tc>
        <w:tc>
          <w:tcPr>
            <w:tcW w:w="1950" w:type="dxa"/>
            <w:vAlign w:val="center"/>
            <w:hideMark/>
          </w:tcPr>
          <w:p w14:paraId="03277933"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3</w:t>
            </w:r>
          </w:p>
        </w:tc>
        <w:tc>
          <w:tcPr>
            <w:tcW w:w="1845" w:type="dxa"/>
            <w:vAlign w:val="center"/>
            <w:hideMark/>
          </w:tcPr>
          <w:p w14:paraId="1C614E48"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21.4</w:t>
            </w:r>
          </w:p>
        </w:tc>
      </w:tr>
      <w:tr w:rsidR="00133831" w:rsidRPr="00133831" w14:paraId="72F99A96" w14:textId="77777777" w:rsidTr="00133831">
        <w:trPr>
          <w:tblCellSpacing w:w="15" w:type="dxa"/>
        </w:trPr>
        <w:tc>
          <w:tcPr>
            <w:tcW w:w="2205" w:type="dxa"/>
            <w:vAlign w:val="center"/>
            <w:hideMark/>
          </w:tcPr>
          <w:p w14:paraId="3F7FDECE" w14:textId="77777777" w:rsidR="00133831" w:rsidRPr="00133831" w:rsidRDefault="00133831" w:rsidP="00133831">
            <w:pPr>
              <w:widowControl/>
              <w:autoSpaceDE/>
              <w:autoSpaceDN/>
              <w:rPr>
                <w:rFonts w:eastAsia="Times New Roman" w:cs="Times New Roman"/>
                <w:sz w:val="20"/>
                <w:szCs w:val="24"/>
              </w:rPr>
            </w:pPr>
            <w:r w:rsidRPr="00133831">
              <w:rPr>
                <w:rFonts w:eastAsia="Times New Roman" w:cs="Times New Roman"/>
                <w:sz w:val="20"/>
                <w:szCs w:val="24"/>
              </w:rPr>
              <w:t>31–40</w:t>
            </w:r>
          </w:p>
        </w:tc>
        <w:tc>
          <w:tcPr>
            <w:tcW w:w="1950" w:type="dxa"/>
            <w:vAlign w:val="center"/>
            <w:hideMark/>
          </w:tcPr>
          <w:p w14:paraId="2793505E"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5</w:t>
            </w:r>
          </w:p>
        </w:tc>
        <w:tc>
          <w:tcPr>
            <w:tcW w:w="1845" w:type="dxa"/>
            <w:vAlign w:val="center"/>
            <w:hideMark/>
          </w:tcPr>
          <w:p w14:paraId="597EDD38"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35.6</w:t>
            </w:r>
          </w:p>
        </w:tc>
      </w:tr>
      <w:tr w:rsidR="00133831" w:rsidRPr="00133831" w14:paraId="6BD2C366" w14:textId="77777777" w:rsidTr="00133831">
        <w:trPr>
          <w:tblCellSpacing w:w="15" w:type="dxa"/>
        </w:trPr>
        <w:tc>
          <w:tcPr>
            <w:tcW w:w="2205" w:type="dxa"/>
            <w:vAlign w:val="center"/>
            <w:hideMark/>
          </w:tcPr>
          <w:p w14:paraId="6CAC6640" w14:textId="77777777" w:rsidR="00133831" w:rsidRPr="00133831" w:rsidRDefault="00133831" w:rsidP="00133831">
            <w:pPr>
              <w:widowControl/>
              <w:autoSpaceDE/>
              <w:autoSpaceDN/>
              <w:rPr>
                <w:rFonts w:eastAsia="Times New Roman" w:cs="Times New Roman"/>
                <w:sz w:val="20"/>
                <w:szCs w:val="24"/>
              </w:rPr>
            </w:pPr>
            <w:r w:rsidRPr="00133831">
              <w:rPr>
                <w:rFonts w:eastAsia="Times New Roman" w:cs="Times New Roman"/>
                <w:sz w:val="20"/>
                <w:szCs w:val="24"/>
              </w:rPr>
              <w:t>41–50</w:t>
            </w:r>
          </w:p>
        </w:tc>
        <w:tc>
          <w:tcPr>
            <w:tcW w:w="1950" w:type="dxa"/>
            <w:vAlign w:val="center"/>
            <w:hideMark/>
          </w:tcPr>
          <w:p w14:paraId="2CDB8589"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3</w:t>
            </w:r>
          </w:p>
        </w:tc>
        <w:tc>
          <w:tcPr>
            <w:tcW w:w="1845" w:type="dxa"/>
            <w:vAlign w:val="center"/>
            <w:hideMark/>
          </w:tcPr>
          <w:p w14:paraId="7C9E9BFA"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21.4</w:t>
            </w:r>
          </w:p>
        </w:tc>
      </w:tr>
      <w:tr w:rsidR="00133831" w:rsidRPr="00133831" w14:paraId="4F1D5B92" w14:textId="77777777" w:rsidTr="00133831">
        <w:trPr>
          <w:tblCellSpacing w:w="15" w:type="dxa"/>
        </w:trPr>
        <w:tc>
          <w:tcPr>
            <w:tcW w:w="2205" w:type="dxa"/>
            <w:vAlign w:val="center"/>
          </w:tcPr>
          <w:p w14:paraId="0F9F0A62" w14:textId="77777777" w:rsidR="00133831" w:rsidRPr="00133831" w:rsidRDefault="00133831" w:rsidP="00133831">
            <w:pPr>
              <w:widowControl/>
              <w:autoSpaceDE/>
              <w:autoSpaceDN/>
              <w:rPr>
                <w:rFonts w:eastAsia="Times New Roman" w:cs="Times New Roman"/>
                <w:sz w:val="20"/>
                <w:szCs w:val="24"/>
              </w:rPr>
            </w:pPr>
            <w:r>
              <w:rPr>
                <w:rFonts w:eastAsia="Times New Roman" w:cs="Times New Roman"/>
                <w:sz w:val="20"/>
                <w:szCs w:val="24"/>
              </w:rPr>
              <w:t>Total</w:t>
            </w:r>
          </w:p>
        </w:tc>
        <w:tc>
          <w:tcPr>
            <w:tcW w:w="1950" w:type="dxa"/>
            <w:vAlign w:val="center"/>
          </w:tcPr>
          <w:p w14:paraId="635DFB7C" w14:textId="77777777" w:rsidR="00133831" w:rsidRPr="00133831" w:rsidRDefault="00133831" w:rsidP="00133831">
            <w:pPr>
              <w:widowControl/>
              <w:autoSpaceDE/>
              <w:autoSpaceDN/>
              <w:jc w:val="center"/>
              <w:rPr>
                <w:rFonts w:eastAsia="Times New Roman" w:cs="Times New Roman"/>
                <w:sz w:val="20"/>
                <w:szCs w:val="24"/>
              </w:rPr>
            </w:pPr>
            <w:r>
              <w:rPr>
                <w:rFonts w:eastAsia="Times New Roman" w:cs="Times New Roman"/>
                <w:sz w:val="20"/>
                <w:szCs w:val="24"/>
              </w:rPr>
              <w:t>14</w:t>
            </w:r>
          </w:p>
        </w:tc>
        <w:tc>
          <w:tcPr>
            <w:tcW w:w="1845" w:type="dxa"/>
            <w:vAlign w:val="center"/>
          </w:tcPr>
          <w:p w14:paraId="2785B27E" w14:textId="77777777" w:rsidR="00133831" w:rsidRPr="00133831" w:rsidRDefault="00133831" w:rsidP="00133831">
            <w:pPr>
              <w:widowControl/>
              <w:autoSpaceDE/>
              <w:autoSpaceDN/>
              <w:jc w:val="center"/>
              <w:rPr>
                <w:rFonts w:eastAsia="Times New Roman" w:cs="Times New Roman"/>
                <w:sz w:val="20"/>
                <w:szCs w:val="24"/>
              </w:rPr>
            </w:pPr>
            <w:r>
              <w:rPr>
                <w:rFonts w:eastAsia="Times New Roman" w:cs="Times New Roman"/>
                <w:sz w:val="20"/>
                <w:szCs w:val="24"/>
              </w:rPr>
              <w:t>100%</w:t>
            </w:r>
          </w:p>
        </w:tc>
      </w:tr>
      <w:tr w:rsidR="00133831" w:rsidRPr="00133831" w14:paraId="3B97E47F" w14:textId="77777777" w:rsidTr="00133831">
        <w:trPr>
          <w:tblCellSpacing w:w="15" w:type="dxa"/>
        </w:trPr>
        <w:tc>
          <w:tcPr>
            <w:tcW w:w="2205" w:type="dxa"/>
            <w:tcBorders>
              <w:top w:val="single" w:sz="4" w:space="0" w:color="auto"/>
              <w:bottom w:val="nil"/>
            </w:tcBorders>
            <w:vAlign w:val="center"/>
            <w:hideMark/>
          </w:tcPr>
          <w:p w14:paraId="344EDB0A" w14:textId="77777777" w:rsidR="00133831" w:rsidRPr="00133831" w:rsidRDefault="00133831" w:rsidP="00133831">
            <w:pPr>
              <w:widowControl/>
              <w:autoSpaceDE/>
              <w:autoSpaceDN/>
              <w:rPr>
                <w:rFonts w:eastAsia="Times New Roman" w:cs="Times New Roman"/>
                <w:sz w:val="20"/>
                <w:szCs w:val="24"/>
              </w:rPr>
            </w:pPr>
            <w:r w:rsidRPr="00133831">
              <w:rPr>
                <w:rFonts w:eastAsia="Times New Roman" w:cs="Times New Roman"/>
                <w:sz w:val="20"/>
                <w:szCs w:val="24"/>
              </w:rPr>
              <w:t>Mean ± SD</w:t>
            </w:r>
          </w:p>
        </w:tc>
        <w:tc>
          <w:tcPr>
            <w:tcW w:w="3825" w:type="dxa"/>
            <w:gridSpan w:val="2"/>
            <w:tcBorders>
              <w:top w:val="single" w:sz="4" w:space="0" w:color="auto"/>
              <w:bottom w:val="nil"/>
            </w:tcBorders>
            <w:vAlign w:val="center"/>
            <w:hideMark/>
          </w:tcPr>
          <w:p w14:paraId="5035D0CB"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32.36 ± 9.76</w:t>
            </w:r>
          </w:p>
        </w:tc>
      </w:tr>
      <w:tr w:rsidR="00133831" w:rsidRPr="00133831" w14:paraId="41F5EFE1" w14:textId="77777777" w:rsidTr="00133831">
        <w:trPr>
          <w:tblCellSpacing w:w="15" w:type="dxa"/>
        </w:trPr>
        <w:tc>
          <w:tcPr>
            <w:tcW w:w="2205" w:type="dxa"/>
            <w:tcBorders>
              <w:top w:val="single" w:sz="4" w:space="0" w:color="auto"/>
              <w:bottom w:val="nil"/>
            </w:tcBorders>
            <w:vAlign w:val="center"/>
          </w:tcPr>
          <w:p w14:paraId="4D25B36D" w14:textId="77777777" w:rsidR="00133831" w:rsidRPr="00133831" w:rsidRDefault="00133831" w:rsidP="00133831">
            <w:pPr>
              <w:widowControl/>
              <w:autoSpaceDE/>
              <w:autoSpaceDN/>
              <w:rPr>
                <w:rFonts w:eastAsia="Times New Roman" w:cs="Times New Roman"/>
                <w:sz w:val="20"/>
                <w:szCs w:val="24"/>
              </w:rPr>
            </w:pPr>
            <w:r>
              <w:rPr>
                <w:rFonts w:eastAsia="Times New Roman" w:cs="Times New Roman"/>
                <w:sz w:val="20"/>
                <w:szCs w:val="24"/>
              </w:rPr>
              <w:t>Range (min, max)</w:t>
            </w:r>
          </w:p>
        </w:tc>
        <w:tc>
          <w:tcPr>
            <w:tcW w:w="3825" w:type="dxa"/>
            <w:gridSpan w:val="2"/>
            <w:tcBorders>
              <w:top w:val="single" w:sz="4" w:space="0" w:color="auto"/>
              <w:bottom w:val="nil"/>
            </w:tcBorders>
            <w:vAlign w:val="center"/>
          </w:tcPr>
          <w:p w14:paraId="3A614DE4" w14:textId="77777777" w:rsidR="00133831" w:rsidRPr="00133831" w:rsidRDefault="00133831" w:rsidP="00133831">
            <w:pPr>
              <w:widowControl/>
              <w:autoSpaceDE/>
              <w:autoSpaceDN/>
              <w:jc w:val="center"/>
              <w:rPr>
                <w:rFonts w:eastAsia="Times New Roman" w:cs="Times New Roman"/>
                <w:sz w:val="20"/>
                <w:szCs w:val="24"/>
              </w:rPr>
            </w:pPr>
            <w:r w:rsidRPr="00133831">
              <w:rPr>
                <w:rFonts w:eastAsia="Times New Roman" w:cs="Times New Roman"/>
                <w:sz w:val="20"/>
                <w:szCs w:val="24"/>
              </w:rPr>
              <w:t>18, 45</w:t>
            </w:r>
          </w:p>
        </w:tc>
      </w:tr>
    </w:tbl>
    <w:p w14:paraId="13007298" w14:textId="77777777" w:rsidR="00133831" w:rsidRDefault="00133831" w:rsidP="00133831">
      <w:pPr>
        <w:jc w:val="both"/>
        <w:rPr>
          <w:sz w:val="20"/>
        </w:rPr>
      </w:pPr>
    </w:p>
    <w:p w14:paraId="1338DB42" w14:textId="109DC281" w:rsidR="00133831" w:rsidRDefault="00133831" w:rsidP="00133831">
      <w:pPr>
        <w:jc w:val="both"/>
        <w:rPr>
          <w:sz w:val="20"/>
        </w:rPr>
      </w:pPr>
      <w:r>
        <w:rPr>
          <w:sz w:val="20"/>
        </w:rPr>
        <w:t xml:space="preserve">Figure 2 and Table 1 combine the age variables of participants. The maximum age recorded for this study was 45, while the minimum age of study subjects was 18 years. The mean age for all 14 participants documented is </w:t>
      </w:r>
      <w:r w:rsidRPr="00133831">
        <w:rPr>
          <w:sz w:val="20"/>
        </w:rPr>
        <w:t>32.36 ± 9.76</w:t>
      </w:r>
      <w:r>
        <w:rPr>
          <w:sz w:val="20"/>
        </w:rPr>
        <w:t xml:space="preserve">. </w:t>
      </w:r>
      <w:r w:rsidR="00B911B2">
        <w:rPr>
          <w:sz w:val="20"/>
        </w:rPr>
        <w:t>The most</w:t>
      </w:r>
      <w:r>
        <w:rPr>
          <w:sz w:val="20"/>
        </w:rPr>
        <w:t xml:space="preserve"> prevalent to </w:t>
      </w:r>
      <w:r w:rsidRPr="00133831">
        <w:rPr>
          <w:sz w:val="20"/>
        </w:rPr>
        <w:t>Solitary Parathyroid Adenoma</w:t>
      </w:r>
      <w:r>
        <w:rPr>
          <w:sz w:val="20"/>
        </w:rPr>
        <w:t xml:space="preserve"> </w:t>
      </w:r>
      <w:r w:rsidR="00B911B2">
        <w:rPr>
          <w:sz w:val="20"/>
        </w:rPr>
        <w:t>patients</w:t>
      </w:r>
      <w:r>
        <w:rPr>
          <w:sz w:val="20"/>
        </w:rPr>
        <w:t xml:space="preserve"> age group is 31-40 years.</w:t>
      </w:r>
      <w:r w:rsidR="00B911B2">
        <w:rPr>
          <w:sz w:val="20"/>
        </w:rPr>
        <w:t xml:space="preserve"> The rest of the groups show similar numbers of participants’ enrolment history regarding age distribution.</w:t>
      </w:r>
    </w:p>
    <w:p w14:paraId="074022A2" w14:textId="77777777" w:rsidR="00B911B2" w:rsidRDefault="00B911B2" w:rsidP="00133831">
      <w:pPr>
        <w:jc w:val="both"/>
        <w:rPr>
          <w:sz w:val="20"/>
        </w:rPr>
      </w:pPr>
    </w:p>
    <w:p w14:paraId="427D6869" w14:textId="77777777" w:rsidR="00133831" w:rsidRDefault="00B911B2" w:rsidP="00B911B2">
      <w:pPr>
        <w:jc w:val="center"/>
        <w:rPr>
          <w:sz w:val="20"/>
        </w:rPr>
      </w:pPr>
      <w:r>
        <w:rPr>
          <w:b/>
          <w:bCs/>
          <w:noProof/>
          <w:sz w:val="20"/>
        </w:rPr>
        <w:lastRenderedPageBreak/>
        <w:drawing>
          <wp:inline distT="0" distB="0" distL="0" distR="0" wp14:anchorId="2F4E1A92" wp14:editId="625E12BA">
            <wp:extent cx="4686300" cy="2997642"/>
            <wp:effectExtent l="0" t="0" r="0" b="1270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1B4987" w14:textId="0F3B92D4" w:rsidR="00B911B2" w:rsidRPr="00352995" w:rsidRDefault="00B911B2" w:rsidP="00B911B2">
      <w:pPr>
        <w:jc w:val="center"/>
        <w:rPr>
          <w:i/>
          <w:iCs/>
          <w:color w:val="0070C0"/>
          <w:sz w:val="20"/>
        </w:rPr>
      </w:pPr>
      <w:r w:rsidRPr="00352995">
        <w:rPr>
          <w:i/>
          <w:iCs/>
          <w:color w:val="0070C0"/>
          <w:sz w:val="20"/>
        </w:rPr>
        <w:t>Figure 3: Patients' distribution according to the presenting complaints</w:t>
      </w:r>
      <w:r w:rsidR="00242F44" w:rsidRPr="00352995">
        <w:rPr>
          <w:i/>
          <w:iCs/>
          <w:color w:val="0070C0"/>
          <w:sz w:val="20"/>
        </w:rPr>
        <w:t xml:space="preserve"> (n=14)</w:t>
      </w:r>
    </w:p>
    <w:p w14:paraId="11E0A187" w14:textId="77777777" w:rsidR="00B911B2" w:rsidRDefault="00B911B2" w:rsidP="00B911B2">
      <w:pPr>
        <w:jc w:val="center"/>
        <w:rPr>
          <w:sz w:val="20"/>
        </w:rPr>
      </w:pPr>
    </w:p>
    <w:p w14:paraId="71A17794" w14:textId="7B7C78D3" w:rsidR="00B911B2" w:rsidRDefault="00B911B2" w:rsidP="00B911B2">
      <w:pPr>
        <w:jc w:val="both"/>
        <w:rPr>
          <w:sz w:val="20"/>
        </w:rPr>
      </w:pPr>
      <w:r>
        <w:rPr>
          <w:sz w:val="20"/>
        </w:rPr>
        <w:t xml:space="preserve">Figure 3 </w:t>
      </w:r>
      <w:r w:rsidR="00242F44">
        <w:rPr>
          <w:sz w:val="20"/>
        </w:rPr>
        <w:t>reveals</w:t>
      </w:r>
      <w:r>
        <w:rPr>
          <w:sz w:val="20"/>
        </w:rPr>
        <w:t xml:space="preserve"> the participants' complaints during hospital admission. The majority of participants (64.3%) admitted to the hospital with a complaint of renal dysfunction, whether the memory impairment is </w:t>
      </w:r>
      <w:r w:rsidR="00D918ED">
        <w:rPr>
          <w:sz w:val="20"/>
        </w:rPr>
        <w:t>less but not negligible (21.4%) complaints by the study subjects.</w:t>
      </w:r>
    </w:p>
    <w:p w14:paraId="5A756A2A" w14:textId="77777777" w:rsidR="00242F44" w:rsidRDefault="00242F44" w:rsidP="00B911B2">
      <w:pPr>
        <w:jc w:val="both"/>
        <w:rPr>
          <w:sz w:val="20"/>
        </w:rPr>
      </w:pPr>
    </w:p>
    <w:p w14:paraId="6576C1C5" w14:textId="51F6ADD9" w:rsidR="00242F44" w:rsidRPr="00C07C96" w:rsidRDefault="00242F44" w:rsidP="00B911B2">
      <w:pPr>
        <w:jc w:val="both"/>
        <w:rPr>
          <w:b/>
          <w:sz w:val="20"/>
        </w:rPr>
      </w:pPr>
      <w:r w:rsidRPr="00C07C96">
        <w:rPr>
          <w:b/>
          <w:sz w:val="20"/>
        </w:rPr>
        <w:t>Table 2: Preoperative imaging versus intraoperative findings (n=14)</w:t>
      </w:r>
    </w:p>
    <w:p w14:paraId="17F48DB7" w14:textId="77777777" w:rsidR="00D918ED" w:rsidRPr="00C07C96" w:rsidRDefault="00D918ED" w:rsidP="00B911B2">
      <w:pPr>
        <w:jc w:val="both"/>
        <w:rPr>
          <w:b/>
          <w:sz w:val="20"/>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60"/>
        <w:gridCol w:w="2160"/>
        <w:gridCol w:w="1800"/>
        <w:gridCol w:w="1890"/>
      </w:tblGrid>
      <w:tr w:rsidR="00242F44" w:rsidRPr="00242F44" w14:paraId="6108C08B" w14:textId="77777777" w:rsidTr="00782F56">
        <w:trPr>
          <w:tblHeader/>
          <w:tblCellSpacing w:w="15" w:type="dxa"/>
        </w:trPr>
        <w:tc>
          <w:tcPr>
            <w:tcW w:w="2115" w:type="dxa"/>
            <w:tcBorders>
              <w:top w:val="nil"/>
              <w:bottom w:val="single" w:sz="4" w:space="0" w:color="auto"/>
            </w:tcBorders>
            <w:vAlign w:val="center"/>
            <w:hideMark/>
          </w:tcPr>
          <w:p w14:paraId="1BED7595" w14:textId="77777777" w:rsidR="00242F44" w:rsidRPr="00242F44" w:rsidRDefault="00242F44" w:rsidP="00242F44">
            <w:pPr>
              <w:widowControl/>
              <w:autoSpaceDE/>
              <w:autoSpaceDN/>
              <w:spacing w:line="360" w:lineRule="auto"/>
              <w:rPr>
                <w:rFonts w:eastAsia="Times New Roman" w:cs="Times New Roman"/>
                <w:b/>
                <w:bCs/>
                <w:sz w:val="20"/>
                <w:szCs w:val="24"/>
              </w:rPr>
            </w:pPr>
            <w:r w:rsidRPr="00242F44">
              <w:rPr>
                <w:rFonts w:eastAsia="Times New Roman" w:cs="Times New Roman"/>
                <w:b/>
                <w:bCs/>
                <w:sz w:val="20"/>
                <w:szCs w:val="24"/>
              </w:rPr>
              <w:t>Location</w:t>
            </w:r>
          </w:p>
        </w:tc>
        <w:tc>
          <w:tcPr>
            <w:tcW w:w="2130" w:type="dxa"/>
            <w:tcBorders>
              <w:top w:val="nil"/>
              <w:bottom w:val="single" w:sz="4" w:space="0" w:color="auto"/>
            </w:tcBorders>
            <w:vAlign w:val="center"/>
            <w:hideMark/>
          </w:tcPr>
          <w:p w14:paraId="7FC48F45" w14:textId="77777777" w:rsidR="00242F44" w:rsidRPr="00242F44" w:rsidRDefault="00242F44" w:rsidP="00242F44">
            <w:pPr>
              <w:widowControl/>
              <w:autoSpaceDE/>
              <w:autoSpaceDN/>
              <w:spacing w:line="360" w:lineRule="auto"/>
              <w:jc w:val="center"/>
              <w:rPr>
                <w:rFonts w:eastAsia="Times New Roman" w:cs="Times New Roman"/>
                <w:b/>
                <w:bCs/>
                <w:sz w:val="20"/>
                <w:szCs w:val="24"/>
              </w:rPr>
            </w:pPr>
            <w:r w:rsidRPr="00242F44">
              <w:rPr>
                <w:rFonts w:eastAsia="Times New Roman" w:cs="Times New Roman"/>
                <w:b/>
                <w:bCs/>
                <w:sz w:val="20"/>
                <w:szCs w:val="24"/>
              </w:rPr>
              <w:t>USG</w:t>
            </w:r>
            <w:r>
              <w:rPr>
                <w:rFonts w:eastAsia="Times New Roman" w:cs="Times New Roman"/>
                <w:b/>
                <w:bCs/>
                <w:sz w:val="20"/>
                <w:szCs w:val="24"/>
              </w:rPr>
              <w:t xml:space="preserve"> of neck</w:t>
            </w:r>
            <w:r w:rsidRPr="00242F44">
              <w:rPr>
                <w:rFonts w:eastAsia="Times New Roman" w:cs="Times New Roman"/>
                <w:b/>
                <w:bCs/>
                <w:sz w:val="20"/>
                <w:szCs w:val="24"/>
              </w:rPr>
              <w:t xml:space="preserve"> (%)</w:t>
            </w:r>
          </w:p>
        </w:tc>
        <w:tc>
          <w:tcPr>
            <w:tcW w:w="1770" w:type="dxa"/>
            <w:tcBorders>
              <w:top w:val="nil"/>
              <w:bottom w:val="single" w:sz="4" w:space="0" w:color="auto"/>
            </w:tcBorders>
            <w:vAlign w:val="center"/>
            <w:hideMark/>
          </w:tcPr>
          <w:p w14:paraId="32B94879" w14:textId="77777777" w:rsidR="00242F44" w:rsidRPr="00242F44" w:rsidRDefault="00782F56" w:rsidP="00242F44">
            <w:pPr>
              <w:widowControl/>
              <w:autoSpaceDE/>
              <w:autoSpaceDN/>
              <w:spacing w:line="360" w:lineRule="auto"/>
              <w:jc w:val="center"/>
              <w:rPr>
                <w:rFonts w:eastAsia="Times New Roman" w:cs="Times New Roman"/>
                <w:b/>
                <w:bCs/>
                <w:sz w:val="20"/>
                <w:szCs w:val="24"/>
              </w:rPr>
            </w:pPr>
            <w:proofErr w:type="spellStart"/>
            <w:r w:rsidRPr="00242F44">
              <w:rPr>
                <w:rFonts w:eastAsia="Times New Roman" w:cs="Times New Roman"/>
                <w:b/>
                <w:bCs/>
                <w:sz w:val="20"/>
                <w:szCs w:val="24"/>
              </w:rPr>
              <w:t>Sestamibi</w:t>
            </w:r>
            <w:proofErr w:type="spellEnd"/>
            <w:r w:rsidRPr="00242F44">
              <w:rPr>
                <w:rFonts w:eastAsia="Times New Roman" w:cs="Times New Roman"/>
                <w:b/>
                <w:bCs/>
                <w:sz w:val="20"/>
                <w:szCs w:val="24"/>
              </w:rPr>
              <w:t xml:space="preserve"> </w:t>
            </w:r>
            <w:r>
              <w:rPr>
                <w:rFonts w:eastAsia="Times New Roman" w:cs="Times New Roman"/>
                <w:b/>
                <w:bCs/>
                <w:sz w:val="20"/>
                <w:szCs w:val="24"/>
              </w:rPr>
              <w:t>(</w:t>
            </w:r>
            <w:r w:rsidR="00242F44" w:rsidRPr="00242F44">
              <w:rPr>
                <w:rFonts w:eastAsia="Times New Roman" w:cs="Times New Roman"/>
                <w:b/>
                <w:bCs/>
                <w:sz w:val="20"/>
                <w:szCs w:val="24"/>
              </w:rPr>
              <w:t>%)</w:t>
            </w:r>
          </w:p>
        </w:tc>
        <w:tc>
          <w:tcPr>
            <w:tcW w:w="1845" w:type="dxa"/>
            <w:tcBorders>
              <w:top w:val="nil"/>
              <w:bottom w:val="single" w:sz="4" w:space="0" w:color="auto"/>
            </w:tcBorders>
            <w:vAlign w:val="center"/>
            <w:hideMark/>
          </w:tcPr>
          <w:p w14:paraId="091E0DEC" w14:textId="77777777" w:rsidR="00242F44" w:rsidRPr="00242F44" w:rsidRDefault="00782F56" w:rsidP="00242F44">
            <w:pPr>
              <w:widowControl/>
              <w:autoSpaceDE/>
              <w:autoSpaceDN/>
              <w:spacing w:line="360" w:lineRule="auto"/>
              <w:jc w:val="center"/>
              <w:rPr>
                <w:rFonts w:eastAsia="Times New Roman" w:cs="Times New Roman"/>
                <w:b/>
                <w:bCs/>
                <w:sz w:val="20"/>
                <w:szCs w:val="24"/>
              </w:rPr>
            </w:pPr>
            <w:r w:rsidRPr="00242F44">
              <w:rPr>
                <w:rFonts w:eastAsia="Times New Roman" w:cs="Times New Roman"/>
                <w:b/>
                <w:bCs/>
                <w:sz w:val="20"/>
                <w:szCs w:val="24"/>
              </w:rPr>
              <w:t>Intraoperative (</w:t>
            </w:r>
            <w:r w:rsidR="00242F44" w:rsidRPr="00242F44">
              <w:rPr>
                <w:rFonts w:eastAsia="Times New Roman" w:cs="Times New Roman"/>
                <w:b/>
                <w:bCs/>
                <w:sz w:val="20"/>
                <w:szCs w:val="24"/>
              </w:rPr>
              <w:t>%)</w:t>
            </w:r>
          </w:p>
        </w:tc>
      </w:tr>
      <w:tr w:rsidR="00242F44" w:rsidRPr="00242F44" w14:paraId="522B1A11" w14:textId="77777777" w:rsidTr="00782F56">
        <w:trPr>
          <w:tblCellSpacing w:w="15" w:type="dxa"/>
        </w:trPr>
        <w:tc>
          <w:tcPr>
            <w:tcW w:w="2115" w:type="dxa"/>
            <w:vAlign w:val="center"/>
            <w:hideMark/>
          </w:tcPr>
          <w:p w14:paraId="27CF7BF9" w14:textId="77777777" w:rsidR="00242F44" w:rsidRPr="00242F44" w:rsidRDefault="00242F44" w:rsidP="00242F44">
            <w:pPr>
              <w:widowControl/>
              <w:autoSpaceDE/>
              <w:autoSpaceDN/>
              <w:spacing w:line="360" w:lineRule="auto"/>
              <w:rPr>
                <w:rFonts w:eastAsia="Times New Roman" w:cs="Times New Roman"/>
                <w:sz w:val="20"/>
                <w:szCs w:val="24"/>
              </w:rPr>
            </w:pPr>
            <w:r w:rsidRPr="00242F44">
              <w:rPr>
                <w:rFonts w:eastAsia="Times New Roman" w:cs="Times New Roman"/>
                <w:sz w:val="20"/>
                <w:szCs w:val="24"/>
              </w:rPr>
              <w:t>Left lower</w:t>
            </w:r>
          </w:p>
        </w:tc>
        <w:tc>
          <w:tcPr>
            <w:tcW w:w="2130" w:type="dxa"/>
            <w:vAlign w:val="center"/>
            <w:hideMark/>
          </w:tcPr>
          <w:p w14:paraId="5DD3D360"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w:t>
            </w:r>
          </w:p>
        </w:tc>
        <w:tc>
          <w:tcPr>
            <w:tcW w:w="1770" w:type="dxa"/>
            <w:vAlign w:val="center"/>
            <w:hideMark/>
          </w:tcPr>
          <w:p w14:paraId="2260F480"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6 (42.9)</w:t>
            </w:r>
          </w:p>
        </w:tc>
        <w:tc>
          <w:tcPr>
            <w:tcW w:w="1845" w:type="dxa"/>
            <w:vAlign w:val="center"/>
            <w:hideMark/>
          </w:tcPr>
          <w:p w14:paraId="7C90982E"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6 (42.9)</w:t>
            </w:r>
          </w:p>
        </w:tc>
      </w:tr>
      <w:tr w:rsidR="00242F44" w:rsidRPr="00242F44" w14:paraId="71035A6E" w14:textId="77777777" w:rsidTr="00782F56">
        <w:trPr>
          <w:tblCellSpacing w:w="15" w:type="dxa"/>
        </w:trPr>
        <w:tc>
          <w:tcPr>
            <w:tcW w:w="2115" w:type="dxa"/>
            <w:vAlign w:val="center"/>
            <w:hideMark/>
          </w:tcPr>
          <w:p w14:paraId="5A93D3AB" w14:textId="77777777" w:rsidR="00242F44" w:rsidRPr="00242F44" w:rsidRDefault="00242F44" w:rsidP="00242F44">
            <w:pPr>
              <w:widowControl/>
              <w:autoSpaceDE/>
              <w:autoSpaceDN/>
              <w:spacing w:line="360" w:lineRule="auto"/>
              <w:rPr>
                <w:rFonts w:eastAsia="Times New Roman" w:cs="Times New Roman"/>
                <w:sz w:val="20"/>
                <w:szCs w:val="24"/>
              </w:rPr>
            </w:pPr>
            <w:r w:rsidRPr="00242F44">
              <w:rPr>
                <w:rFonts w:eastAsia="Times New Roman" w:cs="Times New Roman"/>
                <w:sz w:val="20"/>
                <w:szCs w:val="24"/>
              </w:rPr>
              <w:t>Left upper</w:t>
            </w:r>
          </w:p>
        </w:tc>
        <w:tc>
          <w:tcPr>
            <w:tcW w:w="2130" w:type="dxa"/>
            <w:vAlign w:val="center"/>
            <w:hideMark/>
          </w:tcPr>
          <w:p w14:paraId="742C2A9F"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w:t>
            </w:r>
          </w:p>
        </w:tc>
        <w:tc>
          <w:tcPr>
            <w:tcW w:w="1770" w:type="dxa"/>
            <w:vAlign w:val="center"/>
            <w:hideMark/>
          </w:tcPr>
          <w:p w14:paraId="5D6C1E5B"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1 (7.1)</w:t>
            </w:r>
          </w:p>
        </w:tc>
        <w:tc>
          <w:tcPr>
            <w:tcW w:w="1845" w:type="dxa"/>
            <w:vAlign w:val="center"/>
            <w:hideMark/>
          </w:tcPr>
          <w:p w14:paraId="17D567FF"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1 (7.1)</w:t>
            </w:r>
          </w:p>
        </w:tc>
      </w:tr>
      <w:tr w:rsidR="00242F44" w:rsidRPr="00242F44" w14:paraId="3E51EB6A" w14:textId="77777777" w:rsidTr="00782F56">
        <w:trPr>
          <w:tblCellSpacing w:w="15" w:type="dxa"/>
        </w:trPr>
        <w:tc>
          <w:tcPr>
            <w:tcW w:w="2115" w:type="dxa"/>
            <w:vAlign w:val="center"/>
            <w:hideMark/>
          </w:tcPr>
          <w:p w14:paraId="28B12207" w14:textId="77777777" w:rsidR="00242F44" w:rsidRPr="00242F44" w:rsidRDefault="00242F44" w:rsidP="00242F44">
            <w:pPr>
              <w:widowControl/>
              <w:autoSpaceDE/>
              <w:autoSpaceDN/>
              <w:spacing w:line="360" w:lineRule="auto"/>
              <w:rPr>
                <w:rFonts w:eastAsia="Times New Roman" w:cs="Times New Roman"/>
                <w:sz w:val="20"/>
                <w:szCs w:val="24"/>
              </w:rPr>
            </w:pPr>
            <w:r w:rsidRPr="00242F44">
              <w:rPr>
                <w:rFonts w:eastAsia="Times New Roman" w:cs="Times New Roman"/>
                <w:sz w:val="20"/>
                <w:szCs w:val="24"/>
              </w:rPr>
              <w:t>Right lower</w:t>
            </w:r>
          </w:p>
        </w:tc>
        <w:tc>
          <w:tcPr>
            <w:tcW w:w="2130" w:type="dxa"/>
            <w:vAlign w:val="center"/>
            <w:hideMark/>
          </w:tcPr>
          <w:p w14:paraId="2E7327F5"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w:t>
            </w:r>
          </w:p>
        </w:tc>
        <w:tc>
          <w:tcPr>
            <w:tcW w:w="1770" w:type="dxa"/>
            <w:vAlign w:val="center"/>
            <w:hideMark/>
          </w:tcPr>
          <w:p w14:paraId="12D0AB70"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4 (28.6)</w:t>
            </w:r>
          </w:p>
        </w:tc>
        <w:tc>
          <w:tcPr>
            <w:tcW w:w="1845" w:type="dxa"/>
            <w:vAlign w:val="center"/>
            <w:hideMark/>
          </w:tcPr>
          <w:p w14:paraId="6A4D9B76"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3 (21.4)</w:t>
            </w:r>
          </w:p>
        </w:tc>
      </w:tr>
      <w:tr w:rsidR="00242F44" w:rsidRPr="00242F44" w14:paraId="1CA12FD7" w14:textId="77777777" w:rsidTr="00782F56">
        <w:trPr>
          <w:tblCellSpacing w:w="15" w:type="dxa"/>
        </w:trPr>
        <w:tc>
          <w:tcPr>
            <w:tcW w:w="2115" w:type="dxa"/>
            <w:vAlign w:val="center"/>
            <w:hideMark/>
          </w:tcPr>
          <w:p w14:paraId="67C10A69" w14:textId="77777777" w:rsidR="00242F44" w:rsidRPr="00242F44" w:rsidRDefault="00242F44" w:rsidP="00242F44">
            <w:pPr>
              <w:widowControl/>
              <w:autoSpaceDE/>
              <w:autoSpaceDN/>
              <w:spacing w:line="360" w:lineRule="auto"/>
              <w:rPr>
                <w:rFonts w:eastAsia="Times New Roman" w:cs="Times New Roman"/>
                <w:sz w:val="20"/>
                <w:szCs w:val="24"/>
              </w:rPr>
            </w:pPr>
            <w:r w:rsidRPr="00242F44">
              <w:rPr>
                <w:rFonts w:eastAsia="Times New Roman" w:cs="Times New Roman"/>
                <w:sz w:val="20"/>
                <w:szCs w:val="24"/>
              </w:rPr>
              <w:t>Right upper</w:t>
            </w:r>
          </w:p>
        </w:tc>
        <w:tc>
          <w:tcPr>
            <w:tcW w:w="2130" w:type="dxa"/>
            <w:vAlign w:val="center"/>
            <w:hideMark/>
          </w:tcPr>
          <w:p w14:paraId="73B9543B"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w:t>
            </w:r>
          </w:p>
        </w:tc>
        <w:tc>
          <w:tcPr>
            <w:tcW w:w="1770" w:type="dxa"/>
            <w:vAlign w:val="center"/>
            <w:hideMark/>
          </w:tcPr>
          <w:p w14:paraId="27E13F77"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w:t>
            </w:r>
          </w:p>
        </w:tc>
        <w:tc>
          <w:tcPr>
            <w:tcW w:w="1845" w:type="dxa"/>
            <w:vAlign w:val="center"/>
            <w:hideMark/>
          </w:tcPr>
          <w:p w14:paraId="074C7E98"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1 (7.1)</w:t>
            </w:r>
          </w:p>
        </w:tc>
      </w:tr>
      <w:tr w:rsidR="00242F44" w:rsidRPr="00242F44" w14:paraId="5342C3D8" w14:textId="77777777" w:rsidTr="00782F56">
        <w:trPr>
          <w:tblCellSpacing w:w="15" w:type="dxa"/>
        </w:trPr>
        <w:tc>
          <w:tcPr>
            <w:tcW w:w="2115" w:type="dxa"/>
            <w:vAlign w:val="center"/>
            <w:hideMark/>
          </w:tcPr>
          <w:p w14:paraId="6EB4FB6F" w14:textId="77777777" w:rsidR="00242F44" w:rsidRPr="00242F44" w:rsidRDefault="00242F44" w:rsidP="00242F44">
            <w:pPr>
              <w:widowControl/>
              <w:autoSpaceDE/>
              <w:autoSpaceDN/>
              <w:spacing w:line="360" w:lineRule="auto"/>
              <w:rPr>
                <w:rFonts w:eastAsia="Times New Roman" w:cs="Times New Roman"/>
                <w:sz w:val="20"/>
                <w:szCs w:val="24"/>
              </w:rPr>
            </w:pPr>
            <w:r w:rsidRPr="00242F44">
              <w:rPr>
                <w:rFonts w:eastAsia="Times New Roman" w:cs="Times New Roman"/>
                <w:sz w:val="20"/>
                <w:szCs w:val="24"/>
              </w:rPr>
              <w:t>Superior mediastinal</w:t>
            </w:r>
          </w:p>
        </w:tc>
        <w:tc>
          <w:tcPr>
            <w:tcW w:w="2130" w:type="dxa"/>
            <w:vAlign w:val="center"/>
            <w:hideMark/>
          </w:tcPr>
          <w:p w14:paraId="301EB13C"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w:t>
            </w:r>
          </w:p>
        </w:tc>
        <w:tc>
          <w:tcPr>
            <w:tcW w:w="1770" w:type="dxa"/>
            <w:vAlign w:val="center"/>
            <w:hideMark/>
          </w:tcPr>
          <w:p w14:paraId="24821175"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3 (21.4)</w:t>
            </w:r>
          </w:p>
        </w:tc>
        <w:tc>
          <w:tcPr>
            <w:tcW w:w="1845" w:type="dxa"/>
            <w:vAlign w:val="center"/>
            <w:hideMark/>
          </w:tcPr>
          <w:p w14:paraId="2CE473FF" w14:textId="77777777" w:rsidR="00242F44" w:rsidRPr="00242F44" w:rsidRDefault="00242F44" w:rsidP="00242F44">
            <w:pPr>
              <w:widowControl/>
              <w:autoSpaceDE/>
              <w:autoSpaceDN/>
              <w:spacing w:line="360" w:lineRule="auto"/>
              <w:jc w:val="center"/>
              <w:rPr>
                <w:rFonts w:eastAsia="Times New Roman" w:cs="Times New Roman"/>
                <w:sz w:val="20"/>
                <w:szCs w:val="24"/>
              </w:rPr>
            </w:pPr>
            <w:r w:rsidRPr="00242F44">
              <w:rPr>
                <w:rFonts w:eastAsia="Times New Roman" w:cs="Times New Roman"/>
                <w:sz w:val="20"/>
                <w:szCs w:val="24"/>
              </w:rPr>
              <w:t>3 (21.4)</w:t>
            </w:r>
          </w:p>
        </w:tc>
      </w:tr>
    </w:tbl>
    <w:p w14:paraId="436016E0" w14:textId="77777777" w:rsidR="00D918ED" w:rsidRDefault="00D918ED" w:rsidP="00B911B2">
      <w:pPr>
        <w:jc w:val="both"/>
        <w:rPr>
          <w:sz w:val="20"/>
        </w:rPr>
      </w:pPr>
    </w:p>
    <w:p w14:paraId="585A6E4F" w14:textId="7F784CCC" w:rsidR="00133831" w:rsidRDefault="00242F44" w:rsidP="00782F56">
      <w:pPr>
        <w:jc w:val="both"/>
        <w:rPr>
          <w:sz w:val="20"/>
        </w:rPr>
      </w:pPr>
      <w:r>
        <w:rPr>
          <w:sz w:val="20"/>
        </w:rPr>
        <w:t xml:space="preserve">Table 2 showcase that </w:t>
      </w:r>
      <w:proofErr w:type="spellStart"/>
      <w:r w:rsidRPr="00242F44">
        <w:rPr>
          <w:sz w:val="20"/>
        </w:rPr>
        <w:t>Sestamibi</w:t>
      </w:r>
      <w:proofErr w:type="spellEnd"/>
      <w:r w:rsidRPr="00242F44">
        <w:rPr>
          <w:sz w:val="20"/>
        </w:rPr>
        <w:t xml:space="preserve"> scan had a high correlation with peroperative results, especially with ectopic superior mediastinal adenoma yet USG was not able to detect many lesions especially ectopic or deep-seated glands.</w:t>
      </w:r>
      <w:r>
        <w:rPr>
          <w:sz w:val="20"/>
        </w:rPr>
        <w:t xml:space="preserve"> </w:t>
      </w:r>
      <w:proofErr w:type="spellStart"/>
      <w:r w:rsidR="00782F56" w:rsidRPr="00782F56">
        <w:rPr>
          <w:sz w:val="20"/>
        </w:rPr>
        <w:t>Sestamibi</w:t>
      </w:r>
      <w:proofErr w:type="spellEnd"/>
      <w:r w:rsidR="00782F56">
        <w:rPr>
          <w:sz w:val="20"/>
        </w:rPr>
        <w:t xml:space="preserve"> </w:t>
      </w:r>
      <w:r w:rsidR="00782F56" w:rsidRPr="00782F56">
        <w:rPr>
          <w:sz w:val="20"/>
        </w:rPr>
        <w:t>scans, however, showed th</w:t>
      </w:r>
      <w:r w:rsidR="00782F56">
        <w:rPr>
          <w:sz w:val="20"/>
        </w:rPr>
        <w:t xml:space="preserve">at all four cases (28.6%) were </w:t>
      </w:r>
      <w:r w:rsidR="00782F56" w:rsidRPr="00782F56">
        <w:rPr>
          <w:sz w:val="20"/>
        </w:rPr>
        <w:t xml:space="preserve">present in the right lower area. The </w:t>
      </w:r>
      <w:r w:rsidR="00782F56">
        <w:rPr>
          <w:sz w:val="20"/>
        </w:rPr>
        <w:t xml:space="preserve">perioperative data, in contrast, showed that 1 (7.1%) </w:t>
      </w:r>
      <w:r w:rsidR="00782F56" w:rsidRPr="00782F56">
        <w:rPr>
          <w:sz w:val="20"/>
        </w:rPr>
        <w:t xml:space="preserve">was in the right upper region and 3 (21.4%) </w:t>
      </w:r>
      <w:r w:rsidR="00782F56">
        <w:rPr>
          <w:sz w:val="20"/>
        </w:rPr>
        <w:t>were</w:t>
      </w:r>
      <w:r w:rsidR="00782F56" w:rsidRPr="00782F56">
        <w:rPr>
          <w:sz w:val="20"/>
        </w:rPr>
        <w:t xml:space="preserve"> in the right </w:t>
      </w:r>
      <w:r w:rsidR="00782F56">
        <w:rPr>
          <w:sz w:val="20"/>
        </w:rPr>
        <w:t xml:space="preserve">lower region. Similar to that, it was </w:t>
      </w:r>
      <w:r w:rsidR="00782F56" w:rsidRPr="00782F56">
        <w:rPr>
          <w:sz w:val="20"/>
        </w:rPr>
        <w:t>discovered that 1(7.1%) of the patients in this stud</w:t>
      </w:r>
      <w:r w:rsidR="00782F56">
        <w:rPr>
          <w:sz w:val="20"/>
        </w:rPr>
        <w:t xml:space="preserve">y had adenoma in their right &amp; </w:t>
      </w:r>
      <w:r w:rsidR="00782F56" w:rsidRPr="00782F56">
        <w:rPr>
          <w:sz w:val="20"/>
        </w:rPr>
        <w:t>left sid</w:t>
      </w:r>
      <w:r w:rsidR="00782F56">
        <w:rPr>
          <w:sz w:val="20"/>
        </w:rPr>
        <w:t xml:space="preserve">es, and right (medial &amp; lateral) </w:t>
      </w:r>
      <w:r w:rsidR="00782F56" w:rsidRPr="00782F56">
        <w:rPr>
          <w:sz w:val="20"/>
        </w:rPr>
        <w:t>respectively</w:t>
      </w:r>
      <w:r w:rsidR="00782F56">
        <w:rPr>
          <w:sz w:val="20"/>
        </w:rPr>
        <w:t>.</w:t>
      </w:r>
    </w:p>
    <w:p w14:paraId="2046ABDC" w14:textId="77777777" w:rsidR="00782F56" w:rsidRDefault="00782F56" w:rsidP="00782F56">
      <w:pPr>
        <w:jc w:val="both"/>
        <w:rPr>
          <w:sz w:val="20"/>
        </w:rPr>
      </w:pPr>
    </w:p>
    <w:p w14:paraId="523BE49F" w14:textId="45272EB0" w:rsidR="00782F56" w:rsidRPr="00C07C96" w:rsidRDefault="00782F56" w:rsidP="00782F56">
      <w:pPr>
        <w:jc w:val="both"/>
        <w:rPr>
          <w:b/>
          <w:sz w:val="20"/>
        </w:rPr>
      </w:pPr>
      <w:r w:rsidRPr="00C07C96">
        <w:rPr>
          <w:b/>
          <w:sz w:val="20"/>
        </w:rPr>
        <w:t xml:space="preserve">Table 3: Association between USG findings and </w:t>
      </w:r>
      <w:r w:rsidR="00C07C96">
        <w:rPr>
          <w:b/>
          <w:sz w:val="20"/>
        </w:rPr>
        <w:t>per-</w:t>
      </w:r>
      <w:r w:rsidRPr="00C07C96">
        <w:rPr>
          <w:b/>
          <w:sz w:val="20"/>
        </w:rPr>
        <w:t>operative location (n=14)</w:t>
      </w:r>
    </w:p>
    <w:p w14:paraId="5EBE8F76" w14:textId="77777777" w:rsidR="00782F56" w:rsidRPr="00C07C96" w:rsidRDefault="00782F56" w:rsidP="00782F56">
      <w:pPr>
        <w:jc w:val="both"/>
        <w:rPr>
          <w:b/>
          <w:sz w:val="20"/>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30"/>
        <w:gridCol w:w="2520"/>
        <w:gridCol w:w="1800"/>
      </w:tblGrid>
      <w:tr w:rsidR="00782F56" w:rsidRPr="00782F56" w14:paraId="5A7CB6B0" w14:textId="77777777" w:rsidTr="00782F56">
        <w:trPr>
          <w:tblHeader/>
          <w:tblCellSpacing w:w="15" w:type="dxa"/>
        </w:trPr>
        <w:tc>
          <w:tcPr>
            <w:tcW w:w="2385" w:type="dxa"/>
            <w:tcBorders>
              <w:top w:val="nil"/>
              <w:bottom w:val="single" w:sz="4" w:space="0" w:color="auto"/>
            </w:tcBorders>
            <w:vAlign w:val="center"/>
            <w:hideMark/>
          </w:tcPr>
          <w:p w14:paraId="4F928AB1" w14:textId="77777777" w:rsidR="00782F56" w:rsidRPr="00782F56" w:rsidRDefault="00C07C96" w:rsidP="00782F56">
            <w:pPr>
              <w:widowControl/>
              <w:autoSpaceDE/>
              <w:autoSpaceDN/>
              <w:spacing w:line="360" w:lineRule="auto"/>
              <w:rPr>
                <w:rFonts w:eastAsia="Times New Roman" w:cs="Times New Roman"/>
                <w:b/>
                <w:bCs/>
                <w:sz w:val="20"/>
                <w:szCs w:val="24"/>
              </w:rPr>
            </w:pPr>
            <w:r>
              <w:rPr>
                <w:rFonts w:eastAsia="Times New Roman" w:cs="Times New Roman"/>
                <w:b/>
                <w:bCs/>
                <w:sz w:val="20"/>
                <w:szCs w:val="24"/>
              </w:rPr>
              <w:t>Per-</w:t>
            </w:r>
            <w:r w:rsidR="00782F56" w:rsidRPr="00782F56">
              <w:rPr>
                <w:rFonts w:eastAsia="Times New Roman" w:cs="Times New Roman"/>
                <w:b/>
                <w:bCs/>
                <w:sz w:val="20"/>
                <w:szCs w:val="24"/>
              </w:rPr>
              <w:t>operative site</w:t>
            </w:r>
          </w:p>
        </w:tc>
        <w:tc>
          <w:tcPr>
            <w:tcW w:w="2490" w:type="dxa"/>
            <w:tcBorders>
              <w:top w:val="nil"/>
              <w:bottom w:val="single" w:sz="4" w:space="0" w:color="auto"/>
            </w:tcBorders>
            <w:vAlign w:val="center"/>
            <w:hideMark/>
          </w:tcPr>
          <w:p w14:paraId="43DF8690" w14:textId="77777777" w:rsidR="00782F56" w:rsidRPr="00782F56" w:rsidRDefault="00782F56" w:rsidP="00782F56">
            <w:pPr>
              <w:widowControl/>
              <w:autoSpaceDE/>
              <w:autoSpaceDN/>
              <w:spacing w:line="360" w:lineRule="auto"/>
              <w:jc w:val="center"/>
              <w:rPr>
                <w:rFonts w:eastAsia="Times New Roman" w:cs="Times New Roman"/>
                <w:b/>
                <w:bCs/>
                <w:sz w:val="20"/>
                <w:szCs w:val="24"/>
              </w:rPr>
            </w:pPr>
            <w:r w:rsidRPr="00782F56">
              <w:rPr>
                <w:rFonts w:eastAsia="Times New Roman" w:cs="Times New Roman"/>
                <w:b/>
                <w:bCs/>
                <w:sz w:val="20"/>
                <w:szCs w:val="24"/>
              </w:rPr>
              <w:t>USG matched</w:t>
            </w:r>
          </w:p>
        </w:tc>
        <w:tc>
          <w:tcPr>
            <w:tcW w:w="1755" w:type="dxa"/>
            <w:tcBorders>
              <w:top w:val="nil"/>
              <w:bottom w:val="single" w:sz="4" w:space="0" w:color="auto"/>
            </w:tcBorders>
            <w:vAlign w:val="center"/>
            <w:hideMark/>
          </w:tcPr>
          <w:p w14:paraId="713A091E" w14:textId="77777777" w:rsidR="00782F56" w:rsidRPr="00782F56" w:rsidRDefault="00782F56" w:rsidP="00782F56">
            <w:pPr>
              <w:widowControl/>
              <w:autoSpaceDE/>
              <w:autoSpaceDN/>
              <w:spacing w:line="360" w:lineRule="auto"/>
              <w:jc w:val="center"/>
              <w:rPr>
                <w:rFonts w:eastAsia="Times New Roman" w:cs="Times New Roman"/>
                <w:b/>
                <w:bCs/>
                <w:sz w:val="20"/>
                <w:szCs w:val="24"/>
              </w:rPr>
            </w:pPr>
            <w:r w:rsidRPr="00782F56">
              <w:rPr>
                <w:rFonts w:eastAsia="Times New Roman" w:cs="Times New Roman"/>
                <w:b/>
                <w:bCs/>
                <w:sz w:val="20"/>
                <w:szCs w:val="24"/>
              </w:rPr>
              <w:t>Percentage match</w:t>
            </w:r>
          </w:p>
        </w:tc>
      </w:tr>
      <w:tr w:rsidR="00782F56" w:rsidRPr="00782F56" w14:paraId="10E6069E" w14:textId="77777777" w:rsidTr="00782F56">
        <w:trPr>
          <w:tblCellSpacing w:w="15" w:type="dxa"/>
        </w:trPr>
        <w:tc>
          <w:tcPr>
            <w:tcW w:w="2385" w:type="dxa"/>
            <w:vAlign w:val="center"/>
            <w:hideMark/>
          </w:tcPr>
          <w:p w14:paraId="7D796243" w14:textId="77777777" w:rsidR="00782F56" w:rsidRPr="00782F56" w:rsidRDefault="00782F56" w:rsidP="00782F56">
            <w:pPr>
              <w:widowControl/>
              <w:autoSpaceDE/>
              <w:autoSpaceDN/>
              <w:spacing w:line="360" w:lineRule="auto"/>
              <w:rPr>
                <w:rFonts w:eastAsia="Times New Roman" w:cs="Times New Roman"/>
                <w:sz w:val="20"/>
                <w:szCs w:val="24"/>
              </w:rPr>
            </w:pPr>
            <w:r w:rsidRPr="00782F56">
              <w:rPr>
                <w:rFonts w:eastAsia="Times New Roman" w:cs="Times New Roman"/>
                <w:sz w:val="20"/>
                <w:szCs w:val="24"/>
              </w:rPr>
              <w:t>Left lower (n=6)</w:t>
            </w:r>
          </w:p>
        </w:tc>
        <w:tc>
          <w:tcPr>
            <w:tcW w:w="2490" w:type="dxa"/>
            <w:vAlign w:val="center"/>
            <w:hideMark/>
          </w:tcPr>
          <w:p w14:paraId="34BBACDC"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4</w:t>
            </w:r>
          </w:p>
        </w:tc>
        <w:tc>
          <w:tcPr>
            <w:tcW w:w="1755" w:type="dxa"/>
            <w:vAlign w:val="center"/>
            <w:hideMark/>
          </w:tcPr>
          <w:p w14:paraId="1EE34BF7"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66.6</w:t>
            </w:r>
          </w:p>
        </w:tc>
      </w:tr>
      <w:tr w:rsidR="00782F56" w:rsidRPr="00782F56" w14:paraId="76D9E0D9" w14:textId="77777777" w:rsidTr="00782F56">
        <w:trPr>
          <w:tblCellSpacing w:w="15" w:type="dxa"/>
        </w:trPr>
        <w:tc>
          <w:tcPr>
            <w:tcW w:w="2385" w:type="dxa"/>
            <w:vAlign w:val="center"/>
            <w:hideMark/>
          </w:tcPr>
          <w:p w14:paraId="6398A49A" w14:textId="77777777" w:rsidR="00782F56" w:rsidRPr="00782F56" w:rsidRDefault="00782F56" w:rsidP="00782F56">
            <w:pPr>
              <w:widowControl/>
              <w:autoSpaceDE/>
              <w:autoSpaceDN/>
              <w:spacing w:line="360" w:lineRule="auto"/>
              <w:rPr>
                <w:rFonts w:eastAsia="Times New Roman" w:cs="Times New Roman"/>
                <w:sz w:val="20"/>
                <w:szCs w:val="24"/>
              </w:rPr>
            </w:pPr>
            <w:r w:rsidRPr="00782F56">
              <w:rPr>
                <w:rFonts w:eastAsia="Times New Roman" w:cs="Times New Roman"/>
                <w:sz w:val="20"/>
                <w:szCs w:val="24"/>
              </w:rPr>
              <w:t>Left upper (n=1)</w:t>
            </w:r>
          </w:p>
        </w:tc>
        <w:tc>
          <w:tcPr>
            <w:tcW w:w="2490" w:type="dxa"/>
            <w:vAlign w:val="center"/>
            <w:hideMark/>
          </w:tcPr>
          <w:p w14:paraId="71EF938A"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0</w:t>
            </w:r>
          </w:p>
        </w:tc>
        <w:tc>
          <w:tcPr>
            <w:tcW w:w="1755" w:type="dxa"/>
            <w:vAlign w:val="center"/>
            <w:hideMark/>
          </w:tcPr>
          <w:p w14:paraId="0EFC0F0B"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0</w:t>
            </w:r>
          </w:p>
        </w:tc>
      </w:tr>
      <w:tr w:rsidR="00782F56" w:rsidRPr="00782F56" w14:paraId="547A94A1" w14:textId="77777777" w:rsidTr="00782F56">
        <w:trPr>
          <w:tblCellSpacing w:w="15" w:type="dxa"/>
        </w:trPr>
        <w:tc>
          <w:tcPr>
            <w:tcW w:w="2385" w:type="dxa"/>
            <w:vAlign w:val="center"/>
            <w:hideMark/>
          </w:tcPr>
          <w:p w14:paraId="1F93EC74" w14:textId="77777777" w:rsidR="00782F56" w:rsidRPr="00782F56" w:rsidRDefault="00782F56" w:rsidP="00782F56">
            <w:pPr>
              <w:widowControl/>
              <w:autoSpaceDE/>
              <w:autoSpaceDN/>
              <w:spacing w:line="360" w:lineRule="auto"/>
              <w:rPr>
                <w:rFonts w:eastAsia="Times New Roman" w:cs="Times New Roman"/>
                <w:sz w:val="20"/>
                <w:szCs w:val="24"/>
              </w:rPr>
            </w:pPr>
            <w:r w:rsidRPr="00782F56">
              <w:rPr>
                <w:rFonts w:eastAsia="Times New Roman" w:cs="Times New Roman"/>
                <w:sz w:val="20"/>
                <w:szCs w:val="24"/>
              </w:rPr>
              <w:t>Right lower (n=3)</w:t>
            </w:r>
          </w:p>
        </w:tc>
        <w:tc>
          <w:tcPr>
            <w:tcW w:w="2490" w:type="dxa"/>
            <w:vAlign w:val="center"/>
            <w:hideMark/>
          </w:tcPr>
          <w:p w14:paraId="08E2EF4B"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2</w:t>
            </w:r>
          </w:p>
        </w:tc>
        <w:tc>
          <w:tcPr>
            <w:tcW w:w="1755" w:type="dxa"/>
            <w:vAlign w:val="center"/>
            <w:hideMark/>
          </w:tcPr>
          <w:p w14:paraId="0502B8DC"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66.7</w:t>
            </w:r>
          </w:p>
        </w:tc>
      </w:tr>
      <w:tr w:rsidR="00782F56" w:rsidRPr="00782F56" w14:paraId="077BFDB7" w14:textId="77777777" w:rsidTr="00782F56">
        <w:trPr>
          <w:tblCellSpacing w:w="15" w:type="dxa"/>
        </w:trPr>
        <w:tc>
          <w:tcPr>
            <w:tcW w:w="2385" w:type="dxa"/>
            <w:vAlign w:val="center"/>
            <w:hideMark/>
          </w:tcPr>
          <w:p w14:paraId="7DA4D3FA" w14:textId="77777777" w:rsidR="00782F56" w:rsidRPr="00782F56" w:rsidRDefault="00782F56" w:rsidP="00782F56">
            <w:pPr>
              <w:widowControl/>
              <w:autoSpaceDE/>
              <w:autoSpaceDN/>
              <w:spacing w:line="360" w:lineRule="auto"/>
              <w:rPr>
                <w:rFonts w:eastAsia="Times New Roman" w:cs="Times New Roman"/>
                <w:sz w:val="20"/>
                <w:szCs w:val="24"/>
              </w:rPr>
            </w:pPr>
            <w:r w:rsidRPr="00782F56">
              <w:rPr>
                <w:rFonts w:eastAsia="Times New Roman" w:cs="Times New Roman"/>
                <w:sz w:val="20"/>
                <w:szCs w:val="24"/>
              </w:rPr>
              <w:lastRenderedPageBreak/>
              <w:t>Right upper (n=1)</w:t>
            </w:r>
          </w:p>
        </w:tc>
        <w:tc>
          <w:tcPr>
            <w:tcW w:w="2490" w:type="dxa"/>
            <w:vAlign w:val="center"/>
            <w:hideMark/>
          </w:tcPr>
          <w:p w14:paraId="376528D0"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1</w:t>
            </w:r>
          </w:p>
        </w:tc>
        <w:tc>
          <w:tcPr>
            <w:tcW w:w="1755" w:type="dxa"/>
            <w:vAlign w:val="center"/>
            <w:hideMark/>
          </w:tcPr>
          <w:p w14:paraId="3EDB8B4E"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100</w:t>
            </w:r>
          </w:p>
        </w:tc>
      </w:tr>
      <w:tr w:rsidR="00782F56" w:rsidRPr="00782F56" w14:paraId="22482FFB" w14:textId="77777777" w:rsidTr="00782F56">
        <w:trPr>
          <w:tblCellSpacing w:w="15" w:type="dxa"/>
        </w:trPr>
        <w:tc>
          <w:tcPr>
            <w:tcW w:w="2385" w:type="dxa"/>
            <w:vAlign w:val="center"/>
            <w:hideMark/>
          </w:tcPr>
          <w:p w14:paraId="3AC108CF" w14:textId="77777777" w:rsidR="00782F56" w:rsidRPr="00782F56" w:rsidRDefault="00782F56" w:rsidP="00782F56">
            <w:pPr>
              <w:widowControl/>
              <w:autoSpaceDE/>
              <w:autoSpaceDN/>
              <w:spacing w:line="360" w:lineRule="auto"/>
              <w:rPr>
                <w:rFonts w:eastAsia="Times New Roman" w:cs="Times New Roman"/>
                <w:sz w:val="20"/>
                <w:szCs w:val="24"/>
              </w:rPr>
            </w:pPr>
            <w:r w:rsidRPr="00782F56">
              <w:rPr>
                <w:rFonts w:eastAsia="Times New Roman" w:cs="Times New Roman"/>
                <w:sz w:val="20"/>
                <w:szCs w:val="24"/>
              </w:rPr>
              <w:t>Superior mediastinal (n=3)</w:t>
            </w:r>
          </w:p>
        </w:tc>
        <w:tc>
          <w:tcPr>
            <w:tcW w:w="2490" w:type="dxa"/>
            <w:vAlign w:val="center"/>
            <w:hideMark/>
          </w:tcPr>
          <w:p w14:paraId="1A7BB0F0"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1</w:t>
            </w:r>
          </w:p>
        </w:tc>
        <w:tc>
          <w:tcPr>
            <w:tcW w:w="1755" w:type="dxa"/>
            <w:vAlign w:val="center"/>
            <w:hideMark/>
          </w:tcPr>
          <w:p w14:paraId="163FA275" w14:textId="77777777" w:rsidR="00782F56" w:rsidRPr="00782F56" w:rsidRDefault="00782F56" w:rsidP="00782F56">
            <w:pPr>
              <w:widowControl/>
              <w:autoSpaceDE/>
              <w:autoSpaceDN/>
              <w:spacing w:line="360" w:lineRule="auto"/>
              <w:jc w:val="center"/>
              <w:rPr>
                <w:rFonts w:eastAsia="Times New Roman" w:cs="Times New Roman"/>
                <w:sz w:val="20"/>
                <w:szCs w:val="24"/>
              </w:rPr>
            </w:pPr>
            <w:r w:rsidRPr="00782F56">
              <w:rPr>
                <w:rFonts w:eastAsia="Times New Roman" w:cs="Times New Roman"/>
                <w:sz w:val="20"/>
                <w:szCs w:val="24"/>
              </w:rPr>
              <w:t>33.3</w:t>
            </w:r>
          </w:p>
        </w:tc>
      </w:tr>
    </w:tbl>
    <w:p w14:paraId="466582FB" w14:textId="77777777" w:rsidR="00782F56" w:rsidRDefault="00782F56" w:rsidP="00782F56">
      <w:pPr>
        <w:jc w:val="both"/>
        <w:rPr>
          <w:sz w:val="20"/>
        </w:rPr>
      </w:pPr>
    </w:p>
    <w:p w14:paraId="3F5EA602" w14:textId="0B36E417" w:rsidR="00782F56" w:rsidRDefault="00782F56" w:rsidP="00782F56">
      <w:pPr>
        <w:jc w:val="both"/>
        <w:rPr>
          <w:sz w:val="20"/>
        </w:rPr>
      </w:pPr>
      <w:r>
        <w:rPr>
          <w:sz w:val="20"/>
        </w:rPr>
        <w:t xml:space="preserve">Table 3 </w:t>
      </w:r>
      <w:r w:rsidRPr="00782F56">
        <w:rPr>
          <w:sz w:val="20"/>
        </w:rPr>
        <w:t xml:space="preserve">indicates that the USG </w:t>
      </w:r>
      <w:r>
        <w:rPr>
          <w:sz w:val="20"/>
        </w:rPr>
        <w:t>correctly diagnosed 66.6%</w:t>
      </w:r>
      <w:r w:rsidRPr="00782F56">
        <w:rPr>
          <w:sz w:val="20"/>
        </w:rPr>
        <w:t xml:space="preserve"> adenoma of </w:t>
      </w:r>
      <w:r>
        <w:rPr>
          <w:sz w:val="20"/>
        </w:rPr>
        <w:t xml:space="preserve">the </w:t>
      </w:r>
      <w:r w:rsidRPr="00782F56">
        <w:rPr>
          <w:sz w:val="20"/>
        </w:rPr>
        <w:t>left lower, 66.7</w:t>
      </w:r>
      <w:r>
        <w:rPr>
          <w:sz w:val="20"/>
        </w:rPr>
        <w:t>%</w:t>
      </w:r>
      <w:r w:rsidRPr="00782F56">
        <w:rPr>
          <w:sz w:val="20"/>
        </w:rPr>
        <w:t xml:space="preserve"> adenoma of </w:t>
      </w:r>
      <w:r>
        <w:rPr>
          <w:sz w:val="20"/>
        </w:rPr>
        <w:t xml:space="preserve">the </w:t>
      </w:r>
      <w:r w:rsidRPr="00782F56">
        <w:rPr>
          <w:sz w:val="20"/>
        </w:rPr>
        <w:t>right lower</w:t>
      </w:r>
      <w:r>
        <w:rPr>
          <w:sz w:val="20"/>
        </w:rPr>
        <w:t>,</w:t>
      </w:r>
      <w:r w:rsidRPr="00782F56">
        <w:rPr>
          <w:sz w:val="20"/>
        </w:rPr>
        <w:t xml:space="preserve"> and 100 percent adenoma of </w:t>
      </w:r>
      <w:r>
        <w:rPr>
          <w:sz w:val="20"/>
        </w:rPr>
        <w:t xml:space="preserve">the </w:t>
      </w:r>
      <w:r w:rsidRPr="00782F56">
        <w:rPr>
          <w:sz w:val="20"/>
        </w:rPr>
        <w:t xml:space="preserve">right upper as compared to the peroperative results. Left upper lesions are all </w:t>
      </w:r>
      <w:r>
        <w:rPr>
          <w:sz w:val="20"/>
        </w:rPr>
        <w:t>misclassified</w:t>
      </w:r>
      <w:r w:rsidRPr="00782F56">
        <w:rPr>
          <w:sz w:val="20"/>
        </w:rPr>
        <w:t xml:space="preserve">, whereas </w:t>
      </w:r>
      <w:r>
        <w:rPr>
          <w:sz w:val="20"/>
        </w:rPr>
        <w:t>superior</w:t>
      </w:r>
      <w:r w:rsidRPr="00782F56">
        <w:rPr>
          <w:sz w:val="20"/>
        </w:rPr>
        <w:t xml:space="preserve"> mediastina</w:t>
      </w:r>
      <w:r w:rsidR="00C07C96">
        <w:rPr>
          <w:sz w:val="20"/>
        </w:rPr>
        <w:t>l</w:t>
      </w:r>
      <w:r w:rsidRPr="00782F56">
        <w:rPr>
          <w:sz w:val="20"/>
        </w:rPr>
        <w:t xml:space="preserve"> lesions </w:t>
      </w:r>
      <w:r w:rsidR="00C07C96">
        <w:rPr>
          <w:sz w:val="20"/>
        </w:rPr>
        <w:t>were</w:t>
      </w:r>
      <w:r w:rsidRPr="00782F56">
        <w:rPr>
          <w:sz w:val="20"/>
        </w:rPr>
        <w:t xml:space="preserve"> identified in 33.3 percent of cases. Normal scans of occurrence had been there in spite of the </w:t>
      </w:r>
      <w:r w:rsidR="00C07C96">
        <w:rPr>
          <w:sz w:val="20"/>
        </w:rPr>
        <w:t>intraoperatively</w:t>
      </w:r>
      <w:r w:rsidRPr="00782F56">
        <w:rPr>
          <w:sz w:val="20"/>
        </w:rPr>
        <w:t xml:space="preserve"> detected adenomas.</w:t>
      </w:r>
    </w:p>
    <w:p w14:paraId="2D1377DD" w14:textId="77777777" w:rsidR="00782F56" w:rsidRDefault="00782F56" w:rsidP="00782F56">
      <w:pPr>
        <w:jc w:val="both"/>
        <w:rPr>
          <w:sz w:val="20"/>
        </w:rPr>
      </w:pPr>
    </w:p>
    <w:p w14:paraId="5EEA2AA8" w14:textId="53D90B24" w:rsidR="00782F56" w:rsidRPr="00C07C96" w:rsidRDefault="00782F56" w:rsidP="00782F56">
      <w:pPr>
        <w:jc w:val="both"/>
        <w:rPr>
          <w:b/>
          <w:sz w:val="20"/>
        </w:rPr>
      </w:pPr>
      <w:r w:rsidRPr="00C07C96">
        <w:rPr>
          <w:b/>
          <w:sz w:val="20"/>
        </w:rPr>
        <w:t xml:space="preserve">Table 4: Association between </w:t>
      </w:r>
      <w:proofErr w:type="spellStart"/>
      <w:r w:rsidRPr="00C07C96">
        <w:rPr>
          <w:b/>
          <w:sz w:val="20"/>
        </w:rPr>
        <w:t>sestamibi</w:t>
      </w:r>
      <w:proofErr w:type="spellEnd"/>
      <w:r w:rsidRPr="00C07C96">
        <w:rPr>
          <w:b/>
          <w:sz w:val="20"/>
        </w:rPr>
        <w:t xml:space="preserve"> scan findings and per</w:t>
      </w:r>
      <w:r w:rsidR="00C07C96">
        <w:rPr>
          <w:b/>
          <w:sz w:val="20"/>
        </w:rPr>
        <w:t>-</w:t>
      </w:r>
      <w:r w:rsidRPr="00C07C96">
        <w:rPr>
          <w:b/>
          <w:sz w:val="20"/>
        </w:rPr>
        <w:t>operative location (n=14)</w:t>
      </w:r>
    </w:p>
    <w:p w14:paraId="587352E9" w14:textId="77777777" w:rsidR="00C07C96" w:rsidRDefault="00C07C96" w:rsidP="00782F56">
      <w:pPr>
        <w:jc w:val="both"/>
        <w:rPr>
          <w:sz w:val="20"/>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20"/>
        <w:gridCol w:w="2160"/>
        <w:gridCol w:w="2070"/>
      </w:tblGrid>
      <w:tr w:rsidR="00C07C96" w:rsidRPr="00C07C96" w14:paraId="24554134" w14:textId="77777777" w:rsidTr="00C07C96">
        <w:trPr>
          <w:tblHeader/>
          <w:tblCellSpacing w:w="15" w:type="dxa"/>
        </w:trPr>
        <w:tc>
          <w:tcPr>
            <w:tcW w:w="2475" w:type="dxa"/>
            <w:tcBorders>
              <w:top w:val="nil"/>
              <w:bottom w:val="single" w:sz="4" w:space="0" w:color="auto"/>
            </w:tcBorders>
            <w:vAlign w:val="center"/>
            <w:hideMark/>
          </w:tcPr>
          <w:p w14:paraId="5B40935A" w14:textId="77777777" w:rsidR="00C07C96" w:rsidRPr="00C07C96" w:rsidRDefault="00C07C96" w:rsidP="00C07C96">
            <w:pPr>
              <w:widowControl/>
              <w:autoSpaceDE/>
              <w:autoSpaceDN/>
              <w:spacing w:line="360" w:lineRule="auto"/>
              <w:rPr>
                <w:rFonts w:eastAsia="Times New Roman" w:cs="Times New Roman"/>
                <w:b/>
                <w:bCs/>
                <w:sz w:val="20"/>
                <w:szCs w:val="24"/>
              </w:rPr>
            </w:pPr>
            <w:r>
              <w:rPr>
                <w:rFonts w:eastAsia="Times New Roman" w:cs="Times New Roman"/>
                <w:b/>
                <w:bCs/>
                <w:sz w:val="20"/>
                <w:szCs w:val="24"/>
              </w:rPr>
              <w:t>Per-</w:t>
            </w:r>
            <w:r w:rsidRPr="00C07C96">
              <w:rPr>
                <w:rFonts w:eastAsia="Times New Roman" w:cs="Times New Roman"/>
                <w:b/>
                <w:bCs/>
                <w:sz w:val="20"/>
                <w:szCs w:val="24"/>
              </w:rPr>
              <w:t>operative site</w:t>
            </w:r>
          </w:p>
        </w:tc>
        <w:tc>
          <w:tcPr>
            <w:tcW w:w="2130" w:type="dxa"/>
            <w:tcBorders>
              <w:top w:val="nil"/>
              <w:bottom w:val="single" w:sz="4" w:space="0" w:color="auto"/>
            </w:tcBorders>
            <w:vAlign w:val="center"/>
            <w:hideMark/>
          </w:tcPr>
          <w:p w14:paraId="5761D450" w14:textId="77777777" w:rsidR="00C07C96" w:rsidRPr="00C07C96" w:rsidRDefault="00C07C96" w:rsidP="00C07C96">
            <w:pPr>
              <w:widowControl/>
              <w:autoSpaceDE/>
              <w:autoSpaceDN/>
              <w:spacing w:line="360" w:lineRule="auto"/>
              <w:jc w:val="center"/>
              <w:rPr>
                <w:rFonts w:eastAsia="Times New Roman" w:cs="Times New Roman"/>
                <w:b/>
                <w:bCs/>
                <w:sz w:val="20"/>
                <w:szCs w:val="24"/>
              </w:rPr>
            </w:pPr>
            <w:proofErr w:type="spellStart"/>
            <w:r w:rsidRPr="00C07C96">
              <w:rPr>
                <w:rFonts w:eastAsia="Times New Roman" w:cs="Times New Roman"/>
                <w:b/>
                <w:bCs/>
                <w:sz w:val="20"/>
                <w:szCs w:val="24"/>
              </w:rPr>
              <w:t>Sestamibi</w:t>
            </w:r>
            <w:proofErr w:type="spellEnd"/>
            <w:r w:rsidRPr="00C07C96">
              <w:rPr>
                <w:rFonts w:eastAsia="Times New Roman" w:cs="Times New Roman"/>
                <w:b/>
                <w:bCs/>
                <w:sz w:val="20"/>
                <w:szCs w:val="24"/>
              </w:rPr>
              <w:t xml:space="preserve"> matched</w:t>
            </w:r>
          </w:p>
        </w:tc>
        <w:tc>
          <w:tcPr>
            <w:tcW w:w="2025" w:type="dxa"/>
            <w:tcBorders>
              <w:top w:val="nil"/>
              <w:bottom w:val="single" w:sz="4" w:space="0" w:color="auto"/>
            </w:tcBorders>
            <w:vAlign w:val="center"/>
            <w:hideMark/>
          </w:tcPr>
          <w:p w14:paraId="5F1ADB20" w14:textId="77777777" w:rsidR="00C07C96" w:rsidRPr="00C07C96" w:rsidRDefault="00C07C96" w:rsidP="00C07C96">
            <w:pPr>
              <w:widowControl/>
              <w:autoSpaceDE/>
              <w:autoSpaceDN/>
              <w:spacing w:line="360" w:lineRule="auto"/>
              <w:jc w:val="center"/>
              <w:rPr>
                <w:rFonts w:eastAsia="Times New Roman" w:cs="Times New Roman"/>
                <w:b/>
                <w:bCs/>
                <w:sz w:val="20"/>
                <w:szCs w:val="24"/>
              </w:rPr>
            </w:pPr>
            <w:r w:rsidRPr="00C07C96">
              <w:rPr>
                <w:rFonts w:eastAsia="Times New Roman" w:cs="Times New Roman"/>
                <w:b/>
                <w:bCs/>
                <w:sz w:val="20"/>
                <w:szCs w:val="24"/>
              </w:rPr>
              <w:t>Percentage match</w:t>
            </w:r>
          </w:p>
        </w:tc>
      </w:tr>
      <w:tr w:rsidR="00C07C96" w:rsidRPr="00C07C96" w14:paraId="6B31E986" w14:textId="77777777" w:rsidTr="00C07C96">
        <w:trPr>
          <w:tblCellSpacing w:w="15" w:type="dxa"/>
        </w:trPr>
        <w:tc>
          <w:tcPr>
            <w:tcW w:w="2475" w:type="dxa"/>
            <w:vAlign w:val="center"/>
            <w:hideMark/>
          </w:tcPr>
          <w:p w14:paraId="75B334EA" w14:textId="77777777" w:rsidR="00C07C96" w:rsidRPr="00C07C96" w:rsidRDefault="00C07C96" w:rsidP="00C07C96">
            <w:pPr>
              <w:widowControl/>
              <w:autoSpaceDE/>
              <w:autoSpaceDN/>
              <w:spacing w:line="360" w:lineRule="auto"/>
              <w:rPr>
                <w:rFonts w:eastAsia="Times New Roman" w:cs="Times New Roman"/>
                <w:sz w:val="20"/>
                <w:szCs w:val="24"/>
              </w:rPr>
            </w:pPr>
            <w:r w:rsidRPr="00C07C96">
              <w:rPr>
                <w:rFonts w:eastAsia="Times New Roman" w:cs="Times New Roman"/>
                <w:sz w:val="20"/>
                <w:szCs w:val="24"/>
              </w:rPr>
              <w:t>Left lower (n=6)</w:t>
            </w:r>
          </w:p>
        </w:tc>
        <w:tc>
          <w:tcPr>
            <w:tcW w:w="2130" w:type="dxa"/>
            <w:vAlign w:val="center"/>
            <w:hideMark/>
          </w:tcPr>
          <w:p w14:paraId="7701EAB8"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6</w:t>
            </w:r>
          </w:p>
        </w:tc>
        <w:tc>
          <w:tcPr>
            <w:tcW w:w="2025" w:type="dxa"/>
            <w:vAlign w:val="center"/>
            <w:hideMark/>
          </w:tcPr>
          <w:p w14:paraId="1F967C79"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100</w:t>
            </w:r>
          </w:p>
        </w:tc>
      </w:tr>
      <w:tr w:rsidR="00C07C96" w:rsidRPr="00C07C96" w14:paraId="2B8B92D3" w14:textId="77777777" w:rsidTr="00C07C96">
        <w:trPr>
          <w:tblCellSpacing w:w="15" w:type="dxa"/>
        </w:trPr>
        <w:tc>
          <w:tcPr>
            <w:tcW w:w="2475" w:type="dxa"/>
            <w:vAlign w:val="center"/>
            <w:hideMark/>
          </w:tcPr>
          <w:p w14:paraId="74D8A307" w14:textId="77777777" w:rsidR="00C07C96" w:rsidRPr="00C07C96" w:rsidRDefault="00C07C96" w:rsidP="00C07C96">
            <w:pPr>
              <w:widowControl/>
              <w:autoSpaceDE/>
              <w:autoSpaceDN/>
              <w:spacing w:line="360" w:lineRule="auto"/>
              <w:rPr>
                <w:rFonts w:eastAsia="Times New Roman" w:cs="Times New Roman"/>
                <w:sz w:val="20"/>
                <w:szCs w:val="24"/>
              </w:rPr>
            </w:pPr>
            <w:r w:rsidRPr="00C07C96">
              <w:rPr>
                <w:rFonts w:eastAsia="Times New Roman" w:cs="Times New Roman"/>
                <w:sz w:val="20"/>
                <w:szCs w:val="24"/>
              </w:rPr>
              <w:t>Left upper (n=1)</w:t>
            </w:r>
          </w:p>
        </w:tc>
        <w:tc>
          <w:tcPr>
            <w:tcW w:w="2130" w:type="dxa"/>
            <w:vAlign w:val="center"/>
            <w:hideMark/>
          </w:tcPr>
          <w:p w14:paraId="35F32C5E"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w:t>
            </w:r>
          </w:p>
        </w:tc>
        <w:tc>
          <w:tcPr>
            <w:tcW w:w="2025" w:type="dxa"/>
            <w:vAlign w:val="center"/>
            <w:hideMark/>
          </w:tcPr>
          <w:p w14:paraId="4CF9F07C"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100</w:t>
            </w:r>
          </w:p>
        </w:tc>
      </w:tr>
      <w:tr w:rsidR="00C07C96" w:rsidRPr="00C07C96" w14:paraId="44F6E89D" w14:textId="77777777" w:rsidTr="00C07C96">
        <w:trPr>
          <w:tblCellSpacing w:w="15" w:type="dxa"/>
        </w:trPr>
        <w:tc>
          <w:tcPr>
            <w:tcW w:w="2475" w:type="dxa"/>
            <w:vAlign w:val="center"/>
            <w:hideMark/>
          </w:tcPr>
          <w:p w14:paraId="248C70F6" w14:textId="77777777" w:rsidR="00C07C96" w:rsidRPr="00C07C96" w:rsidRDefault="00C07C96" w:rsidP="00C07C96">
            <w:pPr>
              <w:widowControl/>
              <w:autoSpaceDE/>
              <w:autoSpaceDN/>
              <w:spacing w:line="360" w:lineRule="auto"/>
              <w:rPr>
                <w:rFonts w:eastAsia="Times New Roman" w:cs="Times New Roman"/>
                <w:sz w:val="20"/>
                <w:szCs w:val="24"/>
              </w:rPr>
            </w:pPr>
            <w:r w:rsidRPr="00C07C96">
              <w:rPr>
                <w:rFonts w:eastAsia="Times New Roman" w:cs="Times New Roman"/>
                <w:sz w:val="20"/>
                <w:szCs w:val="24"/>
              </w:rPr>
              <w:t>Right lower (n=3)</w:t>
            </w:r>
          </w:p>
        </w:tc>
        <w:tc>
          <w:tcPr>
            <w:tcW w:w="2130" w:type="dxa"/>
            <w:vAlign w:val="center"/>
            <w:hideMark/>
          </w:tcPr>
          <w:p w14:paraId="3AD64BB5"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3</w:t>
            </w:r>
          </w:p>
        </w:tc>
        <w:tc>
          <w:tcPr>
            <w:tcW w:w="2025" w:type="dxa"/>
            <w:vAlign w:val="center"/>
            <w:hideMark/>
          </w:tcPr>
          <w:p w14:paraId="4A233D63"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100</w:t>
            </w:r>
          </w:p>
        </w:tc>
      </w:tr>
      <w:tr w:rsidR="00C07C96" w:rsidRPr="00C07C96" w14:paraId="0667B3BD" w14:textId="77777777" w:rsidTr="00C07C96">
        <w:trPr>
          <w:tblCellSpacing w:w="15" w:type="dxa"/>
        </w:trPr>
        <w:tc>
          <w:tcPr>
            <w:tcW w:w="2475" w:type="dxa"/>
            <w:vAlign w:val="center"/>
            <w:hideMark/>
          </w:tcPr>
          <w:p w14:paraId="4F46AD38" w14:textId="77777777" w:rsidR="00C07C96" w:rsidRPr="00C07C96" w:rsidRDefault="00C07C96" w:rsidP="00C07C96">
            <w:pPr>
              <w:widowControl/>
              <w:autoSpaceDE/>
              <w:autoSpaceDN/>
              <w:spacing w:line="360" w:lineRule="auto"/>
              <w:rPr>
                <w:rFonts w:eastAsia="Times New Roman" w:cs="Times New Roman"/>
                <w:sz w:val="20"/>
                <w:szCs w:val="24"/>
              </w:rPr>
            </w:pPr>
            <w:r w:rsidRPr="00C07C96">
              <w:rPr>
                <w:rFonts w:eastAsia="Times New Roman" w:cs="Times New Roman"/>
                <w:sz w:val="20"/>
                <w:szCs w:val="24"/>
              </w:rPr>
              <w:t>Right upper (n=1)</w:t>
            </w:r>
          </w:p>
        </w:tc>
        <w:tc>
          <w:tcPr>
            <w:tcW w:w="2130" w:type="dxa"/>
            <w:vAlign w:val="center"/>
            <w:hideMark/>
          </w:tcPr>
          <w:p w14:paraId="6570238B"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w:t>
            </w:r>
          </w:p>
        </w:tc>
        <w:tc>
          <w:tcPr>
            <w:tcW w:w="2025" w:type="dxa"/>
            <w:vAlign w:val="center"/>
            <w:hideMark/>
          </w:tcPr>
          <w:p w14:paraId="1A108269"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100</w:t>
            </w:r>
          </w:p>
        </w:tc>
      </w:tr>
      <w:tr w:rsidR="00C07C96" w:rsidRPr="00C07C96" w14:paraId="7A665551" w14:textId="77777777" w:rsidTr="00C07C96">
        <w:trPr>
          <w:tblCellSpacing w:w="15" w:type="dxa"/>
        </w:trPr>
        <w:tc>
          <w:tcPr>
            <w:tcW w:w="2475" w:type="dxa"/>
            <w:vAlign w:val="center"/>
            <w:hideMark/>
          </w:tcPr>
          <w:p w14:paraId="536718F9" w14:textId="77777777" w:rsidR="00C07C96" w:rsidRPr="00C07C96" w:rsidRDefault="00C07C96" w:rsidP="00C07C96">
            <w:pPr>
              <w:widowControl/>
              <w:autoSpaceDE/>
              <w:autoSpaceDN/>
              <w:spacing w:line="360" w:lineRule="auto"/>
              <w:rPr>
                <w:rFonts w:eastAsia="Times New Roman" w:cs="Times New Roman"/>
                <w:sz w:val="20"/>
                <w:szCs w:val="24"/>
              </w:rPr>
            </w:pPr>
            <w:r w:rsidRPr="00C07C96">
              <w:rPr>
                <w:rFonts w:eastAsia="Times New Roman" w:cs="Times New Roman"/>
                <w:sz w:val="20"/>
                <w:szCs w:val="24"/>
              </w:rPr>
              <w:t>Superior mediastinal (n=3)</w:t>
            </w:r>
          </w:p>
        </w:tc>
        <w:tc>
          <w:tcPr>
            <w:tcW w:w="2130" w:type="dxa"/>
            <w:vAlign w:val="center"/>
            <w:hideMark/>
          </w:tcPr>
          <w:p w14:paraId="3535F4F4"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3</w:t>
            </w:r>
          </w:p>
        </w:tc>
        <w:tc>
          <w:tcPr>
            <w:tcW w:w="2025" w:type="dxa"/>
            <w:vAlign w:val="center"/>
            <w:hideMark/>
          </w:tcPr>
          <w:p w14:paraId="72030F14" w14:textId="77777777" w:rsidR="00C07C96" w:rsidRPr="00C07C96" w:rsidRDefault="00C07C96" w:rsidP="00C07C96">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100</w:t>
            </w:r>
          </w:p>
        </w:tc>
      </w:tr>
    </w:tbl>
    <w:p w14:paraId="42E409B9" w14:textId="77777777" w:rsidR="00782F56" w:rsidRDefault="00782F56" w:rsidP="00C07C96">
      <w:pPr>
        <w:jc w:val="both"/>
        <w:rPr>
          <w:sz w:val="20"/>
        </w:rPr>
      </w:pPr>
    </w:p>
    <w:p w14:paraId="4155DD71" w14:textId="488D342D" w:rsidR="00C07C96" w:rsidRDefault="00C07C96" w:rsidP="00C07C96">
      <w:pPr>
        <w:jc w:val="both"/>
        <w:rPr>
          <w:sz w:val="20"/>
        </w:rPr>
      </w:pPr>
      <w:r>
        <w:rPr>
          <w:sz w:val="20"/>
        </w:rPr>
        <w:t>Table 4</w:t>
      </w:r>
      <w:r w:rsidRPr="00C07C96">
        <w:rPr>
          <w:sz w:val="20"/>
        </w:rPr>
        <w:t xml:space="preserve"> shows the association between </w:t>
      </w:r>
      <w:proofErr w:type="spellStart"/>
      <w:r w:rsidRPr="00C07C96">
        <w:rPr>
          <w:sz w:val="20"/>
        </w:rPr>
        <w:t>sestamibi</w:t>
      </w:r>
      <w:proofErr w:type="spellEnd"/>
      <w:r w:rsidRPr="00C07C96">
        <w:rPr>
          <w:sz w:val="20"/>
        </w:rPr>
        <w:t xml:space="preserve"> findings with </w:t>
      </w:r>
      <w:r>
        <w:rPr>
          <w:sz w:val="20"/>
        </w:rPr>
        <w:t>perioperative</w:t>
      </w:r>
      <w:r w:rsidRPr="00C07C96">
        <w:rPr>
          <w:sz w:val="20"/>
        </w:rPr>
        <w:t xml:space="preserve"> findings. It was observed that all (100.0%) patients had left lower </w:t>
      </w:r>
      <w:proofErr w:type="spellStart"/>
      <w:r w:rsidRPr="00C07C96">
        <w:rPr>
          <w:sz w:val="20"/>
        </w:rPr>
        <w:t>sestamibi</w:t>
      </w:r>
      <w:proofErr w:type="spellEnd"/>
      <w:r w:rsidRPr="00C07C96">
        <w:rPr>
          <w:sz w:val="20"/>
        </w:rPr>
        <w:t xml:space="preserve"> in per-operative left lower, 1(100.0%) patients had left upper in </w:t>
      </w:r>
      <w:proofErr w:type="spellStart"/>
      <w:r w:rsidRPr="00C07C96">
        <w:rPr>
          <w:sz w:val="20"/>
        </w:rPr>
        <w:t>sestamibi</w:t>
      </w:r>
      <w:proofErr w:type="spellEnd"/>
      <w:r w:rsidRPr="00C07C96">
        <w:rPr>
          <w:sz w:val="20"/>
        </w:rPr>
        <w:t xml:space="preserve"> scan, in </w:t>
      </w:r>
      <w:proofErr w:type="spellStart"/>
      <w:r w:rsidRPr="00C07C96">
        <w:rPr>
          <w:sz w:val="20"/>
        </w:rPr>
        <w:t>peroperative</w:t>
      </w:r>
      <w:proofErr w:type="spellEnd"/>
      <w:r w:rsidRPr="00C07C96">
        <w:rPr>
          <w:sz w:val="20"/>
        </w:rPr>
        <w:t xml:space="preserve"> left upper, 3(100.0%) patients had right lower </w:t>
      </w:r>
      <w:proofErr w:type="spellStart"/>
      <w:r w:rsidRPr="00C07C96">
        <w:rPr>
          <w:sz w:val="20"/>
        </w:rPr>
        <w:t>sestamibi</w:t>
      </w:r>
      <w:proofErr w:type="spellEnd"/>
      <w:r w:rsidRPr="00C07C96">
        <w:rPr>
          <w:sz w:val="20"/>
        </w:rPr>
        <w:t xml:space="preserve"> in </w:t>
      </w:r>
      <w:proofErr w:type="spellStart"/>
      <w:r w:rsidRPr="00C07C96">
        <w:rPr>
          <w:sz w:val="20"/>
        </w:rPr>
        <w:t>peroperative</w:t>
      </w:r>
      <w:proofErr w:type="spellEnd"/>
      <w:r w:rsidRPr="00C07C96">
        <w:rPr>
          <w:sz w:val="20"/>
        </w:rPr>
        <w:t xml:space="preserve"> right lower and 1(100.0%) in peroperative right upper and 3(100.0%) in superior mediastinal.</w:t>
      </w:r>
    </w:p>
    <w:p w14:paraId="161D0CB9" w14:textId="77777777" w:rsidR="00C07C96" w:rsidRDefault="00C07C96" w:rsidP="00C07C96">
      <w:pPr>
        <w:jc w:val="both"/>
        <w:rPr>
          <w:sz w:val="20"/>
        </w:rPr>
      </w:pPr>
    </w:p>
    <w:p w14:paraId="737DD26C" w14:textId="6C1782DA" w:rsidR="00C07C96" w:rsidRDefault="00C07C96" w:rsidP="00C07C96">
      <w:pPr>
        <w:jc w:val="both"/>
        <w:rPr>
          <w:sz w:val="20"/>
        </w:rPr>
      </w:pPr>
      <w:r>
        <w:rPr>
          <w:sz w:val="20"/>
        </w:rPr>
        <w:t xml:space="preserve">Table 5: </w:t>
      </w:r>
      <w:r w:rsidRPr="00C07C96">
        <w:rPr>
          <w:sz w:val="20"/>
        </w:rPr>
        <w:t xml:space="preserve">Diagnostic performance of USG and </w:t>
      </w:r>
      <w:proofErr w:type="spellStart"/>
      <w:r w:rsidRPr="00C07C96">
        <w:rPr>
          <w:sz w:val="20"/>
        </w:rPr>
        <w:t>sestamibi</w:t>
      </w:r>
      <w:proofErr w:type="spellEnd"/>
      <w:r w:rsidRPr="00C07C96">
        <w:rPr>
          <w:sz w:val="20"/>
        </w:rPr>
        <w:t xml:space="preserve"> scan compared with </w:t>
      </w:r>
      <w:r w:rsidR="00E97B9D" w:rsidRPr="00E97B9D">
        <w:rPr>
          <w:sz w:val="20"/>
        </w:rPr>
        <w:t>Biochemical Frozen section</w:t>
      </w:r>
      <w:r w:rsidRPr="00C07C96">
        <w:rPr>
          <w:sz w:val="20"/>
        </w:rPr>
        <w:t xml:space="preserve"> (n=14)</w:t>
      </w:r>
    </w:p>
    <w:p w14:paraId="3CFE626F" w14:textId="77777777" w:rsidR="00C07C96" w:rsidRDefault="00C07C96" w:rsidP="00C07C96">
      <w:pPr>
        <w:jc w:val="both"/>
        <w:rPr>
          <w:sz w:val="20"/>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1710"/>
        <w:gridCol w:w="2070"/>
        <w:gridCol w:w="2520"/>
      </w:tblGrid>
      <w:tr w:rsidR="00C07C96" w:rsidRPr="00C07C96" w14:paraId="5D9E656A" w14:textId="77777777" w:rsidTr="00E97B9D">
        <w:trPr>
          <w:tblHeader/>
          <w:tblCellSpacing w:w="15" w:type="dxa"/>
        </w:trPr>
        <w:tc>
          <w:tcPr>
            <w:tcW w:w="1845" w:type="dxa"/>
            <w:tcBorders>
              <w:top w:val="nil"/>
              <w:bottom w:val="single" w:sz="4" w:space="0" w:color="auto"/>
            </w:tcBorders>
            <w:vAlign w:val="center"/>
            <w:hideMark/>
          </w:tcPr>
          <w:p w14:paraId="06131711" w14:textId="77777777" w:rsidR="00C07C96" w:rsidRPr="00C07C96" w:rsidRDefault="00C07C96" w:rsidP="00C07C96">
            <w:pPr>
              <w:widowControl/>
              <w:autoSpaceDE/>
              <w:autoSpaceDN/>
              <w:rPr>
                <w:rFonts w:eastAsia="Times New Roman" w:cs="Times New Roman"/>
                <w:b/>
                <w:bCs/>
                <w:sz w:val="20"/>
                <w:szCs w:val="24"/>
              </w:rPr>
            </w:pPr>
            <w:r w:rsidRPr="00C07C96">
              <w:rPr>
                <w:rFonts w:eastAsia="Times New Roman" w:cs="Times New Roman"/>
                <w:b/>
                <w:bCs/>
                <w:sz w:val="20"/>
                <w:szCs w:val="24"/>
              </w:rPr>
              <w:t>Parameter</w:t>
            </w:r>
          </w:p>
        </w:tc>
        <w:tc>
          <w:tcPr>
            <w:tcW w:w="1680" w:type="dxa"/>
            <w:tcBorders>
              <w:top w:val="nil"/>
              <w:bottom w:val="single" w:sz="4" w:space="0" w:color="auto"/>
            </w:tcBorders>
            <w:vAlign w:val="center"/>
            <w:hideMark/>
          </w:tcPr>
          <w:p w14:paraId="25689961" w14:textId="77777777" w:rsidR="00C07C96" w:rsidRPr="00C07C96" w:rsidRDefault="00C07C96" w:rsidP="00C07C96">
            <w:pPr>
              <w:widowControl/>
              <w:autoSpaceDE/>
              <w:autoSpaceDN/>
              <w:jc w:val="center"/>
              <w:rPr>
                <w:rFonts w:eastAsia="Times New Roman" w:cs="Times New Roman"/>
                <w:b/>
                <w:bCs/>
                <w:sz w:val="20"/>
                <w:szCs w:val="24"/>
              </w:rPr>
            </w:pPr>
            <w:r w:rsidRPr="00C07C96">
              <w:rPr>
                <w:rFonts w:eastAsia="Times New Roman" w:cs="Times New Roman"/>
                <w:b/>
                <w:bCs/>
                <w:sz w:val="20"/>
                <w:szCs w:val="24"/>
              </w:rPr>
              <w:t>USG</w:t>
            </w:r>
          </w:p>
        </w:tc>
        <w:tc>
          <w:tcPr>
            <w:tcW w:w="2040" w:type="dxa"/>
            <w:tcBorders>
              <w:top w:val="nil"/>
              <w:bottom w:val="single" w:sz="4" w:space="0" w:color="auto"/>
            </w:tcBorders>
            <w:vAlign w:val="center"/>
            <w:hideMark/>
          </w:tcPr>
          <w:p w14:paraId="38D0EC8A" w14:textId="77777777" w:rsidR="00C07C96" w:rsidRPr="00C07C96" w:rsidRDefault="00C07C96" w:rsidP="00C07C96">
            <w:pPr>
              <w:widowControl/>
              <w:autoSpaceDE/>
              <w:autoSpaceDN/>
              <w:jc w:val="center"/>
              <w:rPr>
                <w:rFonts w:eastAsia="Times New Roman" w:cs="Times New Roman"/>
                <w:b/>
                <w:bCs/>
                <w:sz w:val="20"/>
                <w:szCs w:val="24"/>
              </w:rPr>
            </w:pPr>
            <w:proofErr w:type="spellStart"/>
            <w:r w:rsidRPr="00C07C96">
              <w:rPr>
                <w:rFonts w:eastAsia="Times New Roman" w:cs="Times New Roman"/>
                <w:b/>
                <w:bCs/>
                <w:sz w:val="20"/>
                <w:szCs w:val="24"/>
              </w:rPr>
              <w:t>Sestamibi</w:t>
            </w:r>
            <w:proofErr w:type="spellEnd"/>
          </w:p>
        </w:tc>
        <w:tc>
          <w:tcPr>
            <w:tcW w:w="2475" w:type="dxa"/>
            <w:tcBorders>
              <w:top w:val="nil"/>
              <w:bottom w:val="single" w:sz="4" w:space="0" w:color="auto"/>
            </w:tcBorders>
          </w:tcPr>
          <w:p w14:paraId="420F3CDB" w14:textId="77777777" w:rsidR="00C07C96" w:rsidRPr="00C07C96" w:rsidRDefault="00C07C96" w:rsidP="00C07C96">
            <w:pPr>
              <w:widowControl/>
              <w:autoSpaceDE/>
              <w:autoSpaceDN/>
              <w:jc w:val="center"/>
              <w:rPr>
                <w:rFonts w:eastAsia="Times New Roman" w:cs="Times New Roman"/>
                <w:b/>
                <w:bCs/>
                <w:sz w:val="20"/>
                <w:szCs w:val="24"/>
              </w:rPr>
            </w:pPr>
            <w:r w:rsidRPr="00C07C96">
              <w:rPr>
                <w:rFonts w:eastAsia="Times New Roman" w:cs="Times New Roman"/>
                <w:b/>
                <w:bCs/>
                <w:sz w:val="20"/>
                <w:szCs w:val="24"/>
              </w:rPr>
              <w:t>Biochemical Frozen section</w:t>
            </w:r>
          </w:p>
        </w:tc>
      </w:tr>
      <w:tr w:rsidR="00C07C96" w:rsidRPr="00C07C96" w14:paraId="1634ACE4" w14:textId="77777777" w:rsidTr="00E97B9D">
        <w:trPr>
          <w:tblCellSpacing w:w="15" w:type="dxa"/>
        </w:trPr>
        <w:tc>
          <w:tcPr>
            <w:tcW w:w="1845" w:type="dxa"/>
            <w:vAlign w:val="center"/>
            <w:hideMark/>
          </w:tcPr>
          <w:p w14:paraId="20A574C4" w14:textId="77777777" w:rsidR="00C07C96" w:rsidRPr="00C07C96" w:rsidRDefault="00C07C96" w:rsidP="00E97B9D">
            <w:pPr>
              <w:widowControl/>
              <w:autoSpaceDE/>
              <w:autoSpaceDN/>
              <w:spacing w:line="360" w:lineRule="auto"/>
              <w:rPr>
                <w:rFonts w:eastAsia="Times New Roman" w:cs="Times New Roman"/>
                <w:sz w:val="20"/>
                <w:szCs w:val="24"/>
              </w:rPr>
            </w:pPr>
            <w:r w:rsidRPr="00C07C96">
              <w:rPr>
                <w:rFonts w:eastAsia="Times New Roman" w:cs="Times New Roman"/>
                <w:sz w:val="20"/>
                <w:szCs w:val="24"/>
              </w:rPr>
              <w:t>Sensitivity (%)</w:t>
            </w:r>
          </w:p>
        </w:tc>
        <w:tc>
          <w:tcPr>
            <w:tcW w:w="1680" w:type="dxa"/>
            <w:vAlign w:val="center"/>
            <w:hideMark/>
          </w:tcPr>
          <w:p w14:paraId="067D5434"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75.0</w:t>
            </w:r>
          </w:p>
        </w:tc>
        <w:tc>
          <w:tcPr>
            <w:tcW w:w="2040" w:type="dxa"/>
            <w:vAlign w:val="center"/>
            <w:hideMark/>
          </w:tcPr>
          <w:p w14:paraId="11140FEE"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100.0</w:t>
            </w:r>
          </w:p>
        </w:tc>
        <w:tc>
          <w:tcPr>
            <w:tcW w:w="2475" w:type="dxa"/>
          </w:tcPr>
          <w:p w14:paraId="49B3EA69" w14:textId="77777777" w:rsidR="00C07C96" w:rsidRPr="00C07C96" w:rsidRDefault="00C07C96" w:rsidP="00E97B9D">
            <w:pPr>
              <w:widowControl/>
              <w:autoSpaceDE/>
              <w:autoSpaceDN/>
              <w:spacing w:line="360" w:lineRule="auto"/>
              <w:jc w:val="center"/>
              <w:rPr>
                <w:rFonts w:eastAsia="Times New Roman" w:cs="Times New Roman"/>
                <w:sz w:val="20"/>
                <w:szCs w:val="24"/>
              </w:rPr>
            </w:pPr>
            <w:r>
              <w:rPr>
                <w:rFonts w:eastAsia="Times New Roman" w:cs="Times New Roman"/>
                <w:sz w:val="20"/>
                <w:szCs w:val="24"/>
              </w:rPr>
              <w:t>100.0</w:t>
            </w:r>
          </w:p>
        </w:tc>
      </w:tr>
      <w:tr w:rsidR="00C07C96" w:rsidRPr="00C07C96" w14:paraId="3C64A433" w14:textId="77777777" w:rsidTr="00E97B9D">
        <w:trPr>
          <w:tblCellSpacing w:w="15" w:type="dxa"/>
        </w:trPr>
        <w:tc>
          <w:tcPr>
            <w:tcW w:w="1845" w:type="dxa"/>
            <w:vAlign w:val="center"/>
            <w:hideMark/>
          </w:tcPr>
          <w:p w14:paraId="7DD96C22" w14:textId="77777777" w:rsidR="00C07C96" w:rsidRPr="00C07C96" w:rsidRDefault="00C07C96" w:rsidP="00E97B9D">
            <w:pPr>
              <w:widowControl/>
              <w:autoSpaceDE/>
              <w:autoSpaceDN/>
              <w:spacing w:line="360" w:lineRule="auto"/>
              <w:rPr>
                <w:rFonts w:eastAsia="Times New Roman" w:cs="Times New Roman"/>
                <w:sz w:val="20"/>
                <w:szCs w:val="24"/>
              </w:rPr>
            </w:pPr>
            <w:r w:rsidRPr="00C07C96">
              <w:rPr>
                <w:rFonts w:eastAsia="Times New Roman" w:cs="Times New Roman"/>
                <w:sz w:val="20"/>
                <w:szCs w:val="24"/>
              </w:rPr>
              <w:t>Specificity (%)</w:t>
            </w:r>
          </w:p>
        </w:tc>
        <w:tc>
          <w:tcPr>
            <w:tcW w:w="1680" w:type="dxa"/>
            <w:vAlign w:val="center"/>
            <w:hideMark/>
          </w:tcPr>
          <w:p w14:paraId="1916553B"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50.0</w:t>
            </w:r>
          </w:p>
        </w:tc>
        <w:tc>
          <w:tcPr>
            <w:tcW w:w="2040" w:type="dxa"/>
            <w:vAlign w:val="center"/>
            <w:hideMark/>
          </w:tcPr>
          <w:p w14:paraId="08D07C19"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0.0</w:t>
            </w:r>
          </w:p>
        </w:tc>
        <w:tc>
          <w:tcPr>
            <w:tcW w:w="2475" w:type="dxa"/>
          </w:tcPr>
          <w:p w14:paraId="41357F62" w14:textId="77777777" w:rsidR="00C07C96" w:rsidRPr="00C07C96" w:rsidRDefault="00C07C96" w:rsidP="00E97B9D">
            <w:pPr>
              <w:widowControl/>
              <w:autoSpaceDE/>
              <w:autoSpaceDN/>
              <w:spacing w:line="360" w:lineRule="auto"/>
              <w:jc w:val="center"/>
              <w:rPr>
                <w:rFonts w:eastAsia="Times New Roman" w:cs="Times New Roman"/>
                <w:sz w:val="20"/>
                <w:szCs w:val="24"/>
              </w:rPr>
            </w:pPr>
            <w:r>
              <w:rPr>
                <w:rFonts w:eastAsia="Times New Roman" w:cs="Times New Roman"/>
                <w:sz w:val="20"/>
                <w:szCs w:val="24"/>
              </w:rPr>
              <w:t>100.0</w:t>
            </w:r>
          </w:p>
        </w:tc>
      </w:tr>
      <w:tr w:rsidR="00C07C96" w:rsidRPr="00C07C96" w14:paraId="6D563FCC" w14:textId="77777777" w:rsidTr="00E97B9D">
        <w:trPr>
          <w:tblCellSpacing w:w="15" w:type="dxa"/>
        </w:trPr>
        <w:tc>
          <w:tcPr>
            <w:tcW w:w="1845" w:type="dxa"/>
            <w:vAlign w:val="center"/>
            <w:hideMark/>
          </w:tcPr>
          <w:p w14:paraId="7BFC0AF2" w14:textId="77777777" w:rsidR="00C07C96" w:rsidRPr="00C07C96" w:rsidRDefault="00C07C96" w:rsidP="00E97B9D">
            <w:pPr>
              <w:widowControl/>
              <w:autoSpaceDE/>
              <w:autoSpaceDN/>
              <w:spacing w:line="360" w:lineRule="auto"/>
              <w:rPr>
                <w:rFonts w:eastAsia="Times New Roman" w:cs="Times New Roman"/>
                <w:sz w:val="20"/>
                <w:szCs w:val="24"/>
              </w:rPr>
            </w:pPr>
            <w:r w:rsidRPr="00C07C96">
              <w:rPr>
                <w:rFonts w:eastAsia="Times New Roman" w:cs="Times New Roman"/>
                <w:sz w:val="20"/>
                <w:szCs w:val="24"/>
              </w:rPr>
              <w:t>Accuracy (%)</w:t>
            </w:r>
          </w:p>
        </w:tc>
        <w:tc>
          <w:tcPr>
            <w:tcW w:w="1680" w:type="dxa"/>
            <w:vAlign w:val="center"/>
            <w:hideMark/>
          </w:tcPr>
          <w:p w14:paraId="0F3CDEA0"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71.4</w:t>
            </w:r>
          </w:p>
        </w:tc>
        <w:tc>
          <w:tcPr>
            <w:tcW w:w="2040" w:type="dxa"/>
            <w:vAlign w:val="center"/>
            <w:hideMark/>
          </w:tcPr>
          <w:p w14:paraId="2D356B94"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85.7</w:t>
            </w:r>
          </w:p>
        </w:tc>
        <w:tc>
          <w:tcPr>
            <w:tcW w:w="2475" w:type="dxa"/>
          </w:tcPr>
          <w:p w14:paraId="756CE33B" w14:textId="77777777" w:rsidR="00C07C96" w:rsidRPr="00C07C96" w:rsidRDefault="00C07C96" w:rsidP="00E97B9D">
            <w:pPr>
              <w:widowControl/>
              <w:autoSpaceDE/>
              <w:autoSpaceDN/>
              <w:spacing w:line="360" w:lineRule="auto"/>
              <w:jc w:val="center"/>
              <w:rPr>
                <w:rFonts w:eastAsia="Times New Roman" w:cs="Times New Roman"/>
                <w:sz w:val="20"/>
                <w:szCs w:val="24"/>
              </w:rPr>
            </w:pPr>
            <w:r>
              <w:rPr>
                <w:rFonts w:eastAsia="Times New Roman" w:cs="Times New Roman"/>
                <w:sz w:val="20"/>
                <w:szCs w:val="24"/>
              </w:rPr>
              <w:t>100.0</w:t>
            </w:r>
          </w:p>
        </w:tc>
      </w:tr>
      <w:tr w:rsidR="00C07C96" w:rsidRPr="00C07C96" w14:paraId="58A1DE01" w14:textId="77777777" w:rsidTr="00E97B9D">
        <w:trPr>
          <w:tblCellSpacing w:w="15" w:type="dxa"/>
        </w:trPr>
        <w:tc>
          <w:tcPr>
            <w:tcW w:w="1845" w:type="dxa"/>
            <w:vAlign w:val="center"/>
            <w:hideMark/>
          </w:tcPr>
          <w:p w14:paraId="20DA6E92" w14:textId="77777777" w:rsidR="00C07C96" w:rsidRPr="00C07C96" w:rsidRDefault="00C07C96" w:rsidP="00E97B9D">
            <w:pPr>
              <w:widowControl/>
              <w:autoSpaceDE/>
              <w:autoSpaceDN/>
              <w:spacing w:line="360" w:lineRule="auto"/>
              <w:rPr>
                <w:rFonts w:eastAsia="Times New Roman" w:cs="Times New Roman"/>
                <w:sz w:val="20"/>
                <w:szCs w:val="24"/>
              </w:rPr>
            </w:pPr>
            <w:r w:rsidRPr="00C07C96">
              <w:rPr>
                <w:rFonts w:eastAsia="Times New Roman" w:cs="Times New Roman"/>
                <w:sz w:val="20"/>
                <w:szCs w:val="24"/>
              </w:rPr>
              <w:t>PPV (%)</w:t>
            </w:r>
          </w:p>
        </w:tc>
        <w:tc>
          <w:tcPr>
            <w:tcW w:w="1680" w:type="dxa"/>
            <w:vAlign w:val="center"/>
            <w:hideMark/>
          </w:tcPr>
          <w:p w14:paraId="76D09B72"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90.0</w:t>
            </w:r>
          </w:p>
        </w:tc>
        <w:tc>
          <w:tcPr>
            <w:tcW w:w="2040" w:type="dxa"/>
            <w:vAlign w:val="center"/>
            <w:hideMark/>
          </w:tcPr>
          <w:p w14:paraId="3BE85E66"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85.7</w:t>
            </w:r>
          </w:p>
        </w:tc>
        <w:tc>
          <w:tcPr>
            <w:tcW w:w="2475" w:type="dxa"/>
          </w:tcPr>
          <w:p w14:paraId="5C7A3DCE" w14:textId="77777777" w:rsidR="00C07C96" w:rsidRPr="00C07C96" w:rsidRDefault="00C07C96" w:rsidP="00E97B9D">
            <w:pPr>
              <w:widowControl/>
              <w:autoSpaceDE/>
              <w:autoSpaceDN/>
              <w:spacing w:line="360" w:lineRule="auto"/>
              <w:jc w:val="center"/>
              <w:rPr>
                <w:rFonts w:eastAsia="Times New Roman" w:cs="Times New Roman"/>
                <w:sz w:val="20"/>
                <w:szCs w:val="24"/>
              </w:rPr>
            </w:pPr>
            <w:r>
              <w:rPr>
                <w:rFonts w:eastAsia="Times New Roman" w:cs="Times New Roman"/>
                <w:sz w:val="20"/>
                <w:szCs w:val="24"/>
              </w:rPr>
              <w:t>100.0</w:t>
            </w:r>
          </w:p>
        </w:tc>
      </w:tr>
      <w:tr w:rsidR="00C07C96" w:rsidRPr="00C07C96" w14:paraId="41F81FC0" w14:textId="77777777" w:rsidTr="00E97B9D">
        <w:trPr>
          <w:tblCellSpacing w:w="15" w:type="dxa"/>
        </w:trPr>
        <w:tc>
          <w:tcPr>
            <w:tcW w:w="1845" w:type="dxa"/>
            <w:vAlign w:val="center"/>
            <w:hideMark/>
          </w:tcPr>
          <w:p w14:paraId="54CEA1DB" w14:textId="77777777" w:rsidR="00C07C96" w:rsidRPr="00C07C96" w:rsidRDefault="00C07C96" w:rsidP="00E97B9D">
            <w:pPr>
              <w:widowControl/>
              <w:autoSpaceDE/>
              <w:autoSpaceDN/>
              <w:spacing w:line="360" w:lineRule="auto"/>
              <w:rPr>
                <w:rFonts w:eastAsia="Times New Roman" w:cs="Times New Roman"/>
                <w:sz w:val="20"/>
                <w:szCs w:val="24"/>
              </w:rPr>
            </w:pPr>
            <w:r w:rsidRPr="00C07C96">
              <w:rPr>
                <w:rFonts w:eastAsia="Times New Roman" w:cs="Times New Roman"/>
                <w:sz w:val="20"/>
                <w:szCs w:val="24"/>
              </w:rPr>
              <w:t>NPV (%)</w:t>
            </w:r>
          </w:p>
        </w:tc>
        <w:tc>
          <w:tcPr>
            <w:tcW w:w="1680" w:type="dxa"/>
            <w:vAlign w:val="center"/>
            <w:hideMark/>
          </w:tcPr>
          <w:p w14:paraId="16243211"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25.0</w:t>
            </w:r>
          </w:p>
        </w:tc>
        <w:tc>
          <w:tcPr>
            <w:tcW w:w="2040" w:type="dxa"/>
            <w:vAlign w:val="center"/>
            <w:hideMark/>
          </w:tcPr>
          <w:p w14:paraId="05A1720C" w14:textId="77777777" w:rsidR="00C07C96" w:rsidRPr="00C07C96" w:rsidRDefault="00C07C96" w:rsidP="00E97B9D">
            <w:pPr>
              <w:widowControl/>
              <w:autoSpaceDE/>
              <w:autoSpaceDN/>
              <w:spacing w:line="360" w:lineRule="auto"/>
              <w:jc w:val="center"/>
              <w:rPr>
                <w:rFonts w:eastAsia="Times New Roman" w:cs="Times New Roman"/>
                <w:sz w:val="20"/>
                <w:szCs w:val="24"/>
              </w:rPr>
            </w:pPr>
            <w:r w:rsidRPr="00C07C96">
              <w:rPr>
                <w:rFonts w:eastAsia="Times New Roman" w:cs="Times New Roman"/>
                <w:sz w:val="20"/>
                <w:szCs w:val="24"/>
              </w:rPr>
              <w:t>0.0</w:t>
            </w:r>
          </w:p>
        </w:tc>
        <w:tc>
          <w:tcPr>
            <w:tcW w:w="2475" w:type="dxa"/>
          </w:tcPr>
          <w:p w14:paraId="1DA0EEDC" w14:textId="77777777" w:rsidR="00C07C96" w:rsidRPr="00C07C96" w:rsidRDefault="00C07C96" w:rsidP="00E97B9D">
            <w:pPr>
              <w:widowControl/>
              <w:autoSpaceDE/>
              <w:autoSpaceDN/>
              <w:spacing w:line="360" w:lineRule="auto"/>
              <w:jc w:val="center"/>
              <w:rPr>
                <w:rFonts w:eastAsia="Times New Roman" w:cs="Times New Roman"/>
                <w:sz w:val="20"/>
                <w:szCs w:val="24"/>
              </w:rPr>
            </w:pPr>
            <w:r>
              <w:rPr>
                <w:rFonts w:eastAsia="Times New Roman" w:cs="Times New Roman"/>
                <w:sz w:val="20"/>
                <w:szCs w:val="24"/>
              </w:rPr>
              <w:t>100.0</w:t>
            </w:r>
          </w:p>
        </w:tc>
      </w:tr>
    </w:tbl>
    <w:p w14:paraId="66E6DA92" w14:textId="77777777" w:rsidR="00C07C96" w:rsidRDefault="00C07C96" w:rsidP="00C07C96">
      <w:pPr>
        <w:jc w:val="both"/>
        <w:rPr>
          <w:sz w:val="18"/>
        </w:rPr>
      </w:pPr>
    </w:p>
    <w:p w14:paraId="415BFA5E" w14:textId="5D03E399" w:rsidR="00C07C96" w:rsidRDefault="00C07C96" w:rsidP="00C07C96">
      <w:pPr>
        <w:jc w:val="both"/>
        <w:rPr>
          <w:sz w:val="20"/>
        </w:rPr>
      </w:pPr>
      <w:r w:rsidRPr="00E97B9D">
        <w:rPr>
          <w:sz w:val="20"/>
        </w:rPr>
        <w:t xml:space="preserve">Table 5 </w:t>
      </w:r>
      <w:r w:rsidR="00E97B9D">
        <w:rPr>
          <w:sz w:val="20"/>
        </w:rPr>
        <w:t>shows</w:t>
      </w:r>
      <w:r w:rsidRPr="00E97B9D">
        <w:rPr>
          <w:sz w:val="20"/>
        </w:rPr>
        <w:t xml:space="preserve"> the validity test of USG has a sensitivity </w:t>
      </w:r>
      <w:r w:rsidR="00E97B9D">
        <w:rPr>
          <w:sz w:val="20"/>
        </w:rPr>
        <w:t xml:space="preserve">of </w:t>
      </w:r>
      <w:r w:rsidRPr="00E97B9D">
        <w:rPr>
          <w:sz w:val="20"/>
        </w:rPr>
        <w:t xml:space="preserve">75.0%, specificity 50.0%, accuracy 71.4% and positive predictive value 90.0% and negative predictive value 25.0%. The validity test of </w:t>
      </w:r>
      <w:proofErr w:type="spellStart"/>
      <w:r w:rsidRPr="00E97B9D">
        <w:rPr>
          <w:sz w:val="20"/>
        </w:rPr>
        <w:t>Sestamibi</w:t>
      </w:r>
      <w:proofErr w:type="spellEnd"/>
      <w:r w:rsidRPr="00E97B9D">
        <w:rPr>
          <w:sz w:val="20"/>
        </w:rPr>
        <w:t xml:space="preserve"> has </w:t>
      </w:r>
      <w:r w:rsidR="00E97B9D">
        <w:rPr>
          <w:sz w:val="20"/>
        </w:rPr>
        <w:t xml:space="preserve">a </w:t>
      </w:r>
      <w:r w:rsidRPr="00E97B9D">
        <w:rPr>
          <w:sz w:val="20"/>
        </w:rPr>
        <w:t xml:space="preserve">sensitivity </w:t>
      </w:r>
      <w:r w:rsidR="00E97B9D">
        <w:rPr>
          <w:sz w:val="20"/>
        </w:rPr>
        <w:t xml:space="preserve">of </w:t>
      </w:r>
      <w:r w:rsidRPr="00E97B9D">
        <w:rPr>
          <w:sz w:val="20"/>
        </w:rPr>
        <w:t xml:space="preserve">100.0%, </w:t>
      </w:r>
      <w:r w:rsidR="00E97B9D">
        <w:rPr>
          <w:sz w:val="20"/>
        </w:rPr>
        <w:t xml:space="preserve">a </w:t>
      </w:r>
      <w:r w:rsidRPr="00E97B9D">
        <w:rPr>
          <w:sz w:val="20"/>
        </w:rPr>
        <w:t xml:space="preserve">specificity </w:t>
      </w:r>
      <w:r w:rsidR="00E97B9D">
        <w:rPr>
          <w:sz w:val="20"/>
        </w:rPr>
        <w:t xml:space="preserve">of </w:t>
      </w:r>
      <w:r w:rsidRPr="00E97B9D">
        <w:rPr>
          <w:sz w:val="20"/>
        </w:rPr>
        <w:t xml:space="preserve">0.0%, </w:t>
      </w:r>
      <w:r w:rsidR="00E97B9D">
        <w:rPr>
          <w:sz w:val="20"/>
        </w:rPr>
        <w:t xml:space="preserve">an </w:t>
      </w:r>
      <w:r w:rsidRPr="00E97B9D">
        <w:rPr>
          <w:sz w:val="20"/>
        </w:rPr>
        <w:t xml:space="preserve">accuracy </w:t>
      </w:r>
      <w:r w:rsidR="00E97B9D">
        <w:rPr>
          <w:sz w:val="20"/>
        </w:rPr>
        <w:t xml:space="preserve">of </w:t>
      </w:r>
      <w:r w:rsidRPr="00E97B9D">
        <w:rPr>
          <w:sz w:val="20"/>
        </w:rPr>
        <w:t xml:space="preserve">85.7%, positive predictive values </w:t>
      </w:r>
      <w:r w:rsidR="00E97B9D">
        <w:rPr>
          <w:sz w:val="20"/>
        </w:rPr>
        <w:t xml:space="preserve">of </w:t>
      </w:r>
      <w:r w:rsidRPr="00E97B9D">
        <w:rPr>
          <w:sz w:val="20"/>
        </w:rPr>
        <w:t xml:space="preserve">85.7% and negative predictive values </w:t>
      </w:r>
      <w:r w:rsidR="00E97B9D">
        <w:rPr>
          <w:sz w:val="20"/>
        </w:rPr>
        <w:t xml:space="preserve">of </w:t>
      </w:r>
      <w:r w:rsidRPr="00E97B9D">
        <w:rPr>
          <w:sz w:val="20"/>
        </w:rPr>
        <w:t xml:space="preserve">0.0%. The validity test of biochemical frozen section has </w:t>
      </w:r>
      <w:r w:rsidR="00E97B9D">
        <w:rPr>
          <w:sz w:val="20"/>
        </w:rPr>
        <w:t xml:space="preserve">a </w:t>
      </w:r>
      <w:r w:rsidRPr="00E97B9D">
        <w:rPr>
          <w:sz w:val="20"/>
        </w:rPr>
        <w:t xml:space="preserve">sensitivity </w:t>
      </w:r>
      <w:r w:rsidR="00E97B9D">
        <w:rPr>
          <w:sz w:val="20"/>
        </w:rPr>
        <w:t xml:space="preserve">of </w:t>
      </w:r>
      <w:r w:rsidRPr="00E97B9D">
        <w:rPr>
          <w:sz w:val="20"/>
        </w:rPr>
        <w:t>100.0%, specificity 100.0%, accuracy 100.0%, positive predictive values 100.0% and negative predictive values 100.0%.</w:t>
      </w:r>
    </w:p>
    <w:p w14:paraId="00A0AE23" w14:textId="77777777" w:rsidR="00E97B9D" w:rsidRDefault="00E97B9D" w:rsidP="00C07C96">
      <w:pPr>
        <w:jc w:val="both"/>
        <w:rPr>
          <w:sz w:val="20"/>
        </w:rPr>
      </w:pPr>
    </w:p>
    <w:p w14:paraId="2F451ADB" w14:textId="77777777" w:rsidR="00E97B9D" w:rsidRPr="00E97B9D" w:rsidRDefault="00E97B9D" w:rsidP="00C07C96">
      <w:pPr>
        <w:jc w:val="both"/>
        <w:rPr>
          <w:b/>
        </w:rPr>
      </w:pPr>
      <w:r w:rsidRPr="00E97B9D">
        <w:rPr>
          <w:b/>
        </w:rPr>
        <w:t>DISCUSSION</w:t>
      </w:r>
    </w:p>
    <w:p w14:paraId="0924087F" w14:textId="77777777" w:rsidR="00E97B9D" w:rsidRDefault="00E97B9D" w:rsidP="00C07C96">
      <w:pPr>
        <w:jc w:val="both"/>
        <w:rPr>
          <w:sz w:val="20"/>
        </w:rPr>
      </w:pPr>
    </w:p>
    <w:p w14:paraId="4666B34F" w14:textId="77777777" w:rsidR="00E97B9D" w:rsidRDefault="008E58C2" w:rsidP="00B93909">
      <w:pPr>
        <w:jc w:val="both"/>
        <w:rPr>
          <w:sz w:val="20"/>
        </w:rPr>
      </w:pPr>
      <w:r w:rsidRPr="00F825B2">
        <w:rPr>
          <w:sz w:val="20"/>
        </w:rPr>
        <w:t>The s</w:t>
      </w:r>
      <w:r w:rsidR="007A7857" w:rsidRPr="00F825B2">
        <w:rPr>
          <w:sz w:val="20"/>
        </w:rPr>
        <w:t xml:space="preserve">tudy on the preoperative localization of Solitary Parathyroid Adenoma aims to determine the accurate diagnostic procedure between parathyroid ultrasonography and </w:t>
      </w:r>
      <w:proofErr w:type="spellStart"/>
      <w:r w:rsidR="007A7857" w:rsidRPr="00F825B2">
        <w:rPr>
          <w:sz w:val="20"/>
        </w:rPr>
        <w:t>Sestamibi</w:t>
      </w:r>
      <w:proofErr w:type="spellEnd"/>
      <w:r w:rsidR="007A7857" w:rsidRPr="00F825B2">
        <w:rPr>
          <w:sz w:val="20"/>
        </w:rPr>
        <w:t xml:space="preserve"> Scan by comparing them with Biochemical Frozen section, whose accuracy rate is 99.2% </w:t>
      </w:r>
      <w:sdt>
        <w:sdtPr>
          <w:rPr>
            <w:sz w:val="20"/>
          </w:rPr>
          <w:id w:val="-82762368"/>
          <w:citation/>
        </w:sdtPr>
        <w:sdtEndPr/>
        <w:sdtContent>
          <w:r w:rsidR="007A7857" w:rsidRPr="00F825B2">
            <w:rPr>
              <w:sz w:val="20"/>
            </w:rPr>
            <w:fldChar w:fldCharType="begin"/>
          </w:r>
          <w:r w:rsidR="007A7857" w:rsidRPr="00F825B2">
            <w:rPr>
              <w:sz w:val="20"/>
            </w:rPr>
            <w:instrText xml:space="preserve"> CITATION Bil06 \l 1033 </w:instrText>
          </w:r>
          <w:r w:rsidR="007A7857" w:rsidRPr="00F825B2">
            <w:rPr>
              <w:sz w:val="20"/>
            </w:rPr>
            <w:fldChar w:fldCharType="separate"/>
          </w:r>
          <w:r w:rsidR="00F825B2" w:rsidRPr="00F825B2">
            <w:rPr>
              <w:noProof/>
              <w:sz w:val="20"/>
            </w:rPr>
            <w:t>[13]</w:t>
          </w:r>
          <w:r w:rsidR="007A7857" w:rsidRPr="00F825B2">
            <w:rPr>
              <w:sz w:val="20"/>
            </w:rPr>
            <w:fldChar w:fldCharType="end"/>
          </w:r>
        </w:sdtContent>
      </w:sdt>
      <w:r w:rsidR="007A7857" w:rsidRPr="00F825B2">
        <w:rPr>
          <w:sz w:val="20"/>
        </w:rPr>
        <w:t xml:space="preserve">. </w:t>
      </w:r>
      <w:r w:rsidR="00C619D2" w:rsidRPr="00F825B2">
        <w:rPr>
          <w:sz w:val="20"/>
        </w:rPr>
        <w:t xml:space="preserve">This study found that the maximum number of patients with Solitary Parathyroid Adenoma is male, with a rate of 71.4%. Thompson LDR </w:t>
      </w:r>
      <w:r w:rsidR="00C619D2" w:rsidRPr="00F825B2">
        <w:rPr>
          <w:i/>
          <w:sz w:val="20"/>
        </w:rPr>
        <w:t>et al.</w:t>
      </w:r>
      <w:r w:rsidR="00C619D2" w:rsidRPr="00F825B2">
        <w:rPr>
          <w:sz w:val="20"/>
        </w:rPr>
        <w:t xml:space="preserve">, 2019 published that the male-female ratio is 203:1 for this disease </w:t>
      </w:r>
      <w:sdt>
        <w:sdtPr>
          <w:rPr>
            <w:sz w:val="20"/>
          </w:rPr>
          <w:id w:val="528378160"/>
          <w:citation/>
        </w:sdtPr>
        <w:sdtEndPr/>
        <w:sdtContent>
          <w:r w:rsidR="00C619D2" w:rsidRPr="00F825B2">
            <w:rPr>
              <w:sz w:val="20"/>
            </w:rPr>
            <w:fldChar w:fldCharType="begin"/>
          </w:r>
          <w:r w:rsidR="00C619D2" w:rsidRPr="00F825B2">
            <w:rPr>
              <w:sz w:val="20"/>
            </w:rPr>
            <w:instrText xml:space="preserve"> CITATION Tho19 \l 1033 </w:instrText>
          </w:r>
          <w:r w:rsidR="00C619D2" w:rsidRPr="00F825B2">
            <w:rPr>
              <w:sz w:val="20"/>
            </w:rPr>
            <w:fldChar w:fldCharType="separate"/>
          </w:r>
          <w:r w:rsidR="00F825B2" w:rsidRPr="00F825B2">
            <w:rPr>
              <w:noProof/>
              <w:sz w:val="20"/>
            </w:rPr>
            <w:t>[1]</w:t>
          </w:r>
          <w:r w:rsidR="00C619D2" w:rsidRPr="00F825B2">
            <w:rPr>
              <w:sz w:val="20"/>
            </w:rPr>
            <w:fldChar w:fldCharType="end"/>
          </w:r>
        </w:sdtContent>
      </w:sdt>
      <w:r w:rsidR="00C619D2" w:rsidRPr="00F825B2">
        <w:rPr>
          <w:sz w:val="20"/>
        </w:rPr>
        <w:t xml:space="preserve">, which aligns with the current study, showcasing the ratio 2.5:1. The age distribution chart shows that most of </w:t>
      </w:r>
      <w:r w:rsidR="00C619D2" w:rsidRPr="00F825B2">
        <w:rPr>
          <w:sz w:val="20"/>
        </w:rPr>
        <w:lastRenderedPageBreak/>
        <w:t>the patients (35.6%) belong to the 31–40 years of age range</w:t>
      </w:r>
      <w:r w:rsidR="003030FB" w:rsidRPr="00F825B2">
        <w:rPr>
          <w:sz w:val="20"/>
        </w:rPr>
        <w:t xml:space="preserve"> with a mean age of </w:t>
      </w:r>
      <w:r w:rsidR="003030FB" w:rsidRPr="00F825B2">
        <w:rPr>
          <w:rFonts w:eastAsia="Times New Roman" w:cs="Times New Roman"/>
          <w:sz w:val="20"/>
          <w:szCs w:val="24"/>
        </w:rPr>
        <w:t>32.36 ± 9.76 years</w:t>
      </w:r>
      <w:r w:rsidR="00C619D2" w:rsidRPr="00F825B2">
        <w:rPr>
          <w:sz w:val="20"/>
        </w:rPr>
        <w:t xml:space="preserve">. </w:t>
      </w:r>
      <w:r w:rsidR="000C14D4" w:rsidRPr="00F825B2">
        <w:rPr>
          <w:sz w:val="20"/>
        </w:rPr>
        <w:t xml:space="preserve">NAYCI AE </w:t>
      </w:r>
      <w:r w:rsidR="000C14D4" w:rsidRPr="00F825B2">
        <w:rPr>
          <w:i/>
          <w:sz w:val="20"/>
        </w:rPr>
        <w:t>et al.</w:t>
      </w:r>
      <w:r w:rsidR="000C14D4" w:rsidRPr="00F825B2">
        <w:rPr>
          <w:sz w:val="20"/>
        </w:rPr>
        <w:t xml:space="preserve">, 2023 indicated the mean age of Solitary Parathyroid Adenoma is 57.4±13.3 years </w:t>
      </w:r>
      <w:sdt>
        <w:sdtPr>
          <w:rPr>
            <w:sz w:val="20"/>
          </w:rPr>
          <w:id w:val="-805934045"/>
          <w:citation/>
        </w:sdtPr>
        <w:sdtEndPr/>
        <w:sdtContent>
          <w:r w:rsidR="000C14D4" w:rsidRPr="00F825B2">
            <w:rPr>
              <w:sz w:val="20"/>
            </w:rPr>
            <w:fldChar w:fldCharType="begin"/>
          </w:r>
          <w:r w:rsidR="000C14D4" w:rsidRPr="00F825B2">
            <w:rPr>
              <w:sz w:val="20"/>
            </w:rPr>
            <w:instrText xml:space="preserve"> CITATION Ali23 \l 1033 </w:instrText>
          </w:r>
          <w:r w:rsidR="000C14D4" w:rsidRPr="00F825B2">
            <w:rPr>
              <w:sz w:val="20"/>
            </w:rPr>
            <w:fldChar w:fldCharType="separate"/>
          </w:r>
          <w:r w:rsidR="00F825B2" w:rsidRPr="00F825B2">
            <w:rPr>
              <w:noProof/>
              <w:sz w:val="20"/>
            </w:rPr>
            <w:t>[14]</w:t>
          </w:r>
          <w:r w:rsidR="000C14D4" w:rsidRPr="00F825B2">
            <w:rPr>
              <w:sz w:val="20"/>
            </w:rPr>
            <w:fldChar w:fldCharType="end"/>
          </w:r>
        </w:sdtContent>
      </w:sdt>
      <w:r w:rsidR="000C14D4" w:rsidRPr="00F825B2">
        <w:rPr>
          <w:sz w:val="20"/>
        </w:rPr>
        <w:t xml:space="preserve">, which does not agree with the current study. </w:t>
      </w:r>
      <w:proofErr w:type="spellStart"/>
      <w:r w:rsidR="000C14D4" w:rsidRPr="00F825B2">
        <w:rPr>
          <w:sz w:val="20"/>
        </w:rPr>
        <w:t>Irkorucu</w:t>
      </w:r>
      <w:proofErr w:type="spellEnd"/>
      <w:r w:rsidR="000C14D4" w:rsidRPr="00F825B2">
        <w:rPr>
          <w:sz w:val="20"/>
        </w:rPr>
        <w:t xml:space="preserve"> O </w:t>
      </w:r>
      <w:r w:rsidR="000C14D4" w:rsidRPr="00F825B2">
        <w:rPr>
          <w:i/>
          <w:sz w:val="20"/>
        </w:rPr>
        <w:t>et al.</w:t>
      </w:r>
      <w:r w:rsidR="000C14D4" w:rsidRPr="00F825B2">
        <w:rPr>
          <w:sz w:val="20"/>
        </w:rPr>
        <w:t>, 2016 also found the mean age of solitary parathyroid adenoma is 54 + 13 years</w:t>
      </w:r>
      <w:r w:rsidR="003030FB" w:rsidRPr="00F825B2">
        <w:rPr>
          <w:sz w:val="20"/>
        </w:rPr>
        <w:t xml:space="preserve">. The differences in the mean age could be predicted as a result of a single-center-based study, or several environmental factors can be associated. 64.3% of patients presented at the hospital with renal impairment-related complaints, 35.7% with bone and abdominal issues, respectively, 28.6% experienced muscle weakness and fatigue, and 21.4% patients suffered from memory impairment. </w:t>
      </w:r>
      <w:r w:rsidR="002534FE" w:rsidRPr="00F825B2">
        <w:rPr>
          <w:sz w:val="20"/>
        </w:rPr>
        <w:t xml:space="preserve">Parathyroid adenoma is mostly asymptomatic, but hypercalcemia, bone pain, fatigue, polyuria, nephrolithiasis, constipation, and neuropsychiatric disturbance are some common associated health complexes that a patient can manifest </w:t>
      </w:r>
      <w:sdt>
        <w:sdtPr>
          <w:rPr>
            <w:sz w:val="20"/>
          </w:rPr>
          <w:id w:val="830032248"/>
          <w:citation/>
        </w:sdtPr>
        <w:sdtEndPr/>
        <w:sdtContent>
          <w:r w:rsidR="002534FE" w:rsidRPr="00F825B2">
            <w:rPr>
              <w:sz w:val="20"/>
            </w:rPr>
            <w:fldChar w:fldCharType="begin"/>
          </w:r>
          <w:r w:rsidR="002534FE" w:rsidRPr="00F825B2">
            <w:rPr>
              <w:sz w:val="20"/>
            </w:rPr>
            <w:instrText xml:space="preserve"> CITATION Sam231 \l 1033 </w:instrText>
          </w:r>
          <w:r w:rsidR="002534FE" w:rsidRPr="00F825B2">
            <w:rPr>
              <w:sz w:val="20"/>
            </w:rPr>
            <w:fldChar w:fldCharType="separate"/>
          </w:r>
          <w:r w:rsidR="00F825B2" w:rsidRPr="00F825B2">
            <w:rPr>
              <w:noProof/>
              <w:sz w:val="20"/>
            </w:rPr>
            <w:t>[5]</w:t>
          </w:r>
          <w:r w:rsidR="002534FE" w:rsidRPr="00F825B2">
            <w:rPr>
              <w:sz w:val="20"/>
            </w:rPr>
            <w:fldChar w:fldCharType="end"/>
          </w:r>
        </w:sdtContent>
      </w:sdt>
      <w:r w:rsidR="002534FE" w:rsidRPr="00F825B2">
        <w:rPr>
          <w:sz w:val="20"/>
        </w:rPr>
        <w:t xml:space="preserve">. </w:t>
      </w:r>
      <w:proofErr w:type="spellStart"/>
      <w:r w:rsidR="002534FE" w:rsidRPr="00F825B2">
        <w:rPr>
          <w:sz w:val="20"/>
        </w:rPr>
        <w:t>Sestamibi</w:t>
      </w:r>
      <w:proofErr w:type="spellEnd"/>
      <w:r w:rsidR="002534FE" w:rsidRPr="00F825B2">
        <w:rPr>
          <w:sz w:val="20"/>
        </w:rPr>
        <w:t xml:space="preserve"> scans and USG were evaluated </w:t>
      </w:r>
      <w:r w:rsidR="00267567" w:rsidRPr="00F825B2">
        <w:rPr>
          <w:sz w:val="20"/>
        </w:rPr>
        <w:t>before</w:t>
      </w:r>
      <w:r w:rsidR="002534FE" w:rsidRPr="00F825B2">
        <w:rPr>
          <w:sz w:val="20"/>
        </w:rPr>
        <w:t xml:space="preserve"> surgery in the current study. </w:t>
      </w:r>
      <w:r w:rsidR="007200B8" w:rsidRPr="00F825B2">
        <w:rPr>
          <w:sz w:val="20"/>
        </w:rPr>
        <w:t>Adenoma</w:t>
      </w:r>
      <w:r w:rsidR="002534FE" w:rsidRPr="00F825B2">
        <w:rPr>
          <w:sz w:val="20"/>
        </w:rPr>
        <w:t xml:space="preserve"> </w:t>
      </w:r>
      <w:r w:rsidR="00267567" w:rsidRPr="00F825B2">
        <w:rPr>
          <w:sz w:val="20"/>
        </w:rPr>
        <w:t xml:space="preserve">locations were also determined </w:t>
      </w:r>
      <w:r w:rsidR="002534FE" w:rsidRPr="00F825B2">
        <w:rPr>
          <w:sz w:val="20"/>
        </w:rPr>
        <w:t>through intraoperative evaluat</w:t>
      </w:r>
      <w:r w:rsidR="00267567" w:rsidRPr="00F825B2">
        <w:rPr>
          <w:sz w:val="20"/>
        </w:rPr>
        <w:t xml:space="preserve">ions. First of all, this study </w:t>
      </w:r>
      <w:r w:rsidR="002534FE" w:rsidRPr="00F825B2">
        <w:rPr>
          <w:sz w:val="20"/>
        </w:rPr>
        <w:t xml:space="preserve">found that the precision of </w:t>
      </w:r>
      <w:r w:rsidR="007200B8" w:rsidRPr="00F825B2">
        <w:rPr>
          <w:sz w:val="20"/>
        </w:rPr>
        <w:t>a</w:t>
      </w:r>
      <w:r w:rsidR="00267567" w:rsidRPr="00F825B2">
        <w:rPr>
          <w:sz w:val="20"/>
        </w:rPr>
        <w:t xml:space="preserve"> USG in pinpointing the precise location of parathyroid </w:t>
      </w:r>
      <w:r w:rsidR="002534FE" w:rsidRPr="00F825B2">
        <w:rPr>
          <w:sz w:val="20"/>
        </w:rPr>
        <w:t xml:space="preserve">adenomas was constrained. Only 28.6% of individuals </w:t>
      </w:r>
      <w:r w:rsidR="00267567" w:rsidRPr="00F825B2">
        <w:rPr>
          <w:sz w:val="20"/>
        </w:rPr>
        <w:t xml:space="preserve">who had left or right side USG assessment </w:t>
      </w:r>
      <w:r w:rsidR="002534FE" w:rsidRPr="00F825B2">
        <w:rPr>
          <w:sz w:val="20"/>
        </w:rPr>
        <w:t>had their adenomas confined. This imp</w:t>
      </w:r>
      <w:r w:rsidR="00267567" w:rsidRPr="00F825B2">
        <w:rPr>
          <w:sz w:val="20"/>
        </w:rPr>
        <w:t xml:space="preserve">lies that precise preoperative </w:t>
      </w:r>
      <w:r w:rsidR="002534FE" w:rsidRPr="00F825B2">
        <w:rPr>
          <w:sz w:val="20"/>
        </w:rPr>
        <w:t xml:space="preserve">localization using </w:t>
      </w:r>
      <w:r w:rsidR="007200B8" w:rsidRPr="00F825B2">
        <w:rPr>
          <w:sz w:val="20"/>
        </w:rPr>
        <w:t>a</w:t>
      </w:r>
      <w:r w:rsidR="002534FE" w:rsidRPr="00F825B2">
        <w:rPr>
          <w:sz w:val="20"/>
        </w:rPr>
        <w:t xml:space="preserve"> U</w:t>
      </w:r>
      <w:r w:rsidR="00267567" w:rsidRPr="00F825B2">
        <w:rPr>
          <w:sz w:val="20"/>
        </w:rPr>
        <w:t xml:space="preserve">SG alone may not be possible. </w:t>
      </w:r>
      <w:proofErr w:type="spellStart"/>
      <w:r w:rsidR="002534FE" w:rsidRPr="00F825B2">
        <w:rPr>
          <w:sz w:val="20"/>
        </w:rPr>
        <w:t>Sestamibi</w:t>
      </w:r>
      <w:proofErr w:type="spellEnd"/>
      <w:r w:rsidR="002534FE" w:rsidRPr="00F825B2">
        <w:rPr>
          <w:sz w:val="20"/>
        </w:rPr>
        <w:t xml:space="preserve"> scans, in contrast, demonstrated greater accuracy</w:t>
      </w:r>
      <w:r w:rsidR="00267567" w:rsidRPr="00F825B2">
        <w:rPr>
          <w:sz w:val="20"/>
        </w:rPr>
        <w:t xml:space="preserve">, accurately identifying 92.9% </w:t>
      </w:r>
      <w:r w:rsidR="002534FE" w:rsidRPr="00F825B2">
        <w:rPr>
          <w:sz w:val="20"/>
        </w:rPr>
        <w:t>of</w:t>
      </w:r>
      <w:r w:rsidR="00267567" w:rsidRPr="00F825B2">
        <w:rPr>
          <w:sz w:val="20"/>
        </w:rPr>
        <w:t xml:space="preserve"> patients. This is in line with </w:t>
      </w:r>
      <w:r w:rsidR="002534FE" w:rsidRPr="00F825B2">
        <w:rPr>
          <w:sz w:val="20"/>
        </w:rPr>
        <w:t>earlier studies that demon</w:t>
      </w:r>
      <w:r w:rsidR="00267567" w:rsidRPr="00F825B2">
        <w:rPr>
          <w:sz w:val="20"/>
        </w:rPr>
        <w:t xml:space="preserve">strated the value of </w:t>
      </w:r>
      <w:proofErr w:type="spellStart"/>
      <w:r w:rsidR="00267567" w:rsidRPr="00F825B2">
        <w:rPr>
          <w:sz w:val="20"/>
        </w:rPr>
        <w:t>sestamibi</w:t>
      </w:r>
      <w:proofErr w:type="spellEnd"/>
      <w:r w:rsidR="00267567" w:rsidRPr="00F825B2">
        <w:rPr>
          <w:sz w:val="20"/>
        </w:rPr>
        <w:t xml:space="preserve"> </w:t>
      </w:r>
      <w:r w:rsidR="002534FE" w:rsidRPr="00F825B2">
        <w:rPr>
          <w:sz w:val="20"/>
        </w:rPr>
        <w:t>scans in the localization of parathyroid adenoma</w:t>
      </w:r>
      <w:r w:rsidR="00267567" w:rsidRPr="00F825B2">
        <w:rPr>
          <w:sz w:val="20"/>
        </w:rPr>
        <w:t xml:space="preserve"> </w:t>
      </w:r>
      <w:sdt>
        <w:sdtPr>
          <w:rPr>
            <w:sz w:val="20"/>
          </w:rPr>
          <w:id w:val="-1482841627"/>
          <w:citation/>
        </w:sdtPr>
        <w:sdtEndPr/>
        <w:sdtContent>
          <w:r w:rsidR="00267567" w:rsidRPr="00F825B2">
            <w:rPr>
              <w:sz w:val="20"/>
            </w:rPr>
            <w:fldChar w:fldCharType="begin"/>
          </w:r>
          <w:r w:rsidR="00267567" w:rsidRPr="00F825B2">
            <w:rPr>
              <w:sz w:val="20"/>
            </w:rPr>
            <w:instrText xml:space="preserve"> CITATION Don21 \l 1033 </w:instrText>
          </w:r>
          <w:r w:rsidR="00267567" w:rsidRPr="00F825B2">
            <w:rPr>
              <w:sz w:val="20"/>
            </w:rPr>
            <w:fldChar w:fldCharType="separate"/>
          </w:r>
          <w:r w:rsidR="00F825B2" w:rsidRPr="00F825B2">
            <w:rPr>
              <w:noProof/>
              <w:sz w:val="20"/>
            </w:rPr>
            <w:t>[15]</w:t>
          </w:r>
          <w:r w:rsidR="00267567" w:rsidRPr="00F825B2">
            <w:rPr>
              <w:sz w:val="20"/>
            </w:rPr>
            <w:fldChar w:fldCharType="end"/>
          </w:r>
        </w:sdtContent>
      </w:sdt>
      <w:r w:rsidR="00267567" w:rsidRPr="00F825B2">
        <w:rPr>
          <w:sz w:val="20"/>
        </w:rPr>
        <w:t xml:space="preserve">. However, the most accurate localization was achieved through preoperative assessments, with a 100% localization in this study. This aligns with the findings of several other studies that emphasize the reliability of intraoperative findings in guiding the surgeon to the precise location of the adenoma </w:t>
      </w:r>
      <w:sdt>
        <w:sdtPr>
          <w:rPr>
            <w:sz w:val="20"/>
          </w:rPr>
          <w:id w:val="525536850"/>
          <w:citation/>
        </w:sdtPr>
        <w:sdtEndPr/>
        <w:sdtContent>
          <w:r w:rsidR="00267567" w:rsidRPr="00F825B2">
            <w:rPr>
              <w:sz w:val="20"/>
            </w:rPr>
            <w:fldChar w:fldCharType="begin"/>
          </w:r>
          <w:r w:rsidR="00267567" w:rsidRPr="00F825B2">
            <w:rPr>
              <w:sz w:val="20"/>
            </w:rPr>
            <w:instrText xml:space="preserve"> CITATION Don21 \l 1033 </w:instrText>
          </w:r>
          <w:r w:rsidR="00267567" w:rsidRPr="00F825B2">
            <w:rPr>
              <w:sz w:val="20"/>
            </w:rPr>
            <w:fldChar w:fldCharType="separate"/>
          </w:r>
          <w:r w:rsidR="00F825B2" w:rsidRPr="00F825B2">
            <w:rPr>
              <w:noProof/>
              <w:sz w:val="20"/>
            </w:rPr>
            <w:t>[15]</w:t>
          </w:r>
          <w:r w:rsidR="00267567" w:rsidRPr="00F825B2">
            <w:rPr>
              <w:sz w:val="20"/>
            </w:rPr>
            <w:fldChar w:fldCharType="end"/>
          </w:r>
        </w:sdtContent>
      </w:sdt>
      <w:r w:rsidR="00267567" w:rsidRPr="00F825B2">
        <w:rPr>
          <w:sz w:val="20"/>
        </w:rPr>
        <w:t xml:space="preserve">. This study also found a subset of patients (21.4%) whose </w:t>
      </w:r>
      <w:proofErr w:type="spellStart"/>
      <w:r w:rsidR="00267567" w:rsidRPr="00F825B2">
        <w:rPr>
          <w:sz w:val="20"/>
        </w:rPr>
        <w:t>sestamibi</w:t>
      </w:r>
      <w:proofErr w:type="spellEnd"/>
      <w:r w:rsidR="00267567" w:rsidRPr="00F825B2">
        <w:rPr>
          <w:sz w:val="20"/>
        </w:rPr>
        <w:t xml:space="preserve"> scans and intraoperative assessments agreed on the diagnosis of adenomas in the superior mediastinum. This emphasizes the necessity of a thorough preoperative assessment that takes into account unique adenoma sites, which might not be seen by conventional imaging techniques.</w:t>
      </w:r>
      <w:r w:rsidR="007200B8" w:rsidRPr="00F825B2">
        <w:rPr>
          <w:sz w:val="20"/>
        </w:rPr>
        <w:t xml:space="preserve"> In comparison with the Biochemical Frozen section, which shows 100% accuracy among all investigations, USG shows 75% of sensitivity, where the sensitivity rate of </w:t>
      </w:r>
      <w:proofErr w:type="spellStart"/>
      <w:r w:rsidR="007200B8" w:rsidRPr="00F825B2">
        <w:rPr>
          <w:sz w:val="20"/>
        </w:rPr>
        <w:t>Sestamibi</w:t>
      </w:r>
      <w:proofErr w:type="spellEnd"/>
      <w:r w:rsidR="007200B8" w:rsidRPr="00F825B2">
        <w:rPr>
          <w:sz w:val="20"/>
        </w:rPr>
        <w:t xml:space="preserve"> scan is 100% but the specificity is 0. On the other hand, with 50% of specificity, USG shows 71.4% accuracy, 90% of PPV, and a 25% NPV rate.</w:t>
      </w:r>
      <w:r w:rsidR="00747A9B" w:rsidRPr="00F825B2">
        <w:rPr>
          <w:sz w:val="20"/>
        </w:rPr>
        <w:t xml:space="preserve"> The useful aspect of USG was examined in a meta-analysis by Cheung </w:t>
      </w:r>
      <w:r w:rsidR="00747A9B" w:rsidRPr="00F825B2">
        <w:rPr>
          <w:i/>
          <w:sz w:val="20"/>
        </w:rPr>
        <w:t>et al.</w:t>
      </w:r>
      <w:r w:rsidR="00747A9B" w:rsidRPr="00F825B2">
        <w:rPr>
          <w:sz w:val="20"/>
        </w:rPr>
        <w:t xml:space="preserve">, 2012 who discovered that it had a per-patient pooled sensitivity or detection rate of 76.1% and a positive predictive value (PPV) of 93.2% </w:t>
      </w:r>
      <w:sdt>
        <w:sdtPr>
          <w:rPr>
            <w:sz w:val="20"/>
          </w:rPr>
          <w:id w:val="-1967648386"/>
          <w:citation/>
        </w:sdtPr>
        <w:sdtEndPr/>
        <w:sdtContent>
          <w:r w:rsidR="00747A9B" w:rsidRPr="00F825B2">
            <w:rPr>
              <w:sz w:val="20"/>
            </w:rPr>
            <w:fldChar w:fldCharType="begin"/>
          </w:r>
          <w:r w:rsidR="00747A9B" w:rsidRPr="00F825B2">
            <w:rPr>
              <w:sz w:val="20"/>
            </w:rPr>
            <w:instrText xml:space="preserve"> CITATION Kev12 \l 1033 </w:instrText>
          </w:r>
          <w:r w:rsidR="00747A9B" w:rsidRPr="00F825B2">
            <w:rPr>
              <w:sz w:val="20"/>
            </w:rPr>
            <w:fldChar w:fldCharType="separate"/>
          </w:r>
          <w:r w:rsidR="00F825B2" w:rsidRPr="00F825B2">
            <w:rPr>
              <w:noProof/>
              <w:sz w:val="20"/>
            </w:rPr>
            <w:t>[16]</w:t>
          </w:r>
          <w:r w:rsidR="00747A9B" w:rsidRPr="00F825B2">
            <w:rPr>
              <w:sz w:val="20"/>
            </w:rPr>
            <w:fldChar w:fldCharType="end"/>
          </w:r>
        </w:sdtContent>
      </w:sdt>
      <w:r w:rsidR="00747A9B" w:rsidRPr="00F825B2">
        <w:rPr>
          <w:sz w:val="20"/>
        </w:rPr>
        <w:t>.</w:t>
      </w:r>
      <w:r w:rsidR="007200B8" w:rsidRPr="00F825B2">
        <w:rPr>
          <w:sz w:val="20"/>
        </w:rPr>
        <w:t xml:space="preserve"> In </w:t>
      </w:r>
      <w:proofErr w:type="spellStart"/>
      <w:r w:rsidR="007200B8" w:rsidRPr="00F825B2">
        <w:rPr>
          <w:sz w:val="20"/>
        </w:rPr>
        <w:t>Sestamibi</w:t>
      </w:r>
      <w:proofErr w:type="spellEnd"/>
      <w:r w:rsidR="007200B8" w:rsidRPr="00F825B2">
        <w:rPr>
          <w:sz w:val="20"/>
        </w:rPr>
        <w:t xml:space="preserve"> scan, accuracy is higher than USG (85.7%), PPV is lower (85.7%), and NPV is irrelevant in this diagnostic tool. </w:t>
      </w:r>
      <w:r w:rsidR="00B93909" w:rsidRPr="00F825B2">
        <w:rPr>
          <w:sz w:val="20"/>
        </w:rPr>
        <w:t xml:space="preserve">Solorzano </w:t>
      </w:r>
      <w:r w:rsidR="00B93909" w:rsidRPr="00F825B2">
        <w:rPr>
          <w:i/>
          <w:sz w:val="20"/>
        </w:rPr>
        <w:t>et al.</w:t>
      </w:r>
      <w:r w:rsidR="00B93909" w:rsidRPr="00F825B2">
        <w:rPr>
          <w:sz w:val="20"/>
        </w:rPr>
        <w:t xml:space="preserve">, 2006 discovered that the performance characteristics of USG and </w:t>
      </w:r>
      <w:proofErr w:type="spellStart"/>
      <w:r w:rsidR="00B93909" w:rsidRPr="00F825B2">
        <w:rPr>
          <w:sz w:val="20"/>
        </w:rPr>
        <w:t>sestamibi</w:t>
      </w:r>
      <w:proofErr w:type="spellEnd"/>
      <w:r w:rsidR="00B93909" w:rsidRPr="00F825B2">
        <w:rPr>
          <w:sz w:val="20"/>
        </w:rPr>
        <w:t xml:space="preserve"> scan were equivalent in an observational cohort research </w:t>
      </w:r>
      <w:sdt>
        <w:sdtPr>
          <w:rPr>
            <w:sz w:val="20"/>
          </w:rPr>
          <w:id w:val="593831501"/>
          <w:citation/>
        </w:sdtPr>
        <w:sdtEndPr/>
        <w:sdtContent>
          <w:r w:rsidR="00B93909" w:rsidRPr="00F825B2">
            <w:rPr>
              <w:sz w:val="20"/>
            </w:rPr>
            <w:fldChar w:fldCharType="begin"/>
          </w:r>
          <w:r w:rsidR="00B93909" w:rsidRPr="00F825B2">
            <w:rPr>
              <w:sz w:val="20"/>
            </w:rPr>
            <w:instrText xml:space="preserve"> CITATION Sol06 \l 1033 </w:instrText>
          </w:r>
          <w:r w:rsidR="00B93909" w:rsidRPr="00F825B2">
            <w:rPr>
              <w:sz w:val="20"/>
            </w:rPr>
            <w:fldChar w:fldCharType="separate"/>
          </w:r>
          <w:r w:rsidR="00F825B2" w:rsidRPr="00F825B2">
            <w:rPr>
              <w:noProof/>
              <w:sz w:val="20"/>
            </w:rPr>
            <w:t>[17]</w:t>
          </w:r>
          <w:r w:rsidR="00B93909" w:rsidRPr="00F825B2">
            <w:rPr>
              <w:sz w:val="20"/>
            </w:rPr>
            <w:fldChar w:fldCharType="end"/>
          </w:r>
        </w:sdtContent>
      </w:sdt>
      <w:r w:rsidR="00B93909" w:rsidRPr="00F825B2">
        <w:rPr>
          <w:sz w:val="20"/>
        </w:rPr>
        <w:t xml:space="preserve">. The individual clinical situation and the availability of resources will determine the preoperative localization technique used in parathyroid adenoma instances. Despite its moderate sensitivity, USG can still be useful because of its non-invasiveness and </w:t>
      </w:r>
      <w:r w:rsidR="00F26CC5" w:rsidRPr="00F825B2">
        <w:rPr>
          <w:sz w:val="20"/>
        </w:rPr>
        <w:t xml:space="preserve">comparatively high </w:t>
      </w:r>
      <w:r w:rsidR="00B93909" w:rsidRPr="00F825B2">
        <w:rPr>
          <w:sz w:val="20"/>
        </w:rPr>
        <w:t xml:space="preserve">PPV. </w:t>
      </w:r>
      <w:proofErr w:type="spellStart"/>
      <w:r w:rsidR="00B93909" w:rsidRPr="00F825B2">
        <w:rPr>
          <w:sz w:val="20"/>
        </w:rPr>
        <w:t>Sestamibi</w:t>
      </w:r>
      <w:proofErr w:type="spellEnd"/>
      <w:r w:rsidR="00B93909" w:rsidRPr="00F825B2">
        <w:rPr>
          <w:sz w:val="20"/>
        </w:rPr>
        <w:t xml:space="preserve"> scan, on the other hand, should be used with cautio</w:t>
      </w:r>
      <w:r w:rsidR="00F26CC5" w:rsidRPr="00F825B2">
        <w:rPr>
          <w:sz w:val="20"/>
        </w:rPr>
        <w:t xml:space="preserve">n </w:t>
      </w:r>
      <w:r w:rsidR="00B93909" w:rsidRPr="00F825B2">
        <w:rPr>
          <w:sz w:val="20"/>
        </w:rPr>
        <w:t>due to its high sensitiv</w:t>
      </w:r>
      <w:r w:rsidR="00F26CC5" w:rsidRPr="00F825B2">
        <w:rPr>
          <w:sz w:val="20"/>
        </w:rPr>
        <w:t xml:space="preserve">ity but poor specificity, which </w:t>
      </w:r>
      <w:r w:rsidR="00B93909" w:rsidRPr="00F825B2">
        <w:rPr>
          <w:sz w:val="20"/>
        </w:rPr>
        <w:t xml:space="preserve">can </w:t>
      </w:r>
      <w:r w:rsidR="00F26CC5" w:rsidRPr="00F825B2">
        <w:rPr>
          <w:sz w:val="20"/>
        </w:rPr>
        <w:t>result in needless exploratory surgery.</w:t>
      </w:r>
      <w:r w:rsidR="00012C0C">
        <w:rPr>
          <w:sz w:val="20"/>
        </w:rPr>
        <w:t xml:space="preserve">   </w:t>
      </w:r>
    </w:p>
    <w:p w14:paraId="6CF9C49C" w14:textId="77777777" w:rsidR="00012C0C" w:rsidRDefault="00012C0C" w:rsidP="00B93909">
      <w:pPr>
        <w:jc w:val="both"/>
        <w:rPr>
          <w:sz w:val="20"/>
        </w:rPr>
      </w:pPr>
    </w:p>
    <w:p w14:paraId="4A1D07A8" w14:textId="77777777" w:rsidR="00AB0CEA" w:rsidRPr="00AB0CEA" w:rsidRDefault="00AB0CEA" w:rsidP="00B93909">
      <w:pPr>
        <w:jc w:val="both"/>
        <w:rPr>
          <w:b/>
          <w:sz w:val="20"/>
        </w:rPr>
      </w:pPr>
      <w:r w:rsidRPr="00AB0CEA">
        <w:rPr>
          <w:b/>
          <w:sz w:val="20"/>
        </w:rPr>
        <w:t>CONCLUSION</w:t>
      </w:r>
    </w:p>
    <w:p w14:paraId="56BB9CF5" w14:textId="77777777" w:rsidR="00AB0CEA" w:rsidRDefault="00AB0CEA" w:rsidP="00B93909">
      <w:pPr>
        <w:jc w:val="both"/>
        <w:rPr>
          <w:sz w:val="20"/>
        </w:rPr>
      </w:pPr>
    </w:p>
    <w:p w14:paraId="7681568A" w14:textId="77777777" w:rsidR="00AB0CEA" w:rsidRDefault="007F2867" w:rsidP="00B93909">
      <w:pPr>
        <w:jc w:val="both"/>
        <w:rPr>
          <w:sz w:val="20"/>
        </w:rPr>
      </w:pPr>
      <w:proofErr w:type="spellStart"/>
      <w:r w:rsidRPr="007F2867">
        <w:rPr>
          <w:sz w:val="20"/>
        </w:rPr>
        <w:t>Sestamibi</w:t>
      </w:r>
      <w:proofErr w:type="spellEnd"/>
      <w:r w:rsidRPr="007F2867">
        <w:rPr>
          <w:sz w:val="20"/>
        </w:rPr>
        <w:t xml:space="preserve"> scan and ultrasonography are still useful preoperative methods of localizing solitary parathyroid adenomas. The sensitivity, specificity, and accuracy observed in </w:t>
      </w:r>
      <w:r>
        <w:rPr>
          <w:sz w:val="20"/>
        </w:rPr>
        <w:t xml:space="preserve">the </w:t>
      </w:r>
      <w:proofErr w:type="spellStart"/>
      <w:r w:rsidRPr="007F2867">
        <w:rPr>
          <w:sz w:val="20"/>
        </w:rPr>
        <w:t>Sestamibi</w:t>
      </w:r>
      <w:proofErr w:type="spellEnd"/>
      <w:r w:rsidRPr="007F2867">
        <w:rPr>
          <w:sz w:val="20"/>
        </w:rPr>
        <w:t xml:space="preserve"> scan </w:t>
      </w:r>
      <w:r>
        <w:rPr>
          <w:sz w:val="20"/>
        </w:rPr>
        <w:t>were</w:t>
      </w:r>
      <w:r w:rsidRPr="007F2867">
        <w:rPr>
          <w:sz w:val="20"/>
        </w:rPr>
        <w:t xml:space="preserve"> high, especially in ectopic lesions</w:t>
      </w:r>
      <w:r>
        <w:rPr>
          <w:sz w:val="20"/>
        </w:rPr>
        <w:t>,</w:t>
      </w:r>
      <w:r w:rsidRPr="007F2867">
        <w:rPr>
          <w:sz w:val="20"/>
        </w:rPr>
        <w:t xml:space="preserve"> as compared to USG</w:t>
      </w:r>
      <w:r>
        <w:rPr>
          <w:sz w:val="20"/>
        </w:rPr>
        <w:t>,</w:t>
      </w:r>
      <w:r w:rsidRPr="007F2867">
        <w:rPr>
          <w:sz w:val="20"/>
        </w:rPr>
        <w:t xml:space="preserve"> which had a moderate specificity. A combination of the two imaging modalities will not only improve localization but also improve surgical planning. The targeted parathyroidectomy, mediated by accurate localization, results in improved outcomes in the form of decreased</w:t>
      </w:r>
      <w:r>
        <w:rPr>
          <w:sz w:val="20"/>
        </w:rPr>
        <w:t xml:space="preserve"> morbidity and improved cosmetic results</w:t>
      </w:r>
      <w:r w:rsidRPr="007F2867">
        <w:rPr>
          <w:sz w:val="20"/>
        </w:rPr>
        <w:t>.</w:t>
      </w:r>
    </w:p>
    <w:p w14:paraId="5AE1EFC8" w14:textId="77777777" w:rsidR="007F2867" w:rsidRDefault="007F2867" w:rsidP="00B93909">
      <w:pPr>
        <w:jc w:val="both"/>
        <w:rPr>
          <w:sz w:val="20"/>
        </w:rPr>
      </w:pPr>
    </w:p>
    <w:p w14:paraId="009DBE01" w14:textId="77777777" w:rsidR="00D62CFF" w:rsidRPr="00D62CFF" w:rsidRDefault="00D62CFF" w:rsidP="00D62CFF">
      <w:pPr>
        <w:jc w:val="both"/>
        <w:rPr>
          <w:sz w:val="20"/>
        </w:rPr>
      </w:pPr>
      <w:r w:rsidRPr="00D62CFF">
        <w:rPr>
          <w:sz w:val="20"/>
        </w:rPr>
        <w:t>LIMITATION</w:t>
      </w:r>
    </w:p>
    <w:p w14:paraId="3E8ED4FA" w14:textId="77777777" w:rsidR="00D62CFF" w:rsidRPr="00D62CFF" w:rsidRDefault="00D62CFF" w:rsidP="00D62CFF">
      <w:pPr>
        <w:jc w:val="both"/>
        <w:rPr>
          <w:sz w:val="20"/>
        </w:rPr>
      </w:pPr>
    </w:p>
    <w:p w14:paraId="088D3F89" w14:textId="77777777" w:rsidR="00D62CFF" w:rsidRPr="00D62CFF" w:rsidRDefault="00D62CFF" w:rsidP="00D62CFF">
      <w:pPr>
        <w:jc w:val="both"/>
        <w:rPr>
          <w:sz w:val="20"/>
        </w:rPr>
      </w:pPr>
      <w:r w:rsidRPr="00D62CFF">
        <w:rPr>
          <w:sz w:val="20"/>
        </w:rPr>
        <w:t>The small sample size and single-center setting are the major limitations of this study. The shortened period of data collection limited patient diversity. Additionally, the imaging operator's expertise might affect diagnostic results.</w:t>
      </w:r>
    </w:p>
    <w:p w14:paraId="210252D2" w14:textId="77777777" w:rsidR="00D62CFF" w:rsidRDefault="00D62CFF" w:rsidP="00B93909">
      <w:pPr>
        <w:jc w:val="both"/>
        <w:rPr>
          <w:sz w:val="20"/>
        </w:rPr>
      </w:pPr>
    </w:p>
    <w:p w14:paraId="4E5585C2" w14:textId="77777777" w:rsidR="00D62CFF" w:rsidRDefault="00D62CFF" w:rsidP="00B93909">
      <w:pPr>
        <w:jc w:val="both"/>
        <w:rPr>
          <w:sz w:val="20"/>
        </w:rPr>
      </w:pPr>
    </w:p>
    <w:p w14:paraId="10FFE61E" w14:textId="77777777" w:rsidR="00D62CFF" w:rsidRDefault="00D62CFF" w:rsidP="00B93909">
      <w:pPr>
        <w:jc w:val="both"/>
        <w:rPr>
          <w:sz w:val="20"/>
        </w:rPr>
      </w:pPr>
    </w:p>
    <w:p w14:paraId="28B8AB0B" w14:textId="77777777" w:rsidR="007F2867" w:rsidRPr="007F2867" w:rsidRDefault="007F2867" w:rsidP="00B93909">
      <w:pPr>
        <w:jc w:val="both"/>
        <w:rPr>
          <w:b/>
          <w:sz w:val="20"/>
        </w:rPr>
      </w:pPr>
      <w:r w:rsidRPr="007F2867">
        <w:rPr>
          <w:b/>
          <w:sz w:val="20"/>
        </w:rPr>
        <w:t>Abbreviation</w:t>
      </w:r>
    </w:p>
    <w:p w14:paraId="4F86813D" w14:textId="77777777" w:rsidR="007F2867" w:rsidRDefault="007F2867" w:rsidP="00B93909">
      <w:pPr>
        <w:jc w:val="both"/>
        <w:rPr>
          <w:sz w:val="20"/>
        </w:rPr>
      </w:pPr>
    </w:p>
    <w:p w14:paraId="7618DC7F" w14:textId="77777777" w:rsidR="007F2867" w:rsidRPr="007F2867" w:rsidRDefault="007F2867" w:rsidP="007F2867">
      <w:pPr>
        <w:spacing w:line="276" w:lineRule="auto"/>
        <w:jc w:val="both"/>
        <w:rPr>
          <w:sz w:val="20"/>
        </w:rPr>
      </w:pPr>
      <w:r w:rsidRPr="007F2867">
        <w:rPr>
          <w:b/>
          <w:sz w:val="20"/>
        </w:rPr>
        <w:t>USG:</w:t>
      </w:r>
      <w:r>
        <w:rPr>
          <w:sz w:val="20"/>
        </w:rPr>
        <w:t xml:space="preserve"> Ultrasonography</w:t>
      </w:r>
    </w:p>
    <w:p w14:paraId="32CFDE16" w14:textId="77777777" w:rsidR="002C4C03" w:rsidRDefault="007F2867" w:rsidP="007F2867">
      <w:pPr>
        <w:spacing w:line="276" w:lineRule="auto"/>
        <w:jc w:val="both"/>
        <w:rPr>
          <w:sz w:val="20"/>
        </w:rPr>
      </w:pPr>
      <w:r w:rsidRPr="007F2867">
        <w:rPr>
          <w:b/>
          <w:sz w:val="20"/>
        </w:rPr>
        <w:t>PHPT:</w:t>
      </w:r>
      <w:r>
        <w:rPr>
          <w:sz w:val="20"/>
        </w:rPr>
        <w:t xml:space="preserve"> Primary Hyperparathyroidism</w:t>
      </w:r>
    </w:p>
    <w:p w14:paraId="6B87C5D6" w14:textId="77777777" w:rsidR="002C4C03" w:rsidRPr="007F2867" w:rsidRDefault="002C4C03" w:rsidP="007F2867">
      <w:pPr>
        <w:spacing w:line="276" w:lineRule="auto"/>
        <w:jc w:val="both"/>
        <w:rPr>
          <w:sz w:val="20"/>
        </w:rPr>
      </w:pPr>
      <w:r w:rsidRPr="002C4C03">
        <w:rPr>
          <w:b/>
          <w:sz w:val="20"/>
        </w:rPr>
        <w:t>BFS:</w:t>
      </w:r>
      <w:r>
        <w:rPr>
          <w:sz w:val="20"/>
        </w:rPr>
        <w:t xml:space="preserve"> Biochemical Frozen Section</w:t>
      </w:r>
    </w:p>
    <w:p w14:paraId="52BD8665" w14:textId="77777777" w:rsidR="007F2867" w:rsidRPr="007F2867" w:rsidRDefault="007F2867" w:rsidP="007F2867">
      <w:pPr>
        <w:spacing w:line="276" w:lineRule="auto"/>
        <w:jc w:val="both"/>
        <w:rPr>
          <w:sz w:val="20"/>
        </w:rPr>
      </w:pPr>
      <w:r w:rsidRPr="007F2867">
        <w:rPr>
          <w:b/>
          <w:sz w:val="20"/>
        </w:rPr>
        <w:t>PPV:</w:t>
      </w:r>
      <w:r>
        <w:rPr>
          <w:sz w:val="20"/>
        </w:rPr>
        <w:t xml:space="preserve"> Positive Predictive Value</w:t>
      </w:r>
    </w:p>
    <w:p w14:paraId="4BD9C102" w14:textId="77777777" w:rsidR="007F2867" w:rsidRPr="007F2867" w:rsidRDefault="007F2867" w:rsidP="007F2867">
      <w:pPr>
        <w:spacing w:line="276" w:lineRule="auto"/>
        <w:jc w:val="both"/>
        <w:rPr>
          <w:sz w:val="20"/>
        </w:rPr>
      </w:pPr>
      <w:r w:rsidRPr="007F2867">
        <w:rPr>
          <w:b/>
          <w:sz w:val="20"/>
        </w:rPr>
        <w:t>NPV:</w:t>
      </w:r>
      <w:r>
        <w:rPr>
          <w:sz w:val="20"/>
        </w:rPr>
        <w:t xml:space="preserve"> Negative Predictive Value</w:t>
      </w:r>
    </w:p>
    <w:p w14:paraId="7BCE4E47" w14:textId="77777777" w:rsidR="007F2867" w:rsidRPr="007F2867" w:rsidRDefault="007F2867" w:rsidP="007F2867">
      <w:pPr>
        <w:spacing w:line="276" w:lineRule="auto"/>
        <w:jc w:val="both"/>
        <w:rPr>
          <w:sz w:val="20"/>
        </w:rPr>
      </w:pPr>
      <w:r w:rsidRPr="007F2867">
        <w:rPr>
          <w:b/>
          <w:sz w:val="20"/>
        </w:rPr>
        <w:t>MGD:</w:t>
      </w:r>
      <w:r>
        <w:rPr>
          <w:sz w:val="20"/>
        </w:rPr>
        <w:t xml:space="preserve"> </w:t>
      </w:r>
      <w:proofErr w:type="spellStart"/>
      <w:r>
        <w:rPr>
          <w:sz w:val="20"/>
        </w:rPr>
        <w:t>Multigland</w:t>
      </w:r>
      <w:proofErr w:type="spellEnd"/>
      <w:r>
        <w:rPr>
          <w:sz w:val="20"/>
        </w:rPr>
        <w:t xml:space="preserve"> Disease</w:t>
      </w:r>
    </w:p>
    <w:p w14:paraId="349DF0DB" w14:textId="77777777" w:rsidR="007F2867" w:rsidRPr="007F2867" w:rsidRDefault="007F2867" w:rsidP="007F2867">
      <w:pPr>
        <w:spacing w:line="276" w:lineRule="auto"/>
        <w:jc w:val="both"/>
        <w:rPr>
          <w:sz w:val="20"/>
        </w:rPr>
      </w:pPr>
      <w:r w:rsidRPr="007F2867">
        <w:rPr>
          <w:b/>
          <w:sz w:val="20"/>
        </w:rPr>
        <w:t>DA:</w:t>
      </w:r>
      <w:r>
        <w:rPr>
          <w:sz w:val="20"/>
        </w:rPr>
        <w:t xml:space="preserve"> Double Adenoma</w:t>
      </w:r>
    </w:p>
    <w:p w14:paraId="2A2DCD2A" w14:textId="77777777" w:rsidR="007F2867" w:rsidRDefault="007F2867" w:rsidP="007F2867">
      <w:pPr>
        <w:spacing w:line="276" w:lineRule="auto"/>
        <w:jc w:val="both"/>
        <w:rPr>
          <w:sz w:val="20"/>
        </w:rPr>
      </w:pPr>
      <w:r w:rsidRPr="007F2867">
        <w:rPr>
          <w:b/>
          <w:sz w:val="20"/>
        </w:rPr>
        <w:t>BSMMU:</w:t>
      </w:r>
      <w:r w:rsidRPr="007F2867">
        <w:rPr>
          <w:sz w:val="20"/>
        </w:rPr>
        <w:t xml:space="preserve"> Bangabandhu Sheikh Mujib Medical University</w:t>
      </w:r>
    </w:p>
    <w:p w14:paraId="3A24824D" w14:textId="77777777" w:rsidR="002C4C03" w:rsidRDefault="002C4C03" w:rsidP="007F2867">
      <w:pPr>
        <w:spacing w:line="276" w:lineRule="auto"/>
        <w:jc w:val="both"/>
        <w:rPr>
          <w:sz w:val="20"/>
        </w:rPr>
      </w:pPr>
      <w:r w:rsidRPr="002C4C03">
        <w:rPr>
          <w:b/>
          <w:sz w:val="20"/>
        </w:rPr>
        <w:lastRenderedPageBreak/>
        <w:t>SPSS:</w:t>
      </w:r>
      <w:r>
        <w:rPr>
          <w:sz w:val="20"/>
        </w:rPr>
        <w:t xml:space="preserve"> </w:t>
      </w:r>
      <w:r w:rsidRPr="002C4C03">
        <w:rPr>
          <w:sz w:val="20"/>
        </w:rPr>
        <w:t>Statistical Package for Social Sciences</w:t>
      </w:r>
    </w:p>
    <w:p w14:paraId="25A786BC" w14:textId="77777777" w:rsidR="007F2867" w:rsidRDefault="007F2867" w:rsidP="00B753C5">
      <w:pPr>
        <w:jc w:val="both"/>
        <w:rPr>
          <w:sz w:val="20"/>
        </w:rPr>
      </w:pPr>
    </w:p>
    <w:p w14:paraId="638AF19C" w14:textId="77777777" w:rsidR="00D62CFF" w:rsidRDefault="00D62CFF" w:rsidP="00B753C5">
      <w:pPr>
        <w:jc w:val="both"/>
        <w:rPr>
          <w:sz w:val="20"/>
        </w:rPr>
      </w:pPr>
    </w:p>
    <w:p w14:paraId="31DF090A" w14:textId="77777777" w:rsidR="00D62CFF" w:rsidRPr="00D62CFF" w:rsidRDefault="00D62CFF" w:rsidP="00D62CFF">
      <w:pPr>
        <w:jc w:val="both"/>
        <w:rPr>
          <w:sz w:val="20"/>
        </w:rPr>
      </w:pPr>
      <w:r w:rsidRPr="00D62CFF">
        <w:rPr>
          <w:sz w:val="20"/>
        </w:rPr>
        <w:t>COMPETING INTERESTS DISCLAIMER:</w:t>
      </w:r>
    </w:p>
    <w:p w14:paraId="65D51CA3" w14:textId="2D38DCCD" w:rsidR="00D62CFF" w:rsidRDefault="00D62CFF" w:rsidP="00D62CFF">
      <w:pPr>
        <w:jc w:val="both"/>
        <w:rPr>
          <w:sz w:val="20"/>
        </w:rPr>
      </w:pPr>
      <w:r w:rsidRPr="00D62CFF">
        <w:rPr>
          <w:sz w:val="20"/>
        </w:rPr>
        <w:t>Authors have declared that they have no known competing financial interests OR non-financial interests OR personal relationships that could have appeared to influence the work reported in this paper.</w:t>
      </w:r>
    </w:p>
    <w:p w14:paraId="797B6309" w14:textId="0D9343D0" w:rsidR="0048298D" w:rsidRDefault="0048298D" w:rsidP="00D62CFF">
      <w:pPr>
        <w:jc w:val="both"/>
        <w:rPr>
          <w:sz w:val="20"/>
        </w:rPr>
      </w:pPr>
    </w:p>
    <w:p w14:paraId="0E1FFA49" w14:textId="77777777" w:rsidR="00745C84" w:rsidRPr="003F0D4E" w:rsidRDefault="00745C84" w:rsidP="00745C84">
      <w:pPr>
        <w:widowControl/>
        <w:autoSpaceDE/>
        <w:autoSpaceDN/>
        <w:spacing w:after="200" w:line="276" w:lineRule="auto"/>
        <w:rPr>
          <w:rFonts w:eastAsia="Calibri" w:cs="Times New Roman"/>
          <w:b/>
          <w:kern w:val="2"/>
          <w:highlight w:val="green"/>
        </w:rPr>
      </w:pPr>
      <w:bookmarkStart w:id="1" w:name="_Hlk197682619"/>
      <w:bookmarkStart w:id="2" w:name="_Hlk180402183"/>
      <w:bookmarkStart w:id="3" w:name="_Hlk183680988"/>
      <w:r w:rsidRPr="003F0D4E">
        <w:rPr>
          <w:rFonts w:eastAsia="Calibri" w:cs="Times New Roman"/>
          <w:b/>
          <w:kern w:val="2"/>
          <w:highlight w:val="green"/>
        </w:rPr>
        <w:t>Disclaimer (Artificial intelligence)</w:t>
      </w:r>
    </w:p>
    <w:p w14:paraId="659D39A2" w14:textId="129B5CE6" w:rsidR="0048298D" w:rsidRPr="003F0D4E" w:rsidRDefault="00745C84" w:rsidP="00FB4314">
      <w:pPr>
        <w:widowControl/>
        <w:autoSpaceDE/>
        <w:autoSpaceDN/>
        <w:spacing w:after="200" w:line="276" w:lineRule="auto"/>
        <w:rPr>
          <w:rFonts w:eastAsia="Calibri" w:cs="Times New Roman"/>
          <w:kern w:val="2"/>
          <w:highlight w:val="green"/>
        </w:rPr>
      </w:pPr>
      <w:r w:rsidRPr="003F0D4E">
        <w:rPr>
          <w:rFonts w:eastAsia="Calibri" w:cs="Times New Roman"/>
          <w:kern w:val="2"/>
          <w:highlight w:val="green"/>
        </w:rPr>
        <w:t>Author(s) hereby declare that NO generative AI technologies such as Large Language Models (</w:t>
      </w:r>
      <w:proofErr w:type="spellStart"/>
      <w:r w:rsidRPr="003F0D4E">
        <w:rPr>
          <w:rFonts w:eastAsia="Calibri" w:cs="Times New Roman"/>
          <w:kern w:val="2"/>
          <w:highlight w:val="green"/>
        </w:rPr>
        <w:t>ChatGPT</w:t>
      </w:r>
      <w:proofErr w:type="spellEnd"/>
      <w:r w:rsidRPr="003F0D4E">
        <w:rPr>
          <w:rFonts w:eastAsia="Calibri" w:cs="Times New Roman"/>
          <w:kern w:val="2"/>
          <w:highlight w:val="green"/>
        </w:rPr>
        <w:t xml:space="preserve">, COPILOT, etc.) and text-to-image generators have been used during the writing or editing of this manuscript. </w:t>
      </w:r>
      <w:bookmarkEnd w:id="1"/>
      <w:bookmarkEnd w:id="2"/>
      <w:bookmarkEnd w:id="3"/>
    </w:p>
    <w:p w14:paraId="7727B7DB" w14:textId="77777777" w:rsidR="00F822F2" w:rsidRDefault="00F822F2" w:rsidP="00B753C5">
      <w:pPr>
        <w:jc w:val="both"/>
        <w:rPr>
          <w:sz w:val="20"/>
        </w:rPr>
      </w:pPr>
    </w:p>
    <w:p w14:paraId="49C54F62" w14:textId="77777777" w:rsidR="00F822F2" w:rsidRPr="00F822F2" w:rsidRDefault="00F822F2" w:rsidP="00B753C5">
      <w:pPr>
        <w:jc w:val="both"/>
        <w:rPr>
          <w:b/>
          <w:sz w:val="20"/>
        </w:rPr>
      </w:pPr>
      <w:r w:rsidRPr="00F822F2">
        <w:rPr>
          <w:b/>
          <w:sz w:val="20"/>
        </w:rPr>
        <w:t>REFERENCES</w:t>
      </w:r>
    </w:p>
    <w:p w14:paraId="31834223" w14:textId="77777777" w:rsidR="00F822F2" w:rsidRDefault="00F822F2" w:rsidP="00B753C5">
      <w:pPr>
        <w:jc w:val="both"/>
        <w:rPr>
          <w:sz w:val="20"/>
        </w:rPr>
      </w:pPr>
    </w:p>
    <w:p w14:paraId="138D02E6" w14:textId="77777777" w:rsidR="00F822F2" w:rsidRDefault="00F822F2" w:rsidP="00062D03">
      <w:pPr>
        <w:pStyle w:val="ListParagraph"/>
        <w:numPr>
          <w:ilvl w:val="0"/>
          <w:numId w:val="3"/>
        </w:numPr>
        <w:ind w:left="450" w:hanging="450"/>
        <w:jc w:val="both"/>
        <w:rPr>
          <w:sz w:val="20"/>
        </w:rPr>
      </w:pPr>
      <w:r w:rsidRPr="00F822F2">
        <w:rPr>
          <w:sz w:val="20"/>
        </w:rPr>
        <w:t xml:space="preserve">Thompson, L. D. (2019). Benign Neoplasms of the Parathyroid Gland. In 3rd (Ed.), Head and Neck Pathology (pp. 703-712). Foundations in Diagnostic Pathology. </w:t>
      </w:r>
      <w:proofErr w:type="spellStart"/>
      <w:r w:rsidRPr="00F822F2">
        <w:rPr>
          <w:sz w:val="20"/>
        </w:rPr>
        <w:t>doi:https</w:t>
      </w:r>
      <w:proofErr w:type="spellEnd"/>
      <w:r w:rsidRPr="00F822F2">
        <w:rPr>
          <w:sz w:val="20"/>
        </w:rPr>
        <w:t>://doi.org/10.1016/B978-0-323-47916-5.00027-3</w:t>
      </w:r>
    </w:p>
    <w:p w14:paraId="23B4DE4A" w14:textId="77777777" w:rsidR="00F822F2" w:rsidRDefault="00F822F2" w:rsidP="00062D03">
      <w:pPr>
        <w:pStyle w:val="ListParagraph"/>
        <w:numPr>
          <w:ilvl w:val="0"/>
          <w:numId w:val="3"/>
        </w:numPr>
        <w:ind w:left="450" w:hanging="450"/>
        <w:jc w:val="both"/>
        <w:rPr>
          <w:sz w:val="20"/>
        </w:rPr>
      </w:pPr>
      <w:r w:rsidRPr="00F822F2">
        <w:rPr>
          <w:sz w:val="20"/>
        </w:rPr>
        <w:t xml:space="preserve">Hany </w:t>
      </w:r>
      <w:proofErr w:type="spellStart"/>
      <w:r w:rsidRPr="00F822F2">
        <w:rPr>
          <w:sz w:val="20"/>
        </w:rPr>
        <w:t>Abdelfatah</w:t>
      </w:r>
      <w:proofErr w:type="spellEnd"/>
      <w:r w:rsidRPr="00F822F2">
        <w:rPr>
          <w:sz w:val="20"/>
        </w:rPr>
        <w:t xml:space="preserve"> El-</w:t>
      </w:r>
      <w:proofErr w:type="spellStart"/>
      <w:r w:rsidRPr="00F822F2">
        <w:rPr>
          <w:sz w:val="20"/>
        </w:rPr>
        <w:t>hady</w:t>
      </w:r>
      <w:proofErr w:type="spellEnd"/>
      <w:r w:rsidRPr="00F822F2">
        <w:rPr>
          <w:sz w:val="20"/>
        </w:rPr>
        <w:t>, H. S. (2018). Focused parathyroidectomy for single parathyroid adenoma: a clinical account of 20 patients. Electron Physician., 10(6), 6974–6980. doi:10.19082/6974</w:t>
      </w:r>
    </w:p>
    <w:p w14:paraId="6CC08137" w14:textId="77777777" w:rsidR="00F822F2" w:rsidRDefault="00F822F2" w:rsidP="00062D03">
      <w:pPr>
        <w:pStyle w:val="ListParagraph"/>
        <w:numPr>
          <w:ilvl w:val="0"/>
          <w:numId w:val="3"/>
        </w:numPr>
        <w:ind w:left="450" w:hanging="450"/>
        <w:jc w:val="both"/>
        <w:rPr>
          <w:sz w:val="20"/>
        </w:rPr>
      </w:pPr>
      <w:r w:rsidRPr="00F822F2">
        <w:rPr>
          <w:sz w:val="20"/>
        </w:rPr>
        <w:t xml:space="preserve">Ronald </w:t>
      </w:r>
      <w:proofErr w:type="spellStart"/>
      <w:r w:rsidRPr="00F822F2">
        <w:rPr>
          <w:sz w:val="20"/>
        </w:rPr>
        <w:t>Pyrama</w:t>
      </w:r>
      <w:proofErr w:type="spellEnd"/>
      <w:r w:rsidRPr="00F822F2">
        <w:rPr>
          <w:sz w:val="20"/>
        </w:rPr>
        <w:t xml:space="preserve">, G. M. (2011). Primary hyperparathyroidism: Skeletal and non-skeletal effects, diagnosis and management. </w:t>
      </w:r>
      <w:proofErr w:type="spellStart"/>
      <w:r w:rsidRPr="00F822F2">
        <w:rPr>
          <w:sz w:val="20"/>
        </w:rPr>
        <w:t>Maturitas</w:t>
      </w:r>
      <w:proofErr w:type="spellEnd"/>
      <w:r w:rsidRPr="00F822F2">
        <w:rPr>
          <w:sz w:val="20"/>
        </w:rPr>
        <w:t>, 70(3), 246 - 255. doi:10.1016/j.maturitas.2011.07.021</w:t>
      </w:r>
    </w:p>
    <w:p w14:paraId="302A0DFF" w14:textId="77777777" w:rsidR="00F822F2" w:rsidRDefault="00F822F2" w:rsidP="00062D03">
      <w:pPr>
        <w:pStyle w:val="ListParagraph"/>
        <w:numPr>
          <w:ilvl w:val="0"/>
          <w:numId w:val="3"/>
        </w:numPr>
        <w:ind w:left="450" w:hanging="450"/>
        <w:jc w:val="both"/>
        <w:rPr>
          <w:sz w:val="20"/>
        </w:rPr>
      </w:pPr>
      <w:r w:rsidRPr="00F822F2">
        <w:rPr>
          <w:sz w:val="20"/>
        </w:rPr>
        <w:t xml:space="preserve">Kai Duan, K. G. (2015). Clinicopathological correlates of hyperparathyroidism. J Clin </w:t>
      </w:r>
      <w:proofErr w:type="spellStart"/>
      <w:r w:rsidRPr="00F822F2">
        <w:rPr>
          <w:sz w:val="20"/>
        </w:rPr>
        <w:t>Pathol</w:t>
      </w:r>
      <w:proofErr w:type="spellEnd"/>
      <w:r w:rsidRPr="00F822F2">
        <w:rPr>
          <w:sz w:val="20"/>
        </w:rPr>
        <w:t>., 68(10), 771–787. doi:10.1136/jclinpath-2015-203186</w:t>
      </w:r>
    </w:p>
    <w:p w14:paraId="5867C295" w14:textId="77777777" w:rsidR="00F822F2" w:rsidRDefault="00062D03" w:rsidP="00062D03">
      <w:pPr>
        <w:pStyle w:val="ListParagraph"/>
        <w:numPr>
          <w:ilvl w:val="0"/>
          <w:numId w:val="3"/>
        </w:numPr>
        <w:ind w:left="450" w:hanging="450"/>
        <w:jc w:val="both"/>
        <w:rPr>
          <w:sz w:val="20"/>
        </w:rPr>
      </w:pPr>
      <w:r w:rsidRPr="00062D03">
        <w:rPr>
          <w:sz w:val="20"/>
        </w:rPr>
        <w:t xml:space="preserve">Samantha A. Wolfe, S. S. (2023). Parathyroid Adenoma. In Treasure Island (FL). </w:t>
      </w:r>
      <w:proofErr w:type="spellStart"/>
      <w:r w:rsidRPr="00062D03">
        <w:rPr>
          <w:sz w:val="20"/>
        </w:rPr>
        <w:t>StatPearls</w:t>
      </w:r>
      <w:proofErr w:type="spellEnd"/>
      <w:r w:rsidRPr="00062D03">
        <w:rPr>
          <w:sz w:val="20"/>
        </w:rPr>
        <w:t xml:space="preserve"> Publishing. Retrieved from </w:t>
      </w:r>
      <w:hyperlink r:id="rId11" w:history="1">
        <w:r w:rsidRPr="00F663A2">
          <w:rPr>
            <w:rStyle w:val="Hyperlink"/>
            <w:sz w:val="20"/>
          </w:rPr>
          <w:t>https://www.ncbi.nlm.nih.gov/books/NBK507870/</w:t>
        </w:r>
      </w:hyperlink>
    </w:p>
    <w:p w14:paraId="1FA0AAE4" w14:textId="77777777" w:rsidR="00062D03" w:rsidRDefault="00062D03" w:rsidP="00062D03">
      <w:pPr>
        <w:pStyle w:val="ListParagraph"/>
        <w:numPr>
          <w:ilvl w:val="0"/>
          <w:numId w:val="3"/>
        </w:numPr>
        <w:ind w:left="450" w:hanging="450"/>
        <w:jc w:val="both"/>
        <w:rPr>
          <w:sz w:val="20"/>
        </w:rPr>
      </w:pPr>
      <w:r w:rsidRPr="00062D03">
        <w:rPr>
          <w:sz w:val="20"/>
        </w:rPr>
        <w:t>A T Casas, G. J. (1993). Prospective comparison of technetium-99m-sestamibi/iodine-123 radionuclide scan versus high-resolution ultrasonography for the preoperative localization of abnormal parathyroid glands in patients with previously unoperated primary hyperparathyroidism. Am J Surg., 166(4), 369-73. doi:10.1016/s0002-9610(05)80335-6</w:t>
      </w:r>
    </w:p>
    <w:p w14:paraId="71C8C1B8" w14:textId="77777777" w:rsidR="00062D03" w:rsidRDefault="00062D03" w:rsidP="00062D03">
      <w:pPr>
        <w:pStyle w:val="ListParagraph"/>
        <w:numPr>
          <w:ilvl w:val="0"/>
          <w:numId w:val="3"/>
        </w:numPr>
        <w:ind w:left="450" w:hanging="450"/>
        <w:jc w:val="both"/>
        <w:rPr>
          <w:sz w:val="20"/>
        </w:rPr>
      </w:pPr>
      <w:r w:rsidRPr="00062D03">
        <w:rPr>
          <w:sz w:val="20"/>
        </w:rPr>
        <w:t>Sung, J. Y. (2015). Parathyroid ultrasonography: the evolving role of the radiologist. Ultrasonography., 34(4), 268–274. doi:10.14366/usg.14071</w:t>
      </w:r>
    </w:p>
    <w:p w14:paraId="3DBCA854" w14:textId="77777777" w:rsidR="00062D03" w:rsidRDefault="00062D03" w:rsidP="00062D03">
      <w:pPr>
        <w:pStyle w:val="ListParagraph"/>
        <w:numPr>
          <w:ilvl w:val="0"/>
          <w:numId w:val="3"/>
        </w:numPr>
        <w:ind w:left="450" w:hanging="450"/>
        <w:jc w:val="both"/>
        <w:rPr>
          <w:sz w:val="20"/>
        </w:rPr>
      </w:pPr>
      <w:r w:rsidRPr="00062D03">
        <w:rPr>
          <w:sz w:val="20"/>
        </w:rPr>
        <w:t xml:space="preserve">C.N. Patel, H. S. (2010). Clinical utility of ultrasound and 99mTc </w:t>
      </w:r>
      <w:proofErr w:type="spellStart"/>
      <w:r w:rsidRPr="00062D03">
        <w:rPr>
          <w:sz w:val="20"/>
        </w:rPr>
        <w:t>sestamibi</w:t>
      </w:r>
      <w:proofErr w:type="spellEnd"/>
      <w:r w:rsidRPr="00062D03">
        <w:rPr>
          <w:sz w:val="20"/>
        </w:rPr>
        <w:t xml:space="preserve"> SPECT/CT for preoperative localization of parathyroid adenoma in patients with primary hyperparathyroidism. Clinical Radiology, 65(4), 278-287. </w:t>
      </w:r>
      <w:proofErr w:type="spellStart"/>
      <w:r w:rsidRPr="00062D03">
        <w:rPr>
          <w:sz w:val="20"/>
        </w:rPr>
        <w:t>doi:https</w:t>
      </w:r>
      <w:proofErr w:type="spellEnd"/>
      <w:r w:rsidRPr="00062D03">
        <w:rPr>
          <w:sz w:val="20"/>
        </w:rPr>
        <w:t>://doi.org/10.1016/j.crad.2009.12.005</w:t>
      </w:r>
    </w:p>
    <w:p w14:paraId="09927B5B" w14:textId="77777777" w:rsidR="00062D03" w:rsidRDefault="00062D03" w:rsidP="00062D03">
      <w:pPr>
        <w:pStyle w:val="ListParagraph"/>
        <w:numPr>
          <w:ilvl w:val="0"/>
          <w:numId w:val="3"/>
        </w:numPr>
        <w:ind w:left="450" w:hanging="450"/>
        <w:jc w:val="both"/>
        <w:rPr>
          <w:sz w:val="20"/>
        </w:rPr>
      </w:pPr>
      <w:r w:rsidRPr="00062D03">
        <w:rPr>
          <w:sz w:val="20"/>
        </w:rPr>
        <w:t xml:space="preserve">Afshin </w:t>
      </w:r>
      <w:proofErr w:type="spellStart"/>
      <w:r w:rsidRPr="00062D03">
        <w:rPr>
          <w:sz w:val="20"/>
        </w:rPr>
        <w:t>mohammadi</w:t>
      </w:r>
      <w:proofErr w:type="spellEnd"/>
      <w:r w:rsidRPr="00062D03">
        <w:rPr>
          <w:sz w:val="20"/>
        </w:rPr>
        <w:t>, F. M.-r. (2012). Preoperative localization of parathyroid lesion: diagnostic usefulness of color doppler ultrasonography. Int J Clin Exp Med., 5(1), 80–86.</w:t>
      </w:r>
    </w:p>
    <w:p w14:paraId="5393078E" w14:textId="77777777" w:rsidR="00062D03" w:rsidRDefault="00062D03" w:rsidP="00062D03">
      <w:pPr>
        <w:pStyle w:val="ListParagraph"/>
        <w:numPr>
          <w:ilvl w:val="0"/>
          <w:numId w:val="3"/>
        </w:numPr>
        <w:ind w:left="450" w:hanging="450"/>
        <w:jc w:val="both"/>
        <w:rPr>
          <w:sz w:val="20"/>
        </w:rPr>
      </w:pPr>
      <w:r w:rsidRPr="00062D03">
        <w:rPr>
          <w:sz w:val="20"/>
        </w:rPr>
        <w:t>Beata Wojtczak, J. S. (2020). Surgical implications of recent modalities for parathyroid imaging. Gland Surg., 9(Suppl 2), S86–S94. doi:10.21037/gs.2019.11.10</w:t>
      </w:r>
    </w:p>
    <w:p w14:paraId="4A95C6F3" w14:textId="77777777" w:rsidR="00062D03" w:rsidRDefault="00062D03" w:rsidP="00062D03">
      <w:pPr>
        <w:pStyle w:val="ListParagraph"/>
        <w:numPr>
          <w:ilvl w:val="0"/>
          <w:numId w:val="3"/>
        </w:numPr>
        <w:ind w:left="450" w:hanging="450"/>
        <w:jc w:val="both"/>
        <w:rPr>
          <w:sz w:val="20"/>
        </w:rPr>
      </w:pPr>
      <w:r w:rsidRPr="00062D03">
        <w:rPr>
          <w:sz w:val="20"/>
        </w:rPr>
        <w:t xml:space="preserve">Fady Makram, A. S. (2017). Accuracy of Combined Ultrasonography and Tc99m </w:t>
      </w:r>
      <w:proofErr w:type="spellStart"/>
      <w:r w:rsidRPr="00062D03">
        <w:rPr>
          <w:sz w:val="20"/>
        </w:rPr>
        <w:t>Sestamibi</w:t>
      </w:r>
      <w:proofErr w:type="spellEnd"/>
      <w:r w:rsidRPr="00062D03">
        <w:rPr>
          <w:sz w:val="20"/>
        </w:rPr>
        <w:t xml:space="preserve"> Scintigraphy in Preoperative Localization of Primary Hyperparathyroidism. Ain-Shams J Surg., 10(1), 35-41. doi:10.21608/asjs.2017.178154</w:t>
      </w:r>
    </w:p>
    <w:p w14:paraId="6EFE357C" w14:textId="77777777" w:rsidR="00062D03" w:rsidRDefault="00062D03" w:rsidP="00062D03">
      <w:pPr>
        <w:pStyle w:val="ListParagraph"/>
        <w:numPr>
          <w:ilvl w:val="0"/>
          <w:numId w:val="3"/>
        </w:numPr>
        <w:ind w:left="450" w:hanging="450"/>
        <w:jc w:val="both"/>
        <w:rPr>
          <w:sz w:val="20"/>
        </w:rPr>
      </w:pPr>
      <w:r w:rsidRPr="00062D03">
        <w:rPr>
          <w:sz w:val="20"/>
        </w:rPr>
        <w:t>M Oner, N. H. (2022). IS CONFIRMATION OF PARATHYROID TISSUE BY FROZEN SECTION SUPERIOR TO LOCALIZATION OF SOLITARY PARATHYROID ADENOMA USING INTRAOPERATIVE GAMMA PROBE SURVEY? A RETROSPECTIVE COHORT STUDY. Acta Endocrinol (Buchar)., 18(4), 452–457. doi:10.4183/aeb.2022.452</w:t>
      </w:r>
    </w:p>
    <w:p w14:paraId="2956D4C1" w14:textId="77777777" w:rsidR="00062D03" w:rsidRDefault="00062D03" w:rsidP="00062D03">
      <w:pPr>
        <w:pStyle w:val="ListParagraph"/>
        <w:numPr>
          <w:ilvl w:val="0"/>
          <w:numId w:val="3"/>
        </w:numPr>
        <w:ind w:left="450" w:hanging="450"/>
        <w:jc w:val="both"/>
        <w:rPr>
          <w:sz w:val="20"/>
        </w:rPr>
      </w:pPr>
      <w:r w:rsidRPr="00062D03">
        <w:rPr>
          <w:sz w:val="20"/>
        </w:rPr>
        <w:t>Bill Chiu, C. S. (2006). Which Intraoperative Parathyroid Hormone Assay Criterion Best Predicts Operative Success? Arch Surg., 141(5), 483-488. doi:10.1001/archsurg.141.5.483</w:t>
      </w:r>
    </w:p>
    <w:p w14:paraId="032CA996" w14:textId="77777777" w:rsidR="00062D03" w:rsidRDefault="00062D03" w:rsidP="00062D03">
      <w:pPr>
        <w:pStyle w:val="ListParagraph"/>
        <w:numPr>
          <w:ilvl w:val="0"/>
          <w:numId w:val="3"/>
        </w:numPr>
        <w:ind w:left="450" w:hanging="450"/>
        <w:jc w:val="both"/>
        <w:rPr>
          <w:sz w:val="20"/>
        </w:rPr>
      </w:pPr>
      <w:r w:rsidRPr="00062D03">
        <w:rPr>
          <w:sz w:val="20"/>
        </w:rPr>
        <w:t>Ali Emre NAYCI, S. D. (2023). The Relationship of Solitary Parathyroid Adenoma Volume with Pre- and Post-operative Parathormone and Calcium Levels. Online Turkish Journal of Health Sciences, 8(2), 228-232. doi:10.26453/otjhs.1226045</w:t>
      </w:r>
    </w:p>
    <w:p w14:paraId="63729F2E" w14:textId="77777777" w:rsidR="00062D03" w:rsidRDefault="00062D03" w:rsidP="00062D03">
      <w:pPr>
        <w:pStyle w:val="ListParagraph"/>
        <w:numPr>
          <w:ilvl w:val="0"/>
          <w:numId w:val="3"/>
        </w:numPr>
        <w:ind w:left="450" w:hanging="450"/>
        <w:jc w:val="both"/>
        <w:rPr>
          <w:sz w:val="20"/>
        </w:rPr>
      </w:pPr>
      <w:r w:rsidRPr="00062D03">
        <w:rPr>
          <w:sz w:val="20"/>
        </w:rPr>
        <w:t>Donovan Tay, J. P. (2021). Preoperative Localization for Primary Hyperparathyroidism: A Clinical Review. Biomedicines., 9(4), 390. doi:10.3390/biomedicines9040390</w:t>
      </w:r>
    </w:p>
    <w:p w14:paraId="3F5190B0" w14:textId="77777777" w:rsidR="00062D03" w:rsidRDefault="00062D03" w:rsidP="00062D03">
      <w:pPr>
        <w:pStyle w:val="ListParagraph"/>
        <w:numPr>
          <w:ilvl w:val="0"/>
          <w:numId w:val="3"/>
        </w:numPr>
        <w:ind w:left="450" w:hanging="450"/>
        <w:jc w:val="both"/>
        <w:rPr>
          <w:sz w:val="20"/>
        </w:rPr>
      </w:pPr>
      <w:r w:rsidRPr="00062D03">
        <w:rPr>
          <w:sz w:val="20"/>
        </w:rPr>
        <w:t>Kevin Cheung, T. S. (2012). A meta-analysis of preoperative localization techniques for patients with primary hyperparathyroidism. Ann Surg Oncol., 19(2), 577-83. doi:10.1245/s10434-011-1870-5</w:t>
      </w:r>
    </w:p>
    <w:p w14:paraId="37288CC6" w14:textId="77777777" w:rsidR="007F2867" w:rsidRPr="00062D03" w:rsidRDefault="00062D03" w:rsidP="00062D03">
      <w:pPr>
        <w:pStyle w:val="ListParagraph"/>
        <w:numPr>
          <w:ilvl w:val="0"/>
          <w:numId w:val="3"/>
        </w:numPr>
        <w:ind w:left="450" w:hanging="450"/>
        <w:jc w:val="both"/>
        <w:rPr>
          <w:sz w:val="20"/>
        </w:rPr>
      </w:pPr>
      <w:r w:rsidRPr="00062D03">
        <w:rPr>
          <w:sz w:val="20"/>
        </w:rPr>
        <w:t xml:space="preserve">Solorzano, C. C.-P. (2006). Surgeon-Performed Ultrasonography as the Initial and Only Localizing Study in Sporadic Primary Hyperparathyroidism. Journal of the American College of Surgeons, 202, 18-24. </w:t>
      </w:r>
      <w:proofErr w:type="spellStart"/>
      <w:r w:rsidRPr="00062D03">
        <w:rPr>
          <w:sz w:val="20"/>
        </w:rPr>
        <w:lastRenderedPageBreak/>
        <w:t>doi:https</w:t>
      </w:r>
      <w:proofErr w:type="spellEnd"/>
      <w:r w:rsidRPr="00062D03">
        <w:rPr>
          <w:sz w:val="20"/>
        </w:rPr>
        <w:t>://doi.org/10.1016/j.jamcollsurg.2005.08.014</w:t>
      </w:r>
    </w:p>
    <w:sectPr w:rsidR="007F2867" w:rsidRPr="00062D03" w:rsidSect="00F91384">
      <w:headerReference w:type="even" r:id="rId12"/>
      <w:headerReference w:type="default" r:id="rId13"/>
      <w:footerReference w:type="even" r:id="rId14"/>
      <w:footerReference w:type="default" r:id="rId15"/>
      <w:headerReference w:type="first" r:id="rId16"/>
      <w:footerReference w:type="first" r:id="rId17"/>
      <w:pgSz w:w="12240" w:h="15840"/>
      <w:pgMar w:top="1350" w:right="1170" w:bottom="1350" w:left="135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F02E7" w14:textId="77777777" w:rsidR="00BB2042" w:rsidRDefault="00BB2042" w:rsidP="00E01CB1">
      <w:r>
        <w:separator/>
      </w:r>
    </w:p>
  </w:endnote>
  <w:endnote w:type="continuationSeparator" w:id="0">
    <w:p w14:paraId="7EF6560B" w14:textId="77777777" w:rsidR="00BB2042" w:rsidRDefault="00BB2042" w:rsidP="00E0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000D9" w14:textId="77777777" w:rsidR="00E01CB1" w:rsidRDefault="00E01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2DF4" w14:textId="77777777" w:rsidR="00E01CB1" w:rsidRDefault="00E01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A8F6" w14:textId="77777777" w:rsidR="00E01CB1" w:rsidRDefault="00E01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69D94" w14:textId="77777777" w:rsidR="00BB2042" w:rsidRDefault="00BB2042" w:rsidP="00E01CB1">
      <w:r>
        <w:separator/>
      </w:r>
    </w:p>
  </w:footnote>
  <w:footnote w:type="continuationSeparator" w:id="0">
    <w:p w14:paraId="0341C72E" w14:textId="77777777" w:rsidR="00BB2042" w:rsidRDefault="00BB2042" w:rsidP="00E01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52C5" w14:textId="5AED1D76" w:rsidR="00E01CB1" w:rsidRDefault="00BB2042">
    <w:pPr>
      <w:pStyle w:val="Header"/>
    </w:pPr>
    <w:r>
      <w:rPr>
        <w:noProof/>
      </w:rPr>
      <w:pict w14:anchorId="0FF8E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7516" o:spid="_x0000_s2050"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114F" w14:textId="260CA57E" w:rsidR="00E01CB1" w:rsidRDefault="00BB2042">
    <w:pPr>
      <w:pStyle w:val="Header"/>
    </w:pPr>
    <w:r>
      <w:rPr>
        <w:noProof/>
      </w:rPr>
      <w:pict w14:anchorId="14413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7517" o:spid="_x0000_s2051"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D27DA" w14:textId="515AA727" w:rsidR="00E01CB1" w:rsidRDefault="00BB2042">
    <w:pPr>
      <w:pStyle w:val="Header"/>
    </w:pPr>
    <w:r>
      <w:rPr>
        <w:noProof/>
      </w:rPr>
      <w:pict w14:anchorId="2EB0D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7515" o:spid="_x0000_s2049"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DD7"/>
    <w:multiLevelType w:val="hybridMultilevel"/>
    <w:tmpl w:val="AE4A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137FC"/>
    <w:multiLevelType w:val="hybridMultilevel"/>
    <w:tmpl w:val="EA16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BF1D82"/>
    <w:multiLevelType w:val="hybridMultilevel"/>
    <w:tmpl w:val="57581FC8"/>
    <w:lvl w:ilvl="0" w:tplc="FCD8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639"/>
    <w:rsid w:val="00000CFA"/>
    <w:rsid w:val="00012C0C"/>
    <w:rsid w:val="00062D03"/>
    <w:rsid w:val="000C14D4"/>
    <w:rsid w:val="00133831"/>
    <w:rsid w:val="001666B7"/>
    <w:rsid w:val="0019617D"/>
    <w:rsid w:val="001A6C91"/>
    <w:rsid w:val="001D6498"/>
    <w:rsid w:val="002163C9"/>
    <w:rsid w:val="002202F5"/>
    <w:rsid w:val="00242F44"/>
    <w:rsid w:val="002534FE"/>
    <w:rsid w:val="00262EC4"/>
    <w:rsid w:val="00267567"/>
    <w:rsid w:val="002C4C03"/>
    <w:rsid w:val="002E1508"/>
    <w:rsid w:val="0030150D"/>
    <w:rsid w:val="003030FB"/>
    <w:rsid w:val="00352995"/>
    <w:rsid w:val="00386758"/>
    <w:rsid w:val="003B3F3B"/>
    <w:rsid w:val="003D4D68"/>
    <w:rsid w:val="003F0D4E"/>
    <w:rsid w:val="003F14B2"/>
    <w:rsid w:val="00402943"/>
    <w:rsid w:val="0041083D"/>
    <w:rsid w:val="00437666"/>
    <w:rsid w:val="0048298D"/>
    <w:rsid w:val="00494F19"/>
    <w:rsid w:val="004B3151"/>
    <w:rsid w:val="004C28DE"/>
    <w:rsid w:val="00547597"/>
    <w:rsid w:val="0056346E"/>
    <w:rsid w:val="00655AD1"/>
    <w:rsid w:val="006A399D"/>
    <w:rsid w:val="007200B8"/>
    <w:rsid w:val="00744908"/>
    <w:rsid w:val="00745C84"/>
    <w:rsid w:val="00747A9B"/>
    <w:rsid w:val="00773F9B"/>
    <w:rsid w:val="00782F56"/>
    <w:rsid w:val="007A7857"/>
    <w:rsid w:val="007F2867"/>
    <w:rsid w:val="0080504E"/>
    <w:rsid w:val="00815CFB"/>
    <w:rsid w:val="00831306"/>
    <w:rsid w:val="00834F55"/>
    <w:rsid w:val="00873286"/>
    <w:rsid w:val="008E36F8"/>
    <w:rsid w:val="008E58C2"/>
    <w:rsid w:val="008E7FA8"/>
    <w:rsid w:val="0090015B"/>
    <w:rsid w:val="0096005B"/>
    <w:rsid w:val="00985C9C"/>
    <w:rsid w:val="00996174"/>
    <w:rsid w:val="009C3E9B"/>
    <w:rsid w:val="009E3D34"/>
    <w:rsid w:val="00A11412"/>
    <w:rsid w:val="00AB0CEA"/>
    <w:rsid w:val="00AB5DAC"/>
    <w:rsid w:val="00AE3B2F"/>
    <w:rsid w:val="00B211D2"/>
    <w:rsid w:val="00B753C5"/>
    <w:rsid w:val="00B911B2"/>
    <w:rsid w:val="00B93909"/>
    <w:rsid w:val="00BB2042"/>
    <w:rsid w:val="00BE2346"/>
    <w:rsid w:val="00C07C96"/>
    <w:rsid w:val="00C4516B"/>
    <w:rsid w:val="00C619D2"/>
    <w:rsid w:val="00C821DD"/>
    <w:rsid w:val="00CC3639"/>
    <w:rsid w:val="00CC74A1"/>
    <w:rsid w:val="00D62CFF"/>
    <w:rsid w:val="00D918ED"/>
    <w:rsid w:val="00DD770A"/>
    <w:rsid w:val="00E01CB1"/>
    <w:rsid w:val="00E24E5F"/>
    <w:rsid w:val="00E628D5"/>
    <w:rsid w:val="00E72D3D"/>
    <w:rsid w:val="00E97B9D"/>
    <w:rsid w:val="00ED39C0"/>
    <w:rsid w:val="00F06403"/>
    <w:rsid w:val="00F26CC5"/>
    <w:rsid w:val="00F822F2"/>
    <w:rsid w:val="00F825B2"/>
    <w:rsid w:val="00F91384"/>
    <w:rsid w:val="00FA1C19"/>
    <w:rsid w:val="00FB050D"/>
    <w:rsid w:val="00FB431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322467"/>
  <w15:chartTrackingRefBased/>
  <w15:docId w15:val="{157F1C40-F4E8-427A-8396-CDD41241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306"/>
    <w:rPr>
      <w:rFonts w:ascii="Times New Roman" w:hAnsi="Times New Roman"/>
    </w:rPr>
  </w:style>
  <w:style w:type="paragraph" w:styleId="Heading1">
    <w:name w:val="heading 1"/>
    <w:basedOn w:val="Normal"/>
    <w:link w:val="Heading1Char"/>
    <w:uiPriority w:val="9"/>
    <w:qFormat/>
    <w:rsid w:val="00831306"/>
    <w:pPr>
      <w:ind w:left="20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31306"/>
    <w:rPr>
      <w:rFonts w:eastAsia="Times New Roman" w:cs="Times New Roman"/>
    </w:rPr>
  </w:style>
  <w:style w:type="character" w:customStyle="1" w:styleId="Heading1Char">
    <w:name w:val="Heading 1 Char"/>
    <w:basedOn w:val="DefaultParagraphFont"/>
    <w:link w:val="Heading1"/>
    <w:uiPriority w:val="9"/>
    <w:rsid w:val="00831306"/>
    <w:rPr>
      <w:rFonts w:ascii="Times New Roman" w:eastAsia="Times New Roman" w:hAnsi="Times New Roman" w:cs="Times New Roman"/>
      <w:b/>
      <w:bCs/>
    </w:rPr>
  </w:style>
  <w:style w:type="paragraph" w:styleId="Title">
    <w:name w:val="Title"/>
    <w:basedOn w:val="Normal"/>
    <w:link w:val="TitleChar"/>
    <w:uiPriority w:val="10"/>
    <w:qFormat/>
    <w:rsid w:val="00831306"/>
    <w:pPr>
      <w:spacing w:before="62"/>
      <w:ind w:left="1901"/>
    </w:pPr>
    <w:rPr>
      <w:rFonts w:eastAsia="Times New Roman" w:cs="Times New Roman"/>
      <w:b/>
      <w:bCs/>
      <w:sz w:val="32"/>
      <w:szCs w:val="32"/>
      <w:u w:val="single" w:color="000000"/>
    </w:rPr>
  </w:style>
  <w:style w:type="character" w:customStyle="1" w:styleId="TitleChar">
    <w:name w:val="Title Char"/>
    <w:basedOn w:val="DefaultParagraphFont"/>
    <w:link w:val="Title"/>
    <w:uiPriority w:val="10"/>
    <w:rsid w:val="00831306"/>
    <w:rPr>
      <w:rFonts w:ascii="Times New Roman" w:eastAsia="Times New Roman" w:hAnsi="Times New Roman" w:cs="Times New Roman"/>
      <w:b/>
      <w:bCs/>
      <w:sz w:val="32"/>
      <w:szCs w:val="32"/>
      <w:u w:val="single" w:color="000000"/>
    </w:rPr>
  </w:style>
  <w:style w:type="paragraph" w:styleId="BodyText">
    <w:name w:val="Body Text"/>
    <w:basedOn w:val="Normal"/>
    <w:link w:val="BodyTextChar"/>
    <w:uiPriority w:val="1"/>
    <w:qFormat/>
    <w:rsid w:val="00831306"/>
    <w:rPr>
      <w:rFonts w:eastAsia="Times New Roman" w:cs="Times New Roman"/>
    </w:rPr>
  </w:style>
  <w:style w:type="character" w:customStyle="1" w:styleId="BodyTextChar">
    <w:name w:val="Body Text Char"/>
    <w:basedOn w:val="DefaultParagraphFont"/>
    <w:link w:val="BodyText"/>
    <w:uiPriority w:val="1"/>
    <w:rsid w:val="00831306"/>
    <w:rPr>
      <w:rFonts w:ascii="Times New Roman" w:eastAsia="Times New Roman" w:hAnsi="Times New Roman" w:cs="Times New Roman"/>
    </w:rPr>
  </w:style>
  <w:style w:type="paragraph" w:styleId="NoSpacing">
    <w:name w:val="No Spacing"/>
    <w:uiPriority w:val="1"/>
    <w:qFormat/>
    <w:rsid w:val="00831306"/>
    <w:rPr>
      <w:rFonts w:ascii="Times New Roman" w:eastAsia="Times New Roman" w:hAnsi="Times New Roman" w:cs="Times New Roman"/>
    </w:rPr>
  </w:style>
  <w:style w:type="paragraph" w:styleId="ListParagraph">
    <w:name w:val="List Paragraph"/>
    <w:basedOn w:val="Normal"/>
    <w:uiPriority w:val="1"/>
    <w:qFormat/>
    <w:rsid w:val="00831306"/>
    <w:pPr>
      <w:ind w:left="921" w:hanging="361"/>
    </w:pPr>
    <w:rPr>
      <w:rFonts w:eastAsia="Times New Roman" w:cs="Times New Roman"/>
    </w:rPr>
  </w:style>
  <w:style w:type="character" w:styleId="Strong">
    <w:name w:val="Strong"/>
    <w:basedOn w:val="DefaultParagraphFont"/>
    <w:uiPriority w:val="22"/>
    <w:qFormat/>
    <w:rsid w:val="00133831"/>
    <w:rPr>
      <w:b/>
      <w:bCs/>
    </w:rPr>
  </w:style>
  <w:style w:type="paragraph" w:styleId="Bibliography">
    <w:name w:val="Bibliography"/>
    <w:basedOn w:val="Normal"/>
    <w:next w:val="Normal"/>
    <w:uiPriority w:val="37"/>
    <w:unhideWhenUsed/>
    <w:rsid w:val="00F822F2"/>
  </w:style>
  <w:style w:type="character" w:styleId="Hyperlink">
    <w:name w:val="Hyperlink"/>
    <w:basedOn w:val="DefaultParagraphFont"/>
    <w:uiPriority w:val="99"/>
    <w:unhideWhenUsed/>
    <w:rsid w:val="00062D03"/>
    <w:rPr>
      <w:color w:val="0000FF" w:themeColor="hyperlink"/>
      <w:u w:val="single"/>
    </w:rPr>
  </w:style>
  <w:style w:type="character" w:customStyle="1" w:styleId="UnresolvedMention1">
    <w:name w:val="Unresolved Mention1"/>
    <w:basedOn w:val="DefaultParagraphFont"/>
    <w:uiPriority w:val="99"/>
    <w:semiHidden/>
    <w:unhideWhenUsed/>
    <w:rsid w:val="00FA1C19"/>
    <w:rPr>
      <w:color w:val="605E5C"/>
      <w:shd w:val="clear" w:color="auto" w:fill="E1DFDD"/>
    </w:rPr>
  </w:style>
  <w:style w:type="paragraph" w:styleId="Header">
    <w:name w:val="header"/>
    <w:basedOn w:val="Normal"/>
    <w:link w:val="HeaderChar"/>
    <w:uiPriority w:val="99"/>
    <w:unhideWhenUsed/>
    <w:rsid w:val="00E01CB1"/>
    <w:pPr>
      <w:tabs>
        <w:tab w:val="center" w:pos="4680"/>
        <w:tab w:val="right" w:pos="9360"/>
      </w:tabs>
    </w:pPr>
  </w:style>
  <w:style w:type="character" w:customStyle="1" w:styleId="HeaderChar">
    <w:name w:val="Header Char"/>
    <w:basedOn w:val="DefaultParagraphFont"/>
    <w:link w:val="Header"/>
    <w:uiPriority w:val="99"/>
    <w:rsid w:val="00E01CB1"/>
    <w:rPr>
      <w:rFonts w:ascii="Times New Roman" w:hAnsi="Times New Roman"/>
    </w:rPr>
  </w:style>
  <w:style w:type="paragraph" w:styleId="Footer">
    <w:name w:val="footer"/>
    <w:basedOn w:val="Normal"/>
    <w:link w:val="FooterChar"/>
    <w:uiPriority w:val="99"/>
    <w:unhideWhenUsed/>
    <w:rsid w:val="00E01CB1"/>
    <w:pPr>
      <w:tabs>
        <w:tab w:val="center" w:pos="4680"/>
        <w:tab w:val="right" w:pos="9360"/>
      </w:tabs>
    </w:pPr>
  </w:style>
  <w:style w:type="character" w:customStyle="1" w:styleId="FooterChar">
    <w:name w:val="Footer Char"/>
    <w:basedOn w:val="DefaultParagraphFont"/>
    <w:link w:val="Footer"/>
    <w:uiPriority w:val="99"/>
    <w:rsid w:val="00E01CB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2467">
      <w:bodyDiv w:val="1"/>
      <w:marLeft w:val="0"/>
      <w:marRight w:val="0"/>
      <w:marTop w:val="0"/>
      <w:marBottom w:val="0"/>
      <w:divBdr>
        <w:top w:val="none" w:sz="0" w:space="0" w:color="auto"/>
        <w:left w:val="none" w:sz="0" w:space="0" w:color="auto"/>
        <w:bottom w:val="none" w:sz="0" w:space="0" w:color="auto"/>
        <w:right w:val="none" w:sz="0" w:space="0" w:color="auto"/>
      </w:divBdr>
    </w:div>
    <w:div w:id="44447823">
      <w:bodyDiv w:val="1"/>
      <w:marLeft w:val="0"/>
      <w:marRight w:val="0"/>
      <w:marTop w:val="0"/>
      <w:marBottom w:val="0"/>
      <w:divBdr>
        <w:top w:val="none" w:sz="0" w:space="0" w:color="auto"/>
        <w:left w:val="none" w:sz="0" w:space="0" w:color="auto"/>
        <w:bottom w:val="none" w:sz="0" w:space="0" w:color="auto"/>
        <w:right w:val="none" w:sz="0" w:space="0" w:color="auto"/>
      </w:divBdr>
    </w:div>
    <w:div w:id="72162308">
      <w:bodyDiv w:val="1"/>
      <w:marLeft w:val="0"/>
      <w:marRight w:val="0"/>
      <w:marTop w:val="0"/>
      <w:marBottom w:val="0"/>
      <w:divBdr>
        <w:top w:val="none" w:sz="0" w:space="0" w:color="auto"/>
        <w:left w:val="none" w:sz="0" w:space="0" w:color="auto"/>
        <w:bottom w:val="none" w:sz="0" w:space="0" w:color="auto"/>
        <w:right w:val="none" w:sz="0" w:space="0" w:color="auto"/>
      </w:divBdr>
    </w:div>
    <w:div w:id="87434884">
      <w:bodyDiv w:val="1"/>
      <w:marLeft w:val="0"/>
      <w:marRight w:val="0"/>
      <w:marTop w:val="0"/>
      <w:marBottom w:val="0"/>
      <w:divBdr>
        <w:top w:val="none" w:sz="0" w:space="0" w:color="auto"/>
        <w:left w:val="none" w:sz="0" w:space="0" w:color="auto"/>
        <w:bottom w:val="none" w:sz="0" w:space="0" w:color="auto"/>
        <w:right w:val="none" w:sz="0" w:space="0" w:color="auto"/>
      </w:divBdr>
    </w:div>
    <w:div w:id="153645000">
      <w:bodyDiv w:val="1"/>
      <w:marLeft w:val="0"/>
      <w:marRight w:val="0"/>
      <w:marTop w:val="0"/>
      <w:marBottom w:val="0"/>
      <w:divBdr>
        <w:top w:val="none" w:sz="0" w:space="0" w:color="auto"/>
        <w:left w:val="none" w:sz="0" w:space="0" w:color="auto"/>
        <w:bottom w:val="none" w:sz="0" w:space="0" w:color="auto"/>
        <w:right w:val="none" w:sz="0" w:space="0" w:color="auto"/>
      </w:divBdr>
    </w:div>
    <w:div w:id="155465710">
      <w:bodyDiv w:val="1"/>
      <w:marLeft w:val="0"/>
      <w:marRight w:val="0"/>
      <w:marTop w:val="0"/>
      <w:marBottom w:val="0"/>
      <w:divBdr>
        <w:top w:val="none" w:sz="0" w:space="0" w:color="auto"/>
        <w:left w:val="none" w:sz="0" w:space="0" w:color="auto"/>
        <w:bottom w:val="none" w:sz="0" w:space="0" w:color="auto"/>
        <w:right w:val="none" w:sz="0" w:space="0" w:color="auto"/>
      </w:divBdr>
    </w:div>
    <w:div w:id="25494784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399208295">
      <w:bodyDiv w:val="1"/>
      <w:marLeft w:val="0"/>
      <w:marRight w:val="0"/>
      <w:marTop w:val="0"/>
      <w:marBottom w:val="0"/>
      <w:divBdr>
        <w:top w:val="none" w:sz="0" w:space="0" w:color="auto"/>
        <w:left w:val="none" w:sz="0" w:space="0" w:color="auto"/>
        <w:bottom w:val="none" w:sz="0" w:space="0" w:color="auto"/>
        <w:right w:val="none" w:sz="0" w:space="0" w:color="auto"/>
      </w:divBdr>
    </w:div>
    <w:div w:id="418865766">
      <w:bodyDiv w:val="1"/>
      <w:marLeft w:val="0"/>
      <w:marRight w:val="0"/>
      <w:marTop w:val="0"/>
      <w:marBottom w:val="0"/>
      <w:divBdr>
        <w:top w:val="none" w:sz="0" w:space="0" w:color="auto"/>
        <w:left w:val="none" w:sz="0" w:space="0" w:color="auto"/>
        <w:bottom w:val="none" w:sz="0" w:space="0" w:color="auto"/>
        <w:right w:val="none" w:sz="0" w:space="0" w:color="auto"/>
      </w:divBdr>
    </w:div>
    <w:div w:id="444227961">
      <w:bodyDiv w:val="1"/>
      <w:marLeft w:val="0"/>
      <w:marRight w:val="0"/>
      <w:marTop w:val="0"/>
      <w:marBottom w:val="0"/>
      <w:divBdr>
        <w:top w:val="none" w:sz="0" w:space="0" w:color="auto"/>
        <w:left w:val="none" w:sz="0" w:space="0" w:color="auto"/>
        <w:bottom w:val="none" w:sz="0" w:space="0" w:color="auto"/>
        <w:right w:val="none" w:sz="0" w:space="0" w:color="auto"/>
      </w:divBdr>
    </w:div>
    <w:div w:id="506676157">
      <w:bodyDiv w:val="1"/>
      <w:marLeft w:val="0"/>
      <w:marRight w:val="0"/>
      <w:marTop w:val="0"/>
      <w:marBottom w:val="0"/>
      <w:divBdr>
        <w:top w:val="none" w:sz="0" w:space="0" w:color="auto"/>
        <w:left w:val="none" w:sz="0" w:space="0" w:color="auto"/>
        <w:bottom w:val="none" w:sz="0" w:space="0" w:color="auto"/>
        <w:right w:val="none" w:sz="0" w:space="0" w:color="auto"/>
      </w:divBdr>
    </w:div>
    <w:div w:id="511989464">
      <w:bodyDiv w:val="1"/>
      <w:marLeft w:val="0"/>
      <w:marRight w:val="0"/>
      <w:marTop w:val="0"/>
      <w:marBottom w:val="0"/>
      <w:divBdr>
        <w:top w:val="none" w:sz="0" w:space="0" w:color="auto"/>
        <w:left w:val="none" w:sz="0" w:space="0" w:color="auto"/>
        <w:bottom w:val="none" w:sz="0" w:space="0" w:color="auto"/>
        <w:right w:val="none" w:sz="0" w:space="0" w:color="auto"/>
      </w:divBdr>
    </w:div>
    <w:div w:id="531043352">
      <w:bodyDiv w:val="1"/>
      <w:marLeft w:val="0"/>
      <w:marRight w:val="0"/>
      <w:marTop w:val="0"/>
      <w:marBottom w:val="0"/>
      <w:divBdr>
        <w:top w:val="none" w:sz="0" w:space="0" w:color="auto"/>
        <w:left w:val="none" w:sz="0" w:space="0" w:color="auto"/>
        <w:bottom w:val="none" w:sz="0" w:space="0" w:color="auto"/>
        <w:right w:val="none" w:sz="0" w:space="0" w:color="auto"/>
      </w:divBdr>
    </w:div>
    <w:div w:id="692270212">
      <w:bodyDiv w:val="1"/>
      <w:marLeft w:val="0"/>
      <w:marRight w:val="0"/>
      <w:marTop w:val="0"/>
      <w:marBottom w:val="0"/>
      <w:divBdr>
        <w:top w:val="none" w:sz="0" w:space="0" w:color="auto"/>
        <w:left w:val="none" w:sz="0" w:space="0" w:color="auto"/>
        <w:bottom w:val="none" w:sz="0" w:space="0" w:color="auto"/>
        <w:right w:val="none" w:sz="0" w:space="0" w:color="auto"/>
      </w:divBdr>
    </w:div>
    <w:div w:id="765812677">
      <w:bodyDiv w:val="1"/>
      <w:marLeft w:val="0"/>
      <w:marRight w:val="0"/>
      <w:marTop w:val="0"/>
      <w:marBottom w:val="0"/>
      <w:divBdr>
        <w:top w:val="none" w:sz="0" w:space="0" w:color="auto"/>
        <w:left w:val="none" w:sz="0" w:space="0" w:color="auto"/>
        <w:bottom w:val="none" w:sz="0" w:space="0" w:color="auto"/>
        <w:right w:val="none" w:sz="0" w:space="0" w:color="auto"/>
      </w:divBdr>
    </w:div>
    <w:div w:id="795025366">
      <w:bodyDiv w:val="1"/>
      <w:marLeft w:val="0"/>
      <w:marRight w:val="0"/>
      <w:marTop w:val="0"/>
      <w:marBottom w:val="0"/>
      <w:divBdr>
        <w:top w:val="none" w:sz="0" w:space="0" w:color="auto"/>
        <w:left w:val="none" w:sz="0" w:space="0" w:color="auto"/>
        <w:bottom w:val="none" w:sz="0" w:space="0" w:color="auto"/>
        <w:right w:val="none" w:sz="0" w:space="0" w:color="auto"/>
      </w:divBdr>
    </w:div>
    <w:div w:id="820925173">
      <w:bodyDiv w:val="1"/>
      <w:marLeft w:val="0"/>
      <w:marRight w:val="0"/>
      <w:marTop w:val="0"/>
      <w:marBottom w:val="0"/>
      <w:divBdr>
        <w:top w:val="none" w:sz="0" w:space="0" w:color="auto"/>
        <w:left w:val="none" w:sz="0" w:space="0" w:color="auto"/>
        <w:bottom w:val="none" w:sz="0" w:space="0" w:color="auto"/>
        <w:right w:val="none" w:sz="0" w:space="0" w:color="auto"/>
      </w:divBdr>
    </w:div>
    <w:div w:id="857164294">
      <w:bodyDiv w:val="1"/>
      <w:marLeft w:val="0"/>
      <w:marRight w:val="0"/>
      <w:marTop w:val="0"/>
      <w:marBottom w:val="0"/>
      <w:divBdr>
        <w:top w:val="none" w:sz="0" w:space="0" w:color="auto"/>
        <w:left w:val="none" w:sz="0" w:space="0" w:color="auto"/>
        <w:bottom w:val="none" w:sz="0" w:space="0" w:color="auto"/>
        <w:right w:val="none" w:sz="0" w:space="0" w:color="auto"/>
      </w:divBdr>
    </w:div>
    <w:div w:id="863401034">
      <w:bodyDiv w:val="1"/>
      <w:marLeft w:val="0"/>
      <w:marRight w:val="0"/>
      <w:marTop w:val="0"/>
      <w:marBottom w:val="0"/>
      <w:divBdr>
        <w:top w:val="none" w:sz="0" w:space="0" w:color="auto"/>
        <w:left w:val="none" w:sz="0" w:space="0" w:color="auto"/>
        <w:bottom w:val="none" w:sz="0" w:space="0" w:color="auto"/>
        <w:right w:val="none" w:sz="0" w:space="0" w:color="auto"/>
      </w:divBdr>
    </w:div>
    <w:div w:id="916675473">
      <w:bodyDiv w:val="1"/>
      <w:marLeft w:val="0"/>
      <w:marRight w:val="0"/>
      <w:marTop w:val="0"/>
      <w:marBottom w:val="0"/>
      <w:divBdr>
        <w:top w:val="none" w:sz="0" w:space="0" w:color="auto"/>
        <w:left w:val="none" w:sz="0" w:space="0" w:color="auto"/>
        <w:bottom w:val="none" w:sz="0" w:space="0" w:color="auto"/>
        <w:right w:val="none" w:sz="0" w:space="0" w:color="auto"/>
      </w:divBdr>
    </w:div>
    <w:div w:id="919026187">
      <w:bodyDiv w:val="1"/>
      <w:marLeft w:val="0"/>
      <w:marRight w:val="0"/>
      <w:marTop w:val="0"/>
      <w:marBottom w:val="0"/>
      <w:divBdr>
        <w:top w:val="none" w:sz="0" w:space="0" w:color="auto"/>
        <w:left w:val="none" w:sz="0" w:space="0" w:color="auto"/>
        <w:bottom w:val="none" w:sz="0" w:space="0" w:color="auto"/>
        <w:right w:val="none" w:sz="0" w:space="0" w:color="auto"/>
      </w:divBdr>
    </w:div>
    <w:div w:id="993098123">
      <w:bodyDiv w:val="1"/>
      <w:marLeft w:val="0"/>
      <w:marRight w:val="0"/>
      <w:marTop w:val="0"/>
      <w:marBottom w:val="0"/>
      <w:divBdr>
        <w:top w:val="none" w:sz="0" w:space="0" w:color="auto"/>
        <w:left w:val="none" w:sz="0" w:space="0" w:color="auto"/>
        <w:bottom w:val="none" w:sz="0" w:space="0" w:color="auto"/>
        <w:right w:val="none" w:sz="0" w:space="0" w:color="auto"/>
      </w:divBdr>
    </w:div>
    <w:div w:id="1191408270">
      <w:bodyDiv w:val="1"/>
      <w:marLeft w:val="0"/>
      <w:marRight w:val="0"/>
      <w:marTop w:val="0"/>
      <w:marBottom w:val="0"/>
      <w:divBdr>
        <w:top w:val="none" w:sz="0" w:space="0" w:color="auto"/>
        <w:left w:val="none" w:sz="0" w:space="0" w:color="auto"/>
        <w:bottom w:val="none" w:sz="0" w:space="0" w:color="auto"/>
        <w:right w:val="none" w:sz="0" w:space="0" w:color="auto"/>
      </w:divBdr>
    </w:div>
    <w:div w:id="1192647975">
      <w:bodyDiv w:val="1"/>
      <w:marLeft w:val="0"/>
      <w:marRight w:val="0"/>
      <w:marTop w:val="0"/>
      <w:marBottom w:val="0"/>
      <w:divBdr>
        <w:top w:val="none" w:sz="0" w:space="0" w:color="auto"/>
        <w:left w:val="none" w:sz="0" w:space="0" w:color="auto"/>
        <w:bottom w:val="none" w:sz="0" w:space="0" w:color="auto"/>
        <w:right w:val="none" w:sz="0" w:space="0" w:color="auto"/>
      </w:divBdr>
    </w:div>
    <w:div w:id="1270697738">
      <w:bodyDiv w:val="1"/>
      <w:marLeft w:val="0"/>
      <w:marRight w:val="0"/>
      <w:marTop w:val="0"/>
      <w:marBottom w:val="0"/>
      <w:divBdr>
        <w:top w:val="none" w:sz="0" w:space="0" w:color="auto"/>
        <w:left w:val="none" w:sz="0" w:space="0" w:color="auto"/>
        <w:bottom w:val="none" w:sz="0" w:space="0" w:color="auto"/>
        <w:right w:val="none" w:sz="0" w:space="0" w:color="auto"/>
      </w:divBdr>
    </w:div>
    <w:div w:id="1310407005">
      <w:bodyDiv w:val="1"/>
      <w:marLeft w:val="0"/>
      <w:marRight w:val="0"/>
      <w:marTop w:val="0"/>
      <w:marBottom w:val="0"/>
      <w:divBdr>
        <w:top w:val="none" w:sz="0" w:space="0" w:color="auto"/>
        <w:left w:val="none" w:sz="0" w:space="0" w:color="auto"/>
        <w:bottom w:val="none" w:sz="0" w:space="0" w:color="auto"/>
        <w:right w:val="none" w:sz="0" w:space="0" w:color="auto"/>
      </w:divBdr>
    </w:div>
    <w:div w:id="1373261262">
      <w:bodyDiv w:val="1"/>
      <w:marLeft w:val="0"/>
      <w:marRight w:val="0"/>
      <w:marTop w:val="0"/>
      <w:marBottom w:val="0"/>
      <w:divBdr>
        <w:top w:val="none" w:sz="0" w:space="0" w:color="auto"/>
        <w:left w:val="none" w:sz="0" w:space="0" w:color="auto"/>
        <w:bottom w:val="none" w:sz="0" w:space="0" w:color="auto"/>
        <w:right w:val="none" w:sz="0" w:space="0" w:color="auto"/>
      </w:divBdr>
    </w:div>
    <w:div w:id="1417287303">
      <w:bodyDiv w:val="1"/>
      <w:marLeft w:val="0"/>
      <w:marRight w:val="0"/>
      <w:marTop w:val="0"/>
      <w:marBottom w:val="0"/>
      <w:divBdr>
        <w:top w:val="none" w:sz="0" w:space="0" w:color="auto"/>
        <w:left w:val="none" w:sz="0" w:space="0" w:color="auto"/>
        <w:bottom w:val="none" w:sz="0" w:space="0" w:color="auto"/>
        <w:right w:val="none" w:sz="0" w:space="0" w:color="auto"/>
      </w:divBdr>
    </w:div>
    <w:div w:id="1428426246">
      <w:bodyDiv w:val="1"/>
      <w:marLeft w:val="0"/>
      <w:marRight w:val="0"/>
      <w:marTop w:val="0"/>
      <w:marBottom w:val="0"/>
      <w:divBdr>
        <w:top w:val="none" w:sz="0" w:space="0" w:color="auto"/>
        <w:left w:val="none" w:sz="0" w:space="0" w:color="auto"/>
        <w:bottom w:val="none" w:sz="0" w:space="0" w:color="auto"/>
        <w:right w:val="none" w:sz="0" w:space="0" w:color="auto"/>
      </w:divBdr>
    </w:div>
    <w:div w:id="1535537707">
      <w:bodyDiv w:val="1"/>
      <w:marLeft w:val="0"/>
      <w:marRight w:val="0"/>
      <w:marTop w:val="0"/>
      <w:marBottom w:val="0"/>
      <w:divBdr>
        <w:top w:val="none" w:sz="0" w:space="0" w:color="auto"/>
        <w:left w:val="none" w:sz="0" w:space="0" w:color="auto"/>
        <w:bottom w:val="none" w:sz="0" w:space="0" w:color="auto"/>
        <w:right w:val="none" w:sz="0" w:space="0" w:color="auto"/>
      </w:divBdr>
    </w:div>
    <w:div w:id="1609696367">
      <w:bodyDiv w:val="1"/>
      <w:marLeft w:val="0"/>
      <w:marRight w:val="0"/>
      <w:marTop w:val="0"/>
      <w:marBottom w:val="0"/>
      <w:divBdr>
        <w:top w:val="none" w:sz="0" w:space="0" w:color="auto"/>
        <w:left w:val="none" w:sz="0" w:space="0" w:color="auto"/>
        <w:bottom w:val="none" w:sz="0" w:space="0" w:color="auto"/>
        <w:right w:val="none" w:sz="0" w:space="0" w:color="auto"/>
      </w:divBdr>
    </w:div>
    <w:div w:id="1612778188">
      <w:bodyDiv w:val="1"/>
      <w:marLeft w:val="0"/>
      <w:marRight w:val="0"/>
      <w:marTop w:val="0"/>
      <w:marBottom w:val="0"/>
      <w:divBdr>
        <w:top w:val="none" w:sz="0" w:space="0" w:color="auto"/>
        <w:left w:val="none" w:sz="0" w:space="0" w:color="auto"/>
        <w:bottom w:val="none" w:sz="0" w:space="0" w:color="auto"/>
        <w:right w:val="none" w:sz="0" w:space="0" w:color="auto"/>
      </w:divBdr>
    </w:div>
    <w:div w:id="1644188726">
      <w:bodyDiv w:val="1"/>
      <w:marLeft w:val="0"/>
      <w:marRight w:val="0"/>
      <w:marTop w:val="0"/>
      <w:marBottom w:val="0"/>
      <w:divBdr>
        <w:top w:val="none" w:sz="0" w:space="0" w:color="auto"/>
        <w:left w:val="none" w:sz="0" w:space="0" w:color="auto"/>
        <w:bottom w:val="none" w:sz="0" w:space="0" w:color="auto"/>
        <w:right w:val="none" w:sz="0" w:space="0" w:color="auto"/>
      </w:divBdr>
    </w:div>
    <w:div w:id="1696496198">
      <w:bodyDiv w:val="1"/>
      <w:marLeft w:val="0"/>
      <w:marRight w:val="0"/>
      <w:marTop w:val="0"/>
      <w:marBottom w:val="0"/>
      <w:divBdr>
        <w:top w:val="none" w:sz="0" w:space="0" w:color="auto"/>
        <w:left w:val="none" w:sz="0" w:space="0" w:color="auto"/>
        <w:bottom w:val="none" w:sz="0" w:space="0" w:color="auto"/>
        <w:right w:val="none" w:sz="0" w:space="0" w:color="auto"/>
      </w:divBdr>
    </w:div>
    <w:div w:id="1711687767">
      <w:bodyDiv w:val="1"/>
      <w:marLeft w:val="0"/>
      <w:marRight w:val="0"/>
      <w:marTop w:val="0"/>
      <w:marBottom w:val="0"/>
      <w:divBdr>
        <w:top w:val="none" w:sz="0" w:space="0" w:color="auto"/>
        <w:left w:val="none" w:sz="0" w:space="0" w:color="auto"/>
        <w:bottom w:val="none" w:sz="0" w:space="0" w:color="auto"/>
        <w:right w:val="none" w:sz="0" w:space="0" w:color="auto"/>
      </w:divBdr>
    </w:div>
    <w:div w:id="1744521087">
      <w:bodyDiv w:val="1"/>
      <w:marLeft w:val="0"/>
      <w:marRight w:val="0"/>
      <w:marTop w:val="0"/>
      <w:marBottom w:val="0"/>
      <w:divBdr>
        <w:top w:val="none" w:sz="0" w:space="0" w:color="auto"/>
        <w:left w:val="none" w:sz="0" w:space="0" w:color="auto"/>
        <w:bottom w:val="none" w:sz="0" w:space="0" w:color="auto"/>
        <w:right w:val="none" w:sz="0" w:space="0" w:color="auto"/>
      </w:divBdr>
    </w:div>
    <w:div w:id="1762532827">
      <w:bodyDiv w:val="1"/>
      <w:marLeft w:val="0"/>
      <w:marRight w:val="0"/>
      <w:marTop w:val="0"/>
      <w:marBottom w:val="0"/>
      <w:divBdr>
        <w:top w:val="none" w:sz="0" w:space="0" w:color="auto"/>
        <w:left w:val="none" w:sz="0" w:space="0" w:color="auto"/>
        <w:bottom w:val="none" w:sz="0" w:space="0" w:color="auto"/>
        <w:right w:val="none" w:sz="0" w:space="0" w:color="auto"/>
      </w:divBdr>
    </w:div>
    <w:div w:id="1831289621">
      <w:bodyDiv w:val="1"/>
      <w:marLeft w:val="0"/>
      <w:marRight w:val="0"/>
      <w:marTop w:val="0"/>
      <w:marBottom w:val="0"/>
      <w:divBdr>
        <w:top w:val="none" w:sz="0" w:space="0" w:color="auto"/>
        <w:left w:val="none" w:sz="0" w:space="0" w:color="auto"/>
        <w:bottom w:val="none" w:sz="0" w:space="0" w:color="auto"/>
        <w:right w:val="none" w:sz="0" w:space="0" w:color="auto"/>
      </w:divBdr>
    </w:div>
    <w:div w:id="1964536280">
      <w:bodyDiv w:val="1"/>
      <w:marLeft w:val="0"/>
      <w:marRight w:val="0"/>
      <w:marTop w:val="0"/>
      <w:marBottom w:val="0"/>
      <w:divBdr>
        <w:top w:val="none" w:sz="0" w:space="0" w:color="auto"/>
        <w:left w:val="none" w:sz="0" w:space="0" w:color="auto"/>
        <w:bottom w:val="none" w:sz="0" w:space="0" w:color="auto"/>
        <w:right w:val="none" w:sz="0" w:space="0" w:color="auto"/>
      </w:divBdr>
    </w:div>
    <w:div w:id="1991862709">
      <w:bodyDiv w:val="1"/>
      <w:marLeft w:val="0"/>
      <w:marRight w:val="0"/>
      <w:marTop w:val="0"/>
      <w:marBottom w:val="0"/>
      <w:divBdr>
        <w:top w:val="none" w:sz="0" w:space="0" w:color="auto"/>
        <w:left w:val="none" w:sz="0" w:space="0" w:color="auto"/>
        <w:bottom w:val="none" w:sz="0" w:space="0" w:color="auto"/>
        <w:right w:val="none" w:sz="0" w:space="0" w:color="auto"/>
      </w:divBdr>
    </w:div>
    <w:div w:id="2018313826">
      <w:bodyDiv w:val="1"/>
      <w:marLeft w:val="0"/>
      <w:marRight w:val="0"/>
      <w:marTop w:val="0"/>
      <w:marBottom w:val="0"/>
      <w:divBdr>
        <w:top w:val="none" w:sz="0" w:space="0" w:color="auto"/>
        <w:left w:val="none" w:sz="0" w:space="0" w:color="auto"/>
        <w:bottom w:val="none" w:sz="0" w:space="0" w:color="auto"/>
        <w:right w:val="none" w:sz="0" w:space="0" w:color="auto"/>
      </w:divBdr>
    </w:div>
    <w:div w:id="2110348290">
      <w:bodyDiv w:val="1"/>
      <w:marLeft w:val="0"/>
      <w:marRight w:val="0"/>
      <w:marTop w:val="0"/>
      <w:marBottom w:val="0"/>
      <w:divBdr>
        <w:top w:val="none" w:sz="0" w:space="0" w:color="auto"/>
        <w:left w:val="none" w:sz="0" w:space="0" w:color="auto"/>
        <w:bottom w:val="none" w:sz="0" w:space="0" w:color="auto"/>
        <w:right w:val="none" w:sz="0" w:space="0" w:color="auto"/>
      </w:divBdr>
    </w:div>
    <w:div w:id="2111319534">
      <w:bodyDiv w:val="1"/>
      <w:marLeft w:val="0"/>
      <w:marRight w:val="0"/>
      <w:marTop w:val="0"/>
      <w:marBottom w:val="0"/>
      <w:divBdr>
        <w:top w:val="none" w:sz="0" w:space="0" w:color="auto"/>
        <w:left w:val="none" w:sz="0" w:space="0" w:color="auto"/>
        <w:bottom w:val="none" w:sz="0" w:space="0" w:color="auto"/>
        <w:right w:val="none" w:sz="0" w:space="0" w:color="auto"/>
      </w:divBdr>
    </w:div>
    <w:div w:id="2123451384">
      <w:bodyDiv w:val="1"/>
      <w:marLeft w:val="0"/>
      <w:marRight w:val="0"/>
      <w:marTop w:val="0"/>
      <w:marBottom w:val="0"/>
      <w:divBdr>
        <w:top w:val="none" w:sz="0" w:space="0" w:color="auto"/>
        <w:left w:val="none" w:sz="0" w:space="0" w:color="auto"/>
        <w:bottom w:val="none" w:sz="0" w:space="0" w:color="auto"/>
        <w:right w:val="none" w:sz="0" w:space="0" w:color="auto"/>
      </w:divBdr>
    </w:div>
    <w:div w:id="2140025747">
      <w:bodyDiv w:val="1"/>
      <w:marLeft w:val="0"/>
      <w:marRight w:val="0"/>
      <w:marTop w:val="0"/>
      <w:marBottom w:val="0"/>
      <w:divBdr>
        <w:top w:val="none" w:sz="0" w:space="0" w:color="auto"/>
        <w:left w:val="none" w:sz="0" w:space="0" w:color="auto"/>
        <w:bottom w:val="none" w:sz="0" w:space="0" w:color="auto"/>
        <w:right w:val="none" w:sz="0" w:space="0" w:color="auto"/>
      </w:divBdr>
    </w:div>
    <w:div w:id="2140415737">
      <w:bodyDiv w:val="1"/>
      <w:marLeft w:val="0"/>
      <w:marRight w:val="0"/>
      <w:marTop w:val="0"/>
      <w:marBottom w:val="0"/>
      <w:divBdr>
        <w:top w:val="none" w:sz="0" w:space="0" w:color="auto"/>
        <w:left w:val="none" w:sz="0" w:space="0" w:color="auto"/>
        <w:bottom w:val="none" w:sz="0" w:space="0" w:color="auto"/>
        <w:right w:val="none" w:sz="0" w:space="0" w:color="auto"/>
      </w:divBdr>
    </w:div>
    <w:div w:id="214580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5078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sz="1000" b="0" i="0" baseline="0">
                <a:solidFill>
                  <a:schemeClr val="tx1"/>
                </a:solidFill>
                <a:effectLst/>
                <a:latin typeface="Times New Roman" panose="02020603050405020304" pitchFamily="18" charset="0"/>
                <a:cs typeface="Times New Roman" panose="02020603050405020304" pitchFamily="18" charset="0"/>
              </a:rPr>
              <a:t>Sex </a:t>
            </a:r>
            <a:r>
              <a:rPr lang="en-US" sz="1000" b="0" i="0" u="none" strike="noStrike" normalizeH="0" baseline="0">
                <a:solidFill>
                  <a:schemeClr val="tx1"/>
                </a:solidFill>
                <a:effectLst/>
                <a:latin typeface="Times New Roman" panose="02020603050405020304" pitchFamily="18" charset="0"/>
                <a:cs typeface="Times New Roman" panose="02020603050405020304" pitchFamily="18" charset="0"/>
              </a:rPr>
              <a:t>distribution of  the participants</a:t>
            </a:r>
            <a:r>
              <a:rPr lang="en-US" sz="1000" b="0" i="0" baseline="0">
                <a:solidFill>
                  <a:schemeClr val="tx1"/>
                </a:solidFill>
                <a:effectLst/>
                <a:latin typeface="Times New Roman" panose="02020603050405020304" pitchFamily="18" charset="0"/>
                <a:cs typeface="Times New Roman" panose="02020603050405020304" pitchFamily="18" charset="0"/>
              </a:rPr>
              <a:t> </a:t>
            </a:r>
            <a:endParaRPr lang="en-US" sz="1000" b="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97415707651928E-2"/>
          <c:y val="0.16656301090658923"/>
          <c:w val="0.75059082278213629"/>
          <c:h val="0.76504010190709892"/>
        </c:manualLayout>
      </c:layout>
      <c:pie3DChart>
        <c:varyColors val="1"/>
        <c:ser>
          <c:idx val="0"/>
          <c:order val="0"/>
          <c:tx>
            <c:strRef>
              <c:f>Sheet1!$B$1</c:f>
              <c:strCache>
                <c:ptCount val="1"/>
                <c:pt idx="0">
                  <c:v>Column1</c:v>
                </c:pt>
              </c:strCache>
            </c:strRef>
          </c:tx>
          <c:spPr>
            <a:ln>
              <a:solidFill>
                <a:schemeClr val="accent1"/>
              </a:solidFill>
            </a:ln>
          </c:spPr>
          <c:dPt>
            <c:idx val="0"/>
            <c:bubble3D val="0"/>
            <c:spPr>
              <a:solidFill>
                <a:srgbClr val="002060"/>
              </a:solidFill>
              <a:ln w="50800">
                <a:solidFill>
                  <a:srgbClr val="002060"/>
                </a:solidFill>
              </a:ln>
              <a:effectLst/>
              <a:sp3d contourW="50800">
                <a:contourClr>
                  <a:srgbClr val="002060"/>
                </a:contourClr>
              </a:sp3d>
            </c:spPr>
            <c:extLst>
              <c:ext xmlns:c16="http://schemas.microsoft.com/office/drawing/2014/chart" uri="{C3380CC4-5D6E-409C-BE32-E72D297353CC}">
                <c16:uniqueId val="{00000001-C732-4C1C-BCEB-5E4A283E58E5}"/>
              </c:ext>
            </c:extLst>
          </c:dPt>
          <c:dPt>
            <c:idx val="1"/>
            <c:bubble3D val="0"/>
            <c:spPr>
              <a:solidFill>
                <a:srgbClr val="FFFF00"/>
              </a:solidFill>
              <a:ln w="50800">
                <a:solidFill>
                  <a:srgbClr val="FFFF00"/>
                </a:solidFill>
              </a:ln>
              <a:effectLst/>
              <a:sp3d contourW="50800">
                <a:contourClr>
                  <a:schemeClr val="accent4"/>
                </a:contourClr>
              </a:sp3d>
            </c:spPr>
            <c:extLst>
              <c:ext xmlns:c16="http://schemas.microsoft.com/office/drawing/2014/chart" uri="{C3380CC4-5D6E-409C-BE32-E72D297353CC}">
                <c16:uniqueId val="{00000003-C732-4C1C-BCEB-5E4A283E58E5}"/>
              </c:ext>
            </c:extLst>
          </c:dPt>
          <c:dLbls>
            <c:dLbl>
              <c:idx val="0"/>
              <c:layout>
                <c:manualLayout>
                  <c:x val="-0.23631496062992127"/>
                  <c:y val="-0.22239695872813789"/>
                </c:manualLayout>
              </c:layout>
              <c:tx>
                <c:rich>
                  <a:bodyPr/>
                  <a:lstStyle/>
                  <a:p>
                    <a:r>
                      <a:rPr lang="en-US"/>
                      <a:t>71.4%</a:t>
                    </a:r>
                  </a:p>
                </c:rich>
              </c:tx>
              <c:showLegendKey val="0"/>
              <c:showVal val="1"/>
              <c:showCatName val="0"/>
              <c:showSerName val="0"/>
              <c:showPercent val="0"/>
              <c:showBubbleSize val="0"/>
              <c:extLst>
                <c:ext xmlns:c15="http://schemas.microsoft.com/office/drawing/2012/chart" uri="{CE6537A1-D6FC-4f65-9D91-7224C49458BB}">
                  <c15:layout>
                    <c:manualLayout>
                      <c:w val="9.7435897435897437E-2"/>
                      <c:h val="8.1345719307054976E-2"/>
                    </c:manualLayout>
                  </c15:layout>
                </c:ext>
                <c:ext xmlns:c16="http://schemas.microsoft.com/office/drawing/2014/chart" uri="{C3380CC4-5D6E-409C-BE32-E72D297353CC}">
                  <c16:uniqueId val="{00000001-C732-4C1C-BCEB-5E4A283E58E5}"/>
                </c:ext>
              </c:extLst>
            </c:dLbl>
            <c:dLbl>
              <c:idx val="1"/>
              <c:layout>
                <c:manualLayout>
                  <c:x val="0.16538461538461538"/>
                  <c:y val="7.851380176774915E-2"/>
                </c:manualLayout>
              </c:layout>
              <c:tx>
                <c:rich>
                  <a:bodyPr/>
                  <a:lstStyle/>
                  <a:p>
                    <a:r>
                      <a:rPr lang="en-US"/>
                      <a:t>28.6%</a:t>
                    </a:r>
                  </a:p>
                </c:rich>
              </c:tx>
              <c:showLegendKey val="0"/>
              <c:showVal val="1"/>
              <c:showCatName val="0"/>
              <c:showSerName val="0"/>
              <c:showPercent val="0"/>
              <c:showBubbleSize val="0"/>
              <c:extLst>
                <c:ext xmlns:c15="http://schemas.microsoft.com/office/drawing/2012/chart" uri="{CE6537A1-D6FC-4f65-9D91-7224C49458BB}">
                  <c15:layout>
                    <c:manualLayout>
                      <c:w val="0.11602564102564103"/>
                      <c:h val="8.0341451167461705E-2"/>
                    </c:manualLayout>
                  </c15:layout>
                </c:ext>
                <c:ext xmlns:c16="http://schemas.microsoft.com/office/drawing/2014/chart" uri="{C3380CC4-5D6E-409C-BE32-E72D297353CC}">
                  <c16:uniqueId val="{00000003-C732-4C1C-BCEB-5E4A283E58E5}"/>
                </c:ext>
              </c:extLst>
            </c:dLbl>
            <c:spPr>
              <a:effectLst>
                <a:softEdge rad="25400"/>
              </a:effectLst>
            </c:spPr>
            <c:txPr>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ect">
                    <a:avLst/>
                  </a:prstGeom>
                </c15:spPr>
              </c:ext>
            </c:extLst>
          </c:dLbls>
          <c:cat>
            <c:strRef>
              <c:f>Sheet1!$A$2:$A$3</c:f>
              <c:strCache>
                <c:ptCount val="2"/>
                <c:pt idx="0">
                  <c:v>Male</c:v>
                </c:pt>
                <c:pt idx="1">
                  <c:v>Female</c:v>
                </c:pt>
              </c:strCache>
            </c:strRef>
          </c:cat>
          <c:val>
            <c:numRef>
              <c:f>Sheet1!$B$2:$B$3</c:f>
              <c:numCache>
                <c:formatCode>_(* #,##0.0_);_(* \(#,##0.0\);_(* "-"?_);_(@_)</c:formatCode>
                <c:ptCount val="2"/>
                <c:pt idx="0">
                  <c:v>71.400000000000006</c:v>
                </c:pt>
                <c:pt idx="1">
                  <c:v>28.6</c:v>
                </c:pt>
              </c:numCache>
            </c:numRef>
          </c:val>
          <c:extLst>
            <c:ext xmlns:c16="http://schemas.microsoft.com/office/drawing/2014/chart" uri="{C3380CC4-5D6E-409C-BE32-E72D297353CC}">
              <c16:uniqueId val="{00000004-C732-4C1C-BCEB-5E4A283E58E5}"/>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81929139893846259"/>
          <c:y val="0.43643361745044718"/>
          <c:w val="0.15788031634791796"/>
          <c:h val="0.14834305641496043"/>
        </c:manualLayout>
      </c:layout>
      <c:overlay val="0"/>
      <c:spPr>
        <a:solidFill>
          <a:schemeClr val="lt1">
            <a:alpha val="50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5">
        <a:lumMod val="20000"/>
        <a:lumOff val="80000"/>
      </a:schemeClr>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5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Age distribution of the participants</a:t>
            </a:r>
          </a:p>
        </c:rich>
      </c:tx>
      <c:layout>
        <c:manualLayout>
          <c:xMode val="edge"/>
          <c:yMode val="edge"/>
          <c:x val="0.28012517505633605"/>
          <c:y val="3.4778220290031317E-2"/>
        </c:manualLayout>
      </c:layout>
      <c:overlay val="0"/>
      <c:spPr>
        <a:noFill/>
        <a:ln>
          <a:noFill/>
        </a:ln>
        <a:effectLst/>
      </c:spPr>
      <c:txPr>
        <a:bodyPr rot="0" spcFirstLastPara="1" vertOverflow="ellipsis" vert="horz" wrap="square" anchor="ctr" anchorCtr="1"/>
        <a:lstStyle/>
        <a:p>
          <a:pPr>
            <a:defRPr sz="1000" b="0" i="0" u="none" strike="noStrike" kern="1200" cap="none"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441174293022669"/>
          <c:y val="0.17195446839428433"/>
          <c:w val="0.63669618770836001"/>
          <c:h val="0.74999647204428821"/>
        </c:manualLayout>
      </c:layout>
      <c:bar3DChart>
        <c:barDir val="col"/>
        <c:grouping val="clustered"/>
        <c:varyColors val="0"/>
        <c:ser>
          <c:idx val="0"/>
          <c:order val="0"/>
          <c:tx>
            <c:strRef>
              <c:f>Sheet1!$B$1</c:f>
              <c:strCache>
                <c:ptCount val="1"/>
                <c:pt idx="0">
                  <c:v>Percentage</c:v>
                </c:pt>
              </c:strCache>
            </c:strRef>
          </c:tx>
          <c:spPr>
            <a:solidFill>
              <a:srgbClr val="00B0F0"/>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1.5325706455942089E-2"/>
                  <c:y val="-2.4827273195355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DA-4B46-ABAA-35F58C4E5B8A}"/>
                </c:ext>
              </c:extLst>
            </c:dLbl>
            <c:dLbl>
              <c:idx val="1"/>
              <c:layout>
                <c:manualLayout>
                  <c:x val="1.8936846243444837E-3"/>
                  <c:y val="-2.0592020592020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DA-4B46-ABAA-35F58C4E5B8A}"/>
                </c:ext>
              </c:extLst>
            </c:dLbl>
            <c:dLbl>
              <c:idx val="2"/>
              <c:layout>
                <c:manualLayout>
                  <c:x val="1.3243279035889286E-2"/>
                  <c:y val="-2.4218939210462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44-4320-A7B2-8DD840B8067A}"/>
                </c:ext>
              </c:extLst>
            </c:dLbl>
            <c:dLbl>
              <c:idx val="3"/>
              <c:layout>
                <c:manualLayout>
                  <c:x val="1.5891934843067144E-2"/>
                  <c:y val="-2.4218939210462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44-4320-A7B2-8DD840B8067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11-20 years</c:v>
                </c:pt>
                <c:pt idx="1">
                  <c:v>21-30 years</c:v>
                </c:pt>
                <c:pt idx="2">
                  <c:v>31-40 years</c:v>
                </c:pt>
                <c:pt idx="3">
                  <c:v>41-50 years</c:v>
                </c:pt>
              </c:strCache>
            </c:strRef>
          </c:cat>
          <c:val>
            <c:numRef>
              <c:f>Sheet1!$B$2:$B$5</c:f>
              <c:numCache>
                <c:formatCode>0.0%</c:formatCode>
                <c:ptCount val="4"/>
                <c:pt idx="0">
                  <c:v>0.214</c:v>
                </c:pt>
                <c:pt idx="1">
                  <c:v>0.214</c:v>
                </c:pt>
                <c:pt idx="2">
                  <c:v>0.35599999999999998</c:v>
                </c:pt>
                <c:pt idx="3">
                  <c:v>0.214</c:v>
                </c:pt>
              </c:numCache>
            </c:numRef>
          </c:val>
          <c:extLst>
            <c:ext xmlns:c16="http://schemas.microsoft.com/office/drawing/2014/chart" uri="{C3380CC4-5D6E-409C-BE32-E72D297353CC}">
              <c16:uniqueId val="{00000005-A2DA-4B46-ABAA-35F58C4E5B8A}"/>
            </c:ext>
          </c:extLst>
        </c:ser>
        <c:dLbls>
          <c:showLegendKey val="0"/>
          <c:showVal val="0"/>
          <c:showCatName val="0"/>
          <c:showSerName val="0"/>
          <c:showPercent val="0"/>
          <c:showBubbleSize val="0"/>
        </c:dLbls>
        <c:gapWidth val="150"/>
        <c:shape val="box"/>
        <c:axId val="379392040"/>
        <c:axId val="379390864"/>
        <c:axId val="0"/>
      </c:bar3DChart>
      <c:catAx>
        <c:axId val="379392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9390864"/>
        <c:crosses val="autoZero"/>
        <c:auto val="1"/>
        <c:lblAlgn val="ctr"/>
        <c:lblOffset val="100"/>
        <c:noMultiLvlLbl val="0"/>
      </c:catAx>
      <c:valAx>
        <c:axId val="379390864"/>
        <c:scaling>
          <c:orientation val="minMax"/>
        </c:scaling>
        <c:delete val="0"/>
        <c:axPos val="l"/>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crossAx val="379392040"/>
        <c:crosses val="autoZero"/>
        <c:crossBetween val="between"/>
      </c:valAx>
      <c:spPr>
        <a:noFill/>
        <a:ln>
          <a:noFill/>
        </a:ln>
        <a:effectLst/>
      </c:spPr>
    </c:plotArea>
    <c:legend>
      <c:legendPos val="r"/>
      <c:layout>
        <c:manualLayout>
          <c:xMode val="edge"/>
          <c:yMode val="edge"/>
          <c:x val="0.72996536934670997"/>
          <c:y val="0.30237440954416905"/>
          <c:w val="0.20382365791880305"/>
          <c:h val="0.1019018541791019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Presenting complaints</a:t>
            </a:r>
          </a:p>
        </c:rich>
      </c:tx>
      <c:overlay val="0"/>
      <c:spPr>
        <a:noFill/>
        <a:ln>
          <a:noFill/>
        </a:ln>
        <a:effectLst/>
      </c:spPr>
      <c:txPr>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114503979685467"/>
          <c:y val="0.13900616717388853"/>
          <c:w val="0.64970659155410437"/>
          <c:h val="0.71674274994766762"/>
        </c:manualLayout>
      </c:layout>
      <c:bar3DChart>
        <c:barDir val="bar"/>
        <c:grouping val="clustered"/>
        <c:varyColors val="0"/>
        <c:ser>
          <c:idx val="0"/>
          <c:order val="0"/>
          <c:tx>
            <c:strRef>
              <c:f>Sheet1!$B$1</c:f>
              <c:strCache>
                <c:ptCount val="1"/>
                <c:pt idx="0">
                  <c:v>Column1</c:v>
                </c:pt>
              </c:strCache>
            </c:strRef>
          </c:tx>
          <c:spPr>
            <a:solidFill>
              <a:schemeClr val="accent2"/>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Renal symptoms </c:v>
                </c:pt>
                <c:pt idx="1">
                  <c:v>Bone symptoms</c:v>
                </c:pt>
                <c:pt idx="2">
                  <c:v>Abdominal symptoms</c:v>
                </c:pt>
                <c:pt idx="3">
                  <c:v>Muscle weakness </c:v>
                </c:pt>
                <c:pt idx="4">
                  <c:v>Fatigue</c:v>
                </c:pt>
                <c:pt idx="5">
                  <c:v>Memory impairment </c:v>
                </c:pt>
              </c:strCache>
            </c:strRef>
          </c:cat>
          <c:val>
            <c:numRef>
              <c:f>Sheet1!$B$2:$B$7</c:f>
              <c:numCache>
                <c:formatCode>0.0%</c:formatCode>
                <c:ptCount val="6"/>
                <c:pt idx="0">
                  <c:v>0.64300000000000002</c:v>
                </c:pt>
                <c:pt idx="1">
                  <c:v>0.35699999999999998</c:v>
                </c:pt>
                <c:pt idx="2">
                  <c:v>0.35699999999999998</c:v>
                </c:pt>
                <c:pt idx="3">
                  <c:v>0.28599999999999998</c:v>
                </c:pt>
                <c:pt idx="4">
                  <c:v>0.28599999999999998</c:v>
                </c:pt>
                <c:pt idx="5">
                  <c:v>0.214</c:v>
                </c:pt>
              </c:numCache>
            </c:numRef>
          </c:val>
          <c:extLst>
            <c:ext xmlns:c16="http://schemas.microsoft.com/office/drawing/2014/chart" uri="{C3380CC4-5D6E-409C-BE32-E72D297353CC}">
              <c16:uniqueId val="{00000001-9CBB-4453-A923-B62D8F6E2B59}"/>
            </c:ext>
          </c:extLst>
        </c:ser>
        <c:dLbls>
          <c:showLegendKey val="0"/>
          <c:showVal val="1"/>
          <c:showCatName val="0"/>
          <c:showSerName val="0"/>
          <c:showPercent val="0"/>
          <c:showBubbleSize val="0"/>
        </c:dLbls>
        <c:gapWidth val="150"/>
        <c:shape val="box"/>
        <c:axId val="379389688"/>
        <c:axId val="379390080"/>
        <c:axId val="0"/>
      </c:bar3DChart>
      <c:catAx>
        <c:axId val="3793896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9390080"/>
        <c:crosses val="autoZero"/>
        <c:auto val="1"/>
        <c:lblAlgn val="ctr"/>
        <c:lblOffset val="100"/>
        <c:noMultiLvlLbl val="0"/>
      </c:catAx>
      <c:valAx>
        <c:axId val="379390080"/>
        <c:scaling>
          <c:orientation val="minMax"/>
        </c:scaling>
        <c:delete val="0"/>
        <c:axPos val="b"/>
        <c:majorGridlines>
          <c:spPr>
            <a:ln w="9525" cap="flat" cmpd="sng" algn="ctr">
              <a:solidFill>
                <a:schemeClr val="tx1">
                  <a:lumMod val="5000"/>
                  <a:lumOff val="9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9389688"/>
        <c:crosses val="autoZero"/>
        <c:crossBetween val="between"/>
      </c:valAx>
      <c:spPr>
        <a:noFill/>
        <a:ln>
          <a:noFill/>
        </a:ln>
        <a:effectLst/>
      </c:spPr>
    </c:plotArea>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Tho19</b:Tag>
    <b:SourceType>BookSection</b:SourceType>
    <b:Guid>{305D92D3-3107-4A56-87AA-FC3DB278F937}</b:Guid>
    <b:Title>Benign Neoplasms of the Parathyroid Gland</b:Title>
    <b:Year>2019</b:Year>
    <b:Pages>703-712</b:Pages>
    <b:Author>
      <b:Author>
        <b:NameList>
          <b:Person>
            <b:Last>Thompson</b:Last>
            <b:First>Lester</b:First>
            <b:Middle>D.R.</b:Middle>
          </b:Person>
        </b:NameList>
      </b:Author>
      <b:Editor>
        <b:NameList>
          <b:Person>
            <b:Last>3rd</b:Last>
          </b:Person>
        </b:NameList>
      </b:Editor>
    </b:Author>
    <b:BookTitle>Head and Neck Pathology</b:BookTitle>
    <b:Publisher>Foundations in Diagnostic Pathology</b:Publisher>
    <b:ChapterNumber>27</b:ChapterNumber>
    <b:DOI>https://doi.org/10.1016/B978-0-323-47916-5.00027-3</b:DOI>
    <b:RefOrder>1</b:RefOrder>
  </b:Source>
  <b:Source>
    <b:Tag>Han18</b:Tag>
    <b:SourceType>JournalArticle</b:SourceType>
    <b:Guid>{ABB550C9-606A-4841-9B5C-ED678D5876C9}</b:Guid>
    <b:Title>Focused parathyroidectomy for single parathyroid adenoma: a clinical account of 20 patients</b:Title>
    <b:Year>2018</b:Year>
    <b:Pages>6974–6980</b:Pages>
    <b:Author>
      <b:Author>
        <b:NameList>
          <b:Person>
            <b:Last>Hany Abdelfatah El-hady</b:Last>
            <b:First>Hisham</b:First>
            <b:Middle>Saleh Radwan</b:Middle>
          </b:Person>
        </b:NameList>
      </b:Author>
    </b:Author>
    <b:JournalName>Electron Physician.</b:JournalName>
    <b:Volume>10</b:Volume>
    <b:Issue>6</b:Issue>
    <b:DOI>10.19082/6974</b:DOI>
    <b:RefOrder>2</b:RefOrder>
  </b:Source>
  <b:Source>
    <b:Tag>Ron11</b:Tag>
    <b:SourceType>JournalArticle</b:SourceType>
    <b:Guid>{F9BCA82F-E566-46A7-9AAC-4D9BF720CC9E}</b:Guid>
    <b:Author>
      <b:Author>
        <b:NameList>
          <b:Person>
            <b:Last>Ronald Pyrama</b:Last>
            <b:First>Geeti</b:First>
            <b:Middle>Mahajana, Agnieszka Gliwa</b:Middle>
          </b:Person>
        </b:NameList>
      </b:Author>
    </b:Author>
    <b:Title>Primary hyperparathyroidism: Skeletal and non-skeletal effects, diagnosis and management</b:Title>
    <b:JournalName>Maturitas</b:JournalName>
    <b:Year>2011</b:Year>
    <b:Pages>246 - 255</b:Pages>
    <b:Volume>70</b:Volume>
    <b:Issue>3</b:Issue>
    <b:DOI>10.1016/j.maturitas.2011.07.021</b:DOI>
    <b:RefOrder>3</b:RefOrder>
  </b:Source>
  <b:Source>
    <b:Tag>Kai15</b:Tag>
    <b:SourceType>JournalArticle</b:SourceType>
    <b:Guid>{306A9CAD-46D7-4595-896D-640D908D67B0}</b:Guid>
    <b:Author>
      <b:Author>
        <b:NameList>
          <b:Person>
            <b:Last>Kai Duan</b:Last>
            <b:First>Karen</b:First>
            <b:Middle>Gomez Hernandez, Ozgur Mete</b:Middle>
          </b:Person>
        </b:NameList>
      </b:Author>
    </b:Author>
    <b:Title>Clinicopathological correlates of hyperparathyroidism</b:Title>
    <b:JournalName>J Clin Pathol.</b:JournalName>
    <b:Year>2015</b:Year>
    <b:Pages>771–787</b:Pages>
    <b:Volume>68</b:Volume>
    <b:Issue>10</b:Issue>
    <b:DOI>10.1136/jclinpath-2015-203186</b:DOI>
    <b:RefOrder>4</b:RefOrder>
  </b:Source>
  <b:Source>
    <b:Tag>Sam231</b:Tag>
    <b:SourceType>BookSection</b:SourceType>
    <b:Guid>{CDE3D579-1CBC-41B1-A9A3-03F583F9F905}</b:Guid>
    <b:Title>Parathyroid Adenoma</b:Title>
    <b:Year>2023</b:Year>
    <b:Author>
      <b:Author>
        <b:NameList>
          <b:Person>
            <b:Last>Samantha A. Wolfe</b:Last>
            <b:First>Sandeep</b:First>
            <b:Middle>Sharma</b:Middle>
          </b:Person>
        </b:NameList>
      </b:Author>
    </b:Author>
    <b:BookTitle>Treasure Island (FL)</b:BookTitle>
    <b:Publisher>StatPearls Publishing</b:Publisher>
    <b:URL>https://www.ncbi.nlm.nih.gov/books/NBK507870/</b:URL>
    <b:RefOrder>5</b:RefOrder>
  </b:Source>
  <b:Source>
    <b:Tag>Sun15</b:Tag>
    <b:SourceType>JournalArticle</b:SourceType>
    <b:Guid>{C5268FB9-B57C-490B-9FD3-AD5226834ABD}</b:Guid>
    <b:Title>Parathyroid ultrasonography: the evolving role of the radiologist</b:Title>
    <b:Year>2015</b:Year>
    <b:Pages>268–274</b:Pages>
    <b:Author>
      <b:Author>
        <b:NameList>
          <b:Person>
            <b:Last>Sung</b:Last>
            <b:First>Jin</b:First>
            <b:Middle>Yong</b:Middle>
          </b:Person>
        </b:NameList>
      </b:Author>
    </b:Author>
    <b:JournalName>Ultrasonography.</b:JournalName>
    <b:Volume>34</b:Volume>
    <b:Issue>4</b:Issue>
    <b:DOI>10.14366/usg.14071</b:DOI>
    <b:RefOrder>7</b:RefOrder>
  </b:Source>
  <b:Source>
    <b:Tag>CNP10</b:Tag>
    <b:SourceType>JournalArticle</b:SourceType>
    <b:Guid>{954D1395-0826-487F-BBE9-3E9425CF696D}</b:Guid>
    <b:Author>
      <b:Author>
        <b:NameList>
          <b:Person>
            <b:Last>C.N. Patel</b:Last>
            <b:First>H.M.</b:First>
            <b:Middle>Salahudeen, M. Lansdown, A.F. Scarsbrook</b:Middle>
          </b:Person>
        </b:NameList>
      </b:Author>
    </b:Author>
    <b:Title>Clinical utility of ultrasound and 99mTc sestamibi SPECT/CT for preoperative localization of parathyroid adenoma in patients with primary hyperparathyroidism</b:Title>
    <b:JournalName>Clinical Radiology</b:JournalName>
    <b:Year>2010</b:Year>
    <b:Pages>278-287</b:Pages>
    <b:Volume>65</b:Volume>
    <b:Issue>4</b:Issue>
    <b:DOI>https://doi.org/10.1016/j.crad.2009.12.005</b:DOI>
    <b:RefOrder>8</b:RefOrder>
  </b:Source>
  <b:Source>
    <b:Tag>Afs12</b:Tag>
    <b:SourceType>JournalArticle</b:SourceType>
    <b:Guid>{EA33681D-09E2-42B7-A976-ADCD20852A74}</b:Guid>
    <b:Author>
      <b:Author>
        <b:NameList>
          <b:Person>
            <b:Last>Afshin mohammadi</b:Last>
            <b:First>Farzad</b:First>
            <b:Middle>Moloudi, Mohammad Ghasemi-rad</b:Middle>
          </b:Person>
        </b:NameList>
      </b:Author>
    </b:Author>
    <b:Title>Preoperative localization of parathyroid lesion: diagnostic usefulness of color doppler ultrasonography</b:Title>
    <b:JournalName>Int J Clin Exp Med.</b:JournalName>
    <b:Year>2012</b:Year>
    <b:Pages>80–86</b:Pages>
    <b:Volume>5</b:Volume>
    <b:Issue>1</b:Issue>
    <b:RefOrder>9</b:RefOrder>
  </b:Source>
  <b:Source>
    <b:Tag>ATC93</b:Tag>
    <b:SourceType>JournalArticle</b:SourceType>
    <b:Guid>{9E59F35F-BAEA-4709-9828-5D96CC3C28BA}</b:Guid>
    <b:Author>
      <b:Author>
        <b:NameList>
          <b:Person>
            <b:Last>A T Casas</b:Last>
            <b:First>G</b:First>
            <b:Middle>J Burke, Sathyanarayana, A R Mansberger Jr, J P Wei</b:Middle>
          </b:Person>
        </b:NameList>
      </b:Author>
    </b:Author>
    <b:Title>Prospective comparison of technetium-99m-sestamibi/iodine-123 radionuclide scan versus high-resolution ultrasonography for the preoperative localization of abnormal parathyroid glands in patients with previously unoperated primary hyperparathyroidism</b:Title>
    <b:JournalName>Am J Surg.</b:JournalName>
    <b:Year>1993</b:Year>
    <b:Pages>369-73</b:Pages>
    <b:Volume>166</b:Volume>
    <b:Issue>4</b:Issue>
    <b:DOI>10.1016/s0002-9610(05)80335-6</b:DOI>
    <b:RefOrder>6</b:RefOrder>
  </b:Source>
  <b:Source>
    <b:Tag>Bea20</b:Tag>
    <b:SourceType>JournalArticle</b:SourceType>
    <b:Guid>{646E9576-EAF6-4DC1-9CAB-8CCFC97897EA}</b:Guid>
    <b:Author>
      <b:Author>
        <b:NameList>
          <b:Person>
            <b:Last>Beata Wojtczak</b:Last>
            <b:First>Joanna</b:First>
            <b:Middle>Syrycka, Krzysztof Kaliszewski, Jerzy Rudnicki, Marek Bolanowski, Marcin Barczyński</b:Middle>
          </b:Person>
        </b:NameList>
      </b:Author>
    </b:Author>
    <b:Title>Surgical implications of recent modalities for parathyroid imaging</b:Title>
    <b:JournalName>Gland Surg.</b:JournalName>
    <b:Year>2020</b:Year>
    <b:Pages>S86–S94</b:Pages>
    <b:Volume>9</b:Volume>
    <b:Issue>Suppl 2</b:Issue>
    <b:DOI>10.21037/gs.2019.11.10</b:DOI>
    <b:RefOrder>10</b:RefOrder>
  </b:Source>
  <b:Source>
    <b:Tag>Fad17</b:Tag>
    <b:SourceType>JournalArticle</b:SourceType>
    <b:Guid>{45B676BD-9D92-4DFB-BD14-E736B06A080F}</b:Guid>
    <b:Author>
      <b:Author>
        <b:NameList>
          <b:Person>
            <b:Last>Fady Makram</b:Last>
            <b:First>Ahmed</b:First>
            <b:Middle>Shoka, Wadie Boshra</b:Middle>
          </b:Person>
        </b:NameList>
      </b:Author>
    </b:Author>
    <b:Title>Accuracy of Combined Ultrasonography and Tc99m Sestamibi Scintigraphy in Preoperative Localization of Primary Hyperparathyroidism</b:Title>
    <b:JournalName>Ain-Shams J Surg.</b:JournalName>
    <b:Year>2017</b:Year>
    <b:Pages>35-41</b:Pages>
    <b:Volume>10</b:Volume>
    <b:Issue>1</b:Issue>
    <b:DOI>10.21608/asjs.2017.178154</b:DOI>
    <b:RefOrder>11</b:RefOrder>
  </b:Source>
  <b:Source>
    <b:Tag>Bil06</b:Tag>
    <b:SourceType>JournalArticle</b:SourceType>
    <b:Guid>{9A0D4024-2F4D-44B3-BA89-78846ECE7A89}</b:Guid>
    <b:Author>
      <b:Author>
        <b:NameList>
          <b:Person>
            <b:Last>Bill Chiu</b:Last>
            <b:First>Cord</b:First>
            <b:Middle>Sturgeon, Peter Angelos</b:Middle>
          </b:Person>
        </b:NameList>
      </b:Author>
    </b:Author>
    <b:Title>Which Intraoperative Parathyroid Hormone Assay Criterion Best Predicts Operative Success?</b:Title>
    <b:JournalName>Arch Surg.</b:JournalName>
    <b:Year>2006</b:Year>
    <b:Pages>483-488</b:Pages>
    <b:Volume>141</b:Volume>
    <b:Issue>5</b:Issue>
    <b:DOI>10.1001/archsurg.141.5.483</b:DOI>
    <b:RefOrder>13</b:RefOrder>
  </b:Source>
  <b:Source>
    <b:Tag>MOn22</b:Tag>
    <b:SourceType>JournalArticle</b:SourceType>
    <b:Guid>{78924764-5B59-4254-913E-B1DAB6E6F50C}</b:Guid>
    <b:Author>
      <b:Author>
        <b:NameList>
          <b:Person>
            <b:Last>M Oner</b:Last>
            <b:First>NA</b:First>
            <b:Middle>Hacim</b:Middle>
          </b:Person>
        </b:NameList>
      </b:Author>
    </b:Author>
    <b:Title>IS CONFIRMATION OF PARATHYROID TISSUE BY FROZEN SECTION SUPERIOR TO LOCALIZATION OF SOLITARY PARATHYROID ADENOMA USING INTRAOPERATIVE GAMMA PROBE SURVEY? A RETROSPECTIVE COHORT STUDY</b:Title>
    <b:JournalName>Acta Endocrinol (Buchar).</b:JournalName>
    <b:Year>2022</b:Year>
    <b:Pages>452–457</b:Pages>
    <b:Volume>18</b:Volume>
    <b:Issue>4</b:Issue>
    <b:DOI>10.4183/aeb.2022.452</b:DOI>
    <b:RefOrder>12</b:RefOrder>
  </b:Source>
  <b:Source>
    <b:Tag>Ali23</b:Tag>
    <b:SourceType>JournalArticle</b:SourceType>
    <b:Guid>{664F02DE-C391-456B-B206-633A2BFBD890}</b:Guid>
    <b:Author>
      <b:Author>
        <b:NameList>
          <b:Person>
            <b:Last>Ali Emre NAYCI</b:Last>
            <b:First>Selim</b:First>
            <b:Middle>DOĞAN, Özgür SEĞMEN, Ayşe Gül FERLENGEZ</b:Middle>
          </b:Person>
        </b:NameList>
      </b:Author>
    </b:Author>
    <b:Title>The Relationship of Solitary Parathyroid Adenoma Volume with Pre- and Post-operative Parathormone and Calcium Levels</b:Title>
    <b:JournalName>Online Turkish Journal of Health Sciences</b:JournalName>
    <b:Year>2023</b:Year>
    <b:Pages>228-232</b:Pages>
    <b:Volume>8</b:Volume>
    <b:Issue>2</b:Issue>
    <b:DOI>10.26453/otjhs.1226045</b:DOI>
    <b:RefOrder>14</b:RefOrder>
  </b:Source>
  <b:Source>
    <b:Tag>Don21</b:Tag>
    <b:SourceType>JournalArticle</b:SourceType>
    <b:Guid>{1DE1E3DA-066E-4588-ACCE-720F562490E6}</b:Guid>
    <b:Author>
      <b:Author>
        <b:NameList>
          <b:Person>
            <b:Last>Donovan Tay</b:Last>
            <b:First>Jeeban</b:First>
            <b:Middle>P Das, Randy Yeh</b:Middle>
          </b:Person>
        </b:NameList>
      </b:Author>
    </b:Author>
    <b:Title>Preoperative Localization for Primary Hyperparathyroidism: A Clinical Review</b:Title>
    <b:JournalName>Biomedicines.</b:JournalName>
    <b:Year>2021</b:Year>
    <b:Pages>390</b:Pages>
    <b:Volume>9</b:Volume>
    <b:Issue>4</b:Issue>
    <b:DOI>10.3390/biomedicines9040390</b:DOI>
    <b:RefOrder>15</b:RefOrder>
  </b:Source>
  <b:Source>
    <b:Tag>Kev12</b:Tag>
    <b:SourceType>JournalArticle</b:SourceType>
    <b:Guid>{7F210041-882F-4E0D-A09C-F2B149C68B68}</b:Guid>
    <b:Author>
      <b:Author>
        <b:NameList>
          <b:Person>
            <b:Last>Kevin Cheung</b:Last>
            <b:First>Tracy</b:First>
            <b:Middle>S Wang, Forough Farrokhyar, Sanziana A Roman, Julie A Sosa</b:Middle>
          </b:Person>
        </b:NameList>
      </b:Author>
    </b:Author>
    <b:Title>A meta-analysis of preoperative localization techniques for patients with primary hyperparathyroidism</b:Title>
    <b:JournalName>Ann Surg Oncol.</b:JournalName>
    <b:Year>2012</b:Year>
    <b:Pages>577-83</b:Pages>
    <b:Volume>19</b:Volume>
    <b:Issue>2</b:Issue>
    <b:DOI>10.1245/s10434-011-1870-5</b:DOI>
    <b:RefOrder>16</b:RefOrder>
  </b:Source>
  <b:Source>
    <b:Tag>Sol06</b:Tag>
    <b:SourceType>JournalArticle</b:SourceType>
    <b:Guid>{AC582732-3499-4571-BC5D-F80AA9544D3A}</b:Guid>
    <b:Author>
      <b:Author>
        <b:NameList>
          <b:Person>
            <b:Last>Solorzano</b:Last>
            <b:First>C.C.,</b:First>
            <b:Middle>Carneiro-Pla, D.M. and Irvin, G.L.</b:Middle>
          </b:Person>
        </b:NameList>
      </b:Author>
    </b:Author>
    <b:Title>Surgeon-Performed Ultrasonography as the Initial and Only Localizing Study in Sporadic Primary Hyperparathyroidism</b:Title>
    <b:JournalName>Journal of the American College of Surgeons</b:JournalName>
    <b:Year>2006</b:Year>
    <b:Pages>18-24</b:Pages>
    <b:Volume>202</b:Volume>
    <b:DOI>https://doi.org/10.1016/j.jamcollsurg.2005.08.014</b:DOI>
    <b:RefOrder>17</b:RefOrder>
  </b:Source>
</b:Sources>
</file>

<file path=customXml/itemProps1.xml><?xml version="1.0" encoding="utf-8"?>
<ds:datastoreItem xmlns:ds="http://schemas.openxmlformats.org/officeDocument/2006/customXml" ds:itemID="{31677AE8-B300-4EC7-8EAF-C9C3D861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8</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66</cp:revision>
  <dcterms:created xsi:type="dcterms:W3CDTF">2025-08-15T14:19:00Z</dcterms:created>
  <dcterms:modified xsi:type="dcterms:W3CDTF">2025-09-02T06:26:00Z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8d04c0be-0281-4e45-ab63-2c276728502b</vt:lpwstr>
  </property>
</Properties>
</file>