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75DCDC1">
      <w:pPr>
        <w:spacing w:after="240" w:line="360" w:lineRule="auto"/>
        <w:jc w:val="right"/>
        <w:rPr>
          <w:rFonts w:ascii="Times New Roman" w:hAnsi="Times New Roman" w:eastAsia="Times New Roman" w:cs="Times New Roman"/>
          <w:sz w:val="28"/>
          <w:szCs w:val="28"/>
          <w:u w:val="single"/>
        </w:rPr>
      </w:pPr>
      <w:r>
        <w:rPr>
          <w:rFonts w:ascii="Times New Roman" w:hAnsi="Times New Roman" w:eastAsia="Times New Roman" w:cs="Times New Roman"/>
          <w:sz w:val="28"/>
          <w:szCs w:val="28"/>
          <w:u w:val="single"/>
        </w:rPr>
        <w:t>Original Research Article</w:t>
      </w:r>
    </w:p>
    <w:p w14:paraId="02DDE589">
      <w:pPr>
        <w:spacing w:after="240" w:line="360" w:lineRule="auto"/>
        <w:jc w:val="right"/>
        <w:rPr>
          <w:rFonts w:ascii="Times New Roman" w:hAnsi="Times New Roman" w:eastAsia="Times New Roman" w:cs="Times New Roman"/>
          <w:sz w:val="28"/>
          <w:szCs w:val="28"/>
        </w:rPr>
      </w:pPr>
      <w:r>
        <w:rPr>
          <w:rFonts w:ascii="Times New Roman" w:hAnsi="Times New Roman" w:eastAsia="Times New Roman" w:cs="Times New Roman"/>
          <w:sz w:val="28"/>
          <w:szCs w:val="28"/>
        </w:rPr>
        <w:t>Enhanced Recovery after Surgery (ERAS) Protocol Adherence in a Specialist Hospital Surgical Practice: A Closed-Loop Audit</w:t>
      </w:r>
    </w:p>
    <w:p w14:paraId="0B4E46FD">
      <w:pPr>
        <w:rPr>
          <w:rFonts w:ascii="Times New Roman" w:hAnsi="Times New Roman" w:eastAsia="Times New Roman" w:cs="Times New Roman"/>
          <w:sz w:val="20"/>
          <w:szCs w:val="20"/>
        </w:rPr>
      </w:pPr>
    </w:p>
    <w:p w14:paraId="19E82E2C">
      <w:pPr>
        <w:rPr>
          <w:rFonts w:ascii="Times New Roman" w:hAnsi="Times New Roman" w:eastAsia="Times New Roman" w:cs="Times New Roman"/>
          <w:sz w:val="20"/>
          <w:szCs w:val="20"/>
        </w:rPr>
      </w:pPr>
    </w:p>
    <w:p w14:paraId="55060BD6">
      <w:pPr>
        <w:spacing w:line="36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Pr>
        <w:t>Abstract</w:t>
      </w:r>
    </w:p>
    <w:p w14:paraId="6400E5DC">
      <w:pPr>
        <w:spacing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Background/Objectives</w:t>
      </w:r>
    </w:p>
    <w:p w14:paraId="117F0FF4">
      <w:pPr>
        <w:spacing w:line="360" w:lineRule="auto"/>
        <w:rPr>
          <w:rFonts w:ascii="Times New Roman" w:hAnsi="Times New Roman" w:eastAsia="Times New Roman" w:cs="Times New Roman"/>
          <w:sz w:val="20"/>
          <w:szCs w:val="20"/>
        </w:rPr>
      </w:pPr>
      <w:bookmarkStart w:id="0" w:name="_t0q5bux9xpwf" w:colFirst="0" w:colLast="0"/>
      <w:bookmarkEnd w:id="0"/>
      <w:r>
        <w:rPr>
          <w:rFonts w:ascii="Times New Roman" w:hAnsi="Times New Roman" w:eastAsia="Times New Roman" w:cs="Times New Roman"/>
          <w:sz w:val="20"/>
          <w:szCs w:val="20"/>
        </w:rPr>
        <w:t>Enhanced recovery after surgery (ERAS) is a comprehensive perioperative care concept that focuses on evidence-based multidisciplinary, standardized, and patient-centered approach with the aim of enhancing the quality of postoperative recovery. An audit of a hospital’s surgical service ERAS practices in the absence of a structured programme, helps identify where it is lacking and how to be improved while also being incorporated into the system.</w:t>
      </w:r>
    </w:p>
    <w:p w14:paraId="5293ADC0">
      <w:pPr>
        <w:spacing w:line="360" w:lineRule="auto"/>
        <w:rPr>
          <w:rFonts w:ascii="Times New Roman" w:hAnsi="Times New Roman" w:eastAsia="Times New Roman" w:cs="Times New Roman"/>
          <w:sz w:val="20"/>
          <w:szCs w:val="20"/>
        </w:rPr>
      </w:pPr>
    </w:p>
    <w:p w14:paraId="067D7BBD">
      <w:pPr>
        <w:spacing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Methods </w:t>
      </w:r>
    </w:p>
    <w:p w14:paraId="1700C519">
      <w:pPr>
        <w:spacing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The study employed a mixed methods approach, involving a dual-cycle closed-loop audit. </w:t>
      </w:r>
    </w:p>
    <w:p w14:paraId="139615D8">
      <w:pPr>
        <w:spacing w:line="360" w:lineRule="auto"/>
        <w:rPr>
          <w:rFonts w:ascii="Times New Roman" w:hAnsi="Times New Roman" w:eastAsia="Times New Roman" w:cs="Times New Roman"/>
          <w:i/>
          <w:sz w:val="20"/>
          <w:szCs w:val="20"/>
        </w:rPr>
      </w:pPr>
      <w:r>
        <w:rPr>
          <w:rFonts w:ascii="Times New Roman" w:hAnsi="Times New Roman" w:eastAsia="Times New Roman" w:cs="Times New Roman"/>
          <w:i/>
          <w:sz w:val="20"/>
          <w:szCs w:val="20"/>
        </w:rPr>
        <w:t xml:space="preserve">First cycle; </w:t>
      </w:r>
    </w:p>
    <w:p w14:paraId="7FD0B710">
      <w:pPr>
        <w:spacing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There was a retrospective audit of 150 patients chosen by convenient sampling who underwent elective abdominal surgery at Mary Immaculate Specialist Hospital in Benin between 15th of October 2023 to 15th of October 2024. Every component of ERAS was carefully noted in patient’s records and adherence to 16 (pre-operative, intra-operative and post-operative) components from the ERAS guidelines were analyzed. </w:t>
      </w:r>
    </w:p>
    <w:p w14:paraId="050BD87A">
      <w:pPr>
        <w:spacing w:line="360" w:lineRule="auto"/>
        <w:rPr>
          <w:rFonts w:ascii="Times New Roman" w:hAnsi="Times New Roman" w:eastAsia="Times New Roman" w:cs="Times New Roman"/>
          <w:i/>
          <w:sz w:val="20"/>
          <w:szCs w:val="20"/>
        </w:rPr>
      </w:pPr>
      <w:r>
        <w:rPr>
          <w:rFonts w:ascii="Times New Roman" w:hAnsi="Times New Roman" w:eastAsia="Times New Roman" w:cs="Times New Roman"/>
          <w:i/>
          <w:sz w:val="20"/>
          <w:szCs w:val="20"/>
        </w:rPr>
        <w:t xml:space="preserve">Second cycle; </w:t>
      </w:r>
    </w:p>
    <w:p w14:paraId="327C76F2">
      <w:pPr>
        <w:spacing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The re-audit involved convenient sampling of 65 surgical cases and using the same eligibility criteria as in the first cycle but with prospective data collection and was conducted between November 2024 and May 2025.</w:t>
      </w:r>
    </w:p>
    <w:p w14:paraId="6BEBE559">
      <w:pPr>
        <w:spacing w:line="360" w:lineRule="auto"/>
        <w:rPr>
          <w:rFonts w:ascii="Times New Roman" w:hAnsi="Times New Roman" w:eastAsia="Times New Roman" w:cs="Times New Roman"/>
          <w:sz w:val="20"/>
          <w:szCs w:val="20"/>
        </w:rPr>
      </w:pPr>
    </w:p>
    <w:p w14:paraId="53CA7374">
      <w:pPr>
        <w:spacing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Results </w:t>
      </w:r>
    </w:p>
    <w:p w14:paraId="18BC072E">
      <w:pPr>
        <w:spacing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A total 215 surgical cases were reviewed; comprising 150 in the first cycle and 65 in the second cycle and all pertained to elective abdominal surgeries. The demography consists of 125 females, 25 males, and with a mean age of 36.75 years (14.75) (range of 11 to 80 years), while in the second cycle, twenty (20) adult males, forty five (45) adult females, with a mean age of 36.7 (12.56). Elective abdominal surgeries included were </w:t>
      </w:r>
      <w:r>
        <w:rPr>
          <w:rFonts w:ascii="Times New Roman" w:hAnsi="Times New Roman" w:eastAsia="Times New Roman" w:cs="Times New Roman"/>
          <w:sz w:val="20"/>
          <w:szCs w:val="20"/>
          <w:highlight w:val="white"/>
        </w:rPr>
        <w:t>cesarean </w:t>
      </w:r>
      <w:r>
        <w:rPr>
          <w:rFonts w:ascii="Times New Roman" w:hAnsi="Times New Roman" w:eastAsia="Times New Roman" w:cs="Times New Roman"/>
          <w:sz w:val="20"/>
          <w:szCs w:val="20"/>
        </w:rPr>
        <w:t>section, total abdominal hysterectomy, myomectomy, appendectomy and explorative laparotomy. Overall adherence to items required in the ERAS protocol was 47.6% at our hospital even before the ERAS program was implemented. After implementation, overall adherence was increased to 86.8%. In the first cycle, post-operative stay of 66% of the patients was &gt; 48hrs, however this improved in the second cycle as post-operative stay of 73.3% of patients was</w:t>
      </w:r>
      <w:r>
        <w:rPr>
          <w:rFonts w:ascii="Times New Roman" w:hAnsi="Times New Roman" w:eastAsia="Times New Roman" w:cs="Times New Roman"/>
          <w:sz w:val="18"/>
          <w:szCs w:val="18"/>
        </w:rPr>
        <w:t xml:space="preserve"> </w:t>
      </w:r>
      <w:r>
        <w:rPr>
          <w:rFonts w:ascii="Times New Roman" w:hAnsi="Times New Roman" w:eastAsia="Times New Roman" w:cs="Times New Roman"/>
          <w:sz w:val="20"/>
          <w:szCs w:val="20"/>
        </w:rPr>
        <w:t>&lt; 48hrs.</w:t>
      </w:r>
    </w:p>
    <w:p w14:paraId="006C219E">
      <w:pPr>
        <w:spacing w:line="360" w:lineRule="auto"/>
        <w:rPr>
          <w:rFonts w:ascii="Times New Roman" w:hAnsi="Times New Roman" w:eastAsia="Times New Roman" w:cs="Times New Roman"/>
          <w:sz w:val="20"/>
          <w:szCs w:val="20"/>
        </w:rPr>
      </w:pPr>
    </w:p>
    <w:p w14:paraId="4F525CD3">
      <w:pPr>
        <w:spacing w:line="360" w:lineRule="auto"/>
        <w:rPr>
          <w:rFonts w:ascii="Times New Roman" w:hAnsi="Times New Roman" w:eastAsia="Times New Roman" w:cs="Times New Roman"/>
          <w:sz w:val="20"/>
          <w:szCs w:val="20"/>
        </w:rPr>
      </w:pPr>
      <w:bookmarkStart w:id="5" w:name="_GoBack"/>
      <w:bookmarkEnd w:id="5"/>
      <w:r>
        <w:rPr>
          <w:rFonts w:ascii="Times New Roman" w:hAnsi="Times New Roman" w:eastAsia="Times New Roman" w:cs="Times New Roman"/>
          <w:sz w:val="20"/>
          <w:szCs w:val="20"/>
        </w:rPr>
        <w:t>Conclusion</w:t>
      </w:r>
    </w:p>
    <w:p w14:paraId="25BFEDDC">
      <w:pPr>
        <w:spacing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The surgical team’s compliance to ERAS in the absence of an established programme or checklist revealed inconsistencies in adherence and the need for development of protocols and formation of a dedicated team. These indeed brought about a positive change in our hospital as re-audit showed improved compliance to ERAS and reduction in post-op hospital stay.</w:t>
      </w:r>
    </w:p>
    <w:p w14:paraId="4F14E2BE">
      <w:pPr>
        <w:spacing w:line="360" w:lineRule="auto"/>
        <w:rPr>
          <w:rFonts w:ascii="Times New Roman" w:hAnsi="Times New Roman" w:eastAsia="Times New Roman" w:cs="Times New Roman"/>
          <w:sz w:val="24"/>
          <w:szCs w:val="24"/>
        </w:rPr>
      </w:pPr>
    </w:p>
    <w:p w14:paraId="6F4B7A59">
      <w:pPr>
        <w:spacing w:line="360" w:lineRule="auto"/>
        <w:rPr>
          <w:rFonts w:ascii="Times New Roman" w:hAnsi="Times New Roman" w:eastAsia="Times New Roman" w:cs="Times New Roman"/>
          <w:sz w:val="20"/>
          <w:szCs w:val="20"/>
          <w:highlight w:val="white"/>
        </w:rPr>
      </w:pPr>
      <w:r>
        <w:rPr>
          <w:rFonts w:ascii="Times New Roman" w:hAnsi="Times New Roman" w:eastAsia="Times New Roman" w:cs="Times New Roman"/>
          <w:b/>
          <w:sz w:val="20"/>
          <w:szCs w:val="20"/>
          <w:highlight w:val="white"/>
        </w:rPr>
        <w:t>Keywords: </w:t>
      </w:r>
      <w:r>
        <w:rPr>
          <w:rFonts w:ascii="Times New Roman" w:hAnsi="Times New Roman" w:eastAsia="Times New Roman" w:cs="Times New Roman"/>
          <w:sz w:val="20"/>
          <w:szCs w:val="20"/>
          <w:highlight w:val="white"/>
        </w:rPr>
        <w:t xml:space="preserve">Enhanced Recovery After Surgery (ERAS), Protocol, Audit,  </w:t>
      </w:r>
    </w:p>
    <w:p w14:paraId="3DA194AE">
      <w:pPr>
        <w:spacing w:line="360" w:lineRule="auto"/>
        <w:rPr>
          <w:rFonts w:ascii="Times New Roman" w:hAnsi="Times New Roman" w:eastAsia="Times New Roman" w:cs="Times New Roman"/>
          <w:sz w:val="20"/>
          <w:szCs w:val="20"/>
          <w:highlight w:val="white"/>
        </w:rPr>
      </w:pPr>
    </w:p>
    <w:p w14:paraId="7AD1A3DC">
      <w:pPr>
        <w:spacing w:line="360"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1.1 Introduction</w:t>
      </w:r>
    </w:p>
    <w:p w14:paraId="57882828">
      <w:pPr>
        <w:spacing w:line="360" w:lineRule="auto"/>
        <w:rPr>
          <w:rFonts w:ascii="Times New Roman" w:hAnsi="Times New Roman" w:eastAsia="Times New Roman" w:cs="Times New Roman"/>
        </w:rPr>
      </w:pPr>
      <w:r>
        <w:rPr>
          <w:rFonts w:ascii="Times New Roman" w:hAnsi="Times New Roman" w:eastAsia="Times New Roman" w:cs="Times New Roman"/>
        </w:rPr>
        <w:t xml:space="preserve">Enhanced recovery after surgery (ERAS) is a set of multidisciplinary, evidence proven guidelines devised by Dr Henrik Kehlet, to enhance post-operative recovery in various surgical branches [1]. It is a comprehensive perioperative care concept that focuses on evidence-based multidisciplinary, standardized, and patient-centered approach with the aim of enhancing the quality of postoperative recovery [2]. With its proven efficacy, ERAS has demonstrated remarkable benefits, including a reduction in hospital stay duration and a decrease in postoperative complications [3-4]. Originally introduced for colorectal surgery, the application of this innovative approach has expanded to various surgical specialties, including major abdominal, head and neck, spinal, obstetric, orthopedic, breast, thoracic, and cardiac surgeries [5]. Consequently, ERAS has gradually emerged as the gold standard for perioperative care across different types of surgical interventions [6]. </w:t>
      </w:r>
    </w:p>
    <w:p w14:paraId="1D795C7A">
      <w:pPr>
        <w:spacing w:line="360" w:lineRule="auto"/>
        <w:rPr>
          <w:rFonts w:ascii="Times New Roman" w:hAnsi="Times New Roman" w:eastAsia="Times New Roman" w:cs="Times New Roman"/>
        </w:rPr>
      </w:pPr>
    </w:p>
    <w:p w14:paraId="53DD74E8">
      <w:pPr>
        <w:spacing w:line="360" w:lineRule="auto"/>
        <w:rPr>
          <w:rFonts w:ascii="Times New Roman" w:hAnsi="Times New Roman" w:eastAsia="Times New Roman" w:cs="Times New Roman"/>
        </w:rPr>
      </w:pPr>
      <w:r>
        <w:rPr>
          <w:rFonts w:ascii="Times New Roman" w:hAnsi="Times New Roman" w:eastAsia="Times New Roman" w:cs="Times New Roman"/>
        </w:rPr>
        <w:t xml:space="preserve">Despite the well-documented benefits of improving postoperative recovery, effective implementation in surgical practice settings remains challenging much more in a resource poor setting. Its successful implementation in surgical practice necessitates alterations to conventional surgical practices, interdisciplinary hospital staff collaboration, and embracing evidence-based practices. Unfortunately, in a low resource setting various barriers such as reduced man power, resistance from health-care professionals, and resistance from patients and limited resources may impede ERAS implementation [7]. </w:t>
      </w:r>
    </w:p>
    <w:p w14:paraId="71DAD825">
      <w:pPr>
        <w:spacing w:line="360" w:lineRule="auto"/>
        <w:rPr>
          <w:rFonts w:ascii="Times New Roman" w:hAnsi="Times New Roman" w:eastAsia="Times New Roman" w:cs="Times New Roman"/>
        </w:rPr>
      </w:pPr>
    </w:p>
    <w:p w14:paraId="73A30AE9">
      <w:pPr>
        <w:spacing w:line="360" w:lineRule="auto"/>
        <w:rPr>
          <w:rFonts w:ascii="Times New Roman" w:hAnsi="Times New Roman" w:eastAsia="Times New Roman" w:cs="Times New Roman"/>
          <w:sz w:val="22"/>
          <w:szCs w:val="22"/>
        </w:rPr>
      </w:pPr>
      <w:r>
        <w:rPr>
          <w:rFonts w:ascii="Times New Roman" w:hAnsi="Times New Roman" w:eastAsia="Times New Roman" w:cs="Times New Roman"/>
        </w:rPr>
        <w:t>This study reports the findings of current adherence to the ERAS guidelines for all elective abdominal surgical procedures in our hospital with details of the recommendations in the appendices, and also report of second cycle findings after the recommendations were employed.</w:t>
      </w:r>
    </w:p>
    <w:p w14:paraId="50E67611">
      <w:pPr>
        <w:spacing w:line="360" w:lineRule="auto"/>
        <w:rPr>
          <w:rFonts w:ascii="Times New Roman" w:hAnsi="Times New Roman" w:eastAsia="Times New Roman" w:cs="Times New Roman"/>
          <w:sz w:val="22"/>
          <w:szCs w:val="22"/>
        </w:rPr>
      </w:pPr>
    </w:p>
    <w:p w14:paraId="344C59E5">
      <w:pPr>
        <w:spacing w:line="360"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1.2 Materials and Methods</w:t>
      </w:r>
    </w:p>
    <w:p w14:paraId="7021795C">
      <w:pPr>
        <w:spacing w:line="360" w:lineRule="auto"/>
        <w:rPr>
          <w:rFonts w:ascii="Times New Roman" w:hAnsi="Times New Roman" w:eastAsia="Times New Roman" w:cs="Times New Roman"/>
        </w:rPr>
      </w:pPr>
      <w:r>
        <w:rPr>
          <w:rFonts w:ascii="Times New Roman" w:hAnsi="Times New Roman" w:eastAsia="Times New Roman" w:cs="Times New Roman"/>
        </w:rPr>
        <w:t xml:space="preserve">This study was conducted in the surgical services of the Mary Immaculate Medical Centre, a Missionary Specialist hospital in Benin, Nigeria. The study employed a mixed methods approach, involving a dual-cycle closed-loop audit, to audit ERAS practices. The first cycle was the baseline audit and involved a retrospective audit of 150 patients chosen by convenient sampling who underwent elective abdominal surgery in the hospital between 15th of October 2023 to 15th of October 2024.  Emergency and day case surgeries were excluded. Every component of ERAS was carefully noted in patient’s records and adherence to 16 (pre-operative, intra-operative and post-operative) components from the ERAS guidelines, pertaining to surgical care were analyzed. </w:t>
      </w:r>
    </w:p>
    <w:p w14:paraId="4F39B016">
      <w:pPr>
        <w:spacing w:line="360" w:lineRule="auto"/>
        <w:rPr>
          <w:rFonts w:ascii="Times New Roman" w:hAnsi="Times New Roman" w:eastAsia="Times New Roman" w:cs="Times New Roman"/>
        </w:rPr>
      </w:pPr>
    </w:p>
    <w:p w14:paraId="73252AF5">
      <w:pPr>
        <w:spacing w:line="360" w:lineRule="auto"/>
        <w:rPr>
          <w:rFonts w:ascii="Times New Roman" w:hAnsi="Times New Roman" w:eastAsia="Times New Roman" w:cs="Times New Roman"/>
        </w:rPr>
      </w:pPr>
      <w:r>
        <w:rPr>
          <w:rFonts w:ascii="Times New Roman" w:hAnsi="Times New Roman" w:eastAsia="Times New Roman" w:cs="Times New Roman"/>
        </w:rPr>
        <w:t>The second cycle (re-audit) involved convenient sampling of 65 surgical cases using the same eligibility criteria as in the first cycle but with prospective data collection and was conducted between November 2024 and May 2025. Prior to this, intervention strategies incorporating standards of ERAS care from published guidelines were discussed in a multidisciplinary clinical meeting. This has been shown to be the most appropriate approach to use when implementing change in performance in a clinical setting [8]. Recommendations were adopted and are detailed in the appendices (Appendix 1). Hospital management accepted and implemented the recommendations, while compliance to adherence was monitored. Simple descriptive statistics were used to analyze the data. All data entry and analysis were performed using Microsoft Excel 2016</w:t>
      </w:r>
      <w:r>
        <w:rPr>
          <w:rFonts w:ascii="PT Serif" w:hAnsi="PT Serif" w:eastAsia="PT Serif" w:cs="PT Serif"/>
        </w:rPr>
        <w:t>.</w:t>
      </w:r>
    </w:p>
    <w:p w14:paraId="73EDF994">
      <w:pPr>
        <w:spacing w:line="360" w:lineRule="auto"/>
        <w:rPr>
          <w:rFonts w:ascii="Times New Roman" w:hAnsi="Times New Roman" w:eastAsia="Times New Roman" w:cs="Times New Roman"/>
          <w:sz w:val="22"/>
          <w:szCs w:val="22"/>
        </w:rPr>
      </w:pPr>
    </w:p>
    <w:p w14:paraId="0B8C9748">
      <w:pPr>
        <w:spacing w:line="360"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 xml:space="preserve">1.3 Results </w:t>
      </w:r>
    </w:p>
    <w:p w14:paraId="2B946A04">
      <w:pPr>
        <w:spacing w:line="360" w:lineRule="auto"/>
        <w:rPr>
          <w:rFonts w:ascii="Times New Roman" w:hAnsi="Times New Roman" w:eastAsia="Times New Roman" w:cs="Times New Roman"/>
        </w:rPr>
      </w:pPr>
      <w:r>
        <w:rPr>
          <w:rFonts w:ascii="Times New Roman" w:hAnsi="Times New Roman" w:eastAsia="Times New Roman" w:cs="Times New Roman"/>
        </w:rPr>
        <w:t xml:space="preserve">In this study, 215 surgical cases were reviewed; comprising 150 in the first cycle and 65 in the second cycle and all pertained to elective abdominal surgeries. The demography consists of 125 females, 25 males, and with a mean age of 36.75 years (14.75) (range of 11 to 80 years), while in the second cycle, 65 cases were included. The demography in the second cycle consists of twenty (20) adult males, forty five (45) adult females, with a mean age of 36.7 (12.56) (range of eight to 15 to 65 years) (table 1). Elective abdominal surgeries included were </w:t>
      </w:r>
      <w:r>
        <w:rPr>
          <w:rFonts w:ascii="Times New Roman" w:hAnsi="Times New Roman" w:eastAsia="Times New Roman" w:cs="Times New Roman"/>
          <w:highlight w:val="white"/>
        </w:rPr>
        <w:t>cesarean </w:t>
      </w:r>
      <w:r>
        <w:rPr>
          <w:rFonts w:ascii="Times New Roman" w:hAnsi="Times New Roman" w:eastAsia="Times New Roman" w:cs="Times New Roman"/>
        </w:rPr>
        <w:t>section, total abdominal hysterectomy, myomectomy, appendectomy and exploratory laparotomy (table 2)</w:t>
      </w:r>
    </w:p>
    <w:p w14:paraId="77B3F284">
      <w:pPr>
        <w:spacing w:line="360" w:lineRule="auto"/>
        <w:rPr>
          <w:rFonts w:ascii="Times New Roman" w:hAnsi="Times New Roman" w:eastAsia="Times New Roman" w:cs="Times New Roman"/>
        </w:rPr>
      </w:pPr>
    </w:p>
    <w:p w14:paraId="4D6BB4B4">
      <w:pPr>
        <w:spacing w:line="360" w:lineRule="auto"/>
        <w:rPr>
          <w:rFonts w:ascii="Times New Roman" w:hAnsi="Times New Roman" w:eastAsia="Times New Roman" w:cs="Times New Roman"/>
        </w:rPr>
      </w:pPr>
    </w:p>
    <w:p w14:paraId="380035E2">
      <w:pPr>
        <w:spacing w:line="360" w:lineRule="auto"/>
        <w:rPr>
          <w:rFonts w:ascii="Times New Roman" w:hAnsi="Times New Roman" w:eastAsia="Times New Roman" w:cs="Times New Roman"/>
        </w:rPr>
      </w:pPr>
    </w:p>
    <w:p w14:paraId="7B1FE66E">
      <w:pPr>
        <w:spacing w:line="360" w:lineRule="auto"/>
        <w:rPr>
          <w:rFonts w:ascii="Times New Roman" w:hAnsi="Times New Roman" w:eastAsia="Times New Roman" w:cs="Times New Roman"/>
          <w:b/>
          <w:sz w:val="22"/>
          <w:szCs w:val="22"/>
        </w:rPr>
      </w:pPr>
      <w:r>
        <w:rPr>
          <w:rFonts w:ascii="Times New Roman" w:hAnsi="Times New Roman" w:eastAsia="Times New Roman" w:cs="Times New Roman"/>
          <w:sz w:val="22"/>
          <w:szCs w:val="22"/>
        </w:rPr>
        <w:t xml:space="preserve">Table 1 </w:t>
      </w:r>
      <w:r>
        <w:rPr>
          <w:rFonts w:ascii="Times New Roman" w:hAnsi="Times New Roman" w:eastAsia="Times New Roman" w:cs="Times New Roman"/>
          <w:b/>
          <w:sz w:val="22"/>
          <w:szCs w:val="22"/>
        </w:rPr>
        <w:t>Demography</w:t>
      </w:r>
    </w:p>
    <w:tbl>
      <w:tblPr>
        <w:tblStyle w:val="15"/>
        <w:tblW w:w="7779"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93"/>
        <w:gridCol w:w="2593"/>
        <w:gridCol w:w="2593"/>
      </w:tblGrid>
      <w:tr w14:paraId="3A4E203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trPr>
        <w:tc>
          <w:tcPr>
            <w:tcW w:w="2593" w:type="dxa"/>
            <w:tcBorders>
              <w:right w:val="nil"/>
            </w:tcBorders>
          </w:tcPr>
          <w:p w14:paraId="11D8072B">
            <w:pPr>
              <w:spacing w:line="36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Characteristics</w:t>
            </w:r>
          </w:p>
        </w:tc>
        <w:tc>
          <w:tcPr>
            <w:tcW w:w="2593" w:type="dxa"/>
            <w:tcBorders>
              <w:left w:val="nil"/>
              <w:bottom w:val="single" w:color="000000" w:sz="4" w:space="0"/>
              <w:right w:val="nil"/>
            </w:tcBorders>
          </w:tcPr>
          <w:p w14:paraId="2797C42E">
            <w:pPr>
              <w:spacing w:line="36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First cycle</w:t>
            </w:r>
          </w:p>
        </w:tc>
        <w:tc>
          <w:tcPr>
            <w:tcW w:w="2593" w:type="dxa"/>
            <w:tcBorders>
              <w:left w:val="nil"/>
              <w:bottom w:val="single" w:color="000000" w:sz="4" w:space="0"/>
            </w:tcBorders>
          </w:tcPr>
          <w:p w14:paraId="044DDE19">
            <w:pPr>
              <w:spacing w:line="36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Second cycle</w:t>
            </w:r>
          </w:p>
        </w:tc>
      </w:tr>
      <w:tr w14:paraId="0B6DB4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trPr>
        <w:tc>
          <w:tcPr>
            <w:tcW w:w="2593" w:type="dxa"/>
            <w:tcBorders>
              <w:bottom w:val="nil"/>
              <w:right w:val="nil"/>
            </w:tcBorders>
          </w:tcPr>
          <w:p w14:paraId="62362A6E">
            <w:pPr>
              <w:spacing w:line="360" w:lineRule="auto"/>
              <w:rPr>
                <w:rFonts w:ascii="Times New Roman" w:hAnsi="Times New Roman" w:eastAsia="Times New Roman" w:cs="Times New Roman"/>
                <w:sz w:val="20"/>
                <w:szCs w:val="20"/>
              </w:rPr>
            </w:pPr>
          </w:p>
        </w:tc>
        <w:tc>
          <w:tcPr>
            <w:tcW w:w="2593" w:type="dxa"/>
            <w:tcBorders>
              <w:left w:val="nil"/>
              <w:bottom w:val="nil"/>
              <w:right w:val="nil"/>
            </w:tcBorders>
          </w:tcPr>
          <w:p w14:paraId="530698FF">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N                 %</w:t>
            </w:r>
          </w:p>
        </w:tc>
        <w:tc>
          <w:tcPr>
            <w:tcW w:w="2593" w:type="dxa"/>
            <w:tcBorders>
              <w:left w:val="nil"/>
              <w:bottom w:val="nil"/>
            </w:tcBorders>
          </w:tcPr>
          <w:p w14:paraId="3F286313">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N            %</w:t>
            </w:r>
          </w:p>
        </w:tc>
      </w:tr>
      <w:tr w14:paraId="0D9B6D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8" w:hRule="atLeast"/>
        </w:trPr>
        <w:tc>
          <w:tcPr>
            <w:tcW w:w="2593" w:type="dxa"/>
            <w:tcBorders>
              <w:top w:val="nil"/>
              <w:bottom w:val="nil"/>
              <w:right w:val="nil"/>
            </w:tcBorders>
          </w:tcPr>
          <w:p w14:paraId="0AA25DDA">
            <w:pPr>
              <w:spacing w:line="360" w:lineRule="auto"/>
              <w:jc w:val="left"/>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 Sex                Female</w:t>
            </w:r>
          </w:p>
        </w:tc>
        <w:tc>
          <w:tcPr>
            <w:tcW w:w="2593" w:type="dxa"/>
            <w:tcBorders>
              <w:top w:val="nil"/>
              <w:left w:val="nil"/>
              <w:bottom w:val="nil"/>
              <w:right w:val="nil"/>
            </w:tcBorders>
          </w:tcPr>
          <w:p w14:paraId="11F72DF8">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125             83</w:t>
            </w:r>
          </w:p>
        </w:tc>
        <w:tc>
          <w:tcPr>
            <w:tcW w:w="2593" w:type="dxa"/>
            <w:tcBorders>
              <w:top w:val="nil"/>
              <w:left w:val="nil"/>
              <w:bottom w:val="nil"/>
            </w:tcBorders>
          </w:tcPr>
          <w:p w14:paraId="52AB384B">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45            75</w:t>
            </w:r>
          </w:p>
        </w:tc>
      </w:tr>
      <w:tr w14:paraId="4C5CB5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8" w:hRule="atLeast"/>
        </w:trPr>
        <w:tc>
          <w:tcPr>
            <w:tcW w:w="2593" w:type="dxa"/>
            <w:tcBorders>
              <w:top w:val="nil"/>
              <w:bottom w:val="nil"/>
              <w:right w:val="nil"/>
            </w:tcBorders>
          </w:tcPr>
          <w:p w14:paraId="1ECDB2FF">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Male</w:t>
            </w:r>
          </w:p>
        </w:tc>
        <w:tc>
          <w:tcPr>
            <w:tcW w:w="2593" w:type="dxa"/>
            <w:tcBorders>
              <w:top w:val="nil"/>
              <w:left w:val="nil"/>
              <w:bottom w:val="nil"/>
              <w:right w:val="nil"/>
            </w:tcBorders>
          </w:tcPr>
          <w:p w14:paraId="5458911D">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25               17</w:t>
            </w:r>
          </w:p>
        </w:tc>
        <w:tc>
          <w:tcPr>
            <w:tcW w:w="2593" w:type="dxa"/>
            <w:tcBorders>
              <w:top w:val="nil"/>
              <w:left w:val="nil"/>
              <w:bottom w:val="nil"/>
            </w:tcBorders>
          </w:tcPr>
          <w:p w14:paraId="64C3F361">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20            25</w:t>
            </w:r>
          </w:p>
        </w:tc>
      </w:tr>
      <w:tr w14:paraId="34A408E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8" w:hRule="atLeast"/>
        </w:trPr>
        <w:tc>
          <w:tcPr>
            <w:tcW w:w="2593" w:type="dxa"/>
            <w:tcBorders>
              <w:top w:val="nil"/>
              <w:bottom w:val="nil"/>
              <w:right w:val="nil"/>
            </w:tcBorders>
          </w:tcPr>
          <w:p w14:paraId="1B99400F">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Age (years)</w:t>
            </w:r>
          </w:p>
        </w:tc>
        <w:tc>
          <w:tcPr>
            <w:tcW w:w="2593" w:type="dxa"/>
            <w:tcBorders>
              <w:top w:val="nil"/>
              <w:left w:val="nil"/>
              <w:bottom w:val="nil"/>
              <w:right w:val="nil"/>
            </w:tcBorders>
          </w:tcPr>
          <w:p w14:paraId="613B3E9D">
            <w:pPr>
              <w:spacing w:line="360" w:lineRule="auto"/>
              <w:jc w:val="center"/>
              <w:rPr>
                <w:rFonts w:ascii="Times New Roman" w:hAnsi="Times New Roman" w:eastAsia="Times New Roman" w:cs="Times New Roman"/>
                <w:sz w:val="20"/>
                <w:szCs w:val="20"/>
              </w:rPr>
            </w:pPr>
          </w:p>
        </w:tc>
        <w:tc>
          <w:tcPr>
            <w:tcW w:w="2593" w:type="dxa"/>
            <w:tcBorders>
              <w:top w:val="nil"/>
              <w:left w:val="nil"/>
              <w:bottom w:val="nil"/>
            </w:tcBorders>
          </w:tcPr>
          <w:p w14:paraId="38DDEB98">
            <w:pPr>
              <w:spacing w:line="360" w:lineRule="auto"/>
              <w:jc w:val="center"/>
              <w:rPr>
                <w:rFonts w:ascii="Times New Roman" w:hAnsi="Times New Roman" w:eastAsia="Times New Roman" w:cs="Times New Roman"/>
                <w:sz w:val="20"/>
                <w:szCs w:val="20"/>
              </w:rPr>
            </w:pPr>
          </w:p>
        </w:tc>
      </w:tr>
      <w:tr w14:paraId="15C1A9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8" w:hRule="atLeast"/>
        </w:trPr>
        <w:tc>
          <w:tcPr>
            <w:tcW w:w="2593" w:type="dxa"/>
            <w:tcBorders>
              <w:top w:val="nil"/>
              <w:bottom w:val="nil"/>
              <w:right w:val="nil"/>
            </w:tcBorders>
          </w:tcPr>
          <w:p w14:paraId="13F641DD">
            <w:pPr>
              <w:spacing w:line="360" w:lineRule="auto"/>
              <w:jc w:val="left"/>
              <w:rPr>
                <w:rFonts w:ascii="Times New Roman" w:hAnsi="Times New Roman" w:eastAsia="Times New Roman" w:cs="Times New Roman"/>
                <w:sz w:val="20"/>
                <w:szCs w:val="20"/>
              </w:rPr>
            </w:pPr>
            <w:r>
              <w:rPr>
                <w:rFonts w:ascii="Times New Roman" w:hAnsi="Times New Roman" w:eastAsia="Times New Roman" w:cs="Times New Roman"/>
                <w:sz w:val="20"/>
                <w:szCs w:val="20"/>
              </w:rPr>
              <w:t>Age (years)       &lt; 18yrs</w:t>
            </w:r>
          </w:p>
        </w:tc>
        <w:tc>
          <w:tcPr>
            <w:tcW w:w="2593" w:type="dxa"/>
            <w:tcBorders>
              <w:top w:val="nil"/>
              <w:left w:val="nil"/>
              <w:bottom w:val="nil"/>
              <w:right w:val="nil"/>
            </w:tcBorders>
          </w:tcPr>
          <w:p w14:paraId="69497ABF">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30               20</w:t>
            </w:r>
          </w:p>
        </w:tc>
        <w:tc>
          <w:tcPr>
            <w:tcW w:w="2593" w:type="dxa"/>
            <w:tcBorders>
              <w:top w:val="nil"/>
              <w:left w:val="nil"/>
              <w:bottom w:val="nil"/>
            </w:tcBorders>
          </w:tcPr>
          <w:p w14:paraId="42F6EBD2">
            <w:pPr>
              <w:spacing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                    13              20</w:t>
            </w:r>
          </w:p>
        </w:tc>
      </w:tr>
      <w:tr w14:paraId="7A4462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8" w:hRule="atLeast"/>
        </w:trPr>
        <w:tc>
          <w:tcPr>
            <w:tcW w:w="2593" w:type="dxa"/>
            <w:tcBorders>
              <w:top w:val="nil"/>
              <w:bottom w:val="nil"/>
              <w:right w:val="nil"/>
            </w:tcBorders>
          </w:tcPr>
          <w:p w14:paraId="418FDDDA">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    18 -59yrs</w:t>
            </w:r>
          </w:p>
        </w:tc>
        <w:tc>
          <w:tcPr>
            <w:tcW w:w="2593" w:type="dxa"/>
            <w:tcBorders>
              <w:top w:val="nil"/>
              <w:left w:val="nil"/>
              <w:bottom w:val="nil"/>
              <w:right w:val="nil"/>
            </w:tcBorders>
          </w:tcPr>
          <w:p w14:paraId="473ECBF0">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105             70</w:t>
            </w:r>
          </w:p>
        </w:tc>
        <w:tc>
          <w:tcPr>
            <w:tcW w:w="2593" w:type="dxa"/>
            <w:tcBorders>
              <w:top w:val="nil"/>
              <w:left w:val="nil"/>
              <w:bottom w:val="nil"/>
            </w:tcBorders>
          </w:tcPr>
          <w:p w14:paraId="4F228490">
            <w:pPr>
              <w:spacing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                    45             69.2</w:t>
            </w:r>
          </w:p>
        </w:tc>
      </w:tr>
      <w:tr w14:paraId="537AB10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57" w:hRule="atLeast"/>
        </w:trPr>
        <w:tc>
          <w:tcPr>
            <w:tcW w:w="2593" w:type="dxa"/>
            <w:tcBorders>
              <w:top w:val="nil"/>
              <w:bottom w:val="nil"/>
              <w:right w:val="nil"/>
            </w:tcBorders>
          </w:tcPr>
          <w:p w14:paraId="2C70841A">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    &gt; 60yrs</w:t>
            </w:r>
          </w:p>
        </w:tc>
        <w:tc>
          <w:tcPr>
            <w:tcW w:w="2593" w:type="dxa"/>
            <w:tcBorders>
              <w:top w:val="nil"/>
              <w:left w:val="nil"/>
              <w:bottom w:val="nil"/>
              <w:right w:val="nil"/>
            </w:tcBorders>
          </w:tcPr>
          <w:p w14:paraId="738894B6">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15               10</w:t>
            </w:r>
          </w:p>
        </w:tc>
        <w:tc>
          <w:tcPr>
            <w:tcW w:w="2593" w:type="dxa"/>
            <w:tcBorders>
              <w:top w:val="nil"/>
              <w:left w:val="nil"/>
              <w:bottom w:val="nil"/>
            </w:tcBorders>
          </w:tcPr>
          <w:p w14:paraId="59BDFDF5">
            <w:pPr>
              <w:spacing w:line="360" w:lineRule="auto"/>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                      7             10.8</w:t>
            </w:r>
          </w:p>
          <w:p w14:paraId="68C472F3">
            <w:pPr>
              <w:spacing w:line="360" w:lineRule="auto"/>
              <w:jc w:val="center"/>
              <w:rPr>
                <w:rFonts w:ascii="Times New Roman" w:hAnsi="Times New Roman" w:eastAsia="Times New Roman" w:cs="Times New Roman"/>
                <w:sz w:val="20"/>
                <w:szCs w:val="20"/>
              </w:rPr>
            </w:pPr>
          </w:p>
        </w:tc>
      </w:tr>
      <w:tr w14:paraId="48CB569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8" w:hRule="atLeast"/>
        </w:trPr>
        <w:tc>
          <w:tcPr>
            <w:tcW w:w="2593" w:type="dxa"/>
            <w:tcBorders>
              <w:top w:val="nil"/>
              <w:bottom w:val="nil"/>
              <w:right w:val="nil"/>
            </w:tcBorders>
          </w:tcPr>
          <w:p w14:paraId="24E6A187">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Total No</w:t>
            </w:r>
          </w:p>
        </w:tc>
        <w:tc>
          <w:tcPr>
            <w:tcW w:w="2593" w:type="dxa"/>
            <w:tcBorders>
              <w:top w:val="nil"/>
              <w:left w:val="nil"/>
              <w:bottom w:val="nil"/>
              <w:right w:val="nil"/>
            </w:tcBorders>
          </w:tcPr>
          <w:p w14:paraId="3ECF8A2A">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150             100</w:t>
            </w:r>
          </w:p>
        </w:tc>
        <w:tc>
          <w:tcPr>
            <w:tcW w:w="2593" w:type="dxa"/>
            <w:tcBorders>
              <w:top w:val="nil"/>
              <w:left w:val="nil"/>
              <w:bottom w:val="nil"/>
            </w:tcBorders>
          </w:tcPr>
          <w:p w14:paraId="3AF44A18">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     65          100</w:t>
            </w:r>
          </w:p>
        </w:tc>
      </w:tr>
      <w:tr w14:paraId="51B097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38" w:hRule="atLeast"/>
        </w:trPr>
        <w:tc>
          <w:tcPr>
            <w:tcW w:w="2593" w:type="dxa"/>
            <w:tcBorders>
              <w:top w:val="nil"/>
              <w:right w:val="nil"/>
            </w:tcBorders>
          </w:tcPr>
          <w:p w14:paraId="3BC56021">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Mean (SD)</w:t>
            </w:r>
          </w:p>
        </w:tc>
        <w:tc>
          <w:tcPr>
            <w:tcW w:w="2593" w:type="dxa"/>
            <w:tcBorders>
              <w:top w:val="nil"/>
              <w:left w:val="nil"/>
              <w:right w:val="nil"/>
            </w:tcBorders>
          </w:tcPr>
          <w:p w14:paraId="1E05AF34">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36.75 (14.75)</w:t>
            </w:r>
          </w:p>
        </w:tc>
        <w:tc>
          <w:tcPr>
            <w:tcW w:w="2593" w:type="dxa"/>
            <w:tcBorders>
              <w:top w:val="nil"/>
              <w:left w:val="nil"/>
            </w:tcBorders>
          </w:tcPr>
          <w:p w14:paraId="5B1F0FDE">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 xml:space="preserve">       36.70 (12.56)</w:t>
            </w:r>
          </w:p>
        </w:tc>
      </w:tr>
    </w:tbl>
    <w:p w14:paraId="7EAD4FDD">
      <w:pPr>
        <w:spacing w:line="360" w:lineRule="auto"/>
        <w:rPr>
          <w:rFonts w:ascii="Times New Roman" w:hAnsi="Times New Roman" w:eastAsia="Times New Roman" w:cs="Times New Roman"/>
          <w:sz w:val="22"/>
          <w:szCs w:val="22"/>
        </w:rPr>
      </w:pPr>
    </w:p>
    <w:p w14:paraId="59DDBE61">
      <w:pPr>
        <w:spacing w:line="360" w:lineRule="auto"/>
        <w:rPr>
          <w:rFonts w:ascii="Times New Roman" w:hAnsi="Times New Roman" w:eastAsia="Times New Roman" w:cs="Times New Roman"/>
          <w:b/>
          <w:sz w:val="22"/>
          <w:szCs w:val="22"/>
        </w:rPr>
      </w:pPr>
      <w:r>
        <w:rPr>
          <w:rFonts w:ascii="Times New Roman" w:hAnsi="Times New Roman" w:eastAsia="Times New Roman" w:cs="Times New Roman"/>
          <w:sz w:val="22"/>
          <w:szCs w:val="22"/>
        </w:rPr>
        <w:t xml:space="preserve">Table 2 </w:t>
      </w:r>
      <w:r>
        <w:rPr>
          <w:rFonts w:ascii="Times New Roman" w:hAnsi="Times New Roman" w:eastAsia="Times New Roman" w:cs="Times New Roman"/>
          <w:b/>
          <w:sz w:val="22"/>
          <w:szCs w:val="22"/>
        </w:rPr>
        <w:t>Elective abdominal procedures</w:t>
      </w:r>
    </w:p>
    <w:tbl>
      <w:tblPr>
        <w:tblStyle w:val="16"/>
        <w:tblW w:w="7798"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786"/>
        <w:gridCol w:w="2506"/>
        <w:gridCol w:w="2506"/>
      </w:tblGrid>
      <w:tr w14:paraId="499F19A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2786" w:type="dxa"/>
            <w:tcBorders>
              <w:right w:val="nil"/>
            </w:tcBorders>
          </w:tcPr>
          <w:p w14:paraId="2ADD7B10">
            <w:pPr>
              <w:spacing w:line="36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Procedure</w:t>
            </w:r>
          </w:p>
        </w:tc>
        <w:tc>
          <w:tcPr>
            <w:tcW w:w="2506" w:type="dxa"/>
            <w:tcBorders>
              <w:left w:val="nil"/>
              <w:bottom w:val="single" w:color="000000" w:sz="4" w:space="0"/>
              <w:right w:val="nil"/>
            </w:tcBorders>
          </w:tcPr>
          <w:p w14:paraId="0DC6D6E7">
            <w:pPr>
              <w:spacing w:line="36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First cycle</w:t>
            </w:r>
          </w:p>
        </w:tc>
        <w:tc>
          <w:tcPr>
            <w:tcW w:w="2506" w:type="dxa"/>
            <w:tcBorders>
              <w:left w:val="nil"/>
              <w:bottom w:val="single" w:color="000000" w:sz="4" w:space="0"/>
            </w:tcBorders>
          </w:tcPr>
          <w:p w14:paraId="202F1757">
            <w:pPr>
              <w:spacing w:line="36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Second cycle</w:t>
            </w:r>
          </w:p>
        </w:tc>
      </w:tr>
      <w:tr w14:paraId="4E3ED5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0" w:hRule="atLeast"/>
        </w:trPr>
        <w:tc>
          <w:tcPr>
            <w:tcW w:w="2786" w:type="dxa"/>
            <w:tcBorders>
              <w:bottom w:val="nil"/>
              <w:right w:val="nil"/>
            </w:tcBorders>
          </w:tcPr>
          <w:p w14:paraId="77A80C95">
            <w:pPr>
              <w:spacing w:line="360" w:lineRule="auto"/>
              <w:jc w:val="center"/>
              <w:rPr>
                <w:rFonts w:ascii="Times New Roman" w:hAnsi="Times New Roman" w:eastAsia="Times New Roman" w:cs="Times New Roman"/>
                <w:sz w:val="20"/>
                <w:szCs w:val="20"/>
              </w:rPr>
            </w:pPr>
          </w:p>
        </w:tc>
        <w:tc>
          <w:tcPr>
            <w:tcW w:w="2506" w:type="dxa"/>
            <w:tcBorders>
              <w:left w:val="nil"/>
              <w:bottom w:val="nil"/>
              <w:right w:val="nil"/>
            </w:tcBorders>
          </w:tcPr>
          <w:p w14:paraId="04F7A612">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N              %</w:t>
            </w:r>
          </w:p>
        </w:tc>
        <w:tc>
          <w:tcPr>
            <w:tcW w:w="2506" w:type="dxa"/>
            <w:tcBorders>
              <w:left w:val="nil"/>
              <w:bottom w:val="nil"/>
            </w:tcBorders>
          </w:tcPr>
          <w:p w14:paraId="2BAAB06B">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N              %</w:t>
            </w:r>
          </w:p>
        </w:tc>
      </w:tr>
      <w:tr w14:paraId="722301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1" w:hRule="atLeast"/>
        </w:trPr>
        <w:tc>
          <w:tcPr>
            <w:tcW w:w="2786" w:type="dxa"/>
            <w:tcBorders>
              <w:top w:val="nil"/>
              <w:bottom w:val="nil"/>
              <w:right w:val="nil"/>
            </w:tcBorders>
          </w:tcPr>
          <w:p w14:paraId="5B8AFD43">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Caesarean section</w:t>
            </w:r>
          </w:p>
        </w:tc>
        <w:tc>
          <w:tcPr>
            <w:tcW w:w="2506" w:type="dxa"/>
            <w:tcBorders>
              <w:top w:val="nil"/>
              <w:left w:val="nil"/>
              <w:bottom w:val="nil"/>
              <w:right w:val="nil"/>
            </w:tcBorders>
          </w:tcPr>
          <w:p w14:paraId="7E22D5F1">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47             31.3</w:t>
            </w:r>
          </w:p>
        </w:tc>
        <w:tc>
          <w:tcPr>
            <w:tcW w:w="2506" w:type="dxa"/>
            <w:tcBorders>
              <w:top w:val="nil"/>
              <w:left w:val="nil"/>
              <w:bottom w:val="nil"/>
            </w:tcBorders>
          </w:tcPr>
          <w:p w14:paraId="19768041">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30             46.2</w:t>
            </w:r>
          </w:p>
        </w:tc>
      </w:tr>
      <w:tr w14:paraId="287DEE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1" w:hRule="atLeast"/>
        </w:trPr>
        <w:tc>
          <w:tcPr>
            <w:tcW w:w="2786" w:type="dxa"/>
            <w:tcBorders>
              <w:top w:val="nil"/>
              <w:bottom w:val="nil"/>
              <w:right w:val="nil"/>
            </w:tcBorders>
          </w:tcPr>
          <w:p w14:paraId="43F4B518">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Appendectomy</w:t>
            </w:r>
          </w:p>
        </w:tc>
        <w:tc>
          <w:tcPr>
            <w:tcW w:w="2506" w:type="dxa"/>
            <w:tcBorders>
              <w:top w:val="nil"/>
              <w:left w:val="nil"/>
              <w:bottom w:val="nil"/>
              <w:right w:val="nil"/>
            </w:tcBorders>
          </w:tcPr>
          <w:p w14:paraId="1DD42B78">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37             24.7</w:t>
            </w:r>
          </w:p>
        </w:tc>
        <w:tc>
          <w:tcPr>
            <w:tcW w:w="2506" w:type="dxa"/>
            <w:tcBorders>
              <w:top w:val="nil"/>
              <w:left w:val="nil"/>
              <w:bottom w:val="nil"/>
            </w:tcBorders>
          </w:tcPr>
          <w:p w14:paraId="6F945496">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12             18.5</w:t>
            </w:r>
          </w:p>
        </w:tc>
      </w:tr>
      <w:tr w14:paraId="534697B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1" w:hRule="atLeast"/>
        </w:trPr>
        <w:tc>
          <w:tcPr>
            <w:tcW w:w="2786" w:type="dxa"/>
            <w:tcBorders>
              <w:top w:val="nil"/>
              <w:bottom w:val="nil"/>
              <w:right w:val="nil"/>
            </w:tcBorders>
          </w:tcPr>
          <w:p w14:paraId="02451F93">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Total Abdominal Hysterectomy</w:t>
            </w:r>
          </w:p>
        </w:tc>
        <w:tc>
          <w:tcPr>
            <w:tcW w:w="2506" w:type="dxa"/>
            <w:tcBorders>
              <w:top w:val="nil"/>
              <w:left w:val="nil"/>
              <w:bottom w:val="nil"/>
              <w:right w:val="nil"/>
            </w:tcBorders>
          </w:tcPr>
          <w:p w14:paraId="30D8F377">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10              6.7</w:t>
            </w:r>
          </w:p>
        </w:tc>
        <w:tc>
          <w:tcPr>
            <w:tcW w:w="2506" w:type="dxa"/>
            <w:tcBorders>
              <w:top w:val="nil"/>
              <w:left w:val="nil"/>
              <w:bottom w:val="nil"/>
            </w:tcBorders>
          </w:tcPr>
          <w:p w14:paraId="0E00E464">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3               4.6</w:t>
            </w:r>
          </w:p>
        </w:tc>
      </w:tr>
      <w:tr w14:paraId="0FCD940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91" w:hRule="atLeast"/>
        </w:trPr>
        <w:tc>
          <w:tcPr>
            <w:tcW w:w="2786" w:type="dxa"/>
            <w:tcBorders>
              <w:top w:val="nil"/>
              <w:bottom w:val="nil"/>
              <w:right w:val="nil"/>
            </w:tcBorders>
          </w:tcPr>
          <w:p w14:paraId="5637E51B">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Exploratory laparotomy</w:t>
            </w:r>
          </w:p>
        </w:tc>
        <w:tc>
          <w:tcPr>
            <w:tcW w:w="2506" w:type="dxa"/>
            <w:tcBorders>
              <w:top w:val="nil"/>
              <w:left w:val="nil"/>
              <w:bottom w:val="nil"/>
              <w:right w:val="nil"/>
            </w:tcBorders>
          </w:tcPr>
          <w:p w14:paraId="395D2688">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33              22</w:t>
            </w:r>
          </w:p>
        </w:tc>
        <w:tc>
          <w:tcPr>
            <w:tcW w:w="2506" w:type="dxa"/>
            <w:tcBorders>
              <w:top w:val="nil"/>
              <w:left w:val="nil"/>
              <w:bottom w:val="nil"/>
            </w:tcBorders>
          </w:tcPr>
          <w:p w14:paraId="459C148F">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5               7.6</w:t>
            </w:r>
          </w:p>
        </w:tc>
      </w:tr>
      <w:tr w14:paraId="5A8B76B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39" w:hRule="atLeast"/>
        </w:trPr>
        <w:tc>
          <w:tcPr>
            <w:tcW w:w="2786" w:type="dxa"/>
            <w:tcBorders>
              <w:top w:val="nil"/>
              <w:bottom w:val="nil"/>
              <w:right w:val="nil"/>
            </w:tcBorders>
          </w:tcPr>
          <w:p w14:paraId="5CB4C7D4">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Myomectomy</w:t>
            </w:r>
          </w:p>
        </w:tc>
        <w:tc>
          <w:tcPr>
            <w:tcW w:w="2506" w:type="dxa"/>
            <w:tcBorders>
              <w:top w:val="nil"/>
              <w:left w:val="nil"/>
              <w:bottom w:val="nil"/>
              <w:right w:val="nil"/>
            </w:tcBorders>
          </w:tcPr>
          <w:p w14:paraId="1E62F073">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23              15.3</w:t>
            </w:r>
          </w:p>
        </w:tc>
        <w:tc>
          <w:tcPr>
            <w:tcW w:w="2506" w:type="dxa"/>
            <w:tcBorders>
              <w:top w:val="nil"/>
              <w:left w:val="nil"/>
              <w:bottom w:val="nil"/>
            </w:tcBorders>
          </w:tcPr>
          <w:p w14:paraId="54AF3CD9">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15              23.1</w:t>
            </w:r>
          </w:p>
          <w:p w14:paraId="61BE3F33">
            <w:pPr>
              <w:spacing w:line="360" w:lineRule="auto"/>
              <w:jc w:val="center"/>
              <w:rPr>
                <w:rFonts w:ascii="Times New Roman" w:hAnsi="Times New Roman" w:eastAsia="Times New Roman" w:cs="Times New Roman"/>
                <w:sz w:val="20"/>
                <w:szCs w:val="20"/>
              </w:rPr>
            </w:pPr>
          </w:p>
        </w:tc>
      </w:tr>
      <w:tr w14:paraId="31A29D5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91" w:hRule="atLeast"/>
        </w:trPr>
        <w:tc>
          <w:tcPr>
            <w:tcW w:w="2786" w:type="dxa"/>
            <w:tcBorders>
              <w:top w:val="nil"/>
              <w:right w:val="nil"/>
            </w:tcBorders>
          </w:tcPr>
          <w:p w14:paraId="33565FF7">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Total</w:t>
            </w:r>
          </w:p>
        </w:tc>
        <w:tc>
          <w:tcPr>
            <w:tcW w:w="2506" w:type="dxa"/>
            <w:tcBorders>
              <w:top w:val="nil"/>
              <w:left w:val="nil"/>
              <w:right w:val="nil"/>
            </w:tcBorders>
          </w:tcPr>
          <w:p w14:paraId="13AC4885">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150            100</w:t>
            </w:r>
          </w:p>
        </w:tc>
        <w:tc>
          <w:tcPr>
            <w:tcW w:w="2506" w:type="dxa"/>
            <w:tcBorders>
              <w:top w:val="nil"/>
              <w:left w:val="nil"/>
            </w:tcBorders>
          </w:tcPr>
          <w:p w14:paraId="5366DC39">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65              100</w:t>
            </w:r>
          </w:p>
          <w:p w14:paraId="2C1B629B">
            <w:pPr>
              <w:spacing w:line="360" w:lineRule="auto"/>
              <w:jc w:val="center"/>
              <w:rPr>
                <w:rFonts w:ascii="Times New Roman" w:hAnsi="Times New Roman" w:eastAsia="Times New Roman" w:cs="Times New Roman"/>
                <w:sz w:val="20"/>
                <w:szCs w:val="20"/>
              </w:rPr>
            </w:pPr>
          </w:p>
        </w:tc>
      </w:tr>
    </w:tbl>
    <w:p w14:paraId="467BD672">
      <w:pPr>
        <w:spacing w:line="360" w:lineRule="auto"/>
        <w:rPr>
          <w:rFonts w:ascii="Times New Roman" w:hAnsi="Times New Roman" w:eastAsia="Times New Roman" w:cs="Times New Roman"/>
        </w:rPr>
      </w:pPr>
    </w:p>
    <w:p w14:paraId="17DEAF34">
      <w:pPr>
        <w:spacing w:line="360" w:lineRule="auto"/>
        <w:rPr>
          <w:rFonts w:ascii="Times New Roman" w:hAnsi="Times New Roman" w:eastAsia="Times New Roman" w:cs="Times New Roman"/>
          <w:sz w:val="22"/>
          <w:szCs w:val="22"/>
        </w:rPr>
      </w:pPr>
    </w:p>
    <w:p w14:paraId="54F424EC">
      <w:pPr>
        <w:spacing w:line="360"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 xml:space="preserve">Table 3: </w:t>
      </w:r>
      <w:r>
        <w:rPr>
          <w:rFonts w:ascii="Times New Roman" w:hAnsi="Times New Roman" w:eastAsia="Times New Roman" w:cs="Times New Roman"/>
          <w:b/>
          <w:sz w:val="22"/>
          <w:szCs w:val="22"/>
        </w:rPr>
        <w:t>Compliance scoring as a percentage of the various factors</w:t>
      </w:r>
    </w:p>
    <w:tbl>
      <w:tblPr>
        <w:tblStyle w:val="17"/>
        <w:tblW w:w="7659"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553"/>
        <w:gridCol w:w="2553"/>
        <w:gridCol w:w="2553"/>
      </w:tblGrid>
      <w:tr w14:paraId="7ABADC7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108" w:hRule="atLeast"/>
        </w:trPr>
        <w:tc>
          <w:tcPr>
            <w:tcW w:w="2553" w:type="dxa"/>
          </w:tcPr>
          <w:p w14:paraId="35395311">
            <w:pPr>
              <w:spacing w:line="360" w:lineRule="auto"/>
              <w:rPr>
                <w:rFonts w:ascii="Times New Roman" w:hAnsi="Times New Roman" w:eastAsia="Times New Roman" w:cs="Times New Roman"/>
              </w:rPr>
            </w:pPr>
          </w:p>
          <w:p w14:paraId="73348B24">
            <w:pPr>
              <w:spacing w:line="360" w:lineRule="auto"/>
              <w:jc w:val="center"/>
              <w:rPr>
                <w:rFonts w:ascii="Times New Roman" w:hAnsi="Times New Roman" w:eastAsia="Times New Roman" w:cs="Times New Roman"/>
                <w:b/>
              </w:rPr>
            </w:pPr>
            <w:r>
              <w:rPr>
                <w:rFonts w:ascii="Times New Roman" w:hAnsi="Times New Roman" w:eastAsia="Times New Roman" w:cs="Times New Roman"/>
                <w:b/>
              </w:rPr>
              <w:t>Excellent (90 – 100%)</w:t>
            </w:r>
          </w:p>
          <w:p w14:paraId="41CAC75C">
            <w:pPr>
              <w:spacing w:line="360" w:lineRule="auto"/>
              <w:rPr>
                <w:rFonts w:ascii="Times New Roman" w:hAnsi="Times New Roman" w:eastAsia="Times New Roman" w:cs="Times New Roman"/>
              </w:rPr>
            </w:pPr>
          </w:p>
          <w:p w14:paraId="1B4EE1D3">
            <w:pPr>
              <w:spacing w:line="360" w:lineRule="auto"/>
              <w:rPr>
                <w:rFonts w:ascii="Times New Roman" w:hAnsi="Times New Roman" w:eastAsia="Times New Roman" w:cs="Times New Roman"/>
                <w:b/>
                <w:color w:val="00FF00"/>
              </w:rPr>
            </w:pPr>
            <w:r>
              <w:rPr>
                <w:rFonts w:ascii="Times New Roman" w:hAnsi="Times New Roman" w:eastAsia="Times New Roman" w:cs="Times New Roman"/>
                <w:b/>
              </w:rPr>
              <w:t xml:space="preserve">                </w:t>
            </w:r>
            <w:r>
              <w:rPr>
                <w:rFonts w:ascii="Times New Roman" w:hAnsi="Times New Roman" w:eastAsia="Times New Roman" w:cs="Times New Roman"/>
                <w:color w:val="00FF00"/>
              </w:rPr>
              <w:t xml:space="preserve"> </w:t>
            </w:r>
            <w:r>
              <w:rPr>
                <w:rFonts w:ascii="Times New Roman" w:hAnsi="Times New Roman" w:eastAsia="Times New Roman" w:cs="Times New Roman"/>
                <w:b/>
                <w:color w:val="00FF00"/>
              </w:rPr>
              <w:t xml:space="preserve"> X</w:t>
            </w:r>
          </w:p>
        </w:tc>
        <w:tc>
          <w:tcPr>
            <w:tcW w:w="2553" w:type="dxa"/>
          </w:tcPr>
          <w:p w14:paraId="3C3A277B">
            <w:pPr>
              <w:spacing w:line="360" w:lineRule="auto"/>
              <w:rPr>
                <w:rFonts w:ascii="Times New Roman" w:hAnsi="Times New Roman" w:eastAsia="Times New Roman" w:cs="Times New Roman"/>
              </w:rPr>
            </w:pPr>
          </w:p>
          <w:p w14:paraId="1E096CA2">
            <w:pPr>
              <w:spacing w:line="360" w:lineRule="auto"/>
              <w:jc w:val="center"/>
              <w:rPr>
                <w:rFonts w:ascii="Times New Roman" w:hAnsi="Times New Roman" w:eastAsia="Times New Roman" w:cs="Times New Roman"/>
                <w:b/>
              </w:rPr>
            </w:pPr>
            <w:r>
              <w:rPr>
                <w:rFonts w:ascii="Times New Roman" w:hAnsi="Times New Roman" w:eastAsia="Times New Roman" w:cs="Times New Roman"/>
                <w:b/>
              </w:rPr>
              <w:t>Good (60 – 90%)</w:t>
            </w:r>
          </w:p>
          <w:p w14:paraId="6A99393F">
            <w:pPr>
              <w:spacing w:line="360" w:lineRule="auto"/>
              <w:rPr>
                <w:rFonts w:ascii="Times New Roman" w:hAnsi="Times New Roman" w:eastAsia="Times New Roman" w:cs="Times New Roman"/>
              </w:rPr>
            </w:pPr>
          </w:p>
          <w:p w14:paraId="13362126">
            <w:pPr>
              <w:spacing w:line="360" w:lineRule="auto"/>
              <w:rPr>
                <w:rFonts w:ascii="Times New Roman" w:hAnsi="Times New Roman" w:eastAsia="Times New Roman" w:cs="Times New Roman"/>
                <w:b/>
                <w:color w:val="FFFF00"/>
              </w:rPr>
            </w:pPr>
            <w:r>
              <w:rPr>
                <w:rFonts w:ascii="Times New Roman" w:hAnsi="Times New Roman" w:eastAsia="Times New Roman" w:cs="Times New Roman"/>
                <w:b/>
              </w:rPr>
              <w:t xml:space="preserve">                   </w:t>
            </w:r>
            <w:r>
              <w:rPr>
                <w:rFonts w:ascii="Times New Roman" w:hAnsi="Times New Roman" w:eastAsia="Times New Roman" w:cs="Times New Roman"/>
                <w:b/>
                <w:color w:val="FFFF00"/>
              </w:rPr>
              <w:t xml:space="preserve"> X</w:t>
            </w:r>
          </w:p>
        </w:tc>
        <w:tc>
          <w:tcPr>
            <w:tcW w:w="2553" w:type="dxa"/>
          </w:tcPr>
          <w:p w14:paraId="1EA25A91">
            <w:pPr>
              <w:spacing w:line="360" w:lineRule="auto"/>
              <w:rPr>
                <w:rFonts w:ascii="Times New Roman" w:hAnsi="Times New Roman" w:eastAsia="Times New Roman" w:cs="Times New Roman"/>
              </w:rPr>
            </w:pPr>
          </w:p>
          <w:p w14:paraId="55792326">
            <w:pPr>
              <w:spacing w:line="360" w:lineRule="auto"/>
              <w:jc w:val="center"/>
              <w:rPr>
                <w:rFonts w:ascii="Times New Roman" w:hAnsi="Times New Roman" w:eastAsia="Times New Roman" w:cs="Times New Roman"/>
                <w:b/>
              </w:rPr>
            </w:pPr>
            <w:r>
              <w:rPr>
                <w:rFonts w:ascii="Times New Roman" w:hAnsi="Times New Roman" w:eastAsia="Times New Roman" w:cs="Times New Roman"/>
                <w:b/>
              </w:rPr>
              <w:t>Poor (&lt;60%)</w:t>
            </w:r>
          </w:p>
          <w:p w14:paraId="234644AB">
            <w:pPr>
              <w:spacing w:line="360" w:lineRule="auto"/>
              <w:jc w:val="center"/>
              <w:rPr>
                <w:rFonts w:ascii="Times New Roman" w:hAnsi="Times New Roman" w:eastAsia="Times New Roman" w:cs="Times New Roman"/>
              </w:rPr>
            </w:pPr>
          </w:p>
          <w:p w14:paraId="59C5221F">
            <w:pPr>
              <w:spacing w:line="360" w:lineRule="auto"/>
              <w:jc w:val="center"/>
              <w:rPr>
                <w:rFonts w:ascii="Times New Roman" w:hAnsi="Times New Roman" w:eastAsia="Times New Roman" w:cs="Times New Roman"/>
                <w:b/>
                <w:color w:val="FF0000"/>
              </w:rPr>
            </w:pPr>
            <w:r>
              <w:rPr>
                <w:rFonts w:ascii="Times New Roman" w:hAnsi="Times New Roman" w:eastAsia="Times New Roman" w:cs="Times New Roman"/>
                <w:b/>
                <w:color w:val="FF0000"/>
              </w:rPr>
              <w:t>X</w:t>
            </w:r>
          </w:p>
        </w:tc>
      </w:tr>
    </w:tbl>
    <w:p w14:paraId="6DA8E64C">
      <w:pPr>
        <w:spacing w:line="360" w:lineRule="auto"/>
        <w:rPr>
          <w:rFonts w:ascii="Times New Roman" w:hAnsi="Times New Roman" w:eastAsia="Times New Roman" w:cs="Times New Roman"/>
        </w:rPr>
      </w:pPr>
    </w:p>
    <w:p w14:paraId="0397D172">
      <w:pPr>
        <w:spacing w:line="360" w:lineRule="auto"/>
        <w:rPr>
          <w:rFonts w:ascii="Times New Roman" w:hAnsi="Times New Roman" w:eastAsia="Times New Roman" w:cs="Times New Roman"/>
        </w:rPr>
      </w:pPr>
    </w:p>
    <w:p w14:paraId="724AC22D">
      <w:pPr>
        <w:spacing w:line="360" w:lineRule="auto"/>
        <w:rPr>
          <w:rFonts w:ascii="Times New Roman" w:hAnsi="Times New Roman" w:eastAsia="Times New Roman" w:cs="Times New Roman"/>
        </w:rPr>
      </w:pPr>
    </w:p>
    <w:p w14:paraId="3908284B">
      <w:pPr>
        <w:spacing w:line="360" w:lineRule="auto"/>
        <w:rPr>
          <w:rFonts w:ascii="Times New Roman" w:hAnsi="Times New Roman" w:eastAsia="Times New Roman" w:cs="Times New Roman"/>
        </w:rPr>
      </w:pPr>
    </w:p>
    <w:p w14:paraId="08FE871D">
      <w:pPr>
        <w:spacing w:line="360" w:lineRule="auto"/>
        <w:rPr>
          <w:rFonts w:ascii="Times New Roman" w:hAnsi="Times New Roman" w:eastAsia="Times New Roman" w:cs="Times New Roman"/>
        </w:rPr>
      </w:pPr>
    </w:p>
    <w:p w14:paraId="27920A0D">
      <w:pPr>
        <w:spacing w:line="360" w:lineRule="auto"/>
        <w:rPr>
          <w:rFonts w:ascii="Times New Roman" w:hAnsi="Times New Roman" w:eastAsia="Times New Roman" w:cs="Times New Roman"/>
          <w:b/>
          <w:sz w:val="20"/>
          <w:szCs w:val="20"/>
        </w:rPr>
      </w:pPr>
      <w:r>
        <w:rPr>
          <w:rFonts w:ascii="Times New Roman" w:hAnsi="Times New Roman" w:eastAsia="Times New Roman" w:cs="Times New Roman"/>
        </w:rPr>
        <w:t xml:space="preserve">Table 4 </w:t>
      </w:r>
      <w:r>
        <w:rPr>
          <w:rFonts w:ascii="Times New Roman" w:hAnsi="Times New Roman" w:eastAsia="Times New Roman" w:cs="Times New Roman"/>
          <w:b/>
          <w:sz w:val="22"/>
          <w:szCs w:val="22"/>
        </w:rPr>
        <w:t>Measure of compliance to components of ERAS</w:t>
      </w:r>
    </w:p>
    <w:tbl>
      <w:tblPr>
        <w:tblStyle w:val="18"/>
        <w:tblW w:w="9938" w:type="dxa"/>
        <w:tblInd w:w="-284"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794"/>
        <w:gridCol w:w="1029"/>
        <w:gridCol w:w="1185"/>
        <w:gridCol w:w="1106"/>
        <w:gridCol w:w="1376"/>
        <w:gridCol w:w="1517"/>
        <w:gridCol w:w="1931"/>
      </w:tblGrid>
      <w:tr w14:paraId="559946B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5114" w:type="dxa"/>
            <w:gridSpan w:val="4"/>
          </w:tcPr>
          <w:p w14:paraId="28985623">
            <w:pPr>
              <w:spacing w:line="360" w:lineRule="auto"/>
              <w:jc w:val="center"/>
              <w:rPr>
                <w:rFonts w:ascii="Times New Roman" w:hAnsi="Times New Roman" w:eastAsia="Times New Roman" w:cs="Times New Roman"/>
                <w:b/>
                <w:sz w:val="18"/>
                <w:szCs w:val="18"/>
              </w:rPr>
            </w:pPr>
            <w:r>
              <w:rPr>
                <w:rFonts w:ascii="Times New Roman" w:hAnsi="Times New Roman" w:eastAsia="Times New Roman" w:cs="Times New Roman"/>
                <w:b/>
                <w:sz w:val="18"/>
                <w:szCs w:val="18"/>
              </w:rPr>
              <w:t>FIRST CYCLE</w:t>
            </w:r>
          </w:p>
        </w:tc>
        <w:tc>
          <w:tcPr>
            <w:tcW w:w="1376" w:type="dxa"/>
            <w:tcBorders>
              <w:left w:val="nil"/>
              <w:bottom w:val="single" w:color="000000" w:sz="4" w:space="0"/>
              <w:right w:val="nil"/>
            </w:tcBorders>
          </w:tcPr>
          <w:p w14:paraId="772D4624">
            <w:pPr>
              <w:spacing w:line="360" w:lineRule="auto"/>
              <w:jc w:val="right"/>
              <w:rPr>
                <w:rFonts w:ascii="Times New Roman" w:hAnsi="Times New Roman" w:eastAsia="Times New Roman" w:cs="Times New Roman"/>
                <w:b/>
                <w:sz w:val="18"/>
                <w:szCs w:val="18"/>
              </w:rPr>
            </w:pPr>
          </w:p>
        </w:tc>
        <w:tc>
          <w:tcPr>
            <w:tcW w:w="1517" w:type="dxa"/>
            <w:tcBorders>
              <w:left w:val="nil"/>
              <w:bottom w:val="single" w:color="000000" w:sz="4" w:space="0"/>
              <w:right w:val="nil"/>
            </w:tcBorders>
            <w:vAlign w:val="center"/>
          </w:tcPr>
          <w:p w14:paraId="1EE8D395">
            <w:pPr>
              <w:spacing w:line="360" w:lineRule="auto"/>
              <w:jc w:val="center"/>
              <w:rPr>
                <w:rFonts w:ascii="Times New Roman" w:hAnsi="Times New Roman" w:eastAsia="Times New Roman" w:cs="Times New Roman"/>
                <w:b/>
                <w:sz w:val="18"/>
                <w:szCs w:val="18"/>
              </w:rPr>
            </w:pPr>
            <w:r>
              <w:rPr>
                <w:rFonts w:ascii="Times New Roman" w:hAnsi="Times New Roman" w:eastAsia="Times New Roman" w:cs="Times New Roman"/>
                <w:b/>
                <w:sz w:val="18"/>
                <w:szCs w:val="18"/>
              </w:rPr>
              <w:t>SECOND CYCLE</w:t>
            </w:r>
          </w:p>
        </w:tc>
        <w:tc>
          <w:tcPr>
            <w:tcW w:w="1931" w:type="dxa"/>
            <w:tcBorders>
              <w:left w:val="nil"/>
              <w:bottom w:val="single" w:color="000000" w:sz="4" w:space="0"/>
            </w:tcBorders>
          </w:tcPr>
          <w:p w14:paraId="6509C262">
            <w:pPr>
              <w:spacing w:line="360" w:lineRule="auto"/>
              <w:jc w:val="center"/>
              <w:rPr>
                <w:rFonts w:ascii="Times New Roman" w:hAnsi="Times New Roman" w:eastAsia="Times New Roman" w:cs="Times New Roman"/>
                <w:sz w:val="18"/>
                <w:szCs w:val="18"/>
              </w:rPr>
            </w:pPr>
          </w:p>
          <w:p w14:paraId="42731FD7">
            <w:pPr>
              <w:spacing w:line="360" w:lineRule="auto"/>
              <w:jc w:val="center"/>
              <w:rPr>
                <w:rFonts w:ascii="Times New Roman" w:hAnsi="Times New Roman" w:eastAsia="Times New Roman" w:cs="Times New Roman"/>
                <w:sz w:val="18"/>
                <w:szCs w:val="18"/>
              </w:rPr>
            </w:pPr>
          </w:p>
        </w:tc>
      </w:tr>
      <w:tr w14:paraId="19B80FB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07" w:hRule="atLeast"/>
        </w:trPr>
        <w:tc>
          <w:tcPr>
            <w:tcW w:w="1794" w:type="dxa"/>
            <w:tcBorders>
              <w:bottom w:val="single" w:color="000000" w:sz="4" w:space="0"/>
              <w:right w:val="nil"/>
            </w:tcBorders>
          </w:tcPr>
          <w:p w14:paraId="743A7228">
            <w:pPr>
              <w:spacing w:line="360" w:lineRule="auto"/>
              <w:jc w:val="center"/>
              <w:rPr>
                <w:rFonts w:ascii="Times New Roman" w:hAnsi="Times New Roman" w:eastAsia="Times New Roman" w:cs="Times New Roman"/>
                <w:b/>
                <w:sz w:val="18"/>
                <w:szCs w:val="18"/>
              </w:rPr>
            </w:pPr>
            <w:r>
              <w:rPr>
                <w:rFonts w:ascii="Times New Roman" w:hAnsi="Times New Roman" w:eastAsia="Times New Roman" w:cs="Times New Roman"/>
                <w:b/>
                <w:sz w:val="18"/>
                <w:szCs w:val="18"/>
              </w:rPr>
              <w:t>ERAS  Measures</w:t>
            </w:r>
          </w:p>
        </w:tc>
        <w:tc>
          <w:tcPr>
            <w:tcW w:w="1029" w:type="dxa"/>
            <w:tcBorders>
              <w:left w:val="nil"/>
              <w:bottom w:val="single" w:color="000000" w:sz="4" w:space="0"/>
              <w:right w:val="nil"/>
            </w:tcBorders>
          </w:tcPr>
          <w:p w14:paraId="013A51A9">
            <w:pPr>
              <w:spacing w:line="360" w:lineRule="auto"/>
              <w:jc w:val="center"/>
              <w:rPr>
                <w:rFonts w:ascii="Times New Roman" w:hAnsi="Times New Roman" w:eastAsia="Times New Roman" w:cs="Times New Roman"/>
                <w:b/>
                <w:sz w:val="18"/>
                <w:szCs w:val="18"/>
              </w:rPr>
            </w:pPr>
            <w:r>
              <w:rPr>
                <w:rFonts w:ascii="Times New Roman" w:hAnsi="Times New Roman" w:eastAsia="Times New Roman" w:cs="Times New Roman"/>
                <w:b/>
                <w:sz w:val="18"/>
                <w:szCs w:val="18"/>
              </w:rPr>
              <w:t>Results</w:t>
            </w:r>
          </w:p>
        </w:tc>
        <w:tc>
          <w:tcPr>
            <w:tcW w:w="1185" w:type="dxa"/>
            <w:tcBorders>
              <w:left w:val="nil"/>
              <w:bottom w:val="single" w:color="000000" w:sz="4" w:space="0"/>
              <w:right w:val="nil"/>
            </w:tcBorders>
          </w:tcPr>
          <w:p w14:paraId="355B6DE1">
            <w:pPr>
              <w:spacing w:line="360" w:lineRule="auto"/>
              <w:jc w:val="center"/>
              <w:rPr>
                <w:rFonts w:ascii="Times New Roman" w:hAnsi="Times New Roman" w:eastAsia="Times New Roman" w:cs="Times New Roman"/>
                <w:b/>
                <w:sz w:val="18"/>
                <w:szCs w:val="18"/>
              </w:rPr>
            </w:pPr>
            <w:r>
              <w:rPr>
                <w:rFonts w:ascii="Times New Roman" w:hAnsi="Times New Roman" w:eastAsia="Times New Roman" w:cs="Times New Roman"/>
                <w:b/>
                <w:sz w:val="18"/>
                <w:szCs w:val="18"/>
              </w:rPr>
              <w:t>Percentage compliance (%)</w:t>
            </w:r>
          </w:p>
        </w:tc>
        <w:tc>
          <w:tcPr>
            <w:tcW w:w="1106" w:type="dxa"/>
            <w:tcBorders>
              <w:left w:val="nil"/>
              <w:bottom w:val="single" w:color="000000" w:sz="4" w:space="0"/>
            </w:tcBorders>
          </w:tcPr>
          <w:p w14:paraId="0F930E09">
            <w:pPr>
              <w:spacing w:line="360" w:lineRule="auto"/>
              <w:jc w:val="center"/>
              <w:rPr>
                <w:rFonts w:ascii="Times New Roman" w:hAnsi="Times New Roman" w:eastAsia="Times New Roman" w:cs="Times New Roman"/>
                <w:b/>
                <w:sz w:val="18"/>
                <w:szCs w:val="18"/>
              </w:rPr>
            </w:pPr>
            <w:r>
              <w:rPr>
                <w:rFonts w:ascii="Times New Roman" w:hAnsi="Times New Roman" w:eastAsia="Times New Roman" w:cs="Times New Roman"/>
                <w:b/>
                <w:sz w:val="18"/>
                <w:szCs w:val="18"/>
              </w:rPr>
              <w:t>Overall compliance      (%)</w:t>
            </w:r>
          </w:p>
        </w:tc>
        <w:tc>
          <w:tcPr>
            <w:tcW w:w="1376" w:type="dxa"/>
            <w:tcBorders>
              <w:left w:val="nil"/>
              <w:bottom w:val="single" w:color="000000" w:sz="4" w:space="0"/>
              <w:right w:val="nil"/>
            </w:tcBorders>
          </w:tcPr>
          <w:p w14:paraId="178E1E37">
            <w:pPr>
              <w:spacing w:line="360" w:lineRule="auto"/>
              <w:jc w:val="center"/>
              <w:rPr>
                <w:rFonts w:ascii="Times New Roman" w:hAnsi="Times New Roman" w:eastAsia="Times New Roman" w:cs="Times New Roman"/>
                <w:b/>
                <w:sz w:val="18"/>
                <w:szCs w:val="18"/>
              </w:rPr>
            </w:pPr>
            <w:r>
              <w:rPr>
                <w:rFonts w:ascii="Times New Roman" w:hAnsi="Times New Roman" w:eastAsia="Times New Roman" w:cs="Times New Roman"/>
                <w:b/>
                <w:sz w:val="18"/>
                <w:szCs w:val="18"/>
              </w:rPr>
              <w:t xml:space="preserve">Results </w:t>
            </w:r>
          </w:p>
          <w:p w14:paraId="4229E2E2">
            <w:pPr>
              <w:spacing w:line="360" w:lineRule="auto"/>
              <w:jc w:val="center"/>
              <w:rPr>
                <w:rFonts w:ascii="Times New Roman" w:hAnsi="Times New Roman" w:eastAsia="Times New Roman" w:cs="Times New Roman"/>
                <w:b/>
                <w:sz w:val="18"/>
                <w:szCs w:val="18"/>
              </w:rPr>
            </w:pPr>
          </w:p>
        </w:tc>
        <w:tc>
          <w:tcPr>
            <w:tcW w:w="1517" w:type="dxa"/>
            <w:tcBorders>
              <w:left w:val="nil"/>
              <w:bottom w:val="single" w:color="000000" w:sz="4" w:space="0"/>
              <w:right w:val="nil"/>
            </w:tcBorders>
          </w:tcPr>
          <w:p w14:paraId="5BF1D174">
            <w:pPr>
              <w:spacing w:line="360" w:lineRule="auto"/>
              <w:jc w:val="center"/>
              <w:rPr>
                <w:rFonts w:ascii="Times New Roman" w:hAnsi="Times New Roman" w:eastAsia="Times New Roman" w:cs="Times New Roman"/>
                <w:b/>
                <w:sz w:val="18"/>
                <w:szCs w:val="18"/>
              </w:rPr>
            </w:pPr>
            <w:r>
              <w:rPr>
                <w:rFonts w:ascii="Times New Roman" w:hAnsi="Times New Roman" w:eastAsia="Times New Roman" w:cs="Times New Roman"/>
                <w:b/>
                <w:sz w:val="18"/>
                <w:szCs w:val="18"/>
              </w:rPr>
              <w:t>Percentage compliance</w:t>
            </w:r>
          </w:p>
        </w:tc>
        <w:tc>
          <w:tcPr>
            <w:tcW w:w="1931" w:type="dxa"/>
            <w:tcBorders>
              <w:left w:val="nil"/>
              <w:bottom w:val="single" w:color="000000" w:sz="4" w:space="0"/>
            </w:tcBorders>
          </w:tcPr>
          <w:p w14:paraId="66FD2D19">
            <w:pPr>
              <w:spacing w:line="360" w:lineRule="auto"/>
              <w:jc w:val="center"/>
              <w:rPr>
                <w:rFonts w:ascii="Times New Roman" w:hAnsi="Times New Roman" w:eastAsia="Times New Roman" w:cs="Times New Roman"/>
                <w:b/>
                <w:sz w:val="18"/>
                <w:szCs w:val="18"/>
              </w:rPr>
            </w:pPr>
            <w:r>
              <w:rPr>
                <w:rFonts w:ascii="Times New Roman" w:hAnsi="Times New Roman" w:eastAsia="Times New Roman" w:cs="Times New Roman"/>
                <w:b/>
                <w:sz w:val="18"/>
                <w:szCs w:val="18"/>
              </w:rPr>
              <w:t xml:space="preserve">Overall compliance  </w:t>
            </w:r>
          </w:p>
        </w:tc>
      </w:tr>
      <w:tr w14:paraId="5E524D6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bottom w:val="nil"/>
              <w:right w:val="nil"/>
            </w:tcBorders>
          </w:tcPr>
          <w:p w14:paraId="4540C8EF">
            <w:pPr>
              <w:spacing w:line="360" w:lineRule="auto"/>
              <w:jc w:val="center"/>
              <w:rPr>
                <w:rFonts w:ascii="Times New Roman" w:hAnsi="Times New Roman" w:eastAsia="Times New Roman" w:cs="Times New Roman"/>
                <w:b/>
                <w:sz w:val="18"/>
                <w:szCs w:val="18"/>
              </w:rPr>
            </w:pPr>
            <w:r>
              <w:rPr>
                <w:rFonts w:ascii="Times New Roman" w:hAnsi="Times New Roman" w:eastAsia="Times New Roman" w:cs="Times New Roman"/>
                <w:b/>
                <w:sz w:val="18"/>
                <w:szCs w:val="18"/>
              </w:rPr>
              <w:t>PRE OP</w:t>
            </w:r>
          </w:p>
        </w:tc>
        <w:tc>
          <w:tcPr>
            <w:tcW w:w="1029" w:type="dxa"/>
            <w:tcBorders>
              <w:top w:val="single" w:color="000000" w:sz="4" w:space="0"/>
              <w:left w:val="nil"/>
              <w:bottom w:val="nil"/>
              <w:right w:val="nil"/>
            </w:tcBorders>
          </w:tcPr>
          <w:p w14:paraId="61695BA7">
            <w:pPr>
              <w:spacing w:line="360" w:lineRule="auto"/>
              <w:jc w:val="center"/>
              <w:rPr>
                <w:rFonts w:ascii="Times New Roman" w:hAnsi="Times New Roman" w:eastAsia="Times New Roman" w:cs="Times New Roman"/>
                <w:sz w:val="18"/>
                <w:szCs w:val="18"/>
              </w:rPr>
            </w:pPr>
          </w:p>
        </w:tc>
        <w:tc>
          <w:tcPr>
            <w:tcW w:w="1185" w:type="dxa"/>
            <w:tcBorders>
              <w:top w:val="single" w:color="000000" w:sz="4" w:space="0"/>
              <w:left w:val="nil"/>
              <w:bottom w:val="nil"/>
              <w:right w:val="nil"/>
            </w:tcBorders>
          </w:tcPr>
          <w:p w14:paraId="21EE05EA">
            <w:pPr>
              <w:spacing w:line="360" w:lineRule="auto"/>
              <w:jc w:val="center"/>
              <w:rPr>
                <w:rFonts w:ascii="Times New Roman" w:hAnsi="Times New Roman" w:eastAsia="Times New Roman" w:cs="Times New Roman"/>
                <w:sz w:val="18"/>
                <w:szCs w:val="18"/>
              </w:rPr>
            </w:pPr>
          </w:p>
        </w:tc>
        <w:tc>
          <w:tcPr>
            <w:tcW w:w="1106" w:type="dxa"/>
            <w:tcBorders>
              <w:left w:val="nil"/>
              <w:bottom w:val="nil"/>
            </w:tcBorders>
          </w:tcPr>
          <w:p w14:paraId="4365993B">
            <w:pPr>
              <w:spacing w:line="360" w:lineRule="auto"/>
              <w:jc w:val="center"/>
              <w:rPr>
                <w:rFonts w:ascii="Times New Roman" w:hAnsi="Times New Roman" w:eastAsia="Times New Roman" w:cs="Times New Roman"/>
                <w:color w:val="FF0000"/>
                <w:sz w:val="18"/>
                <w:szCs w:val="18"/>
              </w:rPr>
            </w:pPr>
            <w:r>
              <w:rPr>
                <w:rFonts w:ascii="Times New Roman" w:hAnsi="Times New Roman" w:eastAsia="Times New Roman" w:cs="Times New Roman"/>
                <w:sz w:val="18"/>
                <w:szCs w:val="18"/>
              </w:rPr>
              <w:t xml:space="preserve">19 </w:t>
            </w:r>
            <w:r>
              <w:rPr>
                <w:rFonts w:ascii="Times New Roman" w:hAnsi="Times New Roman" w:eastAsia="Times New Roman" w:cs="Times New Roman"/>
                <w:b/>
                <w:color w:val="FF0000"/>
              </w:rPr>
              <w:t>X</w:t>
            </w:r>
          </w:p>
        </w:tc>
        <w:tc>
          <w:tcPr>
            <w:tcW w:w="1376" w:type="dxa"/>
            <w:tcBorders>
              <w:top w:val="single" w:color="000000" w:sz="4" w:space="0"/>
              <w:left w:val="nil"/>
              <w:bottom w:val="nil"/>
              <w:right w:val="nil"/>
            </w:tcBorders>
          </w:tcPr>
          <w:p w14:paraId="2BB44141">
            <w:pPr>
              <w:spacing w:line="360" w:lineRule="auto"/>
              <w:jc w:val="center"/>
              <w:rPr>
                <w:rFonts w:ascii="Times New Roman" w:hAnsi="Times New Roman" w:eastAsia="Times New Roman" w:cs="Times New Roman"/>
                <w:sz w:val="18"/>
                <w:szCs w:val="18"/>
              </w:rPr>
            </w:pPr>
          </w:p>
        </w:tc>
        <w:tc>
          <w:tcPr>
            <w:tcW w:w="1517" w:type="dxa"/>
            <w:tcBorders>
              <w:top w:val="single" w:color="000000" w:sz="4" w:space="0"/>
              <w:left w:val="nil"/>
              <w:bottom w:val="nil"/>
              <w:right w:val="nil"/>
            </w:tcBorders>
          </w:tcPr>
          <w:p w14:paraId="3D3825C4">
            <w:pPr>
              <w:spacing w:line="360" w:lineRule="auto"/>
              <w:jc w:val="center"/>
              <w:rPr>
                <w:rFonts w:ascii="Times New Roman" w:hAnsi="Times New Roman" w:eastAsia="Times New Roman" w:cs="Times New Roman"/>
                <w:sz w:val="18"/>
                <w:szCs w:val="18"/>
              </w:rPr>
            </w:pPr>
          </w:p>
        </w:tc>
        <w:tc>
          <w:tcPr>
            <w:tcW w:w="1931" w:type="dxa"/>
            <w:tcBorders>
              <w:left w:val="nil"/>
              <w:bottom w:val="nil"/>
            </w:tcBorders>
          </w:tcPr>
          <w:p w14:paraId="2E0DB129">
            <w:pPr>
              <w:spacing w:line="360" w:lineRule="auto"/>
              <w:jc w:val="center"/>
              <w:rPr>
                <w:rFonts w:ascii="Times New Roman" w:hAnsi="Times New Roman" w:eastAsia="Times New Roman" w:cs="Times New Roman"/>
                <w:color w:val="00FF00"/>
                <w:sz w:val="18"/>
                <w:szCs w:val="18"/>
              </w:rPr>
            </w:pPr>
            <w:r>
              <w:rPr>
                <w:rFonts w:ascii="Times New Roman" w:hAnsi="Times New Roman" w:eastAsia="Times New Roman" w:cs="Times New Roman"/>
                <w:sz w:val="18"/>
                <w:szCs w:val="18"/>
              </w:rPr>
              <w:t xml:space="preserve">83.5 </w:t>
            </w:r>
            <w:r>
              <w:rPr>
                <w:rFonts w:ascii="Times New Roman" w:hAnsi="Times New Roman" w:eastAsia="Times New Roman" w:cs="Times New Roman"/>
                <w:b/>
                <w:color w:val="00FF00"/>
              </w:rPr>
              <w:t>X</w:t>
            </w:r>
          </w:p>
        </w:tc>
      </w:tr>
      <w:tr w14:paraId="6357157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top w:val="nil"/>
              <w:bottom w:val="nil"/>
              <w:right w:val="nil"/>
            </w:tcBorders>
          </w:tcPr>
          <w:p w14:paraId="166F7A20">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Correction of anemia</w:t>
            </w:r>
          </w:p>
        </w:tc>
        <w:tc>
          <w:tcPr>
            <w:tcW w:w="1029" w:type="dxa"/>
            <w:tcBorders>
              <w:top w:val="nil"/>
              <w:left w:val="nil"/>
              <w:bottom w:val="nil"/>
              <w:right w:val="nil"/>
            </w:tcBorders>
          </w:tcPr>
          <w:p w14:paraId="4DACE914">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40/40</w:t>
            </w:r>
          </w:p>
        </w:tc>
        <w:tc>
          <w:tcPr>
            <w:tcW w:w="1185" w:type="dxa"/>
            <w:tcBorders>
              <w:top w:val="nil"/>
              <w:left w:val="nil"/>
              <w:bottom w:val="nil"/>
              <w:right w:val="nil"/>
            </w:tcBorders>
          </w:tcPr>
          <w:p w14:paraId="7D767ABB">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100</w:t>
            </w:r>
          </w:p>
        </w:tc>
        <w:tc>
          <w:tcPr>
            <w:tcW w:w="1106" w:type="dxa"/>
            <w:tcBorders>
              <w:top w:val="nil"/>
              <w:left w:val="nil"/>
              <w:bottom w:val="nil"/>
            </w:tcBorders>
          </w:tcPr>
          <w:p w14:paraId="454F494D">
            <w:pPr>
              <w:spacing w:line="360" w:lineRule="auto"/>
              <w:jc w:val="center"/>
              <w:rPr>
                <w:rFonts w:ascii="Times New Roman" w:hAnsi="Times New Roman" w:eastAsia="Times New Roman" w:cs="Times New Roman"/>
                <w:sz w:val="18"/>
                <w:szCs w:val="18"/>
              </w:rPr>
            </w:pPr>
          </w:p>
        </w:tc>
        <w:tc>
          <w:tcPr>
            <w:tcW w:w="1376" w:type="dxa"/>
            <w:tcBorders>
              <w:top w:val="nil"/>
              <w:left w:val="nil"/>
              <w:bottom w:val="nil"/>
              <w:right w:val="nil"/>
            </w:tcBorders>
          </w:tcPr>
          <w:p w14:paraId="0DBBE212">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65/65</w:t>
            </w:r>
          </w:p>
        </w:tc>
        <w:tc>
          <w:tcPr>
            <w:tcW w:w="1517" w:type="dxa"/>
            <w:tcBorders>
              <w:top w:val="nil"/>
              <w:left w:val="nil"/>
              <w:bottom w:val="nil"/>
              <w:right w:val="nil"/>
            </w:tcBorders>
          </w:tcPr>
          <w:p w14:paraId="7BDC90DF">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100</w:t>
            </w:r>
          </w:p>
        </w:tc>
        <w:tc>
          <w:tcPr>
            <w:tcW w:w="1931" w:type="dxa"/>
            <w:tcBorders>
              <w:top w:val="nil"/>
              <w:left w:val="nil"/>
              <w:bottom w:val="nil"/>
            </w:tcBorders>
          </w:tcPr>
          <w:p w14:paraId="57AEAE07">
            <w:pPr>
              <w:spacing w:line="360" w:lineRule="auto"/>
              <w:jc w:val="center"/>
              <w:rPr>
                <w:rFonts w:ascii="Times New Roman" w:hAnsi="Times New Roman" w:eastAsia="Times New Roman" w:cs="Times New Roman"/>
                <w:sz w:val="18"/>
                <w:szCs w:val="18"/>
              </w:rPr>
            </w:pPr>
          </w:p>
        </w:tc>
      </w:tr>
      <w:tr w14:paraId="6278988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top w:val="nil"/>
              <w:bottom w:val="nil"/>
              <w:right w:val="nil"/>
            </w:tcBorders>
          </w:tcPr>
          <w:p w14:paraId="1EE0392C">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Correction/control of diseases (T2DM)</w:t>
            </w:r>
          </w:p>
        </w:tc>
        <w:tc>
          <w:tcPr>
            <w:tcW w:w="1029" w:type="dxa"/>
            <w:tcBorders>
              <w:top w:val="nil"/>
              <w:left w:val="nil"/>
              <w:bottom w:val="nil"/>
              <w:right w:val="nil"/>
            </w:tcBorders>
          </w:tcPr>
          <w:p w14:paraId="1AFE21E1">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25/25</w:t>
            </w:r>
          </w:p>
        </w:tc>
        <w:tc>
          <w:tcPr>
            <w:tcW w:w="1185" w:type="dxa"/>
            <w:tcBorders>
              <w:top w:val="nil"/>
              <w:left w:val="nil"/>
              <w:bottom w:val="nil"/>
              <w:right w:val="nil"/>
            </w:tcBorders>
          </w:tcPr>
          <w:p w14:paraId="226686DD">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100</w:t>
            </w:r>
          </w:p>
        </w:tc>
        <w:tc>
          <w:tcPr>
            <w:tcW w:w="1106" w:type="dxa"/>
            <w:tcBorders>
              <w:top w:val="nil"/>
              <w:left w:val="nil"/>
              <w:bottom w:val="nil"/>
            </w:tcBorders>
          </w:tcPr>
          <w:p w14:paraId="525082C2">
            <w:pPr>
              <w:spacing w:line="360" w:lineRule="auto"/>
              <w:jc w:val="center"/>
              <w:rPr>
                <w:rFonts w:ascii="Times New Roman" w:hAnsi="Times New Roman" w:eastAsia="Times New Roman" w:cs="Times New Roman"/>
                <w:sz w:val="18"/>
                <w:szCs w:val="18"/>
              </w:rPr>
            </w:pPr>
          </w:p>
        </w:tc>
        <w:tc>
          <w:tcPr>
            <w:tcW w:w="1376" w:type="dxa"/>
            <w:tcBorders>
              <w:top w:val="nil"/>
              <w:left w:val="nil"/>
              <w:bottom w:val="nil"/>
              <w:right w:val="nil"/>
            </w:tcBorders>
          </w:tcPr>
          <w:p w14:paraId="75B52856">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5/5</w:t>
            </w:r>
          </w:p>
        </w:tc>
        <w:tc>
          <w:tcPr>
            <w:tcW w:w="1517" w:type="dxa"/>
            <w:tcBorders>
              <w:top w:val="nil"/>
              <w:left w:val="nil"/>
              <w:bottom w:val="nil"/>
              <w:right w:val="nil"/>
            </w:tcBorders>
          </w:tcPr>
          <w:p w14:paraId="41D95F9B">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100</w:t>
            </w:r>
          </w:p>
        </w:tc>
        <w:tc>
          <w:tcPr>
            <w:tcW w:w="1931" w:type="dxa"/>
            <w:tcBorders>
              <w:top w:val="nil"/>
              <w:left w:val="nil"/>
              <w:bottom w:val="nil"/>
            </w:tcBorders>
          </w:tcPr>
          <w:p w14:paraId="4B359A98">
            <w:pPr>
              <w:spacing w:line="360" w:lineRule="auto"/>
              <w:jc w:val="center"/>
              <w:rPr>
                <w:rFonts w:ascii="Times New Roman" w:hAnsi="Times New Roman" w:eastAsia="Times New Roman" w:cs="Times New Roman"/>
                <w:sz w:val="18"/>
                <w:szCs w:val="18"/>
              </w:rPr>
            </w:pPr>
          </w:p>
        </w:tc>
      </w:tr>
      <w:tr w14:paraId="7BAE2F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top w:val="nil"/>
              <w:bottom w:val="nil"/>
              <w:right w:val="nil"/>
            </w:tcBorders>
          </w:tcPr>
          <w:p w14:paraId="47804EAE">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Carbohydrate loading**</w:t>
            </w:r>
          </w:p>
        </w:tc>
        <w:tc>
          <w:tcPr>
            <w:tcW w:w="1029" w:type="dxa"/>
            <w:tcBorders>
              <w:top w:val="nil"/>
              <w:left w:val="nil"/>
              <w:bottom w:val="nil"/>
              <w:right w:val="nil"/>
            </w:tcBorders>
          </w:tcPr>
          <w:p w14:paraId="205748AC">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0/125</w:t>
            </w:r>
          </w:p>
        </w:tc>
        <w:tc>
          <w:tcPr>
            <w:tcW w:w="1185" w:type="dxa"/>
            <w:tcBorders>
              <w:top w:val="nil"/>
              <w:left w:val="nil"/>
              <w:bottom w:val="nil"/>
              <w:right w:val="nil"/>
            </w:tcBorders>
          </w:tcPr>
          <w:p w14:paraId="4F8BB1B2">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106" w:type="dxa"/>
            <w:tcBorders>
              <w:top w:val="nil"/>
              <w:left w:val="nil"/>
              <w:bottom w:val="nil"/>
            </w:tcBorders>
          </w:tcPr>
          <w:p w14:paraId="3D2CD0E2">
            <w:pPr>
              <w:spacing w:line="360" w:lineRule="auto"/>
              <w:jc w:val="center"/>
              <w:rPr>
                <w:rFonts w:ascii="Times New Roman" w:hAnsi="Times New Roman" w:eastAsia="Times New Roman" w:cs="Times New Roman"/>
                <w:sz w:val="18"/>
                <w:szCs w:val="18"/>
              </w:rPr>
            </w:pPr>
          </w:p>
        </w:tc>
        <w:tc>
          <w:tcPr>
            <w:tcW w:w="1376" w:type="dxa"/>
            <w:tcBorders>
              <w:top w:val="nil"/>
              <w:left w:val="nil"/>
              <w:bottom w:val="nil"/>
              <w:right w:val="nil"/>
            </w:tcBorders>
          </w:tcPr>
          <w:p w14:paraId="7B56320F">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41/60</w:t>
            </w:r>
          </w:p>
        </w:tc>
        <w:tc>
          <w:tcPr>
            <w:tcW w:w="1517" w:type="dxa"/>
            <w:tcBorders>
              <w:top w:val="nil"/>
              <w:left w:val="nil"/>
              <w:bottom w:val="nil"/>
              <w:right w:val="nil"/>
            </w:tcBorders>
          </w:tcPr>
          <w:p w14:paraId="34CB5FFD">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68.3</w:t>
            </w:r>
          </w:p>
        </w:tc>
        <w:tc>
          <w:tcPr>
            <w:tcW w:w="1931" w:type="dxa"/>
            <w:tcBorders>
              <w:top w:val="nil"/>
              <w:left w:val="nil"/>
              <w:bottom w:val="nil"/>
            </w:tcBorders>
          </w:tcPr>
          <w:p w14:paraId="792E2E2B">
            <w:pPr>
              <w:spacing w:line="360" w:lineRule="auto"/>
              <w:jc w:val="center"/>
              <w:rPr>
                <w:rFonts w:ascii="Times New Roman" w:hAnsi="Times New Roman" w:eastAsia="Times New Roman" w:cs="Times New Roman"/>
                <w:sz w:val="18"/>
                <w:szCs w:val="18"/>
              </w:rPr>
            </w:pPr>
          </w:p>
        </w:tc>
      </w:tr>
      <w:tr w14:paraId="5AD0AD3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top w:val="nil"/>
              <w:bottom w:val="nil"/>
              <w:right w:val="nil"/>
            </w:tcBorders>
          </w:tcPr>
          <w:p w14:paraId="646E2DA2">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Pre op fasting  2hrs for liquid</w:t>
            </w:r>
          </w:p>
        </w:tc>
        <w:tc>
          <w:tcPr>
            <w:tcW w:w="1029" w:type="dxa"/>
            <w:tcBorders>
              <w:top w:val="nil"/>
              <w:left w:val="nil"/>
              <w:bottom w:val="nil"/>
              <w:right w:val="nil"/>
            </w:tcBorders>
          </w:tcPr>
          <w:p w14:paraId="71D99AA8">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0/150</w:t>
            </w:r>
          </w:p>
        </w:tc>
        <w:tc>
          <w:tcPr>
            <w:tcW w:w="1185" w:type="dxa"/>
            <w:tcBorders>
              <w:top w:val="nil"/>
              <w:left w:val="nil"/>
              <w:bottom w:val="nil"/>
              <w:right w:val="nil"/>
            </w:tcBorders>
          </w:tcPr>
          <w:p w14:paraId="440F1412">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106" w:type="dxa"/>
            <w:tcBorders>
              <w:top w:val="nil"/>
              <w:left w:val="nil"/>
              <w:bottom w:val="nil"/>
            </w:tcBorders>
          </w:tcPr>
          <w:p w14:paraId="1181C5E4">
            <w:pPr>
              <w:spacing w:line="360" w:lineRule="auto"/>
              <w:jc w:val="center"/>
              <w:rPr>
                <w:rFonts w:ascii="Times New Roman" w:hAnsi="Times New Roman" w:eastAsia="Times New Roman" w:cs="Times New Roman"/>
                <w:sz w:val="18"/>
                <w:szCs w:val="18"/>
              </w:rPr>
            </w:pPr>
          </w:p>
        </w:tc>
        <w:tc>
          <w:tcPr>
            <w:tcW w:w="1376" w:type="dxa"/>
            <w:tcBorders>
              <w:top w:val="nil"/>
              <w:left w:val="nil"/>
              <w:bottom w:val="nil"/>
              <w:right w:val="nil"/>
            </w:tcBorders>
          </w:tcPr>
          <w:p w14:paraId="3A917D04">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57/65</w:t>
            </w:r>
          </w:p>
        </w:tc>
        <w:tc>
          <w:tcPr>
            <w:tcW w:w="1517" w:type="dxa"/>
            <w:tcBorders>
              <w:top w:val="nil"/>
              <w:left w:val="nil"/>
              <w:bottom w:val="nil"/>
              <w:right w:val="nil"/>
            </w:tcBorders>
          </w:tcPr>
          <w:p w14:paraId="7A75DD57">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87.7</w:t>
            </w:r>
          </w:p>
        </w:tc>
        <w:tc>
          <w:tcPr>
            <w:tcW w:w="1931" w:type="dxa"/>
            <w:tcBorders>
              <w:top w:val="nil"/>
              <w:left w:val="nil"/>
              <w:bottom w:val="nil"/>
            </w:tcBorders>
          </w:tcPr>
          <w:p w14:paraId="16B9391C">
            <w:pPr>
              <w:spacing w:line="360" w:lineRule="auto"/>
              <w:jc w:val="center"/>
              <w:rPr>
                <w:rFonts w:ascii="Times New Roman" w:hAnsi="Times New Roman" w:eastAsia="Times New Roman" w:cs="Times New Roman"/>
                <w:sz w:val="18"/>
                <w:szCs w:val="18"/>
              </w:rPr>
            </w:pPr>
          </w:p>
        </w:tc>
      </w:tr>
      <w:tr w14:paraId="056CB4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top w:val="nil"/>
              <w:bottom w:val="nil"/>
              <w:right w:val="nil"/>
            </w:tcBorders>
          </w:tcPr>
          <w:p w14:paraId="129283E8">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Pre op fasting 6hrs for solids</w:t>
            </w:r>
          </w:p>
        </w:tc>
        <w:tc>
          <w:tcPr>
            <w:tcW w:w="1029" w:type="dxa"/>
            <w:tcBorders>
              <w:top w:val="nil"/>
              <w:left w:val="nil"/>
              <w:bottom w:val="nil"/>
              <w:right w:val="nil"/>
            </w:tcBorders>
          </w:tcPr>
          <w:p w14:paraId="19DB1C19">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22/150</w:t>
            </w:r>
          </w:p>
        </w:tc>
        <w:tc>
          <w:tcPr>
            <w:tcW w:w="1185" w:type="dxa"/>
            <w:tcBorders>
              <w:top w:val="nil"/>
              <w:left w:val="nil"/>
              <w:bottom w:val="nil"/>
              <w:right w:val="nil"/>
            </w:tcBorders>
          </w:tcPr>
          <w:p w14:paraId="05D1A322">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14</w:t>
            </w:r>
          </w:p>
        </w:tc>
        <w:tc>
          <w:tcPr>
            <w:tcW w:w="1106" w:type="dxa"/>
            <w:tcBorders>
              <w:top w:val="nil"/>
              <w:left w:val="nil"/>
              <w:bottom w:val="nil"/>
            </w:tcBorders>
          </w:tcPr>
          <w:p w14:paraId="566BFDBB">
            <w:pPr>
              <w:spacing w:line="360" w:lineRule="auto"/>
              <w:jc w:val="center"/>
              <w:rPr>
                <w:rFonts w:ascii="Times New Roman" w:hAnsi="Times New Roman" w:eastAsia="Times New Roman" w:cs="Times New Roman"/>
                <w:sz w:val="18"/>
                <w:szCs w:val="18"/>
              </w:rPr>
            </w:pPr>
          </w:p>
        </w:tc>
        <w:tc>
          <w:tcPr>
            <w:tcW w:w="1376" w:type="dxa"/>
            <w:tcBorders>
              <w:top w:val="nil"/>
              <w:left w:val="nil"/>
              <w:bottom w:val="nil"/>
              <w:right w:val="nil"/>
            </w:tcBorders>
          </w:tcPr>
          <w:p w14:paraId="07F1D97C">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54/65</w:t>
            </w:r>
          </w:p>
        </w:tc>
        <w:tc>
          <w:tcPr>
            <w:tcW w:w="1517" w:type="dxa"/>
            <w:tcBorders>
              <w:top w:val="nil"/>
              <w:left w:val="nil"/>
              <w:bottom w:val="nil"/>
              <w:right w:val="nil"/>
            </w:tcBorders>
          </w:tcPr>
          <w:p w14:paraId="643128C3">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83</w:t>
            </w:r>
          </w:p>
        </w:tc>
        <w:tc>
          <w:tcPr>
            <w:tcW w:w="1931" w:type="dxa"/>
            <w:tcBorders>
              <w:top w:val="nil"/>
              <w:left w:val="nil"/>
              <w:bottom w:val="nil"/>
            </w:tcBorders>
          </w:tcPr>
          <w:p w14:paraId="4CF59BF4">
            <w:pPr>
              <w:spacing w:line="360" w:lineRule="auto"/>
              <w:jc w:val="center"/>
              <w:rPr>
                <w:rFonts w:ascii="Times New Roman" w:hAnsi="Times New Roman" w:eastAsia="Times New Roman" w:cs="Times New Roman"/>
                <w:sz w:val="18"/>
                <w:szCs w:val="18"/>
              </w:rPr>
            </w:pPr>
          </w:p>
        </w:tc>
      </w:tr>
      <w:tr w14:paraId="5D779F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top w:val="nil"/>
              <w:bottom w:val="nil"/>
              <w:right w:val="nil"/>
            </w:tcBorders>
          </w:tcPr>
          <w:p w14:paraId="365C7DA2">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 xml:space="preserve">Thrombo-prophylaxis++ </w:t>
            </w:r>
          </w:p>
        </w:tc>
        <w:tc>
          <w:tcPr>
            <w:tcW w:w="1029" w:type="dxa"/>
            <w:tcBorders>
              <w:top w:val="nil"/>
              <w:left w:val="nil"/>
              <w:bottom w:val="nil"/>
              <w:right w:val="nil"/>
            </w:tcBorders>
          </w:tcPr>
          <w:p w14:paraId="154C8473">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0/150</w:t>
            </w:r>
          </w:p>
        </w:tc>
        <w:tc>
          <w:tcPr>
            <w:tcW w:w="1185" w:type="dxa"/>
            <w:tcBorders>
              <w:top w:val="nil"/>
              <w:left w:val="nil"/>
              <w:bottom w:val="nil"/>
              <w:right w:val="nil"/>
            </w:tcBorders>
          </w:tcPr>
          <w:p w14:paraId="3381E607">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106" w:type="dxa"/>
            <w:tcBorders>
              <w:top w:val="nil"/>
              <w:left w:val="nil"/>
              <w:bottom w:val="nil"/>
            </w:tcBorders>
          </w:tcPr>
          <w:p w14:paraId="19626181">
            <w:pPr>
              <w:spacing w:line="360" w:lineRule="auto"/>
              <w:jc w:val="center"/>
              <w:rPr>
                <w:rFonts w:ascii="Times New Roman" w:hAnsi="Times New Roman" w:eastAsia="Times New Roman" w:cs="Times New Roman"/>
                <w:sz w:val="18"/>
                <w:szCs w:val="18"/>
              </w:rPr>
            </w:pPr>
          </w:p>
        </w:tc>
        <w:tc>
          <w:tcPr>
            <w:tcW w:w="1376" w:type="dxa"/>
            <w:tcBorders>
              <w:top w:val="nil"/>
              <w:left w:val="nil"/>
              <w:bottom w:val="nil"/>
              <w:right w:val="nil"/>
            </w:tcBorders>
          </w:tcPr>
          <w:p w14:paraId="6E4345DC">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39/65</w:t>
            </w:r>
          </w:p>
        </w:tc>
        <w:tc>
          <w:tcPr>
            <w:tcW w:w="1517" w:type="dxa"/>
            <w:tcBorders>
              <w:top w:val="nil"/>
              <w:left w:val="nil"/>
              <w:bottom w:val="nil"/>
              <w:right w:val="nil"/>
            </w:tcBorders>
          </w:tcPr>
          <w:p w14:paraId="25DC0B60">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60</w:t>
            </w:r>
          </w:p>
        </w:tc>
        <w:tc>
          <w:tcPr>
            <w:tcW w:w="1931" w:type="dxa"/>
            <w:tcBorders>
              <w:top w:val="nil"/>
              <w:left w:val="nil"/>
              <w:bottom w:val="nil"/>
            </w:tcBorders>
          </w:tcPr>
          <w:p w14:paraId="05AD1E7F">
            <w:pPr>
              <w:spacing w:line="360" w:lineRule="auto"/>
              <w:jc w:val="center"/>
              <w:rPr>
                <w:rFonts w:ascii="Times New Roman" w:hAnsi="Times New Roman" w:eastAsia="Times New Roman" w:cs="Times New Roman"/>
                <w:sz w:val="18"/>
                <w:szCs w:val="18"/>
              </w:rPr>
            </w:pPr>
          </w:p>
        </w:tc>
      </w:tr>
      <w:tr w14:paraId="476CA39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top w:val="nil"/>
              <w:bottom w:val="single" w:color="000000" w:sz="4" w:space="0"/>
              <w:right w:val="nil"/>
            </w:tcBorders>
          </w:tcPr>
          <w:p w14:paraId="51323933">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Chlorhexidine bath</w:t>
            </w:r>
          </w:p>
        </w:tc>
        <w:tc>
          <w:tcPr>
            <w:tcW w:w="1029" w:type="dxa"/>
            <w:tcBorders>
              <w:top w:val="nil"/>
              <w:left w:val="nil"/>
              <w:bottom w:val="single" w:color="000000" w:sz="4" w:space="0"/>
              <w:right w:val="nil"/>
            </w:tcBorders>
          </w:tcPr>
          <w:p w14:paraId="0EC92F19">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0/150</w:t>
            </w:r>
          </w:p>
        </w:tc>
        <w:tc>
          <w:tcPr>
            <w:tcW w:w="1185" w:type="dxa"/>
            <w:tcBorders>
              <w:top w:val="nil"/>
              <w:left w:val="nil"/>
              <w:bottom w:val="single" w:color="000000" w:sz="4" w:space="0"/>
              <w:right w:val="nil"/>
            </w:tcBorders>
          </w:tcPr>
          <w:p w14:paraId="57209631">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0</w:t>
            </w:r>
          </w:p>
        </w:tc>
        <w:tc>
          <w:tcPr>
            <w:tcW w:w="1106" w:type="dxa"/>
            <w:tcBorders>
              <w:top w:val="nil"/>
              <w:left w:val="nil"/>
              <w:bottom w:val="single" w:color="000000" w:sz="4" w:space="0"/>
            </w:tcBorders>
          </w:tcPr>
          <w:p w14:paraId="182EB3EA">
            <w:pPr>
              <w:spacing w:line="360" w:lineRule="auto"/>
              <w:jc w:val="center"/>
              <w:rPr>
                <w:rFonts w:ascii="Times New Roman" w:hAnsi="Times New Roman" w:eastAsia="Times New Roman" w:cs="Times New Roman"/>
                <w:sz w:val="18"/>
                <w:szCs w:val="18"/>
              </w:rPr>
            </w:pPr>
          </w:p>
        </w:tc>
        <w:tc>
          <w:tcPr>
            <w:tcW w:w="1376" w:type="dxa"/>
            <w:tcBorders>
              <w:top w:val="nil"/>
              <w:left w:val="nil"/>
              <w:bottom w:val="single" w:color="000000" w:sz="4" w:space="0"/>
              <w:right w:val="nil"/>
            </w:tcBorders>
          </w:tcPr>
          <w:p w14:paraId="52B8D0E1">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56/65</w:t>
            </w:r>
          </w:p>
        </w:tc>
        <w:tc>
          <w:tcPr>
            <w:tcW w:w="1517" w:type="dxa"/>
            <w:tcBorders>
              <w:top w:val="nil"/>
              <w:left w:val="nil"/>
              <w:bottom w:val="single" w:color="000000" w:sz="4" w:space="0"/>
              <w:right w:val="nil"/>
            </w:tcBorders>
          </w:tcPr>
          <w:p w14:paraId="17321C69">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86</w:t>
            </w:r>
          </w:p>
        </w:tc>
        <w:tc>
          <w:tcPr>
            <w:tcW w:w="1931" w:type="dxa"/>
            <w:tcBorders>
              <w:top w:val="nil"/>
              <w:left w:val="nil"/>
              <w:bottom w:val="single" w:color="000000" w:sz="4" w:space="0"/>
            </w:tcBorders>
          </w:tcPr>
          <w:p w14:paraId="7878A55C">
            <w:pPr>
              <w:spacing w:line="360" w:lineRule="auto"/>
              <w:jc w:val="center"/>
              <w:rPr>
                <w:rFonts w:ascii="Times New Roman" w:hAnsi="Times New Roman" w:eastAsia="Times New Roman" w:cs="Times New Roman"/>
                <w:sz w:val="18"/>
                <w:szCs w:val="18"/>
              </w:rPr>
            </w:pPr>
          </w:p>
        </w:tc>
      </w:tr>
      <w:tr w14:paraId="21214ED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bottom w:val="nil"/>
              <w:right w:val="nil"/>
            </w:tcBorders>
          </w:tcPr>
          <w:p w14:paraId="2DCDE580">
            <w:pPr>
              <w:spacing w:line="360" w:lineRule="auto"/>
              <w:jc w:val="center"/>
              <w:rPr>
                <w:rFonts w:ascii="Times New Roman" w:hAnsi="Times New Roman" w:eastAsia="Times New Roman" w:cs="Times New Roman"/>
                <w:b/>
                <w:sz w:val="18"/>
                <w:szCs w:val="18"/>
              </w:rPr>
            </w:pPr>
            <w:r>
              <w:rPr>
                <w:rFonts w:ascii="Times New Roman" w:hAnsi="Times New Roman" w:eastAsia="Times New Roman" w:cs="Times New Roman"/>
                <w:b/>
                <w:sz w:val="18"/>
                <w:szCs w:val="18"/>
              </w:rPr>
              <w:t>INTRA  OP</w:t>
            </w:r>
          </w:p>
        </w:tc>
        <w:tc>
          <w:tcPr>
            <w:tcW w:w="1029" w:type="dxa"/>
            <w:tcBorders>
              <w:top w:val="single" w:color="000000" w:sz="4" w:space="0"/>
              <w:left w:val="nil"/>
              <w:bottom w:val="nil"/>
              <w:right w:val="nil"/>
            </w:tcBorders>
          </w:tcPr>
          <w:p w14:paraId="4EEA3811">
            <w:pPr>
              <w:spacing w:line="360" w:lineRule="auto"/>
              <w:jc w:val="center"/>
              <w:rPr>
                <w:rFonts w:ascii="Times New Roman" w:hAnsi="Times New Roman" w:eastAsia="Times New Roman" w:cs="Times New Roman"/>
                <w:sz w:val="18"/>
                <w:szCs w:val="18"/>
              </w:rPr>
            </w:pPr>
          </w:p>
        </w:tc>
        <w:tc>
          <w:tcPr>
            <w:tcW w:w="1185" w:type="dxa"/>
            <w:tcBorders>
              <w:top w:val="single" w:color="000000" w:sz="4" w:space="0"/>
              <w:left w:val="nil"/>
              <w:bottom w:val="nil"/>
              <w:right w:val="nil"/>
            </w:tcBorders>
          </w:tcPr>
          <w:p w14:paraId="0A75B27B">
            <w:pPr>
              <w:spacing w:line="360" w:lineRule="auto"/>
              <w:jc w:val="center"/>
              <w:rPr>
                <w:rFonts w:ascii="Times New Roman" w:hAnsi="Times New Roman" w:eastAsia="Times New Roman" w:cs="Times New Roman"/>
                <w:sz w:val="18"/>
                <w:szCs w:val="18"/>
              </w:rPr>
            </w:pPr>
          </w:p>
        </w:tc>
        <w:tc>
          <w:tcPr>
            <w:tcW w:w="1106" w:type="dxa"/>
            <w:tcBorders>
              <w:left w:val="nil"/>
              <w:bottom w:val="nil"/>
            </w:tcBorders>
          </w:tcPr>
          <w:p w14:paraId="604CC50A">
            <w:pPr>
              <w:spacing w:line="360" w:lineRule="auto"/>
              <w:jc w:val="center"/>
              <w:rPr>
                <w:rFonts w:ascii="Times New Roman" w:hAnsi="Times New Roman" w:eastAsia="Times New Roman" w:cs="Times New Roman"/>
                <w:color w:val="FFFF00"/>
                <w:sz w:val="18"/>
                <w:szCs w:val="18"/>
              </w:rPr>
            </w:pPr>
            <w:r>
              <w:rPr>
                <w:rFonts w:ascii="Times New Roman" w:hAnsi="Times New Roman" w:eastAsia="Times New Roman" w:cs="Times New Roman"/>
                <w:sz w:val="18"/>
                <w:szCs w:val="18"/>
              </w:rPr>
              <w:t xml:space="preserve">66 </w:t>
            </w:r>
            <w:r>
              <w:rPr>
                <w:rFonts w:ascii="Times New Roman" w:hAnsi="Times New Roman" w:eastAsia="Times New Roman" w:cs="Times New Roman"/>
                <w:b/>
                <w:color w:val="FFFF00"/>
              </w:rPr>
              <w:t>X</w:t>
            </w:r>
          </w:p>
        </w:tc>
        <w:tc>
          <w:tcPr>
            <w:tcW w:w="1376" w:type="dxa"/>
            <w:tcBorders>
              <w:top w:val="single" w:color="000000" w:sz="4" w:space="0"/>
              <w:left w:val="nil"/>
              <w:bottom w:val="nil"/>
              <w:right w:val="nil"/>
            </w:tcBorders>
          </w:tcPr>
          <w:p w14:paraId="7C2FFED9">
            <w:pPr>
              <w:spacing w:line="360" w:lineRule="auto"/>
              <w:jc w:val="center"/>
              <w:rPr>
                <w:rFonts w:ascii="Times New Roman" w:hAnsi="Times New Roman" w:eastAsia="Times New Roman" w:cs="Times New Roman"/>
                <w:sz w:val="18"/>
                <w:szCs w:val="18"/>
              </w:rPr>
            </w:pPr>
          </w:p>
        </w:tc>
        <w:tc>
          <w:tcPr>
            <w:tcW w:w="1517" w:type="dxa"/>
            <w:tcBorders>
              <w:top w:val="single" w:color="000000" w:sz="4" w:space="0"/>
              <w:left w:val="nil"/>
              <w:bottom w:val="nil"/>
              <w:right w:val="nil"/>
            </w:tcBorders>
          </w:tcPr>
          <w:p w14:paraId="5850D273">
            <w:pPr>
              <w:spacing w:line="360" w:lineRule="auto"/>
              <w:jc w:val="center"/>
              <w:rPr>
                <w:rFonts w:ascii="Times New Roman" w:hAnsi="Times New Roman" w:eastAsia="Times New Roman" w:cs="Times New Roman"/>
                <w:sz w:val="18"/>
                <w:szCs w:val="18"/>
              </w:rPr>
            </w:pPr>
          </w:p>
        </w:tc>
        <w:tc>
          <w:tcPr>
            <w:tcW w:w="1931" w:type="dxa"/>
            <w:tcBorders>
              <w:left w:val="nil"/>
              <w:bottom w:val="nil"/>
            </w:tcBorders>
          </w:tcPr>
          <w:p w14:paraId="2FA67D4A">
            <w:pPr>
              <w:spacing w:line="360" w:lineRule="auto"/>
              <w:jc w:val="center"/>
              <w:rPr>
                <w:rFonts w:ascii="Times New Roman" w:hAnsi="Times New Roman" w:eastAsia="Times New Roman" w:cs="Times New Roman"/>
                <w:color w:val="00FF00"/>
                <w:sz w:val="18"/>
                <w:szCs w:val="18"/>
              </w:rPr>
            </w:pPr>
            <w:r>
              <w:rPr>
                <w:rFonts w:ascii="Times New Roman" w:hAnsi="Times New Roman" w:eastAsia="Times New Roman" w:cs="Times New Roman"/>
                <w:sz w:val="18"/>
                <w:szCs w:val="18"/>
              </w:rPr>
              <w:t xml:space="preserve">98 </w:t>
            </w:r>
            <w:r>
              <w:rPr>
                <w:rFonts w:ascii="Times New Roman" w:hAnsi="Times New Roman" w:eastAsia="Times New Roman" w:cs="Times New Roman"/>
                <w:b/>
                <w:color w:val="00FF00"/>
              </w:rPr>
              <w:t>X</w:t>
            </w:r>
          </w:p>
        </w:tc>
      </w:tr>
      <w:tr w14:paraId="336B211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top w:val="nil"/>
              <w:bottom w:val="nil"/>
              <w:right w:val="nil"/>
            </w:tcBorders>
          </w:tcPr>
          <w:p w14:paraId="15DB12A2">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Antibiotics prophylaxis</w:t>
            </w:r>
          </w:p>
        </w:tc>
        <w:tc>
          <w:tcPr>
            <w:tcW w:w="1029" w:type="dxa"/>
            <w:tcBorders>
              <w:top w:val="nil"/>
              <w:left w:val="nil"/>
              <w:bottom w:val="nil"/>
              <w:right w:val="nil"/>
            </w:tcBorders>
          </w:tcPr>
          <w:p w14:paraId="106699FC">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143/150</w:t>
            </w:r>
          </w:p>
        </w:tc>
        <w:tc>
          <w:tcPr>
            <w:tcW w:w="1185" w:type="dxa"/>
            <w:tcBorders>
              <w:top w:val="nil"/>
              <w:left w:val="nil"/>
              <w:bottom w:val="nil"/>
              <w:right w:val="nil"/>
            </w:tcBorders>
          </w:tcPr>
          <w:p w14:paraId="4B2E16D0">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95</w:t>
            </w:r>
          </w:p>
        </w:tc>
        <w:tc>
          <w:tcPr>
            <w:tcW w:w="1106" w:type="dxa"/>
            <w:tcBorders>
              <w:top w:val="nil"/>
              <w:left w:val="nil"/>
              <w:bottom w:val="nil"/>
            </w:tcBorders>
          </w:tcPr>
          <w:p w14:paraId="422E013B">
            <w:pPr>
              <w:spacing w:line="360" w:lineRule="auto"/>
              <w:jc w:val="center"/>
              <w:rPr>
                <w:rFonts w:ascii="Times New Roman" w:hAnsi="Times New Roman" w:eastAsia="Times New Roman" w:cs="Times New Roman"/>
                <w:sz w:val="18"/>
                <w:szCs w:val="18"/>
              </w:rPr>
            </w:pPr>
          </w:p>
        </w:tc>
        <w:tc>
          <w:tcPr>
            <w:tcW w:w="1376" w:type="dxa"/>
            <w:tcBorders>
              <w:top w:val="nil"/>
              <w:left w:val="nil"/>
              <w:bottom w:val="nil"/>
              <w:right w:val="nil"/>
            </w:tcBorders>
          </w:tcPr>
          <w:p w14:paraId="79F1FBD6">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65/65</w:t>
            </w:r>
          </w:p>
        </w:tc>
        <w:tc>
          <w:tcPr>
            <w:tcW w:w="1517" w:type="dxa"/>
            <w:tcBorders>
              <w:top w:val="nil"/>
              <w:left w:val="nil"/>
              <w:bottom w:val="nil"/>
              <w:right w:val="nil"/>
            </w:tcBorders>
          </w:tcPr>
          <w:p w14:paraId="535744EA">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100</w:t>
            </w:r>
          </w:p>
        </w:tc>
        <w:tc>
          <w:tcPr>
            <w:tcW w:w="1931" w:type="dxa"/>
            <w:tcBorders>
              <w:top w:val="nil"/>
              <w:left w:val="nil"/>
              <w:bottom w:val="nil"/>
            </w:tcBorders>
          </w:tcPr>
          <w:p w14:paraId="55FBAEBB">
            <w:pPr>
              <w:spacing w:line="360" w:lineRule="auto"/>
              <w:jc w:val="center"/>
              <w:rPr>
                <w:rFonts w:ascii="Times New Roman" w:hAnsi="Times New Roman" w:eastAsia="Times New Roman" w:cs="Times New Roman"/>
                <w:sz w:val="18"/>
                <w:szCs w:val="18"/>
              </w:rPr>
            </w:pPr>
          </w:p>
        </w:tc>
      </w:tr>
      <w:tr w14:paraId="1004E8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top w:val="nil"/>
              <w:bottom w:val="nil"/>
              <w:right w:val="nil"/>
            </w:tcBorders>
          </w:tcPr>
          <w:p w14:paraId="2FE12B13">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Anti-emetic</w:t>
            </w:r>
          </w:p>
        </w:tc>
        <w:tc>
          <w:tcPr>
            <w:tcW w:w="1029" w:type="dxa"/>
            <w:tcBorders>
              <w:top w:val="nil"/>
              <w:left w:val="nil"/>
              <w:bottom w:val="nil"/>
              <w:right w:val="nil"/>
            </w:tcBorders>
          </w:tcPr>
          <w:p w14:paraId="6C3E48D3">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5/150</w:t>
            </w:r>
          </w:p>
        </w:tc>
        <w:tc>
          <w:tcPr>
            <w:tcW w:w="1185" w:type="dxa"/>
            <w:tcBorders>
              <w:top w:val="nil"/>
              <w:left w:val="nil"/>
              <w:bottom w:val="nil"/>
              <w:right w:val="nil"/>
            </w:tcBorders>
          </w:tcPr>
          <w:p w14:paraId="2C7CA716">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3</w:t>
            </w:r>
          </w:p>
        </w:tc>
        <w:tc>
          <w:tcPr>
            <w:tcW w:w="1106" w:type="dxa"/>
            <w:tcBorders>
              <w:top w:val="nil"/>
              <w:left w:val="nil"/>
              <w:bottom w:val="nil"/>
            </w:tcBorders>
          </w:tcPr>
          <w:p w14:paraId="4522C824">
            <w:pPr>
              <w:spacing w:line="360" w:lineRule="auto"/>
              <w:jc w:val="center"/>
              <w:rPr>
                <w:rFonts w:ascii="Times New Roman" w:hAnsi="Times New Roman" w:eastAsia="Times New Roman" w:cs="Times New Roman"/>
                <w:sz w:val="18"/>
                <w:szCs w:val="18"/>
              </w:rPr>
            </w:pPr>
          </w:p>
        </w:tc>
        <w:tc>
          <w:tcPr>
            <w:tcW w:w="1376" w:type="dxa"/>
            <w:tcBorders>
              <w:top w:val="nil"/>
              <w:left w:val="nil"/>
              <w:bottom w:val="nil"/>
              <w:right w:val="nil"/>
            </w:tcBorders>
          </w:tcPr>
          <w:p w14:paraId="6264DC0D">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62/65</w:t>
            </w:r>
          </w:p>
        </w:tc>
        <w:tc>
          <w:tcPr>
            <w:tcW w:w="1517" w:type="dxa"/>
            <w:tcBorders>
              <w:top w:val="nil"/>
              <w:left w:val="nil"/>
              <w:bottom w:val="nil"/>
              <w:right w:val="nil"/>
            </w:tcBorders>
          </w:tcPr>
          <w:p w14:paraId="525AC9CB">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95</w:t>
            </w:r>
          </w:p>
        </w:tc>
        <w:tc>
          <w:tcPr>
            <w:tcW w:w="1931" w:type="dxa"/>
            <w:tcBorders>
              <w:top w:val="nil"/>
              <w:left w:val="nil"/>
              <w:bottom w:val="nil"/>
            </w:tcBorders>
          </w:tcPr>
          <w:p w14:paraId="7FFC603C">
            <w:pPr>
              <w:spacing w:line="360" w:lineRule="auto"/>
              <w:jc w:val="center"/>
              <w:rPr>
                <w:rFonts w:ascii="Times New Roman" w:hAnsi="Times New Roman" w:eastAsia="Times New Roman" w:cs="Times New Roman"/>
                <w:sz w:val="18"/>
                <w:szCs w:val="18"/>
              </w:rPr>
            </w:pPr>
          </w:p>
        </w:tc>
      </w:tr>
      <w:tr w14:paraId="49BB52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top w:val="nil"/>
              <w:bottom w:val="single" w:color="000000" w:sz="4" w:space="0"/>
              <w:right w:val="nil"/>
            </w:tcBorders>
          </w:tcPr>
          <w:p w14:paraId="27636520">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Chlorhexidine skin preparation</w:t>
            </w:r>
          </w:p>
        </w:tc>
        <w:tc>
          <w:tcPr>
            <w:tcW w:w="1029" w:type="dxa"/>
            <w:tcBorders>
              <w:top w:val="nil"/>
              <w:left w:val="nil"/>
              <w:bottom w:val="single" w:color="000000" w:sz="4" w:space="0"/>
              <w:right w:val="nil"/>
            </w:tcBorders>
          </w:tcPr>
          <w:p w14:paraId="2B2B4B00">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150/150</w:t>
            </w:r>
          </w:p>
        </w:tc>
        <w:tc>
          <w:tcPr>
            <w:tcW w:w="1185" w:type="dxa"/>
            <w:tcBorders>
              <w:top w:val="nil"/>
              <w:left w:val="nil"/>
              <w:bottom w:val="single" w:color="000000" w:sz="4" w:space="0"/>
              <w:right w:val="nil"/>
            </w:tcBorders>
          </w:tcPr>
          <w:p w14:paraId="36E918B1">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100</w:t>
            </w:r>
          </w:p>
        </w:tc>
        <w:tc>
          <w:tcPr>
            <w:tcW w:w="1106" w:type="dxa"/>
            <w:tcBorders>
              <w:top w:val="nil"/>
              <w:left w:val="nil"/>
              <w:bottom w:val="single" w:color="000000" w:sz="4" w:space="0"/>
            </w:tcBorders>
          </w:tcPr>
          <w:p w14:paraId="2765020A">
            <w:pPr>
              <w:spacing w:line="360" w:lineRule="auto"/>
              <w:jc w:val="center"/>
              <w:rPr>
                <w:rFonts w:ascii="Times New Roman" w:hAnsi="Times New Roman" w:eastAsia="Times New Roman" w:cs="Times New Roman"/>
                <w:sz w:val="18"/>
                <w:szCs w:val="18"/>
              </w:rPr>
            </w:pPr>
          </w:p>
        </w:tc>
        <w:tc>
          <w:tcPr>
            <w:tcW w:w="1376" w:type="dxa"/>
            <w:tcBorders>
              <w:top w:val="nil"/>
              <w:left w:val="nil"/>
              <w:bottom w:val="single" w:color="000000" w:sz="4" w:space="0"/>
              <w:right w:val="nil"/>
            </w:tcBorders>
          </w:tcPr>
          <w:p w14:paraId="690BF4E6">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65/65</w:t>
            </w:r>
          </w:p>
        </w:tc>
        <w:tc>
          <w:tcPr>
            <w:tcW w:w="1517" w:type="dxa"/>
            <w:tcBorders>
              <w:top w:val="nil"/>
              <w:left w:val="nil"/>
              <w:bottom w:val="single" w:color="000000" w:sz="4" w:space="0"/>
              <w:right w:val="nil"/>
            </w:tcBorders>
          </w:tcPr>
          <w:p w14:paraId="0ABF0F66">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100</w:t>
            </w:r>
          </w:p>
        </w:tc>
        <w:tc>
          <w:tcPr>
            <w:tcW w:w="1931" w:type="dxa"/>
            <w:tcBorders>
              <w:top w:val="nil"/>
              <w:left w:val="nil"/>
              <w:bottom w:val="single" w:color="000000" w:sz="4" w:space="0"/>
            </w:tcBorders>
          </w:tcPr>
          <w:p w14:paraId="5EBE687C">
            <w:pPr>
              <w:spacing w:line="360" w:lineRule="auto"/>
              <w:jc w:val="center"/>
              <w:rPr>
                <w:rFonts w:ascii="Times New Roman" w:hAnsi="Times New Roman" w:eastAsia="Times New Roman" w:cs="Times New Roman"/>
                <w:sz w:val="18"/>
                <w:szCs w:val="18"/>
              </w:rPr>
            </w:pPr>
          </w:p>
        </w:tc>
      </w:tr>
      <w:tr w14:paraId="117675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bottom w:val="nil"/>
              <w:right w:val="nil"/>
            </w:tcBorders>
          </w:tcPr>
          <w:p w14:paraId="324EA4EF">
            <w:pPr>
              <w:spacing w:line="360" w:lineRule="auto"/>
              <w:jc w:val="center"/>
              <w:rPr>
                <w:rFonts w:ascii="Times New Roman" w:hAnsi="Times New Roman" w:eastAsia="Times New Roman" w:cs="Times New Roman"/>
                <w:b/>
                <w:sz w:val="18"/>
                <w:szCs w:val="18"/>
              </w:rPr>
            </w:pPr>
            <w:r>
              <w:rPr>
                <w:rFonts w:ascii="Times New Roman" w:hAnsi="Times New Roman" w:eastAsia="Times New Roman" w:cs="Times New Roman"/>
                <w:b/>
                <w:sz w:val="18"/>
                <w:szCs w:val="18"/>
              </w:rPr>
              <w:t>POST OP</w:t>
            </w:r>
          </w:p>
        </w:tc>
        <w:tc>
          <w:tcPr>
            <w:tcW w:w="1029" w:type="dxa"/>
            <w:tcBorders>
              <w:top w:val="single" w:color="000000" w:sz="4" w:space="0"/>
              <w:left w:val="nil"/>
              <w:bottom w:val="nil"/>
              <w:right w:val="nil"/>
            </w:tcBorders>
          </w:tcPr>
          <w:p w14:paraId="0E1A3633">
            <w:pPr>
              <w:spacing w:line="360" w:lineRule="auto"/>
              <w:jc w:val="center"/>
              <w:rPr>
                <w:rFonts w:ascii="Times New Roman" w:hAnsi="Times New Roman" w:eastAsia="Times New Roman" w:cs="Times New Roman"/>
                <w:sz w:val="18"/>
                <w:szCs w:val="18"/>
              </w:rPr>
            </w:pPr>
          </w:p>
        </w:tc>
        <w:tc>
          <w:tcPr>
            <w:tcW w:w="1185" w:type="dxa"/>
            <w:tcBorders>
              <w:top w:val="single" w:color="000000" w:sz="4" w:space="0"/>
              <w:left w:val="nil"/>
              <w:bottom w:val="nil"/>
              <w:right w:val="nil"/>
            </w:tcBorders>
          </w:tcPr>
          <w:p w14:paraId="1E9E000C">
            <w:pPr>
              <w:spacing w:line="360" w:lineRule="auto"/>
              <w:jc w:val="center"/>
              <w:rPr>
                <w:rFonts w:ascii="Times New Roman" w:hAnsi="Times New Roman" w:eastAsia="Times New Roman" w:cs="Times New Roman"/>
                <w:sz w:val="18"/>
                <w:szCs w:val="18"/>
              </w:rPr>
            </w:pPr>
          </w:p>
        </w:tc>
        <w:tc>
          <w:tcPr>
            <w:tcW w:w="1106" w:type="dxa"/>
            <w:tcBorders>
              <w:left w:val="nil"/>
              <w:bottom w:val="nil"/>
            </w:tcBorders>
          </w:tcPr>
          <w:p w14:paraId="2E7484B5">
            <w:pPr>
              <w:spacing w:line="360" w:lineRule="auto"/>
              <w:jc w:val="center"/>
              <w:rPr>
                <w:rFonts w:ascii="Times New Roman" w:hAnsi="Times New Roman" w:eastAsia="Times New Roman" w:cs="Times New Roman"/>
                <w:color w:val="FF0000"/>
                <w:sz w:val="18"/>
                <w:szCs w:val="18"/>
              </w:rPr>
            </w:pPr>
            <w:r>
              <w:rPr>
                <w:rFonts w:ascii="Times New Roman" w:hAnsi="Times New Roman" w:eastAsia="Times New Roman" w:cs="Times New Roman"/>
                <w:sz w:val="18"/>
                <w:szCs w:val="18"/>
              </w:rPr>
              <w:t xml:space="preserve">57.8 </w:t>
            </w:r>
            <w:r>
              <w:rPr>
                <w:rFonts w:ascii="Times New Roman" w:hAnsi="Times New Roman" w:eastAsia="Times New Roman" w:cs="Times New Roman"/>
                <w:b/>
                <w:color w:val="FF0000"/>
              </w:rPr>
              <w:t>X</w:t>
            </w:r>
          </w:p>
        </w:tc>
        <w:tc>
          <w:tcPr>
            <w:tcW w:w="1376" w:type="dxa"/>
            <w:tcBorders>
              <w:top w:val="single" w:color="000000" w:sz="4" w:space="0"/>
              <w:left w:val="nil"/>
              <w:bottom w:val="nil"/>
              <w:right w:val="nil"/>
            </w:tcBorders>
          </w:tcPr>
          <w:p w14:paraId="4713DE02">
            <w:pPr>
              <w:spacing w:line="360" w:lineRule="auto"/>
              <w:jc w:val="center"/>
              <w:rPr>
                <w:rFonts w:ascii="Times New Roman" w:hAnsi="Times New Roman" w:eastAsia="Times New Roman" w:cs="Times New Roman"/>
                <w:sz w:val="18"/>
                <w:szCs w:val="18"/>
              </w:rPr>
            </w:pPr>
          </w:p>
        </w:tc>
        <w:tc>
          <w:tcPr>
            <w:tcW w:w="1517" w:type="dxa"/>
            <w:tcBorders>
              <w:top w:val="single" w:color="000000" w:sz="4" w:space="0"/>
              <w:left w:val="nil"/>
              <w:bottom w:val="nil"/>
              <w:right w:val="nil"/>
            </w:tcBorders>
          </w:tcPr>
          <w:p w14:paraId="6038CCCA">
            <w:pPr>
              <w:spacing w:line="360" w:lineRule="auto"/>
              <w:jc w:val="center"/>
              <w:rPr>
                <w:rFonts w:ascii="Times New Roman" w:hAnsi="Times New Roman" w:eastAsia="Times New Roman" w:cs="Times New Roman"/>
                <w:sz w:val="18"/>
                <w:szCs w:val="18"/>
              </w:rPr>
            </w:pPr>
          </w:p>
        </w:tc>
        <w:tc>
          <w:tcPr>
            <w:tcW w:w="1931" w:type="dxa"/>
            <w:tcBorders>
              <w:left w:val="nil"/>
              <w:bottom w:val="nil"/>
            </w:tcBorders>
          </w:tcPr>
          <w:p w14:paraId="7E1547F5">
            <w:pPr>
              <w:spacing w:line="360" w:lineRule="auto"/>
              <w:jc w:val="center"/>
              <w:rPr>
                <w:rFonts w:ascii="Times New Roman" w:hAnsi="Times New Roman" w:eastAsia="Times New Roman" w:cs="Times New Roman"/>
                <w:color w:val="00FF00"/>
                <w:sz w:val="18"/>
                <w:szCs w:val="18"/>
              </w:rPr>
            </w:pPr>
            <w:r>
              <w:rPr>
                <w:rFonts w:ascii="Times New Roman" w:hAnsi="Times New Roman" w:eastAsia="Times New Roman" w:cs="Times New Roman"/>
                <w:sz w:val="18"/>
                <w:szCs w:val="18"/>
              </w:rPr>
              <w:t xml:space="preserve">78 </w:t>
            </w:r>
            <w:r>
              <w:rPr>
                <w:rFonts w:ascii="Times New Roman" w:hAnsi="Times New Roman" w:eastAsia="Times New Roman" w:cs="Times New Roman"/>
                <w:b/>
                <w:color w:val="00FF00"/>
              </w:rPr>
              <w:t>X</w:t>
            </w:r>
          </w:p>
        </w:tc>
      </w:tr>
      <w:tr w14:paraId="3F154A3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top w:val="nil"/>
              <w:bottom w:val="nil"/>
              <w:right w:val="nil"/>
            </w:tcBorders>
          </w:tcPr>
          <w:p w14:paraId="0882730B">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Early ambulation</w:t>
            </w:r>
          </w:p>
        </w:tc>
        <w:tc>
          <w:tcPr>
            <w:tcW w:w="1029" w:type="dxa"/>
            <w:tcBorders>
              <w:top w:val="nil"/>
              <w:left w:val="nil"/>
              <w:bottom w:val="nil"/>
              <w:right w:val="nil"/>
            </w:tcBorders>
          </w:tcPr>
          <w:p w14:paraId="0F842E30">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150/150</w:t>
            </w:r>
          </w:p>
        </w:tc>
        <w:tc>
          <w:tcPr>
            <w:tcW w:w="1185" w:type="dxa"/>
            <w:tcBorders>
              <w:top w:val="nil"/>
              <w:left w:val="nil"/>
              <w:bottom w:val="nil"/>
              <w:right w:val="nil"/>
            </w:tcBorders>
          </w:tcPr>
          <w:p w14:paraId="5CEC9BF6">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100</w:t>
            </w:r>
          </w:p>
        </w:tc>
        <w:tc>
          <w:tcPr>
            <w:tcW w:w="1106" w:type="dxa"/>
            <w:tcBorders>
              <w:top w:val="nil"/>
              <w:left w:val="nil"/>
              <w:bottom w:val="nil"/>
            </w:tcBorders>
          </w:tcPr>
          <w:p w14:paraId="7C2812DE">
            <w:pPr>
              <w:spacing w:line="360" w:lineRule="auto"/>
              <w:jc w:val="center"/>
              <w:rPr>
                <w:rFonts w:ascii="Times New Roman" w:hAnsi="Times New Roman" w:eastAsia="Times New Roman" w:cs="Times New Roman"/>
                <w:sz w:val="18"/>
                <w:szCs w:val="18"/>
              </w:rPr>
            </w:pPr>
          </w:p>
        </w:tc>
        <w:tc>
          <w:tcPr>
            <w:tcW w:w="1376" w:type="dxa"/>
            <w:tcBorders>
              <w:top w:val="nil"/>
              <w:left w:val="nil"/>
              <w:bottom w:val="nil"/>
              <w:right w:val="nil"/>
            </w:tcBorders>
          </w:tcPr>
          <w:p w14:paraId="2868BB12">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65/65</w:t>
            </w:r>
          </w:p>
        </w:tc>
        <w:tc>
          <w:tcPr>
            <w:tcW w:w="1517" w:type="dxa"/>
            <w:tcBorders>
              <w:top w:val="nil"/>
              <w:left w:val="nil"/>
              <w:bottom w:val="nil"/>
              <w:right w:val="nil"/>
            </w:tcBorders>
          </w:tcPr>
          <w:p w14:paraId="54DD7515">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100</w:t>
            </w:r>
          </w:p>
        </w:tc>
        <w:tc>
          <w:tcPr>
            <w:tcW w:w="1931" w:type="dxa"/>
            <w:tcBorders>
              <w:top w:val="nil"/>
              <w:left w:val="nil"/>
              <w:bottom w:val="nil"/>
            </w:tcBorders>
          </w:tcPr>
          <w:p w14:paraId="4EE194C6">
            <w:pPr>
              <w:spacing w:line="360" w:lineRule="auto"/>
              <w:jc w:val="center"/>
              <w:rPr>
                <w:rFonts w:ascii="Times New Roman" w:hAnsi="Times New Roman" w:eastAsia="Times New Roman" w:cs="Times New Roman"/>
                <w:sz w:val="18"/>
                <w:szCs w:val="18"/>
              </w:rPr>
            </w:pPr>
          </w:p>
        </w:tc>
      </w:tr>
      <w:tr w14:paraId="2356C41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top w:val="nil"/>
              <w:bottom w:val="nil"/>
              <w:right w:val="nil"/>
            </w:tcBorders>
          </w:tcPr>
          <w:p w14:paraId="2ECD1B77">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Diet within 24hrs</w:t>
            </w:r>
          </w:p>
        </w:tc>
        <w:tc>
          <w:tcPr>
            <w:tcW w:w="1029" w:type="dxa"/>
            <w:tcBorders>
              <w:top w:val="nil"/>
              <w:left w:val="nil"/>
              <w:bottom w:val="nil"/>
              <w:right w:val="nil"/>
            </w:tcBorders>
          </w:tcPr>
          <w:p w14:paraId="0DA364E6">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65/150</w:t>
            </w:r>
          </w:p>
        </w:tc>
        <w:tc>
          <w:tcPr>
            <w:tcW w:w="1185" w:type="dxa"/>
            <w:tcBorders>
              <w:top w:val="nil"/>
              <w:left w:val="nil"/>
              <w:bottom w:val="nil"/>
              <w:right w:val="nil"/>
            </w:tcBorders>
          </w:tcPr>
          <w:p w14:paraId="506275AA">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43</w:t>
            </w:r>
          </w:p>
        </w:tc>
        <w:tc>
          <w:tcPr>
            <w:tcW w:w="1106" w:type="dxa"/>
            <w:tcBorders>
              <w:top w:val="nil"/>
              <w:left w:val="nil"/>
              <w:bottom w:val="nil"/>
            </w:tcBorders>
          </w:tcPr>
          <w:p w14:paraId="6C48D7BE">
            <w:pPr>
              <w:spacing w:line="360" w:lineRule="auto"/>
              <w:jc w:val="center"/>
              <w:rPr>
                <w:rFonts w:ascii="Times New Roman" w:hAnsi="Times New Roman" w:eastAsia="Times New Roman" w:cs="Times New Roman"/>
                <w:sz w:val="18"/>
                <w:szCs w:val="18"/>
              </w:rPr>
            </w:pPr>
          </w:p>
        </w:tc>
        <w:tc>
          <w:tcPr>
            <w:tcW w:w="1376" w:type="dxa"/>
            <w:tcBorders>
              <w:top w:val="nil"/>
              <w:left w:val="nil"/>
              <w:bottom w:val="nil"/>
              <w:right w:val="nil"/>
            </w:tcBorders>
          </w:tcPr>
          <w:p w14:paraId="41897DD3">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49/65</w:t>
            </w:r>
          </w:p>
        </w:tc>
        <w:tc>
          <w:tcPr>
            <w:tcW w:w="1517" w:type="dxa"/>
            <w:tcBorders>
              <w:top w:val="nil"/>
              <w:left w:val="nil"/>
              <w:bottom w:val="nil"/>
              <w:right w:val="nil"/>
            </w:tcBorders>
          </w:tcPr>
          <w:p w14:paraId="52ACCD69">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75</w:t>
            </w:r>
          </w:p>
        </w:tc>
        <w:tc>
          <w:tcPr>
            <w:tcW w:w="1931" w:type="dxa"/>
            <w:tcBorders>
              <w:top w:val="nil"/>
              <w:left w:val="nil"/>
              <w:bottom w:val="nil"/>
            </w:tcBorders>
          </w:tcPr>
          <w:p w14:paraId="4A51131B">
            <w:pPr>
              <w:spacing w:line="360" w:lineRule="auto"/>
              <w:jc w:val="center"/>
              <w:rPr>
                <w:rFonts w:ascii="Times New Roman" w:hAnsi="Times New Roman" w:eastAsia="Times New Roman" w:cs="Times New Roman"/>
                <w:sz w:val="18"/>
                <w:szCs w:val="18"/>
              </w:rPr>
            </w:pPr>
          </w:p>
        </w:tc>
      </w:tr>
      <w:tr w14:paraId="57E6E2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top w:val="nil"/>
              <w:bottom w:val="nil"/>
              <w:right w:val="nil"/>
            </w:tcBorders>
          </w:tcPr>
          <w:p w14:paraId="52AE1CB8">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Thrombo-prophylaxis</w:t>
            </w:r>
          </w:p>
        </w:tc>
        <w:tc>
          <w:tcPr>
            <w:tcW w:w="1029" w:type="dxa"/>
            <w:tcBorders>
              <w:top w:val="nil"/>
              <w:left w:val="nil"/>
              <w:bottom w:val="nil"/>
              <w:right w:val="nil"/>
            </w:tcBorders>
          </w:tcPr>
          <w:p w14:paraId="7C90A1AC">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9/150</w:t>
            </w:r>
          </w:p>
        </w:tc>
        <w:tc>
          <w:tcPr>
            <w:tcW w:w="1185" w:type="dxa"/>
            <w:tcBorders>
              <w:top w:val="nil"/>
              <w:left w:val="nil"/>
              <w:bottom w:val="nil"/>
              <w:right w:val="nil"/>
            </w:tcBorders>
          </w:tcPr>
          <w:p w14:paraId="539733BA">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6</w:t>
            </w:r>
          </w:p>
        </w:tc>
        <w:tc>
          <w:tcPr>
            <w:tcW w:w="1106" w:type="dxa"/>
            <w:tcBorders>
              <w:top w:val="nil"/>
              <w:left w:val="nil"/>
              <w:bottom w:val="nil"/>
            </w:tcBorders>
          </w:tcPr>
          <w:p w14:paraId="6AA8444E">
            <w:pPr>
              <w:spacing w:line="360" w:lineRule="auto"/>
              <w:jc w:val="center"/>
              <w:rPr>
                <w:rFonts w:ascii="Times New Roman" w:hAnsi="Times New Roman" w:eastAsia="Times New Roman" w:cs="Times New Roman"/>
                <w:sz w:val="18"/>
                <w:szCs w:val="18"/>
              </w:rPr>
            </w:pPr>
          </w:p>
        </w:tc>
        <w:tc>
          <w:tcPr>
            <w:tcW w:w="1376" w:type="dxa"/>
            <w:tcBorders>
              <w:top w:val="nil"/>
              <w:left w:val="nil"/>
              <w:bottom w:val="nil"/>
              <w:right w:val="nil"/>
            </w:tcBorders>
          </w:tcPr>
          <w:p w14:paraId="54514717">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37/65</w:t>
            </w:r>
          </w:p>
        </w:tc>
        <w:tc>
          <w:tcPr>
            <w:tcW w:w="1517" w:type="dxa"/>
            <w:tcBorders>
              <w:top w:val="nil"/>
              <w:left w:val="nil"/>
              <w:bottom w:val="nil"/>
              <w:right w:val="nil"/>
            </w:tcBorders>
          </w:tcPr>
          <w:p w14:paraId="4D2126A1">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56</w:t>
            </w:r>
          </w:p>
        </w:tc>
        <w:tc>
          <w:tcPr>
            <w:tcW w:w="1931" w:type="dxa"/>
            <w:tcBorders>
              <w:top w:val="nil"/>
              <w:left w:val="nil"/>
              <w:bottom w:val="nil"/>
            </w:tcBorders>
          </w:tcPr>
          <w:p w14:paraId="0BD3D033">
            <w:pPr>
              <w:spacing w:line="360" w:lineRule="auto"/>
              <w:jc w:val="center"/>
              <w:rPr>
                <w:rFonts w:ascii="Times New Roman" w:hAnsi="Times New Roman" w:eastAsia="Times New Roman" w:cs="Times New Roman"/>
                <w:sz w:val="18"/>
                <w:szCs w:val="18"/>
              </w:rPr>
            </w:pPr>
          </w:p>
        </w:tc>
      </w:tr>
      <w:tr w14:paraId="773BE39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141" w:hRule="atLeast"/>
        </w:trPr>
        <w:tc>
          <w:tcPr>
            <w:tcW w:w="1794" w:type="dxa"/>
            <w:tcBorders>
              <w:top w:val="nil"/>
              <w:bottom w:val="nil"/>
              <w:right w:val="nil"/>
            </w:tcBorders>
          </w:tcPr>
          <w:p w14:paraId="4F904959">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Opioid sparing analgesia (paracetamol, NSAID, epidural)</w:t>
            </w:r>
          </w:p>
        </w:tc>
        <w:tc>
          <w:tcPr>
            <w:tcW w:w="1029" w:type="dxa"/>
            <w:tcBorders>
              <w:top w:val="nil"/>
              <w:left w:val="nil"/>
              <w:bottom w:val="nil"/>
              <w:right w:val="nil"/>
            </w:tcBorders>
          </w:tcPr>
          <w:p w14:paraId="6D5AAA87">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45/150</w:t>
            </w:r>
          </w:p>
        </w:tc>
        <w:tc>
          <w:tcPr>
            <w:tcW w:w="1185" w:type="dxa"/>
            <w:tcBorders>
              <w:top w:val="nil"/>
              <w:left w:val="nil"/>
              <w:bottom w:val="nil"/>
              <w:right w:val="nil"/>
            </w:tcBorders>
          </w:tcPr>
          <w:p w14:paraId="4A4CFD05">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30</w:t>
            </w:r>
          </w:p>
        </w:tc>
        <w:tc>
          <w:tcPr>
            <w:tcW w:w="1106" w:type="dxa"/>
            <w:tcBorders>
              <w:top w:val="nil"/>
              <w:left w:val="nil"/>
              <w:bottom w:val="nil"/>
            </w:tcBorders>
          </w:tcPr>
          <w:p w14:paraId="06938BF3">
            <w:pPr>
              <w:spacing w:line="360" w:lineRule="auto"/>
              <w:jc w:val="center"/>
              <w:rPr>
                <w:rFonts w:ascii="Times New Roman" w:hAnsi="Times New Roman" w:eastAsia="Times New Roman" w:cs="Times New Roman"/>
                <w:sz w:val="18"/>
                <w:szCs w:val="18"/>
              </w:rPr>
            </w:pPr>
          </w:p>
        </w:tc>
        <w:tc>
          <w:tcPr>
            <w:tcW w:w="1376" w:type="dxa"/>
            <w:tcBorders>
              <w:top w:val="nil"/>
              <w:left w:val="nil"/>
              <w:bottom w:val="nil"/>
              <w:right w:val="nil"/>
            </w:tcBorders>
          </w:tcPr>
          <w:p w14:paraId="656CA8AA">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42/65</w:t>
            </w:r>
          </w:p>
        </w:tc>
        <w:tc>
          <w:tcPr>
            <w:tcW w:w="1517" w:type="dxa"/>
            <w:tcBorders>
              <w:top w:val="nil"/>
              <w:left w:val="nil"/>
              <w:bottom w:val="nil"/>
              <w:right w:val="nil"/>
            </w:tcBorders>
          </w:tcPr>
          <w:p w14:paraId="148F753A">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65</w:t>
            </w:r>
          </w:p>
        </w:tc>
        <w:tc>
          <w:tcPr>
            <w:tcW w:w="1931" w:type="dxa"/>
            <w:tcBorders>
              <w:top w:val="nil"/>
              <w:left w:val="nil"/>
              <w:bottom w:val="nil"/>
            </w:tcBorders>
          </w:tcPr>
          <w:p w14:paraId="5E90E206">
            <w:pPr>
              <w:spacing w:line="360" w:lineRule="auto"/>
              <w:jc w:val="center"/>
              <w:rPr>
                <w:rFonts w:ascii="Times New Roman" w:hAnsi="Times New Roman" w:eastAsia="Times New Roman" w:cs="Times New Roman"/>
                <w:sz w:val="18"/>
                <w:szCs w:val="18"/>
              </w:rPr>
            </w:pPr>
          </w:p>
        </w:tc>
      </w:tr>
      <w:tr w14:paraId="4C58332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top w:val="nil"/>
              <w:bottom w:val="nil"/>
              <w:right w:val="nil"/>
            </w:tcBorders>
          </w:tcPr>
          <w:p w14:paraId="4F97B2EF">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Normoglycemia</w:t>
            </w:r>
          </w:p>
        </w:tc>
        <w:tc>
          <w:tcPr>
            <w:tcW w:w="1029" w:type="dxa"/>
            <w:tcBorders>
              <w:top w:val="nil"/>
              <w:left w:val="nil"/>
              <w:bottom w:val="nil"/>
              <w:right w:val="nil"/>
            </w:tcBorders>
          </w:tcPr>
          <w:p w14:paraId="09B85DF5">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35/35</w:t>
            </w:r>
          </w:p>
        </w:tc>
        <w:tc>
          <w:tcPr>
            <w:tcW w:w="1185" w:type="dxa"/>
            <w:tcBorders>
              <w:top w:val="nil"/>
              <w:left w:val="nil"/>
              <w:bottom w:val="nil"/>
              <w:right w:val="nil"/>
            </w:tcBorders>
          </w:tcPr>
          <w:p w14:paraId="00F93F66">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100</w:t>
            </w:r>
          </w:p>
        </w:tc>
        <w:tc>
          <w:tcPr>
            <w:tcW w:w="1106" w:type="dxa"/>
            <w:tcBorders>
              <w:top w:val="nil"/>
              <w:left w:val="nil"/>
              <w:bottom w:val="nil"/>
            </w:tcBorders>
          </w:tcPr>
          <w:p w14:paraId="7501D2CA">
            <w:pPr>
              <w:spacing w:line="360" w:lineRule="auto"/>
              <w:jc w:val="center"/>
              <w:rPr>
                <w:rFonts w:ascii="Times New Roman" w:hAnsi="Times New Roman" w:eastAsia="Times New Roman" w:cs="Times New Roman"/>
                <w:sz w:val="18"/>
                <w:szCs w:val="18"/>
              </w:rPr>
            </w:pPr>
          </w:p>
        </w:tc>
        <w:tc>
          <w:tcPr>
            <w:tcW w:w="1376" w:type="dxa"/>
            <w:tcBorders>
              <w:top w:val="nil"/>
              <w:left w:val="nil"/>
              <w:bottom w:val="nil"/>
              <w:right w:val="nil"/>
            </w:tcBorders>
          </w:tcPr>
          <w:p w14:paraId="62008C10">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4/4</w:t>
            </w:r>
          </w:p>
        </w:tc>
        <w:tc>
          <w:tcPr>
            <w:tcW w:w="1517" w:type="dxa"/>
            <w:tcBorders>
              <w:top w:val="nil"/>
              <w:left w:val="nil"/>
              <w:bottom w:val="nil"/>
              <w:right w:val="nil"/>
            </w:tcBorders>
          </w:tcPr>
          <w:p w14:paraId="4A0A30C8">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100</w:t>
            </w:r>
          </w:p>
        </w:tc>
        <w:tc>
          <w:tcPr>
            <w:tcW w:w="1931" w:type="dxa"/>
            <w:tcBorders>
              <w:top w:val="nil"/>
              <w:left w:val="nil"/>
              <w:bottom w:val="nil"/>
            </w:tcBorders>
          </w:tcPr>
          <w:p w14:paraId="03FE42E0">
            <w:pPr>
              <w:spacing w:line="360" w:lineRule="auto"/>
              <w:jc w:val="center"/>
              <w:rPr>
                <w:rFonts w:ascii="Times New Roman" w:hAnsi="Times New Roman" w:eastAsia="Times New Roman" w:cs="Times New Roman"/>
                <w:sz w:val="18"/>
                <w:szCs w:val="18"/>
              </w:rPr>
            </w:pPr>
          </w:p>
        </w:tc>
      </w:tr>
      <w:tr w14:paraId="162675F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top w:val="nil"/>
              <w:bottom w:val="nil"/>
              <w:right w:val="nil"/>
            </w:tcBorders>
          </w:tcPr>
          <w:p w14:paraId="6EAF970A">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Urethral catheter removal (&lt; 48hrs)</w:t>
            </w:r>
          </w:p>
        </w:tc>
        <w:tc>
          <w:tcPr>
            <w:tcW w:w="1029" w:type="dxa"/>
            <w:tcBorders>
              <w:top w:val="nil"/>
              <w:left w:val="nil"/>
              <w:bottom w:val="nil"/>
              <w:right w:val="nil"/>
            </w:tcBorders>
          </w:tcPr>
          <w:p w14:paraId="61425118">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110/150</w:t>
            </w:r>
          </w:p>
        </w:tc>
        <w:tc>
          <w:tcPr>
            <w:tcW w:w="1185" w:type="dxa"/>
            <w:tcBorders>
              <w:top w:val="nil"/>
              <w:left w:val="nil"/>
              <w:bottom w:val="nil"/>
              <w:right w:val="nil"/>
            </w:tcBorders>
          </w:tcPr>
          <w:p w14:paraId="482DE64D">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73</w:t>
            </w:r>
          </w:p>
        </w:tc>
        <w:tc>
          <w:tcPr>
            <w:tcW w:w="1106" w:type="dxa"/>
            <w:tcBorders>
              <w:top w:val="nil"/>
              <w:left w:val="nil"/>
              <w:bottom w:val="nil"/>
            </w:tcBorders>
          </w:tcPr>
          <w:p w14:paraId="23E8F6FC">
            <w:pPr>
              <w:spacing w:line="360" w:lineRule="auto"/>
              <w:jc w:val="center"/>
              <w:rPr>
                <w:rFonts w:ascii="Times New Roman" w:hAnsi="Times New Roman" w:eastAsia="Times New Roman" w:cs="Times New Roman"/>
                <w:sz w:val="18"/>
                <w:szCs w:val="18"/>
              </w:rPr>
            </w:pPr>
          </w:p>
        </w:tc>
        <w:tc>
          <w:tcPr>
            <w:tcW w:w="1376" w:type="dxa"/>
            <w:tcBorders>
              <w:top w:val="nil"/>
              <w:left w:val="nil"/>
              <w:bottom w:val="nil"/>
              <w:right w:val="nil"/>
            </w:tcBorders>
          </w:tcPr>
          <w:p w14:paraId="3B57E150">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62/65</w:t>
            </w:r>
          </w:p>
        </w:tc>
        <w:tc>
          <w:tcPr>
            <w:tcW w:w="1517" w:type="dxa"/>
            <w:tcBorders>
              <w:top w:val="nil"/>
              <w:left w:val="nil"/>
              <w:bottom w:val="nil"/>
              <w:right w:val="nil"/>
            </w:tcBorders>
          </w:tcPr>
          <w:p w14:paraId="356B83A5">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95</w:t>
            </w:r>
          </w:p>
        </w:tc>
        <w:tc>
          <w:tcPr>
            <w:tcW w:w="1931" w:type="dxa"/>
            <w:tcBorders>
              <w:top w:val="nil"/>
              <w:left w:val="nil"/>
              <w:bottom w:val="nil"/>
            </w:tcBorders>
          </w:tcPr>
          <w:p w14:paraId="78A612A6">
            <w:pPr>
              <w:spacing w:line="360" w:lineRule="auto"/>
              <w:jc w:val="center"/>
              <w:rPr>
                <w:rFonts w:ascii="Times New Roman" w:hAnsi="Times New Roman" w:eastAsia="Times New Roman" w:cs="Times New Roman"/>
                <w:sz w:val="18"/>
                <w:szCs w:val="18"/>
              </w:rPr>
            </w:pPr>
          </w:p>
        </w:tc>
      </w:tr>
      <w:tr w14:paraId="21699EC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top w:val="nil"/>
              <w:bottom w:val="nil"/>
              <w:right w:val="nil"/>
            </w:tcBorders>
          </w:tcPr>
          <w:p w14:paraId="5C889B1C">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Peritoneal drain removal (&lt;72hrs)</w:t>
            </w:r>
          </w:p>
        </w:tc>
        <w:tc>
          <w:tcPr>
            <w:tcW w:w="1029" w:type="dxa"/>
            <w:tcBorders>
              <w:top w:val="nil"/>
              <w:left w:val="nil"/>
              <w:bottom w:val="nil"/>
              <w:right w:val="nil"/>
            </w:tcBorders>
          </w:tcPr>
          <w:p w14:paraId="7FB37036">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35/66</w:t>
            </w:r>
          </w:p>
        </w:tc>
        <w:tc>
          <w:tcPr>
            <w:tcW w:w="1185" w:type="dxa"/>
            <w:tcBorders>
              <w:top w:val="nil"/>
              <w:left w:val="nil"/>
              <w:bottom w:val="nil"/>
              <w:right w:val="nil"/>
            </w:tcBorders>
          </w:tcPr>
          <w:p w14:paraId="21E4CF2A">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53</w:t>
            </w:r>
          </w:p>
        </w:tc>
        <w:tc>
          <w:tcPr>
            <w:tcW w:w="1106" w:type="dxa"/>
            <w:tcBorders>
              <w:top w:val="nil"/>
              <w:left w:val="nil"/>
              <w:bottom w:val="nil"/>
            </w:tcBorders>
          </w:tcPr>
          <w:p w14:paraId="61EC485C">
            <w:pPr>
              <w:spacing w:line="360" w:lineRule="auto"/>
              <w:jc w:val="center"/>
              <w:rPr>
                <w:rFonts w:ascii="Times New Roman" w:hAnsi="Times New Roman" w:eastAsia="Times New Roman" w:cs="Times New Roman"/>
                <w:sz w:val="18"/>
                <w:szCs w:val="18"/>
              </w:rPr>
            </w:pPr>
          </w:p>
        </w:tc>
        <w:tc>
          <w:tcPr>
            <w:tcW w:w="1376" w:type="dxa"/>
            <w:tcBorders>
              <w:top w:val="nil"/>
              <w:left w:val="nil"/>
              <w:bottom w:val="nil"/>
              <w:right w:val="nil"/>
            </w:tcBorders>
          </w:tcPr>
          <w:p w14:paraId="40A0E3EA">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20/35</w:t>
            </w:r>
          </w:p>
        </w:tc>
        <w:tc>
          <w:tcPr>
            <w:tcW w:w="1517" w:type="dxa"/>
            <w:tcBorders>
              <w:top w:val="nil"/>
              <w:left w:val="nil"/>
              <w:bottom w:val="nil"/>
              <w:right w:val="nil"/>
            </w:tcBorders>
          </w:tcPr>
          <w:p w14:paraId="77545076">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57</w:t>
            </w:r>
          </w:p>
        </w:tc>
        <w:tc>
          <w:tcPr>
            <w:tcW w:w="1931" w:type="dxa"/>
            <w:tcBorders>
              <w:top w:val="nil"/>
              <w:left w:val="nil"/>
              <w:bottom w:val="nil"/>
            </w:tcBorders>
          </w:tcPr>
          <w:p w14:paraId="789FB181">
            <w:pPr>
              <w:spacing w:line="360" w:lineRule="auto"/>
              <w:jc w:val="center"/>
              <w:rPr>
                <w:rFonts w:ascii="Times New Roman" w:hAnsi="Times New Roman" w:eastAsia="Times New Roman" w:cs="Times New Roman"/>
                <w:sz w:val="18"/>
                <w:szCs w:val="18"/>
              </w:rPr>
            </w:pPr>
          </w:p>
        </w:tc>
      </w:tr>
      <w:tr w14:paraId="2505BCC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90" w:hRule="atLeast"/>
        </w:trPr>
        <w:tc>
          <w:tcPr>
            <w:tcW w:w="1794" w:type="dxa"/>
            <w:tcBorders>
              <w:top w:val="nil"/>
              <w:right w:val="nil"/>
            </w:tcBorders>
          </w:tcPr>
          <w:p w14:paraId="6BFCBD9C">
            <w:pPr>
              <w:spacing w:line="360" w:lineRule="auto"/>
              <w:jc w:val="center"/>
              <w:rPr>
                <w:rFonts w:ascii="Times New Roman" w:hAnsi="Times New Roman" w:eastAsia="Times New Roman" w:cs="Times New Roman"/>
                <w:sz w:val="18"/>
                <w:szCs w:val="18"/>
              </w:rPr>
            </w:pPr>
          </w:p>
        </w:tc>
        <w:tc>
          <w:tcPr>
            <w:tcW w:w="1029" w:type="dxa"/>
            <w:tcBorders>
              <w:top w:val="nil"/>
              <w:left w:val="nil"/>
              <w:right w:val="nil"/>
            </w:tcBorders>
          </w:tcPr>
          <w:p w14:paraId="5A0305E7">
            <w:pPr>
              <w:spacing w:line="360" w:lineRule="auto"/>
              <w:jc w:val="center"/>
              <w:rPr>
                <w:rFonts w:ascii="Times New Roman" w:hAnsi="Times New Roman" w:eastAsia="Times New Roman" w:cs="Times New Roman"/>
                <w:sz w:val="18"/>
                <w:szCs w:val="18"/>
              </w:rPr>
            </w:pPr>
          </w:p>
        </w:tc>
        <w:tc>
          <w:tcPr>
            <w:tcW w:w="1185" w:type="dxa"/>
            <w:tcBorders>
              <w:top w:val="nil"/>
              <w:left w:val="nil"/>
              <w:right w:val="nil"/>
            </w:tcBorders>
          </w:tcPr>
          <w:p w14:paraId="41064F0D">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Total</w:t>
            </w:r>
          </w:p>
        </w:tc>
        <w:tc>
          <w:tcPr>
            <w:tcW w:w="1106" w:type="dxa"/>
            <w:tcBorders>
              <w:top w:val="nil"/>
              <w:left w:val="nil"/>
            </w:tcBorders>
          </w:tcPr>
          <w:p w14:paraId="2A138149">
            <w:pPr>
              <w:spacing w:line="360" w:lineRule="auto"/>
              <w:jc w:val="center"/>
              <w:rPr>
                <w:rFonts w:ascii="Times New Roman" w:hAnsi="Times New Roman" w:eastAsia="Times New Roman" w:cs="Times New Roman"/>
                <w:color w:val="FF0000"/>
                <w:sz w:val="18"/>
                <w:szCs w:val="18"/>
              </w:rPr>
            </w:pPr>
            <w:r>
              <w:rPr>
                <w:rFonts w:ascii="Times New Roman" w:hAnsi="Times New Roman" w:eastAsia="Times New Roman" w:cs="Times New Roman"/>
                <w:sz w:val="18"/>
                <w:szCs w:val="18"/>
              </w:rPr>
              <w:t xml:space="preserve">47.6 </w:t>
            </w:r>
            <w:r>
              <w:rPr>
                <w:rFonts w:ascii="Times New Roman" w:hAnsi="Times New Roman" w:eastAsia="Times New Roman" w:cs="Times New Roman"/>
                <w:b/>
                <w:color w:val="FF0000"/>
              </w:rPr>
              <w:t>X</w:t>
            </w:r>
          </w:p>
        </w:tc>
        <w:tc>
          <w:tcPr>
            <w:tcW w:w="1376" w:type="dxa"/>
            <w:tcBorders>
              <w:top w:val="nil"/>
              <w:left w:val="nil"/>
              <w:right w:val="nil"/>
            </w:tcBorders>
          </w:tcPr>
          <w:p w14:paraId="4953A602">
            <w:pPr>
              <w:spacing w:line="360" w:lineRule="auto"/>
              <w:jc w:val="center"/>
              <w:rPr>
                <w:rFonts w:ascii="Times New Roman" w:hAnsi="Times New Roman" w:eastAsia="Times New Roman" w:cs="Times New Roman"/>
                <w:sz w:val="18"/>
                <w:szCs w:val="18"/>
              </w:rPr>
            </w:pPr>
          </w:p>
        </w:tc>
        <w:tc>
          <w:tcPr>
            <w:tcW w:w="1517" w:type="dxa"/>
            <w:tcBorders>
              <w:top w:val="nil"/>
              <w:left w:val="nil"/>
              <w:right w:val="nil"/>
            </w:tcBorders>
          </w:tcPr>
          <w:p w14:paraId="2914886C">
            <w:pPr>
              <w:spacing w:line="360" w:lineRule="auto"/>
              <w:jc w:val="center"/>
              <w:rPr>
                <w:rFonts w:ascii="Times New Roman" w:hAnsi="Times New Roman" w:eastAsia="Times New Roman" w:cs="Times New Roman"/>
                <w:sz w:val="18"/>
                <w:szCs w:val="18"/>
              </w:rPr>
            </w:pPr>
            <w:r>
              <w:rPr>
                <w:rFonts w:ascii="Times New Roman" w:hAnsi="Times New Roman" w:eastAsia="Times New Roman" w:cs="Times New Roman"/>
                <w:sz w:val="18"/>
                <w:szCs w:val="18"/>
              </w:rPr>
              <w:t>Total</w:t>
            </w:r>
          </w:p>
        </w:tc>
        <w:tc>
          <w:tcPr>
            <w:tcW w:w="1931" w:type="dxa"/>
            <w:tcBorders>
              <w:top w:val="nil"/>
              <w:left w:val="nil"/>
            </w:tcBorders>
          </w:tcPr>
          <w:p w14:paraId="13C26E14">
            <w:pPr>
              <w:spacing w:line="360" w:lineRule="auto"/>
              <w:jc w:val="center"/>
              <w:rPr>
                <w:rFonts w:ascii="Times New Roman" w:hAnsi="Times New Roman" w:eastAsia="Times New Roman" w:cs="Times New Roman"/>
                <w:color w:val="00FF00"/>
                <w:sz w:val="18"/>
                <w:szCs w:val="18"/>
              </w:rPr>
            </w:pPr>
            <w:r>
              <w:rPr>
                <w:rFonts w:ascii="Times New Roman" w:hAnsi="Times New Roman" w:eastAsia="Times New Roman" w:cs="Times New Roman"/>
                <w:sz w:val="18"/>
                <w:szCs w:val="18"/>
              </w:rPr>
              <w:t xml:space="preserve">86.8 </w:t>
            </w:r>
            <w:r>
              <w:rPr>
                <w:rFonts w:ascii="Times New Roman" w:hAnsi="Times New Roman" w:eastAsia="Times New Roman" w:cs="Times New Roman"/>
                <w:b/>
                <w:color w:val="00FF00"/>
              </w:rPr>
              <w:t>X</w:t>
            </w:r>
          </w:p>
        </w:tc>
      </w:tr>
    </w:tbl>
    <w:p w14:paraId="6826D02A">
      <w:pPr>
        <w:spacing w:line="360" w:lineRule="auto"/>
        <w:rPr>
          <w:rFonts w:ascii="Times New Roman" w:hAnsi="Times New Roman" w:eastAsia="Times New Roman" w:cs="Times New Roman"/>
        </w:rPr>
      </w:pPr>
      <w:r>
        <w:rPr>
          <w:rFonts w:ascii="Times New Roman" w:hAnsi="Times New Roman" w:eastAsia="Times New Roman" w:cs="Times New Roman"/>
          <w:sz w:val="18"/>
          <w:szCs w:val="18"/>
        </w:rPr>
        <w:t>++ (TED stockings, prophylactic heparin)            ** (Administration of carbohydrate-rich drink before surgery)</w:t>
      </w:r>
    </w:p>
    <w:p w14:paraId="340CC0DD">
      <w:pPr>
        <w:spacing w:line="360" w:lineRule="auto"/>
        <w:rPr>
          <w:rFonts w:ascii="Times New Roman" w:hAnsi="Times New Roman" w:eastAsia="Times New Roman" w:cs="Times New Roman"/>
        </w:rPr>
      </w:pPr>
      <w:r>
        <w:rPr>
          <w:rFonts w:ascii="Times New Roman" w:hAnsi="Times New Roman" w:eastAsia="Times New Roman" w:cs="Times New Roman"/>
        </w:rPr>
        <w:t>In the first cycle, as shown in Table 3 &amp; 4, poor compliance 19% was achieved to the pre-operative components with only excellent compliance in pre op correction of anemia and medical condition. The intra operative period compliance was good (66%) however with poor compliance with anti-emetic use. The post-operative compliance was poor (57.8%) particularly early commencement of diet, thrombo-prophylaxis and use of opioid sparing analgesia. The following results lead to the formulation of the recommendations seen in appendix 1.</w:t>
      </w:r>
    </w:p>
    <w:p w14:paraId="684F9D73">
      <w:pPr>
        <w:spacing w:line="360" w:lineRule="auto"/>
        <w:rPr>
          <w:rFonts w:ascii="Times New Roman" w:hAnsi="Times New Roman" w:eastAsia="Times New Roman" w:cs="Times New Roman"/>
        </w:rPr>
      </w:pPr>
      <w:r>
        <w:rPr>
          <w:rFonts w:ascii="Times New Roman" w:hAnsi="Times New Roman" w:eastAsia="Times New Roman" w:cs="Times New Roman"/>
        </w:rPr>
        <w:t>Overall adherence to items required in the ERAS protocol was 47.6% at our hospital even before the ERAS program was implemented. After implementation, overall adherence was increased to 86.8%. In the first cycle, post-operative stay of 66% of the patients was &gt; 48hrs, however this improved in the second cycle as post-operative stay of 73.3% of patients was &lt; 48hrs.</w:t>
      </w:r>
    </w:p>
    <w:p w14:paraId="51582356">
      <w:pPr>
        <w:spacing w:line="360" w:lineRule="auto"/>
        <w:rPr>
          <w:rFonts w:ascii="Times New Roman" w:hAnsi="Times New Roman" w:eastAsia="Times New Roman" w:cs="Times New Roman"/>
        </w:rPr>
      </w:pPr>
    </w:p>
    <w:p w14:paraId="3D507CEC">
      <w:pPr>
        <w:spacing w:line="360" w:lineRule="auto"/>
        <w:rPr>
          <w:rFonts w:ascii="Times New Roman" w:hAnsi="Times New Roman" w:eastAsia="Times New Roman" w:cs="Times New Roman"/>
        </w:rPr>
      </w:pPr>
      <w:r>
        <w:rPr>
          <w:rFonts w:ascii="Times New Roman" w:hAnsi="Times New Roman" w:eastAsia="Times New Roman" w:cs="Times New Roman"/>
        </w:rPr>
        <w:t xml:space="preserve">Table 5: </w:t>
      </w:r>
      <w:r>
        <w:rPr>
          <w:rFonts w:ascii="Times New Roman" w:hAnsi="Times New Roman" w:eastAsia="Times New Roman" w:cs="Times New Roman"/>
          <w:b/>
        </w:rPr>
        <w:t>Post-operative hospital stay</w:t>
      </w:r>
    </w:p>
    <w:tbl>
      <w:tblPr>
        <w:tblStyle w:val="19"/>
        <w:tblW w:w="5313" w:type="dxa"/>
        <w:tblInd w:w="-108"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771"/>
        <w:gridCol w:w="1598"/>
        <w:gridCol w:w="1944"/>
      </w:tblGrid>
      <w:tr w14:paraId="507FAF6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771" w:type="dxa"/>
            <w:tcBorders>
              <w:bottom w:val="single" w:color="000000" w:sz="4" w:space="0"/>
              <w:right w:val="nil"/>
            </w:tcBorders>
          </w:tcPr>
          <w:p w14:paraId="53D54C0A">
            <w:pPr>
              <w:spacing w:line="36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Post op hospital stay (days)</w:t>
            </w:r>
          </w:p>
        </w:tc>
        <w:tc>
          <w:tcPr>
            <w:tcW w:w="1598" w:type="dxa"/>
            <w:tcBorders>
              <w:left w:val="nil"/>
              <w:bottom w:val="single" w:color="000000" w:sz="4" w:space="0"/>
              <w:right w:val="nil"/>
            </w:tcBorders>
          </w:tcPr>
          <w:p w14:paraId="38D30176">
            <w:pPr>
              <w:spacing w:line="36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First cycle         n (%)</w:t>
            </w:r>
          </w:p>
        </w:tc>
        <w:tc>
          <w:tcPr>
            <w:tcW w:w="1944" w:type="dxa"/>
            <w:tcBorders>
              <w:left w:val="nil"/>
              <w:bottom w:val="single" w:color="000000" w:sz="4" w:space="0"/>
              <w:right w:val="single" w:color="000000" w:sz="4" w:space="0"/>
            </w:tcBorders>
          </w:tcPr>
          <w:p w14:paraId="11EBDFF1">
            <w:pPr>
              <w:spacing w:line="360" w:lineRule="auto"/>
              <w:jc w:val="center"/>
              <w:rPr>
                <w:rFonts w:ascii="Times New Roman" w:hAnsi="Times New Roman" w:eastAsia="Times New Roman" w:cs="Times New Roman"/>
                <w:b/>
                <w:sz w:val="20"/>
                <w:szCs w:val="20"/>
              </w:rPr>
            </w:pPr>
            <w:r>
              <w:rPr>
                <w:rFonts w:ascii="Times New Roman" w:hAnsi="Times New Roman" w:eastAsia="Times New Roman" w:cs="Times New Roman"/>
                <w:b/>
                <w:sz w:val="20"/>
                <w:szCs w:val="20"/>
              </w:rPr>
              <w:t>Second cycle</w:t>
            </w:r>
          </w:p>
          <w:p w14:paraId="20FACC63">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b/>
                <w:sz w:val="20"/>
                <w:szCs w:val="20"/>
              </w:rPr>
              <w:t>n (%)</w:t>
            </w:r>
          </w:p>
        </w:tc>
      </w:tr>
      <w:tr w14:paraId="244ABB0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771" w:type="dxa"/>
            <w:tcBorders>
              <w:top w:val="single" w:color="000000" w:sz="4" w:space="0"/>
              <w:bottom w:val="nil"/>
              <w:right w:val="nil"/>
            </w:tcBorders>
          </w:tcPr>
          <w:p w14:paraId="4D790086">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&lt; 24hrs</w:t>
            </w:r>
          </w:p>
        </w:tc>
        <w:tc>
          <w:tcPr>
            <w:tcW w:w="1598" w:type="dxa"/>
            <w:tcBorders>
              <w:left w:val="nil"/>
              <w:bottom w:val="nil"/>
              <w:right w:val="nil"/>
            </w:tcBorders>
          </w:tcPr>
          <w:p w14:paraId="3615E30E">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15 (10)</w:t>
            </w:r>
          </w:p>
        </w:tc>
        <w:tc>
          <w:tcPr>
            <w:tcW w:w="1944" w:type="dxa"/>
            <w:tcBorders>
              <w:left w:val="nil"/>
              <w:bottom w:val="nil"/>
              <w:right w:val="single" w:color="000000" w:sz="4" w:space="0"/>
            </w:tcBorders>
          </w:tcPr>
          <w:p w14:paraId="00B469C7">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12 (20)</w:t>
            </w:r>
          </w:p>
        </w:tc>
      </w:tr>
      <w:tr w14:paraId="3CAC99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771" w:type="dxa"/>
            <w:tcBorders>
              <w:top w:val="nil"/>
              <w:bottom w:val="nil"/>
              <w:right w:val="nil"/>
            </w:tcBorders>
          </w:tcPr>
          <w:p w14:paraId="61F5DD2D">
            <w:pPr>
              <w:numPr>
                <w:ilvl w:val="0"/>
                <w:numId w:val="1"/>
              </w:numPr>
              <w:pBdr>
                <w:top w:val="none" w:color="auto" w:sz="0" w:space="0"/>
                <w:left w:val="none" w:color="auto" w:sz="0" w:space="0"/>
                <w:bottom w:val="none" w:color="auto" w:sz="0" w:space="0"/>
                <w:right w:val="none" w:color="auto" w:sz="0" w:space="0"/>
                <w:between w:val="none" w:color="auto" w:sz="0" w:space="0"/>
              </w:pBd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 48hrs</w:t>
            </w:r>
          </w:p>
        </w:tc>
        <w:tc>
          <w:tcPr>
            <w:tcW w:w="1598" w:type="dxa"/>
            <w:tcBorders>
              <w:top w:val="nil"/>
              <w:left w:val="nil"/>
              <w:bottom w:val="nil"/>
              <w:right w:val="nil"/>
            </w:tcBorders>
          </w:tcPr>
          <w:p w14:paraId="3032E054">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36 (24)</w:t>
            </w:r>
          </w:p>
        </w:tc>
        <w:tc>
          <w:tcPr>
            <w:tcW w:w="1944" w:type="dxa"/>
            <w:tcBorders>
              <w:top w:val="nil"/>
              <w:left w:val="nil"/>
              <w:bottom w:val="nil"/>
              <w:right w:val="single" w:color="000000" w:sz="4" w:space="0"/>
            </w:tcBorders>
          </w:tcPr>
          <w:p w14:paraId="2AD4B190">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32 (53.3)</w:t>
            </w:r>
          </w:p>
        </w:tc>
      </w:tr>
      <w:tr w14:paraId="4A1042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tcW w:w="1771" w:type="dxa"/>
            <w:tcBorders>
              <w:top w:val="nil"/>
              <w:right w:val="nil"/>
            </w:tcBorders>
          </w:tcPr>
          <w:p w14:paraId="44985243">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&gt; 48hrs</w:t>
            </w:r>
          </w:p>
        </w:tc>
        <w:tc>
          <w:tcPr>
            <w:tcW w:w="1598" w:type="dxa"/>
            <w:tcBorders>
              <w:top w:val="nil"/>
              <w:left w:val="nil"/>
              <w:right w:val="nil"/>
            </w:tcBorders>
          </w:tcPr>
          <w:p w14:paraId="2298A20B">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99 (66)</w:t>
            </w:r>
          </w:p>
        </w:tc>
        <w:tc>
          <w:tcPr>
            <w:tcW w:w="1944" w:type="dxa"/>
            <w:tcBorders>
              <w:top w:val="nil"/>
              <w:left w:val="nil"/>
              <w:right w:val="single" w:color="000000" w:sz="4" w:space="0"/>
            </w:tcBorders>
          </w:tcPr>
          <w:p w14:paraId="548D4155">
            <w:pPr>
              <w:spacing w:line="360" w:lineRule="auto"/>
              <w:jc w:val="center"/>
              <w:rPr>
                <w:rFonts w:ascii="Times New Roman" w:hAnsi="Times New Roman" w:eastAsia="Times New Roman" w:cs="Times New Roman"/>
                <w:sz w:val="20"/>
                <w:szCs w:val="20"/>
              </w:rPr>
            </w:pPr>
            <w:r>
              <w:rPr>
                <w:rFonts w:ascii="Times New Roman" w:hAnsi="Times New Roman" w:eastAsia="Times New Roman" w:cs="Times New Roman"/>
                <w:sz w:val="20"/>
                <w:szCs w:val="20"/>
              </w:rPr>
              <w:t>16 (26.7)</w:t>
            </w:r>
          </w:p>
        </w:tc>
      </w:tr>
    </w:tbl>
    <w:p w14:paraId="6CDBD1A6">
      <w:pPr>
        <w:spacing w:line="360" w:lineRule="auto"/>
        <w:rPr>
          <w:rFonts w:ascii="Times New Roman" w:hAnsi="Times New Roman" w:eastAsia="Times New Roman" w:cs="Times New Roman"/>
          <w:sz w:val="24"/>
          <w:szCs w:val="24"/>
        </w:rPr>
      </w:pPr>
    </w:p>
    <w:p w14:paraId="4806BA7A">
      <w:pPr>
        <w:spacing w:line="360"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 xml:space="preserve">1.4 Discussions </w:t>
      </w:r>
    </w:p>
    <w:p w14:paraId="452CA6D2">
      <w:pPr>
        <w:spacing w:line="360" w:lineRule="auto"/>
      </w:pPr>
      <w:r>
        <w:rPr>
          <w:rFonts w:ascii="Times New Roman" w:hAnsi="Times New Roman" w:eastAsia="Times New Roman" w:cs="Times New Roman"/>
        </w:rPr>
        <w:t xml:space="preserve">ERAS includes components of patient care which begin from the time when the patient is planned for surgery in the outpatient department (OPD) till time of discharge [9]. For successful implementation of a multiple component guideline standard operating protocol should be drawn up and a dedicated trained team should be installed to achieve the goal [10]. This audit was performed to study the compliance to the guidelines prescribed by the ERAS for abdominal surgeries in the absence of a checklist and a dedicated team. </w:t>
      </w:r>
      <w:r>
        <w:t xml:space="preserve">. </w:t>
      </w:r>
    </w:p>
    <w:p w14:paraId="5D08B196">
      <w:pPr>
        <w:spacing w:line="360" w:lineRule="auto"/>
        <w:rPr>
          <w:rFonts w:ascii="Times New Roman" w:hAnsi="Times New Roman" w:eastAsia="Times New Roman" w:cs="Times New Roman"/>
        </w:rPr>
      </w:pPr>
    </w:p>
    <w:p w14:paraId="3191A587">
      <w:pPr>
        <w:spacing w:line="360" w:lineRule="auto"/>
        <w:rPr>
          <w:rFonts w:ascii="Times New Roman" w:hAnsi="Times New Roman" w:eastAsia="Times New Roman" w:cs="Times New Roman"/>
        </w:rPr>
      </w:pPr>
      <w:r>
        <w:rPr>
          <w:rFonts w:ascii="Times New Roman" w:hAnsi="Times New Roman" w:eastAsia="Times New Roman" w:cs="Times New Roman"/>
        </w:rPr>
        <w:t xml:space="preserve">Current study found that among the ERAS protocols, preoperatively, fasting 2hrs for liquid, Pre op fasting 6hrs for solids, thrombo-prophylaxis, and chlorhexidine bath were relatively poorly adopted. </w:t>
      </w:r>
    </w:p>
    <w:p w14:paraId="3B88044F">
      <w:pPr>
        <w:spacing w:line="360" w:lineRule="auto"/>
        <w:rPr>
          <w:rFonts w:ascii="Times New Roman" w:hAnsi="Times New Roman" w:eastAsia="Times New Roman" w:cs="Times New Roman"/>
        </w:rPr>
      </w:pPr>
      <w:r>
        <w:rPr>
          <w:rFonts w:ascii="Times New Roman" w:hAnsi="Times New Roman" w:eastAsia="Times New Roman" w:cs="Times New Roman"/>
        </w:rPr>
        <w:t>Carbohydrate loading and avoidance of prolonged preoperative fasting reduce catabolic response to surgical stress [11].</w:t>
      </w:r>
      <w:r>
        <w:t xml:space="preserve"> </w:t>
      </w:r>
      <w:r>
        <w:rPr>
          <w:rFonts w:ascii="Times New Roman" w:hAnsi="Times New Roman" w:eastAsia="Times New Roman" w:cs="Times New Roman"/>
        </w:rPr>
        <w:t xml:space="preserve">The poor compliance noted in this study highlighted the need for co-ordination between the anaesthetists and surgeons and enforcement by nurses. Although a few studies fail to support routine use of chlorhexidine for prevention of surgical site infection (SSI) [12–14], it is still a low cost effective intervention that can be used in order to reduce bacterial contamination of skin, and has been given a strong grade of recommendation [15]. Knowledge dissemination and concerted effort among the care giving team will allow team co-ordination for adherence. </w:t>
      </w:r>
    </w:p>
    <w:p w14:paraId="464E6C15">
      <w:pPr>
        <w:spacing w:line="360" w:lineRule="auto"/>
        <w:rPr>
          <w:rFonts w:ascii="Times New Roman" w:hAnsi="Times New Roman" w:eastAsia="Times New Roman" w:cs="Times New Roman"/>
        </w:rPr>
      </w:pPr>
    </w:p>
    <w:p w14:paraId="6C1A237D">
      <w:pPr>
        <w:spacing w:line="360" w:lineRule="auto"/>
        <w:rPr>
          <w:rFonts w:ascii="Times New Roman" w:hAnsi="Times New Roman" w:eastAsia="Times New Roman" w:cs="Times New Roman"/>
        </w:rPr>
      </w:pPr>
      <w:r>
        <w:rPr>
          <w:rFonts w:ascii="Times New Roman" w:hAnsi="Times New Roman" w:eastAsia="Times New Roman" w:cs="Times New Roman"/>
        </w:rPr>
        <w:t xml:space="preserve">Worthy of mention is the adherence to use thrombo-phylaxis both pre &amp; post operatively which showed relatively poor compliance. Prevention of VTE could be by the use of anticoagulant drugs: heparin, fondaparinux, warfarin, rivaroxaban and dabigatran. Also non-pharmacological means have been shown to significantly reduce risk of VTE [16]. Mechanical methods of thrombo-prophylaxis include the use of elastic stockings, intermittent use of pneumatic compression devices/foot pumps and mobilization to improve the venous blood flow in conditions predisposing to venous stasis [17]. Bikdeli et. al observed that despite availability of different effective pharmacological and mechanical thrombo-prophylactic methods and clinical guidelines, adherence rate still remained very low among practitioners[18]. In a study carried out in Edo State, Nigeria, over 90% of the respondents demonstrated a good understanding of the concept of thrombo-prophylaxis. Many of them also agreed that thromboembolism is a significant problem among hospitalized patients. However, only 20% consistently administer thrombo-prophylaxis to at-risk patients [19]. This can be attributable to the cost of use of these agents </w:t>
      </w:r>
      <w:r>
        <w:rPr>
          <w:rFonts w:ascii="Times New Roman" w:hAnsi="Times New Roman" w:eastAsia="Times New Roman" w:cs="Times New Roman"/>
          <w:highlight w:val="white"/>
        </w:rPr>
        <w:t>vis-à-vis</w:t>
      </w:r>
      <w:r>
        <w:rPr>
          <w:rFonts w:ascii="Times New Roman" w:hAnsi="Times New Roman" w:eastAsia="Times New Roman" w:cs="Times New Roman"/>
        </w:rPr>
        <w:t xml:space="preserve"> the average socioeconomic class of the high risk population in need of these agents. </w:t>
      </w:r>
    </w:p>
    <w:p w14:paraId="41D0559E">
      <w:pPr>
        <w:spacing w:line="360" w:lineRule="auto"/>
        <w:rPr>
          <w:rFonts w:ascii="Times New Roman" w:hAnsi="Times New Roman" w:eastAsia="Times New Roman" w:cs="Times New Roman"/>
        </w:rPr>
      </w:pPr>
    </w:p>
    <w:p w14:paraId="707154C1">
      <w:pPr>
        <w:spacing w:line="360" w:lineRule="auto"/>
        <w:rPr>
          <w:rFonts w:ascii="Times New Roman" w:hAnsi="Times New Roman" w:eastAsia="Times New Roman" w:cs="Times New Roman"/>
        </w:rPr>
      </w:pPr>
      <w:r>
        <w:rPr>
          <w:rFonts w:ascii="Times New Roman" w:hAnsi="Times New Roman" w:eastAsia="Times New Roman" w:cs="Times New Roman"/>
        </w:rPr>
        <w:t xml:space="preserve">In this audit, as seen in the initial loop there was poor compliance with use of non-opioid analgesic with pentazocine and tramadol being the culprit. </w:t>
      </w:r>
      <w:r>
        <w:rPr>
          <w:rFonts w:ascii="Times New Roman" w:hAnsi="Times New Roman" w:eastAsia="Times New Roman" w:cs="Times New Roman"/>
          <w:highlight w:val="white"/>
        </w:rPr>
        <w:t>Opioids are an effective therapy for severe pain, and their use remains a mainstay of treatment for pain control after surgery. However, use of opioid medication comes with significant side effects including ileus, respiratory depression, and nausea and vomiting [20].</w:t>
      </w:r>
      <w:r>
        <w:rPr>
          <w:rFonts w:ascii="Times New Roman" w:hAnsi="Times New Roman" w:eastAsia="Times New Roman" w:cs="Times New Roman"/>
        </w:rPr>
        <w:t xml:space="preserve"> An opioid sparing multimodal pain relief approach is recommended to improve functional recovery [21, 22].</w:t>
      </w:r>
    </w:p>
    <w:p w14:paraId="46CD5F75">
      <w:pPr>
        <w:spacing w:line="360" w:lineRule="auto"/>
        <w:rPr>
          <w:rFonts w:ascii="Times New Roman" w:hAnsi="Times New Roman" w:eastAsia="Times New Roman" w:cs="Times New Roman"/>
          <w:sz w:val="22"/>
          <w:szCs w:val="22"/>
        </w:rPr>
      </w:pPr>
    </w:p>
    <w:p w14:paraId="4FD3E258">
      <w:pPr>
        <w:spacing w:line="360" w:lineRule="auto"/>
        <w:rPr>
          <w:rFonts w:ascii="Times New Roman" w:hAnsi="Times New Roman" w:eastAsia="Times New Roman" w:cs="Times New Roman"/>
          <w:sz w:val="22"/>
          <w:szCs w:val="22"/>
        </w:rPr>
      </w:pPr>
      <w:r>
        <w:rPr>
          <w:rFonts w:ascii="Times New Roman" w:hAnsi="Times New Roman" w:eastAsia="Times New Roman" w:cs="Times New Roman"/>
          <w:sz w:val="22"/>
          <w:szCs w:val="22"/>
        </w:rPr>
        <w:t>1.5 Conclusion</w:t>
      </w:r>
    </w:p>
    <w:p w14:paraId="4A19C60F">
      <w:pPr>
        <w:spacing w:line="360" w:lineRule="auto"/>
        <w:rPr>
          <w:rFonts w:hint="default" w:ascii="Times New Roman" w:hAnsi="Times New Roman" w:eastAsia="Times New Roman" w:cs="Times New Roman"/>
          <w:sz w:val="21"/>
          <w:szCs w:val="21"/>
        </w:rPr>
      </w:pPr>
      <w:r>
        <w:rPr>
          <w:rFonts w:hint="default" w:ascii="Times New Roman" w:hAnsi="Times New Roman" w:eastAsia="Cambria" w:cs="Times New Roman"/>
          <w:i w:val="0"/>
          <w:iCs w:val="0"/>
          <w:caps w:val="0"/>
          <w:color w:val="1B1B1B"/>
          <w:spacing w:val="0"/>
          <w:sz w:val="21"/>
          <w:szCs w:val="21"/>
          <w:shd w:val="clear" w:fill="FFFFFF"/>
        </w:rPr>
        <w:t>Because the basic principles of ERAS are to decrease the stress of surgery</w:t>
      </w:r>
      <w:r>
        <w:rPr>
          <w:rFonts w:hint="default" w:ascii="Times New Roman" w:hAnsi="Times New Roman" w:eastAsia="Cambria" w:cs="Times New Roman"/>
          <w:i w:val="0"/>
          <w:iCs w:val="0"/>
          <w:caps w:val="0"/>
          <w:color w:val="1B1B1B"/>
          <w:spacing w:val="0"/>
          <w:sz w:val="21"/>
          <w:szCs w:val="21"/>
          <w:shd w:val="clear" w:fill="FFFFFF"/>
          <w:lang w:val="en-US"/>
        </w:rPr>
        <w:t xml:space="preserve"> [23]</w:t>
      </w:r>
      <w:r>
        <w:rPr>
          <w:rFonts w:hint="default" w:ascii="Times New Roman" w:hAnsi="Times New Roman" w:eastAsia="Cambria" w:cs="Times New Roman"/>
          <w:i w:val="0"/>
          <w:iCs w:val="0"/>
          <w:caps w:val="0"/>
          <w:color w:val="1B1B1B"/>
          <w:spacing w:val="0"/>
          <w:sz w:val="21"/>
          <w:szCs w:val="21"/>
          <w:shd w:val="clear" w:fill="FFFFFF"/>
        </w:rPr>
        <w:t> and to maintain normal physiology, these principles should ideally be applied to all patients undergoing surgery</w:t>
      </w:r>
      <w:r>
        <w:rPr>
          <w:rFonts w:hint="default" w:ascii="Times New Roman" w:hAnsi="Times New Roman" w:eastAsia="Cambria" w:cs="Times New Roman"/>
          <w:i w:val="0"/>
          <w:iCs w:val="0"/>
          <w:caps w:val="0"/>
          <w:color w:val="1B1B1B"/>
          <w:spacing w:val="0"/>
          <w:sz w:val="21"/>
          <w:szCs w:val="21"/>
          <w:shd w:val="clear" w:fill="FFFFFF"/>
          <w:lang w:val="en-US"/>
        </w:rPr>
        <w:t xml:space="preserve"> [24]</w:t>
      </w:r>
      <w:r>
        <w:rPr>
          <w:rFonts w:hint="default" w:ascii="Times New Roman" w:hAnsi="Times New Roman" w:eastAsia="Cambria" w:cs="Times New Roman"/>
          <w:i w:val="0"/>
          <w:iCs w:val="0"/>
          <w:caps w:val="0"/>
          <w:color w:val="1B1B1B"/>
          <w:spacing w:val="0"/>
          <w:sz w:val="21"/>
          <w:szCs w:val="21"/>
          <w:shd w:val="clear" w:fill="FFFFFF"/>
        </w:rPr>
        <w:t>.Despite the challenges of implementing such a protocol, there are clear advantages for patients and</w:t>
      </w:r>
      <w:r>
        <w:rPr>
          <w:rFonts w:hint="default" w:ascii="Times New Roman" w:hAnsi="Times New Roman" w:eastAsia="Cambria" w:cs="Times New Roman"/>
          <w:i w:val="0"/>
          <w:iCs w:val="0"/>
          <w:caps w:val="0"/>
          <w:color w:val="1B1B1B"/>
          <w:spacing w:val="0"/>
          <w:sz w:val="21"/>
          <w:szCs w:val="21"/>
          <w:shd w:val="clear" w:fill="FFFFFF"/>
          <w:lang w:val="en-US"/>
        </w:rPr>
        <w:t xml:space="preserve"> a </w:t>
      </w:r>
      <w:r>
        <w:rPr>
          <w:rFonts w:hint="default" w:ascii="Times New Roman" w:hAnsi="Times New Roman" w:eastAsia="Cambria" w:cs="Times New Roman"/>
          <w:i w:val="0"/>
          <w:iCs w:val="0"/>
          <w:caps w:val="0"/>
          <w:color w:val="1B1B1B"/>
          <w:spacing w:val="0"/>
          <w:sz w:val="21"/>
          <w:szCs w:val="21"/>
          <w:shd w:val="clear" w:fill="FFFFFF"/>
        </w:rPr>
        <w:t>multidisciplinary health care team</w:t>
      </w:r>
      <w:r>
        <w:rPr>
          <w:rFonts w:hint="default" w:ascii="Times New Roman" w:hAnsi="Times New Roman" w:eastAsia="Cambria" w:cs="Times New Roman"/>
          <w:i w:val="0"/>
          <w:iCs w:val="0"/>
          <w:caps w:val="0"/>
          <w:color w:val="1B1B1B"/>
          <w:spacing w:val="0"/>
          <w:sz w:val="21"/>
          <w:szCs w:val="21"/>
          <w:shd w:val="clear" w:fill="FFFFFF"/>
          <w:lang w:val="en-US"/>
        </w:rPr>
        <w:t xml:space="preserve"> </w:t>
      </w:r>
      <w:r>
        <w:rPr>
          <w:rFonts w:hint="default" w:ascii="Times New Roman" w:hAnsi="Times New Roman" w:eastAsia="Cambria" w:cs="Times New Roman"/>
          <w:i w:val="0"/>
          <w:iCs w:val="0"/>
          <w:caps w:val="0"/>
          <w:color w:val="1B1B1B"/>
          <w:spacing w:val="0"/>
          <w:sz w:val="21"/>
          <w:szCs w:val="21"/>
          <w:shd w:val="clear" w:fill="FFFFFF"/>
        </w:rPr>
        <w:t>must be involved in ensuring the successful implementation of an ERAS approach</w:t>
      </w:r>
      <w:r>
        <w:rPr>
          <w:rFonts w:hint="default" w:ascii="Times New Roman" w:hAnsi="Times New Roman" w:eastAsia="Cambria" w:cs="Times New Roman"/>
          <w:i w:val="0"/>
          <w:iCs w:val="0"/>
          <w:caps w:val="0"/>
          <w:color w:val="1B1B1B"/>
          <w:spacing w:val="0"/>
          <w:sz w:val="21"/>
          <w:szCs w:val="21"/>
          <w:shd w:val="clear" w:fill="FFFFFF"/>
          <w:lang w:val="en-US"/>
        </w:rPr>
        <w:t>[25]</w:t>
      </w:r>
      <w:r>
        <w:rPr>
          <w:rFonts w:hint="default" w:ascii="Times New Roman" w:hAnsi="Times New Roman" w:eastAsia="Cambria" w:cs="Times New Roman"/>
          <w:i w:val="0"/>
          <w:iCs w:val="0"/>
          <w:caps w:val="0"/>
          <w:color w:val="1B1B1B"/>
          <w:spacing w:val="0"/>
          <w:sz w:val="21"/>
          <w:szCs w:val="21"/>
          <w:shd w:val="clear" w:fill="FFFFFF"/>
        </w:rPr>
        <w:t>.</w:t>
      </w:r>
    </w:p>
    <w:p w14:paraId="4A2C7B93">
      <w:pPr>
        <w:spacing w:line="360" w:lineRule="auto"/>
        <w:rPr>
          <w:rFonts w:ascii="Times New Roman" w:hAnsi="Times New Roman" w:eastAsia="Times New Roman" w:cs="Times New Roman"/>
        </w:rPr>
      </w:pPr>
    </w:p>
    <w:p w14:paraId="0E9F37D1">
      <w:pPr>
        <w:spacing w:line="360" w:lineRule="auto"/>
        <w:rPr>
          <w:rFonts w:ascii="Times New Roman" w:hAnsi="Times New Roman" w:eastAsia="Times New Roman" w:cs="Times New Roman"/>
        </w:rPr>
      </w:pPr>
      <w:r>
        <w:rPr>
          <w:rFonts w:ascii="Times New Roman" w:hAnsi="Times New Roman" w:eastAsia="Times New Roman" w:cs="Times New Roman"/>
        </w:rPr>
        <w:t xml:space="preserve">The unbiased retrospective recording of the events </w:t>
      </w:r>
      <w:r>
        <w:rPr>
          <w:rFonts w:hint="default" w:ascii="Times New Roman" w:hAnsi="Times New Roman" w:eastAsia="Times New Roman" w:cs="Times New Roman"/>
          <w:lang w:val="en-US"/>
        </w:rPr>
        <w:t>of this study, which</w:t>
      </w:r>
      <w:r>
        <w:rPr>
          <w:rFonts w:ascii="Times New Roman" w:hAnsi="Times New Roman" w:eastAsia="Times New Roman" w:cs="Times New Roman"/>
        </w:rPr>
        <w:t xml:space="preserve"> was not disclosed to the surgical team to avoid “Hawthorne Effect”,[2</w:t>
      </w:r>
      <w:r>
        <w:rPr>
          <w:rFonts w:hint="default" w:ascii="Times New Roman" w:hAnsi="Times New Roman" w:eastAsia="Times New Roman" w:cs="Times New Roman"/>
          <w:lang w:val="en-US"/>
        </w:rPr>
        <w:t>6</w:t>
      </w:r>
      <w:r>
        <w:rPr>
          <w:rFonts w:ascii="Times New Roman" w:hAnsi="Times New Roman" w:eastAsia="Times New Roman" w:cs="Times New Roman"/>
        </w:rPr>
        <w:t>] assessed the surgical team’s compliance to ERAS in the absence of an established programme or checklist and revealed inconsistencies in adherence and the need for development of protocols and formation of a dedicated team. These indeed brought about a positive change in our hospital as re-audit showed improved compliance to ERAS and reduction in post-op hospital stay.  These welcome a break from conventional shackles to embracing these guidelines in order to improve patient surgical care.</w:t>
      </w:r>
    </w:p>
    <w:p w14:paraId="0D2D0B58">
      <w:pPr>
        <w:spacing w:line="360" w:lineRule="auto"/>
        <w:rPr>
          <w:rFonts w:ascii="Times New Roman" w:hAnsi="Times New Roman" w:eastAsia="Times New Roman" w:cs="Times New Roman"/>
        </w:rPr>
      </w:pPr>
    </w:p>
    <w:p w14:paraId="1418EE36">
      <w:pPr>
        <w:spacing w:line="360" w:lineRule="auto"/>
        <w:rPr>
          <w:rFonts w:ascii="Times New Roman" w:hAnsi="Times New Roman" w:eastAsia="Times New Roman" w:cs="Times New Roman"/>
          <w:sz w:val="24"/>
          <w:szCs w:val="24"/>
        </w:rPr>
      </w:pPr>
    </w:p>
    <w:p w14:paraId="1B774CC9">
      <w:pPr>
        <w:spacing w:line="360" w:lineRule="auto"/>
        <w:rPr>
          <w:rFonts w:ascii="Times New Roman" w:hAnsi="Times New Roman" w:eastAsia="Times New Roman" w:cs="Times New Roman"/>
          <w:sz w:val="24"/>
          <w:szCs w:val="24"/>
        </w:rPr>
      </w:pPr>
    </w:p>
    <w:p w14:paraId="4AC97337">
      <w:pPr>
        <w:spacing w:line="360" w:lineRule="auto"/>
        <w:rPr>
          <w:rFonts w:ascii="Times New Roman" w:hAnsi="Times New Roman" w:eastAsia="Times New Roman" w:cs="Times New Roman"/>
          <w:sz w:val="24"/>
          <w:szCs w:val="24"/>
        </w:rPr>
      </w:pPr>
    </w:p>
    <w:p w14:paraId="2D55E7AA">
      <w:pPr>
        <w:spacing w:line="360" w:lineRule="auto"/>
        <w:rPr>
          <w:rFonts w:ascii="Times New Roman" w:hAnsi="Times New Roman" w:eastAsia="Times New Roman" w:cs="Times New Roman"/>
          <w:sz w:val="24"/>
          <w:szCs w:val="24"/>
        </w:rPr>
      </w:pPr>
    </w:p>
    <w:p w14:paraId="53A520B3">
      <w:pPr>
        <w:spacing w:line="360" w:lineRule="auto"/>
        <w:rPr>
          <w:rFonts w:ascii="Times New Roman" w:hAnsi="Times New Roman" w:eastAsia="Times New Roman" w:cs="Times New Roman"/>
          <w:b/>
          <w:sz w:val="22"/>
          <w:szCs w:val="22"/>
        </w:rPr>
      </w:pPr>
      <w:r>
        <w:rPr>
          <w:rFonts w:ascii="Times New Roman" w:hAnsi="Times New Roman" w:eastAsia="Times New Roman" w:cs="Times New Roman"/>
          <w:b/>
          <w:sz w:val="22"/>
          <w:szCs w:val="22"/>
        </w:rPr>
        <w:t>Appendix 1</w:t>
      </w:r>
    </w:p>
    <w:p w14:paraId="00E458DC">
      <w:pPr>
        <w:spacing w:line="360" w:lineRule="auto"/>
        <w:rPr>
          <w:rFonts w:ascii="Times New Roman" w:hAnsi="Times New Roman" w:eastAsia="Times New Roman" w:cs="Times New Roman"/>
        </w:rPr>
      </w:pPr>
      <w:r>
        <w:rPr>
          <w:rFonts w:ascii="Times New Roman" w:hAnsi="Times New Roman" w:eastAsia="Times New Roman" w:cs="Times New Roman"/>
        </w:rPr>
        <w:t xml:space="preserve">Practice recommendations </w:t>
      </w:r>
    </w:p>
    <w:p w14:paraId="53319DA1">
      <w:pPr>
        <w:spacing w:line="360" w:lineRule="auto"/>
        <w:rPr>
          <w:rFonts w:ascii="Times New Roman" w:hAnsi="Times New Roman" w:eastAsia="Times New Roman" w:cs="Times New Roman"/>
        </w:rPr>
      </w:pPr>
      <w:r>
        <w:rPr>
          <w:rFonts w:ascii="Times New Roman" w:hAnsi="Times New Roman" w:eastAsia="Times New Roman" w:cs="Times New Roman"/>
        </w:rPr>
        <w:t xml:space="preserve">The following recommendations were made, adherence monitored, and a timeline of one year was chosen to assess the impact of our interventions. </w:t>
      </w:r>
    </w:p>
    <w:p w14:paraId="3178FBB0">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pPr>
      <w:r>
        <w:rPr>
          <w:rFonts w:ascii="Times New Roman" w:hAnsi="Times New Roman" w:eastAsia="Times New Roman" w:cs="Times New Roman"/>
        </w:rPr>
        <w:t>Training and education of allied surgical staff on ERAS program.</w:t>
      </w:r>
    </w:p>
    <w:p w14:paraId="095C57D9">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pPr>
      <w:r>
        <w:rPr>
          <w:rFonts w:ascii="Times New Roman" w:hAnsi="Times New Roman" w:eastAsia="Times New Roman" w:cs="Times New Roman"/>
        </w:rPr>
        <w:t>Ensure all patients are educated on the ERAS program pre-operatively.</w:t>
      </w:r>
    </w:p>
    <w:p w14:paraId="36A2C931">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pPr>
      <w:r>
        <w:rPr>
          <w:rFonts w:ascii="Times New Roman" w:hAnsi="Times New Roman" w:eastAsia="Times New Roman" w:cs="Times New Roman"/>
        </w:rPr>
        <w:t>Ensure adequate counseling of patients about the timings for fasting for fluid and solids pre-operatively.</w:t>
      </w:r>
    </w:p>
    <w:p w14:paraId="1E0D40D5">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pPr>
      <w:r>
        <w:rPr>
          <w:rFonts w:ascii="Times New Roman" w:hAnsi="Times New Roman" w:eastAsia="Times New Roman" w:cs="Times New Roman"/>
        </w:rPr>
        <w:t>Ensure patients admitted pre-operatively have chlorhexidine bath of the operative site.</w:t>
      </w:r>
    </w:p>
    <w:p w14:paraId="7D7CF1A9">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pPr>
      <w:r>
        <w:rPr>
          <w:rFonts w:ascii="Times New Roman" w:hAnsi="Times New Roman" w:eastAsia="Times New Roman" w:cs="Times New Roman"/>
        </w:rPr>
        <w:t>Counsel patients on need for thrombo-prophylaxis in the pre &amp; post operative period and encourage procurement and subsequent use.</w:t>
      </w:r>
    </w:p>
    <w:p w14:paraId="3D4FC8C5">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pPr>
      <w:r>
        <w:rPr>
          <w:rFonts w:ascii="Times New Roman" w:hAnsi="Times New Roman" w:eastAsia="Times New Roman" w:cs="Times New Roman"/>
        </w:rPr>
        <w:t xml:space="preserve">Ensure provision of anti-emetic to the anesthetist and subsequent administration intra operatively. </w:t>
      </w:r>
    </w:p>
    <w:p w14:paraId="38D60875">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pPr>
      <w:r>
        <w:rPr>
          <w:rFonts w:ascii="Times New Roman" w:hAnsi="Times New Roman" w:eastAsia="Times New Roman" w:cs="Times New Roman"/>
        </w:rPr>
        <w:t>Encourage surgeons to prescribe non opioid analgesic in their post op order with discussion and provision of multi-modal approach for good post-op pain control.</w:t>
      </w:r>
    </w:p>
    <w:p w14:paraId="060F30A5">
      <w:pPr>
        <w:numPr>
          <w:ilvl w:val="0"/>
          <w:numId w:val="2"/>
        </w:numPr>
        <w:pBdr>
          <w:top w:val="none" w:color="auto" w:sz="0" w:space="0"/>
          <w:left w:val="none" w:color="auto" w:sz="0" w:space="0"/>
          <w:bottom w:val="none" w:color="auto" w:sz="0" w:space="0"/>
          <w:right w:val="none" w:color="auto" w:sz="0" w:space="0"/>
          <w:between w:val="none" w:color="auto" w:sz="0" w:space="0"/>
        </w:pBdr>
        <w:spacing w:line="360" w:lineRule="auto"/>
      </w:pPr>
      <w:r>
        <w:rPr>
          <w:rFonts w:ascii="Times New Roman" w:hAnsi="Times New Roman" w:eastAsia="Times New Roman" w:cs="Times New Roman"/>
        </w:rPr>
        <w:t>Encourage resident medical officers on prompt review of abdominal drains in the post-operative period to promote early discontinuation.</w:t>
      </w:r>
    </w:p>
    <w:p w14:paraId="0FC9F001">
      <w:pPr>
        <w:spacing w:line="360" w:lineRule="auto"/>
        <w:rPr>
          <w:rFonts w:ascii="Times New Roman" w:hAnsi="Times New Roman" w:eastAsia="Times New Roman" w:cs="Times New Roman"/>
          <w:sz w:val="24"/>
          <w:szCs w:val="24"/>
        </w:rPr>
      </w:pPr>
    </w:p>
    <w:p w14:paraId="51090378">
      <w:pPr>
        <w:spacing w:line="360" w:lineRule="auto"/>
        <w:rPr>
          <w:rFonts w:ascii="Times New Roman" w:hAnsi="Times New Roman" w:eastAsia="Times New Roman" w:cs="Times New Roman"/>
          <w:b/>
          <w:sz w:val="22"/>
          <w:szCs w:val="22"/>
        </w:rPr>
      </w:pPr>
      <w:r>
        <w:rPr>
          <w:rFonts w:ascii="Times New Roman" w:hAnsi="Times New Roman" w:eastAsia="Times New Roman" w:cs="Times New Roman"/>
          <w:b/>
          <w:sz w:val="22"/>
          <w:szCs w:val="22"/>
        </w:rPr>
        <w:t>Ethical approval</w:t>
      </w:r>
    </w:p>
    <w:p w14:paraId="61D6F9C5">
      <w:pPr>
        <w:spacing w:line="360" w:lineRule="auto"/>
        <w:rPr>
          <w:rFonts w:ascii="Times New Roman" w:hAnsi="Times New Roman" w:eastAsia="Times New Roman" w:cs="Times New Roman"/>
        </w:rPr>
      </w:pPr>
      <w:r>
        <w:rPr>
          <w:rFonts w:ascii="Times New Roman" w:hAnsi="Times New Roman" w:eastAsia="Times New Roman" w:cs="Times New Roman"/>
        </w:rPr>
        <w:t>The audit protocol was approved by the ethical Institutional Review Board of the Hospital.</w:t>
      </w:r>
    </w:p>
    <w:p w14:paraId="0F38D8FB">
      <w:pPr>
        <w:spacing w:line="360" w:lineRule="auto"/>
        <w:rPr>
          <w:rFonts w:ascii="Times New Roman" w:hAnsi="Times New Roman" w:eastAsia="Times New Roman" w:cs="Times New Roman"/>
        </w:rPr>
      </w:pPr>
    </w:p>
    <w:p w14:paraId="40EF5F8F">
      <w:pPr>
        <w:spacing w:line="36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COMPETING INTERESTS DISCLAIMER:</w:t>
      </w:r>
    </w:p>
    <w:p w14:paraId="522945E4">
      <w:pPr>
        <w:spacing w:line="36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Pr>
        <w:t>Authors have declared that they have no known competing financial interests OR non-financial interests OR personal relationships that could have appeared to influence the work reported in this paper.</w:t>
      </w:r>
    </w:p>
    <w:p w14:paraId="62CCDCB5">
      <w:pPr>
        <w:spacing w:line="360" w:lineRule="auto"/>
        <w:rPr>
          <w:rFonts w:ascii="Times New Roman" w:hAnsi="Times New Roman" w:eastAsia="Times New Roman" w:cs="Times New Roman"/>
          <w:sz w:val="24"/>
          <w:szCs w:val="24"/>
        </w:rPr>
      </w:pPr>
    </w:p>
    <w:p w14:paraId="6A7A4109">
      <w:pPr>
        <w:rPr>
          <w:rFonts w:cs="Times New Roman"/>
          <w:kern w:val="2"/>
          <w:highlight w:val="yellow"/>
          <w:lang w:val="en-US"/>
        </w:rPr>
      </w:pPr>
      <w:bookmarkStart w:id="1" w:name="_Hlk197682619"/>
      <w:bookmarkStart w:id="2" w:name="_Hlk183680988"/>
      <w:bookmarkStart w:id="3" w:name="_Hlk180402183"/>
      <w:r>
        <w:rPr>
          <w:rFonts w:cs="Times New Roman"/>
          <w:kern w:val="2"/>
          <w:highlight w:val="yellow"/>
          <w:lang w:val="en-US"/>
        </w:rPr>
        <w:t>Disclaimer (Artificial intelligence)</w:t>
      </w:r>
    </w:p>
    <w:p w14:paraId="6F1DD593">
      <w:pPr>
        <w:rPr>
          <w:rFonts w:cs="Times New Roman"/>
          <w:kern w:val="2"/>
          <w:highlight w:val="yellow"/>
          <w:lang w:val="en-US"/>
        </w:rPr>
      </w:pPr>
      <w:r>
        <w:rPr>
          <w:rFonts w:cs="Times New Roman"/>
          <w:kern w:val="2"/>
          <w:highlight w:val="yellow"/>
          <w:lang w:val="en-US"/>
        </w:rPr>
        <w:t xml:space="preserve">Option 1: </w:t>
      </w:r>
    </w:p>
    <w:p w14:paraId="66976A67">
      <w:pPr>
        <w:rPr>
          <w:rFonts w:cs="Times New Roman"/>
          <w:kern w:val="2"/>
          <w:highlight w:val="yellow"/>
          <w:lang w:val="en-US"/>
        </w:rPr>
      </w:pPr>
      <w:r>
        <w:rPr>
          <w:rFonts w:cs="Times New Roman"/>
          <w:kern w:val="2"/>
          <w:highlight w:val="yellow"/>
          <w:lang w:val="en-US"/>
        </w:rPr>
        <w:t xml:space="preserve">Author(s) hereby declare that NO generative AI technologies such as Large Language Models (ChatGPT, COPILOT, etc.) and text-to-image generators have been used during the writing or editing of this manuscript. </w:t>
      </w:r>
    </w:p>
    <w:p w14:paraId="59D9D0F3">
      <w:pPr>
        <w:rPr>
          <w:rFonts w:cs="Times New Roman"/>
          <w:kern w:val="2"/>
          <w:highlight w:val="yellow"/>
          <w:lang w:val="en-US"/>
        </w:rPr>
      </w:pPr>
      <w:r>
        <w:rPr>
          <w:rFonts w:cs="Times New Roman"/>
          <w:kern w:val="2"/>
          <w:highlight w:val="yellow"/>
          <w:lang w:val="en-US"/>
        </w:rPr>
        <w:t xml:space="preserve">Option 2: </w:t>
      </w:r>
    </w:p>
    <w:p w14:paraId="1431EAD3">
      <w:pPr>
        <w:rPr>
          <w:rFonts w:cs="Times New Roman"/>
          <w:kern w:val="2"/>
          <w:highlight w:val="yellow"/>
          <w:lang w:val="en-US"/>
        </w:rPr>
      </w:pPr>
      <w:r>
        <w:rPr>
          <w:rFonts w:cs="Times New Roman"/>
          <w:kern w:val="2"/>
          <w:highlight w:val="yellow"/>
          <w:lang w:val="en-US"/>
        </w:rPr>
        <w:t>Author(s) hereby declare that generative AI technologies such as Large Language Models, etc. have been used during the writing or editing of manuscripts. This explanation will include the name, version, model, and source of the generative AI technology and as well as all input prompts provided to the generative AI technology</w:t>
      </w:r>
    </w:p>
    <w:p w14:paraId="5A0A4D62">
      <w:pPr>
        <w:rPr>
          <w:rFonts w:cs="Times New Roman"/>
          <w:kern w:val="2"/>
          <w:highlight w:val="yellow"/>
          <w:lang w:val="en-US"/>
        </w:rPr>
      </w:pPr>
      <w:r>
        <w:rPr>
          <w:rFonts w:cs="Times New Roman"/>
          <w:kern w:val="2"/>
          <w:highlight w:val="yellow"/>
          <w:lang w:val="en-US"/>
        </w:rPr>
        <w:t>Details of the AI usage are given below:</w:t>
      </w:r>
    </w:p>
    <w:p w14:paraId="5847934C">
      <w:pPr>
        <w:rPr>
          <w:rFonts w:cs="Times New Roman"/>
          <w:kern w:val="2"/>
          <w:highlight w:val="yellow"/>
          <w:lang w:val="en-US"/>
        </w:rPr>
      </w:pPr>
      <w:r>
        <w:rPr>
          <w:rFonts w:cs="Times New Roman"/>
          <w:kern w:val="2"/>
          <w:highlight w:val="yellow"/>
          <w:lang w:val="en-US"/>
        </w:rPr>
        <w:t>1.</w:t>
      </w:r>
    </w:p>
    <w:p w14:paraId="4CEABDA0">
      <w:pPr>
        <w:rPr>
          <w:rFonts w:cs="Times New Roman"/>
          <w:kern w:val="2"/>
          <w:highlight w:val="yellow"/>
          <w:lang w:val="en-US"/>
        </w:rPr>
      </w:pPr>
      <w:r>
        <w:rPr>
          <w:rFonts w:cs="Times New Roman"/>
          <w:kern w:val="2"/>
          <w:highlight w:val="yellow"/>
          <w:lang w:val="en-US"/>
        </w:rPr>
        <w:t>2.</w:t>
      </w:r>
    </w:p>
    <w:bookmarkEnd w:id="1"/>
    <w:p w14:paraId="647975FE">
      <w:pPr>
        <w:rPr>
          <w:rFonts w:cs="Times New Roman"/>
          <w:kern w:val="2"/>
          <w:lang w:val="en-US"/>
        </w:rPr>
      </w:pPr>
      <w:bookmarkStart w:id="4" w:name="_Hlk197682629"/>
      <w:r>
        <w:rPr>
          <w:rFonts w:cs="Times New Roman"/>
          <w:kern w:val="2"/>
          <w:highlight w:val="yellow"/>
          <w:lang w:val="en-US"/>
        </w:rPr>
        <w:t>3.</w:t>
      </w:r>
    </w:p>
    <w:bookmarkEnd w:id="2"/>
    <w:bookmarkEnd w:id="3"/>
    <w:bookmarkEnd w:id="4"/>
    <w:p w14:paraId="5E8D36C0">
      <w:pPr>
        <w:spacing w:line="360" w:lineRule="auto"/>
        <w:rPr>
          <w:rFonts w:ascii="Times New Roman" w:hAnsi="Times New Roman" w:eastAsia="Times New Roman" w:cs="Times New Roman"/>
          <w:sz w:val="24"/>
          <w:szCs w:val="24"/>
        </w:rPr>
      </w:pPr>
    </w:p>
    <w:p w14:paraId="146B1632">
      <w:pPr>
        <w:spacing w:line="360" w:lineRule="auto"/>
        <w:rPr>
          <w:rFonts w:ascii="Times New Roman" w:hAnsi="Times New Roman" w:eastAsia="Times New Roman" w:cs="Times New Roman"/>
          <w:sz w:val="24"/>
          <w:szCs w:val="24"/>
        </w:rPr>
      </w:pPr>
    </w:p>
    <w:p w14:paraId="6B3F31E3">
      <w:pPr>
        <w:spacing w:line="360"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Pr>
        <w:t>References</w:t>
      </w:r>
    </w:p>
    <w:p w14:paraId="7269B45E">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Ljungqvist O, Scott M, Fearon KC. Enhanced recovery after surgery:a review. JAMA Surg. 2017; 152(3):292–8</w:t>
      </w:r>
    </w:p>
    <w:p w14:paraId="5C39715C">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 xml:space="preserve">Aarts MA, Rotstein OD, Pearsall EA, Victor JC, Okrainec A, McKenzie M, et al. Postoperative ERAS interventions have the greatest impact on optimal recovery. Ann Surg 2018; 267: 992-7. </w:t>
      </w:r>
    </w:p>
    <w:p w14:paraId="22BEAFF7">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 xml:space="preserve">Ripollés-Melchor J, Ramírez-Rodríguez JM, Casans-Francés R, Aldecoa C, Abad-Motos A, Logroño-Egea M, et al. Association between use of enhanced recovery after surgery protocol and postoperative complications in colorectal surgery: the Postop-erative Outcomes within Enhanced Recovery after Surgery Protocol (POWER) study. JAMA Surg 2019; 154: 725-36. </w:t>
      </w:r>
    </w:p>
    <w:p w14:paraId="08714C88">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Simpson JC, Moonesinghe SR, Grocott MPW, Kuper M, Mc-Meeking A, Oliver CM, et al. Enhanced recovery from surgery in the UK: an audit of the enhanced recovery partnership programme 2009-2012. Br J Anaesth 2015; 115: 560-8.</w:t>
      </w:r>
    </w:p>
    <w:p w14:paraId="7D91C0EA">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Ljungqvist O, De Boer HD, Balfour A, Fawcett WJ, Lobo DN, Nelson G, et al. Opportunities and challenges for the next phase of enhanced recovery after Surgery: a review. JAMA Surg 2021; 156: 775-84.</w:t>
      </w:r>
    </w:p>
    <w:p w14:paraId="5BA2C419">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 xml:space="preserve">Soo-Hyuk Y, Ho-Jin L Challenging issues of implementing enhanced recovery after surgery programs in South Korea, Anesthesia and Pain Med 2024;19:24-34, </w:t>
      </w:r>
      <w:r>
        <w:fldChar w:fldCharType="begin"/>
      </w:r>
      <w:r>
        <w:instrText xml:space="preserve"> HYPERLINK "https://doi.org/10.17085/apm.23096," \h </w:instrText>
      </w:r>
      <w:r>
        <w:fldChar w:fldCharType="separate"/>
      </w:r>
      <w:r>
        <w:rPr>
          <w:rFonts w:ascii="Times New Roman" w:hAnsi="Times New Roman" w:eastAsia="Times New Roman" w:cs="Times New Roman"/>
          <w:u w:val="single"/>
        </w:rPr>
        <w:t>https://doi.org/10.17085/apm.23096,</w:t>
      </w:r>
      <w:r>
        <w:rPr>
          <w:rFonts w:ascii="Times New Roman" w:hAnsi="Times New Roman" w:eastAsia="Times New Roman" w:cs="Times New Roman"/>
          <w:u w:val="single"/>
        </w:rPr>
        <w:fldChar w:fldCharType="end"/>
      </w:r>
      <w:r>
        <w:rPr>
          <w:rFonts w:ascii="Times New Roman" w:hAnsi="Times New Roman" w:eastAsia="Times New Roman" w:cs="Times New Roman"/>
        </w:rPr>
        <w:t xml:space="preserve"> pISSN 1975-5171 </w:t>
      </w:r>
    </w:p>
    <w:p w14:paraId="0E49CCED">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 xml:space="preserve">Lyon A, Solomon MJ, Harrison JD. A qualitative study assessing the barriers to implementation of enhanced recovery after surgery. World J Surg 2014; 38: 1374-80. </w:t>
      </w:r>
    </w:p>
    <w:p w14:paraId="40474B68">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 xml:space="preserve">Effective health care. Getting evidence into practice. (1999). </w:t>
      </w:r>
      <w:r>
        <w:fldChar w:fldCharType="begin"/>
      </w:r>
      <w:r>
        <w:instrText xml:space="preserve"> HYPERLINK "https://www.york.ac.uk/media/crd/ehc51.pdf" \h </w:instrText>
      </w:r>
      <w:r>
        <w:fldChar w:fldCharType="separate"/>
      </w:r>
      <w:r>
        <w:rPr>
          <w:rFonts w:ascii="Times New Roman" w:hAnsi="Times New Roman" w:eastAsia="Times New Roman" w:cs="Times New Roman"/>
          <w:u w:val="single"/>
        </w:rPr>
        <w:t>https://www.york.ac.uk/media/crd/ehc51.pdf</w:t>
      </w:r>
      <w:r>
        <w:rPr>
          <w:rFonts w:ascii="Times New Roman" w:hAnsi="Times New Roman" w:eastAsia="Times New Roman" w:cs="Times New Roman"/>
          <w:u w:val="single"/>
        </w:rPr>
        <w:fldChar w:fldCharType="end"/>
      </w:r>
      <w:r>
        <w:rPr>
          <w:rFonts w:ascii="Times New Roman" w:hAnsi="Times New Roman" w:eastAsia="Times New Roman" w:cs="Times New Roman"/>
        </w:rPr>
        <w:t>.</w:t>
      </w:r>
    </w:p>
    <w:p w14:paraId="0A24AE2D">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K. C. Bassetty et al., The Journal of Obstetrics and Gynecology of India (May-June 2022) 72(3):243–249</w:t>
      </w:r>
    </w:p>
    <w:p w14:paraId="3C3A9C36">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Pache B, Jurt J, Grass F, et al. Compliance with enhanced recovery after surgery program in gynecology: are all items of equal importance? Int J Gynecol Cancer. 2019;29:810–5.</w:t>
      </w:r>
    </w:p>
    <w:p w14:paraId="2F878F5F">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Nygren J, Thorell A, Ljungqvist O. Preoperative oral carbohydrate therapy. Curr Opin Anaesthesiol. 2015;28(3):364–9.</w:t>
      </w:r>
    </w:p>
    <w:p w14:paraId="7E93FB7C">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 xml:space="preserve">Chlebicki MP, Safdar N, O’Horo JC, Maki DG. Preoperative chlorhexidine shower or bath for prevention of surgical site infection: a meta-analysis. Am J Infect Control. 2013;41(2):167–73. </w:t>
      </w:r>
    </w:p>
    <w:p w14:paraId="0E23CB4C">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 xml:space="preserve">Webster J, Osborne S. Preoperative bathing or showering with skin antiseptics to prevent surgical site infection. Cochrane Database Syst Rev. 2015;20(2):CD004985. </w:t>
      </w:r>
    </w:p>
    <w:p w14:paraId="0E3AD0D8">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Johnson MP, Kim SJ, Langstraat CL, et al. using bundled interventions to reduce surgical site infection after major gynecologic cancer surgery. Obstet Gynecol. 2016;127(6):1135–44.</w:t>
      </w:r>
    </w:p>
    <w:p w14:paraId="016AA4B9">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Nelson G, Bakkum-Gamez J, Kalogera E, et al. Guidelines for perioperative care in gynecologic/oncology: enhanced recovery after surgery (ERAS) society recommendations—2019 update. Int J Gynecol Cancer. 2019;29(4):651–68.</w:t>
      </w:r>
    </w:p>
    <w:p w14:paraId="733DEDCC">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Dentali F, Douketis JD, Gianni M, Lim W and Crowther MA. Meta-analysis: anticoagulant prophylaxis to prevent symptomatic venous thromboembolism in hospitalized medical patients. Annals of internal medicine. 2007; 146(4): 278-288.</w:t>
      </w:r>
    </w:p>
    <w:p w14:paraId="29D8ABD7">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Turpie AG, Chin BS and Lip GY. Venous thromboembolism: pathophysiology, clinical features, and prevention. BMJ 2002; 325: 887-890.</w:t>
      </w:r>
    </w:p>
    <w:p w14:paraId="7845185D">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Bikdeli B and Sharif-Kashani B. Prophylaxis for venous thromboembolism: a great global divide between expert guidelines and clinical practice? Seminars in thrombosis and hemostasis. 2012; 38(2): 144-155</w:t>
      </w:r>
    </w:p>
    <w:p w14:paraId="0DC4B002">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Iheanacho, OE, et al, Knowledge, attitude and practice of thromboprophylaxis among doctors in Edo State, Nigeria, Annals of Tropical Pathology Vol.6 No.2 December, 2015</w:t>
      </w:r>
    </w:p>
    <w:p w14:paraId="4DA0F8E5">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highlight w:val="white"/>
        </w:rPr>
        <w:t>Simpson JC, Bao X, Agarwala A. Pain Management in Enhanced Recovery after Surgery (ERAS) Protocols. Clin Colon Rectal Surg. 2019 Mar;32(2):121-128. doi: 10.1055/s-0038-1676477. Epub 2019 Feb 28. PMID: 30833861; PMCID: PMC6395101</w:t>
      </w:r>
    </w:p>
    <w:p w14:paraId="33793D90">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 xml:space="preserve">Kalogera E, Bakkum-Gamez JN, Jankowski CJ, Trabuco E, Lovely JK, Dhanorker S, et al. Enhanced recovery in gynecologic surgery. Obstet Gynecol. 2013;122(2 Pt 1):319–28. </w:t>
      </w:r>
    </w:p>
    <w:p w14:paraId="245AC2F7">
      <w:pPr>
        <w:numPr>
          <w:ilvl w:val="0"/>
          <w:numId w:val="3"/>
        </w:numPr>
        <w:spacing w:before="240" w:line="360" w:lineRule="auto"/>
        <w:rPr>
          <w:rFonts w:ascii="Times New Roman" w:hAnsi="Times New Roman" w:eastAsia="Times New Roman" w:cs="Times New Roman"/>
        </w:rPr>
      </w:pPr>
      <w:r>
        <w:rPr>
          <w:rFonts w:ascii="Times New Roman" w:hAnsi="Times New Roman" w:eastAsia="Times New Roman" w:cs="Times New Roman"/>
        </w:rPr>
        <w:t>Meyer LA, Lasala J, Iniesta MD, et al. Effect of an enhanced recovery after surgery program on opioid use and patient-reported outcomes. Obstet Gynecol. 2018;132(2):281–90.</w:t>
      </w:r>
    </w:p>
    <w:p w14:paraId="02059FE6">
      <w:pPr>
        <w:numPr>
          <w:ilvl w:val="0"/>
          <w:numId w:val="3"/>
        </w:numPr>
        <w:spacing w:before="240" w:line="360" w:lineRule="auto"/>
        <w:rPr>
          <w:rFonts w:hint="default" w:ascii="Times New Roman" w:hAnsi="Times New Roman" w:eastAsia="Segoe UI" w:cs="Times New Roman"/>
          <w:i w:val="0"/>
          <w:iCs w:val="0"/>
          <w:caps w:val="0"/>
          <w:color w:val="000000" w:themeColor="text1"/>
          <w:spacing w:val="0"/>
          <w:sz w:val="21"/>
          <w:szCs w:val="21"/>
          <w:shd w:val="clear" w:fill="FFFFFF"/>
          <w14:textFill>
            <w14:solidFill>
              <w14:schemeClr w14:val="tx1"/>
            </w14:solidFill>
          </w14:textFill>
        </w:rPr>
      </w:pPr>
      <w:r>
        <w:rPr>
          <w:rFonts w:hint="default" w:ascii="Times New Roman" w:hAnsi="Times New Roman" w:eastAsia="Segoe UI" w:cs="Times New Roman"/>
          <w:i w:val="0"/>
          <w:iCs w:val="0"/>
          <w:caps w:val="0"/>
          <w:color w:val="000000" w:themeColor="text1"/>
          <w:spacing w:val="0"/>
          <w:sz w:val="21"/>
          <w:szCs w:val="21"/>
          <w:shd w:val="clear" w:fill="FFFFFF"/>
          <w14:textFill>
            <w14:solidFill>
              <w14:schemeClr w14:val="tx1"/>
            </w14:solidFill>
          </w14:textFill>
        </w:rPr>
        <w:t>Ren L, Zhu D, Wei Y, Pan X, Liang L, Xu J, Zhong Y, Xue Z, Jin L, Zhan S, Niu W, Qin X, Wu Z, Wu Z. Enhanced Recovery After Surgery (ERAS) program attenuates stress and accelerates recovery in patients after radical resection for colorectal cancer: a prospective randomized controlled trial. World J Surg. 2012 Feb;36(2):407-14. doi: 10.1007/s00268-011-1348-4. PMID: 22102090.</w:t>
      </w:r>
    </w:p>
    <w:p w14:paraId="01176A18">
      <w:pPr>
        <w:numPr>
          <w:ilvl w:val="0"/>
          <w:numId w:val="3"/>
        </w:numPr>
        <w:spacing w:before="240" w:line="360" w:lineRule="auto"/>
        <w:rPr>
          <w:rFonts w:hint="default" w:ascii="Times New Roman" w:hAnsi="Times New Roman" w:eastAsia="Segoe UI" w:cs="Times New Roman"/>
          <w:i w:val="0"/>
          <w:iCs w:val="0"/>
          <w:caps w:val="0"/>
          <w:color w:val="000000" w:themeColor="text1"/>
          <w:spacing w:val="0"/>
          <w:sz w:val="21"/>
          <w:szCs w:val="21"/>
          <w:shd w:val="clear" w:fill="FFFFFF"/>
          <w14:textFill>
            <w14:solidFill>
              <w14:schemeClr w14:val="tx1"/>
            </w14:solidFill>
          </w14:textFill>
        </w:rPr>
      </w:pPr>
      <w:r>
        <w:rPr>
          <w:rFonts w:hint="default" w:ascii="Times New Roman" w:hAnsi="Times New Roman" w:eastAsia="Segoe UI" w:cs="Times New Roman"/>
          <w:i w:val="0"/>
          <w:iCs w:val="0"/>
          <w:caps w:val="0"/>
          <w:color w:val="000000" w:themeColor="text1"/>
          <w:spacing w:val="0"/>
          <w:sz w:val="21"/>
          <w:szCs w:val="21"/>
          <w:shd w:val="clear" w:fill="FFFFFF"/>
          <w14:textFill>
            <w14:solidFill>
              <w14:schemeClr w14:val="tx1"/>
            </w14:solidFill>
          </w14:textFill>
        </w:rPr>
        <w:t>Ljungqvist O, Scott M, Fearon KC. Enhanced Recovery After Surgery: A Review. JAMA Surg. 2017 Mar 1;152(3):292-298. doi: 10.1001/jamasurg.2016.4952. PMID: 28097305.</w:t>
      </w:r>
    </w:p>
    <w:p w14:paraId="3B3E4B75">
      <w:pPr>
        <w:numPr>
          <w:ilvl w:val="0"/>
          <w:numId w:val="3"/>
        </w:numPr>
        <w:spacing w:before="240" w:line="360" w:lineRule="auto"/>
        <w:rPr>
          <w:rFonts w:ascii="Times New Roman" w:hAnsi="Times New Roman" w:eastAsia="Times New Roman" w:cs="Times New Roman"/>
        </w:rPr>
      </w:pPr>
      <w:r>
        <w:rPr>
          <w:rFonts w:hint="default" w:ascii="Times New Roman" w:hAnsi="Times New Roman" w:eastAsia="Consolas" w:cs="Times New Roman"/>
          <w:i w:val="0"/>
          <w:iCs w:val="0"/>
          <w:caps w:val="0"/>
          <w:color w:val="000000" w:themeColor="text1"/>
          <w:spacing w:val="0"/>
          <w:sz w:val="21"/>
          <w:szCs w:val="21"/>
          <w:shd w:val="clear" w:fill="FFFFFF"/>
          <w14:textFill>
            <w14:solidFill>
              <w14:schemeClr w14:val="tx1"/>
            </w14:solidFill>
          </w14:textFill>
        </w:rPr>
        <w:t>Altman AD, Helpman L, McGee J, Samouëlian V, Auclair MH, Brar H, Nelson GS; Society of Gynecologic Oncology of Canada’s Communities of Practice in ERAS and Venous Thromboembolism. Enhanced recovery after surgery: implementing a new standard of surgical care. CMAJ. 2019 Apr 29;191(17):E469-E475. doi: 10.1503/cmaj.180635. PMID: 31036609; PMCID: PMC6488471.</w:t>
      </w:r>
    </w:p>
    <w:p w14:paraId="1D01A41B">
      <w:pPr>
        <w:numPr>
          <w:ilvl w:val="0"/>
          <w:numId w:val="3"/>
        </w:numPr>
        <w:spacing w:before="240" w:line="360" w:lineRule="auto"/>
        <w:rPr>
          <w:rFonts w:hint="default" w:ascii="Times New Roman" w:hAnsi="Times New Roman" w:eastAsia="Segoe UI" w:cs="Times New Roman"/>
          <w:i w:val="0"/>
          <w:iCs w:val="0"/>
          <w:caps w:val="0"/>
          <w:color w:val="000000" w:themeColor="text1"/>
          <w:spacing w:val="0"/>
          <w:sz w:val="21"/>
          <w:szCs w:val="21"/>
          <w:shd w:val="clear" w:fill="FFFFFF"/>
          <w14:textFill>
            <w14:solidFill>
              <w14:schemeClr w14:val="tx1"/>
            </w14:solidFill>
          </w14:textFill>
        </w:rPr>
      </w:pPr>
      <w:r>
        <w:rPr>
          <w:rFonts w:ascii="Times New Roman" w:hAnsi="Times New Roman" w:eastAsia="Times New Roman" w:cs="Times New Roman"/>
        </w:rPr>
        <w:t>McCambridge J, Witton J, Elbourne DR. Systematic review of the Hawthorne effect: new concepts are needed to study research participation effects. J Clin Epidemiol</w:t>
      </w:r>
      <w:r>
        <w:rPr>
          <w:rFonts w:hint="default" w:ascii="Times New Roman" w:hAnsi="Times New Roman" w:eastAsia="Times New Roman" w:cs="Times New Roman"/>
          <w:lang w:val="en-US"/>
        </w:rPr>
        <w:t>ogy</w:t>
      </w:r>
      <w:r>
        <w:rPr>
          <w:rFonts w:ascii="Times New Roman" w:hAnsi="Times New Roman" w:eastAsia="Times New Roman" w:cs="Times New Roman"/>
        </w:rPr>
        <w:t>. 2014;67(3):267–77.</w:t>
      </w:r>
    </w:p>
    <w:sectPr>
      <w:pgSz w:w="12240" w:h="15840"/>
      <w:pgMar w:top="1440" w:right="1800" w:bottom="1440" w:left="1800" w:header="720" w:footer="720" w:gutter="0"/>
      <w:pgNumType w:start="1"/>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embedRegular r:id="rId1" w:fontKey="{5AC23146-47B7-463A-A4DC-610D84C4608D}"/>
  </w:font>
  <w:font w:name="Arial">
    <w:panose1 w:val="020B0604020202020204"/>
    <w:charset w:val="00"/>
    <w:family w:val="swiss"/>
    <w:pitch w:val="default"/>
    <w:sig w:usb0="E0002EFF" w:usb1="C000785B" w:usb2="00000009" w:usb3="00000000" w:csb0="400001FF" w:csb1="FFFF0000"/>
    <w:embedRegular r:id="rId2" w:fontKey="{C3816A07-334D-4C2E-9533-71BA7AF99D53}"/>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3" w:fontKey="{03788864-368C-4023-85A6-EFC4BEA3F00C}"/>
  </w:font>
  <w:font w:name="Wingdings">
    <w:panose1 w:val="05000000000000000000"/>
    <w:charset w:val="02"/>
    <w:family w:val="auto"/>
    <w:pitch w:val="default"/>
    <w:sig w:usb0="00000000" w:usb1="00000000" w:usb2="00000000" w:usb3="00000000" w:csb0="80000000" w:csb1="00000000"/>
    <w:embedRegular r:id="rId4" w:fontKey="{839CF3F9-E50A-4EF4-A948-453CDDC18C03}"/>
  </w:font>
  <w:font w:name="Calibri">
    <w:panose1 w:val="020F0502020204030204"/>
    <w:charset w:val="00"/>
    <w:family w:val="swiss"/>
    <w:pitch w:val="default"/>
    <w:sig w:usb0="E4002EFF" w:usb1="C000247B" w:usb2="00000009" w:usb3="00000000" w:csb0="200001FF" w:csb1="00000000"/>
    <w:embedRegular r:id="rId5" w:fontKey="{BBAC7FC6-704C-45B5-836C-4C37EE1C68A2}"/>
  </w:font>
  <w:font w:name="等线">
    <w:altName w:val="Arial Unicode MS"/>
    <w:panose1 w:val="00000000000000000000"/>
    <w:charset w:val="86"/>
    <w:family w:val="auto"/>
    <w:pitch w:val="default"/>
    <w:sig w:usb0="00000000" w:usb1="00000000" w:usb2="00000000" w:usb3="00000000" w:csb0="00000000" w:csb1="00000000"/>
  </w:font>
  <w:font w:name="Calibri">
    <w:panose1 w:val="020F0502020204030204"/>
    <w:charset w:val="86"/>
    <w:family w:val="swiss"/>
    <w:pitch w:val="default"/>
    <w:sig w:usb0="E4002EFF" w:usb1="C000247B" w:usb2="00000009" w:usb3="00000000" w:csb0="200001FF" w:csb1="00000000"/>
    <w:embedRegular r:id="rId6" w:fontKey="{3F9B7E45-8A16-4071-A404-E7C716739BF9}"/>
  </w:font>
  <w:font w:name="Georgia">
    <w:panose1 w:val="02040502050405020303"/>
    <w:charset w:val="00"/>
    <w:family w:val="roman"/>
    <w:pitch w:val="default"/>
    <w:sig w:usb0="00000287" w:usb1="00000000" w:usb2="00000000" w:usb3="00000000" w:csb0="2000009F" w:csb1="00000000"/>
    <w:embedRegular r:id="rId7" w:fontKey="{C7E712EE-30DD-4DAC-9DBC-AC613CB7A02F}"/>
  </w:font>
  <w:font w:name="PT Serif">
    <w:altName w:val="Segoe Print"/>
    <w:panose1 w:val="00000000000000000000"/>
    <w:charset w:val="00"/>
    <w:family w:val="roman"/>
    <w:pitch w:val="default"/>
    <w:sig w:usb0="00000000" w:usb1="00000000" w:usb2="00000000" w:usb3="00000000" w:csb0="00000097" w:csb1="00000000"/>
  </w:font>
  <w:font w:name="Noto Sans Symbols">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embedRegular r:id="rId8" w:fontKey="{EB6927A5-3E6A-4851-A210-D3AB059133DC}"/>
  </w:font>
  <w:font w:name="Cambria">
    <w:panose1 w:val="02040503050406030204"/>
    <w:charset w:val="00"/>
    <w:family w:val="auto"/>
    <w:pitch w:val="default"/>
    <w:sig w:usb0="E00006FF" w:usb1="420024FF" w:usb2="02000000" w:usb3="00000000" w:csb0="2000019F" w:csb1="00000000"/>
    <w:embedRegular r:id="rId9" w:fontKey="{3834E7DC-98EE-42D9-A0E6-60BBDDFC2512}"/>
  </w:font>
  <w:font w:name="Arial Unicode MS">
    <w:panose1 w:val="020B0604020202020204"/>
    <w:charset w:val="86"/>
    <w:family w:val="auto"/>
    <w:pitch w:val="default"/>
    <w:sig w:usb0="FFFFFFFF" w:usb1="E9FFFFFF" w:usb2="0000003F" w:usb3="00000000" w:csb0="603F01FF" w:csb1="FFFF0000"/>
  </w:font>
  <w:font w:name="Segoe UI">
    <w:panose1 w:val="020B0502040204020203"/>
    <w:charset w:val="00"/>
    <w:family w:val="auto"/>
    <w:pitch w:val="default"/>
    <w:sig w:usb0="E4002EFF" w:usb1="C000E47F" w:usb2="00000009" w:usb3="00000000" w:csb0="200001FF" w:csb1="00000000"/>
    <w:embedRegular r:id="rId10" w:fontKey="{719D4579-859C-4D23-A6F4-4C466AC8CB82}"/>
  </w:font>
  <w:font w:name="Rockwell Condensed">
    <w:panose1 w:val="02060603050405020104"/>
    <w:charset w:val="00"/>
    <w:family w:val="auto"/>
    <w:pitch w:val="default"/>
    <w:sig w:usb0="00000003" w:usb1="00000000" w:usb2="00000000" w:usb3="00000000" w:csb0="20000001" w:csb1="00000000"/>
    <w:embedRegular r:id="rId11" w:fontKey="{B9834649-88D5-40FF-B5E7-24A61989C8DD}"/>
  </w:font>
  <w:font w:name="Consolas">
    <w:panose1 w:val="020B0609020204030204"/>
    <w:charset w:val="00"/>
    <w:family w:val="auto"/>
    <w:pitch w:val="default"/>
    <w:sig w:usb0="E00006FF" w:usb1="0000FCFF" w:usb2="00000001" w:usb3="00000000" w:csb0="6000019F" w:csb1="DFD70000"/>
    <w:embedRegular r:id="rId12" w:fontKey="{9EED8A10-7F63-4AF5-BB3F-7C69F5944587}"/>
  </w:font>
  <w:font w:name="Century Schoolbook">
    <w:panose1 w:val="02040604050505020304"/>
    <w:charset w:val="00"/>
    <w:family w:val="auto"/>
    <w:pitch w:val="default"/>
    <w:sig w:usb0="00000287" w:usb1="00000000" w:usb2="00000000" w:usb3="00000000" w:csb0="2000009F" w:csb1="DFD70000"/>
    <w:embedRegular r:id="rId13" w:fontKey="{8DD5415A-6F06-43E5-8034-797947A0CE2E}"/>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1AB0898"/>
    <w:multiLevelType w:val="multilevel"/>
    <w:tmpl w:val="11AB0898"/>
    <w:lvl w:ilvl="0" w:tentative="0">
      <w:start w:val="24"/>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
    <w:nsid w:val="347648D1"/>
    <w:multiLevelType w:val="multilevel"/>
    <w:tmpl w:val="347648D1"/>
    <w:lvl w:ilvl="0" w:tentative="0">
      <w:start w:val="1"/>
      <w:numFmt w:val="decimal"/>
      <w:lvlText w:val="%1."/>
      <w:lvlJc w:val="left"/>
      <w:pPr>
        <w:ind w:left="0" w:firstLine="0"/>
      </w:p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abstractNum w:abstractNumId="2">
    <w:nsid w:val="368F5C3B"/>
    <w:multiLevelType w:val="multilevel"/>
    <w:tmpl w:val="368F5C3B"/>
    <w:lvl w:ilvl="0" w:tentative="0">
      <w:start w:val="16"/>
      <w:numFmt w:val="bullet"/>
      <w:lvlText w:val="-"/>
      <w:lvlJc w:val="left"/>
      <w:pPr>
        <w:ind w:left="720" w:hanging="360"/>
      </w:pPr>
      <w:rPr>
        <w:rFonts w:ascii="Times New Roman" w:hAnsi="Times New Roman" w:eastAsia="Times New Roman" w:cs="Times New Roman"/>
        <w:sz w:val="21"/>
        <w:szCs w:val="21"/>
      </w:rPr>
    </w:lvl>
    <w:lvl w:ilvl="1" w:tentative="0">
      <w:start w:val="1"/>
      <w:numFmt w:val="bullet"/>
      <w:lvlText w:val="o"/>
      <w:lvlJc w:val="left"/>
      <w:pPr>
        <w:ind w:left="1440" w:hanging="360"/>
      </w:pPr>
      <w:rPr>
        <w:rFonts w:ascii="Courier New" w:hAnsi="Courier New" w:eastAsia="Courier New" w:cs="Courier New"/>
      </w:rPr>
    </w:lvl>
    <w:lvl w:ilvl="2" w:tentative="0">
      <w:start w:val="1"/>
      <w:numFmt w:val="bullet"/>
      <w:lvlText w:val="▪"/>
      <w:lvlJc w:val="left"/>
      <w:pPr>
        <w:ind w:left="2160" w:hanging="360"/>
      </w:pPr>
      <w:rPr>
        <w:rFonts w:ascii="Noto Sans Symbols" w:hAnsi="Noto Sans Symbols" w:eastAsia="Noto Sans Symbols" w:cs="Noto Sans Symbols"/>
      </w:rPr>
    </w:lvl>
    <w:lvl w:ilvl="3" w:tentative="0">
      <w:start w:val="1"/>
      <w:numFmt w:val="bullet"/>
      <w:lvlText w:val="●"/>
      <w:lvlJc w:val="left"/>
      <w:pPr>
        <w:ind w:left="2880" w:hanging="360"/>
      </w:pPr>
      <w:rPr>
        <w:rFonts w:ascii="Noto Sans Symbols" w:hAnsi="Noto Sans Symbols" w:eastAsia="Noto Sans Symbols" w:cs="Noto Sans Symbols"/>
      </w:rPr>
    </w:lvl>
    <w:lvl w:ilvl="4" w:tentative="0">
      <w:start w:val="1"/>
      <w:numFmt w:val="bullet"/>
      <w:lvlText w:val="o"/>
      <w:lvlJc w:val="left"/>
      <w:pPr>
        <w:ind w:left="3600" w:hanging="360"/>
      </w:pPr>
      <w:rPr>
        <w:rFonts w:ascii="Courier New" w:hAnsi="Courier New" w:eastAsia="Courier New" w:cs="Courier New"/>
      </w:rPr>
    </w:lvl>
    <w:lvl w:ilvl="5" w:tentative="0">
      <w:start w:val="1"/>
      <w:numFmt w:val="bullet"/>
      <w:lvlText w:val="▪"/>
      <w:lvlJc w:val="left"/>
      <w:pPr>
        <w:ind w:left="4320" w:hanging="360"/>
      </w:pPr>
      <w:rPr>
        <w:rFonts w:ascii="Noto Sans Symbols" w:hAnsi="Noto Sans Symbols" w:eastAsia="Noto Sans Symbols" w:cs="Noto Sans Symbols"/>
      </w:rPr>
    </w:lvl>
    <w:lvl w:ilvl="6" w:tentative="0">
      <w:start w:val="1"/>
      <w:numFmt w:val="bullet"/>
      <w:lvlText w:val="●"/>
      <w:lvlJc w:val="left"/>
      <w:pPr>
        <w:ind w:left="5040" w:hanging="360"/>
      </w:pPr>
      <w:rPr>
        <w:rFonts w:ascii="Noto Sans Symbols" w:hAnsi="Noto Sans Symbols" w:eastAsia="Noto Sans Symbols" w:cs="Noto Sans Symbols"/>
      </w:rPr>
    </w:lvl>
    <w:lvl w:ilvl="7" w:tentative="0">
      <w:start w:val="1"/>
      <w:numFmt w:val="bullet"/>
      <w:lvlText w:val="o"/>
      <w:lvlJc w:val="left"/>
      <w:pPr>
        <w:ind w:left="5760" w:hanging="360"/>
      </w:pPr>
      <w:rPr>
        <w:rFonts w:ascii="Courier New" w:hAnsi="Courier New" w:eastAsia="Courier New" w:cs="Courier New"/>
      </w:rPr>
    </w:lvl>
    <w:lvl w:ilvl="8" w:tentative="0">
      <w:start w:val="1"/>
      <w:numFmt w:val="bullet"/>
      <w:lvlText w:val="▪"/>
      <w:lvlJc w:val="left"/>
      <w:pPr>
        <w:ind w:left="6480" w:hanging="360"/>
      </w:pPr>
      <w:rPr>
        <w:rFonts w:ascii="Noto Sans Symbols" w:hAnsi="Noto Sans Symbols" w:eastAsia="Noto Sans Symbols" w:cs="Noto Sans Symbols"/>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06C3"/>
    <w:rsid w:val="000A7C7C"/>
    <w:rsid w:val="000B70F2"/>
    <w:rsid w:val="00255868"/>
    <w:rsid w:val="00291187"/>
    <w:rsid w:val="005957C9"/>
    <w:rsid w:val="0083378C"/>
    <w:rsid w:val="00867679"/>
    <w:rsid w:val="00A86EF5"/>
    <w:rsid w:val="00C106C3"/>
    <w:rsid w:val="00E6100F"/>
    <w:rsid w:val="3EFF79D9"/>
    <w:rsid w:val="49D76AB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SimSu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pPr>
    <w:rPr>
      <w:rFonts w:ascii="Calibri" w:hAnsi="Calibri" w:eastAsia="Calibri" w:cs="Calibri"/>
      <w:sz w:val="21"/>
      <w:szCs w:val="21"/>
      <w:lang w:eastAsia="en-US" w:bidi="ar-SA"/>
    </w:rPr>
  </w:style>
  <w:style w:type="paragraph" w:styleId="2">
    <w:name w:val="heading 1"/>
    <w:basedOn w:val="1"/>
    <w:next w:val="1"/>
    <w:qFormat/>
    <w:uiPriority w:val="9"/>
    <w:pPr>
      <w:keepNext/>
      <w:keepLines/>
      <w:spacing w:before="480" w:after="120"/>
      <w:outlineLvl w:val="0"/>
    </w:pPr>
    <w:rPr>
      <w:b/>
      <w:sz w:val="48"/>
      <w:szCs w:val="48"/>
    </w:rPr>
  </w:style>
  <w:style w:type="paragraph" w:styleId="3">
    <w:name w:val="heading 2"/>
    <w:basedOn w:val="1"/>
    <w:next w:val="1"/>
    <w:semiHidden/>
    <w:unhideWhenUsed/>
    <w:qFormat/>
    <w:uiPriority w:val="9"/>
    <w:pPr>
      <w:keepNext/>
      <w:keepLines/>
      <w:spacing w:before="360" w:after="80"/>
      <w:outlineLvl w:val="1"/>
    </w:pPr>
    <w:rPr>
      <w:b/>
      <w:sz w:val="36"/>
      <w:szCs w:val="36"/>
    </w:rPr>
  </w:style>
  <w:style w:type="paragraph" w:styleId="4">
    <w:name w:val="heading 3"/>
    <w:basedOn w:val="1"/>
    <w:next w:val="1"/>
    <w:semiHidden/>
    <w:unhideWhenUsed/>
    <w:qFormat/>
    <w:uiPriority w:val="9"/>
    <w:pPr>
      <w:keepNext/>
      <w:keepLines/>
      <w:spacing w:before="280" w:after="80"/>
      <w:outlineLvl w:val="2"/>
    </w:pPr>
    <w:rPr>
      <w:b/>
      <w:sz w:val="28"/>
      <w:szCs w:val="28"/>
    </w:rPr>
  </w:style>
  <w:style w:type="paragraph" w:styleId="5">
    <w:name w:val="heading 4"/>
    <w:basedOn w:val="1"/>
    <w:next w:val="1"/>
    <w:semiHidden/>
    <w:unhideWhenUsed/>
    <w:qFormat/>
    <w:uiPriority w:val="9"/>
    <w:pPr>
      <w:keepNext/>
      <w:keepLines/>
      <w:spacing w:before="240" w:after="40"/>
      <w:outlineLvl w:val="3"/>
    </w:pPr>
    <w:rPr>
      <w:b/>
      <w:sz w:val="24"/>
      <w:szCs w:val="24"/>
    </w:rPr>
  </w:style>
  <w:style w:type="paragraph" w:styleId="6">
    <w:name w:val="heading 5"/>
    <w:basedOn w:val="1"/>
    <w:next w:val="1"/>
    <w:semiHidden/>
    <w:unhideWhenUsed/>
    <w:qFormat/>
    <w:uiPriority w:val="9"/>
    <w:pPr>
      <w:keepNext/>
      <w:keepLines/>
      <w:spacing w:before="220" w:after="40"/>
      <w:outlineLvl w:val="4"/>
    </w:pPr>
    <w:rPr>
      <w:b/>
      <w:sz w:val="22"/>
      <w:szCs w:val="22"/>
    </w:rPr>
  </w:style>
  <w:style w:type="paragraph" w:styleId="7">
    <w:name w:val="heading 6"/>
    <w:basedOn w:val="1"/>
    <w:next w:val="1"/>
    <w:semiHidden/>
    <w:unhideWhenUsed/>
    <w:qFormat/>
    <w:uiPriority w:val="9"/>
    <w:pPr>
      <w:keepNext/>
      <w:keepLines/>
      <w:spacing w:before="200" w:after="40"/>
      <w:outlineLvl w:val="5"/>
    </w:pPr>
    <w:rPr>
      <w:b/>
      <w:sz w:val="20"/>
      <w:szCs w:val="20"/>
    </w:rPr>
  </w:style>
  <w:style w:type="character" w:default="1" w:styleId="8">
    <w:name w:val="Default Paragraph Font"/>
    <w:semiHidden/>
    <w:unhideWhenUsed/>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character" w:styleId="10">
    <w:name w:val="HTML Cite"/>
    <w:basedOn w:val="8"/>
    <w:semiHidden/>
    <w:unhideWhenUsed/>
    <w:uiPriority w:val="99"/>
    <w:rPr>
      <w:i/>
      <w:iCs/>
    </w:rPr>
  </w:style>
  <w:style w:type="character" w:styleId="11">
    <w:name w:val="Hyperlink"/>
    <w:basedOn w:val="8"/>
    <w:unhideWhenUsed/>
    <w:uiPriority w:val="99"/>
    <w:rPr>
      <w:color w:val="0000FF" w:themeColor="hyperlink"/>
      <w:u w:val="single"/>
      <w14:textFill>
        <w14:solidFill>
          <w14:schemeClr w14:val="hlink"/>
        </w14:solidFill>
      </w14:textFill>
    </w:rPr>
  </w:style>
  <w:style w:type="paragraph" w:styleId="12">
    <w:name w:val="Subtitle"/>
    <w:basedOn w:val="1"/>
    <w:next w:val="1"/>
    <w:qFormat/>
    <w:uiPriority w:val="11"/>
    <w:pPr>
      <w:keepNext/>
      <w:keepLines/>
      <w:spacing w:before="360" w:after="80"/>
    </w:pPr>
    <w:rPr>
      <w:rFonts w:ascii="Georgia" w:hAnsi="Georgia" w:eastAsia="Georgia" w:cs="Georgia"/>
      <w:i/>
      <w:color w:val="666666"/>
      <w:sz w:val="48"/>
      <w:szCs w:val="48"/>
    </w:rPr>
  </w:style>
  <w:style w:type="paragraph" w:styleId="13">
    <w:name w:val="Title"/>
    <w:basedOn w:val="1"/>
    <w:next w:val="1"/>
    <w:qFormat/>
    <w:uiPriority w:val="10"/>
    <w:pPr>
      <w:keepNext/>
      <w:keepLines/>
      <w:spacing w:before="480" w:after="120"/>
    </w:pPr>
    <w:rPr>
      <w:b/>
      <w:sz w:val="72"/>
      <w:szCs w:val="72"/>
    </w:rPr>
  </w:style>
  <w:style w:type="table" w:customStyle="1" w:styleId="14">
    <w:name w:val="TableNormal"/>
    <w:qFormat/>
    <w:uiPriority w:val="0"/>
    <w:tblPr>
      <w:tblCellMar>
        <w:top w:w="0" w:type="dxa"/>
        <w:left w:w="0" w:type="dxa"/>
        <w:bottom w:w="0" w:type="dxa"/>
        <w:right w:w="0" w:type="dxa"/>
      </w:tblCellMar>
    </w:tblPr>
  </w:style>
  <w:style w:type="table" w:customStyle="1" w:styleId="15">
    <w:name w:val="_Style 12"/>
    <w:basedOn w:val="14"/>
    <w:uiPriority w:val="0"/>
    <w:tblPr>
      <w:tblCellMar>
        <w:top w:w="0" w:type="dxa"/>
        <w:left w:w="108" w:type="dxa"/>
        <w:bottom w:w="0" w:type="dxa"/>
        <w:right w:w="108" w:type="dxa"/>
      </w:tblCellMar>
    </w:tblPr>
  </w:style>
  <w:style w:type="table" w:customStyle="1" w:styleId="16">
    <w:name w:val="_Style 13"/>
    <w:basedOn w:val="14"/>
    <w:uiPriority w:val="0"/>
    <w:tblPr>
      <w:tblCellMar>
        <w:top w:w="0" w:type="dxa"/>
        <w:left w:w="108" w:type="dxa"/>
        <w:bottom w:w="0" w:type="dxa"/>
        <w:right w:w="108" w:type="dxa"/>
      </w:tblCellMar>
    </w:tblPr>
  </w:style>
  <w:style w:type="table" w:customStyle="1" w:styleId="17">
    <w:name w:val="_Style 14"/>
    <w:basedOn w:val="14"/>
    <w:qFormat/>
    <w:uiPriority w:val="0"/>
    <w:tblPr>
      <w:tblCellMar>
        <w:top w:w="0" w:type="dxa"/>
        <w:left w:w="108" w:type="dxa"/>
        <w:bottom w:w="0" w:type="dxa"/>
        <w:right w:w="108" w:type="dxa"/>
      </w:tblCellMar>
    </w:tblPr>
  </w:style>
  <w:style w:type="table" w:customStyle="1" w:styleId="18">
    <w:name w:val="_Style 15"/>
    <w:basedOn w:val="14"/>
    <w:uiPriority w:val="0"/>
    <w:tblPr>
      <w:tblCellMar>
        <w:top w:w="0" w:type="dxa"/>
        <w:left w:w="108" w:type="dxa"/>
        <w:bottom w:w="0" w:type="dxa"/>
        <w:right w:w="108" w:type="dxa"/>
      </w:tblCellMar>
    </w:tblPr>
  </w:style>
  <w:style w:type="table" w:customStyle="1" w:styleId="19">
    <w:name w:val="_Style 16"/>
    <w:basedOn w:val="14"/>
    <w:qFormat/>
    <w:uiPriority w:val="0"/>
    <w:tblPr>
      <w:tblCellMar>
        <w:top w:w="0" w:type="dxa"/>
        <w:left w:w="108" w:type="dxa"/>
        <w:bottom w:w="0" w:type="dxa"/>
        <w:right w:w="108" w:type="dxa"/>
      </w:tblCellMar>
    </w:tblPr>
  </w:style>
  <w:style w:type="character" w:customStyle="1" w:styleId="20">
    <w:name w:val="Unresolved Mention"/>
    <w:basedOn w:val="8"/>
    <w:semiHidden/>
    <w:unhideWhenUsed/>
    <w:uiPriority w:val="99"/>
    <w:rPr>
      <w:color w:val="605E5C"/>
      <w:shd w:val="clear" w:color="auto" w:fill="E1DFDD"/>
    </w:r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customXml" Target="../customXml/item1.xml"/><Relationship Id="rId4" Type="http://schemas.openxmlformats.org/officeDocument/2006/relationships/numbering" Target="numbering.xml"/><Relationship Id="rId3"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2C7F26-B172-4EF4-A4C1-C0F41C659A92}">
  <ds:schemaRefs/>
</ds:datastoreItem>
</file>

<file path=docProps/app.xml><?xml version="1.0" encoding="utf-8"?>
<Properties xmlns="http://schemas.openxmlformats.org/officeDocument/2006/extended-properties" xmlns:vt="http://schemas.openxmlformats.org/officeDocument/2006/docPropsVTypes">
  <Template>Normal</Template>
  <Pages>11</Pages>
  <Words>3083</Words>
  <Characters>17576</Characters>
  <Lines>146</Lines>
  <Paragraphs>41</Paragraphs>
  <TotalTime>162</TotalTime>
  <ScaleCrop>false</ScaleCrop>
  <LinksUpToDate>false</LinksUpToDate>
  <CharactersWithSpaces>20618</CharactersWithSpaces>
  <Application>WPS Office_12.2.0.21931_F1E327BC-269C-435d-A152-05C5408002CA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2025-08-07T15:00:00Z</dcterms:created>
  <dc:creator>SRH Consulting3</dc:creator>
  <cp:lastModifiedBy>ConsultingRoom5SRH</cp:lastModifiedBy>
  <dcterms:modified xsi:type="dcterms:W3CDTF">2025-08-14T10:17:21Z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1033-12.2.0.21931</vt:lpwstr>
  </property>
  <property fmtid="{D5CDD505-2E9C-101B-9397-08002B2CF9AE}" pid="3" name="ICV">
    <vt:lpwstr>AD5672F0E405438DBACB6D4F467DA14A_11</vt:lpwstr>
  </property>
</Properties>
</file>