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7DB7E" w14:textId="66990D7B" w:rsidR="00163BC4" w:rsidRPr="00163BC4" w:rsidRDefault="00EF10C8" w:rsidP="00EF10C8">
      <w:pPr>
        <w:pStyle w:val="Author"/>
        <w:spacing w:line="240" w:lineRule="auto"/>
        <w:jc w:val="left"/>
        <w:rPr>
          <w:rFonts w:ascii="Arial" w:hAnsi="Arial" w:cs="Arial"/>
          <w:bCs/>
          <w:iCs/>
          <w:kern w:val="28"/>
          <w:sz w:val="36"/>
        </w:rPr>
      </w:pPr>
      <w:bookmarkStart w:id="0" w:name="_GoBack"/>
      <w:bookmarkEnd w:id="0"/>
      <w:r w:rsidRPr="00D40AE8">
        <w:rPr>
          <w:rFonts w:asciiTheme="minorBidi" w:eastAsia="MS Mincho" w:hAnsiTheme="minorBidi" w:cstheme="minorBidi"/>
          <w:sz w:val="36"/>
          <w:szCs w:val="36"/>
        </w:rPr>
        <w:t>Complications and Poor Compliance in Soft Contact Lens Wear: An Analysis of Fitting Inadequacies and Hygiene Practices</w:t>
      </w:r>
      <w:r w:rsidRPr="00250188">
        <w:rPr>
          <w:rFonts w:ascii="Arial" w:hAnsi="Arial" w:cs="Arial"/>
          <w:bCs/>
          <w:iCs/>
          <w:kern w:val="28"/>
          <w:sz w:val="36"/>
        </w:rPr>
        <w:t xml:space="preserve"> </w:t>
      </w:r>
    </w:p>
    <w:p w14:paraId="781C4810" w14:textId="77777777" w:rsidR="00A258C3" w:rsidRPr="00790ADA" w:rsidRDefault="00A258C3" w:rsidP="00441B6F">
      <w:pPr>
        <w:pStyle w:val="Author"/>
        <w:spacing w:line="240" w:lineRule="auto"/>
        <w:jc w:val="both"/>
        <w:rPr>
          <w:rFonts w:ascii="Arial" w:hAnsi="Arial" w:cs="Arial"/>
          <w:sz w:val="36"/>
        </w:rPr>
      </w:pPr>
    </w:p>
    <w:p w14:paraId="566EE704" w14:textId="174B4D60" w:rsidR="00B01FCD" w:rsidRPr="00FB3A86" w:rsidRDefault="008C6B27" w:rsidP="00441B6F">
      <w:pPr>
        <w:pStyle w:val="Copyright"/>
        <w:spacing w:after="0" w:line="240" w:lineRule="auto"/>
        <w:jc w:val="both"/>
        <w:rPr>
          <w:rFonts w:ascii="Arial" w:hAnsi="Arial" w:cs="Arial"/>
        </w:rPr>
        <w:sectPr w:rsidR="00B01FCD" w:rsidRPr="00FB3A86" w:rsidSect="0085474F">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5EF4B15" wp14:editId="2690AD0B">
                <wp:extent cx="5303520" cy="635"/>
                <wp:effectExtent l="13335" t="13335" r="17145" b="15240"/>
                <wp:docPr id="5641847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B8506A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7A17345" w14:textId="5EA1DA8C" w:rsidR="00B01FCD" w:rsidRDefault="00B01FCD" w:rsidP="004F6FA2">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D010B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499216" w14:textId="77777777" w:rsidTr="001E44FE">
        <w:tc>
          <w:tcPr>
            <w:tcW w:w="9576" w:type="dxa"/>
            <w:shd w:val="clear" w:color="auto" w:fill="F2F2F2"/>
          </w:tcPr>
          <w:p w14:paraId="4B5ADA07" w14:textId="77777777" w:rsidR="00E3114E" w:rsidRDefault="00E3114E" w:rsidP="00441B6F">
            <w:pPr>
              <w:pStyle w:val="Body"/>
              <w:spacing w:after="0"/>
              <w:rPr>
                <w:rFonts w:ascii="Arial" w:eastAsia="Calibri" w:hAnsi="Arial" w:cs="Arial"/>
                <w:szCs w:val="22"/>
              </w:rPr>
            </w:pPr>
          </w:p>
          <w:p w14:paraId="25609698" w14:textId="1A4CF44D" w:rsidR="0069111D" w:rsidRPr="0069111D" w:rsidRDefault="0069111D" w:rsidP="0069111D">
            <w:pPr>
              <w:pStyle w:val="Body"/>
              <w:spacing w:after="0"/>
              <w:rPr>
                <w:rFonts w:ascii="Arial" w:eastAsia="Calibri" w:hAnsi="Arial" w:cs="Arial"/>
                <w:szCs w:val="22"/>
              </w:rPr>
            </w:pPr>
            <w:r w:rsidRPr="0069111D">
              <w:rPr>
                <w:rFonts w:ascii="Arial" w:eastAsia="Calibri" w:hAnsi="Arial" w:cs="Arial"/>
                <w:b/>
                <w:bCs/>
                <w:szCs w:val="22"/>
              </w:rPr>
              <w:t>Aim:</w:t>
            </w:r>
            <w:r w:rsidRPr="0069111D">
              <w:rPr>
                <w:rFonts w:ascii="Arial" w:eastAsia="Calibri" w:hAnsi="Arial" w:cs="Arial"/>
                <w:szCs w:val="22"/>
              </w:rPr>
              <w:t> </w:t>
            </w:r>
            <w:r w:rsidR="00892880">
              <w:rPr>
                <w:rFonts w:ascii="Arial" w:eastAsia="Calibri" w:hAnsi="Arial" w:cs="Arial"/>
                <w:szCs w:val="22"/>
              </w:rPr>
              <w:t>The present study</w:t>
            </w:r>
            <w:r w:rsidRPr="0069111D">
              <w:rPr>
                <w:rFonts w:ascii="Arial" w:eastAsia="Calibri" w:hAnsi="Arial" w:cs="Arial"/>
                <w:szCs w:val="22"/>
              </w:rPr>
              <w:t xml:space="preserve"> evaluate</w:t>
            </w:r>
            <w:r w:rsidR="00892880">
              <w:rPr>
                <w:rFonts w:ascii="Arial" w:eastAsia="Calibri" w:hAnsi="Arial" w:cs="Arial"/>
                <w:szCs w:val="22"/>
              </w:rPr>
              <w:t>s</w:t>
            </w:r>
            <w:r w:rsidRPr="0069111D">
              <w:rPr>
                <w:rFonts w:ascii="Arial" w:eastAsia="Calibri" w:hAnsi="Arial" w:cs="Arial"/>
                <w:szCs w:val="22"/>
              </w:rPr>
              <w:t xml:space="preserve"> the role of clinical examination in optimizing the fitting of soft contact lenses and to highlight the main complications associated with their use.</w:t>
            </w:r>
          </w:p>
          <w:p w14:paraId="057E05D0" w14:textId="77777777" w:rsidR="0069111D" w:rsidRPr="0069111D" w:rsidRDefault="0069111D" w:rsidP="0069111D">
            <w:pPr>
              <w:pStyle w:val="Body"/>
              <w:spacing w:after="0"/>
              <w:rPr>
                <w:rFonts w:ascii="Arial" w:eastAsia="Calibri" w:hAnsi="Arial" w:cs="Arial"/>
                <w:szCs w:val="22"/>
              </w:rPr>
            </w:pPr>
            <w:r w:rsidRPr="0069111D">
              <w:rPr>
                <w:rFonts w:ascii="Arial" w:eastAsia="Calibri" w:hAnsi="Arial" w:cs="Arial"/>
                <w:b/>
                <w:bCs/>
                <w:szCs w:val="22"/>
              </w:rPr>
              <w:t>Study design:</w:t>
            </w:r>
            <w:r w:rsidRPr="0069111D">
              <w:rPr>
                <w:rFonts w:ascii="Arial" w:eastAsia="Calibri" w:hAnsi="Arial" w:cs="Arial"/>
                <w:szCs w:val="22"/>
              </w:rPr>
              <w:t> Retrospective, descriptive study.</w:t>
            </w:r>
          </w:p>
          <w:p w14:paraId="4EB19FB4" w14:textId="77777777" w:rsidR="0069111D" w:rsidRPr="0069111D" w:rsidRDefault="0069111D" w:rsidP="0069111D">
            <w:pPr>
              <w:pStyle w:val="Body"/>
              <w:spacing w:after="0"/>
              <w:rPr>
                <w:rFonts w:ascii="Arial" w:eastAsia="Calibri" w:hAnsi="Arial" w:cs="Arial"/>
                <w:szCs w:val="22"/>
              </w:rPr>
            </w:pPr>
            <w:r w:rsidRPr="0069111D">
              <w:rPr>
                <w:rFonts w:ascii="Arial" w:eastAsia="Calibri" w:hAnsi="Arial" w:cs="Arial"/>
                <w:b/>
                <w:bCs/>
                <w:szCs w:val="22"/>
              </w:rPr>
              <w:t>Place and Duration of Study:</w:t>
            </w:r>
            <w:r w:rsidRPr="0069111D">
              <w:rPr>
                <w:rFonts w:ascii="Arial" w:eastAsia="Calibri" w:hAnsi="Arial" w:cs="Arial"/>
                <w:szCs w:val="22"/>
              </w:rPr>
              <w:t> Ophthalmology Department, University Hospital of Kasserine, Tunisia, over a six-month period (January-June 2023).</w:t>
            </w:r>
          </w:p>
          <w:p w14:paraId="0F489D80" w14:textId="77777777" w:rsidR="0069111D" w:rsidRPr="0069111D" w:rsidRDefault="0069111D" w:rsidP="0069111D">
            <w:pPr>
              <w:pStyle w:val="Body"/>
              <w:spacing w:after="0"/>
              <w:rPr>
                <w:rFonts w:ascii="Arial" w:eastAsia="Calibri" w:hAnsi="Arial" w:cs="Arial"/>
                <w:szCs w:val="22"/>
              </w:rPr>
            </w:pPr>
            <w:r w:rsidRPr="0069111D">
              <w:rPr>
                <w:rFonts w:ascii="Arial" w:eastAsia="Calibri" w:hAnsi="Arial" w:cs="Arial"/>
                <w:b/>
                <w:bCs/>
                <w:szCs w:val="22"/>
              </w:rPr>
              <w:t>Methodology:</w:t>
            </w:r>
            <w:r w:rsidRPr="0069111D">
              <w:rPr>
                <w:rFonts w:ascii="Arial" w:eastAsia="Calibri" w:hAnsi="Arial" w:cs="Arial"/>
                <w:szCs w:val="22"/>
              </w:rPr>
              <w:t> Thirty-four young adult females (aged 18-30 years) wearing soft contact lenses were assessed through standardized questionnaires, detailed ocular examinations, and evaluation of lens parameters and hygiene practices.</w:t>
            </w:r>
          </w:p>
          <w:p w14:paraId="6FCEFA8F" w14:textId="77777777" w:rsidR="0069111D" w:rsidRPr="0069111D" w:rsidRDefault="0069111D" w:rsidP="0069111D">
            <w:pPr>
              <w:pStyle w:val="Body"/>
              <w:spacing w:after="0"/>
              <w:rPr>
                <w:rFonts w:ascii="Arial" w:eastAsia="Calibri" w:hAnsi="Arial" w:cs="Arial"/>
                <w:szCs w:val="22"/>
              </w:rPr>
            </w:pPr>
            <w:r w:rsidRPr="0069111D">
              <w:rPr>
                <w:rFonts w:ascii="Arial" w:eastAsia="Calibri" w:hAnsi="Arial" w:cs="Arial"/>
                <w:b/>
                <w:bCs/>
                <w:szCs w:val="22"/>
              </w:rPr>
              <w:t>Results:</w:t>
            </w:r>
            <w:r w:rsidRPr="0069111D">
              <w:rPr>
                <w:rFonts w:ascii="Arial" w:eastAsia="Calibri" w:hAnsi="Arial" w:cs="Arial"/>
                <w:szCs w:val="22"/>
              </w:rPr>
              <w:t> Among the 34 patients assessed, most were permanent wearers with non-medicalized fittings (88%) and poor hygiene habits. Lens fitting inadequacies were frequent (non-optimal base curve in 71%, inappropriate diameter in 80%). The majority developed hypoxic and inflammatory complications, particularly corneal neovascularization (88% prevalence), superficial punctate keratitis (68%), dry eye (94%), and protein deposits (88%). Subjective discomfort was reported by 65% of patients. No infectious complications were noted.</w:t>
            </w:r>
          </w:p>
          <w:p w14:paraId="726F2F97" w14:textId="77777777" w:rsidR="0069111D" w:rsidRPr="0069111D" w:rsidRDefault="0069111D" w:rsidP="0069111D">
            <w:pPr>
              <w:pStyle w:val="Body"/>
              <w:spacing w:after="0"/>
              <w:rPr>
                <w:rFonts w:ascii="Arial" w:eastAsia="Calibri" w:hAnsi="Arial" w:cs="Arial"/>
                <w:szCs w:val="22"/>
              </w:rPr>
            </w:pPr>
            <w:r w:rsidRPr="0069111D">
              <w:rPr>
                <w:rFonts w:ascii="Arial" w:eastAsia="Calibri" w:hAnsi="Arial" w:cs="Arial"/>
                <w:b/>
                <w:bCs/>
                <w:szCs w:val="22"/>
              </w:rPr>
              <w:t>Conclusion:</w:t>
            </w:r>
            <w:r w:rsidRPr="0069111D">
              <w:rPr>
                <w:rFonts w:ascii="Arial" w:eastAsia="Calibri" w:hAnsi="Arial" w:cs="Arial"/>
                <w:szCs w:val="22"/>
              </w:rPr>
              <w:t> The high prevalence of complications was directly associated with inadequate lens fitting and poor compliance with hygiene practices. Clinical examination prior to fitting, professional supervision, patient education, and regular follow-up are essential to reduce risks and ensure safe, comfortable, and effective visual correction.</w:t>
            </w:r>
          </w:p>
          <w:p w14:paraId="41D58484" w14:textId="269EADDB" w:rsidR="00505F06" w:rsidRPr="00BA1B01" w:rsidRDefault="001C0E36" w:rsidP="0069111D">
            <w:pPr>
              <w:pStyle w:val="Body"/>
              <w:spacing w:after="0"/>
              <w:rPr>
                <w:rFonts w:ascii="Arial" w:eastAsia="Calibri" w:hAnsi="Arial" w:cs="Arial"/>
                <w:szCs w:val="22"/>
              </w:rPr>
            </w:pPr>
            <w:r w:rsidRPr="001C0E36">
              <w:rPr>
                <w:rFonts w:ascii="Arial" w:eastAsia="Calibri" w:hAnsi="Arial" w:cs="Arial"/>
                <w:szCs w:val="22"/>
              </w:rPr>
              <w:t xml:space="preserve"> </w:t>
            </w:r>
          </w:p>
        </w:tc>
      </w:tr>
    </w:tbl>
    <w:p w14:paraId="1C7614C9" w14:textId="77777777" w:rsidR="00636EB2" w:rsidRDefault="00636EB2" w:rsidP="00441B6F">
      <w:pPr>
        <w:pStyle w:val="Body"/>
        <w:spacing w:after="0"/>
        <w:rPr>
          <w:rFonts w:ascii="Arial" w:hAnsi="Arial" w:cs="Arial"/>
          <w:i/>
        </w:rPr>
      </w:pPr>
    </w:p>
    <w:p w14:paraId="79081EBC" w14:textId="3608A943" w:rsidR="00A24E7E" w:rsidRDefault="00A24E7E" w:rsidP="00081A0F">
      <w:pPr>
        <w:pStyle w:val="Body"/>
        <w:spacing w:after="0"/>
        <w:rPr>
          <w:rFonts w:ascii="Arial" w:hAnsi="Arial" w:cs="Arial"/>
          <w:i/>
        </w:rPr>
      </w:pPr>
      <w:r>
        <w:rPr>
          <w:rFonts w:ascii="Arial" w:hAnsi="Arial" w:cs="Arial"/>
          <w:i/>
        </w:rPr>
        <w:t>Keywords: [</w:t>
      </w:r>
      <w:r w:rsidR="00081A0F" w:rsidRPr="00081A0F">
        <w:rPr>
          <w:rFonts w:ascii="Arial" w:hAnsi="Arial" w:cs="Arial"/>
          <w:i/>
        </w:rPr>
        <w:t>Soft contact lenses; Contact lens fitting; Ocular complications; Patient compliance</w:t>
      </w:r>
      <w:proofErr w:type="gramStart"/>
      <w:r w:rsidR="00081A0F" w:rsidRPr="00081A0F">
        <w:rPr>
          <w:rFonts w:ascii="Arial" w:hAnsi="Arial" w:cs="Arial"/>
          <w:i/>
        </w:rPr>
        <w:t>; ;</w:t>
      </w:r>
      <w:proofErr w:type="gramEnd"/>
      <w:r w:rsidR="00081A0F" w:rsidRPr="00081A0F">
        <w:rPr>
          <w:rFonts w:ascii="Arial" w:hAnsi="Arial" w:cs="Arial"/>
          <w:i/>
        </w:rPr>
        <w:t xml:space="preserve"> Lens hygiene; Visual outcomes</w:t>
      </w:r>
      <w:r w:rsidR="00081A0F">
        <w:rPr>
          <w:rFonts w:ascii="Arial" w:hAnsi="Arial" w:cs="Arial"/>
          <w:i/>
        </w:rPr>
        <w:t>]</w:t>
      </w:r>
    </w:p>
    <w:p w14:paraId="47900995" w14:textId="77777777" w:rsidR="00790ADA" w:rsidRDefault="00790ADA" w:rsidP="00441B6F">
      <w:pPr>
        <w:pStyle w:val="Body"/>
        <w:spacing w:after="0"/>
        <w:rPr>
          <w:rFonts w:ascii="Arial" w:hAnsi="Arial" w:cs="Arial"/>
          <w:i/>
        </w:rPr>
      </w:pPr>
    </w:p>
    <w:p w14:paraId="3359AF4B" w14:textId="77777777" w:rsidR="00505F06" w:rsidRPr="00A24E7E" w:rsidRDefault="00505F06" w:rsidP="00441B6F">
      <w:pPr>
        <w:pStyle w:val="Body"/>
        <w:spacing w:after="0"/>
        <w:rPr>
          <w:rFonts w:ascii="Arial" w:hAnsi="Arial" w:cs="Arial"/>
          <w:i/>
        </w:rPr>
      </w:pPr>
    </w:p>
    <w:p w14:paraId="12A69A34" w14:textId="06BEB89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C767B15" w14:textId="77777777" w:rsidR="00790ADA" w:rsidRPr="00FB3A86" w:rsidRDefault="00790ADA" w:rsidP="00441B6F">
      <w:pPr>
        <w:pStyle w:val="AbstHead"/>
        <w:spacing w:after="0"/>
        <w:jc w:val="both"/>
        <w:rPr>
          <w:rFonts w:ascii="Arial" w:hAnsi="Arial" w:cs="Arial"/>
        </w:rPr>
      </w:pPr>
    </w:p>
    <w:p w14:paraId="6FD0C94B" w14:textId="5FCC3539" w:rsidR="00FA2EB3" w:rsidRPr="00FA2EB3" w:rsidRDefault="00FA2EB3" w:rsidP="00FA2EB3">
      <w:pPr>
        <w:pStyle w:val="Body"/>
        <w:rPr>
          <w:rFonts w:ascii="Arial" w:hAnsi="Arial" w:cs="Arial"/>
        </w:rPr>
      </w:pPr>
      <w:r>
        <w:rPr>
          <w:rFonts w:ascii="Arial" w:hAnsi="Arial" w:cs="Arial"/>
        </w:rPr>
        <w:t>C</w:t>
      </w:r>
      <w:r w:rsidRPr="00FA2EB3">
        <w:rPr>
          <w:rFonts w:ascii="Arial" w:hAnsi="Arial" w:cs="Arial"/>
        </w:rPr>
        <w:t>ontact lenses are widely used medical and cosmetic devices that correct refractive errors while offering aesthetic and lifestyle benefits. In recent years, there has been a growing trend toward the use of cosmetic soft contact lenses, particularly among young adults, motivated by cosmetic appeal, affordability, and their easy availability over the counter without prescription or medical supervision (</w:t>
      </w:r>
      <w:proofErr w:type="spellStart"/>
      <w:r w:rsidRPr="00FA2EB3">
        <w:rPr>
          <w:rFonts w:ascii="Arial" w:hAnsi="Arial" w:cs="Arial"/>
        </w:rPr>
        <w:t>Alipour</w:t>
      </w:r>
      <w:proofErr w:type="spellEnd"/>
      <w:r w:rsidRPr="00FA2EB3">
        <w:rPr>
          <w:rFonts w:ascii="Arial" w:hAnsi="Arial" w:cs="Arial"/>
        </w:rPr>
        <w:t xml:space="preserve"> et al., 2017). However, such unsupervised access creates a significant gap between proper fitting guidelines and actual practice. Users often underestimate the potential risks, with limited awareness of hygiene requirements, lens replacement schedules, and the importance of follow-up (Stapleton et al., 2017; Chalmers et al., 2016). Several studies have reported poor compliance with recommended practices, with behaviors such as overnight lens wear, use of expired solutions, and inadequate case hygiene contributing to preventable complications ranging from discomfort and dry eye to hypoxic and allergic reactions, and in severe cases, microbial keratitis (Cope et al., 2015; CDC, 2019).</w:t>
      </w:r>
    </w:p>
    <w:p w14:paraId="37C7417A" w14:textId="77777777" w:rsidR="00FA2EB3" w:rsidRPr="00FA2EB3" w:rsidRDefault="00FA2EB3" w:rsidP="00FA2EB3">
      <w:pPr>
        <w:pStyle w:val="Body"/>
        <w:rPr>
          <w:rFonts w:ascii="Arial" w:hAnsi="Arial" w:cs="Arial"/>
        </w:rPr>
      </w:pPr>
      <w:r w:rsidRPr="00FA2EB3">
        <w:rPr>
          <w:rFonts w:ascii="Arial" w:hAnsi="Arial" w:cs="Arial"/>
        </w:rPr>
        <w:lastRenderedPageBreak/>
        <w:t xml:space="preserve">Despite advances in lens materials and design, the benefits of soft contact lenses are frequently undermined by inappropriate fitting and poor maintenance. These risks are further amplified when fittings are non-medicalized and patient education is lacking (Nichols et al., 2020; </w:t>
      </w:r>
      <w:proofErr w:type="spellStart"/>
      <w:r w:rsidRPr="00FA2EB3">
        <w:rPr>
          <w:rFonts w:ascii="Arial" w:hAnsi="Arial" w:cs="Arial"/>
        </w:rPr>
        <w:t>Efron</w:t>
      </w:r>
      <w:proofErr w:type="spellEnd"/>
      <w:r w:rsidRPr="00FA2EB3">
        <w:rPr>
          <w:rFonts w:ascii="Arial" w:hAnsi="Arial" w:cs="Arial"/>
        </w:rPr>
        <w:t>, 2017). Data from both Western and regional studies consistently show that a substantial proportion of users rely on self-prescription or cosmetic motivations rather than professional advice, exposing them to unnecessary ocular morbidity (Alipour et al., 2017; Morgan et al., 2019). Addressing this gap between availability and safe practice is therefore crucial for public health and clinical care.</w:t>
      </w:r>
    </w:p>
    <w:p w14:paraId="7227A947" w14:textId="77777777" w:rsidR="00FA2EB3" w:rsidRPr="00FA2EB3" w:rsidRDefault="00FA2EB3" w:rsidP="00FA2EB3">
      <w:pPr>
        <w:pStyle w:val="Body"/>
        <w:rPr>
          <w:rFonts w:ascii="Arial" w:hAnsi="Arial" w:cs="Arial"/>
        </w:rPr>
      </w:pPr>
      <w:r w:rsidRPr="00FA2EB3">
        <w:rPr>
          <w:rFonts w:ascii="Arial" w:hAnsi="Arial" w:cs="Arial"/>
        </w:rPr>
        <w:t>The present study was conducted to evaluate complications associated with soft contact lens wear in young adults, with a particular emphasis on the consequences of non-medicalized fitting and poor compliance. By highlighting the spectrum of lens-related complications and identifying contributory behaviors, this work underscores the need for professional supervision, patient education, and stricter regulation of cosmetic contact lens access to reduce the burden of preventable adverse events.</w:t>
      </w:r>
    </w:p>
    <w:p w14:paraId="42D42B35" w14:textId="77777777" w:rsidR="00790ADA" w:rsidRPr="00FB3A86" w:rsidRDefault="00790ADA" w:rsidP="00441B6F">
      <w:pPr>
        <w:pStyle w:val="Body"/>
        <w:spacing w:after="0"/>
        <w:rPr>
          <w:rFonts w:ascii="Arial" w:hAnsi="Arial" w:cs="Arial"/>
        </w:rPr>
      </w:pPr>
    </w:p>
    <w:p w14:paraId="608A63A6" w14:textId="12B422CE" w:rsidR="007F7B32" w:rsidRDefault="00902823" w:rsidP="00C27BA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81DB783" w14:textId="77777777" w:rsidR="00790ADA" w:rsidRPr="00FB3A86" w:rsidRDefault="00790ADA" w:rsidP="00441B6F">
      <w:pPr>
        <w:pStyle w:val="AbstHead"/>
        <w:spacing w:after="0"/>
        <w:jc w:val="both"/>
        <w:rPr>
          <w:rFonts w:ascii="Arial" w:hAnsi="Arial" w:cs="Arial"/>
        </w:rPr>
      </w:pPr>
    </w:p>
    <w:p w14:paraId="47964176" w14:textId="77777777" w:rsidR="00A5310C" w:rsidRPr="00A5310C" w:rsidRDefault="00A5310C" w:rsidP="00A5310C">
      <w:pPr>
        <w:pStyle w:val="Body"/>
        <w:spacing w:after="0"/>
        <w:rPr>
          <w:rFonts w:ascii="Arial" w:eastAsia="Calibri" w:hAnsi="Arial" w:cs="Arial"/>
          <w:b/>
          <w:bCs/>
          <w:szCs w:val="22"/>
        </w:rPr>
      </w:pPr>
      <w:r w:rsidRPr="00A5310C">
        <w:rPr>
          <w:rFonts w:ascii="Arial" w:eastAsia="Calibri" w:hAnsi="Arial" w:cs="Arial"/>
          <w:b/>
          <w:bCs/>
          <w:szCs w:val="22"/>
        </w:rPr>
        <w:t> Study Design and Ethical Considerations</w:t>
      </w:r>
    </w:p>
    <w:p w14:paraId="6A5A39B6" w14:textId="287F29D9" w:rsidR="00A5310C" w:rsidRPr="00A5310C" w:rsidRDefault="00A5310C" w:rsidP="00A5310C">
      <w:pPr>
        <w:pStyle w:val="Body"/>
        <w:spacing w:after="0"/>
        <w:rPr>
          <w:rFonts w:ascii="Arial" w:eastAsia="Calibri" w:hAnsi="Arial" w:cs="Arial"/>
          <w:szCs w:val="22"/>
        </w:rPr>
      </w:pPr>
      <w:r w:rsidRPr="00A5310C">
        <w:rPr>
          <w:rFonts w:ascii="Arial" w:eastAsia="Calibri" w:hAnsi="Arial" w:cs="Arial"/>
          <w:szCs w:val="22"/>
        </w:rPr>
        <w:t>A retrospective, descriptive study was conducted at the Ophthalmology Department of the University Hospital of Kasserine, Tunisia, over a six-month period from January to June 2023. The study protocol received ethical approval from the Institutional Review Board of the University Hospital of Kasserine and adhered to the tenets of the Declaration of Helsinki. Written informed consent was obtained from all participants prior to their inclusion. Patient anonymity and confidentiality were rigorously maintained throughout the study.</w:t>
      </w:r>
    </w:p>
    <w:p w14:paraId="1AFCE8CE" w14:textId="77777777" w:rsidR="00A5310C" w:rsidRPr="00A5310C" w:rsidRDefault="00A5310C" w:rsidP="00622662">
      <w:pPr>
        <w:pStyle w:val="Body"/>
        <w:spacing w:after="0"/>
        <w:rPr>
          <w:rFonts w:ascii="Arial" w:eastAsia="Calibri" w:hAnsi="Arial" w:cs="Arial"/>
          <w:szCs w:val="22"/>
        </w:rPr>
      </w:pPr>
    </w:p>
    <w:p w14:paraId="5F5ADC03" w14:textId="06A8836B" w:rsidR="00622662" w:rsidRDefault="00622662" w:rsidP="00622662">
      <w:pPr>
        <w:pStyle w:val="Body"/>
        <w:spacing w:after="0"/>
        <w:rPr>
          <w:rFonts w:ascii="Arial" w:eastAsia="Calibri" w:hAnsi="Arial" w:cs="Arial"/>
          <w:szCs w:val="22"/>
        </w:rPr>
      </w:pPr>
      <w:r w:rsidRPr="00622662">
        <w:rPr>
          <w:rFonts w:ascii="Arial" w:eastAsia="Calibri" w:hAnsi="Arial" w:cs="Arial"/>
          <w:b/>
          <w:bCs/>
          <w:szCs w:val="22"/>
        </w:rPr>
        <w:t>Study Population</w:t>
      </w:r>
    </w:p>
    <w:p w14:paraId="11BFDBF5" w14:textId="42749184" w:rsidR="00622662" w:rsidRPr="00622662" w:rsidRDefault="00622662" w:rsidP="00622662">
      <w:pPr>
        <w:pStyle w:val="Body"/>
        <w:spacing w:after="0"/>
        <w:rPr>
          <w:rFonts w:ascii="Arial" w:eastAsia="Calibri" w:hAnsi="Arial" w:cs="Arial"/>
          <w:szCs w:val="22"/>
        </w:rPr>
      </w:pPr>
      <w:r w:rsidRPr="00622662">
        <w:rPr>
          <w:rFonts w:ascii="Arial" w:eastAsia="Calibri" w:hAnsi="Arial" w:cs="Arial"/>
          <w:szCs w:val="22"/>
        </w:rPr>
        <w:t xml:space="preserve">The study cohort consisted of 34 young adult soft contact lens wearers who presented to our department for routine consultation or minor ocular complaints. The inclusion criteria were: (1) age between 18 and 30 years, and (2) current wear of soft contact lenses for refractive correction. Exclusion criteria were applied to isolate the specific risks associated with refractive lens use from those potentially compounded by purely cosmetic lenses. While we acknowledge that cosmetic lens users represent a significant unsupervised population, the primary aim of this study was to evaluate complications in users whose primary intent was visual correction, thereby controlling for the confounding variable of lens material quality and oxygen permeability, which can be highly variable and often inferior in non-corrective cosmetic lenses. Additional exclusion criteria were: (1) age below 18 or above 30 years, and (2) presence of irregular </w:t>
      </w:r>
      <w:r w:rsidR="00DD7EDC" w:rsidRPr="00622662">
        <w:rPr>
          <w:rFonts w:ascii="Arial" w:eastAsia="Calibri" w:hAnsi="Arial" w:cs="Arial"/>
          <w:szCs w:val="22"/>
        </w:rPr>
        <w:t>astigmatism. The</w:t>
      </w:r>
      <w:r w:rsidRPr="00622662">
        <w:rPr>
          <w:rFonts w:ascii="Arial" w:eastAsia="Calibri" w:hAnsi="Arial" w:cs="Arial"/>
          <w:szCs w:val="22"/>
        </w:rPr>
        <w:t xml:space="preserve"> exclusively female composition of our final cohort was an incidental finding reflective of the higher prevalence of contact lens use among young women in our clinical setting during the study period, rather than a deliberate selection criterion.</w:t>
      </w:r>
    </w:p>
    <w:p w14:paraId="01EABBB5" w14:textId="27860C70" w:rsidR="008B7FFA" w:rsidRPr="008B7FFA" w:rsidRDefault="008B7FFA" w:rsidP="008B7FFA">
      <w:pPr>
        <w:pStyle w:val="Body"/>
        <w:spacing w:after="0"/>
        <w:rPr>
          <w:rFonts w:ascii="Arial" w:eastAsia="Calibri" w:hAnsi="Arial" w:cs="Arial"/>
          <w:szCs w:val="22"/>
        </w:rPr>
      </w:pPr>
      <w:r w:rsidRPr="008B7FFA">
        <w:rPr>
          <w:rFonts w:ascii="Arial" w:eastAsia="Calibri" w:hAnsi="Arial" w:cs="Arial"/>
          <w:szCs w:val="22"/>
        </w:rPr>
        <w:t xml:space="preserve"> </w:t>
      </w:r>
    </w:p>
    <w:p w14:paraId="6D9F5D24" w14:textId="77777777" w:rsidR="008B7FFA" w:rsidRPr="00622662" w:rsidRDefault="008B7FFA" w:rsidP="008B7FFA">
      <w:pPr>
        <w:pStyle w:val="Body"/>
        <w:spacing w:after="0"/>
        <w:rPr>
          <w:rFonts w:ascii="Arial" w:eastAsia="Calibri" w:hAnsi="Arial" w:cs="Arial"/>
          <w:b/>
          <w:bCs/>
          <w:szCs w:val="22"/>
        </w:rPr>
      </w:pPr>
      <w:r w:rsidRPr="00622662">
        <w:rPr>
          <w:rFonts w:ascii="Arial" w:eastAsia="Calibri" w:hAnsi="Arial" w:cs="Arial"/>
          <w:b/>
          <w:bCs/>
          <w:szCs w:val="22"/>
        </w:rPr>
        <w:t>Data collection and clinical assessment</w:t>
      </w:r>
    </w:p>
    <w:p w14:paraId="5CBD6F27" w14:textId="77777777" w:rsidR="00A71D3E" w:rsidRPr="00A71D3E" w:rsidRDefault="00A71D3E" w:rsidP="00A71D3E">
      <w:pPr>
        <w:pStyle w:val="Body"/>
        <w:spacing w:after="0"/>
        <w:rPr>
          <w:rFonts w:ascii="Arial" w:eastAsia="Calibri" w:hAnsi="Arial" w:cs="Arial"/>
          <w:szCs w:val="22"/>
        </w:rPr>
      </w:pPr>
      <w:r w:rsidRPr="00A71D3E">
        <w:rPr>
          <w:rFonts w:ascii="Arial" w:eastAsia="Calibri" w:hAnsi="Arial" w:cs="Arial"/>
          <w:szCs w:val="22"/>
        </w:rPr>
        <w:t>Data were collected using a standardized, pre-piloted questionnaire administered by a clinician to ensure consistency. The questionnaire captured socio-demographic data, ocular and medical history, detailed contact lens wear history (including motivation, wearing schedule, and replacement frequency), and self-reported hygiene practices.</w:t>
      </w:r>
    </w:p>
    <w:p w14:paraId="6A5E0262" w14:textId="77777777" w:rsidR="00A71D3E" w:rsidRPr="00A71D3E" w:rsidRDefault="00A71D3E" w:rsidP="00A71D3E">
      <w:pPr>
        <w:pStyle w:val="Body"/>
        <w:spacing w:after="0"/>
        <w:rPr>
          <w:rFonts w:ascii="Arial" w:eastAsia="Calibri" w:hAnsi="Arial" w:cs="Arial"/>
          <w:szCs w:val="22"/>
        </w:rPr>
      </w:pPr>
      <w:r w:rsidRPr="00A71D3E">
        <w:rPr>
          <w:rFonts w:ascii="Arial" w:eastAsia="Calibri" w:hAnsi="Arial" w:cs="Arial"/>
          <w:szCs w:val="22"/>
        </w:rPr>
        <w:t xml:space="preserve">Hygiene compliance was determined through a composite score based on self-reported adherence to seven key practices: hand washing before handling, use of recommended solution, avoidance of tap water, proper case cleaning, regular case replacement, avoidance of overnight wear, and adherence to lens replacement schedule. Participants reporting </w:t>
      </w:r>
      <w:r w:rsidRPr="00A71D3E">
        <w:rPr>
          <w:rFonts w:ascii="Arial" w:eastAsia="Calibri" w:hAnsi="Arial" w:cs="Arial"/>
          <w:szCs w:val="22"/>
        </w:rPr>
        <w:lastRenderedPageBreak/>
        <w:t>adherence to five or more practices were classified as having "good hygiene"; all others were classified as "poor hygiene."</w:t>
      </w:r>
    </w:p>
    <w:p w14:paraId="338E53ED" w14:textId="77777777" w:rsidR="00A71D3E" w:rsidRPr="00A71D3E" w:rsidRDefault="00A71D3E" w:rsidP="00A71D3E">
      <w:pPr>
        <w:pStyle w:val="Body"/>
        <w:spacing w:after="0"/>
        <w:rPr>
          <w:rFonts w:ascii="Arial" w:eastAsia="Calibri" w:hAnsi="Arial" w:cs="Arial"/>
          <w:szCs w:val="22"/>
        </w:rPr>
      </w:pPr>
      <w:r w:rsidRPr="00A71D3E">
        <w:rPr>
          <w:rFonts w:ascii="Arial" w:eastAsia="Calibri" w:hAnsi="Arial" w:cs="Arial"/>
          <w:szCs w:val="22"/>
        </w:rPr>
        <w:t>A comprehensive ophthalmological examination was performed on all participants, including:</w:t>
      </w:r>
    </w:p>
    <w:p w14:paraId="67C2916B" w14:textId="77777777" w:rsidR="00A71D3E" w:rsidRDefault="00A71D3E" w:rsidP="008B7FFA">
      <w:pPr>
        <w:pStyle w:val="Body"/>
        <w:spacing w:after="0"/>
        <w:rPr>
          <w:rFonts w:ascii="Arial" w:eastAsia="Calibri" w:hAnsi="Arial" w:cs="Arial"/>
          <w:szCs w:val="22"/>
        </w:rPr>
      </w:pPr>
    </w:p>
    <w:p w14:paraId="5B61E45C" w14:textId="00DE13BF" w:rsidR="008B7FFA" w:rsidRPr="008B7FFA" w:rsidRDefault="00A71D3E" w:rsidP="008B7FFA">
      <w:pPr>
        <w:pStyle w:val="Body"/>
        <w:spacing w:after="0"/>
        <w:rPr>
          <w:rFonts w:ascii="Arial" w:eastAsia="Calibri" w:hAnsi="Arial" w:cs="Arial"/>
          <w:b/>
          <w:bCs/>
          <w:i/>
          <w:iCs/>
          <w:szCs w:val="22"/>
        </w:rPr>
      </w:pPr>
      <w:r>
        <w:rPr>
          <w:rFonts w:ascii="Arial" w:eastAsia="Calibri" w:hAnsi="Arial" w:cs="Arial"/>
          <w:b/>
          <w:bCs/>
          <w:i/>
          <w:iCs/>
          <w:szCs w:val="22"/>
        </w:rPr>
        <w:t>1</w:t>
      </w:r>
      <w:r w:rsidR="008B7FFA" w:rsidRPr="008B7FFA">
        <w:rPr>
          <w:rFonts w:ascii="Arial" w:eastAsia="Calibri" w:hAnsi="Arial" w:cs="Arial"/>
          <w:b/>
          <w:bCs/>
          <w:i/>
          <w:iCs/>
          <w:szCs w:val="22"/>
        </w:rPr>
        <w:t>. Ocular biometry</w:t>
      </w:r>
    </w:p>
    <w:p w14:paraId="558276F6" w14:textId="77777777" w:rsidR="008B7FFA" w:rsidRPr="008B7FFA" w:rsidRDefault="008B7FFA" w:rsidP="008B7FFA">
      <w:pPr>
        <w:pStyle w:val="Body"/>
        <w:spacing w:after="0"/>
        <w:rPr>
          <w:rFonts w:ascii="Arial" w:eastAsia="Calibri" w:hAnsi="Arial" w:cs="Arial"/>
          <w:szCs w:val="22"/>
        </w:rPr>
      </w:pPr>
      <w:r w:rsidRPr="008B7FFA">
        <w:rPr>
          <w:rFonts w:ascii="Arial" w:eastAsia="Calibri" w:hAnsi="Arial" w:cs="Arial"/>
          <w:szCs w:val="22"/>
        </w:rPr>
        <w:t xml:space="preserve">Examinations included measurement of horizontal and vertical visible iris diameters, corneal diameter, palpebral aperture, </w:t>
      </w:r>
      <w:proofErr w:type="spellStart"/>
      <w:r w:rsidRPr="008B7FFA">
        <w:rPr>
          <w:rFonts w:ascii="Arial" w:eastAsia="Calibri" w:hAnsi="Arial" w:cs="Arial"/>
          <w:szCs w:val="22"/>
        </w:rPr>
        <w:t>sclero</w:t>
      </w:r>
      <w:proofErr w:type="spellEnd"/>
      <w:r w:rsidRPr="008B7FFA">
        <w:rPr>
          <w:rFonts w:ascii="Arial" w:eastAsia="Calibri" w:hAnsi="Arial" w:cs="Arial"/>
          <w:szCs w:val="22"/>
        </w:rPr>
        <w:t>-corneal profile, eyelid tone, blink frequency, and blink amplitude (complete vs. incomplete).</w:t>
      </w:r>
    </w:p>
    <w:p w14:paraId="091A9788" w14:textId="6D10CA51" w:rsidR="008B7FFA" w:rsidRPr="008B7FFA" w:rsidRDefault="00A71D3E" w:rsidP="008B7FFA">
      <w:pPr>
        <w:pStyle w:val="Body"/>
        <w:spacing w:after="0"/>
        <w:rPr>
          <w:rFonts w:ascii="Arial" w:eastAsia="Calibri" w:hAnsi="Arial" w:cs="Arial"/>
          <w:b/>
          <w:bCs/>
          <w:i/>
          <w:iCs/>
          <w:szCs w:val="22"/>
        </w:rPr>
      </w:pPr>
      <w:r>
        <w:rPr>
          <w:rFonts w:ascii="Arial" w:eastAsia="Calibri" w:hAnsi="Arial" w:cs="Arial"/>
          <w:b/>
          <w:bCs/>
          <w:i/>
          <w:iCs/>
          <w:szCs w:val="22"/>
        </w:rPr>
        <w:t>2</w:t>
      </w:r>
      <w:r w:rsidR="008B7FFA" w:rsidRPr="008B7FFA">
        <w:rPr>
          <w:rFonts w:ascii="Arial" w:eastAsia="Calibri" w:hAnsi="Arial" w:cs="Arial"/>
          <w:b/>
          <w:bCs/>
          <w:i/>
          <w:iCs/>
          <w:szCs w:val="22"/>
        </w:rPr>
        <w:t>. Keratometry</w:t>
      </w:r>
    </w:p>
    <w:p w14:paraId="5C33FFEA" w14:textId="77777777" w:rsidR="008B7FFA" w:rsidRPr="008B7FFA" w:rsidRDefault="008B7FFA" w:rsidP="008B7FFA">
      <w:pPr>
        <w:pStyle w:val="Body"/>
        <w:spacing w:after="0"/>
        <w:rPr>
          <w:rFonts w:ascii="Arial" w:eastAsia="Calibri" w:hAnsi="Arial" w:cs="Arial"/>
          <w:szCs w:val="22"/>
        </w:rPr>
      </w:pPr>
      <w:r w:rsidRPr="008B7FFA">
        <w:rPr>
          <w:rFonts w:ascii="Arial" w:eastAsia="Calibri" w:hAnsi="Arial" w:cs="Arial"/>
          <w:szCs w:val="22"/>
        </w:rPr>
        <w:t xml:space="preserve">Corneal curvature was measured using an automated </w:t>
      </w:r>
      <w:proofErr w:type="spellStart"/>
      <w:r w:rsidRPr="008B7FFA">
        <w:rPr>
          <w:rFonts w:ascii="Arial" w:eastAsia="Calibri" w:hAnsi="Arial" w:cs="Arial"/>
          <w:szCs w:val="22"/>
        </w:rPr>
        <w:t>autorefractokeratometer</w:t>
      </w:r>
      <w:proofErr w:type="spellEnd"/>
      <w:r w:rsidRPr="008B7FFA">
        <w:rPr>
          <w:rFonts w:ascii="Arial" w:eastAsia="Calibri" w:hAnsi="Arial" w:cs="Arial"/>
          <w:szCs w:val="22"/>
        </w:rPr>
        <w:t>.</w:t>
      </w:r>
    </w:p>
    <w:p w14:paraId="51EDA719" w14:textId="66F25AE6" w:rsidR="008B7FFA" w:rsidRPr="008B7FFA" w:rsidRDefault="00A71D3E" w:rsidP="008B7FFA">
      <w:pPr>
        <w:pStyle w:val="Body"/>
        <w:spacing w:after="0"/>
        <w:rPr>
          <w:rFonts w:ascii="Arial" w:eastAsia="Calibri" w:hAnsi="Arial" w:cs="Arial"/>
          <w:b/>
          <w:bCs/>
          <w:i/>
          <w:iCs/>
          <w:szCs w:val="22"/>
        </w:rPr>
      </w:pPr>
      <w:r>
        <w:rPr>
          <w:rFonts w:ascii="Arial" w:eastAsia="Calibri" w:hAnsi="Arial" w:cs="Arial"/>
          <w:b/>
          <w:bCs/>
          <w:i/>
          <w:iCs/>
          <w:szCs w:val="22"/>
        </w:rPr>
        <w:t>3</w:t>
      </w:r>
      <w:r w:rsidR="008B7FFA" w:rsidRPr="008B7FFA">
        <w:rPr>
          <w:rFonts w:ascii="Arial" w:eastAsia="Calibri" w:hAnsi="Arial" w:cs="Arial"/>
          <w:b/>
          <w:bCs/>
          <w:i/>
          <w:iCs/>
          <w:szCs w:val="22"/>
        </w:rPr>
        <w:t>. Visual acuity</w:t>
      </w:r>
    </w:p>
    <w:p w14:paraId="46DD16CE" w14:textId="77777777" w:rsidR="00622662" w:rsidRDefault="00622662" w:rsidP="00622662">
      <w:pPr>
        <w:pStyle w:val="Body"/>
        <w:rPr>
          <w:rFonts w:ascii="Arial" w:eastAsia="Calibri" w:hAnsi="Arial" w:cs="Arial"/>
          <w:szCs w:val="22"/>
        </w:rPr>
      </w:pPr>
      <w:r w:rsidRPr="00622662">
        <w:rPr>
          <w:rFonts w:ascii="Arial" w:eastAsia="Calibri" w:hAnsi="Arial" w:cs="Arial"/>
          <w:szCs w:val="22"/>
        </w:rPr>
        <w:t xml:space="preserve">Monocular and binocular distance visual acuity was assessed using a Snellen chart and converted to </w:t>
      </w:r>
      <w:proofErr w:type="spellStart"/>
      <w:r w:rsidRPr="00622662">
        <w:rPr>
          <w:rFonts w:ascii="Arial" w:eastAsia="Calibri" w:hAnsi="Arial" w:cs="Arial"/>
          <w:szCs w:val="22"/>
        </w:rPr>
        <w:t>logMAR</w:t>
      </w:r>
      <w:proofErr w:type="spellEnd"/>
      <w:r w:rsidRPr="00622662">
        <w:rPr>
          <w:rFonts w:ascii="Arial" w:eastAsia="Calibri" w:hAnsi="Arial" w:cs="Arial"/>
          <w:szCs w:val="22"/>
        </w:rPr>
        <w:t xml:space="preserve"> for analysis. Near vision was assessed using a standardized reading chart.</w:t>
      </w:r>
    </w:p>
    <w:p w14:paraId="47AA8668" w14:textId="69B3985A" w:rsidR="008B7FFA" w:rsidRPr="00A71D3E" w:rsidRDefault="00A71D3E" w:rsidP="00622662">
      <w:pPr>
        <w:pStyle w:val="Body"/>
        <w:rPr>
          <w:rFonts w:ascii="Arial" w:eastAsia="Calibri" w:hAnsi="Arial" w:cs="Arial"/>
          <w:b/>
          <w:bCs/>
          <w:i/>
          <w:iCs/>
          <w:szCs w:val="22"/>
        </w:rPr>
      </w:pPr>
      <w:r>
        <w:rPr>
          <w:rFonts w:ascii="Arial" w:eastAsia="Calibri" w:hAnsi="Arial" w:cs="Arial"/>
          <w:b/>
          <w:bCs/>
          <w:szCs w:val="22"/>
        </w:rPr>
        <w:t>4</w:t>
      </w:r>
      <w:r w:rsidR="008B7FFA" w:rsidRPr="00A71D3E">
        <w:rPr>
          <w:rFonts w:ascii="Arial" w:eastAsia="Calibri" w:hAnsi="Arial" w:cs="Arial"/>
          <w:b/>
          <w:bCs/>
          <w:i/>
          <w:iCs/>
          <w:szCs w:val="22"/>
        </w:rPr>
        <w:t>. Tear film evaluation</w:t>
      </w:r>
    </w:p>
    <w:p w14:paraId="73F31D2B" w14:textId="609CE8F4" w:rsidR="008B7FFA" w:rsidRPr="008B7FFA" w:rsidRDefault="008B7FFA" w:rsidP="008B7FFA">
      <w:pPr>
        <w:pStyle w:val="Body"/>
        <w:numPr>
          <w:ilvl w:val="0"/>
          <w:numId w:val="35"/>
        </w:numPr>
        <w:spacing w:after="0"/>
        <w:rPr>
          <w:rFonts w:ascii="Arial" w:eastAsia="Calibri" w:hAnsi="Arial" w:cs="Arial"/>
          <w:szCs w:val="22"/>
        </w:rPr>
      </w:pPr>
      <w:r w:rsidRPr="008B7FFA">
        <w:rPr>
          <w:rFonts w:ascii="Arial" w:eastAsia="Calibri" w:hAnsi="Arial" w:cs="Arial"/>
          <w:b/>
          <w:bCs/>
          <w:szCs w:val="22"/>
        </w:rPr>
        <w:t>Quantitative assessment (</w:t>
      </w:r>
      <w:r w:rsidR="00EA5438" w:rsidRPr="008B7FFA">
        <w:rPr>
          <w:rFonts w:ascii="Arial" w:eastAsia="Calibri" w:hAnsi="Arial" w:cs="Arial"/>
          <w:b/>
          <w:bCs/>
          <w:szCs w:val="22"/>
        </w:rPr>
        <w:t>Schirmer</w:t>
      </w:r>
      <w:r w:rsidRPr="008B7FFA">
        <w:rPr>
          <w:rFonts w:ascii="Arial" w:eastAsia="Calibri" w:hAnsi="Arial" w:cs="Arial"/>
          <w:b/>
          <w:bCs/>
          <w:szCs w:val="22"/>
        </w:rPr>
        <w:t xml:space="preserve"> test):</w:t>
      </w:r>
      <w:r w:rsidRPr="008B7FFA">
        <w:rPr>
          <w:rFonts w:ascii="Arial" w:eastAsia="Calibri" w:hAnsi="Arial" w:cs="Arial"/>
          <w:szCs w:val="22"/>
        </w:rPr>
        <w:t xml:space="preserve"> performed without topical anesthesia. A standardized strip was inserted into the lateral third of the lower eyelid, and the wetted length was measured after 3 minutes.</w:t>
      </w:r>
    </w:p>
    <w:p w14:paraId="50B2EF35" w14:textId="77777777" w:rsidR="008B7FFA" w:rsidRPr="008B7FFA" w:rsidRDefault="008B7FFA" w:rsidP="008B7FFA">
      <w:pPr>
        <w:pStyle w:val="Body"/>
        <w:numPr>
          <w:ilvl w:val="0"/>
          <w:numId w:val="35"/>
        </w:numPr>
        <w:spacing w:after="0"/>
        <w:rPr>
          <w:rFonts w:ascii="Arial" w:eastAsia="Calibri" w:hAnsi="Arial" w:cs="Arial"/>
          <w:szCs w:val="22"/>
          <w:lang w:val="fr-FR"/>
        </w:rPr>
      </w:pPr>
      <w:r w:rsidRPr="008B7FFA">
        <w:rPr>
          <w:rFonts w:ascii="Arial" w:eastAsia="Calibri" w:hAnsi="Arial" w:cs="Arial"/>
          <w:b/>
          <w:bCs/>
          <w:szCs w:val="22"/>
        </w:rPr>
        <w:t>Qualitative assessment (tear break-up time, TBUT):</w:t>
      </w:r>
      <w:r w:rsidRPr="008B7FFA">
        <w:rPr>
          <w:rFonts w:ascii="Arial" w:eastAsia="Calibri" w:hAnsi="Arial" w:cs="Arial"/>
          <w:szCs w:val="22"/>
        </w:rPr>
        <w:t xml:space="preserve"> following fluorescein instillation, the interval between the last blink and the first appearance of a dry spot was recorded. </w:t>
      </w:r>
      <w:r w:rsidRPr="008B7FFA">
        <w:rPr>
          <w:rFonts w:ascii="Arial" w:eastAsia="Calibri" w:hAnsi="Arial" w:cs="Arial"/>
          <w:szCs w:val="22"/>
          <w:lang w:val="fr-FR"/>
        </w:rPr>
        <w:t xml:space="preserve">A TBUT of ≥10 seconds </w:t>
      </w:r>
      <w:proofErr w:type="spellStart"/>
      <w:r w:rsidRPr="008B7FFA">
        <w:rPr>
          <w:rFonts w:ascii="Arial" w:eastAsia="Calibri" w:hAnsi="Arial" w:cs="Arial"/>
          <w:szCs w:val="22"/>
          <w:lang w:val="fr-FR"/>
        </w:rPr>
        <w:t>was</w:t>
      </w:r>
      <w:proofErr w:type="spellEnd"/>
      <w:r w:rsidRPr="008B7FFA">
        <w:rPr>
          <w:rFonts w:ascii="Arial" w:eastAsia="Calibri" w:hAnsi="Arial" w:cs="Arial"/>
          <w:szCs w:val="22"/>
          <w:lang w:val="fr-FR"/>
        </w:rPr>
        <w:t xml:space="preserve"> </w:t>
      </w:r>
      <w:proofErr w:type="spellStart"/>
      <w:r w:rsidRPr="008B7FFA">
        <w:rPr>
          <w:rFonts w:ascii="Arial" w:eastAsia="Calibri" w:hAnsi="Arial" w:cs="Arial"/>
          <w:szCs w:val="22"/>
          <w:lang w:val="fr-FR"/>
        </w:rPr>
        <w:t>considered</w:t>
      </w:r>
      <w:proofErr w:type="spellEnd"/>
      <w:r w:rsidRPr="008B7FFA">
        <w:rPr>
          <w:rFonts w:ascii="Arial" w:eastAsia="Calibri" w:hAnsi="Arial" w:cs="Arial"/>
          <w:szCs w:val="22"/>
          <w:lang w:val="fr-FR"/>
        </w:rPr>
        <w:t xml:space="preserve"> normal.</w:t>
      </w:r>
    </w:p>
    <w:p w14:paraId="7B8FB65E" w14:textId="5AD62240" w:rsidR="008B7FFA" w:rsidRPr="008B7FFA" w:rsidRDefault="00A71D3E" w:rsidP="008B7FFA">
      <w:pPr>
        <w:pStyle w:val="Body"/>
        <w:spacing w:after="0"/>
        <w:rPr>
          <w:rFonts w:ascii="Arial" w:eastAsia="Calibri" w:hAnsi="Arial" w:cs="Arial"/>
          <w:b/>
          <w:bCs/>
          <w:i/>
          <w:iCs/>
          <w:szCs w:val="22"/>
          <w:lang w:val="fr-FR"/>
        </w:rPr>
      </w:pPr>
      <w:r>
        <w:rPr>
          <w:rFonts w:ascii="Arial" w:eastAsia="Calibri" w:hAnsi="Arial" w:cs="Arial"/>
          <w:b/>
          <w:bCs/>
          <w:i/>
          <w:iCs/>
          <w:szCs w:val="22"/>
          <w:lang w:val="fr-FR"/>
        </w:rPr>
        <w:t>5</w:t>
      </w:r>
      <w:r w:rsidR="008B7FFA" w:rsidRPr="008B7FFA">
        <w:rPr>
          <w:rFonts w:ascii="Arial" w:eastAsia="Calibri" w:hAnsi="Arial" w:cs="Arial"/>
          <w:b/>
          <w:bCs/>
          <w:i/>
          <w:iCs/>
          <w:szCs w:val="22"/>
          <w:lang w:val="fr-FR"/>
        </w:rPr>
        <w:t xml:space="preserve">. </w:t>
      </w:r>
      <w:proofErr w:type="spellStart"/>
      <w:r w:rsidR="008B7FFA" w:rsidRPr="008B7FFA">
        <w:rPr>
          <w:rFonts w:ascii="Arial" w:eastAsia="Calibri" w:hAnsi="Arial" w:cs="Arial"/>
          <w:b/>
          <w:bCs/>
          <w:i/>
          <w:iCs/>
          <w:szCs w:val="22"/>
          <w:lang w:val="fr-FR"/>
        </w:rPr>
        <w:t>Slit-lamp</w:t>
      </w:r>
      <w:proofErr w:type="spellEnd"/>
      <w:r w:rsidR="008B7FFA" w:rsidRPr="008B7FFA">
        <w:rPr>
          <w:rFonts w:ascii="Arial" w:eastAsia="Calibri" w:hAnsi="Arial" w:cs="Arial"/>
          <w:b/>
          <w:bCs/>
          <w:i/>
          <w:iCs/>
          <w:szCs w:val="22"/>
          <w:lang w:val="fr-FR"/>
        </w:rPr>
        <w:t xml:space="preserve"> </w:t>
      </w:r>
      <w:proofErr w:type="spellStart"/>
      <w:r w:rsidR="008B7FFA" w:rsidRPr="008B7FFA">
        <w:rPr>
          <w:rFonts w:ascii="Arial" w:eastAsia="Calibri" w:hAnsi="Arial" w:cs="Arial"/>
          <w:b/>
          <w:bCs/>
          <w:i/>
          <w:iCs/>
          <w:szCs w:val="22"/>
          <w:lang w:val="fr-FR"/>
        </w:rPr>
        <w:t>examination</w:t>
      </w:r>
      <w:proofErr w:type="spellEnd"/>
    </w:p>
    <w:p w14:paraId="5354267D" w14:textId="77777777" w:rsidR="008B7FFA" w:rsidRPr="008B7FFA" w:rsidRDefault="008B7FFA" w:rsidP="008B7FFA">
      <w:pPr>
        <w:pStyle w:val="Body"/>
        <w:spacing w:after="0"/>
        <w:rPr>
          <w:rFonts w:ascii="Arial" w:eastAsia="Calibri" w:hAnsi="Arial" w:cs="Arial"/>
          <w:szCs w:val="22"/>
        </w:rPr>
      </w:pPr>
      <w:r w:rsidRPr="008B7FFA">
        <w:rPr>
          <w:rFonts w:ascii="Arial" w:eastAsia="Calibri" w:hAnsi="Arial" w:cs="Arial"/>
          <w:szCs w:val="22"/>
        </w:rPr>
        <w:t>All subjects underwent a detailed anterior segment examination, including:</w:t>
      </w:r>
    </w:p>
    <w:p w14:paraId="5E556A71" w14:textId="77777777" w:rsidR="008B7FFA" w:rsidRPr="008B7FFA" w:rsidRDefault="008B7FFA" w:rsidP="008B7FFA">
      <w:pPr>
        <w:pStyle w:val="Body"/>
        <w:numPr>
          <w:ilvl w:val="0"/>
          <w:numId w:val="36"/>
        </w:numPr>
        <w:spacing w:after="0"/>
        <w:rPr>
          <w:rFonts w:ascii="Arial" w:eastAsia="Calibri" w:hAnsi="Arial" w:cs="Arial"/>
          <w:szCs w:val="22"/>
        </w:rPr>
      </w:pPr>
      <w:r w:rsidRPr="008B7FFA">
        <w:rPr>
          <w:rFonts w:ascii="Arial" w:eastAsia="Calibri" w:hAnsi="Arial" w:cs="Arial"/>
          <w:b/>
          <w:bCs/>
          <w:szCs w:val="22"/>
        </w:rPr>
        <w:t>Eyelids:</w:t>
      </w:r>
      <w:r w:rsidRPr="008B7FFA">
        <w:rPr>
          <w:rFonts w:ascii="Arial" w:eastAsia="Calibri" w:hAnsi="Arial" w:cs="Arial"/>
          <w:szCs w:val="22"/>
        </w:rPr>
        <w:t xml:space="preserve"> evaluation of lid margins, puncta, eyelashes, Meibomian glands, and tarsal conjunctiva (inflammatory, cicatricial, or tumoral changes; papillae; follicles).</w:t>
      </w:r>
    </w:p>
    <w:p w14:paraId="0DE15383" w14:textId="77777777" w:rsidR="008B7FFA" w:rsidRPr="008B7FFA" w:rsidRDefault="008B7FFA" w:rsidP="008B7FFA">
      <w:pPr>
        <w:pStyle w:val="Body"/>
        <w:numPr>
          <w:ilvl w:val="0"/>
          <w:numId w:val="36"/>
        </w:numPr>
        <w:spacing w:after="0"/>
        <w:rPr>
          <w:rFonts w:ascii="Arial" w:eastAsia="Calibri" w:hAnsi="Arial" w:cs="Arial"/>
          <w:szCs w:val="22"/>
        </w:rPr>
      </w:pPr>
      <w:r w:rsidRPr="008B7FFA">
        <w:rPr>
          <w:rFonts w:ascii="Arial" w:eastAsia="Calibri" w:hAnsi="Arial" w:cs="Arial"/>
          <w:b/>
          <w:bCs/>
          <w:szCs w:val="22"/>
        </w:rPr>
        <w:t>Anterior segment:</w:t>
      </w:r>
      <w:r w:rsidRPr="008B7FFA">
        <w:rPr>
          <w:rFonts w:ascii="Arial" w:eastAsia="Calibri" w:hAnsi="Arial" w:cs="Arial"/>
          <w:szCs w:val="22"/>
        </w:rPr>
        <w:t xml:space="preserve"> corneal integrity (scars, keratitis, opacities, limbal changes) and conjunctival hyperemia or signs of hypoxia.</w:t>
      </w:r>
    </w:p>
    <w:p w14:paraId="184D6FA1" w14:textId="77777777" w:rsidR="008B7FFA" w:rsidRPr="008B7FFA" w:rsidRDefault="008B7FFA" w:rsidP="008B7FFA">
      <w:pPr>
        <w:pStyle w:val="Body"/>
        <w:numPr>
          <w:ilvl w:val="0"/>
          <w:numId w:val="36"/>
        </w:numPr>
        <w:spacing w:after="0"/>
        <w:rPr>
          <w:rFonts w:ascii="Arial" w:eastAsia="Calibri" w:hAnsi="Arial" w:cs="Arial"/>
          <w:szCs w:val="22"/>
        </w:rPr>
      </w:pPr>
      <w:r w:rsidRPr="008B7FFA">
        <w:rPr>
          <w:rFonts w:ascii="Arial" w:eastAsia="Calibri" w:hAnsi="Arial" w:cs="Arial"/>
          <w:b/>
          <w:bCs/>
          <w:szCs w:val="22"/>
        </w:rPr>
        <w:t>Lens fit assessment:</w:t>
      </w:r>
      <w:r w:rsidRPr="008B7FFA">
        <w:rPr>
          <w:rFonts w:ascii="Arial" w:eastAsia="Calibri" w:hAnsi="Arial" w:cs="Arial"/>
          <w:szCs w:val="22"/>
        </w:rPr>
        <w:t xml:space="preserve"> centration, mobility, resting position, and push-up test, as well as lens surface integrity (scratches, deposits).</w:t>
      </w:r>
    </w:p>
    <w:p w14:paraId="6DC03F50" w14:textId="77777777" w:rsidR="008B7FFA" w:rsidRPr="008B7FFA" w:rsidRDefault="008B7FFA" w:rsidP="008B7FFA">
      <w:pPr>
        <w:pStyle w:val="Body"/>
        <w:numPr>
          <w:ilvl w:val="0"/>
          <w:numId w:val="36"/>
        </w:numPr>
        <w:spacing w:after="0"/>
        <w:rPr>
          <w:rFonts w:ascii="Arial" w:eastAsia="Calibri" w:hAnsi="Arial" w:cs="Arial"/>
          <w:szCs w:val="22"/>
          <w:lang w:val="fr-FR"/>
        </w:rPr>
      </w:pPr>
      <w:proofErr w:type="spellStart"/>
      <w:r w:rsidRPr="008B7FFA">
        <w:rPr>
          <w:rFonts w:ascii="Arial" w:eastAsia="Calibri" w:hAnsi="Arial" w:cs="Arial"/>
          <w:b/>
          <w:bCs/>
          <w:szCs w:val="22"/>
          <w:lang w:val="fr-FR"/>
        </w:rPr>
        <w:t>Intraocular</w:t>
      </w:r>
      <w:proofErr w:type="spellEnd"/>
      <w:r w:rsidRPr="008B7FFA">
        <w:rPr>
          <w:rFonts w:ascii="Arial" w:eastAsia="Calibri" w:hAnsi="Arial" w:cs="Arial"/>
          <w:b/>
          <w:bCs/>
          <w:szCs w:val="22"/>
          <w:lang w:val="fr-FR"/>
        </w:rPr>
        <w:t xml:space="preserve"> pressure</w:t>
      </w:r>
      <w:r w:rsidRPr="008B7FFA">
        <w:rPr>
          <w:rFonts w:ascii="Arial" w:eastAsia="Calibri" w:hAnsi="Arial" w:cs="Arial"/>
          <w:szCs w:val="22"/>
          <w:lang w:val="fr-FR"/>
        </w:rPr>
        <w:t xml:space="preserve"> </w:t>
      </w:r>
      <w:proofErr w:type="spellStart"/>
      <w:r w:rsidRPr="008B7FFA">
        <w:rPr>
          <w:rFonts w:ascii="Arial" w:eastAsia="Calibri" w:hAnsi="Arial" w:cs="Arial"/>
          <w:szCs w:val="22"/>
          <w:lang w:val="fr-FR"/>
        </w:rPr>
        <w:t>measurement</w:t>
      </w:r>
      <w:proofErr w:type="spellEnd"/>
      <w:r w:rsidRPr="008B7FFA">
        <w:rPr>
          <w:rFonts w:ascii="Arial" w:eastAsia="Calibri" w:hAnsi="Arial" w:cs="Arial"/>
          <w:szCs w:val="22"/>
          <w:lang w:val="fr-FR"/>
        </w:rPr>
        <w:t>.</w:t>
      </w:r>
    </w:p>
    <w:p w14:paraId="0349D960" w14:textId="77777777" w:rsidR="008B7FFA" w:rsidRPr="008B7FFA" w:rsidRDefault="008B7FFA" w:rsidP="008B7FFA">
      <w:pPr>
        <w:pStyle w:val="Body"/>
        <w:numPr>
          <w:ilvl w:val="0"/>
          <w:numId w:val="36"/>
        </w:numPr>
        <w:spacing w:after="0"/>
        <w:rPr>
          <w:rFonts w:ascii="Arial" w:eastAsia="Calibri" w:hAnsi="Arial" w:cs="Arial"/>
          <w:szCs w:val="22"/>
          <w:lang w:val="fr-FR"/>
        </w:rPr>
      </w:pPr>
      <w:proofErr w:type="spellStart"/>
      <w:r w:rsidRPr="008B7FFA">
        <w:rPr>
          <w:rFonts w:ascii="Arial" w:eastAsia="Calibri" w:hAnsi="Arial" w:cs="Arial"/>
          <w:b/>
          <w:bCs/>
          <w:szCs w:val="22"/>
          <w:lang w:val="fr-FR"/>
        </w:rPr>
        <w:t>Dilated</w:t>
      </w:r>
      <w:proofErr w:type="spellEnd"/>
      <w:r w:rsidRPr="008B7FFA">
        <w:rPr>
          <w:rFonts w:ascii="Arial" w:eastAsia="Calibri" w:hAnsi="Arial" w:cs="Arial"/>
          <w:b/>
          <w:bCs/>
          <w:szCs w:val="22"/>
          <w:lang w:val="fr-FR"/>
        </w:rPr>
        <w:t xml:space="preserve"> fundus </w:t>
      </w:r>
      <w:proofErr w:type="spellStart"/>
      <w:r w:rsidRPr="008B7FFA">
        <w:rPr>
          <w:rFonts w:ascii="Arial" w:eastAsia="Calibri" w:hAnsi="Arial" w:cs="Arial"/>
          <w:b/>
          <w:bCs/>
          <w:szCs w:val="22"/>
          <w:lang w:val="fr-FR"/>
        </w:rPr>
        <w:t>examination</w:t>
      </w:r>
      <w:proofErr w:type="spellEnd"/>
      <w:r w:rsidRPr="008B7FFA">
        <w:rPr>
          <w:rFonts w:ascii="Arial" w:eastAsia="Calibri" w:hAnsi="Arial" w:cs="Arial"/>
          <w:b/>
          <w:bCs/>
          <w:szCs w:val="22"/>
          <w:lang w:val="fr-FR"/>
        </w:rPr>
        <w:t>.</w:t>
      </w:r>
    </w:p>
    <w:p w14:paraId="4324EE59" w14:textId="7AC9D360" w:rsidR="008B7FFA" w:rsidRPr="00A71D3E" w:rsidRDefault="008B7FFA" w:rsidP="008B7FFA">
      <w:pPr>
        <w:pStyle w:val="Body"/>
        <w:spacing w:after="0"/>
        <w:rPr>
          <w:rFonts w:ascii="Arial" w:eastAsia="Calibri" w:hAnsi="Arial" w:cs="Arial"/>
          <w:b/>
          <w:bCs/>
          <w:szCs w:val="22"/>
          <w:lang w:val="fr-FR"/>
        </w:rPr>
      </w:pPr>
      <w:r w:rsidRPr="00A71D3E">
        <w:rPr>
          <w:rFonts w:ascii="Arial" w:eastAsia="Calibri" w:hAnsi="Arial" w:cs="Arial"/>
          <w:b/>
          <w:bCs/>
          <w:szCs w:val="22"/>
          <w:lang w:val="fr-FR"/>
        </w:rPr>
        <w:t>Patient counseling</w:t>
      </w:r>
    </w:p>
    <w:p w14:paraId="7AD8A831" w14:textId="49135AEE" w:rsidR="008B7FFA" w:rsidRPr="008B7FFA" w:rsidRDefault="00A71D3E" w:rsidP="00A71D3E">
      <w:pPr>
        <w:pStyle w:val="Body"/>
        <w:spacing w:after="0"/>
        <w:rPr>
          <w:rFonts w:ascii="Arial" w:eastAsia="Calibri" w:hAnsi="Arial" w:cs="Arial"/>
          <w:szCs w:val="22"/>
        </w:rPr>
      </w:pPr>
      <w:r w:rsidRPr="00A71D3E">
        <w:rPr>
          <w:rFonts w:ascii="Arial" w:eastAsia="Calibri" w:hAnsi="Arial" w:cs="Arial"/>
          <w:szCs w:val="22"/>
        </w:rPr>
        <w:t>Following the examination, all participants received standardized, verbal counseling and a written information sheet detailing correct lens handling, hygiene protocols, and the importance of regular follow-up.</w:t>
      </w:r>
    </w:p>
    <w:p w14:paraId="7B2B5E5E" w14:textId="77777777" w:rsidR="008B7FFA" w:rsidRDefault="008B7FFA" w:rsidP="00441B6F">
      <w:pPr>
        <w:pStyle w:val="Body"/>
        <w:spacing w:after="0"/>
        <w:rPr>
          <w:rFonts w:ascii="Arial" w:eastAsia="Calibri" w:hAnsi="Arial" w:cs="Arial"/>
          <w:szCs w:val="22"/>
        </w:rPr>
      </w:pPr>
    </w:p>
    <w:p w14:paraId="71B9CF01" w14:textId="77777777" w:rsidR="008B7FFA" w:rsidRDefault="008B7FFA" w:rsidP="00441B6F">
      <w:pPr>
        <w:pStyle w:val="Body"/>
        <w:spacing w:after="0"/>
        <w:rPr>
          <w:rFonts w:ascii="Arial" w:eastAsia="Calibri" w:hAnsi="Arial" w:cs="Arial"/>
          <w:szCs w:val="22"/>
        </w:rPr>
      </w:pPr>
    </w:p>
    <w:p w14:paraId="1B854E41" w14:textId="77777777"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RESULTS</w:t>
      </w:r>
    </w:p>
    <w:p w14:paraId="6417DFAA" w14:textId="77777777"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I. Study population characteristics</w:t>
      </w:r>
    </w:p>
    <w:p w14:paraId="02EC649D"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1. Sex</w:t>
      </w:r>
    </w:p>
    <w:p w14:paraId="41DC8512"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All 34 participants in the study were female.</w:t>
      </w:r>
    </w:p>
    <w:p w14:paraId="43E9D98F"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2. Age</w:t>
      </w:r>
    </w:p>
    <w:p w14:paraId="7D4C2181"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The mean age of the participants was 22.7 years (range: 18–30 years).</w:t>
      </w:r>
      <w:r w:rsidRPr="00D50DA3">
        <w:rPr>
          <w:rFonts w:ascii="Arial" w:eastAsia="Calibri" w:hAnsi="Arial" w:cs="Arial"/>
          <w:szCs w:val="22"/>
        </w:rPr>
        <w:br/>
        <w:t xml:space="preserve"> The majority of patients (85%) aged between 18 and 23 years.</w:t>
      </w:r>
    </w:p>
    <w:p w14:paraId="6CAE5AE8" w14:textId="77777777"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II. Clinical data</w:t>
      </w:r>
    </w:p>
    <w:p w14:paraId="77E258A9"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1. Type of ametropia</w:t>
      </w:r>
    </w:p>
    <w:p w14:paraId="41703844"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Overall, the distribution of refractive errors was as follows:</w:t>
      </w:r>
    </w:p>
    <w:p w14:paraId="092B5FB3"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b/>
          <w:bCs/>
          <w:szCs w:val="22"/>
          <w:lang w:val="fr-FR"/>
        </w:rPr>
        <w:t xml:space="preserve">-Simple </w:t>
      </w:r>
      <w:proofErr w:type="spellStart"/>
      <w:r w:rsidRPr="00D50DA3">
        <w:rPr>
          <w:rFonts w:ascii="Arial" w:eastAsia="Calibri" w:hAnsi="Arial" w:cs="Arial"/>
          <w:b/>
          <w:bCs/>
          <w:szCs w:val="22"/>
          <w:lang w:val="fr-FR"/>
        </w:rPr>
        <w:t>myopia</w:t>
      </w:r>
      <w:proofErr w:type="spellEnd"/>
      <w:r w:rsidRPr="00D50DA3">
        <w:rPr>
          <w:rFonts w:ascii="Arial" w:eastAsia="Calibri" w:hAnsi="Arial" w:cs="Arial"/>
          <w:b/>
          <w:bCs/>
          <w:szCs w:val="22"/>
          <w:lang w:val="fr-FR"/>
        </w:rPr>
        <w:t>:</w:t>
      </w:r>
      <w:r w:rsidRPr="00D50DA3">
        <w:rPr>
          <w:rFonts w:ascii="Arial" w:eastAsia="Calibri" w:hAnsi="Arial" w:cs="Arial"/>
          <w:szCs w:val="22"/>
          <w:lang w:val="fr-FR"/>
        </w:rPr>
        <w:t xml:space="preserve"> 5 patients (15%)</w:t>
      </w:r>
    </w:p>
    <w:p w14:paraId="60030515" w14:textId="77777777" w:rsidR="00D50DA3" w:rsidRPr="00D50DA3" w:rsidRDefault="00D50DA3" w:rsidP="00D50DA3">
      <w:pPr>
        <w:pStyle w:val="Body"/>
        <w:numPr>
          <w:ilvl w:val="1"/>
          <w:numId w:val="37"/>
        </w:numPr>
        <w:spacing w:after="0"/>
        <w:rPr>
          <w:rFonts w:ascii="Arial" w:eastAsia="Calibri" w:hAnsi="Arial" w:cs="Arial"/>
          <w:szCs w:val="22"/>
          <w:lang w:val="fr-FR"/>
        </w:rPr>
      </w:pPr>
      <w:r w:rsidRPr="00D50DA3">
        <w:rPr>
          <w:rFonts w:ascii="Arial" w:eastAsia="Calibri" w:hAnsi="Arial" w:cs="Arial"/>
          <w:szCs w:val="22"/>
          <w:lang w:val="fr-FR"/>
        </w:rPr>
        <w:t xml:space="preserve">Low </w:t>
      </w:r>
      <w:proofErr w:type="spellStart"/>
      <w:r w:rsidRPr="00D50DA3">
        <w:rPr>
          <w:rFonts w:ascii="Arial" w:eastAsia="Calibri" w:hAnsi="Arial" w:cs="Arial"/>
          <w:szCs w:val="22"/>
          <w:lang w:val="fr-FR"/>
        </w:rPr>
        <w:t>myopia</w:t>
      </w:r>
      <w:proofErr w:type="spellEnd"/>
      <w:r w:rsidRPr="00D50DA3">
        <w:rPr>
          <w:rFonts w:ascii="Arial" w:eastAsia="Calibri" w:hAnsi="Arial" w:cs="Arial"/>
          <w:szCs w:val="22"/>
          <w:lang w:val="fr-FR"/>
        </w:rPr>
        <w:t>: 3 patients</w:t>
      </w:r>
    </w:p>
    <w:p w14:paraId="6EE6D32A" w14:textId="77777777" w:rsidR="00D50DA3" w:rsidRPr="00D50DA3" w:rsidRDefault="00D50DA3" w:rsidP="00D50DA3">
      <w:pPr>
        <w:pStyle w:val="Body"/>
        <w:numPr>
          <w:ilvl w:val="1"/>
          <w:numId w:val="37"/>
        </w:numPr>
        <w:spacing w:after="0"/>
        <w:rPr>
          <w:rFonts w:ascii="Arial" w:eastAsia="Calibri" w:hAnsi="Arial" w:cs="Arial"/>
          <w:szCs w:val="22"/>
          <w:lang w:val="fr-FR"/>
        </w:rPr>
      </w:pPr>
      <w:proofErr w:type="spellStart"/>
      <w:r w:rsidRPr="00D50DA3">
        <w:rPr>
          <w:rFonts w:ascii="Arial" w:eastAsia="Calibri" w:hAnsi="Arial" w:cs="Arial"/>
          <w:szCs w:val="22"/>
          <w:lang w:val="fr-FR"/>
        </w:rPr>
        <w:t>Moderate</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myopia</w:t>
      </w:r>
      <w:proofErr w:type="spellEnd"/>
      <w:r w:rsidRPr="00D50DA3">
        <w:rPr>
          <w:rFonts w:ascii="Arial" w:eastAsia="Calibri" w:hAnsi="Arial" w:cs="Arial"/>
          <w:szCs w:val="22"/>
          <w:lang w:val="fr-FR"/>
        </w:rPr>
        <w:t>: 2 patients</w:t>
      </w:r>
    </w:p>
    <w:p w14:paraId="283FD89D"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b/>
          <w:bCs/>
          <w:szCs w:val="22"/>
        </w:rPr>
        <w:t>-Myopia associated with astigmatism:</w:t>
      </w:r>
      <w:r w:rsidRPr="00D50DA3">
        <w:rPr>
          <w:rFonts w:ascii="Arial" w:eastAsia="Calibri" w:hAnsi="Arial" w:cs="Arial"/>
          <w:szCs w:val="22"/>
        </w:rPr>
        <w:t xml:space="preserve"> 29 patients (85%)</w:t>
      </w:r>
    </w:p>
    <w:p w14:paraId="3465B74F" w14:textId="77777777" w:rsidR="00D50DA3" w:rsidRPr="00D50DA3" w:rsidRDefault="00D50DA3" w:rsidP="00D50DA3">
      <w:pPr>
        <w:pStyle w:val="Body"/>
        <w:numPr>
          <w:ilvl w:val="1"/>
          <w:numId w:val="37"/>
        </w:numPr>
        <w:spacing w:after="0"/>
        <w:rPr>
          <w:rFonts w:ascii="Arial" w:eastAsia="Calibri" w:hAnsi="Arial" w:cs="Arial"/>
          <w:szCs w:val="22"/>
          <w:lang w:val="fr-FR"/>
        </w:rPr>
      </w:pPr>
      <w:r w:rsidRPr="00D50DA3">
        <w:rPr>
          <w:rFonts w:ascii="Arial" w:eastAsia="Calibri" w:hAnsi="Arial" w:cs="Arial"/>
          <w:szCs w:val="22"/>
          <w:lang w:val="fr-FR"/>
        </w:rPr>
        <w:lastRenderedPageBreak/>
        <w:t xml:space="preserve">Low </w:t>
      </w:r>
      <w:proofErr w:type="spellStart"/>
      <w:r w:rsidRPr="00D50DA3">
        <w:rPr>
          <w:rFonts w:ascii="Arial" w:eastAsia="Calibri" w:hAnsi="Arial" w:cs="Arial"/>
          <w:szCs w:val="22"/>
          <w:lang w:val="fr-FR"/>
        </w:rPr>
        <w:t>astigmatism</w:t>
      </w:r>
      <w:proofErr w:type="spellEnd"/>
      <w:r w:rsidRPr="00D50DA3">
        <w:rPr>
          <w:rFonts w:ascii="Arial" w:eastAsia="Calibri" w:hAnsi="Arial" w:cs="Arial"/>
          <w:szCs w:val="22"/>
          <w:lang w:val="fr-FR"/>
        </w:rPr>
        <w:t>: 18 patients</w:t>
      </w:r>
    </w:p>
    <w:p w14:paraId="3D3614FC" w14:textId="77777777" w:rsidR="00D50DA3" w:rsidRPr="00D50DA3" w:rsidRDefault="00D50DA3" w:rsidP="00D50DA3">
      <w:pPr>
        <w:pStyle w:val="Body"/>
        <w:numPr>
          <w:ilvl w:val="1"/>
          <w:numId w:val="37"/>
        </w:numPr>
        <w:spacing w:after="0"/>
        <w:rPr>
          <w:rFonts w:ascii="Arial" w:eastAsia="Calibri" w:hAnsi="Arial" w:cs="Arial"/>
          <w:szCs w:val="22"/>
          <w:lang w:val="fr-FR"/>
        </w:rPr>
      </w:pPr>
      <w:proofErr w:type="spellStart"/>
      <w:r w:rsidRPr="00D50DA3">
        <w:rPr>
          <w:rFonts w:ascii="Arial" w:eastAsia="Calibri" w:hAnsi="Arial" w:cs="Arial"/>
          <w:szCs w:val="22"/>
          <w:lang w:val="fr-FR"/>
        </w:rPr>
        <w:t>Moderate</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astigmatism</w:t>
      </w:r>
      <w:proofErr w:type="spellEnd"/>
      <w:r w:rsidRPr="00D50DA3">
        <w:rPr>
          <w:rFonts w:ascii="Arial" w:eastAsia="Calibri" w:hAnsi="Arial" w:cs="Arial"/>
          <w:szCs w:val="22"/>
          <w:lang w:val="fr-FR"/>
        </w:rPr>
        <w:t>: 11 patients</w:t>
      </w:r>
    </w:p>
    <w:p w14:paraId="5ECFE5BB"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 xml:space="preserve">Patients with combined myopia and astigmatism exhibited more pronounced functional </w:t>
      </w:r>
    </w:p>
    <w:p w14:paraId="68AD1D22"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symptoms compared with those with simple myopia.</w:t>
      </w:r>
    </w:p>
    <w:p w14:paraId="54439843"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2. Functional symptoms</w:t>
      </w:r>
    </w:p>
    <w:p w14:paraId="4035264B"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 xml:space="preserve">Functional complaints were more frequent and severe among subjects with myopia </w:t>
      </w:r>
    </w:p>
    <w:p w14:paraId="520AF0EC"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combined with astigmatism. Symptoms included blurred vision, asthenopia, and visual</w:t>
      </w:r>
    </w:p>
    <w:p w14:paraId="08C97A3C"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 xml:space="preserve"> fatigue.</w:t>
      </w:r>
    </w:p>
    <w:p w14:paraId="346303E0"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3. Best-corrected visual acuity (BCVA)</w:t>
      </w:r>
    </w:p>
    <w:p w14:paraId="55986511"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Among the 34 patients:</w:t>
      </w:r>
    </w:p>
    <w:p w14:paraId="526A1BF6"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-20 patients (59%) had BCVA ≥ 10/10</w:t>
      </w:r>
    </w:p>
    <w:p w14:paraId="4BBF7D97"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-8 patients (23%) had BCVA between 7/10 and 9/10</w:t>
      </w:r>
    </w:p>
    <w:p w14:paraId="0C41DFCD"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-5 patients (15%) had BCVA between 5/10 and 6/10</w:t>
      </w:r>
    </w:p>
    <w:p w14:paraId="56337C0F"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-1 patient (3%) had BCVA &lt; 5/10</w:t>
      </w:r>
    </w:p>
    <w:p w14:paraId="102B3B52"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4. Professional and daily activities</w:t>
      </w:r>
    </w:p>
    <w:p w14:paraId="658F7388"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-All participants (100%) performed work involving screen use.</w:t>
      </w:r>
    </w:p>
    <w:p w14:paraId="4B5011D4"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-90% engaged in reading or prolonged visual fixation.</w:t>
      </w:r>
    </w:p>
    <w:p w14:paraId="59C8E1A8"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-10% performed night driving.</w:t>
      </w:r>
    </w:p>
    <w:p w14:paraId="0A85DC9A"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-5% were exposed to chemical vapors.</w:t>
      </w:r>
    </w:p>
    <w:p w14:paraId="4C6CA901"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-20% participated in water-based activities.</w:t>
      </w:r>
    </w:p>
    <w:p w14:paraId="7F9C79E1"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5. Daily contact lens wear time</w:t>
      </w:r>
    </w:p>
    <w:p w14:paraId="30FCA9DF" w14:textId="031D2F75" w:rsidR="00D50DA3" w:rsidRPr="00D50DA3" w:rsidRDefault="00D50DA3" w:rsidP="00D50DA3">
      <w:pPr>
        <w:pStyle w:val="Body"/>
        <w:numPr>
          <w:ilvl w:val="0"/>
          <w:numId w:val="41"/>
        </w:numPr>
        <w:spacing w:after="0"/>
        <w:rPr>
          <w:rFonts w:ascii="Arial" w:eastAsia="Calibri" w:hAnsi="Arial" w:cs="Arial"/>
          <w:szCs w:val="22"/>
        </w:rPr>
      </w:pPr>
      <w:r w:rsidRPr="00D50DA3">
        <w:rPr>
          <w:rFonts w:ascii="Arial" w:eastAsia="Calibri" w:hAnsi="Arial" w:cs="Arial"/>
          <w:szCs w:val="22"/>
        </w:rPr>
        <w:t>≥ 12 hours/day: 70% of patients</w:t>
      </w:r>
    </w:p>
    <w:p w14:paraId="680D90AC" w14:textId="0A5294FB" w:rsidR="00D50DA3" w:rsidRPr="00D50DA3" w:rsidRDefault="00D50DA3" w:rsidP="00D50DA3">
      <w:pPr>
        <w:pStyle w:val="Body"/>
        <w:numPr>
          <w:ilvl w:val="0"/>
          <w:numId w:val="41"/>
        </w:numPr>
        <w:spacing w:after="0"/>
        <w:rPr>
          <w:rFonts w:ascii="Arial" w:eastAsia="Calibri" w:hAnsi="Arial" w:cs="Arial"/>
          <w:szCs w:val="22"/>
        </w:rPr>
      </w:pPr>
      <w:r w:rsidRPr="00D50DA3">
        <w:rPr>
          <w:rFonts w:ascii="Arial" w:eastAsia="Calibri" w:hAnsi="Arial" w:cs="Arial"/>
          <w:szCs w:val="22"/>
        </w:rPr>
        <w:t>8–10 hours/day: 25% of patients</w:t>
      </w:r>
    </w:p>
    <w:p w14:paraId="6B740D51" w14:textId="1FFE9189" w:rsidR="00D50DA3" w:rsidRPr="00D50DA3" w:rsidRDefault="00D50DA3" w:rsidP="00D50DA3">
      <w:pPr>
        <w:pStyle w:val="Body"/>
        <w:numPr>
          <w:ilvl w:val="0"/>
          <w:numId w:val="41"/>
        </w:numPr>
        <w:spacing w:after="0"/>
        <w:rPr>
          <w:rFonts w:ascii="Arial" w:eastAsia="Calibri" w:hAnsi="Arial" w:cs="Arial"/>
          <w:szCs w:val="22"/>
        </w:rPr>
      </w:pPr>
      <w:r w:rsidRPr="00D50DA3">
        <w:rPr>
          <w:rFonts w:ascii="Arial" w:eastAsia="Calibri" w:hAnsi="Arial" w:cs="Arial"/>
          <w:szCs w:val="22"/>
        </w:rPr>
        <w:t>≤ 8 hours/day: 5% of patients</w:t>
      </w:r>
    </w:p>
    <w:p w14:paraId="5E2FDFC6"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6. Apparent hygiene habits</w:t>
      </w:r>
    </w:p>
    <w:p w14:paraId="6DA898CD"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-Good hygiene: 50%</w:t>
      </w:r>
    </w:p>
    <w:p w14:paraId="77FAE38F"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-Poor hygiene: 50%</w:t>
      </w:r>
    </w:p>
    <w:p w14:paraId="6EF8E526"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7. Subjective comfort and discomfort</w:t>
      </w:r>
    </w:p>
    <w:p w14:paraId="5D7BDAEA"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-65% of patients reported some degree of subjective discomfort during lens wear.</w:t>
      </w:r>
    </w:p>
    <w:p w14:paraId="738A2370"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-35% reported no discomfort.</w:t>
      </w:r>
    </w:p>
    <w:p w14:paraId="157E7720"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Breakdown of discomfort:</w:t>
      </w:r>
    </w:p>
    <w:p w14:paraId="2FACCEC8" w14:textId="77777777" w:rsidR="00D50DA3" w:rsidRPr="00D50DA3" w:rsidRDefault="00D50DA3" w:rsidP="00D50DA3">
      <w:pPr>
        <w:pStyle w:val="Body"/>
        <w:numPr>
          <w:ilvl w:val="0"/>
          <w:numId w:val="38"/>
        </w:numPr>
        <w:spacing w:after="0"/>
        <w:rPr>
          <w:rFonts w:ascii="Arial" w:eastAsia="Calibri" w:hAnsi="Arial" w:cs="Arial"/>
          <w:szCs w:val="22"/>
          <w:lang w:val="fr-FR"/>
        </w:rPr>
      </w:pPr>
      <w:proofErr w:type="spellStart"/>
      <w:r w:rsidRPr="00D50DA3">
        <w:rPr>
          <w:rFonts w:ascii="Arial" w:eastAsia="Calibri" w:hAnsi="Arial" w:cs="Arial"/>
          <w:szCs w:val="22"/>
          <w:lang w:val="fr-FR"/>
        </w:rPr>
        <w:t>Discomfort</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during</w:t>
      </w:r>
      <w:proofErr w:type="spellEnd"/>
      <w:r w:rsidRPr="00D50DA3">
        <w:rPr>
          <w:rFonts w:ascii="Arial" w:eastAsia="Calibri" w:hAnsi="Arial" w:cs="Arial"/>
          <w:szCs w:val="22"/>
          <w:lang w:val="fr-FR"/>
        </w:rPr>
        <w:t xml:space="preserve"> insertion : 40%</w:t>
      </w:r>
    </w:p>
    <w:p w14:paraId="1385A56D" w14:textId="77777777" w:rsidR="00D50DA3" w:rsidRPr="00D50DA3" w:rsidRDefault="00D50DA3" w:rsidP="00D50DA3">
      <w:pPr>
        <w:pStyle w:val="Body"/>
        <w:numPr>
          <w:ilvl w:val="0"/>
          <w:numId w:val="38"/>
        </w:numPr>
        <w:spacing w:after="0"/>
        <w:rPr>
          <w:rFonts w:ascii="Arial" w:eastAsia="Calibri" w:hAnsi="Arial" w:cs="Arial"/>
          <w:szCs w:val="22"/>
          <w:lang w:val="fr-FR"/>
        </w:rPr>
      </w:pPr>
      <w:proofErr w:type="spellStart"/>
      <w:r w:rsidRPr="00D50DA3">
        <w:rPr>
          <w:rFonts w:ascii="Arial" w:eastAsia="Calibri" w:hAnsi="Arial" w:cs="Arial"/>
          <w:szCs w:val="22"/>
          <w:lang w:val="fr-FR"/>
        </w:rPr>
        <w:t>Discomfort</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during</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removal</w:t>
      </w:r>
      <w:proofErr w:type="spellEnd"/>
      <w:r w:rsidRPr="00D50DA3">
        <w:rPr>
          <w:rFonts w:ascii="Arial" w:eastAsia="Calibri" w:hAnsi="Arial" w:cs="Arial"/>
          <w:szCs w:val="22"/>
          <w:lang w:val="fr-FR"/>
        </w:rPr>
        <w:t>: 35%</w:t>
      </w:r>
    </w:p>
    <w:p w14:paraId="0928071D" w14:textId="77777777" w:rsidR="00D50DA3" w:rsidRPr="00D50DA3" w:rsidRDefault="00D50DA3" w:rsidP="00D50DA3">
      <w:pPr>
        <w:pStyle w:val="Body"/>
        <w:numPr>
          <w:ilvl w:val="0"/>
          <w:numId w:val="38"/>
        </w:numPr>
        <w:spacing w:after="0"/>
        <w:rPr>
          <w:rFonts w:ascii="Arial" w:eastAsia="Calibri" w:hAnsi="Arial" w:cs="Arial"/>
          <w:szCs w:val="22"/>
          <w:lang w:val="fr-FR"/>
        </w:rPr>
      </w:pPr>
      <w:proofErr w:type="spellStart"/>
      <w:r w:rsidRPr="00D50DA3">
        <w:rPr>
          <w:rFonts w:ascii="Arial" w:eastAsia="Calibri" w:hAnsi="Arial" w:cs="Arial"/>
          <w:szCs w:val="22"/>
          <w:lang w:val="fr-FR"/>
        </w:rPr>
        <w:t>Chronic</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discomfort</w:t>
      </w:r>
      <w:proofErr w:type="spellEnd"/>
      <w:r w:rsidRPr="00D50DA3">
        <w:rPr>
          <w:rFonts w:ascii="Arial" w:eastAsia="Calibri" w:hAnsi="Arial" w:cs="Arial"/>
          <w:szCs w:val="22"/>
          <w:lang w:val="fr-FR"/>
        </w:rPr>
        <w:t>: 25%</w:t>
      </w:r>
    </w:p>
    <w:p w14:paraId="5FA5A612" w14:textId="77777777" w:rsidR="00D50DA3" w:rsidRPr="00D50DA3" w:rsidRDefault="00D50DA3" w:rsidP="00D50DA3">
      <w:pPr>
        <w:pStyle w:val="Body"/>
        <w:spacing w:after="0"/>
        <w:rPr>
          <w:rFonts w:ascii="Arial" w:eastAsia="Calibri" w:hAnsi="Arial" w:cs="Arial"/>
          <w:szCs w:val="22"/>
          <w:lang w:val="fr-FR"/>
        </w:rPr>
      </w:pPr>
    </w:p>
    <w:p w14:paraId="70E0E5C4" w14:textId="77777777"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III. Contact Lens Data</w:t>
      </w:r>
    </w:p>
    <w:p w14:paraId="7EDB7940"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1. Characteristics of worn contact lenses</w:t>
      </w:r>
    </w:p>
    <w:p w14:paraId="44C77F91" w14:textId="77777777" w:rsidR="00D50DA3" w:rsidRDefault="00D50DA3" w:rsidP="00D50DA3">
      <w:pPr>
        <w:pStyle w:val="Body"/>
        <w:spacing w:after="0"/>
        <w:rPr>
          <w:rFonts w:ascii="Arial" w:eastAsia="Calibri" w:hAnsi="Arial" w:cs="Arial"/>
          <w:szCs w:val="22"/>
        </w:rPr>
      </w:pPr>
      <w:r w:rsidRPr="00D50DA3">
        <w:rPr>
          <w:rFonts w:ascii="Arial" w:eastAsia="Calibri" w:hAnsi="Arial" w:cs="Arial"/>
          <w:szCs w:val="22"/>
        </w:rPr>
        <w:t>The main characteristics of the contact lenses used by the study participants are summarized in Table 1.</w:t>
      </w:r>
    </w:p>
    <w:p w14:paraId="6BA6031B" w14:textId="77777777" w:rsidR="00D50DA3" w:rsidRDefault="00D50DA3" w:rsidP="00D50DA3">
      <w:pPr>
        <w:pStyle w:val="Body"/>
        <w:spacing w:after="0"/>
        <w:rPr>
          <w:rFonts w:ascii="Arial" w:eastAsia="Calibri" w:hAnsi="Arial" w:cs="Arial"/>
          <w:szCs w:val="22"/>
        </w:rPr>
      </w:pPr>
    </w:p>
    <w:p w14:paraId="70BBE3B8" w14:textId="77777777" w:rsidR="00D50DA3" w:rsidRDefault="00D50DA3" w:rsidP="00D50DA3">
      <w:pPr>
        <w:pStyle w:val="Body"/>
        <w:spacing w:after="0"/>
        <w:rPr>
          <w:rFonts w:ascii="Arial" w:eastAsia="Calibri" w:hAnsi="Arial" w:cs="Arial"/>
          <w:szCs w:val="22"/>
        </w:rPr>
      </w:pPr>
    </w:p>
    <w:p w14:paraId="3D70FD9F" w14:textId="77777777" w:rsidR="00D50DA3" w:rsidRDefault="00D50DA3" w:rsidP="00D50DA3">
      <w:pPr>
        <w:pStyle w:val="Body"/>
        <w:spacing w:after="0"/>
        <w:rPr>
          <w:rFonts w:ascii="Arial" w:eastAsia="Calibri" w:hAnsi="Arial" w:cs="Arial"/>
          <w:szCs w:val="22"/>
        </w:rPr>
      </w:pPr>
    </w:p>
    <w:p w14:paraId="7E6F3392" w14:textId="77777777" w:rsidR="00D50DA3" w:rsidRDefault="00D50DA3" w:rsidP="00D50DA3">
      <w:pPr>
        <w:pStyle w:val="Body"/>
        <w:spacing w:after="0"/>
        <w:rPr>
          <w:rFonts w:ascii="Arial" w:eastAsia="Calibri" w:hAnsi="Arial" w:cs="Arial"/>
          <w:szCs w:val="22"/>
        </w:rPr>
      </w:pPr>
    </w:p>
    <w:p w14:paraId="2FDDB831" w14:textId="77777777" w:rsidR="00D50DA3" w:rsidRDefault="00D50DA3" w:rsidP="00D50DA3">
      <w:pPr>
        <w:pStyle w:val="Body"/>
        <w:spacing w:after="0"/>
        <w:rPr>
          <w:rFonts w:ascii="Arial" w:eastAsia="Calibri" w:hAnsi="Arial" w:cs="Arial"/>
          <w:szCs w:val="22"/>
        </w:rPr>
      </w:pPr>
    </w:p>
    <w:p w14:paraId="78AA150A" w14:textId="77777777" w:rsidR="001A3DF1" w:rsidRDefault="001A3DF1" w:rsidP="00D50DA3">
      <w:pPr>
        <w:pStyle w:val="Body"/>
        <w:spacing w:after="0"/>
        <w:rPr>
          <w:rFonts w:ascii="Arial" w:eastAsia="Calibri" w:hAnsi="Arial" w:cs="Arial"/>
          <w:szCs w:val="22"/>
        </w:rPr>
      </w:pPr>
    </w:p>
    <w:p w14:paraId="115EF798" w14:textId="77777777" w:rsidR="001A3DF1" w:rsidRDefault="001A3DF1" w:rsidP="00D50DA3">
      <w:pPr>
        <w:pStyle w:val="Body"/>
        <w:spacing w:after="0"/>
        <w:rPr>
          <w:rFonts w:ascii="Arial" w:eastAsia="Calibri" w:hAnsi="Arial" w:cs="Arial"/>
          <w:szCs w:val="22"/>
        </w:rPr>
      </w:pPr>
    </w:p>
    <w:p w14:paraId="45B84C53" w14:textId="77777777" w:rsidR="001A3DF1" w:rsidRDefault="001A3DF1" w:rsidP="00D50DA3">
      <w:pPr>
        <w:pStyle w:val="Body"/>
        <w:spacing w:after="0"/>
        <w:rPr>
          <w:rFonts w:ascii="Arial" w:eastAsia="Calibri" w:hAnsi="Arial" w:cs="Arial"/>
          <w:szCs w:val="22"/>
        </w:rPr>
      </w:pPr>
    </w:p>
    <w:p w14:paraId="372A7CE3" w14:textId="77777777" w:rsidR="001A3DF1" w:rsidRDefault="001A3DF1" w:rsidP="00D50DA3">
      <w:pPr>
        <w:pStyle w:val="Body"/>
        <w:spacing w:after="0"/>
        <w:rPr>
          <w:rFonts w:ascii="Arial" w:eastAsia="Calibri" w:hAnsi="Arial" w:cs="Arial"/>
          <w:szCs w:val="22"/>
        </w:rPr>
      </w:pPr>
    </w:p>
    <w:p w14:paraId="216ACA7A" w14:textId="77777777" w:rsidR="001A3DF1" w:rsidRDefault="001A3DF1" w:rsidP="00D50DA3">
      <w:pPr>
        <w:pStyle w:val="Body"/>
        <w:spacing w:after="0"/>
        <w:rPr>
          <w:rFonts w:ascii="Arial" w:eastAsia="Calibri" w:hAnsi="Arial" w:cs="Arial"/>
          <w:szCs w:val="22"/>
        </w:rPr>
      </w:pPr>
    </w:p>
    <w:p w14:paraId="6C10E510" w14:textId="77777777" w:rsidR="00D50DA3" w:rsidRDefault="00D50DA3" w:rsidP="00D50DA3">
      <w:pPr>
        <w:pStyle w:val="Body"/>
        <w:spacing w:after="0"/>
        <w:rPr>
          <w:rFonts w:ascii="Arial" w:eastAsia="Calibri" w:hAnsi="Arial" w:cs="Arial"/>
          <w:szCs w:val="22"/>
        </w:rPr>
      </w:pPr>
    </w:p>
    <w:p w14:paraId="5D49A79B" w14:textId="77777777" w:rsidR="00D50DA3" w:rsidRDefault="00D50DA3" w:rsidP="00D50DA3">
      <w:pPr>
        <w:pStyle w:val="Body"/>
        <w:spacing w:after="0"/>
        <w:rPr>
          <w:rFonts w:ascii="Arial" w:eastAsia="Calibri" w:hAnsi="Arial" w:cs="Arial"/>
          <w:szCs w:val="22"/>
        </w:rPr>
      </w:pPr>
    </w:p>
    <w:p w14:paraId="51336F73" w14:textId="77777777" w:rsidR="00D50DA3" w:rsidRDefault="00D50DA3" w:rsidP="00D50DA3">
      <w:pPr>
        <w:pStyle w:val="Body"/>
        <w:spacing w:after="0"/>
        <w:rPr>
          <w:rFonts w:ascii="Arial" w:eastAsia="Calibri" w:hAnsi="Arial" w:cs="Arial"/>
          <w:szCs w:val="22"/>
        </w:rPr>
      </w:pPr>
    </w:p>
    <w:p w14:paraId="627FCF57" w14:textId="77777777" w:rsidR="00D50DA3" w:rsidRPr="00D50DA3" w:rsidRDefault="00D50DA3" w:rsidP="00D50DA3">
      <w:pPr>
        <w:pStyle w:val="Body"/>
        <w:spacing w:after="0"/>
        <w:rPr>
          <w:rFonts w:ascii="Arial" w:eastAsia="Calibri" w:hAnsi="Arial" w:cs="Arial"/>
          <w:szCs w:val="22"/>
        </w:rPr>
      </w:pPr>
    </w:p>
    <w:p w14:paraId="3475A622"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b/>
          <w:bCs/>
          <w:szCs w:val="22"/>
        </w:rPr>
        <w:lastRenderedPageBreak/>
        <w:t>Table 1: Characteristics of Worn Contact Lenses</w:t>
      </w:r>
    </w:p>
    <w:tbl>
      <w:tblPr>
        <w:tblW w:w="9553" w:type="dxa"/>
        <w:tblCellSpacing w:w="15" w:type="dxa"/>
        <w:tblCellMar>
          <w:top w:w="15" w:type="dxa"/>
          <w:left w:w="15" w:type="dxa"/>
          <w:bottom w:w="15" w:type="dxa"/>
          <w:right w:w="15" w:type="dxa"/>
        </w:tblCellMar>
        <w:tblLook w:val="04A0" w:firstRow="1" w:lastRow="0" w:firstColumn="1" w:lastColumn="0" w:noHBand="0" w:noVBand="1"/>
      </w:tblPr>
      <w:tblGrid>
        <w:gridCol w:w="5819"/>
        <w:gridCol w:w="3734"/>
      </w:tblGrid>
      <w:tr w:rsidR="00D50DA3" w:rsidRPr="00D50DA3" w14:paraId="487C4223" w14:textId="77777777" w:rsidTr="000A6C06">
        <w:trPr>
          <w:trHeight w:val="447"/>
          <w:tblHeader/>
          <w:tblCellSpacing w:w="15" w:type="dxa"/>
        </w:trPr>
        <w:tc>
          <w:tcPr>
            <w:tcW w:w="0" w:type="auto"/>
            <w:vAlign w:val="center"/>
            <w:hideMark/>
          </w:tcPr>
          <w:p w14:paraId="207332A1" w14:textId="77777777" w:rsidR="00D50DA3" w:rsidRPr="00D50DA3" w:rsidRDefault="00D50DA3" w:rsidP="00D50DA3">
            <w:pPr>
              <w:pStyle w:val="Body"/>
              <w:spacing w:after="0"/>
              <w:rPr>
                <w:rFonts w:ascii="Arial" w:eastAsia="Calibri" w:hAnsi="Arial" w:cs="Arial"/>
                <w:b/>
                <w:bCs/>
                <w:szCs w:val="22"/>
                <w:lang w:val="fr-FR"/>
              </w:rPr>
            </w:pPr>
            <w:proofErr w:type="spellStart"/>
            <w:r w:rsidRPr="00D50DA3">
              <w:rPr>
                <w:rFonts w:ascii="Arial" w:eastAsia="Calibri" w:hAnsi="Arial" w:cs="Arial"/>
                <w:b/>
                <w:bCs/>
                <w:szCs w:val="22"/>
                <w:lang w:val="fr-FR"/>
              </w:rPr>
              <w:t>Characteristic</w:t>
            </w:r>
            <w:proofErr w:type="spellEnd"/>
            <w:r w:rsidRPr="00D50DA3">
              <w:rPr>
                <w:rFonts w:ascii="Arial" w:eastAsia="Calibri" w:hAnsi="Arial" w:cs="Arial"/>
                <w:b/>
                <w:bCs/>
                <w:szCs w:val="22"/>
                <w:lang w:val="fr-FR"/>
              </w:rPr>
              <w:t xml:space="preserve">                                             </w:t>
            </w:r>
          </w:p>
        </w:tc>
        <w:tc>
          <w:tcPr>
            <w:tcW w:w="0" w:type="auto"/>
            <w:vAlign w:val="center"/>
            <w:hideMark/>
          </w:tcPr>
          <w:p w14:paraId="7E6A20E1" w14:textId="77777777" w:rsidR="00D50DA3" w:rsidRPr="00D50DA3" w:rsidRDefault="00D50DA3" w:rsidP="00D50DA3">
            <w:pPr>
              <w:pStyle w:val="Body"/>
              <w:spacing w:after="0"/>
              <w:rPr>
                <w:rFonts w:ascii="Arial" w:eastAsia="Calibri" w:hAnsi="Arial" w:cs="Arial"/>
                <w:b/>
                <w:bCs/>
                <w:szCs w:val="22"/>
                <w:lang w:val="fr-FR"/>
              </w:rPr>
            </w:pPr>
            <w:r w:rsidRPr="00D50DA3">
              <w:rPr>
                <w:rFonts w:ascii="Arial" w:eastAsia="Calibri" w:hAnsi="Arial" w:cs="Arial"/>
                <w:b/>
                <w:bCs/>
                <w:szCs w:val="22"/>
                <w:lang w:val="fr-FR"/>
              </w:rPr>
              <w:t>Distribution</w:t>
            </w:r>
          </w:p>
        </w:tc>
      </w:tr>
      <w:tr w:rsidR="00D50DA3" w:rsidRPr="00D50DA3" w14:paraId="6D33104D" w14:textId="77777777" w:rsidTr="000A6C06">
        <w:trPr>
          <w:trHeight w:val="726"/>
          <w:tblCellSpacing w:w="15" w:type="dxa"/>
        </w:trPr>
        <w:tc>
          <w:tcPr>
            <w:tcW w:w="0" w:type="auto"/>
            <w:vAlign w:val="center"/>
            <w:hideMark/>
          </w:tcPr>
          <w:p w14:paraId="62020FDB"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b/>
                <w:bCs/>
                <w:szCs w:val="22"/>
                <w:lang w:val="fr-FR"/>
              </w:rPr>
              <w:t>Material</w:t>
            </w:r>
            <w:proofErr w:type="spellEnd"/>
            <w:r w:rsidRPr="00D50DA3">
              <w:rPr>
                <w:rFonts w:ascii="Arial" w:eastAsia="Calibri" w:hAnsi="Arial" w:cs="Arial"/>
                <w:b/>
                <w:bCs/>
                <w:szCs w:val="22"/>
                <w:lang w:val="fr-FR"/>
              </w:rPr>
              <w:t xml:space="preserve"> type</w:t>
            </w:r>
          </w:p>
        </w:tc>
        <w:tc>
          <w:tcPr>
            <w:tcW w:w="0" w:type="auto"/>
            <w:vAlign w:val="center"/>
            <w:hideMark/>
          </w:tcPr>
          <w:p w14:paraId="042727EB"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Hydrogel: 83% </w:t>
            </w:r>
            <w:r w:rsidRPr="00D50DA3">
              <w:rPr>
                <w:rFonts w:ascii="Arial" w:eastAsia="Calibri" w:hAnsi="Arial" w:cs="Arial"/>
                <w:szCs w:val="22"/>
                <w:lang w:val="fr-FR"/>
              </w:rPr>
              <w:br/>
              <w:t>Silicone hydrogel: 17%</w:t>
            </w:r>
          </w:p>
        </w:tc>
      </w:tr>
      <w:tr w:rsidR="00D50DA3" w:rsidRPr="00D50DA3" w14:paraId="1B0A01D6" w14:textId="77777777" w:rsidTr="000A6C06">
        <w:trPr>
          <w:trHeight w:val="726"/>
          <w:tblCellSpacing w:w="15" w:type="dxa"/>
        </w:trPr>
        <w:tc>
          <w:tcPr>
            <w:tcW w:w="0" w:type="auto"/>
            <w:vAlign w:val="center"/>
            <w:hideMark/>
          </w:tcPr>
          <w:p w14:paraId="5B054113"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b/>
                <w:bCs/>
                <w:szCs w:val="22"/>
                <w:lang w:val="fr-FR"/>
              </w:rPr>
              <w:t>Wearing</w:t>
            </w:r>
            <w:proofErr w:type="spellEnd"/>
            <w:r w:rsidRPr="00D50DA3">
              <w:rPr>
                <w:rFonts w:ascii="Arial" w:eastAsia="Calibri" w:hAnsi="Arial" w:cs="Arial"/>
                <w:b/>
                <w:bCs/>
                <w:szCs w:val="22"/>
                <w:lang w:val="fr-FR"/>
              </w:rPr>
              <w:t xml:space="preserve"> </w:t>
            </w:r>
            <w:proofErr w:type="spellStart"/>
            <w:r w:rsidRPr="00D50DA3">
              <w:rPr>
                <w:rFonts w:ascii="Arial" w:eastAsia="Calibri" w:hAnsi="Arial" w:cs="Arial"/>
                <w:b/>
                <w:bCs/>
                <w:szCs w:val="22"/>
                <w:lang w:val="fr-FR"/>
              </w:rPr>
              <w:t>schedule</w:t>
            </w:r>
            <w:proofErr w:type="spellEnd"/>
          </w:p>
        </w:tc>
        <w:tc>
          <w:tcPr>
            <w:tcW w:w="0" w:type="auto"/>
            <w:vAlign w:val="center"/>
            <w:hideMark/>
          </w:tcPr>
          <w:p w14:paraId="739E4D57"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Permanent: 100% </w:t>
            </w:r>
            <w:r w:rsidRPr="00D50DA3">
              <w:rPr>
                <w:rFonts w:ascii="Arial" w:eastAsia="Calibri" w:hAnsi="Arial" w:cs="Arial"/>
                <w:szCs w:val="22"/>
                <w:lang w:val="fr-FR"/>
              </w:rPr>
              <w:br/>
            </w:r>
            <w:proofErr w:type="spellStart"/>
            <w:r w:rsidRPr="00D50DA3">
              <w:rPr>
                <w:rFonts w:ascii="Arial" w:eastAsia="Calibri" w:hAnsi="Arial" w:cs="Arial"/>
                <w:szCs w:val="22"/>
                <w:lang w:val="fr-FR"/>
              </w:rPr>
              <w:t>Occasional</w:t>
            </w:r>
            <w:proofErr w:type="spellEnd"/>
            <w:r w:rsidRPr="00D50DA3">
              <w:rPr>
                <w:rFonts w:ascii="Arial" w:eastAsia="Calibri" w:hAnsi="Arial" w:cs="Arial"/>
                <w:szCs w:val="22"/>
                <w:lang w:val="fr-FR"/>
              </w:rPr>
              <w:t>: 0%</w:t>
            </w:r>
          </w:p>
        </w:tc>
      </w:tr>
      <w:tr w:rsidR="00D50DA3" w:rsidRPr="00D50DA3" w14:paraId="65DAC2C9" w14:textId="77777777" w:rsidTr="000A6C06">
        <w:trPr>
          <w:trHeight w:val="1286"/>
          <w:tblCellSpacing w:w="15" w:type="dxa"/>
        </w:trPr>
        <w:tc>
          <w:tcPr>
            <w:tcW w:w="0" w:type="auto"/>
            <w:vAlign w:val="center"/>
            <w:hideMark/>
          </w:tcPr>
          <w:p w14:paraId="69F532B3"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b/>
                <w:bCs/>
                <w:szCs w:val="22"/>
                <w:lang w:val="fr-FR"/>
              </w:rPr>
              <w:t xml:space="preserve">Replacement </w:t>
            </w:r>
            <w:proofErr w:type="spellStart"/>
            <w:r w:rsidRPr="00D50DA3">
              <w:rPr>
                <w:rFonts w:ascii="Arial" w:eastAsia="Calibri" w:hAnsi="Arial" w:cs="Arial"/>
                <w:b/>
                <w:bCs/>
                <w:szCs w:val="22"/>
                <w:lang w:val="fr-FR"/>
              </w:rPr>
              <w:t>frequency</w:t>
            </w:r>
            <w:proofErr w:type="spellEnd"/>
          </w:p>
        </w:tc>
        <w:tc>
          <w:tcPr>
            <w:tcW w:w="0" w:type="auto"/>
            <w:vAlign w:val="center"/>
            <w:hideMark/>
          </w:tcPr>
          <w:p w14:paraId="7EA6F38F"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Daily: 0% </w:t>
            </w:r>
            <w:r w:rsidRPr="00D50DA3">
              <w:rPr>
                <w:rFonts w:ascii="Arial" w:eastAsia="Calibri" w:hAnsi="Arial" w:cs="Arial"/>
                <w:szCs w:val="22"/>
                <w:lang w:val="fr-FR"/>
              </w:rPr>
              <w:br/>
            </w:r>
            <w:proofErr w:type="spellStart"/>
            <w:r w:rsidRPr="00D50DA3">
              <w:rPr>
                <w:rFonts w:ascii="Arial" w:eastAsia="Calibri" w:hAnsi="Arial" w:cs="Arial"/>
                <w:szCs w:val="22"/>
                <w:lang w:val="fr-FR"/>
              </w:rPr>
              <w:t>Monthly</w:t>
            </w:r>
            <w:proofErr w:type="spellEnd"/>
            <w:r w:rsidRPr="00D50DA3">
              <w:rPr>
                <w:rFonts w:ascii="Arial" w:eastAsia="Calibri" w:hAnsi="Arial" w:cs="Arial"/>
                <w:szCs w:val="22"/>
                <w:lang w:val="fr-FR"/>
              </w:rPr>
              <w:t xml:space="preserve">: 12% </w:t>
            </w:r>
            <w:r w:rsidRPr="00D50DA3">
              <w:rPr>
                <w:rFonts w:ascii="Arial" w:eastAsia="Calibri" w:hAnsi="Arial" w:cs="Arial"/>
                <w:szCs w:val="22"/>
                <w:lang w:val="fr-FR"/>
              </w:rPr>
              <w:br/>
            </w:r>
            <w:proofErr w:type="spellStart"/>
            <w:r w:rsidRPr="00D50DA3">
              <w:rPr>
                <w:rFonts w:ascii="Arial" w:eastAsia="Calibri" w:hAnsi="Arial" w:cs="Arial"/>
                <w:szCs w:val="22"/>
                <w:lang w:val="fr-FR"/>
              </w:rPr>
              <w:t>Quarterly</w:t>
            </w:r>
            <w:proofErr w:type="spellEnd"/>
            <w:r w:rsidRPr="00D50DA3">
              <w:rPr>
                <w:rFonts w:ascii="Arial" w:eastAsia="Calibri" w:hAnsi="Arial" w:cs="Arial"/>
                <w:szCs w:val="22"/>
                <w:lang w:val="fr-FR"/>
              </w:rPr>
              <w:t xml:space="preserve">: 59% </w:t>
            </w:r>
            <w:r w:rsidRPr="00D50DA3">
              <w:rPr>
                <w:rFonts w:ascii="Arial" w:eastAsia="Calibri" w:hAnsi="Arial" w:cs="Arial"/>
                <w:szCs w:val="22"/>
                <w:lang w:val="fr-FR"/>
              </w:rPr>
              <w:br/>
            </w:r>
            <w:proofErr w:type="spellStart"/>
            <w:r w:rsidRPr="00D50DA3">
              <w:rPr>
                <w:rFonts w:ascii="Arial" w:eastAsia="Calibri" w:hAnsi="Arial" w:cs="Arial"/>
                <w:szCs w:val="22"/>
                <w:lang w:val="fr-FR"/>
              </w:rPr>
              <w:t>Annual</w:t>
            </w:r>
            <w:proofErr w:type="spellEnd"/>
            <w:r w:rsidRPr="00D50DA3">
              <w:rPr>
                <w:rFonts w:ascii="Arial" w:eastAsia="Calibri" w:hAnsi="Arial" w:cs="Arial"/>
                <w:szCs w:val="22"/>
                <w:lang w:val="fr-FR"/>
              </w:rPr>
              <w:t>: 29%</w:t>
            </w:r>
          </w:p>
        </w:tc>
      </w:tr>
      <w:tr w:rsidR="00D50DA3" w:rsidRPr="00D50DA3" w14:paraId="1AA5AC29" w14:textId="77777777" w:rsidTr="000A6C06">
        <w:trPr>
          <w:trHeight w:val="736"/>
          <w:tblCellSpacing w:w="15" w:type="dxa"/>
        </w:trPr>
        <w:tc>
          <w:tcPr>
            <w:tcW w:w="0" w:type="auto"/>
            <w:vAlign w:val="center"/>
            <w:hideMark/>
          </w:tcPr>
          <w:p w14:paraId="146F9361"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b/>
                <w:bCs/>
                <w:szCs w:val="22"/>
                <w:lang w:val="fr-FR"/>
              </w:rPr>
              <w:t xml:space="preserve">Lens </w:t>
            </w:r>
            <w:proofErr w:type="spellStart"/>
            <w:r w:rsidRPr="00D50DA3">
              <w:rPr>
                <w:rFonts w:ascii="Arial" w:eastAsia="Calibri" w:hAnsi="Arial" w:cs="Arial"/>
                <w:b/>
                <w:bCs/>
                <w:szCs w:val="22"/>
                <w:lang w:val="fr-FR"/>
              </w:rPr>
              <w:t>geometry</w:t>
            </w:r>
            <w:proofErr w:type="spellEnd"/>
          </w:p>
        </w:tc>
        <w:tc>
          <w:tcPr>
            <w:tcW w:w="0" w:type="auto"/>
            <w:vAlign w:val="center"/>
            <w:hideMark/>
          </w:tcPr>
          <w:p w14:paraId="1775BB78"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szCs w:val="22"/>
                <w:lang w:val="fr-FR"/>
              </w:rPr>
              <w:t>Spherical</w:t>
            </w:r>
            <w:proofErr w:type="spellEnd"/>
            <w:r w:rsidRPr="00D50DA3">
              <w:rPr>
                <w:rFonts w:ascii="Arial" w:eastAsia="Calibri" w:hAnsi="Arial" w:cs="Arial"/>
                <w:szCs w:val="22"/>
                <w:lang w:val="fr-FR"/>
              </w:rPr>
              <w:t xml:space="preserve">: 100% </w:t>
            </w:r>
            <w:r w:rsidRPr="00D50DA3">
              <w:rPr>
                <w:rFonts w:ascii="Arial" w:eastAsia="Calibri" w:hAnsi="Arial" w:cs="Arial"/>
                <w:szCs w:val="22"/>
                <w:lang w:val="fr-FR"/>
              </w:rPr>
              <w:br/>
            </w:r>
            <w:proofErr w:type="spellStart"/>
            <w:r w:rsidRPr="00D50DA3">
              <w:rPr>
                <w:rFonts w:ascii="Arial" w:eastAsia="Calibri" w:hAnsi="Arial" w:cs="Arial"/>
                <w:szCs w:val="22"/>
                <w:lang w:val="fr-FR"/>
              </w:rPr>
              <w:t>Toric</w:t>
            </w:r>
            <w:proofErr w:type="spellEnd"/>
            <w:r w:rsidRPr="00D50DA3">
              <w:rPr>
                <w:rFonts w:ascii="Arial" w:eastAsia="Calibri" w:hAnsi="Arial" w:cs="Arial"/>
                <w:szCs w:val="22"/>
                <w:lang w:val="fr-FR"/>
              </w:rPr>
              <w:t>: 0%</w:t>
            </w:r>
          </w:p>
        </w:tc>
      </w:tr>
      <w:tr w:rsidR="00D50DA3" w:rsidRPr="00D50DA3" w14:paraId="4BC84812" w14:textId="77777777" w:rsidTr="000A6C06">
        <w:trPr>
          <w:trHeight w:val="726"/>
          <w:tblCellSpacing w:w="15" w:type="dxa"/>
        </w:trPr>
        <w:tc>
          <w:tcPr>
            <w:tcW w:w="0" w:type="auto"/>
            <w:vAlign w:val="center"/>
            <w:hideMark/>
          </w:tcPr>
          <w:p w14:paraId="60CA51E5"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b/>
                <w:bCs/>
                <w:szCs w:val="22"/>
                <w:lang w:val="fr-FR"/>
              </w:rPr>
              <w:t xml:space="preserve">Type of </w:t>
            </w:r>
            <w:proofErr w:type="spellStart"/>
            <w:r w:rsidRPr="00D50DA3">
              <w:rPr>
                <w:rFonts w:ascii="Arial" w:eastAsia="Calibri" w:hAnsi="Arial" w:cs="Arial"/>
                <w:b/>
                <w:bCs/>
                <w:szCs w:val="22"/>
                <w:lang w:val="fr-FR"/>
              </w:rPr>
              <w:t>fitting</w:t>
            </w:r>
            <w:proofErr w:type="spellEnd"/>
          </w:p>
        </w:tc>
        <w:tc>
          <w:tcPr>
            <w:tcW w:w="0" w:type="auto"/>
            <w:vAlign w:val="center"/>
            <w:hideMark/>
          </w:tcPr>
          <w:p w14:paraId="4CB4B673"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szCs w:val="22"/>
                <w:lang w:val="fr-FR"/>
              </w:rPr>
              <w:t>Medically</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supervised</w:t>
            </w:r>
            <w:proofErr w:type="spellEnd"/>
            <w:r w:rsidRPr="00D50DA3">
              <w:rPr>
                <w:rFonts w:ascii="Arial" w:eastAsia="Calibri" w:hAnsi="Arial" w:cs="Arial"/>
                <w:szCs w:val="22"/>
                <w:lang w:val="fr-FR"/>
              </w:rPr>
              <w:t xml:space="preserve">: 12% </w:t>
            </w:r>
            <w:r w:rsidRPr="00D50DA3">
              <w:rPr>
                <w:rFonts w:ascii="Arial" w:eastAsia="Calibri" w:hAnsi="Arial" w:cs="Arial"/>
                <w:szCs w:val="22"/>
                <w:lang w:val="fr-FR"/>
              </w:rPr>
              <w:br/>
              <w:t>Non-</w:t>
            </w:r>
            <w:proofErr w:type="spellStart"/>
            <w:r w:rsidRPr="00D50DA3">
              <w:rPr>
                <w:rFonts w:ascii="Arial" w:eastAsia="Calibri" w:hAnsi="Arial" w:cs="Arial"/>
                <w:szCs w:val="22"/>
                <w:lang w:val="fr-FR"/>
              </w:rPr>
              <w:t>medicalized</w:t>
            </w:r>
            <w:proofErr w:type="spellEnd"/>
            <w:r w:rsidRPr="00D50DA3">
              <w:rPr>
                <w:rFonts w:ascii="Arial" w:eastAsia="Calibri" w:hAnsi="Arial" w:cs="Arial"/>
                <w:szCs w:val="22"/>
                <w:lang w:val="fr-FR"/>
              </w:rPr>
              <w:t>: 88%</w:t>
            </w:r>
          </w:p>
        </w:tc>
      </w:tr>
      <w:tr w:rsidR="00D50DA3" w:rsidRPr="00D50DA3" w14:paraId="3105350B" w14:textId="77777777" w:rsidTr="000A6C06">
        <w:trPr>
          <w:trHeight w:val="726"/>
          <w:tblCellSpacing w:w="15" w:type="dxa"/>
        </w:trPr>
        <w:tc>
          <w:tcPr>
            <w:tcW w:w="0" w:type="auto"/>
            <w:vAlign w:val="center"/>
            <w:hideMark/>
          </w:tcPr>
          <w:p w14:paraId="5D81C2C3"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b/>
                <w:bCs/>
                <w:szCs w:val="22"/>
                <w:lang w:val="fr-FR"/>
              </w:rPr>
              <w:t xml:space="preserve">Follow-up </w:t>
            </w:r>
            <w:proofErr w:type="spellStart"/>
            <w:r w:rsidRPr="00D50DA3">
              <w:rPr>
                <w:rFonts w:ascii="Arial" w:eastAsia="Calibri" w:hAnsi="Arial" w:cs="Arial"/>
                <w:b/>
                <w:bCs/>
                <w:szCs w:val="22"/>
                <w:lang w:val="fr-FR"/>
              </w:rPr>
              <w:t>frequency</w:t>
            </w:r>
            <w:proofErr w:type="spellEnd"/>
          </w:p>
        </w:tc>
        <w:tc>
          <w:tcPr>
            <w:tcW w:w="0" w:type="auto"/>
            <w:vAlign w:val="center"/>
            <w:hideMark/>
          </w:tcPr>
          <w:p w14:paraId="5619A614"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Regular: 12% </w:t>
            </w:r>
            <w:r w:rsidRPr="00D50DA3">
              <w:rPr>
                <w:rFonts w:ascii="Arial" w:eastAsia="Calibri" w:hAnsi="Arial" w:cs="Arial"/>
                <w:szCs w:val="22"/>
                <w:lang w:val="fr-FR"/>
              </w:rPr>
              <w:br/>
            </w:r>
            <w:proofErr w:type="spellStart"/>
            <w:r w:rsidRPr="00D50DA3">
              <w:rPr>
                <w:rFonts w:ascii="Arial" w:eastAsia="Calibri" w:hAnsi="Arial" w:cs="Arial"/>
                <w:szCs w:val="22"/>
                <w:lang w:val="fr-FR"/>
              </w:rPr>
              <w:t>Irregular</w:t>
            </w:r>
            <w:proofErr w:type="spellEnd"/>
            <w:r w:rsidRPr="00D50DA3">
              <w:rPr>
                <w:rFonts w:ascii="Arial" w:eastAsia="Calibri" w:hAnsi="Arial" w:cs="Arial"/>
                <w:szCs w:val="22"/>
                <w:lang w:val="fr-FR"/>
              </w:rPr>
              <w:t>: 88%</w:t>
            </w:r>
          </w:p>
        </w:tc>
      </w:tr>
      <w:tr w:rsidR="00D50DA3" w:rsidRPr="00D50DA3" w14:paraId="36875CD8" w14:textId="77777777" w:rsidTr="000A6C06">
        <w:trPr>
          <w:trHeight w:val="726"/>
          <w:tblCellSpacing w:w="15" w:type="dxa"/>
        </w:trPr>
        <w:tc>
          <w:tcPr>
            <w:tcW w:w="0" w:type="auto"/>
            <w:vAlign w:val="center"/>
            <w:hideMark/>
          </w:tcPr>
          <w:p w14:paraId="2FD0B06D"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b/>
                <w:bCs/>
                <w:szCs w:val="22"/>
                <w:lang w:val="fr-FR"/>
              </w:rPr>
              <w:t>Consideration</w:t>
            </w:r>
            <w:proofErr w:type="spellEnd"/>
            <w:r w:rsidRPr="00D50DA3">
              <w:rPr>
                <w:rFonts w:ascii="Arial" w:eastAsia="Calibri" w:hAnsi="Arial" w:cs="Arial"/>
                <w:b/>
                <w:bCs/>
                <w:szCs w:val="22"/>
                <w:lang w:val="fr-FR"/>
              </w:rPr>
              <w:t xml:space="preserve"> of vertex distance</w:t>
            </w:r>
          </w:p>
        </w:tc>
        <w:tc>
          <w:tcPr>
            <w:tcW w:w="0" w:type="auto"/>
            <w:vAlign w:val="center"/>
            <w:hideMark/>
          </w:tcPr>
          <w:p w14:paraId="740D1FBC"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Yes: 50% </w:t>
            </w:r>
            <w:r w:rsidRPr="00D50DA3">
              <w:rPr>
                <w:rFonts w:ascii="Arial" w:eastAsia="Calibri" w:hAnsi="Arial" w:cs="Arial"/>
                <w:szCs w:val="22"/>
                <w:lang w:val="fr-FR"/>
              </w:rPr>
              <w:br/>
              <w:t>No: 50%</w:t>
            </w:r>
          </w:p>
        </w:tc>
      </w:tr>
      <w:tr w:rsidR="00D50DA3" w:rsidRPr="00D50DA3" w14:paraId="66EA12B9" w14:textId="77777777" w:rsidTr="000A6C06">
        <w:trPr>
          <w:trHeight w:val="885"/>
          <w:tblCellSpacing w:w="15" w:type="dxa"/>
        </w:trPr>
        <w:tc>
          <w:tcPr>
            <w:tcW w:w="0" w:type="auto"/>
            <w:vAlign w:val="center"/>
            <w:hideMark/>
          </w:tcPr>
          <w:p w14:paraId="02019387" w14:textId="77777777"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 xml:space="preserve">Consideration of spherical equivalence        </w:t>
            </w:r>
          </w:p>
          <w:p w14:paraId="11855958"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b/>
                <w:bCs/>
                <w:szCs w:val="22"/>
              </w:rPr>
              <w:t>(myopia + astigmatism)</w:t>
            </w:r>
          </w:p>
        </w:tc>
        <w:tc>
          <w:tcPr>
            <w:tcW w:w="0" w:type="auto"/>
            <w:vAlign w:val="center"/>
            <w:hideMark/>
          </w:tcPr>
          <w:p w14:paraId="43C13A65"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Yes: 55% </w:t>
            </w:r>
            <w:r w:rsidRPr="00D50DA3">
              <w:rPr>
                <w:rFonts w:ascii="Arial" w:eastAsia="Calibri" w:hAnsi="Arial" w:cs="Arial"/>
                <w:szCs w:val="22"/>
                <w:lang w:val="fr-FR"/>
              </w:rPr>
              <w:br/>
              <w:t>No: 45%</w:t>
            </w:r>
          </w:p>
        </w:tc>
      </w:tr>
    </w:tbl>
    <w:p w14:paraId="3CDD41D6" w14:textId="77777777" w:rsidR="00D50DA3" w:rsidRPr="00D50DA3" w:rsidRDefault="00D50DA3" w:rsidP="00D50DA3">
      <w:pPr>
        <w:pStyle w:val="Body"/>
        <w:spacing w:after="0"/>
        <w:rPr>
          <w:rFonts w:ascii="Arial" w:eastAsia="Calibri" w:hAnsi="Arial" w:cs="Arial"/>
          <w:szCs w:val="22"/>
          <w:lang w:val="fr-FR"/>
        </w:rPr>
      </w:pPr>
    </w:p>
    <w:p w14:paraId="0F1849F8" w14:textId="77777777" w:rsidR="00D50DA3" w:rsidRPr="00D50DA3" w:rsidRDefault="00D50DA3" w:rsidP="00D50DA3">
      <w:pPr>
        <w:pStyle w:val="Body"/>
        <w:spacing w:after="0"/>
        <w:rPr>
          <w:rFonts w:ascii="Arial" w:eastAsia="Calibri" w:hAnsi="Arial" w:cs="Arial"/>
          <w:szCs w:val="22"/>
          <w:lang w:val="fr-FR"/>
        </w:rPr>
      </w:pPr>
    </w:p>
    <w:p w14:paraId="31DA6711" w14:textId="77777777" w:rsidR="00D50DA3" w:rsidRPr="00D50DA3" w:rsidRDefault="00D50DA3" w:rsidP="00D50DA3">
      <w:pPr>
        <w:pStyle w:val="Body"/>
        <w:spacing w:after="0"/>
        <w:rPr>
          <w:rFonts w:ascii="Arial" w:eastAsia="Calibri" w:hAnsi="Arial" w:cs="Arial"/>
          <w:b/>
          <w:bCs/>
          <w:szCs w:val="22"/>
          <w:lang w:val="fr-FR"/>
        </w:rPr>
      </w:pPr>
    </w:p>
    <w:p w14:paraId="22B0C4F4" w14:textId="77777777"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V. Soft Contact Lens Care</w:t>
      </w:r>
    </w:p>
    <w:p w14:paraId="72808CF2" w14:textId="290ABF02"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szCs w:val="22"/>
        </w:rPr>
        <w:t xml:space="preserve">The main hygiene and care errors observed among study participants are summarized in Table </w:t>
      </w:r>
      <w:r w:rsidR="00177CF3">
        <w:rPr>
          <w:rFonts w:ascii="Arial" w:eastAsia="Calibri" w:hAnsi="Arial" w:cs="Arial"/>
          <w:szCs w:val="22"/>
        </w:rPr>
        <w:t>2</w:t>
      </w:r>
      <w:r w:rsidRPr="00D50DA3">
        <w:rPr>
          <w:rFonts w:ascii="Arial" w:eastAsia="Calibri" w:hAnsi="Arial" w:cs="Arial"/>
          <w:b/>
          <w:bCs/>
          <w:szCs w:val="22"/>
        </w:rPr>
        <w:t>.</w:t>
      </w:r>
    </w:p>
    <w:p w14:paraId="48AC049E" w14:textId="340F698C"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 xml:space="preserve">Table </w:t>
      </w:r>
      <w:r w:rsidR="00177CF3">
        <w:rPr>
          <w:rFonts w:ascii="Arial" w:eastAsia="Calibri" w:hAnsi="Arial" w:cs="Arial"/>
          <w:b/>
          <w:bCs/>
          <w:szCs w:val="22"/>
        </w:rPr>
        <w:t>2</w:t>
      </w:r>
      <w:r w:rsidRPr="00D50DA3">
        <w:rPr>
          <w:rFonts w:ascii="Arial" w:eastAsia="Calibri" w:hAnsi="Arial" w:cs="Arial"/>
          <w:b/>
          <w:bCs/>
          <w:szCs w:val="22"/>
        </w:rPr>
        <w:t>: Common Errors in Soft Contact Lens Care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2"/>
        <w:gridCol w:w="1942"/>
      </w:tblGrid>
      <w:tr w:rsidR="00D50DA3" w:rsidRPr="00D50DA3" w14:paraId="60F451C5" w14:textId="77777777" w:rsidTr="000A6C06">
        <w:trPr>
          <w:tblHeader/>
          <w:tblCellSpacing w:w="15" w:type="dxa"/>
        </w:trPr>
        <w:tc>
          <w:tcPr>
            <w:tcW w:w="0" w:type="auto"/>
            <w:vAlign w:val="center"/>
            <w:hideMark/>
          </w:tcPr>
          <w:p w14:paraId="0A3A0009" w14:textId="77777777" w:rsidR="00D50DA3" w:rsidRPr="00D50DA3" w:rsidRDefault="00D50DA3" w:rsidP="00D50DA3">
            <w:pPr>
              <w:pStyle w:val="Body"/>
              <w:spacing w:after="0"/>
              <w:rPr>
                <w:rFonts w:ascii="Arial" w:eastAsia="Calibri" w:hAnsi="Arial" w:cs="Arial"/>
                <w:b/>
                <w:bCs/>
                <w:szCs w:val="22"/>
                <w:lang w:val="fr-FR"/>
              </w:rPr>
            </w:pPr>
            <w:r w:rsidRPr="00D50DA3">
              <w:rPr>
                <w:rFonts w:ascii="Arial" w:eastAsia="Calibri" w:hAnsi="Arial" w:cs="Arial"/>
                <w:b/>
                <w:bCs/>
                <w:szCs w:val="22"/>
                <w:lang w:val="fr-FR"/>
              </w:rPr>
              <w:t xml:space="preserve">Type of </w:t>
            </w:r>
            <w:proofErr w:type="spellStart"/>
            <w:r w:rsidRPr="00D50DA3">
              <w:rPr>
                <w:rFonts w:ascii="Arial" w:eastAsia="Calibri" w:hAnsi="Arial" w:cs="Arial"/>
                <w:b/>
                <w:bCs/>
                <w:szCs w:val="22"/>
                <w:lang w:val="fr-FR"/>
              </w:rPr>
              <w:t>error</w:t>
            </w:r>
            <w:proofErr w:type="spellEnd"/>
          </w:p>
        </w:tc>
        <w:tc>
          <w:tcPr>
            <w:tcW w:w="0" w:type="auto"/>
            <w:vAlign w:val="center"/>
            <w:hideMark/>
          </w:tcPr>
          <w:p w14:paraId="6E201C8D" w14:textId="77777777" w:rsidR="00D50DA3" w:rsidRPr="00D50DA3" w:rsidRDefault="00D50DA3" w:rsidP="00D50DA3">
            <w:pPr>
              <w:pStyle w:val="Body"/>
              <w:spacing w:after="0"/>
              <w:rPr>
                <w:rFonts w:ascii="Arial" w:eastAsia="Calibri" w:hAnsi="Arial" w:cs="Arial"/>
                <w:b/>
                <w:bCs/>
                <w:szCs w:val="22"/>
                <w:lang w:val="fr-FR"/>
              </w:rPr>
            </w:pPr>
            <w:proofErr w:type="spellStart"/>
            <w:r w:rsidRPr="00D50DA3">
              <w:rPr>
                <w:rFonts w:ascii="Arial" w:eastAsia="Calibri" w:hAnsi="Arial" w:cs="Arial"/>
                <w:b/>
                <w:bCs/>
                <w:szCs w:val="22"/>
                <w:lang w:val="fr-FR"/>
              </w:rPr>
              <w:t>Number</w:t>
            </w:r>
            <w:proofErr w:type="spellEnd"/>
            <w:r w:rsidRPr="00D50DA3">
              <w:rPr>
                <w:rFonts w:ascii="Arial" w:eastAsia="Calibri" w:hAnsi="Arial" w:cs="Arial"/>
                <w:b/>
                <w:bCs/>
                <w:szCs w:val="22"/>
                <w:lang w:val="fr-FR"/>
              </w:rPr>
              <w:t xml:space="preserve"> of </w:t>
            </w:r>
            <w:proofErr w:type="spellStart"/>
            <w:r w:rsidRPr="00D50DA3">
              <w:rPr>
                <w:rFonts w:ascii="Arial" w:eastAsia="Calibri" w:hAnsi="Arial" w:cs="Arial"/>
                <w:b/>
                <w:bCs/>
                <w:szCs w:val="22"/>
                <w:lang w:val="fr-FR"/>
              </w:rPr>
              <w:t>subjects</w:t>
            </w:r>
            <w:proofErr w:type="spellEnd"/>
          </w:p>
        </w:tc>
      </w:tr>
      <w:tr w:rsidR="00D50DA3" w:rsidRPr="00D50DA3" w14:paraId="31D77C62" w14:textId="77777777" w:rsidTr="000A6C06">
        <w:trPr>
          <w:tblCellSpacing w:w="15" w:type="dxa"/>
        </w:trPr>
        <w:tc>
          <w:tcPr>
            <w:tcW w:w="0" w:type="auto"/>
            <w:vAlign w:val="center"/>
            <w:hideMark/>
          </w:tcPr>
          <w:p w14:paraId="17F1D8D9"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Sleeping </w:t>
            </w:r>
            <w:proofErr w:type="spellStart"/>
            <w:r w:rsidRPr="00D50DA3">
              <w:rPr>
                <w:rFonts w:ascii="Arial" w:eastAsia="Calibri" w:hAnsi="Arial" w:cs="Arial"/>
                <w:szCs w:val="22"/>
                <w:lang w:val="fr-FR"/>
              </w:rPr>
              <w:t>with</w:t>
            </w:r>
            <w:proofErr w:type="spellEnd"/>
            <w:r w:rsidRPr="00D50DA3">
              <w:rPr>
                <w:rFonts w:ascii="Arial" w:eastAsia="Calibri" w:hAnsi="Arial" w:cs="Arial"/>
                <w:szCs w:val="22"/>
                <w:lang w:val="fr-FR"/>
              </w:rPr>
              <w:t xml:space="preserve"> contact </w:t>
            </w:r>
            <w:proofErr w:type="spellStart"/>
            <w:r w:rsidRPr="00D50DA3">
              <w:rPr>
                <w:rFonts w:ascii="Arial" w:eastAsia="Calibri" w:hAnsi="Arial" w:cs="Arial"/>
                <w:szCs w:val="22"/>
                <w:lang w:val="fr-FR"/>
              </w:rPr>
              <w:t>lenses</w:t>
            </w:r>
            <w:proofErr w:type="spellEnd"/>
          </w:p>
        </w:tc>
        <w:tc>
          <w:tcPr>
            <w:tcW w:w="0" w:type="auto"/>
            <w:vAlign w:val="center"/>
            <w:hideMark/>
          </w:tcPr>
          <w:p w14:paraId="3418ADFC"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20</w:t>
            </w:r>
          </w:p>
        </w:tc>
      </w:tr>
      <w:tr w:rsidR="00D50DA3" w:rsidRPr="00D50DA3" w14:paraId="6351F3C1" w14:textId="77777777" w:rsidTr="000A6C06">
        <w:trPr>
          <w:tblCellSpacing w:w="15" w:type="dxa"/>
        </w:trPr>
        <w:tc>
          <w:tcPr>
            <w:tcW w:w="0" w:type="auto"/>
            <w:vAlign w:val="center"/>
            <w:hideMark/>
          </w:tcPr>
          <w:p w14:paraId="32CB7B4B"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Exceeding the recommended lens replacement schedule</w:t>
            </w:r>
          </w:p>
        </w:tc>
        <w:tc>
          <w:tcPr>
            <w:tcW w:w="0" w:type="auto"/>
            <w:vAlign w:val="center"/>
            <w:hideMark/>
          </w:tcPr>
          <w:p w14:paraId="4345AEDC"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20</w:t>
            </w:r>
          </w:p>
        </w:tc>
      </w:tr>
      <w:tr w:rsidR="00D50DA3" w:rsidRPr="00D50DA3" w14:paraId="75F91444" w14:textId="77777777" w:rsidTr="000A6C06">
        <w:trPr>
          <w:tblCellSpacing w:w="15" w:type="dxa"/>
        </w:trPr>
        <w:tc>
          <w:tcPr>
            <w:tcW w:w="0" w:type="auto"/>
            <w:vAlign w:val="center"/>
            <w:hideMark/>
          </w:tcPr>
          <w:p w14:paraId="5A01180A"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szCs w:val="22"/>
                <w:lang w:val="fr-FR"/>
              </w:rPr>
              <w:t>Using</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expired</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cleaning</w:t>
            </w:r>
            <w:proofErr w:type="spellEnd"/>
            <w:r w:rsidRPr="00D50DA3">
              <w:rPr>
                <w:rFonts w:ascii="Arial" w:eastAsia="Calibri" w:hAnsi="Arial" w:cs="Arial"/>
                <w:szCs w:val="22"/>
                <w:lang w:val="fr-FR"/>
              </w:rPr>
              <w:t xml:space="preserve"> solutions</w:t>
            </w:r>
          </w:p>
        </w:tc>
        <w:tc>
          <w:tcPr>
            <w:tcW w:w="0" w:type="auto"/>
            <w:vAlign w:val="center"/>
            <w:hideMark/>
          </w:tcPr>
          <w:p w14:paraId="77042B2B"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17</w:t>
            </w:r>
          </w:p>
        </w:tc>
      </w:tr>
      <w:tr w:rsidR="00D50DA3" w:rsidRPr="00D50DA3" w14:paraId="01181AE4" w14:textId="77777777" w:rsidTr="000A6C06">
        <w:trPr>
          <w:tblCellSpacing w:w="15" w:type="dxa"/>
        </w:trPr>
        <w:tc>
          <w:tcPr>
            <w:tcW w:w="0" w:type="auto"/>
            <w:vAlign w:val="center"/>
            <w:hideMark/>
          </w:tcPr>
          <w:p w14:paraId="6F8B7A73"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Mixing old and new cleaning solutions</w:t>
            </w:r>
          </w:p>
        </w:tc>
        <w:tc>
          <w:tcPr>
            <w:tcW w:w="0" w:type="auto"/>
            <w:vAlign w:val="center"/>
            <w:hideMark/>
          </w:tcPr>
          <w:p w14:paraId="54E57075"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2</w:t>
            </w:r>
          </w:p>
        </w:tc>
      </w:tr>
      <w:tr w:rsidR="00D50DA3" w:rsidRPr="00D50DA3" w14:paraId="607E19EF" w14:textId="77777777" w:rsidTr="000A6C06">
        <w:trPr>
          <w:tblCellSpacing w:w="15" w:type="dxa"/>
        </w:trPr>
        <w:tc>
          <w:tcPr>
            <w:tcW w:w="0" w:type="auto"/>
            <w:vAlign w:val="center"/>
            <w:hideMark/>
          </w:tcPr>
          <w:p w14:paraId="14CC3CE7"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Using tap water for lens cleaning</w:t>
            </w:r>
          </w:p>
        </w:tc>
        <w:tc>
          <w:tcPr>
            <w:tcW w:w="0" w:type="auto"/>
            <w:vAlign w:val="center"/>
            <w:hideMark/>
          </w:tcPr>
          <w:p w14:paraId="7A491380"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7</w:t>
            </w:r>
          </w:p>
        </w:tc>
      </w:tr>
      <w:tr w:rsidR="00D50DA3" w:rsidRPr="00D50DA3" w14:paraId="3E6F3085" w14:textId="77777777" w:rsidTr="000A6C06">
        <w:trPr>
          <w:tblCellSpacing w:w="15" w:type="dxa"/>
        </w:trPr>
        <w:tc>
          <w:tcPr>
            <w:tcW w:w="0" w:type="auto"/>
            <w:vAlign w:val="center"/>
            <w:hideMark/>
          </w:tcPr>
          <w:p w14:paraId="60B5D4CB"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szCs w:val="22"/>
                <w:lang w:val="fr-FR"/>
              </w:rPr>
              <w:t>Wearing</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lenses</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while</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swimming</w:t>
            </w:r>
            <w:proofErr w:type="spellEnd"/>
          </w:p>
        </w:tc>
        <w:tc>
          <w:tcPr>
            <w:tcW w:w="0" w:type="auto"/>
            <w:vAlign w:val="center"/>
            <w:hideMark/>
          </w:tcPr>
          <w:p w14:paraId="3AB149F6"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5</w:t>
            </w:r>
          </w:p>
        </w:tc>
      </w:tr>
      <w:tr w:rsidR="00537D97" w:rsidRPr="00D50DA3" w14:paraId="5808706C" w14:textId="77777777" w:rsidTr="000A6C06">
        <w:trPr>
          <w:tblCellSpacing w:w="15" w:type="dxa"/>
        </w:trPr>
        <w:tc>
          <w:tcPr>
            <w:tcW w:w="0" w:type="auto"/>
            <w:vAlign w:val="center"/>
          </w:tcPr>
          <w:p w14:paraId="4E5DBE2C" w14:textId="77777777" w:rsidR="00537D97" w:rsidRDefault="00537D97" w:rsidP="00D50DA3">
            <w:pPr>
              <w:pStyle w:val="Body"/>
              <w:spacing w:after="0"/>
              <w:rPr>
                <w:rFonts w:ascii="Arial" w:eastAsia="Calibri" w:hAnsi="Arial" w:cs="Arial"/>
                <w:szCs w:val="22"/>
                <w:lang w:val="fr-FR"/>
              </w:rPr>
            </w:pPr>
          </w:p>
          <w:p w14:paraId="3510B39A" w14:textId="77777777" w:rsidR="00537D97" w:rsidRPr="00D50DA3" w:rsidRDefault="00537D97" w:rsidP="00D50DA3">
            <w:pPr>
              <w:pStyle w:val="Body"/>
              <w:spacing w:after="0"/>
              <w:rPr>
                <w:rFonts w:ascii="Arial" w:eastAsia="Calibri" w:hAnsi="Arial" w:cs="Arial"/>
                <w:szCs w:val="22"/>
                <w:lang w:val="fr-FR"/>
              </w:rPr>
            </w:pPr>
          </w:p>
        </w:tc>
        <w:tc>
          <w:tcPr>
            <w:tcW w:w="0" w:type="auto"/>
            <w:vAlign w:val="center"/>
          </w:tcPr>
          <w:p w14:paraId="5CC6F741" w14:textId="77777777" w:rsidR="00537D97" w:rsidRPr="00D50DA3" w:rsidRDefault="00537D97" w:rsidP="00D50DA3">
            <w:pPr>
              <w:pStyle w:val="Body"/>
              <w:spacing w:after="0"/>
              <w:rPr>
                <w:rFonts w:ascii="Arial" w:eastAsia="Calibri" w:hAnsi="Arial" w:cs="Arial"/>
                <w:szCs w:val="22"/>
                <w:lang w:val="fr-FR"/>
              </w:rPr>
            </w:pPr>
          </w:p>
        </w:tc>
      </w:tr>
    </w:tbl>
    <w:p w14:paraId="7A716A15" w14:textId="77777777" w:rsidR="00C27BAF" w:rsidRDefault="00C27BAF" w:rsidP="00D50DA3">
      <w:pPr>
        <w:pStyle w:val="Body"/>
        <w:spacing w:after="0"/>
        <w:rPr>
          <w:rFonts w:ascii="Arial" w:eastAsia="Calibri" w:hAnsi="Arial" w:cs="Arial"/>
          <w:b/>
          <w:bCs/>
          <w:i/>
          <w:iCs/>
          <w:szCs w:val="22"/>
        </w:rPr>
      </w:pPr>
    </w:p>
    <w:p w14:paraId="4AA5231A" w14:textId="14D6406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lastRenderedPageBreak/>
        <w:t>Steps of Contact Lens Care</w:t>
      </w:r>
    </w:p>
    <w:p w14:paraId="3C406C8B" w14:textId="2B9F5A69" w:rsidR="00D50DA3" w:rsidRDefault="00D50DA3" w:rsidP="00D50DA3">
      <w:pPr>
        <w:pStyle w:val="Body"/>
        <w:spacing w:after="0"/>
        <w:rPr>
          <w:rFonts w:ascii="Arial" w:eastAsia="Calibri" w:hAnsi="Arial" w:cs="Arial"/>
          <w:szCs w:val="22"/>
        </w:rPr>
      </w:pPr>
      <w:r w:rsidRPr="00D50DA3">
        <w:rPr>
          <w:rFonts w:ascii="Arial" w:eastAsia="Calibri" w:hAnsi="Arial" w:cs="Arial"/>
          <w:szCs w:val="22"/>
        </w:rPr>
        <w:t xml:space="preserve">The hygiene practices followed by the study participants are summarized in Table </w:t>
      </w:r>
      <w:r w:rsidR="00177CF3">
        <w:rPr>
          <w:rFonts w:ascii="Arial" w:eastAsia="Calibri" w:hAnsi="Arial" w:cs="Arial"/>
          <w:szCs w:val="22"/>
        </w:rPr>
        <w:t>3</w:t>
      </w:r>
      <w:r w:rsidRPr="00D50DA3">
        <w:rPr>
          <w:rFonts w:ascii="Arial" w:eastAsia="Calibri" w:hAnsi="Arial" w:cs="Arial"/>
          <w:szCs w:val="22"/>
        </w:rPr>
        <w:t>.</w:t>
      </w:r>
    </w:p>
    <w:p w14:paraId="77CAC3F2" w14:textId="77777777" w:rsidR="00C27BAF" w:rsidRPr="00D50DA3" w:rsidRDefault="00C27BAF" w:rsidP="00D50DA3">
      <w:pPr>
        <w:pStyle w:val="Body"/>
        <w:spacing w:after="0"/>
        <w:rPr>
          <w:rFonts w:ascii="Arial" w:eastAsia="Calibri" w:hAnsi="Arial" w:cs="Arial"/>
          <w:szCs w:val="22"/>
        </w:rPr>
      </w:pPr>
    </w:p>
    <w:p w14:paraId="0E90F102" w14:textId="5B01ED1A"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 xml:space="preserve">Table </w:t>
      </w:r>
      <w:r w:rsidR="00177CF3">
        <w:rPr>
          <w:rFonts w:ascii="Arial" w:eastAsia="Calibri" w:hAnsi="Arial" w:cs="Arial"/>
          <w:b/>
          <w:bCs/>
          <w:szCs w:val="22"/>
        </w:rPr>
        <w:t>3</w:t>
      </w:r>
      <w:r w:rsidRPr="00D50DA3">
        <w:rPr>
          <w:rFonts w:ascii="Arial" w:eastAsia="Calibri" w:hAnsi="Arial" w:cs="Arial"/>
          <w:b/>
          <w:bCs/>
          <w:szCs w:val="22"/>
        </w:rPr>
        <w:t>: Hygiene Practices for Soft Contact Lens Care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1061"/>
        <w:gridCol w:w="2176"/>
      </w:tblGrid>
      <w:tr w:rsidR="00D50DA3" w:rsidRPr="00D50DA3" w14:paraId="269718C0" w14:textId="77777777" w:rsidTr="000A6C06">
        <w:trPr>
          <w:tblHeader/>
          <w:tblCellSpacing w:w="15" w:type="dxa"/>
        </w:trPr>
        <w:tc>
          <w:tcPr>
            <w:tcW w:w="0" w:type="auto"/>
            <w:vAlign w:val="center"/>
            <w:hideMark/>
          </w:tcPr>
          <w:p w14:paraId="697A8B67" w14:textId="77777777" w:rsidR="00D50DA3" w:rsidRPr="00D50DA3" w:rsidRDefault="00D50DA3" w:rsidP="00D50DA3">
            <w:pPr>
              <w:pStyle w:val="Body"/>
              <w:spacing w:after="0"/>
              <w:rPr>
                <w:rFonts w:ascii="Arial" w:eastAsia="Calibri" w:hAnsi="Arial" w:cs="Arial"/>
                <w:b/>
                <w:bCs/>
                <w:szCs w:val="22"/>
                <w:lang w:val="fr-FR"/>
              </w:rPr>
            </w:pPr>
            <w:proofErr w:type="spellStart"/>
            <w:r w:rsidRPr="00D50DA3">
              <w:rPr>
                <w:rFonts w:ascii="Arial" w:eastAsia="Calibri" w:hAnsi="Arial" w:cs="Arial"/>
                <w:b/>
                <w:bCs/>
                <w:szCs w:val="22"/>
                <w:lang w:val="fr-FR"/>
              </w:rPr>
              <w:t>Hygiene</w:t>
            </w:r>
            <w:proofErr w:type="spellEnd"/>
            <w:r w:rsidRPr="00D50DA3">
              <w:rPr>
                <w:rFonts w:ascii="Arial" w:eastAsia="Calibri" w:hAnsi="Arial" w:cs="Arial"/>
                <w:b/>
                <w:bCs/>
                <w:szCs w:val="22"/>
                <w:lang w:val="fr-FR"/>
              </w:rPr>
              <w:t xml:space="preserve"> practice</w:t>
            </w:r>
          </w:p>
        </w:tc>
        <w:tc>
          <w:tcPr>
            <w:tcW w:w="0" w:type="auto"/>
            <w:vAlign w:val="center"/>
            <w:hideMark/>
          </w:tcPr>
          <w:p w14:paraId="1D42D8AB" w14:textId="77777777" w:rsidR="00D50DA3" w:rsidRPr="00D50DA3" w:rsidRDefault="00D50DA3" w:rsidP="00D50DA3">
            <w:pPr>
              <w:pStyle w:val="Body"/>
              <w:spacing w:after="0"/>
              <w:rPr>
                <w:rFonts w:ascii="Arial" w:eastAsia="Calibri" w:hAnsi="Arial" w:cs="Arial"/>
                <w:b/>
                <w:bCs/>
                <w:szCs w:val="22"/>
                <w:lang w:val="fr-FR"/>
              </w:rPr>
            </w:pPr>
            <w:proofErr w:type="spellStart"/>
            <w:r w:rsidRPr="00D50DA3">
              <w:rPr>
                <w:rFonts w:ascii="Arial" w:eastAsia="Calibri" w:hAnsi="Arial" w:cs="Arial"/>
                <w:b/>
                <w:bCs/>
                <w:szCs w:val="22"/>
                <w:lang w:val="fr-FR"/>
              </w:rPr>
              <w:t>Performed</w:t>
            </w:r>
            <w:proofErr w:type="spellEnd"/>
          </w:p>
        </w:tc>
        <w:tc>
          <w:tcPr>
            <w:tcW w:w="0" w:type="auto"/>
            <w:vAlign w:val="center"/>
            <w:hideMark/>
          </w:tcPr>
          <w:p w14:paraId="287EE154" w14:textId="77777777" w:rsidR="00D50DA3" w:rsidRPr="00D50DA3" w:rsidRDefault="00D50DA3" w:rsidP="00D50DA3">
            <w:pPr>
              <w:pStyle w:val="Body"/>
              <w:spacing w:after="0"/>
              <w:rPr>
                <w:rFonts w:ascii="Arial" w:eastAsia="Calibri" w:hAnsi="Arial" w:cs="Arial"/>
                <w:b/>
                <w:bCs/>
                <w:szCs w:val="22"/>
                <w:lang w:val="fr-FR"/>
              </w:rPr>
            </w:pPr>
            <w:r w:rsidRPr="00D50DA3">
              <w:rPr>
                <w:rFonts w:ascii="Arial" w:eastAsia="Calibri" w:hAnsi="Arial" w:cs="Arial"/>
                <w:b/>
                <w:bCs/>
                <w:szCs w:val="22"/>
                <w:lang w:val="fr-FR"/>
              </w:rPr>
              <w:t xml:space="preserve">             Not </w:t>
            </w:r>
            <w:proofErr w:type="spellStart"/>
            <w:r w:rsidRPr="00D50DA3">
              <w:rPr>
                <w:rFonts w:ascii="Arial" w:eastAsia="Calibri" w:hAnsi="Arial" w:cs="Arial"/>
                <w:b/>
                <w:bCs/>
                <w:szCs w:val="22"/>
                <w:lang w:val="fr-FR"/>
              </w:rPr>
              <w:t>performed</w:t>
            </w:r>
            <w:proofErr w:type="spellEnd"/>
          </w:p>
        </w:tc>
      </w:tr>
      <w:tr w:rsidR="00D50DA3" w:rsidRPr="00D50DA3" w14:paraId="37189885" w14:textId="77777777" w:rsidTr="000A6C06">
        <w:trPr>
          <w:tblCellSpacing w:w="15" w:type="dxa"/>
        </w:trPr>
        <w:tc>
          <w:tcPr>
            <w:tcW w:w="0" w:type="auto"/>
            <w:vAlign w:val="center"/>
            <w:hideMark/>
          </w:tcPr>
          <w:p w14:paraId="0D9D514C"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Hand washing before insertion/removal</w:t>
            </w:r>
          </w:p>
        </w:tc>
        <w:tc>
          <w:tcPr>
            <w:tcW w:w="0" w:type="auto"/>
            <w:vAlign w:val="center"/>
            <w:hideMark/>
          </w:tcPr>
          <w:p w14:paraId="67449863"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28</w:t>
            </w:r>
          </w:p>
        </w:tc>
        <w:tc>
          <w:tcPr>
            <w:tcW w:w="0" w:type="auto"/>
            <w:vAlign w:val="center"/>
            <w:hideMark/>
          </w:tcPr>
          <w:p w14:paraId="4D970E9E"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6</w:t>
            </w:r>
          </w:p>
        </w:tc>
      </w:tr>
      <w:tr w:rsidR="00D50DA3" w:rsidRPr="00D50DA3" w14:paraId="5F3B3840" w14:textId="77777777" w:rsidTr="000A6C06">
        <w:trPr>
          <w:tblCellSpacing w:w="15" w:type="dxa"/>
        </w:trPr>
        <w:tc>
          <w:tcPr>
            <w:tcW w:w="0" w:type="auto"/>
            <w:vAlign w:val="center"/>
            <w:hideMark/>
          </w:tcPr>
          <w:p w14:paraId="459FE6FB"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Hand drying </w:t>
            </w:r>
            <w:proofErr w:type="spellStart"/>
            <w:r w:rsidRPr="00D50DA3">
              <w:rPr>
                <w:rFonts w:ascii="Arial" w:eastAsia="Calibri" w:hAnsi="Arial" w:cs="Arial"/>
                <w:szCs w:val="22"/>
                <w:lang w:val="fr-FR"/>
              </w:rPr>
              <w:t>after</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washing</w:t>
            </w:r>
            <w:proofErr w:type="spellEnd"/>
          </w:p>
        </w:tc>
        <w:tc>
          <w:tcPr>
            <w:tcW w:w="0" w:type="auto"/>
            <w:vAlign w:val="center"/>
            <w:hideMark/>
          </w:tcPr>
          <w:p w14:paraId="226CFBA9"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28</w:t>
            </w:r>
          </w:p>
        </w:tc>
        <w:tc>
          <w:tcPr>
            <w:tcW w:w="0" w:type="auto"/>
            <w:vAlign w:val="center"/>
            <w:hideMark/>
          </w:tcPr>
          <w:p w14:paraId="49FF3904"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6</w:t>
            </w:r>
          </w:p>
        </w:tc>
      </w:tr>
      <w:tr w:rsidR="00D50DA3" w:rsidRPr="00D50DA3" w14:paraId="678F5243" w14:textId="77777777" w:rsidTr="000A6C06">
        <w:trPr>
          <w:tblCellSpacing w:w="15" w:type="dxa"/>
        </w:trPr>
        <w:tc>
          <w:tcPr>
            <w:tcW w:w="0" w:type="auto"/>
            <w:vAlign w:val="center"/>
            <w:hideMark/>
          </w:tcPr>
          <w:p w14:paraId="7DE9DB5E"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szCs w:val="22"/>
                <w:lang w:val="fr-FR"/>
              </w:rPr>
              <w:t>Rinsing</w:t>
            </w:r>
            <w:proofErr w:type="spellEnd"/>
            <w:r w:rsidRPr="00D50DA3">
              <w:rPr>
                <w:rFonts w:ascii="Arial" w:eastAsia="Calibri" w:hAnsi="Arial" w:cs="Arial"/>
                <w:szCs w:val="22"/>
                <w:lang w:val="fr-FR"/>
              </w:rPr>
              <w:t xml:space="preserve"> the </w:t>
            </w:r>
            <w:proofErr w:type="spellStart"/>
            <w:r w:rsidRPr="00D50DA3">
              <w:rPr>
                <w:rFonts w:ascii="Arial" w:eastAsia="Calibri" w:hAnsi="Arial" w:cs="Arial"/>
                <w:szCs w:val="22"/>
                <w:lang w:val="fr-FR"/>
              </w:rPr>
              <w:t>lens</w:t>
            </w:r>
            <w:proofErr w:type="spellEnd"/>
          </w:p>
        </w:tc>
        <w:tc>
          <w:tcPr>
            <w:tcW w:w="0" w:type="auto"/>
            <w:vAlign w:val="center"/>
            <w:hideMark/>
          </w:tcPr>
          <w:p w14:paraId="0F91A97A"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5</w:t>
            </w:r>
          </w:p>
        </w:tc>
        <w:tc>
          <w:tcPr>
            <w:tcW w:w="0" w:type="auto"/>
            <w:vAlign w:val="center"/>
            <w:hideMark/>
          </w:tcPr>
          <w:p w14:paraId="621F5867"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20</w:t>
            </w:r>
          </w:p>
        </w:tc>
      </w:tr>
      <w:tr w:rsidR="00D50DA3" w:rsidRPr="00D50DA3" w14:paraId="29692ABB" w14:textId="77777777" w:rsidTr="000A6C06">
        <w:trPr>
          <w:tblCellSpacing w:w="15" w:type="dxa"/>
        </w:trPr>
        <w:tc>
          <w:tcPr>
            <w:tcW w:w="0" w:type="auto"/>
            <w:vAlign w:val="center"/>
            <w:hideMark/>
          </w:tcPr>
          <w:p w14:paraId="0053D54C"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Lens </w:t>
            </w:r>
            <w:proofErr w:type="spellStart"/>
            <w:r w:rsidRPr="00D50DA3">
              <w:rPr>
                <w:rFonts w:ascii="Arial" w:eastAsia="Calibri" w:hAnsi="Arial" w:cs="Arial"/>
                <w:szCs w:val="22"/>
                <w:lang w:val="fr-FR"/>
              </w:rPr>
              <w:t>rubbing</w:t>
            </w:r>
            <w:proofErr w:type="spellEnd"/>
            <w:r w:rsidRPr="00D50DA3">
              <w:rPr>
                <w:rFonts w:ascii="Arial" w:eastAsia="Calibri" w:hAnsi="Arial" w:cs="Arial"/>
                <w:szCs w:val="22"/>
                <w:lang w:val="fr-FR"/>
              </w:rPr>
              <w:t>/massage</w:t>
            </w:r>
          </w:p>
        </w:tc>
        <w:tc>
          <w:tcPr>
            <w:tcW w:w="0" w:type="auto"/>
            <w:vAlign w:val="center"/>
            <w:hideMark/>
          </w:tcPr>
          <w:p w14:paraId="2B2A68E0"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0</w:t>
            </w:r>
          </w:p>
        </w:tc>
        <w:tc>
          <w:tcPr>
            <w:tcW w:w="0" w:type="auto"/>
            <w:vAlign w:val="center"/>
            <w:hideMark/>
          </w:tcPr>
          <w:p w14:paraId="15062FEC"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34</w:t>
            </w:r>
          </w:p>
        </w:tc>
      </w:tr>
      <w:tr w:rsidR="00D50DA3" w:rsidRPr="00D50DA3" w14:paraId="2F25C9E3" w14:textId="77777777" w:rsidTr="000A6C06">
        <w:trPr>
          <w:tblCellSpacing w:w="15" w:type="dxa"/>
        </w:trPr>
        <w:tc>
          <w:tcPr>
            <w:tcW w:w="0" w:type="auto"/>
            <w:vAlign w:val="center"/>
            <w:hideMark/>
          </w:tcPr>
          <w:p w14:paraId="4299120A"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szCs w:val="22"/>
                <w:lang w:val="fr-FR"/>
              </w:rPr>
              <w:t>Cleaning</w:t>
            </w:r>
            <w:proofErr w:type="spellEnd"/>
            <w:r w:rsidRPr="00D50DA3">
              <w:rPr>
                <w:rFonts w:ascii="Arial" w:eastAsia="Calibri" w:hAnsi="Arial" w:cs="Arial"/>
                <w:szCs w:val="22"/>
                <w:lang w:val="fr-FR"/>
              </w:rPr>
              <w:t xml:space="preserve"> the </w:t>
            </w:r>
            <w:proofErr w:type="spellStart"/>
            <w:r w:rsidRPr="00D50DA3">
              <w:rPr>
                <w:rFonts w:ascii="Arial" w:eastAsia="Calibri" w:hAnsi="Arial" w:cs="Arial"/>
                <w:szCs w:val="22"/>
                <w:lang w:val="fr-FR"/>
              </w:rPr>
              <w:t>lens</w:t>
            </w:r>
            <w:proofErr w:type="spellEnd"/>
            <w:r w:rsidRPr="00D50DA3">
              <w:rPr>
                <w:rFonts w:ascii="Arial" w:eastAsia="Calibri" w:hAnsi="Arial" w:cs="Arial"/>
                <w:szCs w:val="22"/>
                <w:lang w:val="fr-FR"/>
              </w:rPr>
              <w:t xml:space="preserve"> case</w:t>
            </w:r>
          </w:p>
        </w:tc>
        <w:tc>
          <w:tcPr>
            <w:tcW w:w="0" w:type="auto"/>
            <w:vAlign w:val="center"/>
            <w:hideMark/>
          </w:tcPr>
          <w:p w14:paraId="0555D5C4"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3</w:t>
            </w:r>
          </w:p>
        </w:tc>
        <w:tc>
          <w:tcPr>
            <w:tcW w:w="0" w:type="auto"/>
            <w:vAlign w:val="center"/>
            <w:hideMark/>
          </w:tcPr>
          <w:p w14:paraId="48F6624C"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36</w:t>
            </w:r>
          </w:p>
        </w:tc>
      </w:tr>
      <w:tr w:rsidR="00D50DA3" w:rsidRPr="00D50DA3" w14:paraId="181032CD" w14:textId="77777777" w:rsidTr="000A6C06">
        <w:trPr>
          <w:tblCellSpacing w:w="15" w:type="dxa"/>
        </w:trPr>
        <w:tc>
          <w:tcPr>
            <w:tcW w:w="0" w:type="auto"/>
            <w:vAlign w:val="center"/>
            <w:hideMark/>
          </w:tcPr>
          <w:p w14:paraId="57BEDFDB"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Regular case replacement</w:t>
            </w:r>
          </w:p>
        </w:tc>
        <w:tc>
          <w:tcPr>
            <w:tcW w:w="0" w:type="auto"/>
            <w:vAlign w:val="center"/>
            <w:hideMark/>
          </w:tcPr>
          <w:p w14:paraId="509EBEF5"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0</w:t>
            </w:r>
          </w:p>
        </w:tc>
        <w:tc>
          <w:tcPr>
            <w:tcW w:w="0" w:type="auto"/>
            <w:vAlign w:val="center"/>
            <w:hideMark/>
          </w:tcPr>
          <w:p w14:paraId="75109425"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38</w:t>
            </w:r>
          </w:p>
        </w:tc>
      </w:tr>
      <w:tr w:rsidR="00D50DA3" w:rsidRPr="00D50DA3" w14:paraId="238572C0" w14:textId="77777777" w:rsidTr="000A6C06">
        <w:trPr>
          <w:tblCellSpacing w:w="15" w:type="dxa"/>
        </w:trPr>
        <w:tc>
          <w:tcPr>
            <w:tcW w:w="0" w:type="auto"/>
            <w:vAlign w:val="center"/>
            <w:hideMark/>
          </w:tcPr>
          <w:p w14:paraId="4079908E"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szCs w:val="22"/>
                <w:lang w:val="fr-FR"/>
              </w:rPr>
              <w:t>Protein</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removal</w:t>
            </w:r>
            <w:proofErr w:type="spellEnd"/>
            <w:r w:rsidRPr="00D50DA3">
              <w:rPr>
                <w:rFonts w:ascii="Arial" w:eastAsia="Calibri" w:hAnsi="Arial" w:cs="Arial"/>
                <w:szCs w:val="22"/>
                <w:lang w:val="fr-FR"/>
              </w:rPr>
              <w:t xml:space="preserve"> solution use</w:t>
            </w:r>
          </w:p>
        </w:tc>
        <w:tc>
          <w:tcPr>
            <w:tcW w:w="0" w:type="auto"/>
            <w:vAlign w:val="center"/>
            <w:hideMark/>
          </w:tcPr>
          <w:p w14:paraId="12AB6644"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0</w:t>
            </w:r>
          </w:p>
        </w:tc>
        <w:tc>
          <w:tcPr>
            <w:tcW w:w="0" w:type="auto"/>
            <w:vAlign w:val="center"/>
            <w:hideMark/>
          </w:tcPr>
          <w:p w14:paraId="547EE78A"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39</w:t>
            </w:r>
          </w:p>
        </w:tc>
      </w:tr>
      <w:tr w:rsidR="00D50DA3" w:rsidRPr="00D50DA3" w14:paraId="7146D4E0" w14:textId="77777777" w:rsidTr="000A6C06">
        <w:trPr>
          <w:tblCellSpacing w:w="15" w:type="dxa"/>
        </w:trPr>
        <w:tc>
          <w:tcPr>
            <w:tcW w:w="0" w:type="auto"/>
            <w:vAlign w:val="center"/>
            <w:hideMark/>
          </w:tcPr>
          <w:p w14:paraId="518FEC84"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Use of </w:t>
            </w:r>
            <w:proofErr w:type="spellStart"/>
            <w:r w:rsidRPr="00D50DA3">
              <w:rPr>
                <w:rFonts w:ascii="Arial" w:eastAsia="Calibri" w:hAnsi="Arial" w:cs="Arial"/>
                <w:szCs w:val="22"/>
                <w:lang w:val="fr-FR"/>
              </w:rPr>
              <w:t>multipurpose</w:t>
            </w:r>
            <w:proofErr w:type="spellEnd"/>
            <w:r w:rsidRPr="00D50DA3">
              <w:rPr>
                <w:rFonts w:ascii="Arial" w:eastAsia="Calibri" w:hAnsi="Arial" w:cs="Arial"/>
                <w:szCs w:val="22"/>
                <w:lang w:val="fr-FR"/>
              </w:rPr>
              <w:t xml:space="preserve"> solution</w:t>
            </w:r>
          </w:p>
        </w:tc>
        <w:tc>
          <w:tcPr>
            <w:tcW w:w="0" w:type="auto"/>
            <w:vAlign w:val="center"/>
            <w:hideMark/>
          </w:tcPr>
          <w:p w14:paraId="197169B5"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25</w:t>
            </w:r>
          </w:p>
        </w:tc>
        <w:tc>
          <w:tcPr>
            <w:tcW w:w="0" w:type="auto"/>
            <w:vAlign w:val="center"/>
            <w:hideMark/>
          </w:tcPr>
          <w:p w14:paraId="2EF111DB"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9</w:t>
            </w:r>
          </w:p>
        </w:tc>
      </w:tr>
    </w:tbl>
    <w:p w14:paraId="456178CE" w14:textId="77777777" w:rsidR="00D50DA3" w:rsidRPr="00D50DA3" w:rsidRDefault="00D50DA3" w:rsidP="00D50DA3">
      <w:pPr>
        <w:pStyle w:val="Body"/>
        <w:spacing w:after="0"/>
        <w:rPr>
          <w:rFonts w:ascii="Arial" w:eastAsia="Calibri" w:hAnsi="Arial" w:cs="Arial"/>
          <w:b/>
          <w:bCs/>
          <w:szCs w:val="22"/>
          <w:lang w:val="fr-FR"/>
        </w:rPr>
      </w:pPr>
    </w:p>
    <w:p w14:paraId="4764522C" w14:textId="77777777" w:rsidR="00D50DA3" w:rsidRPr="00D50DA3" w:rsidRDefault="00D50DA3" w:rsidP="00D50DA3">
      <w:pPr>
        <w:pStyle w:val="Body"/>
        <w:spacing w:after="0"/>
        <w:rPr>
          <w:rFonts w:ascii="Arial" w:eastAsia="Calibri" w:hAnsi="Arial" w:cs="Arial"/>
          <w:b/>
          <w:bCs/>
          <w:szCs w:val="22"/>
          <w:lang w:val="fr-FR"/>
        </w:rPr>
      </w:pPr>
    </w:p>
    <w:p w14:paraId="32E01CCC" w14:textId="77777777" w:rsidR="008B7FFA" w:rsidRDefault="008B7FFA" w:rsidP="00441B6F">
      <w:pPr>
        <w:pStyle w:val="Body"/>
        <w:spacing w:after="0"/>
        <w:rPr>
          <w:rFonts w:ascii="Arial" w:eastAsia="Calibri" w:hAnsi="Arial" w:cs="Arial"/>
          <w:szCs w:val="22"/>
        </w:rPr>
      </w:pPr>
    </w:p>
    <w:p w14:paraId="1675864D" w14:textId="77777777" w:rsidR="006C294A" w:rsidRDefault="006C294A" w:rsidP="00441B6F">
      <w:pPr>
        <w:pStyle w:val="Body"/>
        <w:spacing w:after="0"/>
        <w:rPr>
          <w:rFonts w:ascii="Arial" w:eastAsia="Calibri" w:hAnsi="Arial" w:cs="Arial"/>
          <w:szCs w:val="22"/>
        </w:rPr>
      </w:pPr>
    </w:p>
    <w:p w14:paraId="0F5198F0" w14:textId="77777777" w:rsidR="006C294A" w:rsidRPr="006C294A" w:rsidRDefault="006C294A" w:rsidP="006C294A">
      <w:pPr>
        <w:pStyle w:val="Body"/>
        <w:spacing w:after="0"/>
        <w:rPr>
          <w:rFonts w:ascii="Arial" w:eastAsia="Calibri" w:hAnsi="Arial" w:cs="Arial"/>
          <w:b/>
          <w:bCs/>
          <w:szCs w:val="22"/>
        </w:rPr>
      </w:pPr>
      <w:r w:rsidRPr="006C294A">
        <w:rPr>
          <w:rFonts w:ascii="Arial" w:eastAsia="Calibri" w:hAnsi="Arial" w:cs="Arial"/>
          <w:b/>
          <w:bCs/>
          <w:szCs w:val="22"/>
        </w:rPr>
        <w:t>DISCUSSION</w:t>
      </w:r>
    </w:p>
    <w:p w14:paraId="4864E36A" w14:textId="77777777" w:rsidR="006C294A" w:rsidRPr="006C294A" w:rsidRDefault="006C294A" w:rsidP="006C294A">
      <w:pPr>
        <w:pStyle w:val="Body"/>
        <w:spacing w:after="0"/>
        <w:rPr>
          <w:rFonts w:ascii="Arial" w:eastAsia="Calibri" w:hAnsi="Arial" w:cs="Arial"/>
          <w:b/>
          <w:bCs/>
          <w:i/>
          <w:iCs/>
          <w:szCs w:val="22"/>
        </w:rPr>
      </w:pPr>
      <w:r w:rsidRPr="006C294A">
        <w:rPr>
          <w:rFonts w:ascii="Arial" w:eastAsia="Calibri" w:hAnsi="Arial" w:cs="Arial"/>
          <w:b/>
          <w:bCs/>
          <w:i/>
          <w:iCs/>
          <w:szCs w:val="22"/>
        </w:rPr>
        <w:t>Importance of Clinical History in Soft Contact Lens Fitting</w:t>
      </w:r>
    </w:p>
    <w:p w14:paraId="61752422" w14:textId="77777777" w:rsidR="006C294A" w:rsidRPr="006C294A" w:rsidRDefault="006C294A" w:rsidP="006C294A">
      <w:pPr>
        <w:pStyle w:val="Body"/>
        <w:spacing w:after="0"/>
        <w:rPr>
          <w:rFonts w:ascii="Arial" w:eastAsia="Calibri" w:hAnsi="Arial" w:cs="Arial"/>
          <w:szCs w:val="22"/>
        </w:rPr>
      </w:pPr>
      <w:r w:rsidRPr="006C294A">
        <w:rPr>
          <w:rFonts w:ascii="Arial" w:eastAsia="Calibri" w:hAnsi="Arial" w:cs="Arial"/>
          <w:szCs w:val="22"/>
        </w:rPr>
        <w:t>Age, sex, and patient characteristics significantly influence the success of contact lens adaptation. Older individuals, particularly women over 45, are more prone to tear film insufficiency and dry eye symptoms due to hormonal changes, and may experience reduced manual dexterity, necessitating thicker lenses with higher modulus. Conversely, adolescents require maturity and compliance, favoring daily disposable modalities. Our cohort consisted exclusively of young adult females (mean age: 22.7 years), consistent with reports highlighting the predominance of women among contact lens wearers in this age group (Mention, 2018).</w:t>
      </w:r>
    </w:p>
    <w:p w14:paraId="65F82941" w14:textId="77777777" w:rsidR="006C294A" w:rsidRPr="006C294A" w:rsidRDefault="006C294A" w:rsidP="006C294A">
      <w:pPr>
        <w:pStyle w:val="Body"/>
        <w:spacing w:after="0"/>
        <w:rPr>
          <w:rFonts w:ascii="Arial" w:eastAsia="Calibri" w:hAnsi="Arial" w:cs="Arial"/>
          <w:szCs w:val="22"/>
        </w:rPr>
      </w:pPr>
      <w:r w:rsidRPr="006C294A">
        <w:rPr>
          <w:rFonts w:ascii="Arial" w:eastAsia="Calibri" w:hAnsi="Arial" w:cs="Arial"/>
          <w:szCs w:val="22"/>
        </w:rPr>
        <w:t xml:space="preserve">Identifying patient motivation is essential to ensure autonomous decision-making and to align lens choice with functional demands. Patients requiring continuous optimal vision, including nighttime activities, may benefit from </w:t>
      </w:r>
      <w:proofErr w:type="spellStart"/>
      <w:r w:rsidRPr="006C294A">
        <w:rPr>
          <w:rFonts w:ascii="Arial" w:eastAsia="Calibri" w:hAnsi="Arial" w:cs="Arial"/>
          <w:szCs w:val="22"/>
        </w:rPr>
        <w:t>toric</w:t>
      </w:r>
      <w:proofErr w:type="spellEnd"/>
      <w:r w:rsidRPr="006C294A">
        <w:rPr>
          <w:rFonts w:ascii="Arial" w:eastAsia="Calibri" w:hAnsi="Arial" w:cs="Arial"/>
          <w:szCs w:val="22"/>
        </w:rPr>
        <w:t xml:space="preserve"> designs in the presence of astigmatism, whereas occasional users (e.g., athletes) are better suited for daily disposables. In our study, all patients were permanent wearers, with 20% reporting swimming while using monthly or quarterly lenses, a practice known to increase infection risk.</w:t>
      </w:r>
    </w:p>
    <w:p w14:paraId="7C539AF2" w14:textId="77777777" w:rsidR="006C294A" w:rsidRDefault="006C294A" w:rsidP="006C294A">
      <w:pPr>
        <w:pStyle w:val="Body"/>
        <w:spacing w:after="0"/>
        <w:rPr>
          <w:rFonts w:ascii="Arial" w:eastAsia="Calibri" w:hAnsi="Arial" w:cs="Arial"/>
          <w:szCs w:val="22"/>
        </w:rPr>
      </w:pPr>
      <w:r w:rsidRPr="006C294A">
        <w:rPr>
          <w:rFonts w:ascii="Arial" w:eastAsia="Calibri" w:hAnsi="Arial" w:cs="Arial"/>
          <w:szCs w:val="22"/>
        </w:rPr>
        <w:t>Systemic and ocular comorbidities also impact lens tolerance. Conditions such as asthma, sinusitis, and allergic conjunctivitis predispose to complications including giant papillary conjunctivitis (GPC), for which daily disposables are preferable. Diabetes, pregnancy, and systemic medications (e.g., isotretinoin, antihistamines, diuretics) may alter tear physiology and lens tolerance (Stapleton et al., 2017).</w:t>
      </w:r>
    </w:p>
    <w:p w14:paraId="124D41A8" w14:textId="77777777" w:rsidR="006C294A" w:rsidRPr="006C294A" w:rsidRDefault="006C294A" w:rsidP="006C294A">
      <w:pPr>
        <w:pStyle w:val="Body"/>
        <w:spacing w:after="0"/>
        <w:rPr>
          <w:rFonts w:ascii="Arial" w:eastAsia="Calibri" w:hAnsi="Arial" w:cs="Arial"/>
          <w:szCs w:val="22"/>
        </w:rPr>
      </w:pPr>
    </w:p>
    <w:p w14:paraId="2E6C2B2E" w14:textId="77777777" w:rsidR="006C294A" w:rsidRPr="006C294A" w:rsidRDefault="006C294A" w:rsidP="006C294A">
      <w:pPr>
        <w:pStyle w:val="Body"/>
        <w:spacing w:after="0"/>
        <w:rPr>
          <w:rFonts w:ascii="Arial" w:eastAsia="Calibri" w:hAnsi="Arial" w:cs="Arial"/>
          <w:b/>
          <w:bCs/>
          <w:i/>
          <w:iCs/>
          <w:szCs w:val="22"/>
        </w:rPr>
      </w:pPr>
      <w:r w:rsidRPr="006C294A">
        <w:rPr>
          <w:rFonts w:ascii="Arial" w:eastAsia="Calibri" w:hAnsi="Arial" w:cs="Arial"/>
          <w:b/>
          <w:bCs/>
          <w:i/>
          <w:iCs/>
          <w:szCs w:val="22"/>
        </w:rPr>
        <w:t>Lens Material and Oxygen Permeability</w:t>
      </w:r>
    </w:p>
    <w:p w14:paraId="06C14188" w14:textId="77777777" w:rsidR="006C294A" w:rsidRDefault="006C294A" w:rsidP="006C294A">
      <w:pPr>
        <w:pStyle w:val="Body"/>
        <w:spacing w:after="0"/>
        <w:rPr>
          <w:rFonts w:ascii="Arial" w:eastAsia="Calibri" w:hAnsi="Arial" w:cs="Arial"/>
          <w:szCs w:val="22"/>
        </w:rPr>
      </w:pPr>
      <w:r w:rsidRPr="006C294A">
        <w:rPr>
          <w:rFonts w:ascii="Arial" w:eastAsia="Calibri" w:hAnsi="Arial" w:cs="Arial"/>
          <w:szCs w:val="22"/>
        </w:rPr>
        <w:t xml:space="preserve">The introduction of silicone hydrogel lenses has been a major advance, providing higher oxygen transmissibility (Dk/t 86–175) compared with conventional hydrogels (Dk/t 26–42), thereby reducing hypoxic complications and improving comfort (Sweeney, 2013). However, 83% of our patients were fitted with hydrogel lenses, reflecting limited market availability in Tunisia. Hypoxic complications were observed in 88% of cases, in line with thresholds established by Holden &amp; Mertz (1984) and </w:t>
      </w:r>
      <w:proofErr w:type="spellStart"/>
      <w:r w:rsidRPr="006C294A">
        <w:rPr>
          <w:rFonts w:ascii="Arial" w:eastAsia="Calibri" w:hAnsi="Arial" w:cs="Arial"/>
          <w:szCs w:val="22"/>
        </w:rPr>
        <w:t>Harvitt</w:t>
      </w:r>
      <w:proofErr w:type="spellEnd"/>
      <w:r w:rsidRPr="006C294A">
        <w:rPr>
          <w:rFonts w:ascii="Arial" w:eastAsia="Calibri" w:hAnsi="Arial" w:cs="Arial"/>
          <w:szCs w:val="22"/>
        </w:rPr>
        <w:t xml:space="preserve"> &amp; </w:t>
      </w:r>
      <w:proofErr w:type="spellStart"/>
      <w:r w:rsidRPr="006C294A">
        <w:rPr>
          <w:rFonts w:ascii="Arial" w:eastAsia="Calibri" w:hAnsi="Arial" w:cs="Arial"/>
          <w:szCs w:val="22"/>
        </w:rPr>
        <w:t>Bonanno</w:t>
      </w:r>
      <w:proofErr w:type="spellEnd"/>
      <w:r w:rsidRPr="006C294A">
        <w:rPr>
          <w:rFonts w:ascii="Arial" w:eastAsia="Calibri" w:hAnsi="Arial" w:cs="Arial"/>
          <w:szCs w:val="22"/>
        </w:rPr>
        <w:t xml:space="preserve"> (1999), who reported minimum Dk/t values of 87 and 125, respectively, to prevent corneal hypoxia.</w:t>
      </w:r>
    </w:p>
    <w:p w14:paraId="7D9195FD" w14:textId="77777777" w:rsidR="006C294A" w:rsidRPr="006C294A" w:rsidRDefault="006C294A" w:rsidP="006C294A">
      <w:pPr>
        <w:pStyle w:val="Body"/>
        <w:spacing w:after="0"/>
        <w:rPr>
          <w:rFonts w:ascii="Arial" w:eastAsia="Calibri" w:hAnsi="Arial" w:cs="Arial"/>
          <w:szCs w:val="22"/>
        </w:rPr>
      </w:pPr>
    </w:p>
    <w:p w14:paraId="3EFBAC43" w14:textId="77777777" w:rsidR="006C294A" w:rsidRPr="006C294A" w:rsidRDefault="006C294A" w:rsidP="006C294A">
      <w:pPr>
        <w:pStyle w:val="Body"/>
        <w:spacing w:after="0"/>
        <w:rPr>
          <w:rFonts w:ascii="Arial" w:eastAsia="Calibri" w:hAnsi="Arial" w:cs="Arial"/>
          <w:b/>
          <w:bCs/>
          <w:i/>
          <w:iCs/>
          <w:szCs w:val="22"/>
        </w:rPr>
      </w:pPr>
      <w:r w:rsidRPr="006C294A">
        <w:rPr>
          <w:rFonts w:ascii="Arial" w:eastAsia="Calibri" w:hAnsi="Arial" w:cs="Arial"/>
          <w:b/>
          <w:bCs/>
          <w:i/>
          <w:iCs/>
          <w:szCs w:val="22"/>
        </w:rPr>
        <w:t>Adaptation and Professional Follow-up</w:t>
      </w:r>
    </w:p>
    <w:p w14:paraId="580C6679" w14:textId="77777777" w:rsidR="006C294A" w:rsidRDefault="006C294A" w:rsidP="006C294A">
      <w:pPr>
        <w:pStyle w:val="Body"/>
        <w:spacing w:after="0"/>
        <w:rPr>
          <w:rFonts w:ascii="Arial" w:eastAsia="Calibri" w:hAnsi="Arial" w:cs="Arial"/>
          <w:szCs w:val="22"/>
        </w:rPr>
      </w:pPr>
      <w:r w:rsidRPr="006C294A">
        <w:rPr>
          <w:rFonts w:ascii="Arial" w:eastAsia="Calibri" w:hAnsi="Arial" w:cs="Arial"/>
          <w:szCs w:val="22"/>
        </w:rPr>
        <w:t>Only 12% of our patients underwent medicalized fitting and follow-up. Lack of professional supervision was strongly associated with complications, consistent with previous studies reporting a six-fold increase in adverse events among unsupervised wearers (</w:t>
      </w:r>
      <w:proofErr w:type="spellStart"/>
      <w:r w:rsidRPr="006C294A">
        <w:rPr>
          <w:rFonts w:ascii="Arial" w:eastAsia="Calibri" w:hAnsi="Arial" w:cs="Arial"/>
          <w:szCs w:val="22"/>
        </w:rPr>
        <w:t>Boursier</w:t>
      </w:r>
      <w:proofErr w:type="spellEnd"/>
      <w:r w:rsidRPr="006C294A">
        <w:rPr>
          <w:rFonts w:ascii="Arial" w:eastAsia="Calibri" w:hAnsi="Arial" w:cs="Arial"/>
          <w:szCs w:val="22"/>
        </w:rPr>
        <w:t xml:space="preserve">, 2010). </w:t>
      </w:r>
      <w:r w:rsidRPr="006C294A">
        <w:rPr>
          <w:rFonts w:ascii="Arial" w:eastAsia="Calibri" w:hAnsi="Arial" w:cs="Arial"/>
          <w:szCs w:val="22"/>
        </w:rPr>
        <w:lastRenderedPageBreak/>
        <w:t>A structured fitting process, including biometric assessment, parameter optimization, and patient instruction, is essential to minimize risks and optimize visual outcomes.</w:t>
      </w:r>
    </w:p>
    <w:p w14:paraId="1E6C7FD9" w14:textId="77777777" w:rsidR="006C294A" w:rsidRPr="006C294A" w:rsidRDefault="006C294A" w:rsidP="006C294A">
      <w:pPr>
        <w:pStyle w:val="Body"/>
        <w:spacing w:after="0"/>
        <w:rPr>
          <w:rFonts w:ascii="Arial" w:eastAsia="Calibri" w:hAnsi="Arial" w:cs="Arial"/>
          <w:szCs w:val="22"/>
        </w:rPr>
      </w:pPr>
    </w:p>
    <w:p w14:paraId="6EC40B84" w14:textId="77777777" w:rsidR="006C294A" w:rsidRPr="006C294A" w:rsidRDefault="006C294A" w:rsidP="006C294A">
      <w:pPr>
        <w:pStyle w:val="Body"/>
        <w:spacing w:after="0"/>
        <w:rPr>
          <w:rFonts w:ascii="Arial" w:eastAsia="Calibri" w:hAnsi="Arial" w:cs="Arial"/>
          <w:b/>
          <w:bCs/>
          <w:i/>
          <w:iCs/>
          <w:szCs w:val="22"/>
        </w:rPr>
      </w:pPr>
      <w:r w:rsidRPr="006C294A">
        <w:rPr>
          <w:rFonts w:ascii="Arial" w:eastAsia="Calibri" w:hAnsi="Arial" w:cs="Arial"/>
          <w:b/>
          <w:bCs/>
          <w:i/>
          <w:iCs/>
          <w:szCs w:val="22"/>
        </w:rPr>
        <w:t>Subjective Comfort and Discontinuation</w:t>
      </w:r>
    </w:p>
    <w:p w14:paraId="71FAC5CE" w14:textId="05B9FED5" w:rsidR="006C294A" w:rsidRDefault="006C294A" w:rsidP="006C294A">
      <w:pPr>
        <w:pStyle w:val="Body"/>
        <w:spacing w:after="0"/>
        <w:rPr>
          <w:rFonts w:ascii="Arial" w:eastAsia="Calibri" w:hAnsi="Arial" w:cs="Arial"/>
          <w:szCs w:val="22"/>
        </w:rPr>
      </w:pPr>
      <w:r w:rsidRPr="006C294A">
        <w:rPr>
          <w:rFonts w:ascii="Arial" w:eastAsia="Calibri" w:hAnsi="Arial" w:cs="Arial"/>
          <w:szCs w:val="22"/>
        </w:rPr>
        <w:t>Contact lens discomfort remains the leading cause of discontinuation, with reported prevalence ranging from 31–79%. In our series, 65% of patients experienced discomfort, often associated with inappropriate lens fit (e.g., tight lens syndrome). Adjusting lens design or base curve is often necessary to improve tolerance.</w:t>
      </w:r>
    </w:p>
    <w:p w14:paraId="3BE7B6CC" w14:textId="77777777" w:rsidR="006C294A" w:rsidRPr="006C294A" w:rsidRDefault="006C294A" w:rsidP="006C294A">
      <w:pPr>
        <w:pStyle w:val="Body"/>
        <w:spacing w:after="0"/>
        <w:rPr>
          <w:rFonts w:ascii="Arial" w:eastAsia="Calibri" w:hAnsi="Arial" w:cs="Arial"/>
          <w:szCs w:val="22"/>
        </w:rPr>
      </w:pPr>
    </w:p>
    <w:p w14:paraId="3C835D9B" w14:textId="77777777" w:rsidR="006C294A" w:rsidRPr="006C294A" w:rsidRDefault="006C294A" w:rsidP="006C294A">
      <w:pPr>
        <w:pStyle w:val="Body"/>
        <w:spacing w:after="0"/>
        <w:rPr>
          <w:rFonts w:ascii="Arial" w:eastAsia="Calibri" w:hAnsi="Arial" w:cs="Arial"/>
          <w:b/>
          <w:bCs/>
          <w:i/>
          <w:iCs/>
          <w:szCs w:val="22"/>
        </w:rPr>
      </w:pPr>
      <w:r w:rsidRPr="006C294A">
        <w:rPr>
          <w:rFonts w:ascii="Arial" w:eastAsia="Calibri" w:hAnsi="Arial" w:cs="Arial"/>
          <w:b/>
          <w:bCs/>
          <w:i/>
          <w:iCs/>
          <w:szCs w:val="22"/>
        </w:rPr>
        <w:t>Role of Specialized Clinical Examination</w:t>
      </w:r>
    </w:p>
    <w:p w14:paraId="16AAE132" w14:textId="3B487551" w:rsidR="006C294A" w:rsidRPr="006C294A" w:rsidRDefault="006C294A" w:rsidP="006C294A">
      <w:pPr>
        <w:pStyle w:val="Body"/>
        <w:spacing w:after="0"/>
        <w:rPr>
          <w:rFonts w:ascii="Arial" w:eastAsia="Calibri" w:hAnsi="Arial" w:cs="Arial"/>
          <w:szCs w:val="22"/>
        </w:rPr>
      </w:pPr>
      <w:r w:rsidRPr="006C294A">
        <w:rPr>
          <w:rFonts w:ascii="Arial" w:eastAsia="Calibri" w:hAnsi="Arial" w:cs="Arial"/>
          <w:szCs w:val="22"/>
        </w:rPr>
        <w:t xml:space="preserve">Precise ophthalmic examination is critical in guiding lens choice. The type and degree of ametropia influence suitability: high ametropia reduces oxygen availability, while irregular astigmatism represents a contraindication (Efron, 2017). In our cohort, myopia with astigmatism predominated (85%), yet none of the patients wore </w:t>
      </w:r>
      <w:proofErr w:type="spellStart"/>
      <w:r w:rsidRPr="006C294A">
        <w:rPr>
          <w:rFonts w:ascii="Arial" w:eastAsia="Calibri" w:hAnsi="Arial" w:cs="Arial"/>
          <w:szCs w:val="22"/>
        </w:rPr>
        <w:t>toric</w:t>
      </w:r>
      <w:proofErr w:type="spellEnd"/>
      <w:r w:rsidRPr="006C294A">
        <w:rPr>
          <w:rFonts w:ascii="Arial" w:eastAsia="Calibri" w:hAnsi="Arial" w:cs="Arial"/>
          <w:szCs w:val="22"/>
        </w:rPr>
        <w:t xml:space="preserve"> lenses, and 45% did not account for spherical equivalence, contributing to reduced visual acuity and functional symptoms such as headaches and asthenopia.</w:t>
      </w:r>
    </w:p>
    <w:p w14:paraId="348E057E" w14:textId="4A8283E3" w:rsidR="006C294A" w:rsidRPr="006C294A" w:rsidRDefault="006C294A" w:rsidP="006C294A">
      <w:pPr>
        <w:pStyle w:val="Body"/>
        <w:spacing w:after="0"/>
        <w:rPr>
          <w:rFonts w:ascii="Arial" w:eastAsia="Calibri" w:hAnsi="Arial" w:cs="Arial"/>
          <w:szCs w:val="22"/>
        </w:rPr>
      </w:pPr>
      <w:r w:rsidRPr="006C294A">
        <w:rPr>
          <w:rFonts w:ascii="Arial" w:eastAsia="Calibri" w:hAnsi="Arial" w:cs="Arial"/>
          <w:szCs w:val="22"/>
        </w:rPr>
        <w:t xml:space="preserve">Biometric assessment (corneal diameter, palpebral aperture, </w:t>
      </w:r>
      <w:proofErr w:type="spellStart"/>
      <w:r w:rsidRPr="006C294A">
        <w:rPr>
          <w:rFonts w:ascii="Arial" w:eastAsia="Calibri" w:hAnsi="Arial" w:cs="Arial"/>
          <w:szCs w:val="22"/>
        </w:rPr>
        <w:t>sclero</w:t>
      </w:r>
      <w:proofErr w:type="spellEnd"/>
      <w:r w:rsidRPr="006C294A">
        <w:rPr>
          <w:rFonts w:ascii="Arial" w:eastAsia="Calibri" w:hAnsi="Arial" w:cs="Arial"/>
          <w:szCs w:val="22"/>
        </w:rPr>
        <w:t xml:space="preserve">-corneal profile) is crucial for determining lens geometry. We observed a strong correlation between </w:t>
      </w:r>
      <w:proofErr w:type="spellStart"/>
      <w:r w:rsidRPr="006C294A">
        <w:rPr>
          <w:rFonts w:ascii="Arial" w:eastAsia="Calibri" w:hAnsi="Arial" w:cs="Arial"/>
          <w:szCs w:val="22"/>
        </w:rPr>
        <w:t>sclero</w:t>
      </w:r>
      <w:proofErr w:type="spellEnd"/>
      <w:r w:rsidRPr="006C294A">
        <w:rPr>
          <w:rFonts w:ascii="Arial" w:eastAsia="Calibri" w:hAnsi="Arial" w:cs="Arial"/>
          <w:szCs w:val="22"/>
        </w:rPr>
        <w:t>-corneal profile and lens mobility, confirming previous findings (Barthe, 2020). Tear film evaluation further guides suitability, as dry eye is a frequent comorbidity among lens wearers, reported in up to 52% globally. In our series, prolonged wear (&gt;12 hours/day) and screen use exacerbated symptoms.</w:t>
      </w:r>
    </w:p>
    <w:p w14:paraId="477593CE" w14:textId="77777777" w:rsidR="006C294A" w:rsidRDefault="006C294A" w:rsidP="006C294A">
      <w:pPr>
        <w:pStyle w:val="Body"/>
        <w:spacing w:after="0"/>
        <w:rPr>
          <w:rFonts w:ascii="Arial" w:eastAsia="Calibri" w:hAnsi="Arial" w:cs="Arial"/>
          <w:szCs w:val="22"/>
        </w:rPr>
      </w:pPr>
      <w:r w:rsidRPr="006C294A">
        <w:rPr>
          <w:rFonts w:ascii="Arial" w:eastAsia="Calibri" w:hAnsi="Arial" w:cs="Arial"/>
          <w:szCs w:val="22"/>
        </w:rPr>
        <w:t>Slit-lamp examination remains indispensable for detecting lens-related complications. Hypoxic (corneal neovascularization), allergic (GPC, conjunctival hyperemia), and mechanical (superficial punctate keratitis, deposits) complications were frequent, while infectious events were absent, possibly due to the small sample size (</w:t>
      </w:r>
      <w:proofErr w:type="spellStart"/>
      <w:r w:rsidRPr="006C294A">
        <w:rPr>
          <w:rFonts w:ascii="Arial" w:eastAsia="Calibri" w:hAnsi="Arial" w:cs="Arial"/>
          <w:szCs w:val="22"/>
        </w:rPr>
        <w:t>Efron</w:t>
      </w:r>
      <w:proofErr w:type="spellEnd"/>
      <w:r w:rsidRPr="006C294A">
        <w:rPr>
          <w:rFonts w:ascii="Arial" w:eastAsia="Calibri" w:hAnsi="Arial" w:cs="Arial"/>
          <w:szCs w:val="22"/>
        </w:rPr>
        <w:t>, 2017; Nichols et al., 2020).</w:t>
      </w:r>
    </w:p>
    <w:p w14:paraId="57BBE89F" w14:textId="77777777" w:rsidR="006C294A" w:rsidRPr="006C294A" w:rsidRDefault="006C294A" w:rsidP="006C294A">
      <w:pPr>
        <w:pStyle w:val="Body"/>
        <w:spacing w:after="0"/>
        <w:rPr>
          <w:rFonts w:ascii="Arial" w:eastAsia="Calibri" w:hAnsi="Arial" w:cs="Arial"/>
          <w:szCs w:val="22"/>
        </w:rPr>
      </w:pPr>
    </w:p>
    <w:p w14:paraId="04B4284C" w14:textId="77777777" w:rsidR="006C294A" w:rsidRPr="006C294A" w:rsidRDefault="006C294A" w:rsidP="006C294A">
      <w:pPr>
        <w:pStyle w:val="Body"/>
        <w:spacing w:after="0"/>
        <w:rPr>
          <w:rFonts w:ascii="Arial" w:eastAsia="Calibri" w:hAnsi="Arial" w:cs="Arial"/>
          <w:b/>
          <w:bCs/>
          <w:i/>
          <w:iCs/>
          <w:szCs w:val="22"/>
        </w:rPr>
      </w:pPr>
      <w:r w:rsidRPr="006C294A">
        <w:rPr>
          <w:rFonts w:ascii="Arial" w:eastAsia="Calibri" w:hAnsi="Arial" w:cs="Arial"/>
          <w:b/>
          <w:bCs/>
          <w:i/>
          <w:iCs/>
          <w:szCs w:val="22"/>
        </w:rPr>
        <w:t>Lens Care and Hygiene Practices</w:t>
      </w:r>
    </w:p>
    <w:p w14:paraId="0E7A92A6" w14:textId="2DA249F8" w:rsidR="006C294A" w:rsidRDefault="006C294A" w:rsidP="006C294A">
      <w:pPr>
        <w:pStyle w:val="Body"/>
        <w:spacing w:after="0"/>
        <w:rPr>
          <w:rFonts w:ascii="Arial" w:eastAsia="Calibri" w:hAnsi="Arial" w:cs="Arial"/>
          <w:szCs w:val="22"/>
        </w:rPr>
      </w:pPr>
      <w:r w:rsidRPr="006C294A">
        <w:rPr>
          <w:rFonts w:ascii="Arial" w:eastAsia="Calibri" w:hAnsi="Arial" w:cs="Arial"/>
          <w:szCs w:val="22"/>
        </w:rPr>
        <w:t>Inadequate lens hygiene was a major contributor to complications. Only 15% of patients rinsed their lenses, and none performed lens massage. Case hygiene was universally poor, with no participants adhering to recommended replacement schedules, a recognized risk factor for microbial colonization (Nichols et al., 2020). Inappropriate practices</w:t>
      </w:r>
      <w:r>
        <w:rPr>
          <w:rFonts w:ascii="Arial" w:eastAsia="Calibri" w:hAnsi="Arial" w:cs="Arial"/>
          <w:szCs w:val="22"/>
        </w:rPr>
        <w:t xml:space="preserve"> </w:t>
      </w:r>
      <w:r w:rsidRPr="006C294A">
        <w:rPr>
          <w:rFonts w:ascii="Arial" w:eastAsia="Calibri" w:hAnsi="Arial" w:cs="Arial"/>
          <w:szCs w:val="22"/>
        </w:rPr>
        <w:t>including overnight wear (59%), use of expired solutions (50%), tap water (20%), and swimming with lenses (6%)</w:t>
      </w:r>
      <w:r>
        <w:rPr>
          <w:rFonts w:ascii="Arial" w:eastAsia="Calibri" w:hAnsi="Arial" w:cs="Arial"/>
          <w:szCs w:val="22"/>
        </w:rPr>
        <w:t xml:space="preserve"> </w:t>
      </w:r>
      <w:r w:rsidRPr="006C294A">
        <w:rPr>
          <w:rFonts w:ascii="Arial" w:eastAsia="Calibri" w:hAnsi="Arial" w:cs="Arial"/>
          <w:szCs w:val="22"/>
        </w:rPr>
        <w:t xml:space="preserve">were common and significantly increased the risk of microbial keratitis, including </w:t>
      </w:r>
      <w:r w:rsidRPr="006C294A">
        <w:rPr>
          <w:rFonts w:ascii="Arial" w:eastAsia="Calibri" w:hAnsi="Arial" w:cs="Arial"/>
          <w:i/>
          <w:iCs/>
          <w:szCs w:val="22"/>
        </w:rPr>
        <w:t>Acanthamoeba</w:t>
      </w:r>
      <w:r w:rsidRPr="006C294A">
        <w:rPr>
          <w:rFonts w:ascii="Arial" w:eastAsia="Calibri" w:hAnsi="Arial" w:cs="Arial"/>
          <w:szCs w:val="22"/>
        </w:rPr>
        <w:t xml:space="preserve"> infection (CDC, 2019).</w:t>
      </w:r>
    </w:p>
    <w:p w14:paraId="3446ED40" w14:textId="77777777" w:rsidR="006C294A" w:rsidRPr="006C294A" w:rsidRDefault="006C294A" w:rsidP="006C294A">
      <w:pPr>
        <w:pStyle w:val="Body"/>
        <w:spacing w:after="0"/>
        <w:rPr>
          <w:rFonts w:ascii="Arial" w:eastAsia="Calibri" w:hAnsi="Arial" w:cs="Arial"/>
          <w:szCs w:val="22"/>
        </w:rPr>
      </w:pPr>
    </w:p>
    <w:p w14:paraId="0F58B623" w14:textId="77777777" w:rsidR="006C294A" w:rsidRPr="006C294A" w:rsidRDefault="006C294A" w:rsidP="006C294A">
      <w:pPr>
        <w:pStyle w:val="Body"/>
        <w:spacing w:after="0"/>
        <w:rPr>
          <w:rFonts w:ascii="Arial" w:eastAsia="Calibri" w:hAnsi="Arial" w:cs="Arial"/>
          <w:b/>
          <w:bCs/>
          <w:i/>
          <w:iCs/>
          <w:szCs w:val="22"/>
        </w:rPr>
      </w:pPr>
      <w:r w:rsidRPr="006C294A">
        <w:rPr>
          <w:rFonts w:ascii="Arial" w:eastAsia="Calibri" w:hAnsi="Arial" w:cs="Arial"/>
          <w:b/>
          <w:bCs/>
          <w:i/>
          <w:iCs/>
          <w:szCs w:val="22"/>
        </w:rPr>
        <w:t>Patient Education and Preventive Strategies</w:t>
      </w:r>
    </w:p>
    <w:p w14:paraId="5950094C" w14:textId="5BD37A32" w:rsidR="006C294A" w:rsidRDefault="006C294A" w:rsidP="006C294A">
      <w:pPr>
        <w:pStyle w:val="Body"/>
        <w:spacing w:after="0"/>
        <w:rPr>
          <w:rFonts w:ascii="Arial" w:eastAsia="Calibri" w:hAnsi="Arial" w:cs="Arial"/>
          <w:szCs w:val="22"/>
        </w:rPr>
      </w:pPr>
      <w:r w:rsidRPr="006C294A">
        <w:rPr>
          <w:rFonts w:ascii="Arial" w:eastAsia="Calibri" w:hAnsi="Arial" w:cs="Arial"/>
          <w:szCs w:val="22"/>
        </w:rPr>
        <w:t>Our findings underscore the critical importance of patient education as the cornerstone of safe lens wear. Educational interventions, reinforcement of hygiene measures, and regular ophthalmological follow-up are effective strategies to reduce complications. Collaborative efforts between ophthalmologists, optometrists, and patients are necessary to promote adherence and optimize outcomes.</w:t>
      </w:r>
    </w:p>
    <w:p w14:paraId="17768311" w14:textId="77777777" w:rsidR="001A3DF1" w:rsidRDefault="001A3DF1" w:rsidP="006C294A">
      <w:pPr>
        <w:pStyle w:val="Body"/>
        <w:spacing w:after="0"/>
        <w:rPr>
          <w:rFonts w:ascii="Arial" w:eastAsia="Calibri" w:hAnsi="Arial" w:cs="Arial"/>
          <w:szCs w:val="22"/>
        </w:rPr>
      </w:pPr>
    </w:p>
    <w:p w14:paraId="17F5D81D" w14:textId="77777777" w:rsidR="001A3DF1" w:rsidRPr="001A3DF1" w:rsidRDefault="001A3DF1" w:rsidP="001A3DF1">
      <w:pPr>
        <w:pStyle w:val="Body"/>
        <w:spacing w:after="0"/>
        <w:rPr>
          <w:rFonts w:ascii="Arial" w:eastAsia="Calibri" w:hAnsi="Arial" w:cs="Arial"/>
          <w:i/>
          <w:iCs/>
          <w:szCs w:val="22"/>
        </w:rPr>
      </w:pPr>
      <w:r w:rsidRPr="001A3DF1">
        <w:rPr>
          <w:rFonts w:ascii="Arial" w:eastAsia="Calibri" w:hAnsi="Arial" w:cs="Arial"/>
          <w:b/>
          <w:bCs/>
          <w:i/>
          <w:iCs/>
          <w:szCs w:val="22"/>
        </w:rPr>
        <w:t>Study Limitations</w:t>
      </w:r>
    </w:p>
    <w:p w14:paraId="4D707FD0" w14:textId="77777777" w:rsidR="001A3DF1" w:rsidRPr="001A3DF1" w:rsidRDefault="001A3DF1" w:rsidP="001A3DF1">
      <w:pPr>
        <w:pStyle w:val="Body"/>
        <w:spacing w:after="0"/>
        <w:rPr>
          <w:rFonts w:ascii="Arial" w:eastAsia="Calibri" w:hAnsi="Arial" w:cs="Arial"/>
          <w:szCs w:val="22"/>
        </w:rPr>
      </w:pPr>
      <w:r w:rsidRPr="001A3DF1">
        <w:rPr>
          <w:rFonts w:ascii="Arial" w:eastAsia="Calibri" w:hAnsi="Arial" w:cs="Arial"/>
          <w:szCs w:val="22"/>
        </w:rPr>
        <w:t>Several limitations must be considered when interpreting our results. First, the retrospective and descriptive nature of the study, the absence of a control group, and the small sample size constrain the strength of our conclusions and prevent the establishment of causal relationships or generalizability of the findings. Second, data on hygiene and wear practices were self-reported, which introduces a potential risk of reporting bias. Third, recruitment from a single center and the exclusively female cohort limit the representativeness of the sample. Finally, the lack of comparative statistical analysis, as rightly noted by the reviewer, prevents robust confirmation of the associations between risk practices and the observed complications.</w:t>
      </w:r>
    </w:p>
    <w:p w14:paraId="6FE44000" w14:textId="3A175D6E" w:rsidR="001A3DF1" w:rsidRPr="001A3DF1" w:rsidRDefault="001A3DF1" w:rsidP="001A3DF1">
      <w:pPr>
        <w:pStyle w:val="Body"/>
        <w:spacing w:after="0"/>
        <w:rPr>
          <w:rFonts w:ascii="Arial" w:eastAsia="Calibri" w:hAnsi="Arial" w:cs="Arial"/>
          <w:szCs w:val="22"/>
        </w:rPr>
      </w:pPr>
      <w:r w:rsidRPr="001A3DF1">
        <w:rPr>
          <w:rFonts w:ascii="Arial" w:eastAsia="Calibri" w:hAnsi="Arial" w:cs="Arial"/>
          <w:b/>
          <w:bCs/>
          <w:szCs w:val="22"/>
        </w:rPr>
        <w:t xml:space="preserve"> Implications for Future Research</w:t>
      </w:r>
    </w:p>
    <w:p w14:paraId="2278405B" w14:textId="77777777" w:rsidR="001A3DF1" w:rsidRPr="001A3DF1" w:rsidRDefault="001A3DF1" w:rsidP="001A3DF1">
      <w:pPr>
        <w:pStyle w:val="Body"/>
        <w:spacing w:after="0"/>
        <w:rPr>
          <w:rFonts w:ascii="Arial" w:eastAsia="Calibri" w:hAnsi="Arial" w:cs="Arial"/>
          <w:szCs w:val="22"/>
        </w:rPr>
      </w:pPr>
      <w:r w:rsidRPr="001A3DF1">
        <w:rPr>
          <w:rFonts w:ascii="Arial" w:eastAsia="Calibri" w:hAnsi="Arial" w:cs="Arial"/>
          <w:szCs w:val="22"/>
        </w:rPr>
        <w:lastRenderedPageBreak/>
        <w:t>Despite these limitations, this study provides a valuable snapshot of contact lens wear practices in a context of limited medical supervision. Our results reinforce existing evidence on the frequency of hypoxic complications and suboptimal hygiene practices in such settings.</w:t>
      </w:r>
    </w:p>
    <w:p w14:paraId="7A499C60" w14:textId="77777777" w:rsidR="001A3DF1" w:rsidRPr="001A3DF1" w:rsidRDefault="001A3DF1" w:rsidP="001A3DF1">
      <w:pPr>
        <w:pStyle w:val="Body"/>
        <w:rPr>
          <w:rFonts w:ascii="Arial" w:eastAsia="Calibri" w:hAnsi="Arial" w:cs="Arial"/>
          <w:szCs w:val="22"/>
        </w:rPr>
      </w:pPr>
      <w:r w:rsidRPr="001A3DF1">
        <w:rPr>
          <w:rFonts w:ascii="Arial" w:eastAsia="Calibri" w:hAnsi="Arial" w:cs="Arial"/>
          <w:szCs w:val="22"/>
        </w:rPr>
        <w:t>They highlight the need for larger, prospective, and analytical studies to quantify the risk attributable to non-medicalized fitting and to identify specific determinants of poor compliance in our region. Furthermore, our observations underscore the critical importance of public health initiatives and targeted educational campaigns to promote professional fitting, patient education, and regular follow-up, which remain the cornerstone of preventing contact lens-related complications</w:t>
      </w:r>
    </w:p>
    <w:p w14:paraId="00668892" w14:textId="77777777" w:rsidR="006C294A" w:rsidRDefault="006C294A" w:rsidP="00441B6F">
      <w:pPr>
        <w:pStyle w:val="Body"/>
        <w:spacing w:after="0"/>
        <w:rPr>
          <w:rFonts w:ascii="Arial" w:eastAsia="Calibri" w:hAnsi="Arial" w:cs="Arial"/>
          <w:szCs w:val="22"/>
        </w:rPr>
      </w:pPr>
    </w:p>
    <w:p w14:paraId="5D76068F" w14:textId="77777777" w:rsidR="006C294A" w:rsidRDefault="006C294A" w:rsidP="00441B6F">
      <w:pPr>
        <w:pStyle w:val="Body"/>
        <w:spacing w:after="0"/>
        <w:rPr>
          <w:rFonts w:ascii="Arial" w:eastAsia="Calibri" w:hAnsi="Arial" w:cs="Arial"/>
          <w:szCs w:val="22"/>
        </w:rPr>
      </w:pPr>
    </w:p>
    <w:p w14:paraId="34CF0EE3" w14:textId="36FB2855" w:rsidR="004F6FA2" w:rsidRPr="004F6FA2" w:rsidRDefault="004F6FA2" w:rsidP="004F6FA2">
      <w:pPr>
        <w:pStyle w:val="Body"/>
        <w:spacing w:after="0"/>
        <w:rPr>
          <w:rFonts w:ascii="Arial" w:eastAsia="Calibri" w:hAnsi="Arial" w:cs="Arial"/>
          <w:szCs w:val="22"/>
        </w:rPr>
      </w:pPr>
      <w:r w:rsidRPr="004F6FA2">
        <w:rPr>
          <w:rFonts w:ascii="Arial" w:eastAsia="Calibri" w:hAnsi="Arial" w:cs="Arial"/>
          <w:b/>
          <w:bCs/>
          <w:szCs w:val="22"/>
        </w:rPr>
        <w:t>CONCLUSION</w:t>
      </w:r>
      <w:r w:rsidRPr="004F6FA2">
        <w:rPr>
          <w:rFonts w:ascii="Arial" w:eastAsia="Calibri" w:hAnsi="Arial" w:cs="Arial"/>
          <w:szCs w:val="22"/>
        </w:rPr>
        <w:br/>
        <w:t>Soft contact lenses offer clear advantages in ease of use and handling; however, these benefits must not overshadow the risks associated with non-medicalized fitting. While severe complications are uncommon, discomfort and suboptimal satisfaction are frequent and should not be underestimated. Minimizing infectious, hypoxic, and allergic risks requires strict adherence to hygiene, proper lens care, and regular follow-up.</w:t>
      </w:r>
    </w:p>
    <w:p w14:paraId="067AEA58" w14:textId="77777777" w:rsidR="004F6FA2" w:rsidRPr="004F6FA2" w:rsidRDefault="004F6FA2" w:rsidP="004F6FA2">
      <w:pPr>
        <w:pStyle w:val="Body"/>
        <w:spacing w:after="0"/>
        <w:rPr>
          <w:rFonts w:ascii="Arial" w:eastAsia="Calibri" w:hAnsi="Arial" w:cs="Arial"/>
          <w:szCs w:val="22"/>
        </w:rPr>
      </w:pPr>
      <w:r w:rsidRPr="004F6FA2">
        <w:rPr>
          <w:rFonts w:ascii="Arial" w:eastAsia="Calibri" w:hAnsi="Arial" w:cs="Arial"/>
          <w:szCs w:val="22"/>
        </w:rPr>
        <w:t>Our study highlights the importance of a thorough pre-fitting assessment, including detailed clinical history, targeted ophthalmic examination, and structured patient education. When lenses are properly maintained and monitored, complications are rare, underscoring the value of collaboration between the clinician and patient.</w:t>
      </w:r>
    </w:p>
    <w:p w14:paraId="347CD736" w14:textId="77777777" w:rsidR="004F6FA2" w:rsidRPr="004F6FA2" w:rsidRDefault="004F6FA2" w:rsidP="004F6FA2">
      <w:pPr>
        <w:pStyle w:val="Body"/>
        <w:spacing w:after="0"/>
        <w:rPr>
          <w:rFonts w:ascii="Arial" w:eastAsia="Calibri" w:hAnsi="Arial" w:cs="Arial"/>
          <w:szCs w:val="22"/>
        </w:rPr>
      </w:pPr>
      <w:r w:rsidRPr="004F6FA2">
        <w:rPr>
          <w:rFonts w:ascii="Arial" w:eastAsia="Calibri" w:hAnsi="Arial" w:cs="Arial"/>
          <w:szCs w:val="22"/>
        </w:rPr>
        <w:t>Optimal lens tolerance remains multifactorial, depending on lens characteristics, patient behavior, and compliance. Personalized fitting, ongoing education, and vigilant follow-up are essential to maximize comfort and safety.</w:t>
      </w:r>
    </w:p>
    <w:p w14:paraId="078BFD1C" w14:textId="77777777" w:rsidR="006C294A" w:rsidRDefault="006C294A" w:rsidP="00441B6F">
      <w:pPr>
        <w:pStyle w:val="Body"/>
        <w:spacing w:after="0"/>
        <w:rPr>
          <w:rFonts w:ascii="Arial" w:eastAsia="Calibri" w:hAnsi="Arial" w:cs="Arial"/>
          <w:szCs w:val="22"/>
        </w:rPr>
      </w:pPr>
    </w:p>
    <w:p w14:paraId="3847FB85" w14:textId="06757B30" w:rsidR="00790ADA" w:rsidRPr="00FB3A86" w:rsidRDefault="00790ADA" w:rsidP="006C294A">
      <w:pPr>
        <w:pStyle w:val="Body"/>
        <w:spacing w:after="0"/>
        <w:rPr>
          <w:rFonts w:ascii="Arial" w:hAnsi="Arial" w:cs="Arial"/>
        </w:rPr>
      </w:pPr>
    </w:p>
    <w:p w14:paraId="1F9F531E" w14:textId="2D9DE392" w:rsidR="002B685A" w:rsidRDefault="002B685A" w:rsidP="00441B6F">
      <w:pPr>
        <w:pStyle w:val="ReferHead"/>
        <w:spacing w:after="0"/>
        <w:jc w:val="both"/>
        <w:rPr>
          <w:rFonts w:ascii="Arial" w:hAnsi="Arial" w:cs="Arial"/>
          <w:bCs/>
        </w:rPr>
      </w:pPr>
      <w:r w:rsidRPr="002B685A">
        <w:rPr>
          <w:rFonts w:ascii="Arial" w:hAnsi="Arial" w:cs="Arial"/>
          <w:bCs/>
        </w:rPr>
        <w:t>Consent</w:t>
      </w:r>
    </w:p>
    <w:p w14:paraId="3E446224" w14:textId="77777777" w:rsidR="002B685A" w:rsidRPr="002B685A" w:rsidRDefault="002B685A" w:rsidP="00441B6F">
      <w:pPr>
        <w:pStyle w:val="ReferHead"/>
        <w:spacing w:after="0"/>
        <w:jc w:val="both"/>
        <w:rPr>
          <w:rFonts w:ascii="Arial" w:hAnsi="Arial" w:cs="Arial"/>
          <w:bCs/>
        </w:rPr>
      </w:pPr>
    </w:p>
    <w:p w14:paraId="202B5676" w14:textId="799BC47E" w:rsidR="002F420C" w:rsidRDefault="002F420C" w:rsidP="0032275B">
      <w:pPr>
        <w:pStyle w:val="ReferHead"/>
        <w:spacing w:after="0"/>
        <w:jc w:val="both"/>
        <w:rPr>
          <w:rFonts w:ascii="Arial" w:hAnsi="Arial" w:cs="Arial"/>
          <w:b w:val="0"/>
          <w:caps w:val="0"/>
          <w:sz w:val="20"/>
        </w:rPr>
      </w:pPr>
      <w:r w:rsidRPr="00B04273">
        <w:rPr>
          <w:rFonts w:asciiTheme="minorBidi" w:hAnsiTheme="minorBidi" w:cstheme="minorBidi"/>
          <w:b w:val="0"/>
          <w:caps w:val="0"/>
          <w:sz w:val="20"/>
        </w:rPr>
        <w:t>Written informed consent was obtained from the subjects to participate in this study</w:t>
      </w:r>
    </w:p>
    <w:p w14:paraId="51430AB1" w14:textId="14DB5F3A" w:rsidR="005C784C" w:rsidRDefault="002B685A" w:rsidP="002F420C">
      <w:pPr>
        <w:pStyle w:val="ReferHead"/>
        <w:spacing w:after="0"/>
        <w:jc w:val="both"/>
        <w:rPr>
          <w:rFonts w:ascii="Arial" w:hAnsi="Arial" w:cs="Arial"/>
          <w:b w:val="0"/>
          <w:caps w:val="0"/>
          <w:sz w:val="20"/>
        </w:rPr>
      </w:pPr>
      <w:r>
        <w:rPr>
          <w:rFonts w:ascii="Arial" w:hAnsi="Arial" w:cs="Arial"/>
          <w:b w:val="0"/>
          <w:caps w:val="0"/>
          <w:sz w:val="20"/>
        </w:rPr>
        <w:t xml:space="preserve"> </w:t>
      </w:r>
    </w:p>
    <w:p w14:paraId="13FE0271" w14:textId="2AAE2D83"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2B0703C" w14:textId="77777777" w:rsidR="005C784C" w:rsidRPr="002B685A" w:rsidRDefault="005C784C" w:rsidP="00441B6F">
      <w:pPr>
        <w:pStyle w:val="ReferHead"/>
        <w:spacing w:after="0"/>
        <w:jc w:val="both"/>
        <w:rPr>
          <w:rFonts w:ascii="Arial" w:hAnsi="Arial" w:cs="Arial"/>
          <w:bCs/>
        </w:rPr>
      </w:pPr>
    </w:p>
    <w:p w14:paraId="131DE998" w14:textId="77777777" w:rsidR="002F420C" w:rsidRPr="005A5CB5" w:rsidRDefault="002F420C" w:rsidP="002F420C">
      <w:pPr>
        <w:jc w:val="both"/>
        <w:rPr>
          <w:rFonts w:asciiTheme="minorBidi" w:hAnsiTheme="minorBidi" w:cstheme="minorBidi"/>
        </w:rPr>
      </w:pPr>
      <w:r w:rsidRPr="005A5CB5">
        <w:rPr>
          <w:rFonts w:asciiTheme="minorBidi" w:hAnsiTheme="minorBidi" w:cstheme="minorBidi"/>
        </w:rPr>
        <w:t>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7D971B0C" w14:textId="77777777" w:rsidR="002F420C" w:rsidRPr="005A5CB5" w:rsidRDefault="002F420C" w:rsidP="002F420C">
      <w:pPr>
        <w:pStyle w:val="ReferHead"/>
        <w:spacing w:after="120"/>
        <w:rPr>
          <w:rFonts w:asciiTheme="minorBidi" w:hAnsiTheme="minorBidi" w:cstheme="minorBidi"/>
          <w:b w:val="0"/>
          <w:caps w:val="0"/>
          <w:sz w:val="20"/>
        </w:rPr>
      </w:pPr>
      <w:r w:rsidRPr="005A5CB5">
        <w:rPr>
          <w:rFonts w:asciiTheme="minorBidi" w:hAnsiTheme="minorBidi" w:cstheme="minorBidi"/>
          <w:b w:val="0"/>
          <w:caps w:val="0"/>
          <w:sz w:val="20"/>
        </w:rPr>
        <w:t>-Patients’ privacy was fully respected.</w:t>
      </w:r>
    </w:p>
    <w:p w14:paraId="28F5895B" w14:textId="77777777" w:rsidR="002F420C" w:rsidRDefault="002F420C" w:rsidP="002F420C">
      <w:pPr>
        <w:pStyle w:val="ReferHead"/>
        <w:spacing w:after="0"/>
        <w:jc w:val="both"/>
        <w:rPr>
          <w:rFonts w:asciiTheme="minorBidi" w:hAnsiTheme="minorBidi" w:cstheme="minorBidi"/>
          <w:b w:val="0"/>
          <w:caps w:val="0"/>
          <w:sz w:val="20"/>
        </w:rPr>
      </w:pPr>
      <w:r w:rsidRPr="005A5CB5">
        <w:rPr>
          <w:rFonts w:asciiTheme="minorBidi" w:hAnsiTheme="minorBidi" w:cstheme="minorBidi"/>
          <w:b w:val="0"/>
          <w:caps w:val="0"/>
          <w:sz w:val="20"/>
        </w:rPr>
        <w:t>-There are no identifying details in our study</w:t>
      </w:r>
    </w:p>
    <w:p w14:paraId="3F9EA3B4" w14:textId="77777777" w:rsidR="002F420C" w:rsidRDefault="002F420C" w:rsidP="002F420C">
      <w:pPr>
        <w:pStyle w:val="ReferHead"/>
        <w:spacing w:after="0"/>
        <w:jc w:val="both"/>
        <w:rPr>
          <w:rFonts w:asciiTheme="minorBidi" w:hAnsiTheme="minorBidi" w:cstheme="minorBidi"/>
          <w:b w:val="0"/>
          <w:caps w:val="0"/>
          <w:sz w:val="20"/>
        </w:rPr>
      </w:pPr>
    </w:p>
    <w:p w14:paraId="057F5898" w14:textId="77777777" w:rsidR="002F420C" w:rsidRPr="00B04273" w:rsidRDefault="002F420C" w:rsidP="002F420C">
      <w:pPr>
        <w:jc w:val="both"/>
        <w:rPr>
          <w:rFonts w:asciiTheme="minorBidi" w:eastAsia="Calibri" w:hAnsiTheme="minorBidi"/>
          <w:b/>
          <w:bCs/>
          <w:kern w:val="2"/>
          <w:sz w:val="21"/>
          <w:szCs w:val="21"/>
        </w:rPr>
      </w:pPr>
      <w:bookmarkStart w:id="1" w:name="_Hlk201835975"/>
      <w:bookmarkStart w:id="2" w:name="_Hlk193540946"/>
      <w:bookmarkStart w:id="3" w:name="_Hlk180402183"/>
      <w:bookmarkStart w:id="4" w:name="_Hlk183680988"/>
      <w:bookmarkStart w:id="5" w:name="_Hlk197173371"/>
      <w:r w:rsidRPr="00B04273">
        <w:rPr>
          <w:rFonts w:asciiTheme="minorBidi" w:eastAsia="Calibri" w:hAnsiTheme="minorBidi"/>
          <w:b/>
          <w:bCs/>
          <w:kern w:val="2"/>
          <w:sz w:val="21"/>
          <w:szCs w:val="21"/>
        </w:rPr>
        <w:t>DISCLAIMER (ARTIFICIAL INTELLIGENCE)</w:t>
      </w:r>
    </w:p>
    <w:p w14:paraId="017678EB" w14:textId="77777777" w:rsidR="002F420C" w:rsidRPr="00B04273" w:rsidRDefault="002F420C" w:rsidP="002F420C">
      <w:pPr>
        <w:jc w:val="both"/>
        <w:rPr>
          <w:rFonts w:asciiTheme="minorBidi" w:eastAsia="Calibri" w:hAnsiTheme="minorBidi"/>
          <w:b/>
          <w:bCs/>
          <w:kern w:val="2"/>
        </w:rPr>
      </w:pPr>
    </w:p>
    <w:p w14:paraId="39097D9A" w14:textId="77777777" w:rsidR="002F420C" w:rsidRDefault="002F420C" w:rsidP="002F420C">
      <w:pPr>
        <w:jc w:val="both"/>
        <w:rPr>
          <w:rFonts w:asciiTheme="minorBidi" w:eastAsia="Calibri" w:hAnsiTheme="minorBidi"/>
          <w:kern w:val="2"/>
        </w:rPr>
      </w:pPr>
      <w:r w:rsidRPr="00B04273">
        <w:rPr>
          <w:rFonts w:asciiTheme="minorBidi" w:eastAsia="Calibri" w:hAnsiTheme="minorBidi"/>
          <w:kern w:val="2"/>
        </w:rPr>
        <w:t xml:space="preserve">Authors hereby declare that NO generative AI technologies such as Large Language Models, etc. have been used during the writing or editing of manuscripts. </w:t>
      </w:r>
    </w:p>
    <w:p w14:paraId="5B232FF6" w14:textId="77777777" w:rsidR="001B1ACF" w:rsidRDefault="001B1ACF" w:rsidP="002F420C">
      <w:pPr>
        <w:jc w:val="both"/>
        <w:rPr>
          <w:rFonts w:asciiTheme="minorBidi" w:eastAsia="Calibri" w:hAnsiTheme="minorBidi"/>
          <w:kern w:val="2"/>
        </w:rPr>
      </w:pPr>
    </w:p>
    <w:p w14:paraId="774D9D2A" w14:textId="77777777" w:rsidR="001B1ACF" w:rsidRDefault="001B1ACF" w:rsidP="002F420C">
      <w:pPr>
        <w:jc w:val="both"/>
        <w:rPr>
          <w:rFonts w:asciiTheme="minorBidi" w:eastAsia="Calibri" w:hAnsiTheme="minorBidi"/>
          <w:kern w:val="2"/>
        </w:rPr>
      </w:pPr>
    </w:p>
    <w:p w14:paraId="6781229E" w14:textId="77777777" w:rsidR="001B1ACF" w:rsidRDefault="001B1ACF" w:rsidP="002F420C">
      <w:pPr>
        <w:jc w:val="both"/>
        <w:rPr>
          <w:rFonts w:asciiTheme="minorBidi" w:eastAsia="Calibri" w:hAnsiTheme="minorBidi"/>
          <w:kern w:val="2"/>
        </w:rPr>
      </w:pPr>
    </w:p>
    <w:p w14:paraId="5C6CAC9F" w14:textId="77777777" w:rsidR="001B1ACF" w:rsidRDefault="001B1ACF" w:rsidP="002F420C">
      <w:pPr>
        <w:jc w:val="both"/>
        <w:rPr>
          <w:rFonts w:asciiTheme="minorBidi" w:eastAsia="Calibri" w:hAnsiTheme="minorBidi"/>
          <w:kern w:val="2"/>
        </w:rPr>
      </w:pPr>
    </w:p>
    <w:p w14:paraId="0E3C5387" w14:textId="77777777" w:rsidR="001B1ACF" w:rsidRDefault="001B1ACF" w:rsidP="002F420C">
      <w:pPr>
        <w:jc w:val="both"/>
        <w:rPr>
          <w:rFonts w:asciiTheme="minorBidi" w:eastAsia="Calibri" w:hAnsiTheme="minorBidi"/>
          <w:kern w:val="2"/>
        </w:rPr>
      </w:pPr>
    </w:p>
    <w:p w14:paraId="7E5CD1FC" w14:textId="77777777" w:rsidR="001B1ACF" w:rsidRDefault="001B1ACF" w:rsidP="002F420C">
      <w:pPr>
        <w:jc w:val="both"/>
        <w:rPr>
          <w:rFonts w:asciiTheme="minorBidi" w:eastAsia="Calibri" w:hAnsiTheme="minorBidi"/>
          <w:kern w:val="2"/>
        </w:rPr>
      </w:pPr>
    </w:p>
    <w:p w14:paraId="2F01E6CC" w14:textId="77777777" w:rsidR="001B1ACF" w:rsidRDefault="001B1ACF" w:rsidP="002F420C">
      <w:pPr>
        <w:jc w:val="both"/>
        <w:rPr>
          <w:rFonts w:asciiTheme="minorBidi" w:eastAsia="Calibri" w:hAnsiTheme="minorBidi"/>
          <w:kern w:val="2"/>
        </w:rPr>
      </w:pPr>
    </w:p>
    <w:p w14:paraId="5059482C" w14:textId="77777777" w:rsidR="001B1ACF" w:rsidRDefault="001B1ACF" w:rsidP="002F420C">
      <w:pPr>
        <w:jc w:val="both"/>
        <w:rPr>
          <w:rFonts w:asciiTheme="minorBidi" w:eastAsia="Calibri" w:hAnsiTheme="minorBidi"/>
          <w:kern w:val="2"/>
        </w:rPr>
      </w:pPr>
    </w:p>
    <w:p w14:paraId="28F699C8" w14:textId="131A2E53" w:rsidR="001B1ACF" w:rsidRPr="00E1397C" w:rsidRDefault="001B1ACF" w:rsidP="001B1ACF">
      <w:pPr>
        <w:pStyle w:val="ReferHead"/>
        <w:spacing w:after="0"/>
        <w:jc w:val="both"/>
        <w:rPr>
          <w:rFonts w:ascii="Arial" w:hAnsi="Arial" w:cs="Arial"/>
          <w:lang w:val="fr-FR"/>
        </w:rPr>
      </w:pPr>
      <w:r w:rsidRPr="00E1397C">
        <w:rPr>
          <w:rFonts w:ascii="Arial" w:hAnsi="Arial" w:cs="Arial"/>
          <w:caps w:val="0"/>
          <w:lang w:val="fr-FR"/>
        </w:rPr>
        <w:lastRenderedPageBreak/>
        <w:t>REFERENCES</w:t>
      </w:r>
    </w:p>
    <w:p w14:paraId="0B750EA4" w14:textId="77777777" w:rsidR="001B1ACF" w:rsidRDefault="001B1ACF" w:rsidP="002F420C">
      <w:pPr>
        <w:jc w:val="both"/>
        <w:rPr>
          <w:rFonts w:asciiTheme="minorBidi" w:eastAsia="Calibri" w:hAnsiTheme="minorBidi"/>
          <w:kern w:val="2"/>
        </w:rPr>
      </w:pPr>
    </w:p>
    <w:p w14:paraId="6B10045E" w14:textId="77777777" w:rsidR="001B1ACF" w:rsidRPr="00C12956" w:rsidRDefault="001B1ACF" w:rsidP="00C12956">
      <w:pPr>
        <w:rPr>
          <w:rFonts w:asciiTheme="minorBidi" w:eastAsia="Calibri" w:hAnsiTheme="minorBidi"/>
          <w:kern w:val="2"/>
        </w:rPr>
      </w:pPr>
    </w:p>
    <w:p w14:paraId="5D761056" w14:textId="77777777" w:rsidR="00C12956" w:rsidRPr="00C12956" w:rsidRDefault="00C12956" w:rsidP="00C12956">
      <w:pPr>
        <w:ind w:left="786"/>
        <w:rPr>
          <w:rFonts w:asciiTheme="minorBidi" w:eastAsia="Calibri" w:hAnsiTheme="minorBidi"/>
          <w:kern w:val="2"/>
        </w:rPr>
      </w:pPr>
    </w:p>
    <w:p w14:paraId="1FDC738A" w14:textId="77777777" w:rsidR="00C12956" w:rsidRPr="00C12956" w:rsidRDefault="00C12956" w:rsidP="00C12956">
      <w:pPr>
        <w:numPr>
          <w:ilvl w:val="0"/>
          <w:numId w:val="47"/>
        </w:numPr>
        <w:rPr>
          <w:rFonts w:asciiTheme="minorBidi" w:eastAsia="Calibri" w:hAnsiTheme="minorBidi"/>
          <w:kern w:val="2"/>
          <w:lang w:val="fr-FR"/>
        </w:rPr>
      </w:pPr>
      <w:r w:rsidRPr="00C12956">
        <w:rPr>
          <w:rFonts w:asciiTheme="minorBidi" w:eastAsia="Calibri" w:hAnsiTheme="minorBidi"/>
          <w:kern w:val="2"/>
        </w:rPr>
        <w:t xml:space="preserve">Morgan PB, Woods CA, </w:t>
      </w:r>
      <w:proofErr w:type="spellStart"/>
      <w:r w:rsidRPr="00C12956">
        <w:rPr>
          <w:rFonts w:asciiTheme="minorBidi" w:eastAsia="Calibri" w:hAnsiTheme="minorBidi"/>
          <w:kern w:val="2"/>
        </w:rPr>
        <w:t>Tranoudis</w:t>
      </w:r>
      <w:proofErr w:type="spellEnd"/>
      <w:r w:rsidRPr="00C12956">
        <w:rPr>
          <w:rFonts w:asciiTheme="minorBidi" w:eastAsia="Calibri" w:hAnsiTheme="minorBidi"/>
          <w:kern w:val="2"/>
        </w:rPr>
        <w:t xml:space="preserve"> IG, </w:t>
      </w:r>
      <w:proofErr w:type="spellStart"/>
      <w:r w:rsidRPr="00C12956">
        <w:rPr>
          <w:rFonts w:asciiTheme="minorBidi" w:eastAsia="Calibri" w:hAnsiTheme="minorBidi"/>
          <w:kern w:val="2"/>
        </w:rPr>
        <w:t>Efron</w:t>
      </w:r>
      <w:proofErr w:type="spellEnd"/>
      <w:r w:rsidRPr="00C12956">
        <w:rPr>
          <w:rFonts w:asciiTheme="minorBidi" w:eastAsia="Calibri" w:hAnsiTheme="minorBidi"/>
          <w:kern w:val="2"/>
        </w:rPr>
        <w:t xml:space="preserve"> N, Jones D, </w:t>
      </w:r>
      <w:proofErr w:type="spellStart"/>
      <w:r w:rsidRPr="00C12956">
        <w:rPr>
          <w:rFonts w:asciiTheme="minorBidi" w:eastAsia="Calibri" w:hAnsiTheme="minorBidi"/>
          <w:kern w:val="2"/>
        </w:rPr>
        <w:t>Santodomingo-Rubido</w:t>
      </w:r>
      <w:proofErr w:type="spellEnd"/>
      <w:r w:rsidRPr="00C12956">
        <w:rPr>
          <w:rFonts w:asciiTheme="minorBidi" w:eastAsia="Calibri" w:hAnsiTheme="minorBidi"/>
          <w:kern w:val="2"/>
        </w:rPr>
        <w:t xml:space="preserve"> J, et al. International contact lens prescribing in 2019. </w:t>
      </w:r>
      <w:r w:rsidRPr="00C12956">
        <w:rPr>
          <w:rFonts w:asciiTheme="minorBidi" w:eastAsia="Calibri" w:hAnsiTheme="minorBidi"/>
          <w:i/>
          <w:iCs/>
          <w:kern w:val="2"/>
          <w:lang w:val="fr-FR"/>
        </w:rPr>
        <w:t xml:space="preserve">Contact Lens </w:t>
      </w:r>
      <w:proofErr w:type="spellStart"/>
      <w:r w:rsidRPr="00C12956">
        <w:rPr>
          <w:rFonts w:asciiTheme="minorBidi" w:eastAsia="Calibri" w:hAnsiTheme="minorBidi"/>
          <w:i/>
          <w:iCs/>
          <w:kern w:val="2"/>
          <w:lang w:val="fr-FR"/>
        </w:rPr>
        <w:t>Anterior</w:t>
      </w:r>
      <w:proofErr w:type="spellEnd"/>
      <w:r w:rsidRPr="00C12956">
        <w:rPr>
          <w:rFonts w:asciiTheme="minorBidi" w:eastAsia="Calibri" w:hAnsiTheme="minorBidi"/>
          <w:i/>
          <w:iCs/>
          <w:kern w:val="2"/>
          <w:lang w:val="fr-FR"/>
        </w:rPr>
        <w:t xml:space="preserve"> Eye</w:t>
      </w:r>
      <w:r w:rsidRPr="00C12956">
        <w:rPr>
          <w:rFonts w:asciiTheme="minorBidi" w:eastAsia="Calibri" w:hAnsiTheme="minorBidi"/>
          <w:kern w:val="2"/>
          <w:lang w:val="fr-FR"/>
        </w:rPr>
        <w:t>. 2020;43(1):4–8. doi:10.1016/j.clae.2019.12.003</w:t>
      </w:r>
      <w:r w:rsidRPr="00C12956">
        <w:rPr>
          <w:rFonts w:asciiTheme="minorBidi" w:eastAsia="Calibri" w:hAnsiTheme="minorBidi"/>
          <w:kern w:val="2"/>
          <w:lang w:val="fr-FR"/>
        </w:rPr>
        <w:br/>
        <w:t>Lien : </w:t>
      </w:r>
      <w:hyperlink r:id="rId12" w:tgtFrame="_blank" w:history="1">
        <w:r w:rsidRPr="00C12956">
          <w:rPr>
            <w:rStyle w:val="Hyperlink"/>
            <w:rFonts w:asciiTheme="minorBidi" w:eastAsia="Calibri" w:hAnsiTheme="minorBidi"/>
            <w:color w:val="auto"/>
            <w:kern w:val="2"/>
            <w:u w:val="none"/>
            <w:lang w:val="fr-FR"/>
          </w:rPr>
          <w:t>https://www.sciencedirect.com/science/article/abs/pii/S1367048419301981</w:t>
        </w:r>
      </w:hyperlink>
    </w:p>
    <w:p w14:paraId="67493951" w14:textId="77777777" w:rsidR="00C12956" w:rsidRPr="00C12956" w:rsidRDefault="00C12956" w:rsidP="00C12956">
      <w:pPr>
        <w:numPr>
          <w:ilvl w:val="0"/>
          <w:numId w:val="47"/>
        </w:numPr>
        <w:rPr>
          <w:rFonts w:asciiTheme="minorBidi" w:eastAsia="Calibri" w:hAnsiTheme="minorBidi"/>
          <w:kern w:val="2"/>
          <w:lang w:val="fr-FR"/>
        </w:rPr>
      </w:pPr>
      <w:proofErr w:type="spellStart"/>
      <w:r w:rsidRPr="00C12956">
        <w:rPr>
          <w:rFonts w:asciiTheme="minorBidi" w:eastAsia="Calibri" w:hAnsiTheme="minorBidi"/>
          <w:kern w:val="2"/>
        </w:rPr>
        <w:t>Alipour</w:t>
      </w:r>
      <w:proofErr w:type="spellEnd"/>
      <w:r w:rsidRPr="00C12956">
        <w:rPr>
          <w:rFonts w:asciiTheme="minorBidi" w:eastAsia="Calibri" w:hAnsiTheme="minorBidi"/>
          <w:kern w:val="2"/>
        </w:rPr>
        <w:t xml:space="preserve"> F, </w:t>
      </w:r>
      <w:proofErr w:type="spellStart"/>
      <w:r w:rsidRPr="00C12956">
        <w:rPr>
          <w:rFonts w:asciiTheme="minorBidi" w:eastAsia="Calibri" w:hAnsiTheme="minorBidi"/>
          <w:kern w:val="2"/>
        </w:rPr>
        <w:t>Khaheshi</w:t>
      </w:r>
      <w:proofErr w:type="spellEnd"/>
      <w:r w:rsidRPr="00C12956">
        <w:rPr>
          <w:rFonts w:asciiTheme="minorBidi" w:eastAsia="Calibri" w:hAnsiTheme="minorBidi"/>
          <w:kern w:val="2"/>
        </w:rPr>
        <w:t xml:space="preserve"> S, </w:t>
      </w:r>
      <w:proofErr w:type="spellStart"/>
      <w:r w:rsidRPr="00C12956">
        <w:rPr>
          <w:rFonts w:asciiTheme="minorBidi" w:eastAsia="Calibri" w:hAnsiTheme="minorBidi"/>
          <w:kern w:val="2"/>
        </w:rPr>
        <w:t>Soleimanzadeh</w:t>
      </w:r>
      <w:proofErr w:type="spellEnd"/>
      <w:r w:rsidRPr="00C12956">
        <w:rPr>
          <w:rFonts w:asciiTheme="minorBidi" w:eastAsia="Calibri" w:hAnsiTheme="minorBidi"/>
          <w:kern w:val="2"/>
        </w:rPr>
        <w:t xml:space="preserve"> M, </w:t>
      </w:r>
      <w:proofErr w:type="spellStart"/>
      <w:r w:rsidRPr="00C12956">
        <w:rPr>
          <w:rFonts w:asciiTheme="minorBidi" w:eastAsia="Calibri" w:hAnsiTheme="minorBidi"/>
          <w:kern w:val="2"/>
        </w:rPr>
        <w:t>Heidarzadeh</w:t>
      </w:r>
      <w:proofErr w:type="spellEnd"/>
      <w:r w:rsidRPr="00C12956">
        <w:rPr>
          <w:rFonts w:asciiTheme="minorBidi" w:eastAsia="Calibri" w:hAnsiTheme="minorBidi"/>
          <w:kern w:val="2"/>
        </w:rPr>
        <w:t xml:space="preserve"> S. Contact lens-related complications: a review. </w:t>
      </w:r>
      <w:r w:rsidRPr="00C12956">
        <w:rPr>
          <w:rFonts w:asciiTheme="minorBidi" w:eastAsia="Calibri" w:hAnsiTheme="minorBidi"/>
          <w:i/>
          <w:iCs/>
          <w:kern w:val="2"/>
          <w:lang w:val="fr-FR"/>
        </w:rPr>
        <w:t xml:space="preserve">J </w:t>
      </w:r>
      <w:proofErr w:type="spellStart"/>
      <w:r w:rsidRPr="00C12956">
        <w:rPr>
          <w:rFonts w:asciiTheme="minorBidi" w:eastAsia="Calibri" w:hAnsiTheme="minorBidi"/>
          <w:i/>
          <w:iCs/>
          <w:kern w:val="2"/>
          <w:lang w:val="fr-FR"/>
        </w:rPr>
        <w:t>Ophthalmic</w:t>
      </w:r>
      <w:proofErr w:type="spellEnd"/>
      <w:r w:rsidRPr="00C12956">
        <w:rPr>
          <w:rFonts w:asciiTheme="minorBidi" w:eastAsia="Calibri" w:hAnsiTheme="minorBidi"/>
          <w:i/>
          <w:iCs/>
          <w:kern w:val="2"/>
          <w:lang w:val="fr-FR"/>
        </w:rPr>
        <w:t xml:space="preserve"> Vis </w:t>
      </w:r>
      <w:proofErr w:type="spellStart"/>
      <w:r w:rsidRPr="00C12956">
        <w:rPr>
          <w:rFonts w:asciiTheme="minorBidi" w:eastAsia="Calibri" w:hAnsiTheme="minorBidi"/>
          <w:i/>
          <w:iCs/>
          <w:kern w:val="2"/>
          <w:lang w:val="fr-FR"/>
        </w:rPr>
        <w:t>Res</w:t>
      </w:r>
      <w:proofErr w:type="spellEnd"/>
      <w:r w:rsidRPr="00C12956">
        <w:rPr>
          <w:rFonts w:asciiTheme="minorBidi" w:eastAsia="Calibri" w:hAnsiTheme="minorBidi"/>
          <w:kern w:val="2"/>
          <w:lang w:val="fr-FR"/>
        </w:rPr>
        <w:t>. 2017;12(2):193-204. doi:10.4103/jovr.jovr_159_16</w:t>
      </w:r>
      <w:r w:rsidRPr="00C12956">
        <w:rPr>
          <w:rFonts w:asciiTheme="minorBidi" w:eastAsia="Calibri" w:hAnsiTheme="minorBidi"/>
          <w:kern w:val="2"/>
          <w:lang w:val="fr-FR"/>
        </w:rPr>
        <w:br/>
        <w:t>Lien : </w:t>
      </w:r>
      <w:hyperlink r:id="rId13" w:tgtFrame="_blank" w:history="1">
        <w:r w:rsidRPr="00C12956">
          <w:rPr>
            <w:rStyle w:val="Hyperlink"/>
            <w:rFonts w:asciiTheme="minorBidi" w:eastAsia="Calibri" w:hAnsiTheme="minorBidi"/>
            <w:color w:val="auto"/>
            <w:kern w:val="2"/>
            <w:u w:val="none"/>
            <w:lang w:val="fr-FR"/>
          </w:rPr>
          <w:t>https://www.ncbi.nlm.nih.gov/pmc/articles/PMC5490340/</w:t>
        </w:r>
      </w:hyperlink>
    </w:p>
    <w:p w14:paraId="7F28BD80" w14:textId="77777777" w:rsidR="00C12956" w:rsidRPr="00C12956" w:rsidRDefault="00C12956" w:rsidP="00C12956">
      <w:pPr>
        <w:numPr>
          <w:ilvl w:val="0"/>
          <w:numId w:val="47"/>
        </w:numPr>
        <w:rPr>
          <w:rFonts w:asciiTheme="minorBidi" w:eastAsia="Calibri" w:hAnsiTheme="minorBidi"/>
          <w:kern w:val="2"/>
        </w:rPr>
      </w:pPr>
      <w:r w:rsidRPr="00C12956">
        <w:rPr>
          <w:rFonts w:asciiTheme="minorBidi" w:eastAsia="Calibri" w:hAnsiTheme="minorBidi"/>
          <w:kern w:val="2"/>
        </w:rPr>
        <w:t xml:space="preserve">Stapleton F, Keay L, Edwards K, </w:t>
      </w:r>
      <w:proofErr w:type="spellStart"/>
      <w:r w:rsidRPr="00C12956">
        <w:rPr>
          <w:rFonts w:asciiTheme="minorBidi" w:eastAsia="Calibri" w:hAnsiTheme="minorBidi"/>
          <w:kern w:val="2"/>
        </w:rPr>
        <w:t>Naduvilath</w:t>
      </w:r>
      <w:proofErr w:type="spellEnd"/>
      <w:r w:rsidRPr="00C12956">
        <w:rPr>
          <w:rFonts w:asciiTheme="minorBidi" w:eastAsia="Calibri" w:hAnsiTheme="minorBidi"/>
          <w:kern w:val="2"/>
        </w:rPr>
        <w:t xml:space="preserve"> T, Dart JK, Brian G, et al. Risk factors for contact lens-related microbial keratitis. </w:t>
      </w:r>
      <w:r w:rsidRPr="00C12956">
        <w:rPr>
          <w:rFonts w:asciiTheme="minorBidi" w:eastAsia="Calibri" w:hAnsiTheme="minorBidi"/>
          <w:i/>
          <w:iCs/>
          <w:kern w:val="2"/>
        </w:rPr>
        <w:t>Ophthalmology</w:t>
      </w:r>
      <w:r w:rsidRPr="00C12956">
        <w:rPr>
          <w:rFonts w:asciiTheme="minorBidi" w:eastAsia="Calibri" w:hAnsiTheme="minorBidi"/>
          <w:kern w:val="2"/>
        </w:rPr>
        <w:t>. 2017;124(12 Suppl</w:t>
      </w:r>
      <w:proofErr w:type="gramStart"/>
      <w:r w:rsidRPr="00C12956">
        <w:rPr>
          <w:rFonts w:asciiTheme="minorBidi" w:eastAsia="Calibri" w:hAnsiTheme="minorBidi"/>
          <w:kern w:val="2"/>
        </w:rPr>
        <w:t>):S</w:t>
      </w:r>
      <w:proofErr w:type="gramEnd"/>
      <w:r w:rsidRPr="00C12956">
        <w:rPr>
          <w:rFonts w:asciiTheme="minorBidi" w:eastAsia="Calibri" w:hAnsiTheme="minorBidi"/>
          <w:kern w:val="2"/>
        </w:rPr>
        <w:t>31–S38. doi:10.1016/j.ophtha.2017.05.018</w:t>
      </w:r>
      <w:r w:rsidRPr="00C12956">
        <w:rPr>
          <w:rFonts w:asciiTheme="minorBidi" w:eastAsia="Calibri" w:hAnsiTheme="minorBidi"/>
          <w:kern w:val="2"/>
        </w:rPr>
        <w:br/>
        <w:t>Lien : </w:t>
      </w:r>
      <w:hyperlink r:id="rId14" w:tgtFrame="_blank" w:history="1">
        <w:r w:rsidRPr="00C12956">
          <w:rPr>
            <w:rStyle w:val="Hyperlink"/>
            <w:rFonts w:asciiTheme="minorBidi" w:eastAsia="Calibri" w:hAnsiTheme="minorBidi"/>
            <w:color w:val="auto"/>
            <w:kern w:val="2"/>
            <w:u w:val="none"/>
          </w:rPr>
          <w:t>https://www.aaojournal.org/article/S0161-6420(17)31133-0/fulltext</w:t>
        </w:r>
      </w:hyperlink>
    </w:p>
    <w:p w14:paraId="58FAD8FA" w14:textId="77777777" w:rsidR="00C12956" w:rsidRPr="00C12956" w:rsidRDefault="00C12956" w:rsidP="00C12956">
      <w:pPr>
        <w:numPr>
          <w:ilvl w:val="0"/>
          <w:numId w:val="47"/>
        </w:numPr>
        <w:rPr>
          <w:rFonts w:asciiTheme="minorBidi" w:eastAsia="Calibri" w:hAnsiTheme="minorBidi"/>
          <w:kern w:val="2"/>
          <w:lang w:val="fr-FR"/>
        </w:rPr>
      </w:pPr>
      <w:r w:rsidRPr="00C12956">
        <w:rPr>
          <w:rFonts w:asciiTheme="minorBidi" w:eastAsia="Calibri" w:hAnsiTheme="minorBidi"/>
          <w:kern w:val="2"/>
        </w:rPr>
        <w:t>Chalmers RL, Wagner H, Mitchell GL, et al. Age and other risk factors for corneal infiltrative and inflammatory events in young soft contact lens wearers from the Contact Lens Assessment in Youth (CLAY) study. </w:t>
      </w:r>
      <w:r w:rsidRPr="00C12956">
        <w:rPr>
          <w:rFonts w:asciiTheme="minorBidi" w:eastAsia="Calibri" w:hAnsiTheme="minorBidi"/>
          <w:i/>
          <w:iCs/>
          <w:kern w:val="2"/>
          <w:lang w:val="fr-FR"/>
        </w:rPr>
        <w:t xml:space="preserve">Invest </w:t>
      </w:r>
      <w:proofErr w:type="spellStart"/>
      <w:r w:rsidRPr="00C12956">
        <w:rPr>
          <w:rFonts w:asciiTheme="minorBidi" w:eastAsia="Calibri" w:hAnsiTheme="minorBidi"/>
          <w:i/>
          <w:iCs/>
          <w:kern w:val="2"/>
          <w:lang w:val="fr-FR"/>
        </w:rPr>
        <w:t>Ophthalmol</w:t>
      </w:r>
      <w:proofErr w:type="spellEnd"/>
      <w:r w:rsidRPr="00C12956">
        <w:rPr>
          <w:rFonts w:asciiTheme="minorBidi" w:eastAsia="Calibri" w:hAnsiTheme="minorBidi"/>
          <w:i/>
          <w:iCs/>
          <w:kern w:val="2"/>
          <w:lang w:val="fr-FR"/>
        </w:rPr>
        <w:t xml:space="preserve"> Vis </w:t>
      </w:r>
      <w:proofErr w:type="spellStart"/>
      <w:r w:rsidRPr="00C12956">
        <w:rPr>
          <w:rFonts w:asciiTheme="minorBidi" w:eastAsia="Calibri" w:hAnsiTheme="minorBidi"/>
          <w:i/>
          <w:iCs/>
          <w:kern w:val="2"/>
          <w:lang w:val="fr-FR"/>
        </w:rPr>
        <w:t>Sci</w:t>
      </w:r>
      <w:proofErr w:type="spellEnd"/>
      <w:r w:rsidRPr="00C12956">
        <w:rPr>
          <w:rFonts w:asciiTheme="minorBidi" w:eastAsia="Calibri" w:hAnsiTheme="minorBidi"/>
          <w:kern w:val="2"/>
          <w:lang w:val="fr-FR"/>
        </w:rPr>
        <w:t>. 2016;57(8):3873-3879. doi:10.1167/iovs.16-19682</w:t>
      </w:r>
      <w:r w:rsidRPr="00C12956">
        <w:rPr>
          <w:rFonts w:asciiTheme="minorBidi" w:eastAsia="Calibri" w:hAnsiTheme="minorBidi"/>
          <w:kern w:val="2"/>
          <w:lang w:val="fr-FR"/>
        </w:rPr>
        <w:br/>
        <w:t>Lien : </w:t>
      </w:r>
      <w:hyperlink r:id="rId15" w:tgtFrame="_blank" w:history="1">
        <w:r w:rsidRPr="00C12956">
          <w:rPr>
            <w:rStyle w:val="Hyperlink"/>
            <w:rFonts w:asciiTheme="minorBidi" w:eastAsia="Calibri" w:hAnsiTheme="minorBidi"/>
            <w:color w:val="auto"/>
            <w:kern w:val="2"/>
            <w:u w:val="none"/>
            <w:lang w:val="fr-FR"/>
          </w:rPr>
          <w:t>https://iovs.arvojournals.org/article.aspx?articleid=2551989</w:t>
        </w:r>
      </w:hyperlink>
    </w:p>
    <w:p w14:paraId="2A62C3DE" w14:textId="77777777" w:rsidR="00C12956" w:rsidRPr="00C12956" w:rsidRDefault="00C12956" w:rsidP="00C12956">
      <w:pPr>
        <w:numPr>
          <w:ilvl w:val="0"/>
          <w:numId w:val="47"/>
        </w:numPr>
        <w:rPr>
          <w:rFonts w:asciiTheme="minorBidi" w:eastAsia="Calibri" w:hAnsiTheme="minorBidi"/>
          <w:kern w:val="2"/>
        </w:rPr>
      </w:pPr>
      <w:proofErr w:type="spellStart"/>
      <w:r w:rsidRPr="00C12956">
        <w:rPr>
          <w:rFonts w:asciiTheme="minorBidi" w:eastAsia="Calibri" w:hAnsiTheme="minorBidi"/>
          <w:kern w:val="2"/>
          <w:lang w:val="fr-FR"/>
        </w:rPr>
        <w:t>Cope</w:t>
      </w:r>
      <w:proofErr w:type="spellEnd"/>
      <w:r w:rsidRPr="00C12956">
        <w:rPr>
          <w:rFonts w:asciiTheme="minorBidi" w:eastAsia="Calibri" w:hAnsiTheme="minorBidi"/>
          <w:kern w:val="2"/>
          <w:lang w:val="fr-FR"/>
        </w:rPr>
        <w:t xml:space="preserve"> JR, Collier SA, Rao MM, et al. </w:t>
      </w:r>
      <w:r w:rsidRPr="00C12956">
        <w:rPr>
          <w:rFonts w:asciiTheme="minorBidi" w:eastAsia="Calibri" w:hAnsiTheme="minorBidi"/>
          <w:kern w:val="2"/>
        </w:rPr>
        <w:t>Contact lens wearer demographics and risk behaviors for contact lens-related eye infections—United States, 2014. </w:t>
      </w:r>
      <w:r w:rsidRPr="00C12956">
        <w:rPr>
          <w:rFonts w:asciiTheme="minorBidi" w:eastAsia="Calibri" w:hAnsiTheme="minorBidi"/>
          <w:i/>
          <w:iCs/>
          <w:kern w:val="2"/>
        </w:rPr>
        <w:t xml:space="preserve">MMWR </w:t>
      </w:r>
      <w:proofErr w:type="spellStart"/>
      <w:r w:rsidRPr="00C12956">
        <w:rPr>
          <w:rFonts w:asciiTheme="minorBidi" w:eastAsia="Calibri" w:hAnsiTheme="minorBidi"/>
          <w:i/>
          <w:iCs/>
          <w:kern w:val="2"/>
        </w:rPr>
        <w:t>Morb</w:t>
      </w:r>
      <w:proofErr w:type="spellEnd"/>
      <w:r w:rsidRPr="00C12956">
        <w:rPr>
          <w:rFonts w:asciiTheme="minorBidi" w:eastAsia="Calibri" w:hAnsiTheme="minorBidi"/>
          <w:i/>
          <w:iCs/>
          <w:kern w:val="2"/>
        </w:rPr>
        <w:t xml:space="preserve"> Mortal </w:t>
      </w:r>
      <w:proofErr w:type="spellStart"/>
      <w:r w:rsidRPr="00C12956">
        <w:rPr>
          <w:rFonts w:asciiTheme="minorBidi" w:eastAsia="Calibri" w:hAnsiTheme="minorBidi"/>
          <w:i/>
          <w:iCs/>
          <w:kern w:val="2"/>
        </w:rPr>
        <w:t>Wkly</w:t>
      </w:r>
      <w:proofErr w:type="spellEnd"/>
      <w:r w:rsidRPr="00C12956">
        <w:rPr>
          <w:rFonts w:asciiTheme="minorBidi" w:eastAsia="Calibri" w:hAnsiTheme="minorBidi"/>
          <w:i/>
          <w:iCs/>
          <w:kern w:val="2"/>
        </w:rPr>
        <w:t xml:space="preserve"> Rep</w:t>
      </w:r>
      <w:r w:rsidRPr="00C12956">
        <w:rPr>
          <w:rFonts w:asciiTheme="minorBidi" w:eastAsia="Calibri" w:hAnsiTheme="minorBidi"/>
          <w:kern w:val="2"/>
        </w:rPr>
        <w:t>. 2015;64(32):865-870. doi:10.15585/mmwr.mm6432a2</w:t>
      </w:r>
      <w:r w:rsidRPr="00C12956">
        <w:rPr>
          <w:rFonts w:asciiTheme="minorBidi" w:eastAsia="Calibri" w:hAnsiTheme="minorBidi"/>
          <w:kern w:val="2"/>
        </w:rPr>
        <w:br/>
        <w:t>Lien : </w:t>
      </w:r>
      <w:hyperlink r:id="rId16" w:tgtFrame="_blank" w:history="1">
        <w:r w:rsidRPr="00C12956">
          <w:rPr>
            <w:rStyle w:val="Hyperlink"/>
            <w:rFonts w:asciiTheme="minorBidi" w:eastAsia="Calibri" w:hAnsiTheme="minorBidi"/>
            <w:color w:val="auto"/>
            <w:kern w:val="2"/>
            <w:u w:val="none"/>
          </w:rPr>
          <w:t>https://www.cdc.gov/mmwr/preview/mmwrhtml/mm6432a2.htm</w:t>
        </w:r>
      </w:hyperlink>
    </w:p>
    <w:p w14:paraId="7D05658F" w14:textId="77777777" w:rsidR="00C12956" w:rsidRPr="00C12956" w:rsidRDefault="00C12956" w:rsidP="00C12956">
      <w:pPr>
        <w:numPr>
          <w:ilvl w:val="0"/>
          <w:numId w:val="47"/>
        </w:numPr>
        <w:rPr>
          <w:rFonts w:asciiTheme="minorBidi" w:eastAsia="Calibri" w:hAnsiTheme="minorBidi"/>
          <w:kern w:val="2"/>
          <w:lang w:val="fr-FR"/>
        </w:rPr>
      </w:pPr>
      <w:r w:rsidRPr="00C12956">
        <w:rPr>
          <w:rFonts w:asciiTheme="minorBidi" w:eastAsia="Calibri" w:hAnsiTheme="minorBidi"/>
          <w:kern w:val="2"/>
        </w:rPr>
        <w:t xml:space="preserve">Centers for Disease Control and Prevention (CDC). Healthy contact lens wear and care. </w:t>
      </w:r>
      <w:r w:rsidRPr="00C12956">
        <w:rPr>
          <w:rFonts w:asciiTheme="minorBidi" w:eastAsia="Calibri" w:hAnsiTheme="minorBidi"/>
          <w:kern w:val="2"/>
          <w:lang w:val="fr-FR"/>
        </w:rPr>
        <w:t>2019.</w:t>
      </w:r>
      <w:r w:rsidRPr="00C12956">
        <w:rPr>
          <w:rFonts w:asciiTheme="minorBidi" w:eastAsia="Calibri" w:hAnsiTheme="minorBidi"/>
          <w:kern w:val="2"/>
          <w:lang w:val="fr-FR"/>
        </w:rPr>
        <w:br/>
        <w:t>Lien : </w:t>
      </w:r>
      <w:hyperlink r:id="rId17" w:tgtFrame="_blank" w:history="1">
        <w:r w:rsidRPr="00C12956">
          <w:rPr>
            <w:rStyle w:val="Hyperlink"/>
            <w:rFonts w:asciiTheme="minorBidi" w:eastAsia="Calibri" w:hAnsiTheme="minorBidi"/>
            <w:color w:val="auto"/>
            <w:kern w:val="2"/>
            <w:u w:val="none"/>
            <w:lang w:val="fr-FR"/>
          </w:rPr>
          <w:t>https://www.cdc.gov/contactlenses/index.html</w:t>
        </w:r>
      </w:hyperlink>
    </w:p>
    <w:p w14:paraId="531621EC" w14:textId="77777777" w:rsidR="00C12956" w:rsidRPr="00C12956" w:rsidRDefault="00C12956" w:rsidP="00C12956">
      <w:pPr>
        <w:numPr>
          <w:ilvl w:val="0"/>
          <w:numId w:val="47"/>
        </w:numPr>
        <w:rPr>
          <w:rFonts w:asciiTheme="minorBidi" w:eastAsia="Calibri" w:hAnsiTheme="minorBidi"/>
          <w:kern w:val="2"/>
          <w:lang w:val="fr-FR"/>
        </w:rPr>
      </w:pPr>
      <w:r w:rsidRPr="00C12956">
        <w:rPr>
          <w:rFonts w:asciiTheme="minorBidi" w:eastAsia="Calibri" w:hAnsiTheme="minorBidi"/>
          <w:kern w:val="2"/>
          <w:lang w:val="fr-FR"/>
        </w:rPr>
        <w:t xml:space="preserve">Nichols JJ, Jones L, </w:t>
      </w:r>
      <w:proofErr w:type="spellStart"/>
      <w:r w:rsidRPr="00C12956">
        <w:rPr>
          <w:rFonts w:asciiTheme="minorBidi" w:eastAsia="Calibri" w:hAnsiTheme="minorBidi"/>
          <w:kern w:val="2"/>
          <w:lang w:val="fr-FR"/>
        </w:rPr>
        <w:t>Sinnott</w:t>
      </w:r>
      <w:proofErr w:type="spellEnd"/>
      <w:r w:rsidRPr="00C12956">
        <w:rPr>
          <w:rFonts w:asciiTheme="minorBidi" w:eastAsia="Calibri" w:hAnsiTheme="minorBidi"/>
          <w:kern w:val="2"/>
          <w:lang w:val="fr-FR"/>
        </w:rPr>
        <w:t xml:space="preserve"> LT, et al. </w:t>
      </w:r>
      <w:r w:rsidRPr="00C12956">
        <w:rPr>
          <w:rFonts w:asciiTheme="minorBidi" w:eastAsia="Calibri" w:hAnsiTheme="minorBidi"/>
          <w:kern w:val="2"/>
        </w:rPr>
        <w:t>The TFOS International Workshop on Contact Lens Discomfort: executive summary. </w:t>
      </w:r>
      <w:r w:rsidRPr="00C12956">
        <w:rPr>
          <w:rFonts w:asciiTheme="minorBidi" w:eastAsia="Calibri" w:hAnsiTheme="minorBidi"/>
          <w:i/>
          <w:iCs/>
          <w:kern w:val="2"/>
          <w:lang w:val="fr-FR"/>
        </w:rPr>
        <w:t xml:space="preserve">Invest </w:t>
      </w:r>
      <w:proofErr w:type="spellStart"/>
      <w:r w:rsidRPr="00C12956">
        <w:rPr>
          <w:rFonts w:asciiTheme="minorBidi" w:eastAsia="Calibri" w:hAnsiTheme="minorBidi"/>
          <w:i/>
          <w:iCs/>
          <w:kern w:val="2"/>
          <w:lang w:val="fr-FR"/>
        </w:rPr>
        <w:t>Ophthalmol</w:t>
      </w:r>
      <w:proofErr w:type="spellEnd"/>
      <w:r w:rsidRPr="00C12956">
        <w:rPr>
          <w:rFonts w:asciiTheme="minorBidi" w:eastAsia="Calibri" w:hAnsiTheme="minorBidi"/>
          <w:i/>
          <w:iCs/>
          <w:kern w:val="2"/>
          <w:lang w:val="fr-FR"/>
        </w:rPr>
        <w:t xml:space="preserve"> Vis </w:t>
      </w:r>
      <w:proofErr w:type="spellStart"/>
      <w:r w:rsidRPr="00C12956">
        <w:rPr>
          <w:rFonts w:asciiTheme="minorBidi" w:eastAsia="Calibri" w:hAnsiTheme="minorBidi"/>
          <w:i/>
          <w:iCs/>
          <w:kern w:val="2"/>
          <w:lang w:val="fr-FR"/>
        </w:rPr>
        <w:t>Sci</w:t>
      </w:r>
      <w:proofErr w:type="spellEnd"/>
      <w:r w:rsidRPr="00C12956">
        <w:rPr>
          <w:rFonts w:asciiTheme="minorBidi" w:eastAsia="Calibri" w:hAnsiTheme="minorBidi"/>
          <w:kern w:val="2"/>
          <w:lang w:val="fr-FR"/>
        </w:rPr>
        <w:t>. 2020;61(4):17. doi:10.1167/iovs.61.4.17</w:t>
      </w:r>
      <w:r w:rsidRPr="00C12956">
        <w:rPr>
          <w:rFonts w:asciiTheme="minorBidi" w:eastAsia="Calibri" w:hAnsiTheme="minorBidi"/>
          <w:kern w:val="2"/>
          <w:lang w:val="fr-FR"/>
        </w:rPr>
        <w:br/>
        <w:t>Lien : </w:t>
      </w:r>
      <w:hyperlink r:id="rId18" w:tgtFrame="_blank" w:history="1">
        <w:r w:rsidRPr="00C12956">
          <w:rPr>
            <w:rStyle w:val="Hyperlink"/>
            <w:rFonts w:asciiTheme="minorBidi" w:eastAsia="Calibri" w:hAnsiTheme="minorBidi"/>
            <w:color w:val="auto"/>
            <w:kern w:val="2"/>
            <w:u w:val="none"/>
            <w:lang w:val="fr-FR"/>
          </w:rPr>
          <w:t>https://iovs.arvojournals.org/article.aspx?articleid=2763407</w:t>
        </w:r>
      </w:hyperlink>
    </w:p>
    <w:p w14:paraId="1320480F" w14:textId="77777777" w:rsidR="00C12956" w:rsidRPr="00C12956" w:rsidRDefault="00C12956" w:rsidP="00C12956">
      <w:pPr>
        <w:numPr>
          <w:ilvl w:val="0"/>
          <w:numId w:val="47"/>
        </w:numPr>
        <w:rPr>
          <w:rFonts w:asciiTheme="minorBidi" w:eastAsia="Calibri" w:hAnsiTheme="minorBidi"/>
          <w:kern w:val="2"/>
          <w:lang w:val="fr-FR"/>
        </w:rPr>
      </w:pPr>
      <w:r w:rsidRPr="00C12956">
        <w:rPr>
          <w:rFonts w:asciiTheme="minorBidi" w:eastAsia="Calibri" w:hAnsiTheme="minorBidi"/>
          <w:kern w:val="2"/>
          <w:lang w:val="fr-FR"/>
        </w:rPr>
        <w:t>Efron N. </w:t>
      </w:r>
      <w:r w:rsidRPr="00C12956">
        <w:rPr>
          <w:rFonts w:asciiTheme="minorBidi" w:eastAsia="Calibri" w:hAnsiTheme="minorBidi"/>
          <w:i/>
          <w:iCs/>
          <w:kern w:val="2"/>
          <w:lang w:val="fr-FR"/>
        </w:rPr>
        <w:t>Contact Lens Practice</w:t>
      </w:r>
      <w:r w:rsidRPr="00C12956">
        <w:rPr>
          <w:rFonts w:asciiTheme="minorBidi" w:eastAsia="Calibri" w:hAnsiTheme="minorBidi"/>
          <w:kern w:val="2"/>
          <w:lang w:val="fr-FR"/>
        </w:rPr>
        <w:t xml:space="preserve">. 3rd </w:t>
      </w:r>
      <w:proofErr w:type="spellStart"/>
      <w:r w:rsidRPr="00C12956">
        <w:rPr>
          <w:rFonts w:asciiTheme="minorBidi" w:eastAsia="Calibri" w:hAnsiTheme="minorBidi"/>
          <w:kern w:val="2"/>
          <w:lang w:val="fr-FR"/>
        </w:rPr>
        <w:t>ed</w:t>
      </w:r>
      <w:proofErr w:type="spellEnd"/>
      <w:r w:rsidRPr="00C12956">
        <w:rPr>
          <w:rFonts w:asciiTheme="minorBidi" w:eastAsia="Calibri" w:hAnsiTheme="minorBidi"/>
          <w:kern w:val="2"/>
          <w:lang w:val="fr-FR"/>
        </w:rPr>
        <w:t>. Elsevier; 2017.</w:t>
      </w:r>
      <w:r w:rsidRPr="00C12956">
        <w:rPr>
          <w:rFonts w:asciiTheme="minorBidi" w:eastAsia="Calibri" w:hAnsiTheme="minorBidi"/>
          <w:kern w:val="2"/>
          <w:lang w:val="fr-FR"/>
        </w:rPr>
        <w:br/>
        <w:t>Lien : </w:t>
      </w:r>
      <w:hyperlink r:id="rId19" w:tgtFrame="_blank" w:history="1">
        <w:r w:rsidRPr="00C12956">
          <w:rPr>
            <w:rStyle w:val="Hyperlink"/>
            <w:rFonts w:asciiTheme="minorBidi" w:eastAsia="Calibri" w:hAnsiTheme="minorBidi"/>
            <w:color w:val="auto"/>
            <w:kern w:val="2"/>
            <w:u w:val="none"/>
            <w:lang w:val="fr-FR"/>
          </w:rPr>
          <w:t>https://www.elsevier.com/books/contact-lens-practice/efron/978-0-7020-6098-2</w:t>
        </w:r>
      </w:hyperlink>
    </w:p>
    <w:p w14:paraId="391EE6DD" w14:textId="77777777" w:rsidR="00C12956" w:rsidRPr="00C12956" w:rsidRDefault="00C12956" w:rsidP="00C12956">
      <w:pPr>
        <w:numPr>
          <w:ilvl w:val="0"/>
          <w:numId w:val="47"/>
        </w:numPr>
        <w:rPr>
          <w:rFonts w:asciiTheme="minorBidi" w:eastAsia="Calibri" w:hAnsiTheme="minorBidi"/>
          <w:kern w:val="2"/>
          <w:lang w:val="fr-FR"/>
        </w:rPr>
      </w:pPr>
      <w:r w:rsidRPr="00C12956">
        <w:rPr>
          <w:rFonts w:asciiTheme="minorBidi" w:eastAsia="Calibri" w:hAnsiTheme="minorBidi"/>
          <w:kern w:val="2"/>
        </w:rPr>
        <w:t>Holden BA, Mertz GW. Critical oxygen levels to avoid corneal edema in daily wear contact lenses. </w:t>
      </w:r>
      <w:r w:rsidRPr="00C12956">
        <w:rPr>
          <w:rFonts w:asciiTheme="minorBidi" w:eastAsia="Calibri" w:hAnsiTheme="minorBidi"/>
          <w:i/>
          <w:iCs/>
          <w:kern w:val="2"/>
          <w:lang w:val="fr-FR"/>
        </w:rPr>
        <w:t xml:space="preserve">Invest </w:t>
      </w:r>
      <w:proofErr w:type="spellStart"/>
      <w:r w:rsidRPr="00C12956">
        <w:rPr>
          <w:rFonts w:asciiTheme="minorBidi" w:eastAsia="Calibri" w:hAnsiTheme="minorBidi"/>
          <w:i/>
          <w:iCs/>
          <w:kern w:val="2"/>
          <w:lang w:val="fr-FR"/>
        </w:rPr>
        <w:t>Ophthalmol</w:t>
      </w:r>
      <w:proofErr w:type="spellEnd"/>
      <w:r w:rsidRPr="00C12956">
        <w:rPr>
          <w:rFonts w:asciiTheme="minorBidi" w:eastAsia="Calibri" w:hAnsiTheme="minorBidi"/>
          <w:i/>
          <w:iCs/>
          <w:kern w:val="2"/>
          <w:lang w:val="fr-FR"/>
        </w:rPr>
        <w:t xml:space="preserve"> Vis </w:t>
      </w:r>
      <w:proofErr w:type="spellStart"/>
      <w:r w:rsidRPr="00C12956">
        <w:rPr>
          <w:rFonts w:asciiTheme="minorBidi" w:eastAsia="Calibri" w:hAnsiTheme="minorBidi"/>
          <w:i/>
          <w:iCs/>
          <w:kern w:val="2"/>
          <w:lang w:val="fr-FR"/>
        </w:rPr>
        <w:t>Sci</w:t>
      </w:r>
      <w:proofErr w:type="spellEnd"/>
      <w:r w:rsidRPr="00C12956">
        <w:rPr>
          <w:rFonts w:asciiTheme="minorBidi" w:eastAsia="Calibri" w:hAnsiTheme="minorBidi"/>
          <w:kern w:val="2"/>
          <w:lang w:val="fr-FR"/>
        </w:rPr>
        <w:t>. 1984;25(10):1161–1167.</w:t>
      </w:r>
      <w:r w:rsidRPr="00C12956">
        <w:rPr>
          <w:rFonts w:asciiTheme="minorBidi" w:eastAsia="Calibri" w:hAnsiTheme="minorBidi"/>
          <w:kern w:val="2"/>
          <w:lang w:val="fr-FR"/>
        </w:rPr>
        <w:br/>
        <w:t>Lien : </w:t>
      </w:r>
      <w:hyperlink r:id="rId20" w:tgtFrame="_blank" w:history="1">
        <w:r w:rsidRPr="00C12956">
          <w:rPr>
            <w:rStyle w:val="Hyperlink"/>
            <w:rFonts w:asciiTheme="minorBidi" w:eastAsia="Calibri" w:hAnsiTheme="minorBidi"/>
            <w:color w:val="auto"/>
            <w:kern w:val="2"/>
            <w:u w:val="none"/>
            <w:lang w:val="fr-FR"/>
          </w:rPr>
          <w:t>https://iovs.arvojournals.org/article.aspx?articleid=2162249</w:t>
        </w:r>
      </w:hyperlink>
    </w:p>
    <w:p w14:paraId="718B8F30" w14:textId="77777777" w:rsidR="00C12956" w:rsidRPr="00C12956" w:rsidRDefault="00C12956" w:rsidP="00C12956">
      <w:pPr>
        <w:numPr>
          <w:ilvl w:val="0"/>
          <w:numId w:val="47"/>
        </w:numPr>
        <w:rPr>
          <w:rFonts w:asciiTheme="minorBidi" w:eastAsia="Calibri" w:hAnsiTheme="minorBidi"/>
          <w:kern w:val="2"/>
          <w:lang w:val="fr-FR"/>
        </w:rPr>
      </w:pPr>
      <w:proofErr w:type="spellStart"/>
      <w:r w:rsidRPr="00C12956">
        <w:rPr>
          <w:rFonts w:asciiTheme="minorBidi" w:eastAsia="Calibri" w:hAnsiTheme="minorBidi"/>
          <w:kern w:val="2"/>
        </w:rPr>
        <w:t>Harvitt</w:t>
      </w:r>
      <w:proofErr w:type="spellEnd"/>
      <w:r w:rsidRPr="00C12956">
        <w:rPr>
          <w:rFonts w:asciiTheme="minorBidi" w:eastAsia="Calibri" w:hAnsiTheme="minorBidi"/>
          <w:kern w:val="2"/>
        </w:rPr>
        <w:t xml:space="preserve"> DM, </w:t>
      </w:r>
      <w:proofErr w:type="spellStart"/>
      <w:r w:rsidRPr="00C12956">
        <w:rPr>
          <w:rFonts w:asciiTheme="minorBidi" w:eastAsia="Calibri" w:hAnsiTheme="minorBidi"/>
          <w:kern w:val="2"/>
        </w:rPr>
        <w:t>Bonanno</w:t>
      </w:r>
      <w:proofErr w:type="spellEnd"/>
      <w:r w:rsidRPr="00C12956">
        <w:rPr>
          <w:rFonts w:asciiTheme="minorBidi" w:eastAsia="Calibri" w:hAnsiTheme="minorBidi"/>
          <w:kern w:val="2"/>
        </w:rPr>
        <w:t xml:space="preserve"> JA. Re-evaluation of the oxygen diffusion model for contact lenses. </w:t>
      </w:r>
      <w:r w:rsidRPr="00C12956">
        <w:rPr>
          <w:rFonts w:asciiTheme="minorBidi" w:eastAsia="Calibri" w:hAnsiTheme="minorBidi"/>
          <w:i/>
          <w:iCs/>
          <w:kern w:val="2"/>
          <w:lang w:val="fr-FR"/>
        </w:rPr>
        <w:t xml:space="preserve">Invest </w:t>
      </w:r>
      <w:proofErr w:type="spellStart"/>
      <w:r w:rsidRPr="00C12956">
        <w:rPr>
          <w:rFonts w:asciiTheme="minorBidi" w:eastAsia="Calibri" w:hAnsiTheme="minorBidi"/>
          <w:i/>
          <w:iCs/>
          <w:kern w:val="2"/>
          <w:lang w:val="fr-FR"/>
        </w:rPr>
        <w:t>Ophthalmol</w:t>
      </w:r>
      <w:proofErr w:type="spellEnd"/>
      <w:r w:rsidRPr="00C12956">
        <w:rPr>
          <w:rFonts w:asciiTheme="minorBidi" w:eastAsia="Calibri" w:hAnsiTheme="minorBidi"/>
          <w:i/>
          <w:iCs/>
          <w:kern w:val="2"/>
          <w:lang w:val="fr-FR"/>
        </w:rPr>
        <w:t xml:space="preserve"> Vis </w:t>
      </w:r>
      <w:proofErr w:type="spellStart"/>
      <w:r w:rsidRPr="00C12956">
        <w:rPr>
          <w:rFonts w:asciiTheme="minorBidi" w:eastAsia="Calibri" w:hAnsiTheme="minorBidi"/>
          <w:i/>
          <w:iCs/>
          <w:kern w:val="2"/>
          <w:lang w:val="fr-FR"/>
        </w:rPr>
        <w:t>Sci</w:t>
      </w:r>
      <w:proofErr w:type="spellEnd"/>
      <w:r w:rsidRPr="00C12956">
        <w:rPr>
          <w:rFonts w:asciiTheme="minorBidi" w:eastAsia="Calibri" w:hAnsiTheme="minorBidi"/>
          <w:kern w:val="2"/>
          <w:lang w:val="fr-FR"/>
        </w:rPr>
        <w:t>. 1999;40(11):2500–2505.</w:t>
      </w:r>
      <w:r w:rsidRPr="00C12956">
        <w:rPr>
          <w:rFonts w:asciiTheme="minorBidi" w:eastAsia="Calibri" w:hAnsiTheme="minorBidi"/>
          <w:kern w:val="2"/>
          <w:lang w:val="fr-FR"/>
        </w:rPr>
        <w:br/>
        <w:t>Lien : </w:t>
      </w:r>
      <w:hyperlink r:id="rId21" w:tgtFrame="_blank" w:history="1">
        <w:r w:rsidRPr="00C12956">
          <w:rPr>
            <w:rStyle w:val="Hyperlink"/>
            <w:rFonts w:asciiTheme="minorBidi" w:eastAsia="Calibri" w:hAnsiTheme="minorBidi"/>
            <w:color w:val="auto"/>
            <w:kern w:val="2"/>
            <w:u w:val="none"/>
            <w:lang w:val="fr-FR"/>
          </w:rPr>
          <w:t>https://iovs.arvojournals.org/article.aspx?articleid=2162249</w:t>
        </w:r>
      </w:hyperlink>
    </w:p>
    <w:bookmarkEnd w:id="1"/>
    <w:bookmarkEnd w:id="2"/>
    <w:bookmarkEnd w:id="3"/>
    <w:bookmarkEnd w:id="4"/>
    <w:bookmarkEnd w:id="5"/>
    <w:p w14:paraId="784F326A" w14:textId="77777777" w:rsidR="00C12956" w:rsidRPr="00C12956" w:rsidRDefault="00C12956" w:rsidP="00C12956">
      <w:pPr>
        <w:ind w:left="786"/>
        <w:rPr>
          <w:rFonts w:asciiTheme="minorBidi" w:eastAsia="Calibri" w:hAnsiTheme="minorBidi"/>
          <w:kern w:val="2"/>
          <w:lang w:val="fr-FR"/>
        </w:rPr>
      </w:pPr>
    </w:p>
    <w:sectPr w:rsidR="00C12956" w:rsidRPr="00C12956" w:rsidSect="0085474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A64AA" w14:textId="77777777" w:rsidR="00CC59C5" w:rsidRDefault="00CC59C5" w:rsidP="00C37E61">
      <w:r>
        <w:separator/>
      </w:r>
    </w:p>
  </w:endnote>
  <w:endnote w:type="continuationSeparator" w:id="0">
    <w:p w14:paraId="5D3F3DA7" w14:textId="77777777" w:rsidR="00CC59C5" w:rsidRDefault="00CC59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1B92C" w14:textId="00DC3B47" w:rsidR="00754C9A" w:rsidRPr="005126F3" w:rsidRDefault="00754C9A" w:rsidP="00512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41554" w14:textId="77777777" w:rsidR="00CC59C5" w:rsidRDefault="00CC59C5" w:rsidP="00C37E61">
      <w:r>
        <w:separator/>
      </w:r>
    </w:p>
  </w:footnote>
  <w:footnote w:type="continuationSeparator" w:id="0">
    <w:p w14:paraId="3266F9C9" w14:textId="77777777" w:rsidR="00CC59C5" w:rsidRDefault="00CC59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1E97" w14:textId="594F3A9A" w:rsidR="0085474F" w:rsidRDefault="00BE70F5">
    <w:pPr>
      <w:pStyle w:val="Header"/>
    </w:pPr>
    <w:r>
      <w:rPr>
        <w:noProof/>
      </w:rPr>
      <w:pict w14:anchorId="3C3BB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07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1F1C" w14:textId="5CD5F570" w:rsidR="0085474F" w:rsidRDefault="00BE70F5">
    <w:pPr>
      <w:pStyle w:val="Header"/>
    </w:pPr>
    <w:r>
      <w:rPr>
        <w:noProof/>
      </w:rPr>
      <w:pict w14:anchorId="22A63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07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5F97B" w14:textId="3D48DCBC" w:rsidR="00296529" w:rsidRPr="00296529" w:rsidRDefault="00BE70F5" w:rsidP="00296529">
    <w:pPr>
      <w:ind w:left="2160"/>
      <w:jc w:val="center"/>
      <w:rPr>
        <w:rFonts w:ascii="Times New Roman" w:eastAsia="Calibri" w:hAnsi="Times New Roman"/>
        <w:i/>
        <w:sz w:val="18"/>
        <w:szCs w:val="22"/>
      </w:rPr>
    </w:pPr>
    <w:r>
      <w:rPr>
        <w:noProof/>
      </w:rPr>
      <w:pict w14:anchorId="2258A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07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70A0D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D6A0E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E6DD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BA81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07068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99272F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C64C93"/>
    <w:multiLevelType w:val="multilevel"/>
    <w:tmpl w:val="D8942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7B42FB"/>
    <w:multiLevelType w:val="multilevel"/>
    <w:tmpl w:val="B35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603A1"/>
    <w:multiLevelType w:val="multilevel"/>
    <w:tmpl w:val="D8FCE96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E10361"/>
    <w:multiLevelType w:val="multilevel"/>
    <w:tmpl w:val="90E2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465C1"/>
    <w:multiLevelType w:val="hybridMultilevel"/>
    <w:tmpl w:val="AAA874B8"/>
    <w:numStyleLink w:val="Style1import"/>
  </w:abstractNum>
  <w:abstractNum w:abstractNumId="16" w15:restartNumberingAfterBreak="0">
    <w:nsid w:val="26E01031"/>
    <w:multiLevelType w:val="multilevel"/>
    <w:tmpl w:val="A784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CEE6DDF"/>
    <w:multiLevelType w:val="multilevel"/>
    <w:tmpl w:val="BDB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1C47B7"/>
    <w:multiLevelType w:val="multilevel"/>
    <w:tmpl w:val="F61AC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107F31"/>
    <w:multiLevelType w:val="multilevel"/>
    <w:tmpl w:val="97260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3F1CF7"/>
    <w:multiLevelType w:val="multilevel"/>
    <w:tmpl w:val="AD16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75CEA"/>
    <w:multiLevelType w:val="hybridMultilevel"/>
    <w:tmpl w:val="AAA874B8"/>
    <w:styleLink w:val="Style1import"/>
    <w:lvl w:ilvl="0" w:tplc="2D14A7B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6A79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FED0C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98379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D87E4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182E96">
      <w:start w:val="1"/>
      <w:numFmt w:val="bullet"/>
      <w:lvlText w:val="▪"/>
      <w:lvlJc w:val="left"/>
      <w:pPr>
        <w:tabs>
          <w:tab w:val="left" w:pos="360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C8668E">
      <w:start w:val="1"/>
      <w:numFmt w:val="bullet"/>
      <w:lvlText w:val="▪"/>
      <w:lvlJc w:val="left"/>
      <w:pPr>
        <w:tabs>
          <w:tab w:val="left" w:pos="360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444F40">
      <w:start w:val="1"/>
      <w:numFmt w:val="bullet"/>
      <w:lvlText w:val="▪"/>
      <w:lvlJc w:val="left"/>
      <w:pPr>
        <w:tabs>
          <w:tab w:val="left" w:pos="360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AE6C9C">
      <w:start w:val="1"/>
      <w:numFmt w:val="bullet"/>
      <w:lvlText w:val="▪"/>
      <w:lvlJc w:val="left"/>
      <w:pPr>
        <w:tabs>
          <w:tab w:val="left" w:pos="360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4F3735F5"/>
    <w:multiLevelType w:val="hybridMultilevel"/>
    <w:tmpl w:val="D4404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A540F1"/>
    <w:multiLevelType w:val="multilevel"/>
    <w:tmpl w:val="5A54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1FF4B6A"/>
    <w:multiLevelType w:val="multilevel"/>
    <w:tmpl w:val="E84EA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D440C93"/>
    <w:multiLevelType w:val="multilevel"/>
    <w:tmpl w:val="3C28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11108"/>
    <w:multiLevelType w:val="multilevel"/>
    <w:tmpl w:val="12A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3CD5FFC"/>
    <w:multiLevelType w:val="multilevel"/>
    <w:tmpl w:val="0D04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4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9"/>
  </w:num>
  <w:num w:numId="9">
    <w:abstractNumId w:val="42"/>
  </w:num>
  <w:num w:numId="10">
    <w:abstractNumId w:val="2"/>
  </w:num>
  <w:num w:numId="11">
    <w:abstractNumId w:val="32"/>
  </w:num>
  <w:num w:numId="12">
    <w:abstractNumId w:val="3"/>
  </w:num>
  <w:num w:numId="13">
    <w:abstractNumId w:val="30"/>
  </w:num>
  <w:num w:numId="14">
    <w:abstractNumId w:val="10"/>
  </w:num>
  <w:num w:numId="15">
    <w:abstractNumId w:val="37"/>
  </w:num>
  <w:num w:numId="16">
    <w:abstractNumId w:val="5"/>
  </w:num>
  <w:num w:numId="17">
    <w:abstractNumId w:val="39"/>
  </w:num>
  <w:num w:numId="18">
    <w:abstractNumId w:val="21"/>
  </w:num>
  <w:num w:numId="19">
    <w:abstractNumId w:val="45"/>
  </w:num>
  <w:num w:numId="20">
    <w:abstractNumId w:val="17"/>
  </w:num>
  <w:num w:numId="21">
    <w:abstractNumId w:val="11"/>
  </w:num>
  <w:num w:numId="22">
    <w:abstractNumId w:val="20"/>
  </w:num>
  <w:num w:numId="23">
    <w:abstractNumId w:val="35"/>
  </w:num>
  <w:num w:numId="24">
    <w:abstractNumId w:val="43"/>
  </w:num>
  <w:num w:numId="25">
    <w:abstractNumId w:val="4"/>
  </w:num>
  <w:num w:numId="26">
    <w:abstractNumId w:val="28"/>
  </w:num>
  <w:num w:numId="27">
    <w:abstractNumId w:val="36"/>
  </w:num>
  <w:num w:numId="28">
    <w:abstractNumId w:val="44"/>
  </w:num>
  <w:num w:numId="29">
    <w:abstractNumId w:val="41"/>
  </w:num>
  <w:num w:numId="30">
    <w:abstractNumId w:val="12"/>
  </w:num>
  <w:num w:numId="31">
    <w:abstractNumId w:val="22"/>
  </w:num>
  <w:num w:numId="32">
    <w:abstractNumId w:val="23"/>
  </w:num>
  <w:num w:numId="33">
    <w:abstractNumId w:val="16"/>
  </w:num>
  <w:num w:numId="34">
    <w:abstractNumId w:val="29"/>
  </w:num>
  <w:num w:numId="35">
    <w:abstractNumId w:val="38"/>
  </w:num>
  <w:num w:numId="36">
    <w:abstractNumId w:val="14"/>
  </w:num>
  <w:num w:numId="37">
    <w:abstractNumId w:val="6"/>
  </w:num>
  <w:num w:numId="38">
    <w:abstractNumId w:val="34"/>
  </w:num>
  <w:num w:numId="39">
    <w:abstractNumId w:val="33"/>
  </w:num>
  <w:num w:numId="40">
    <w:abstractNumId w:val="18"/>
  </w:num>
  <w:num w:numId="41">
    <w:abstractNumId w:val="27"/>
  </w:num>
  <w:num w:numId="42">
    <w:abstractNumId w:val="25"/>
  </w:num>
  <w:num w:numId="43">
    <w:abstractNumId w:val="15"/>
  </w:num>
  <w:num w:numId="44">
    <w:abstractNumId w:val="24"/>
  </w:num>
  <w:num w:numId="45">
    <w:abstractNumId w:val="9"/>
  </w:num>
  <w:num w:numId="46">
    <w:abstractNumId w:val="13"/>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ysDA1MjMzNzczMDdW0lEKTi0uzszPAykwrAUAcAP/jSwAAAA="/>
  </w:docVars>
  <w:rsids>
    <w:rsidRoot w:val="00AA6219"/>
    <w:rsid w:val="00000F8F"/>
    <w:rsid w:val="00030174"/>
    <w:rsid w:val="0004579C"/>
    <w:rsid w:val="00081A0F"/>
    <w:rsid w:val="0009297F"/>
    <w:rsid w:val="000A47FA"/>
    <w:rsid w:val="000A65D3"/>
    <w:rsid w:val="000B1E33"/>
    <w:rsid w:val="000D689F"/>
    <w:rsid w:val="000E16F7"/>
    <w:rsid w:val="000E3E60"/>
    <w:rsid w:val="000E7B7B"/>
    <w:rsid w:val="000E7D62"/>
    <w:rsid w:val="00103357"/>
    <w:rsid w:val="00123C9F"/>
    <w:rsid w:val="00126190"/>
    <w:rsid w:val="00130F17"/>
    <w:rsid w:val="001320BF"/>
    <w:rsid w:val="001525B4"/>
    <w:rsid w:val="00163BC4"/>
    <w:rsid w:val="00177CF3"/>
    <w:rsid w:val="00191062"/>
    <w:rsid w:val="00192B72"/>
    <w:rsid w:val="0019747E"/>
    <w:rsid w:val="001A29D8"/>
    <w:rsid w:val="001A3DF1"/>
    <w:rsid w:val="001A5CAA"/>
    <w:rsid w:val="001B0427"/>
    <w:rsid w:val="001B1ACF"/>
    <w:rsid w:val="001C0E36"/>
    <w:rsid w:val="001D3A51"/>
    <w:rsid w:val="001E10D2"/>
    <w:rsid w:val="001E25B4"/>
    <w:rsid w:val="001E44FE"/>
    <w:rsid w:val="001E7153"/>
    <w:rsid w:val="00200595"/>
    <w:rsid w:val="00204835"/>
    <w:rsid w:val="00214C47"/>
    <w:rsid w:val="00231920"/>
    <w:rsid w:val="0023195C"/>
    <w:rsid w:val="0024282C"/>
    <w:rsid w:val="002460DC"/>
    <w:rsid w:val="00250188"/>
    <w:rsid w:val="00250985"/>
    <w:rsid w:val="002556F6"/>
    <w:rsid w:val="00283105"/>
    <w:rsid w:val="00284C4C"/>
    <w:rsid w:val="00287E68"/>
    <w:rsid w:val="002912A5"/>
    <w:rsid w:val="00296529"/>
    <w:rsid w:val="002B27FB"/>
    <w:rsid w:val="002B685A"/>
    <w:rsid w:val="002C57D2"/>
    <w:rsid w:val="002E0D56"/>
    <w:rsid w:val="002F0650"/>
    <w:rsid w:val="002F420C"/>
    <w:rsid w:val="00315186"/>
    <w:rsid w:val="0032275B"/>
    <w:rsid w:val="0033343E"/>
    <w:rsid w:val="00335076"/>
    <w:rsid w:val="003512C2"/>
    <w:rsid w:val="00356A48"/>
    <w:rsid w:val="00371FB6"/>
    <w:rsid w:val="003763C1"/>
    <w:rsid w:val="00376BBE"/>
    <w:rsid w:val="0039224F"/>
    <w:rsid w:val="003A43A4"/>
    <w:rsid w:val="003A7E18"/>
    <w:rsid w:val="003C4C86"/>
    <w:rsid w:val="003C6258"/>
    <w:rsid w:val="003E2904"/>
    <w:rsid w:val="00401927"/>
    <w:rsid w:val="0041027F"/>
    <w:rsid w:val="00412475"/>
    <w:rsid w:val="004209E3"/>
    <w:rsid w:val="00423789"/>
    <w:rsid w:val="00440F43"/>
    <w:rsid w:val="00441B6F"/>
    <w:rsid w:val="00446221"/>
    <w:rsid w:val="00450E62"/>
    <w:rsid w:val="004539DB"/>
    <w:rsid w:val="00471A80"/>
    <w:rsid w:val="0049253D"/>
    <w:rsid w:val="004D305E"/>
    <w:rsid w:val="004D4277"/>
    <w:rsid w:val="004F6FA2"/>
    <w:rsid w:val="00502516"/>
    <w:rsid w:val="00503E45"/>
    <w:rsid w:val="00505F06"/>
    <w:rsid w:val="00506828"/>
    <w:rsid w:val="005126F3"/>
    <w:rsid w:val="0053056E"/>
    <w:rsid w:val="00537D97"/>
    <w:rsid w:val="00542A79"/>
    <w:rsid w:val="00554FDA"/>
    <w:rsid w:val="0055681D"/>
    <w:rsid w:val="005747B3"/>
    <w:rsid w:val="005C784C"/>
    <w:rsid w:val="005D17F6"/>
    <w:rsid w:val="005E5539"/>
    <w:rsid w:val="0060216B"/>
    <w:rsid w:val="00602BF5"/>
    <w:rsid w:val="00604ABF"/>
    <w:rsid w:val="00617FDD"/>
    <w:rsid w:val="00622662"/>
    <w:rsid w:val="0062547A"/>
    <w:rsid w:val="00633614"/>
    <w:rsid w:val="00633F68"/>
    <w:rsid w:val="00636EB2"/>
    <w:rsid w:val="006375B8"/>
    <w:rsid w:val="0064518F"/>
    <w:rsid w:val="0066510A"/>
    <w:rsid w:val="00673F9F"/>
    <w:rsid w:val="00686953"/>
    <w:rsid w:val="00687DEA"/>
    <w:rsid w:val="00687E67"/>
    <w:rsid w:val="0069111D"/>
    <w:rsid w:val="006967F7"/>
    <w:rsid w:val="006A250C"/>
    <w:rsid w:val="006B21D3"/>
    <w:rsid w:val="006B57D0"/>
    <w:rsid w:val="006C023D"/>
    <w:rsid w:val="006C294A"/>
    <w:rsid w:val="006D30FF"/>
    <w:rsid w:val="006D6940"/>
    <w:rsid w:val="006E3F6D"/>
    <w:rsid w:val="006F11EC"/>
    <w:rsid w:val="0070082C"/>
    <w:rsid w:val="007369E6"/>
    <w:rsid w:val="00746E59"/>
    <w:rsid w:val="00754C9A"/>
    <w:rsid w:val="0075599A"/>
    <w:rsid w:val="00761D52"/>
    <w:rsid w:val="0077749E"/>
    <w:rsid w:val="00782090"/>
    <w:rsid w:val="00790ADA"/>
    <w:rsid w:val="007A1974"/>
    <w:rsid w:val="007D2288"/>
    <w:rsid w:val="007E088F"/>
    <w:rsid w:val="007F7B32"/>
    <w:rsid w:val="00804BC2"/>
    <w:rsid w:val="00812F82"/>
    <w:rsid w:val="0081431A"/>
    <w:rsid w:val="00817CD0"/>
    <w:rsid w:val="00821019"/>
    <w:rsid w:val="0083216F"/>
    <w:rsid w:val="00844ACF"/>
    <w:rsid w:val="0085474F"/>
    <w:rsid w:val="00860000"/>
    <w:rsid w:val="00863BD3"/>
    <w:rsid w:val="008641ED"/>
    <w:rsid w:val="00866D66"/>
    <w:rsid w:val="008671C6"/>
    <w:rsid w:val="00875803"/>
    <w:rsid w:val="00886073"/>
    <w:rsid w:val="00892880"/>
    <w:rsid w:val="008A3605"/>
    <w:rsid w:val="008A79F0"/>
    <w:rsid w:val="008B459E"/>
    <w:rsid w:val="008B7FFA"/>
    <w:rsid w:val="008C6B27"/>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6443"/>
    <w:rsid w:val="00A03B96"/>
    <w:rsid w:val="00A05B19"/>
    <w:rsid w:val="00A1134E"/>
    <w:rsid w:val="00A24E7E"/>
    <w:rsid w:val="00A258C3"/>
    <w:rsid w:val="00A347C0"/>
    <w:rsid w:val="00A36EDC"/>
    <w:rsid w:val="00A51431"/>
    <w:rsid w:val="00A5310C"/>
    <w:rsid w:val="00A539AD"/>
    <w:rsid w:val="00A71D3E"/>
    <w:rsid w:val="00A94063"/>
    <w:rsid w:val="00AA5CEE"/>
    <w:rsid w:val="00AA6219"/>
    <w:rsid w:val="00AA74E0"/>
    <w:rsid w:val="00AB703F"/>
    <w:rsid w:val="00AC6BB8"/>
    <w:rsid w:val="00AE008F"/>
    <w:rsid w:val="00B01FCD"/>
    <w:rsid w:val="00B1776C"/>
    <w:rsid w:val="00B52583"/>
    <w:rsid w:val="00B52896"/>
    <w:rsid w:val="00B95236"/>
    <w:rsid w:val="00B96BD9"/>
    <w:rsid w:val="00BA1B01"/>
    <w:rsid w:val="00BA2641"/>
    <w:rsid w:val="00BA71AB"/>
    <w:rsid w:val="00BB37AA"/>
    <w:rsid w:val="00BC53A0"/>
    <w:rsid w:val="00BE5F7D"/>
    <w:rsid w:val="00BE62AD"/>
    <w:rsid w:val="00BE70F5"/>
    <w:rsid w:val="00BF121F"/>
    <w:rsid w:val="00BF1F80"/>
    <w:rsid w:val="00C12956"/>
    <w:rsid w:val="00C166EF"/>
    <w:rsid w:val="00C17EB0"/>
    <w:rsid w:val="00C27BAF"/>
    <w:rsid w:val="00C27F5F"/>
    <w:rsid w:val="00C30A0F"/>
    <w:rsid w:val="00C37E61"/>
    <w:rsid w:val="00C70F1B"/>
    <w:rsid w:val="00C71A47"/>
    <w:rsid w:val="00C7464C"/>
    <w:rsid w:val="00C8441D"/>
    <w:rsid w:val="00C85588"/>
    <w:rsid w:val="00CC59C5"/>
    <w:rsid w:val="00CD4177"/>
    <w:rsid w:val="00CD6755"/>
    <w:rsid w:val="00CD6856"/>
    <w:rsid w:val="00CE0089"/>
    <w:rsid w:val="00CE793C"/>
    <w:rsid w:val="00CF193C"/>
    <w:rsid w:val="00D173F1"/>
    <w:rsid w:val="00D23A10"/>
    <w:rsid w:val="00D50DA3"/>
    <w:rsid w:val="00D74CB0"/>
    <w:rsid w:val="00D8295D"/>
    <w:rsid w:val="00DC2A65"/>
    <w:rsid w:val="00DD7EDC"/>
    <w:rsid w:val="00DE15F0"/>
    <w:rsid w:val="00DE5663"/>
    <w:rsid w:val="00DE78AA"/>
    <w:rsid w:val="00E053D0"/>
    <w:rsid w:val="00E1397C"/>
    <w:rsid w:val="00E15994"/>
    <w:rsid w:val="00E3114E"/>
    <w:rsid w:val="00E31A70"/>
    <w:rsid w:val="00E35B02"/>
    <w:rsid w:val="00E66496"/>
    <w:rsid w:val="00E66B35"/>
    <w:rsid w:val="00E66E10"/>
    <w:rsid w:val="00E769F6"/>
    <w:rsid w:val="00E8407C"/>
    <w:rsid w:val="00E84F3C"/>
    <w:rsid w:val="00EA012C"/>
    <w:rsid w:val="00EA5438"/>
    <w:rsid w:val="00EC6A55"/>
    <w:rsid w:val="00ED0288"/>
    <w:rsid w:val="00EE52CB"/>
    <w:rsid w:val="00EF10C8"/>
    <w:rsid w:val="00EF581D"/>
    <w:rsid w:val="00EF7FD8"/>
    <w:rsid w:val="00F06F59"/>
    <w:rsid w:val="00F17988"/>
    <w:rsid w:val="00F40D3A"/>
    <w:rsid w:val="00F469F0"/>
    <w:rsid w:val="00F53273"/>
    <w:rsid w:val="00F755E4"/>
    <w:rsid w:val="00F77D02"/>
    <w:rsid w:val="00FA2EB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14014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C29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B7FF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8B7FF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62547A"/>
    <w:rPr>
      <w:rFonts w:ascii="Times New Roman" w:hAnsi="Times New Roman"/>
      <w:sz w:val="24"/>
      <w:szCs w:val="24"/>
    </w:rPr>
  </w:style>
  <w:style w:type="character" w:customStyle="1" w:styleId="Heading3Char">
    <w:name w:val="Heading 3 Char"/>
    <w:basedOn w:val="DefaultParagraphFont"/>
    <w:link w:val="Heading3"/>
    <w:semiHidden/>
    <w:rsid w:val="008B7F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B7FFA"/>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6C294A"/>
    <w:rPr>
      <w:rFonts w:asciiTheme="majorHAnsi" w:eastAsiaTheme="majorEastAsia" w:hAnsiTheme="majorHAnsi" w:cstheme="majorBidi"/>
      <w:color w:val="365F91" w:themeColor="accent1" w:themeShade="BF"/>
      <w:sz w:val="26"/>
      <w:szCs w:val="26"/>
    </w:rPr>
  </w:style>
  <w:style w:type="character" w:customStyle="1" w:styleId="Aucun">
    <w:name w:val="Aucun"/>
    <w:rsid w:val="00BE5F7D"/>
    <w:rPr>
      <w:lang w:val="fr-FR"/>
    </w:rPr>
  </w:style>
  <w:style w:type="paragraph" w:customStyle="1" w:styleId="Corps">
    <w:name w:val="Corps"/>
    <w:rsid w:val="00BE5F7D"/>
    <w:pPr>
      <w:pBdr>
        <w:top w:val="nil"/>
        <w:left w:val="nil"/>
        <w:bottom w:val="nil"/>
        <w:right w:val="nil"/>
        <w:between w:val="nil"/>
        <w:bar w:val="nil"/>
      </w:pBdr>
    </w:pPr>
    <w:rPr>
      <w:rFonts w:eastAsia="Arial Unicode MS" w:cs="Arial Unicode MS"/>
      <w:color w:val="000000"/>
      <w:sz w:val="24"/>
      <w:szCs w:val="24"/>
      <w:u w:color="000000"/>
      <w:bdr w:val="nil"/>
      <w:lang w:val="fr-FR" w:eastAsia="fr-FR"/>
    </w:rPr>
  </w:style>
  <w:style w:type="numbering" w:customStyle="1" w:styleId="Style1import">
    <w:name w:val="Style 1 importé"/>
    <w:rsid w:val="00BE5F7D"/>
    <w:pPr>
      <w:numPr>
        <w:numId w:val="42"/>
      </w:numPr>
    </w:pPr>
  </w:style>
  <w:style w:type="character" w:customStyle="1" w:styleId="Hyperlink0">
    <w:name w:val="Hyperlink.0"/>
    <w:basedOn w:val="DefaultParagraphFont"/>
    <w:rsid w:val="00BE5F7D"/>
    <w:rPr>
      <w:color w:val="0563C1"/>
      <w:kern w:val="0"/>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cbi.nlm.nih.gov/pmc/articles/PMC5490340/" TargetMode="External"/><Relationship Id="rId18" Type="http://schemas.openxmlformats.org/officeDocument/2006/relationships/hyperlink" Target="https://iovs.arvojournals.org/article.aspx?articleid=2763407" TargetMode="External"/><Relationship Id="rId3" Type="http://schemas.openxmlformats.org/officeDocument/2006/relationships/styles" Target="styles.xml"/><Relationship Id="rId21" Type="http://schemas.openxmlformats.org/officeDocument/2006/relationships/hyperlink" Target="https://iovs.arvojournals.org/article.aspx?articleid=2162249" TargetMode="External"/><Relationship Id="rId7" Type="http://schemas.openxmlformats.org/officeDocument/2006/relationships/endnotes" Target="endnotes.xml"/><Relationship Id="rId12" Type="http://schemas.openxmlformats.org/officeDocument/2006/relationships/hyperlink" Target="https://www.sciencedirect.com/science/article/abs/pii/S1367048419301981" TargetMode="External"/><Relationship Id="rId17" Type="http://schemas.openxmlformats.org/officeDocument/2006/relationships/hyperlink" Target="https://www.cdc.gov/contactlenses/index.html" TargetMode="External"/><Relationship Id="rId2" Type="http://schemas.openxmlformats.org/officeDocument/2006/relationships/numbering" Target="numbering.xml"/><Relationship Id="rId16" Type="http://schemas.openxmlformats.org/officeDocument/2006/relationships/hyperlink" Target="https://www.cdc.gov/mmwr/preview/mmwrhtml/mm6432a2.htm" TargetMode="External"/><Relationship Id="rId20" Type="http://schemas.openxmlformats.org/officeDocument/2006/relationships/hyperlink" Target="https://iovs.arvojournals.org/article.aspx?articleid=2162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ovs.arvojournals.org/article.aspx?articleid=2551989"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www.elsevier.com/books/contact-lens-practice/efron/978-0-7020-609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aojournal.org/article/S0161-6420(17)31133-0/fulltex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8F0EE-F95C-407D-ACAB-66132276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257</TotalTime>
  <Pages>9</Pages>
  <Words>3127</Words>
  <Characters>21193</Characters>
  <Application>Microsoft Office Word</Application>
  <DocSecurity>0</DocSecurity>
  <Lines>176</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24272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63</cp:revision>
  <cp:lastPrinted>1999-07-06T11:00:00Z</cp:lastPrinted>
  <dcterms:created xsi:type="dcterms:W3CDTF">2025-08-21T19:16:00Z</dcterms:created>
  <dcterms:modified xsi:type="dcterms:W3CDTF">2025-09-02T12:12:00Z</dcterms:modified>
</cp:coreProperties>
</file>