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7F89" w14:textId="77777777" w:rsidR="005B0F33" w:rsidRDefault="005B0F33">
      <w:pPr>
        <w:widowControl w:val="0"/>
        <w:autoSpaceDE w:val="0"/>
        <w:autoSpaceDN w:val="0"/>
        <w:spacing w:line="480" w:lineRule="auto"/>
        <w:ind w:left="3" w:hanging="3"/>
        <w:jc w:val="center"/>
        <w:rPr>
          <w:rFonts w:eastAsia="Times New Roman"/>
          <w:b/>
          <w:sz w:val="32"/>
          <w:szCs w:val="32"/>
        </w:rPr>
      </w:pPr>
      <w:r w:rsidRPr="005B0F33">
        <w:rPr>
          <w:rFonts w:eastAsia="Times New Roman"/>
          <w:b/>
          <w:sz w:val="32"/>
          <w:szCs w:val="32"/>
        </w:rPr>
        <w:t>Original Research Article</w:t>
      </w:r>
    </w:p>
    <w:p w14:paraId="7FA7B66F" w14:textId="77777777" w:rsidR="005B0F33" w:rsidRDefault="005B0F33">
      <w:pPr>
        <w:widowControl w:val="0"/>
        <w:autoSpaceDE w:val="0"/>
        <w:autoSpaceDN w:val="0"/>
        <w:spacing w:line="480" w:lineRule="auto"/>
        <w:ind w:left="3" w:hanging="3"/>
        <w:jc w:val="center"/>
        <w:rPr>
          <w:rFonts w:eastAsia="Times New Roman"/>
          <w:b/>
          <w:sz w:val="32"/>
          <w:szCs w:val="32"/>
        </w:rPr>
      </w:pPr>
    </w:p>
    <w:p w14:paraId="10ED3DDB" w14:textId="77777777" w:rsidR="005D2F91" w:rsidRDefault="005D2F91">
      <w:pPr>
        <w:widowControl w:val="0"/>
        <w:autoSpaceDE w:val="0"/>
        <w:autoSpaceDN w:val="0"/>
        <w:spacing w:line="480" w:lineRule="auto"/>
        <w:ind w:left="3" w:hanging="3"/>
        <w:rPr>
          <w:rFonts w:eastAsia="Times New Roman"/>
          <w:b/>
          <w:sz w:val="32"/>
          <w:szCs w:val="32"/>
        </w:rPr>
      </w:pPr>
      <w:r w:rsidRPr="005D2F91">
        <w:rPr>
          <w:rFonts w:eastAsia="Times New Roman"/>
          <w:b/>
          <w:sz w:val="32"/>
          <w:szCs w:val="32"/>
          <w:highlight w:val="yellow"/>
        </w:rPr>
        <w:t>The decision to operate in Functional Gall Bladder Disease – Pain as a critical factor</w:t>
      </w:r>
      <w:r>
        <w:rPr>
          <w:rFonts w:eastAsia="Times New Roman"/>
          <w:b/>
          <w:sz w:val="32"/>
          <w:szCs w:val="32"/>
        </w:rPr>
        <w:t xml:space="preserve"> </w:t>
      </w:r>
    </w:p>
    <w:p w14:paraId="2E644F4C" w14:textId="77777777" w:rsidR="005D2F91" w:rsidRDefault="005D2F91">
      <w:pPr>
        <w:widowControl w:val="0"/>
        <w:autoSpaceDE w:val="0"/>
        <w:autoSpaceDN w:val="0"/>
        <w:spacing w:line="480" w:lineRule="auto"/>
        <w:ind w:left="3" w:hanging="3"/>
        <w:rPr>
          <w:rFonts w:eastAsia="Times New Roman"/>
          <w:b/>
          <w:sz w:val="32"/>
          <w:szCs w:val="32"/>
        </w:rPr>
      </w:pPr>
    </w:p>
    <w:p w14:paraId="138631FA" w14:textId="786AA5B7" w:rsidR="0043736E" w:rsidRDefault="001F0277">
      <w:pPr>
        <w:widowControl w:val="0"/>
        <w:autoSpaceDE w:val="0"/>
        <w:autoSpaceDN w:val="0"/>
        <w:spacing w:line="480" w:lineRule="auto"/>
        <w:ind w:left="2" w:hanging="2"/>
        <w:rPr>
          <w:rFonts w:eastAsia="Times New Roman"/>
          <w:b/>
          <w:sz w:val="24"/>
          <w:szCs w:val="24"/>
        </w:rPr>
      </w:pPr>
      <w:r>
        <w:rPr>
          <w:rFonts w:eastAsia="Times New Roman"/>
          <w:b/>
          <w:sz w:val="24"/>
          <w:szCs w:val="24"/>
        </w:rPr>
        <w:t xml:space="preserve">Abstract: </w:t>
      </w:r>
    </w:p>
    <w:p w14:paraId="1E380E3A" w14:textId="4B9B1DA1" w:rsidR="0043736E" w:rsidRDefault="001F0277">
      <w:pPr>
        <w:widowControl w:val="0"/>
        <w:autoSpaceDE w:val="0"/>
        <w:autoSpaceDN w:val="0"/>
        <w:spacing w:line="360" w:lineRule="auto"/>
        <w:ind w:left="2" w:hanging="2"/>
        <w:jc w:val="both"/>
        <w:rPr>
          <w:rFonts w:eastAsia="Times New Roman"/>
          <w:bCs/>
          <w:sz w:val="24"/>
          <w:szCs w:val="24"/>
        </w:rPr>
      </w:pPr>
      <w:r>
        <w:rPr>
          <w:rFonts w:eastAsia="Times New Roman"/>
          <w:b/>
          <w:sz w:val="24"/>
          <w:szCs w:val="24"/>
        </w:rPr>
        <w:t xml:space="preserve">Background: </w:t>
      </w:r>
      <w:r w:rsidR="00BE7AD7" w:rsidRPr="005D2F91">
        <w:rPr>
          <w:sz w:val="24"/>
          <w:szCs w:val="24"/>
          <w:highlight w:val="yellow"/>
        </w:rPr>
        <w:t>Pain arising from the gall bladder (GB) or biliary tract in the absence of structural disease seems to be an uncommon clinical condition. It constitutes three varieties of disorders of the biliary tract, namely GB hypokinesia</w:t>
      </w:r>
      <w:r w:rsidR="00BE7AD7" w:rsidRPr="005D2F91">
        <w:rPr>
          <w:sz w:val="24"/>
          <w:szCs w:val="24"/>
          <w:highlight w:val="yellow"/>
        </w:rPr>
        <w:t>.</w:t>
      </w:r>
      <w:r w:rsidR="00BE7AD7">
        <w:rPr>
          <w:sz w:val="24"/>
          <w:szCs w:val="24"/>
        </w:rPr>
        <w:t xml:space="preserve"> </w:t>
      </w:r>
      <w:proofErr w:type="spellStart"/>
      <w:r>
        <w:rPr>
          <w:rFonts w:eastAsia="Times New Roman"/>
          <w:bCs/>
          <w:sz w:val="24"/>
          <w:szCs w:val="24"/>
        </w:rPr>
        <w:t>Gallbladder</w:t>
      </w:r>
      <w:proofErr w:type="spellEnd"/>
      <w:r>
        <w:rPr>
          <w:rFonts w:eastAsia="Times New Roman"/>
          <w:bCs/>
          <w:sz w:val="24"/>
          <w:szCs w:val="24"/>
        </w:rPr>
        <w:t xml:space="preserve"> (GB) pain is commonly caused by </w:t>
      </w:r>
      <w:r w:rsidR="00BA6AFB" w:rsidRPr="005D2F91">
        <w:rPr>
          <w:rFonts w:eastAsia="Times New Roman"/>
          <w:bCs/>
          <w:sz w:val="24"/>
          <w:szCs w:val="24"/>
          <w:highlight w:val="yellow"/>
        </w:rPr>
        <w:t>gallstone</w:t>
      </w:r>
      <w:r w:rsidRPr="005D2F91">
        <w:rPr>
          <w:rFonts w:eastAsia="Times New Roman"/>
          <w:bCs/>
          <w:sz w:val="24"/>
          <w:szCs w:val="24"/>
          <w:highlight w:val="yellow"/>
        </w:rPr>
        <w:t xml:space="preserve"> </w:t>
      </w:r>
      <w:r>
        <w:rPr>
          <w:rFonts w:eastAsia="Times New Roman"/>
          <w:bCs/>
          <w:sz w:val="24"/>
          <w:szCs w:val="24"/>
        </w:rPr>
        <w:t xml:space="preserve">disease, but some patients have functional pain of GB origin and </w:t>
      </w:r>
      <w:r w:rsidR="00BA6AFB" w:rsidRPr="005D2F91">
        <w:rPr>
          <w:rFonts w:eastAsia="Times New Roman"/>
          <w:bCs/>
          <w:sz w:val="24"/>
          <w:szCs w:val="24"/>
          <w:highlight w:val="yellow"/>
        </w:rPr>
        <w:t xml:space="preserve">are </w:t>
      </w:r>
      <w:r>
        <w:rPr>
          <w:rFonts w:eastAsia="Times New Roman"/>
          <w:bCs/>
          <w:sz w:val="24"/>
          <w:szCs w:val="24"/>
        </w:rPr>
        <w:t xml:space="preserve">labelled as functional </w:t>
      </w:r>
      <w:r w:rsidR="00BA6AFB" w:rsidRPr="005D2F91">
        <w:rPr>
          <w:rFonts w:eastAsia="Times New Roman"/>
          <w:bCs/>
          <w:sz w:val="24"/>
          <w:szCs w:val="24"/>
          <w:highlight w:val="yellow"/>
        </w:rPr>
        <w:t>gallbladder</w:t>
      </w:r>
      <w:r w:rsidRPr="005D2F91">
        <w:rPr>
          <w:rFonts w:eastAsia="Times New Roman"/>
          <w:bCs/>
          <w:sz w:val="24"/>
          <w:szCs w:val="24"/>
          <w:highlight w:val="yellow"/>
        </w:rPr>
        <w:t xml:space="preserve"> </w:t>
      </w:r>
      <w:r>
        <w:rPr>
          <w:rFonts w:eastAsia="Times New Roman"/>
          <w:bCs/>
          <w:sz w:val="24"/>
          <w:szCs w:val="24"/>
        </w:rPr>
        <w:t xml:space="preserve">disease (FGBD). Treatment of this disease is not widely </w:t>
      </w:r>
      <w:proofErr w:type="spellStart"/>
      <w:r w:rsidR="00BA6AFB" w:rsidRPr="005D2F91">
        <w:rPr>
          <w:rFonts w:eastAsia="Times New Roman"/>
          <w:bCs/>
          <w:sz w:val="24"/>
          <w:szCs w:val="24"/>
          <w:highlight w:val="yellow"/>
        </w:rPr>
        <w:t>standardised</w:t>
      </w:r>
      <w:proofErr w:type="spellEnd"/>
      <w:r>
        <w:rPr>
          <w:rFonts w:eastAsia="Times New Roman"/>
          <w:bCs/>
          <w:sz w:val="24"/>
          <w:szCs w:val="24"/>
        </w:rPr>
        <w:t>.</w:t>
      </w:r>
    </w:p>
    <w:p w14:paraId="678688B5" w14:textId="5942ED26" w:rsidR="0043736E" w:rsidRDefault="001F0277">
      <w:pPr>
        <w:widowControl w:val="0"/>
        <w:autoSpaceDE w:val="0"/>
        <w:autoSpaceDN w:val="0"/>
        <w:spacing w:line="480" w:lineRule="auto"/>
        <w:ind w:left="2" w:hanging="2"/>
        <w:rPr>
          <w:rFonts w:eastAsia="Times New Roman"/>
          <w:bCs/>
          <w:sz w:val="24"/>
          <w:szCs w:val="24"/>
        </w:rPr>
      </w:pPr>
      <w:r>
        <w:rPr>
          <w:rFonts w:eastAsia="Times New Roman"/>
          <w:b/>
          <w:sz w:val="24"/>
          <w:szCs w:val="24"/>
        </w:rPr>
        <w:t xml:space="preserve">Aim: </w:t>
      </w:r>
      <w:r>
        <w:rPr>
          <w:rFonts w:eastAsia="Times New Roman"/>
          <w:bCs/>
          <w:sz w:val="24"/>
          <w:szCs w:val="24"/>
        </w:rPr>
        <w:t xml:space="preserve">To evaluate </w:t>
      </w:r>
      <w:r w:rsidR="00BA6AFB" w:rsidRPr="005D2F91">
        <w:rPr>
          <w:rFonts w:eastAsia="Times New Roman"/>
          <w:bCs/>
          <w:sz w:val="24"/>
          <w:szCs w:val="24"/>
          <w:highlight w:val="yellow"/>
        </w:rPr>
        <w:t xml:space="preserve">the </w:t>
      </w:r>
      <w:r>
        <w:rPr>
          <w:rFonts w:eastAsia="Times New Roman"/>
          <w:bCs/>
          <w:sz w:val="24"/>
          <w:szCs w:val="24"/>
        </w:rPr>
        <w:t>need for cholecystectomy in subjects with FGBD</w:t>
      </w:r>
      <w:r w:rsidR="00650F41">
        <w:rPr>
          <w:rFonts w:eastAsia="Times New Roman"/>
          <w:bCs/>
          <w:sz w:val="24"/>
          <w:szCs w:val="24"/>
        </w:rPr>
        <w:t>.</w:t>
      </w:r>
      <w:r w:rsidR="005D2F91">
        <w:rPr>
          <w:rFonts w:eastAsia="Times New Roman"/>
          <w:bCs/>
          <w:sz w:val="24"/>
          <w:szCs w:val="24"/>
        </w:rPr>
        <w:t xml:space="preserve"> </w:t>
      </w:r>
      <w:r w:rsidR="00650F41">
        <w:rPr>
          <w:rFonts w:eastAsia="Times New Roman"/>
          <w:bCs/>
          <w:sz w:val="24"/>
          <w:szCs w:val="24"/>
          <w:highlight w:val="yellow"/>
        </w:rPr>
        <w:t>This paper aims</w:t>
      </w:r>
      <w:r w:rsidR="00650F41" w:rsidRPr="005D2F91">
        <w:rPr>
          <w:rFonts w:eastAsia="Times New Roman"/>
          <w:bCs/>
          <w:sz w:val="24"/>
          <w:szCs w:val="24"/>
          <w:highlight w:val="yellow"/>
        </w:rPr>
        <w:t xml:space="preserve"> to investigate f</w:t>
      </w:r>
      <w:r w:rsidR="00650F41" w:rsidRPr="005D2F91">
        <w:rPr>
          <w:rFonts w:eastAsia="Times New Roman"/>
          <w:bCs/>
          <w:sz w:val="24"/>
          <w:szCs w:val="24"/>
          <w:highlight w:val="yellow"/>
        </w:rPr>
        <w:t xml:space="preserve">unctional </w:t>
      </w:r>
      <w:r w:rsidR="00650F41" w:rsidRPr="005D2F91">
        <w:rPr>
          <w:rFonts w:eastAsia="Times New Roman"/>
          <w:bCs/>
          <w:sz w:val="24"/>
          <w:szCs w:val="24"/>
          <w:highlight w:val="yellow"/>
        </w:rPr>
        <w:t>g</w:t>
      </w:r>
      <w:r w:rsidR="00650F41" w:rsidRPr="005D2F91">
        <w:rPr>
          <w:rFonts w:eastAsia="Times New Roman"/>
          <w:bCs/>
          <w:sz w:val="24"/>
          <w:szCs w:val="24"/>
          <w:highlight w:val="yellow"/>
        </w:rPr>
        <w:t xml:space="preserve">all </w:t>
      </w:r>
      <w:r w:rsidR="00650F41" w:rsidRPr="005D2F91">
        <w:rPr>
          <w:rFonts w:eastAsia="Times New Roman"/>
          <w:bCs/>
          <w:sz w:val="24"/>
          <w:szCs w:val="24"/>
          <w:highlight w:val="yellow"/>
        </w:rPr>
        <w:t>b</w:t>
      </w:r>
      <w:r w:rsidR="00650F41" w:rsidRPr="005D2F91">
        <w:rPr>
          <w:rFonts w:eastAsia="Times New Roman"/>
          <w:bCs/>
          <w:sz w:val="24"/>
          <w:szCs w:val="24"/>
          <w:highlight w:val="yellow"/>
        </w:rPr>
        <w:t xml:space="preserve">ladder </w:t>
      </w:r>
      <w:r w:rsidR="00650F41" w:rsidRPr="005D2F91">
        <w:rPr>
          <w:rFonts w:eastAsia="Times New Roman"/>
          <w:bCs/>
          <w:sz w:val="24"/>
          <w:szCs w:val="24"/>
          <w:highlight w:val="yellow"/>
        </w:rPr>
        <w:t>d</w:t>
      </w:r>
      <w:r w:rsidR="00650F41" w:rsidRPr="005D2F91">
        <w:rPr>
          <w:rFonts w:eastAsia="Times New Roman"/>
          <w:bCs/>
          <w:sz w:val="24"/>
          <w:szCs w:val="24"/>
          <w:highlight w:val="yellow"/>
        </w:rPr>
        <w:t>isease</w:t>
      </w:r>
      <w:r w:rsidR="00650F41">
        <w:rPr>
          <w:rFonts w:eastAsia="Times New Roman"/>
          <w:bCs/>
          <w:sz w:val="24"/>
          <w:szCs w:val="24"/>
          <w:highlight w:val="yellow"/>
        </w:rPr>
        <w:t xml:space="preserve">, </w:t>
      </w:r>
      <w:r w:rsidR="00650F41" w:rsidRPr="005D2F91">
        <w:rPr>
          <w:rFonts w:eastAsia="Times New Roman"/>
          <w:bCs/>
          <w:sz w:val="24"/>
          <w:szCs w:val="24"/>
          <w:highlight w:val="yellow"/>
        </w:rPr>
        <w:t>where p</w:t>
      </w:r>
      <w:r w:rsidR="00650F41" w:rsidRPr="005D2F91">
        <w:rPr>
          <w:rFonts w:eastAsia="Times New Roman"/>
          <w:bCs/>
          <w:sz w:val="24"/>
          <w:szCs w:val="24"/>
          <w:highlight w:val="yellow"/>
        </w:rPr>
        <w:t xml:space="preserve">ain is the critical factor for </w:t>
      </w:r>
      <w:r w:rsidR="00650F41" w:rsidRPr="005D2F91">
        <w:rPr>
          <w:rFonts w:eastAsia="Times New Roman"/>
          <w:bCs/>
          <w:sz w:val="24"/>
          <w:szCs w:val="24"/>
          <w:highlight w:val="yellow"/>
        </w:rPr>
        <w:t>decision-making.</w:t>
      </w:r>
      <w:r>
        <w:rPr>
          <w:rFonts w:eastAsia="Times New Roman"/>
          <w:bCs/>
          <w:sz w:val="24"/>
          <w:szCs w:val="24"/>
        </w:rPr>
        <w:t xml:space="preserve">                                                                                                                                                                                                                                                                                                                                                                                                                     </w:t>
      </w:r>
    </w:p>
    <w:p w14:paraId="7B544E21" w14:textId="43C410BE" w:rsidR="0043736E" w:rsidRDefault="001F0277" w:rsidP="00650F41">
      <w:pPr>
        <w:widowControl w:val="0"/>
        <w:autoSpaceDE w:val="0"/>
        <w:autoSpaceDN w:val="0"/>
        <w:spacing w:line="480" w:lineRule="auto"/>
        <w:ind w:left="2" w:hanging="2"/>
        <w:jc w:val="both"/>
        <w:rPr>
          <w:rFonts w:eastAsia="Times New Roman"/>
          <w:bCs/>
          <w:sz w:val="24"/>
          <w:szCs w:val="24"/>
        </w:rPr>
      </w:pPr>
      <w:r>
        <w:rPr>
          <w:rFonts w:eastAsia="Times New Roman"/>
          <w:b/>
          <w:sz w:val="24"/>
          <w:szCs w:val="24"/>
        </w:rPr>
        <w:t>Material &amp; Methods:</w:t>
      </w:r>
      <w:r>
        <w:rPr>
          <w:rFonts w:eastAsia="Times New Roman"/>
          <w:bCs/>
          <w:sz w:val="24"/>
          <w:szCs w:val="24"/>
        </w:rPr>
        <w:t xml:space="preserve"> Subjects with RUQ pain and </w:t>
      </w:r>
      <w:r w:rsidR="00BA6AFB" w:rsidRPr="005D2F91">
        <w:rPr>
          <w:rFonts w:eastAsia="Times New Roman"/>
          <w:bCs/>
          <w:sz w:val="24"/>
          <w:szCs w:val="24"/>
          <w:highlight w:val="yellow"/>
        </w:rPr>
        <w:t xml:space="preserve">a </w:t>
      </w:r>
      <w:r>
        <w:rPr>
          <w:rFonts w:eastAsia="Times New Roman"/>
          <w:bCs/>
          <w:sz w:val="24"/>
          <w:szCs w:val="24"/>
        </w:rPr>
        <w:t xml:space="preserve">negative </w:t>
      </w:r>
      <w:r w:rsidR="00BA6AFB" w:rsidRPr="005D2F91">
        <w:rPr>
          <w:rFonts w:eastAsia="Times New Roman"/>
          <w:bCs/>
          <w:sz w:val="24"/>
          <w:szCs w:val="24"/>
          <w:highlight w:val="yellow"/>
        </w:rPr>
        <w:t>workup</w:t>
      </w:r>
      <w:r w:rsidRPr="005D2F91">
        <w:rPr>
          <w:rFonts w:eastAsia="Times New Roman"/>
          <w:bCs/>
          <w:sz w:val="24"/>
          <w:szCs w:val="24"/>
          <w:highlight w:val="yellow"/>
        </w:rPr>
        <w:t xml:space="preserve"> </w:t>
      </w:r>
      <w:r>
        <w:rPr>
          <w:rFonts w:eastAsia="Times New Roman"/>
          <w:bCs/>
          <w:sz w:val="24"/>
          <w:szCs w:val="24"/>
        </w:rPr>
        <w:t xml:space="preserve">(absence of </w:t>
      </w:r>
      <w:r w:rsidR="00BA6AFB" w:rsidRPr="005D2F91">
        <w:rPr>
          <w:rFonts w:eastAsia="Times New Roman"/>
          <w:bCs/>
          <w:sz w:val="24"/>
          <w:szCs w:val="24"/>
          <w:highlight w:val="yellow"/>
        </w:rPr>
        <w:t>gallstones</w:t>
      </w:r>
      <w:r w:rsidRPr="005D2F91">
        <w:rPr>
          <w:rFonts w:eastAsia="Times New Roman"/>
          <w:bCs/>
          <w:sz w:val="24"/>
          <w:szCs w:val="24"/>
          <w:highlight w:val="yellow"/>
        </w:rPr>
        <w:t xml:space="preserve"> </w:t>
      </w:r>
      <w:r>
        <w:rPr>
          <w:rFonts w:eastAsia="Times New Roman"/>
          <w:bCs/>
          <w:sz w:val="24"/>
          <w:szCs w:val="24"/>
        </w:rPr>
        <w:t xml:space="preserve">and ulcer disease) were evaluated for FGBD. Diagnosis was based on GBEF &lt;45% by </w:t>
      </w:r>
      <w:r w:rsidR="00BA6AFB" w:rsidRPr="005D2F91">
        <w:rPr>
          <w:rFonts w:eastAsia="Times New Roman"/>
          <w:bCs/>
          <w:sz w:val="24"/>
          <w:szCs w:val="24"/>
          <w:highlight w:val="yellow"/>
        </w:rPr>
        <w:t>scintigraphy</w:t>
      </w:r>
      <w:r>
        <w:rPr>
          <w:rFonts w:eastAsia="Times New Roman"/>
          <w:bCs/>
          <w:sz w:val="24"/>
          <w:szCs w:val="24"/>
        </w:rPr>
        <w:t>.</w:t>
      </w:r>
      <w:r w:rsidR="005D2F91">
        <w:rPr>
          <w:rFonts w:eastAsia="Times New Roman"/>
          <w:bCs/>
          <w:sz w:val="24"/>
          <w:szCs w:val="24"/>
        </w:rPr>
        <w:t xml:space="preserve"> </w:t>
      </w:r>
      <w:r w:rsidR="005D2F91" w:rsidRPr="005D2F91">
        <w:rPr>
          <w:rFonts w:eastAsia="Times New Roman"/>
          <w:bCs/>
          <w:sz w:val="24"/>
          <w:szCs w:val="24"/>
          <w:highlight w:val="yellow"/>
        </w:rPr>
        <w:t>It is a retrospective analysis done during the period Jan 2020 to June 2023.</w:t>
      </w:r>
      <w:r w:rsidR="005D2F91">
        <w:rPr>
          <w:rFonts w:eastAsia="Times New Roman"/>
          <w:bCs/>
          <w:sz w:val="24"/>
          <w:szCs w:val="24"/>
        </w:rPr>
        <w:t xml:space="preserve"> </w:t>
      </w:r>
      <w:r w:rsidR="00650F41">
        <w:rPr>
          <w:rFonts w:eastAsia="Times New Roman"/>
          <w:bCs/>
          <w:sz w:val="24"/>
          <w:szCs w:val="24"/>
        </w:rPr>
        <w:t xml:space="preserve"> </w:t>
      </w:r>
      <w:r>
        <w:rPr>
          <w:rFonts w:eastAsia="Times New Roman"/>
          <w:bCs/>
          <w:sz w:val="24"/>
          <w:szCs w:val="24"/>
        </w:rPr>
        <w:t xml:space="preserve">5 </w:t>
      </w:r>
      <w:proofErr w:type="spellStart"/>
      <w:r>
        <w:rPr>
          <w:rFonts w:eastAsia="Times New Roman"/>
          <w:bCs/>
          <w:sz w:val="24"/>
          <w:szCs w:val="24"/>
        </w:rPr>
        <w:t>mCi</w:t>
      </w:r>
      <w:proofErr w:type="spellEnd"/>
      <w:r>
        <w:rPr>
          <w:rFonts w:eastAsia="Times New Roman"/>
          <w:bCs/>
          <w:sz w:val="24"/>
          <w:szCs w:val="24"/>
        </w:rPr>
        <w:t xml:space="preserve"> of Tc-99 Mebrofenin was administered intravenously</w:t>
      </w:r>
      <w:r w:rsidR="00BA6AFB">
        <w:rPr>
          <w:rFonts w:eastAsia="Times New Roman"/>
          <w:bCs/>
          <w:sz w:val="24"/>
          <w:szCs w:val="24"/>
        </w:rPr>
        <w:t>,</w:t>
      </w:r>
      <w:r>
        <w:rPr>
          <w:rFonts w:eastAsia="Times New Roman"/>
          <w:bCs/>
          <w:sz w:val="24"/>
          <w:szCs w:val="24"/>
        </w:rPr>
        <w:t xml:space="preserve"> and sequential images were acquired with </w:t>
      </w:r>
      <w:r w:rsidR="00BA6AFB" w:rsidRPr="005D2F91">
        <w:rPr>
          <w:rFonts w:eastAsia="Times New Roman"/>
          <w:bCs/>
          <w:sz w:val="24"/>
          <w:szCs w:val="24"/>
          <w:highlight w:val="yellow"/>
        </w:rPr>
        <w:t>dual-head</w:t>
      </w:r>
      <w:r w:rsidR="00BA6AFB" w:rsidRPr="005D2F91">
        <w:rPr>
          <w:rFonts w:eastAsia="Times New Roman"/>
          <w:bCs/>
          <w:sz w:val="24"/>
          <w:szCs w:val="24"/>
          <w:highlight w:val="yellow"/>
        </w:rPr>
        <w:t xml:space="preserve"> </w:t>
      </w:r>
      <w:r>
        <w:rPr>
          <w:rFonts w:eastAsia="Times New Roman"/>
          <w:bCs/>
          <w:sz w:val="24"/>
          <w:szCs w:val="24"/>
        </w:rPr>
        <w:t xml:space="preserve">gamma camera. </w:t>
      </w:r>
      <w:r w:rsidR="00BA6AFB" w:rsidRPr="005D2F91">
        <w:rPr>
          <w:rFonts w:eastAsia="Times New Roman"/>
          <w:bCs/>
          <w:sz w:val="24"/>
          <w:szCs w:val="24"/>
          <w:highlight w:val="yellow"/>
        </w:rPr>
        <w:t>A fatty</w:t>
      </w:r>
      <w:r w:rsidR="00BA6AFB" w:rsidRPr="005D2F91">
        <w:rPr>
          <w:rFonts w:eastAsia="Times New Roman"/>
          <w:bCs/>
          <w:sz w:val="24"/>
          <w:szCs w:val="24"/>
          <w:highlight w:val="yellow"/>
        </w:rPr>
        <w:t xml:space="preserve"> </w:t>
      </w:r>
      <w:r>
        <w:rPr>
          <w:rFonts w:eastAsia="Times New Roman"/>
          <w:bCs/>
          <w:sz w:val="24"/>
          <w:szCs w:val="24"/>
        </w:rPr>
        <w:t>meal was given</w:t>
      </w:r>
      <w:r w:rsidR="00BA6AFB">
        <w:rPr>
          <w:rFonts w:eastAsia="Times New Roman"/>
          <w:bCs/>
          <w:sz w:val="24"/>
          <w:szCs w:val="24"/>
        </w:rPr>
        <w:t>,</w:t>
      </w:r>
      <w:r>
        <w:rPr>
          <w:rFonts w:eastAsia="Times New Roman"/>
          <w:bCs/>
          <w:sz w:val="24"/>
          <w:szCs w:val="24"/>
        </w:rPr>
        <w:t xml:space="preserve"> and </w:t>
      </w:r>
      <w:r w:rsidR="00BA6AFB" w:rsidRPr="005D2F91">
        <w:rPr>
          <w:rFonts w:eastAsia="Times New Roman"/>
          <w:bCs/>
          <w:sz w:val="24"/>
          <w:szCs w:val="24"/>
          <w:highlight w:val="yellow"/>
        </w:rPr>
        <w:t>post-meal</w:t>
      </w:r>
      <w:r w:rsidRPr="005D2F91">
        <w:rPr>
          <w:rFonts w:eastAsia="Times New Roman"/>
          <w:bCs/>
          <w:sz w:val="24"/>
          <w:szCs w:val="24"/>
          <w:highlight w:val="yellow"/>
        </w:rPr>
        <w:t xml:space="preserve"> </w:t>
      </w:r>
      <w:r>
        <w:rPr>
          <w:rFonts w:eastAsia="Times New Roman"/>
          <w:bCs/>
          <w:sz w:val="24"/>
          <w:szCs w:val="24"/>
        </w:rPr>
        <w:t>static images were acquired 1 hour later</w:t>
      </w:r>
      <w:r w:rsidR="00BA6AFB">
        <w:rPr>
          <w:rFonts w:eastAsia="Times New Roman"/>
          <w:bCs/>
          <w:sz w:val="24"/>
          <w:szCs w:val="24"/>
        </w:rPr>
        <w:t>,</w:t>
      </w:r>
      <w:r>
        <w:rPr>
          <w:rFonts w:eastAsia="Times New Roman"/>
          <w:bCs/>
          <w:sz w:val="24"/>
          <w:szCs w:val="24"/>
        </w:rPr>
        <w:t xml:space="preserve"> and GBEF </w:t>
      </w:r>
      <w:r w:rsidR="00BA6AFB" w:rsidRPr="005D2F91">
        <w:rPr>
          <w:rFonts w:eastAsia="Times New Roman"/>
          <w:bCs/>
          <w:sz w:val="24"/>
          <w:szCs w:val="24"/>
          <w:highlight w:val="yellow"/>
        </w:rPr>
        <w:t xml:space="preserve">was </w:t>
      </w:r>
      <w:r>
        <w:rPr>
          <w:rFonts w:eastAsia="Times New Roman"/>
          <w:bCs/>
          <w:sz w:val="24"/>
          <w:szCs w:val="24"/>
        </w:rPr>
        <w:t xml:space="preserve">calculated. Surgery was carried out in patients with severe symptoms; those with minor symptoms followed up. </w:t>
      </w:r>
    </w:p>
    <w:p w14:paraId="6C4636A8" w14:textId="028D0DE6" w:rsidR="0043736E" w:rsidRDefault="001F0277" w:rsidP="005D2F91">
      <w:pPr>
        <w:widowControl w:val="0"/>
        <w:autoSpaceDE w:val="0"/>
        <w:autoSpaceDN w:val="0"/>
        <w:spacing w:line="480" w:lineRule="auto"/>
        <w:ind w:left="2" w:hanging="2"/>
        <w:jc w:val="both"/>
        <w:rPr>
          <w:rFonts w:eastAsia="Times New Roman"/>
          <w:bCs/>
          <w:sz w:val="24"/>
          <w:szCs w:val="24"/>
        </w:rPr>
      </w:pPr>
      <w:r>
        <w:rPr>
          <w:rFonts w:eastAsia="Times New Roman"/>
          <w:b/>
          <w:sz w:val="24"/>
          <w:szCs w:val="24"/>
        </w:rPr>
        <w:t xml:space="preserve">Results: </w:t>
      </w:r>
      <w:r>
        <w:rPr>
          <w:rFonts w:eastAsia="Times New Roman"/>
          <w:bCs/>
          <w:sz w:val="24"/>
          <w:szCs w:val="24"/>
        </w:rPr>
        <w:t xml:space="preserve">116 patients with suspected FGBD were evaluated by HIDA scan. 69/116 had low </w:t>
      </w:r>
      <w:r>
        <w:rPr>
          <w:rFonts w:eastAsia="Times New Roman"/>
          <w:bCs/>
          <w:sz w:val="24"/>
          <w:szCs w:val="24"/>
        </w:rPr>
        <w:lastRenderedPageBreak/>
        <w:t>GBEF</w:t>
      </w:r>
      <w:r w:rsidR="00BA6AFB">
        <w:rPr>
          <w:rFonts w:eastAsia="Times New Roman"/>
          <w:bCs/>
          <w:sz w:val="24"/>
          <w:szCs w:val="24"/>
        </w:rPr>
        <w:t>,</w:t>
      </w:r>
      <w:r>
        <w:rPr>
          <w:rFonts w:eastAsia="Times New Roman"/>
          <w:bCs/>
          <w:sz w:val="24"/>
          <w:szCs w:val="24"/>
        </w:rPr>
        <w:t xml:space="preserve"> and 47/116 had GBEF &gt;45. Out of 69 patients with low GBEF, data </w:t>
      </w:r>
      <w:r w:rsidR="00BA6AFB" w:rsidRPr="005D2F91">
        <w:rPr>
          <w:rFonts w:eastAsia="Times New Roman"/>
          <w:bCs/>
          <w:sz w:val="24"/>
          <w:szCs w:val="24"/>
          <w:highlight w:val="yellow"/>
        </w:rPr>
        <w:t>were</w:t>
      </w:r>
      <w:r w:rsidR="00BA6AFB" w:rsidRPr="005D2F91">
        <w:rPr>
          <w:rFonts w:eastAsia="Times New Roman"/>
          <w:bCs/>
          <w:sz w:val="24"/>
          <w:szCs w:val="24"/>
          <w:highlight w:val="yellow"/>
        </w:rPr>
        <w:t xml:space="preserve"> </w:t>
      </w:r>
      <w:r>
        <w:rPr>
          <w:rFonts w:eastAsia="Times New Roman"/>
          <w:bCs/>
          <w:sz w:val="24"/>
          <w:szCs w:val="24"/>
        </w:rPr>
        <w:t>obtained in 52. Severe symptoms were noted in 20</w:t>
      </w:r>
      <w:r w:rsidR="00BA6AFB">
        <w:rPr>
          <w:rFonts w:eastAsia="Times New Roman"/>
          <w:bCs/>
          <w:sz w:val="24"/>
          <w:szCs w:val="24"/>
        </w:rPr>
        <w:t>,</w:t>
      </w:r>
      <w:r>
        <w:rPr>
          <w:rFonts w:eastAsia="Times New Roman"/>
          <w:bCs/>
          <w:sz w:val="24"/>
          <w:szCs w:val="24"/>
        </w:rPr>
        <w:t xml:space="preserve"> and 32 had milder symptoms. Those with severe symptoms at presentation or within 4 weeks were subjected to laparoscopic cholecystectomy</w:t>
      </w:r>
      <w:r w:rsidR="00BA6AFB">
        <w:rPr>
          <w:rFonts w:eastAsia="Times New Roman"/>
          <w:bCs/>
          <w:sz w:val="24"/>
          <w:szCs w:val="24"/>
        </w:rPr>
        <w:t>,</w:t>
      </w:r>
      <w:r>
        <w:rPr>
          <w:rFonts w:eastAsia="Times New Roman"/>
          <w:bCs/>
          <w:sz w:val="24"/>
          <w:szCs w:val="24"/>
        </w:rPr>
        <w:t xml:space="preserve"> and subjects with milder symptoms </w:t>
      </w:r>
      <w:r w:rsidR="00BA6AFB" w:rsidRPr="005D2F91">
        <w:rPr>
          <w:rFonts w:eastAsia="Times New Roman"/>
          <w:bCs/>
          <w:sz w:val="24"/>
          <w:szCs w:val="24"/>
          <w:highlight w:val="yellow"/>
        </w:rPr>
        <w:t xml:space="preserve">were </w:t>
      </w:r>
      <w:r>
        <w:rPr>
          <w:rFonts w:eastAsia="Times New Roman"/>
          <w:bCs/>
          <w:sz w:val="24"/>
          <w:szCs w:val="24"/>
        </w:rPr>
        <w:t>followed up. Subjects who underwent surgery (19/20) had significant relief from symptoms</w:t>
      </w:r>
      <w:r w:rsidR="00155252">
        <w:rPr>
          <w:rFonts w:eastAsia="Times New Roman"/>
          <w:bCs/>
          <w:sz w:val="24"/>
          <w:szCs w:val="24"/>
        </w:rPr>
        <w:t>,</w:t>
      </w:r>
      <w:r w:rsidR="00155252">
        <w:rPr>
          <w:rFonts w:eastAsia="Times New Roman"/>
          <w:bCs/>
          <w:sz w:val="24"/>
          <w:szCs w:val="24"/>
        </w:rPr>
        <w:t xml:space="preserve"> </w:t>
      </w:r>
      <w:r>
        <w:rPr>
          <w:rFonts w:eastAsia="Times New Roman"/>
          <w:bCs/>
          <w:sz w:val="24"/>
          <w:szCs w:val="24"/>
        </w:rPr>
        <w:t xml:space="preserve">whereas 30/32 with mild symptoms had </w:t>
      </w:r>
      <w:r w:rsidR="00BA6AFB" w:rsidRPr="005D2F91">
        <w:rPr>
          <w:rFonts w:eastAsia="Times New Roman"/>
          <w:bCs/>
          <w:sz w:val="24"/>
          <w:szCs w:val="24"/>
          <w:highlight w:val="yellow"/>
        </w:rPr>
        <w:t xml:space="preserve">an </w:t>
      </w:r>
      <w:r>
        <w:rPr>
          <w:rFonts w:eastAsia="Times New Roman"/>
          <w:bCs/>
          <w:sz w:val="24"/>
          <w:szCs w:val="24"/>
        </w:rPr>
        <w:t>uneventful course.</w:t>
      </w:r>
      <w:r w:rsidR="00155252">
        <w:rPr>
          <w:rFonts w:eastAsia="Times New Roman"/>
          <w:bCs/>
          <w:sz w:val="24"/>
          <w:szCs w:val="24"/>
        </w:rPr>
        <w:t xml:space="preserve"> </w:t>
      </w:r>
      <w:r w:rsidR="005D2F91" w:rsidRPr="005D2F91">
        <w:rPr>
          <w:rFonts w:eastAsia="Times New Roman"/>
          <w:bCs/>
          <w:sz w:val="24"/>
          <w:szCs w:val="24"/>
          <w:highlight w:val="yellow"/>
        </w:rPr>
        <w:t>A statistically significant difference was found in the ejection fraction between operated and non-operated patients</w:t>
      </w:r>
      <w:r w:rsidR="005D2F91" w:rsidRPr="005D2F91">
        <w:rPr>
          <w:rFonts w:eastAsia="Times New Roman"/>
          <w:bCs/>
          <w:sz w:val="24"/>
          <w:szCs w:val="24"/>
          <w:highlight w:val="yellow"/>
        </w:rPr>
        <w:t xml:space="preserve">, where the p-value is </w:t>
      </w:r>
      <w:r w:rsidR="005D2F91" w:rsidRPr="005D2F91">
        <w:rPr>
          <w:rFonts w:eastAsia="Times New Roman"/>
          <w:bCs/>
          <w:sz w:val="24"/>
          <w:szCs w:val="24"/>
          <w:highlight w:val="yellow"/>
        </w:rPr>
        <w:t>0.0142</w:t>
      </w:r>
      <w:r w:rsidR="005D2F91" w:rsidRPr="005D2F91">
        <w:rPr>
          <w:rFonts w:eastAsia="Times New Roman"/>
          <w:bCs/>
          <w:sz w:val="24"/>
          <w:szCs w:val="24"/>
          <w:highlight w:val="yellow"/>
        </w:rPr>
        <w:t>, which the c</w:t>
      </w:r>
      <w:r w:rsidR="005D2F91" w:rsidRPr="005D2F91">
        <w:rPr>
          <w:rFonts w:eastAsia="Times New Roman"/>
          <w:bCs/>
          <w:sz w:val="24"/>
          <w:szCs w:val="24"/>
          <w:highlight w:val="yellow"/>
        </w:rPr>
        <w:t xml:space="preserve">omparison of </w:t>
      </w:r>
      <w:r w:rsidR="005D2F91" w:rsidRPr="005D2F91">
        <w:rPr>
          <w:rFonts w:eastAsia="Times New Roman"/>
          <w:bCs/>
          <w:sz w:val="24"/>
          <w:szCs w:val="24"/>
          <w:highlight w:val="yellow"/>
        </w:rPr>
        <w:t xml:space="preserve">the </w:t>
      </w:r>
      <w:r w:rsidR="005D2F91" w:rsidRPr="005D2F91">
        <w:rPr>
          <w:rFonts w:eastAsia="Times New Roman"/>
          <w:bCs/>
          <w:sz w:val="24"/>
          <w:szCs w:val="24"/>
          <w:highlight w:val="yellow"/>
        </w:rPr>
        <w:t>Ejection Fraction</w:t>
      </w:r>
      <w:r w:rsidR="005D2F91" w:rsidRPr="005D2F91">
        <w:rPr>
          <w:rFonts w:eastAsia="Times New Roman"/>
          <w:bCs/>
          <w:sz w:val="24"/>
          <w:szCs w:val="24"/>
          <w:highlight w:val="yellow"/>
        </w:rPr>
        <w:t>.</w:t>
      </w:r>
      <w:r w:rsidR="005D2F91">
        <w:rPr>
          <w:rFonts w:eastAsia="Times New Roman"/>
          <w:bCs/>
          <w:sz w:val="24"/>
          <w:szCs w:val="24"/>
        </w:rPr>
        <w:t xml:space="preserve"> </w:t>
      </w:r>
      <w:r w:rsidR="00155252" w:rsidRPr="005D2F91">
        <w:rPr>
          <w:rFonts w:eastAsia="Times New Roman"/>
          <w:bCs/>
          <w:sz w:val="24"/>
          <w:szCs w:val="24"/>
          <w:highlight w:val="yellow"/>
        </w:rPr>
        <w:t>Cholecystectomy was carried out in the low GBEF group only if they suffered moderate to severe pain. Patients with milder pains (Pain scale) were asked to follow up, and surgery was not carried out. This approach was based on our earlier experience of finding satisfactory response responses in patients with significant abdominal pain who underwent cholecystectomy.</w:t>
      </w:r>
      <w:r w:rsidR="00155252" w:rsidRPr="00155252">
        <w:rPr>
          <w:rFonts w:eastAsia="Times New Roman"/>
          <w:bCs/>
          <w:sz w:val="24"/>
          <w:szCs w:val="24"/>
        </w:rPr>
        <w:t xml:space="preserve"> </w:t>
      </w:r>
    </w:p>
    <w:p w14:paraId="5CABAFCF" w14:textId="50108DEB" w:rsidR="0043736E" w:rsidRDefault="001F0277">
      <w:pPr>
        <w:widowControl w:val="0"/>
        <w:autoSpaceDE w:val="0"/>
        <w:autoSpaceDN w:val="0"/>
        <w:spacing w:line="480" w:lineRule="auto"/>
        <w:ind w:left="2" w:hanging="2"/>
        <w:jc w:val="both"/>
        <w:rPr>
          <w:rFonts w:eastAsia="Times New Roman"/>
          <w:bCs/>
          <w:sz w:val="24"/>
          <w:szCs w:val="24"/>
        </w:rPr>
      </w:pPr>
      <w:r>
        <w:rPr>
          <w:rFonts w:eastAsia="Times New Roman"/>
          <w:b/>
          <w:sz w:val="24"/>
          <w:szCs w:val="24"/>
        </w:rPr>
        <w:t>Conclusion:</w:t>
      </w:r>
      <w:r>
        <w:rPr>
          <w:rFonts w:eastAsia="Times New Roman"/>
          <w:bCs/>
          <w:sz w:val="24"/>
          <w:szCs w:val="24"/>
        </w:rPr>
        <w:t xml:space="preserve"> FGBD patients with severe symptoms benefit from cholecystectomy; those with milder pain may be managed symptomatically, </w:t>
      </w:r>
      <w:r w:rsidR="00BA6AFB" w:rsidRPr="005D2F91">
        <w:rPr>
          <w:rFonts w:eastAsia="Times New Roman"/>
          <w:bCs/>
          <w:sz w:val="24"/>
          <w:szCs w:val="24"/>
          <w:highlight w:val="yellow"/>
        </w:rPr>
        <w:t>thereby</w:t>
      </w:r>
      <w:r>
        <w:rPr>
          <w:rFonts w:eastAsia="Times New Roman"/>
          <w:bCs/>
          <w:sz w:val="24"/>
          <w:szCs w:val="24"/>
        </w:rPr>
        <w:t xml:space="preserve"> avoiding surgery. </w:t>
      </w:r>
      <w:r w:rsidR="00650F41" w:rsidRPr="005D2F91">
        <w:rPr>
          <w:rFonts w:eastAsia="Times New Roman"/>
          <w:bCs/>
          <w:sz w:val="24"/>
          <w:szCs w:val="24"/>
          <w:highlight w:val="yellow"/>
        </w:rPr>
        <w:t xml:space="preserve">Presence of severe pain </w:t>
      </w:r>
      <w:proofErr w:type="spellStart"/>
      <w:r w:rsidR="00650F41" w:rsidRPr="005D2F91">
        <w:rPr>
          <w:rFonts w:eastAsia="Times New Roman"/>
          <w:bCs/>
          <w:sz w:val="24"/>
          <w:szCs w:val="24"/>
          <w:highlight w:val="yellow"/>
        </w:rPr>
        <w:t>appeares</w:t>
      </w:r>
      <w:proofErr w:type="spellEnd"/>
      <w:r w:rsidR="00650F41" w:rsidRPr="005D2F91">
        <w:rPr>
          <w:rFonts w:eastAsia="Times New Roman"/>
          <w:bCs/>
          <w:sz w:val="24"/>
          <w:szCs w:val="24"/>
          <w:highlight w:val="yellow"/>
        </w:rPr>
        <w:t xml:space="preserve"> appears to be the predictive indicator of successful outcome in patients with low GBEF.</w:t>
      </w:r>
    </w:p>
    <w:p w14:paraId="41847DE1" w14:textId="77777777" w:rsidR="0043736E" w:rsidRDefault="001F0277">
      <w:pPr>
        <w:widowControl w:val="0"/>
        <w:spacing w:line="480" w:lineRule="auto"/>
        <w:ind w:left="2" w:hanging="2"/>
        <w:rPr>
          <w:sz w:val="24"/>
          <w:szCs w:val="24"/>
        </w:rPr>
      </w:pPr>
      <w:r>
        <w:rPr>
          <w:rFonts w:eastAsia="Times New Roman"/>
          <w:b/>
          <w:sz w:val="24"/>
          <w:szCs w:val="24"/>
        </w:rPr>
        <w:t>Key Words:</w:t>
      </w:r>
      <w:r>
        <w:rPr>
          <w:rFonts w:eastAsia="Times New Roman"/>
          <w:bCs/>
          <w:sz w:val="24"/>
          <w:szCs w:val="24"/>
        </w:rPr>
        <w:t xml:space="preserve"> GB dyskinesia, Chronic acalculous Cholecystitis, Cholecystectomy, RUQ pain, Biliary scintigraphy. </w:t>
      </w:r>
    </w:p>
    <w:p w14:paraId="191626AD" w14:textId="77777777" w:rsidR="0043736E" w:rsidRDefault="0043736E">
      <w:pPr>
        <w:widowControl w:val="0"/>
        <w:spacing w:line="480" w:lineRule="auto"/>
        <w:ind w:firstLineChars="0" w:firstLine="0"/>
        <w:rPr>
          <w:b/>
          <w:sz w:val="24"/>
          <w:szCs w:val="24"/>
        </w:rPr>
      </w:pPr>
    </w:p>
    <w:p w14:paraId="01D67DEA" w14:textId="77777777" w:rsidR="0043736E" w:rsidRDefault="001F0277">
      <w:pPr>
        <w:widowControl w:val="0"/>
        <w:spacing w:line="480" w:lineRule="auto"/>
        <w:ind w:firstLineChars="0" w:firstLine="0"/>
        <w:rPr>
          <w:sz w:val="24"/>
          <w:szCs w:val="24"/>
        </w:rPr>
      </w:pPr>
      <w:r>
        <w:rPr>
          <w:b/>
          <w:sz w:val="24"/>
          <w:szCs w:val="24"/>
        </w:rPr>
        <w:t xml:space="preserve">Introduction: </w:t>
      </w:r>
    </w:p>
    <w:p w14:paraId="1CA91CED" w14:textId="7446EA42" w:rsidR="0043736E" w:rsidRDefault="00BE7AD7">
      <w:pPr>
        <w:widowControl w:val="0"/>
        <w:spacing w:line="480" w:lineRule="auto"/>
        <w:ind w:left="2" w:hanging="2"/>
        <w:jc w:val="both"/>
        <w:rPr>
          <w:sz w:val="24"/>
          <w:szCs w:val="24"/>
        </w:rPr>
      </w:pPr>
      <w:r w:rsidRPr="005D2F91">
        <w:rPr>
          <w:sz w:val="24"/>
          <w:szCs w:val="24"/>
          <w:highlight w:val="yellow"/>
        </w:rPr>
        <w:t xml:space="preserve">Biliary dyskinesia (BD) refers to a functional disorder of the gallbladder </w:t>
      </w:r>
      <w:proofErr w:type="spellStart"/>
      <w:r w:rsidRPr="005D2F91">
        <w:rPr>
          <w:sz w:val="24"/>
          <w:szCs w:val="24"/>
          <w:highlight w:val="yellow"/>
        </w:rPr>
        <w:t>characterised</w:t>
      </w:r>
      <w:proofErr w:type="spellEnd"/>
      <w:r w:rsidRPr="005D2F91">
        <w:rPr>
          <w:sz w:val="24"/>
          <w:szCs w:val="24"/>
          <w:highlight w:val="yellow"/>
        </w:rPr>
        <w:t xml:space="preserve"> by biliary pain in the absence of a structural cause such as cholelithiasis. Biliary dyskinesia is a relatively recent term and previously had been described as acalculous gallbladder disease, hypokinetic gallbladder, gallbladder dysfunction, or functional gallbladder disorder. Biliary </w:t>
      </w:r>
      <w:r w:rsidRPr="005D2F91">
        <w:rPr>
          <w:sz w:val="24"/>
          <w:szCs w:val="24"/>
          <w:highlight w:val="yellow"/>
        </w:rPr>
        <w:lastRenderedPageBreak/>
        <w:t>hyperkinesia has also been described within the spectrum of biliary dyskinesia</w:t>
      </w:r>
      <w:r w:rsidRPr="005D2F91">
        <w:rPr>
          <w:sz w:val="24"/>
          <w:szCs w:val="24"/>
          <w:highlight w:val="yellow"/>
        </w:rPr>
        <w:t xml:space="preserve"> </w:t>
      </w:r>
      <w:r w:rsidRPr="005D2F91">
        <w:rPr>
          <w:sz w:val="24"/>
          <w:szCs w:val="24"/>
          <w:highlight w:val="yellow"/>
        </w:rPr>
        <w:t>(</w:t>
      </w:r>
      <w:proofErr w:type="spellStart"/>
      <w:r w:rsidRPr="005D2F91">
        <w:rPr>
          <w:sz w:val="24"/>
          <w:szCs w:val="24"/>
          <w:highlight w:val="yellow"/>
        </w:rPr>
        <w:t>Kulaylat</w:t>
      </w:r>
      <w:proofErr w:type="spellEnd"/>
      <w:r w:rsidRPr="005D2F91">
        <w:rPr>
          <w:sz w:val="24"/>
          <w:szCs w:val="24"/>
          <w:highlight w:val="yellow"/>
        </w:rPr>
        <w:t xml:space="preserve"> </w:t>
      </w:r>
      <w:r w:rsidRPr="005D2F91">
        <w:rPr>
          <w:i/>
          <w:iCs/>
          <w:sz w:val="24"/>
          <w:szCs w:val="24"/>
          <w:highlight w:val="yellow"/>
        </w:rPr>
        <w:t>et al</w:t>
      </w:r>
      <w:r w:rsidRPr="005D2F91">
        <w:rPr>
          <w:sz w:val="24"/>
          <w:szCs w:val="24"/>
          <w:highlight w:val="yellow"/>
        </w:rPr>
        <w:t>., 2024</w:t>
      </w:r>
      <w:r w:rsidRPr="005D2F91">
        <w:rPr>
          <w:sz w:val="24"/>
          <w:szCs w:val="24"/>
          <w:highlight w:val="yellow"/>
        </w:rPr>
        <w:t xml:space="preserve">; </w:t>
      </w:r>
      <w:r w:rsidRPr="005D2F91">
        <w:rPr>
          <w:sz w:val="24"/>
          <w:szCs w:val="24"/>
          <w:highlight w:val="yellow"/>
        </w:rPr>
        <w:t xml:space="preserve">Whitaker </w:t>
      </w:r>
      <w:r w:rsidRPr="005D2F91">
        <w:rPr>
          <w:i/>
          <w:iCs/>
          <w:sz w:val="24"/>
          <w:szCs w:val="24"/>
          <w:highlight w:val="yellow"/>
        </w:rPr>
        <w:t>et al</w:t>
      </w:r>
      <w:r w:rsidRPr="005D2F91">
        <w:rPr>
          <w:sz w:val="24"/>
          <w:szCs w:val="24"/>
          <w:highlight w:val="yellow"/>
        </w:rPr>
        <w:t>., 2022)</w:t>
      </w:r>
      <w:r w:rsidRPr="005D2F91">
        <w:rPr>
          <w:sz w:val="24"/>
          <w:szCs w:val="24"/>
          <w:highlight w:val="yellow"/>
        </w:rPr>
        <w:t>.</w:t>
      </w:r>
      <w:r>
        <w:rPr>
          <w:sz w:val="24"/>
          <w:szCs w:val="24"/>
        </w:rPr>
        <w:t xml:space="preserve"> </w:t>
      </w:r>
      <w:r w:rsidR="001F0277">
        <w:rPr>
          <w:sz w:val="24"/>
          <w:szCs w:val="24"/>
        </w:rPr>
        <w:t>Pain arising from the gall bladder (GB) or biliary tract in the absence of structural disease seems to be an uncommon clinical condition. It constitutes three varieties of disorders of the biliary tract</w:t>
      </w:r>
      <w:r w:rsidR="00BA6AFB">
        <w:rPr>
          <w:sz w:val="24"/>
          <w:szCs w:val="24"/>
        </w:rPr>
        <w:t>,</w:t>
      </w:r>
      <w:r w:rsidR="001F0277">
        <w:rPr>
          <w:sz w:val="24"/>
          <w:szCs w:val="24"/>
        </w:rPr>
        <w:t xml:space="preserve"> namely GB hypokinesia (also known as biliary dyskinesia), GB hyperkinesia and Sphincter of Oddi dysfunction (Table 1). </w:t>
      </w:r>
      <w:r w:rsidR="000B13D4" w:rsidRPr="005D2F91">
        <w:rPr>
          <w:sz w:val="24"/>
          <w:szCs w:val="24"/>
          <w:highlight w:val="yellow"/>
        </w:rPr>
        <w:t xml:space="preserve">Biliary dyskinesia is a functional gallbladder disorder </w:t>
      </w:r>
      <w:proofErr w:type="spellStart"/>
      <w:r w:rsidR="000B13D4">
        <w:rPr>
          <w:sz w:val="24"/>
          <w:szCs w:val="24"/>
          <w:highlight w:val="yellow"/>
        </w:rPr>
        <w:t>characterised</w:t>
      </w:r>
      <w:proofErr w:type="spellEnd"/>
      <w:r w:rsidR="000B13D4" w:rsidRPr="005D2F91">
        <w:rPr>
          <w:sz w:val="24"/>
          <w:szCs w:val="24"/>
          <w:highlight w:val="yellow"/>
        </w:rPr>
        <w:t xml:space="preserve"> by altered gallbladder motility. This often presents as </w:t>
      </w:r>
      <w:r w:rsidR="000B13D4">
        <w:rPr>
          <w:sz w:val="24"/>
          <w:szCs w:val="24"/>
          <w:highlight w:val="yellow"/>
        </w:rPr>
        <w:t xml:space="preserve">a </w:t>
      </w:r>
      <w:r w:rsidR="000B13D4" w:rsidRPr="005D2F91">
        <w:rPr>
          <w:sz w:val="24"/>
          <w:szCs w:val="24"/>
          <w:highlight w:val="yellow"/>
        </w:rPr>
        <w:t>history of biliary symptoms without imaging evidence of gallstones, sludge, or other structural pathology. The diagnosis is made by demonstration of abnormal gallbladder emptying on hepatic iminodiacetic acid analogue scan with cholecystokinin administration (HIDA-CCK)</w:t>
      </w:r>
      <w:r w:rsidR="000B13D4" w:rsidRPr="005D2F91">
        <w:rPr>
          <w:sz w:val="24"/>
          <w:szCs w:val="24"/>
          <w:highlight w:val="yellow"/>
        </w:rPr>
        <w:t xml:space="preserve"> </w:t>
      </w:r>
      <w:r w:rsidR="000B13D4" w:rsidRPr="005D2F91">
        <w:rPr>
          <w:sz w:val="24"/>
          <w:szCs w:val="24"/>
          <w:highlight w:val="yellow"/>
        </w:rPr>
        <w:t xml:space="preserve">(Popover </w:t>
      </w:r>
      <w:r w:rsidR="000B13D4" w:rsidRPr="005D2F91">
        <w:rPr>
          <w:i/>
          <w:iCs/>
          <w:sz w:val="24"/>
          <w:szCs w:val="24"/>
          <w:highlight w:val="yellow"/>
        </w:rPr>
        <w:t>et al</w:t>
      </w:r>
      <w:r w:rsidR="000B13D4" w:rsidRPr="005D2F91">
        <w:rPr>
          <w:sz w:val="24"/>
          <w:szCs w:val="24"/>
          <w:highlight w:val="yellow"/>
        </w:rPr>
        <w:t>., 2025).</w:t>
      </w:r>
      <w:r w:rsidR="000B13D4" w:rsidRPr="000B13D4">
        <w:rPr>
          <w:sz w:val="24"/>
          <w:szCs w:val="24"/>
        </w:rPr>
        <w:t xml:space="preserve"> </w:t>
      </w:r>
      <w:r w:rsidR="001F0277">
        <w:rPr>
          <w:sz w:val="24"/>
          <w:szCs w:val="24"/>
        </w:rPr>
        <w:t xml:space="preserve">Each of these disorders </w:t>
      </w:r>
      <w:r w:rsidR="00BA6AFB" w:rsidRPr="005D2F91">
        <w:rPr>
          <w:sz w:val="24"/>
          <w:szCs w:val="24"/>
          <w:highlight w:val="yellow"/>
        </w:rPr>
        <w:t>has</w:t>
      </w:r>
      <w:r w:rsidR="00BA6AFB" w:rsidRPr="005D2F91">
        <w:rPr>
          <w:sz w:val="24"/>
          <w:szCs w:val="24"/>
          <w:highlight w:val="yellow"/>
        </w:rPr>
        <w:t xml:space="preserve"> </w:t>
      </w:r>
      <w:r w:rsidR="00BA6AFB" w:rsidRPr="005D2F91">
        <w:rPr>
          <w:sz w:val="24"/>
          <w:szCs w:val="24"/>
          <w:highlight w:val="yellow"/>
        </w:rPr>
        <w:t>its</w:t>
      </w:r>
      <w:r w:rsidR="00BA6AFB" w:rsidRPr="005D2F91">
        <w:rPr>
          <w:sz w:val="24"/>
          <w:szCs w:val="24"/>
          <w:highlight w:val="yellow"/>
        </w:rPr>
        <w:t xml:space="preserve"> </w:t>
      </w:r>
      <w:r w:rsidR="001F0277">
        <w:rPr>
          <w:sz w:val="24"/>
          <w:szCs w:val="24"/>
        </w:rPr>
        <w:t xml:space="preserve">own diagnostic criteria, but basically present as right upper quadrant pain (RUQ) with </w:t>
      </w:r>
      <w:r w:rsidR="00BA6AFB" w:rsidRPr="005D2F91">
        <w:rPr>
          <w:sz w:val="24"/>
          <w:szCs w:val="24"/>
          <w:highlight w:val="yellow"/>
        </w:rPr>
        <w:t xml:space="preserve">a </w:t>
      </w:r>
      <w:r w:rsidR="001F0277">
        <w:rPr>
          <w:sz w:val="24"/>
          <w:szCs w:val="24"/>
        </w:rPr>
        <w:t xml:space="preserve">negative diagnostic </w:t>
      </w:r>
      <w:r w:rsidR="00BA6AFB" w:rsidRPr="005D2F91">
        <w:rPr>
          <w:sz w:val="24"/>
          <w:szCs w:val="24"/>
          <w:highlight w:val="yellow"/>
        </w:rPr>
        <w:t>workup</w:t>
      </w:r>
      <w:r w:rsidR="001F0277">
        <w:rPr>
          <w:sz w:val="24"/>
          <w:szCs w:val="24"/>
        </w:rPr>
        <w:t xml:space="preserve">.  The Rome IV criteria </w:t>
      </w:r>
      <w:r w:rsidR="00BA6AFB" w:rsidRPr="005D2F91">
        <w:rPr>
          <w:sz w:val="24"/>
          <w:szCs w:val="24"/>
          <w:highlight w:val="yellow"/>
        </w:rPr>
        <w:t>have</w:t>
      </w:r>
      <w:r w:rsidR="00BA6AFB" w:rsidRPr="005D2F91">
        <w:rPr>
          <w:sz w:val="24"/>
          <w:szCs w:val="24"/>
          <w:highlight w:val="yellow"/>
        </w:rPr>
        <w:t xml:space="preserve"> </w:t>
      </w:r>
      <w:r w:rsidR="001F0277">
        <w:rPr>
          <w:sz w:val="24"/>
          <w:szCs w:val="24"/>
        </w:rPr>
        <w:t>defined these gall bladder disorders as Functional Gall Bladder Disease (FGBD</w:t>
      </w:r>
      <w:r w:rsidR="00BA6AFB">
        <w:rPr>
          <w:sz w:val="24"/>
          <w:szCs w:val="24"/>
        </w:rPr>
        <w:t>)</w:t>
      </w:r>
      <w:r w:rsidR="00BA6AFB">
        <w:rPr>
          <w:sz w:val="24"/>
          <w:szCs w:val="24"/>
        </w:rPr>
        <w:t>,</w:t>
      </w:r>
      <w:r w:rsidR="00BA6AFB">
        <w:rPr>
          <w:sz w:val="24"/>
          <w:szCs w:val="24"/>
        </w:rPr>
        <w:t xml:space="preserve"> </w:t>
      </w:r>
      <w:r w:rsidR="001F0277">
        <w:rPr>
          <w:sz w:val="24"/>
          <w:szCs w:val="24"/>
        </w:rPr>
        <w:t>and the sphincter of Oddi disorder as Functional Biliary Sphincter disorder (FBSD)</w:t>
      </w:r>
      <w:r w:rsidR="001F0277">
        <w:rPr>
          <w:sz w:val="24"/>
          <w:szCs w:val="24"/>
          <w:vertAlign w:val="superscript"/>
        </w:rPr>
        <w:t xml:space="preserve">1. </w:t>
      </w:r>
      <w:r w:rsidR="001F0277">
        <w:rPr>
          <w:sz w:val="24"/>
          <w:szCs w:val="24"/>
        </w:rPr>
        <w:t xml:space="preserve">The present study focuses on the FGBD and mainly biliary dyskinesia (BD) or hypokinesia. Biliary dyskinesia is by definition a functional disorder and is therefore not associated with any specific anatomic or pathologic findings such as </w:t>
      </w:r>
      <w:r w:rsidR="00BA6AFB" w:rsidRPr="005D2F91">
        <w:rPr>
          <w:sz w:val="24"/>
          <w:szCs w:val="24"/>
          <w:highlight w:val="yellow"/>
        </w:rPr>
        <w:t>gallstones</w:t>
      </w:r>
      <w:r w:rsidR="001F0277" w:rsidRPr="005D2F91">
        <w:rPr>
          <w:sz w:val="24"/>
          <w:szCs w:val="24"/>
          <w:highlight w:val="yellow"/>
        </w:rPr>
        <w:t xml:space="preserve"> </w:t>
      </w:r>
      <w:r w:rsidR="001F0277">
        <w:rPr>
          <w:sz w:val="24"/>
          <w:szCs w:val="24"/>
        </w:rPr>
        <w:t xml:space="preserve">or features of </w:t>
      </w:r>
      <w:r w:rsidR="00BA6AFB" w:rsidRPr="005D2F91">
        <w:rPr>
          <w:sz w:val="24"/>
          <w:szCs w:val="24"/>
          <w:highlight w:val="yellow"/>
        </w:rPr>
        <w:t>cholecystitis</w:t>
      </w:r>
      <w:r w:rsidR="00BA6AFB" w:rsidRPr="005D2F91">
        <w:rPr>
          <w:sz w:val="24"/>
          <w:szCs w:val="24"/>
          <w:highlight w:val="yellow"/>
          <w:vertAlign w:val="superscript"/>
        </w:rPr>
        <w:t xml:space="preserve"> </w:t>
      </w:r>
      <w:r w:rsidR="001F0277">
        <w:rPr>
          <w:sz w:val="24"/>
          <w:szCs w:val="24"/>
        </w:rPr>
        <w:t>(Table 2).</w:t>
      </w:r>
    </w:p>
    <w:p w14:paraId="1EC77C4E" w14:textId="5F95DF6F" w:rsidR="0043736E" w:rsidRDefault="001F0277">
      <w:pPr>
        <w:widowControl w:val="0"/>
        <w:spacing w:line="480" w:lineRule="auto"/>
        <w:ind w:left="2" w:hanging="2"/>
        <w:jc w:val="both"/>
        <w:rPr>
          <w:sz w:val="24"/>
          <w:szCs w:val="24"/>
        </w:rPr>
      </w:pPr>
      <w:r>
        <w:rPr>
          <w:sz w:val="24"/>
          <w:szCs w:val="24"/>
        </w:rPr>
        <w:t>Biliary dyskinesia (GB hypokinesia) has been a confusing disorder with varied terminologies that have been used over a period of time</w:t>
      </w:r>
      <w:r w:rsidR="00BA6AFB">
        <w:rPr>
          <w:sz w:val="24"/>
          <w:szCs w:val="24"/>
        </w:rPr>
        <w:t>,</w:t>
      </w:r>
      <w:r>
        <w:rPr>
          <w:sz w:val="24"/>
          <w:szCs w:val="24"/>
        </w:rPr>
        <w:t xml:space="preserve"> like chronic acalculous cholecystitis, acalculous biliary disease, gall bladder dyskinesia, gall bladder spasm, cystic duct syndrome and finally</w:t>
      </w:r>
      <w:r w:rsidR="00BA6AFB">
        <w:rPr>
          <w:sz w:val="24"/>
          <w:szCs w:val="24"/>
        </w:rPr>
        <w:t>,</w:t>
      </w:r>
      <w:r>
        <w:rPr>
          <w:sz w:val="24"/>
          <w:szCs w:val="24"/>
        </w:rPr>
        <w:t xml:space="preserve"> the Rome IV criteria </w:t>
      </w:r>
      <w:r w:rsidR="00BA6AFB" w:rsidRPr="005D2F91">
        <w:rPr>
          <w:sz w:val="24"/>
          <w:szCs w:val="24"/>
          <w:highlight w:val="yellow"/>
        </w:rPr>
        <w:t>have</w:t>
      </w:r>
      <w:r w:rsidR="00BA6AFB" w:rsidRPr="005D2F91">
        <w:rPr>
          <w:sz w:val="24"/>
          <w:szCs w:val="24"/>
          <w:highlight w:val="yellow"/>
        </w:rPr>
        <w:t xml:space="preserve"> </w:t>
      </w:r>
      <w:r>
        <w:rPr>
          <w:sz w:val="24"/>
          <w:szCs w:val="24"/>
        </w:rPr>
        <w:t>defined and termed it as FGBD.</w:t>
      </w:r>
    </w:p>
    <w:tbl>
      <w:tblPr>
        <w:tblW w:w="8700" w:type="dxa"/>
        <w:tblInd w:w="-108" w:type="dxa"/>
        <w:tblLayout w:type="fixed"/>
        <w:tblLook w:val="04A0" w:firstRow="1" w:lastRow="0" w:firstColumn="1" w:lastColumn="0" w:noHBand="0" w:noVBand="1"/>
      </w:tblPr>
      <w:tblGrid>
        <w:gridCol w:w="8700"/>
      </w:tblGrid>
      <w:tr w:rsidR="0043736E" w14:paraId="61735B6D" w14:textId="77777777">
        <w:trPr>
          <w:trHeight w:val="8747"/>
        </w:trPr>
        <w:tc>
          <w:tcPr>
            <w:tcW w:w="8700" w:type="dxa"/>
            <w:tcBorders>
              <w:top w:val="single" w:sz="4" w:space="0" w:color="000000"/>
              <w:left w:val="single" w:sz="4" w:space="0" w:color="000000"/>
              <w:bottom w:val="single" w:sz="4" w:space="0" w:color="000000"/>
              <w:right w:val="single" w:sz="4" w:space="0" w:color="000000"/>
            </w:tcBorders>
            <w:shd w:val="clear" w:color="auto" w:fill="FFFFFF"/>
          </w:tcPr>
          <w:p w14:paraId="189FED61" w14:textId="77777777" w:rsidR="0043736E" w:rsidRDefault="0043736E">
            <w:pPr>
              <w:widowControl w:val="0"/>
              <w:spacing w:line="360" w:lineRule="auto"/>
              <w:ind w:left="2" w:hanging="2"/>
              <w:rPr>
                <w:sz w:val="24"/>
                <w:szCs w:val="24"/>
              </w:rPr>
            </w:pPr>
          </w:p>
          <w:p w14:paraId="4A626E71" w14:textId="77777777" w:rsidR="0043736E" w:rsidRDefault="001F0277">
            <w:pPr>
              <w:widowControl w:val="0"/>
              <w:spacing w:line="360" w:lineRule="auto"/>
              <w:ind w:left="2" w:hanging="2"/>
              <w:rPr>
                <w:sz w:val="24"/>
                <w:szCs w:val="24"/>
              </w:rPr>
            </w:pPr>
            <w:r>
              <w:rPr>
                <w:sz w:val="24"/>
                <w:szCs w:val="24"/>
              </w:rPr>
              <w:t xml:space="preserve"> </w:t>
            </w:r>
            <w:r>
              <w:rPr>
                <w:b/>
                <w:sz w:val="24"/>
                <w:szCs w:val="24"/>
              </w:rPr>
              <w:t>Table 1. ROME IV criteria for biliary pain</w:t>
            </w:r>
            <w:r>
              <w:rPr>
                <w:b/>
                <w:sz w:val="24"/>
                <w:szCs w:val="24"/>
                <w:vertAlign w:val="superscript"/>
              </w:rPr>
              <w:t>1</w:t>
            </w:r>
            <w:r>
              <w:rPr>
                <w:b/>
                <w:sz w:val="24"/>
                <w:szCs w:val="24"/>
              </w:rPr>
              <w:t xml:space="preserve"> </w:t>
            </w:r>
          </w:p>
          <w:p w14:paraId="3D33B47A" w14:textId="77777777" w:rsidR="0043736E" w:rsidRDefault="001F0277">
            <w:pPr>
              <w:widowControl w:val="0"/>
              <w:spacing w:line="360" w:lineRule="auto"/>
              <w:ind w:left="2" w:hanging="2"/>
              <w:rPr>
                <w:sz w:val="24"/>
                <w:szCs w:val="24"/>
              </w:rPr>
            </w:pPr>
            <w:r>
              <w:rPr>
                <w:sz w:val="24"/>
                <w:szCs w:val="24"/>
              </w:rPr>
              <w:t>Must include episodes of pain in the epigastrium and/or right upper quadrant and all of the following:</w:t>
            </w:r>
          </w:p>
          <w:p w14:paraId="039F747B" w14:textId="77777777" w:rsidR="0043736E" w:rsidRDefault="001F0277">
            <w:pPr>
              <w:widowControl w:val="0"/>
              <w:tabs>
                <w:tab w:val="left" w:pos="425"/>
              </w:tabs>
              <w:spacing w:line="360" w:lineRule="auto"/>
              <w:ind w:left="2" w:hanging="2"/>
              <w:jc w:val="both"/>
              <w:rPr>
                <w:sz w:val="24"/>
                <w:szCs w:val="24"/>
              </w:rPr>
            </w:pPr>
            <w:r>
              <w:rPr>
                <w:sz w:val="24"/>
                <w:szCs w:val="24"/>
              </w:rPr>
              <w:t>Episodes build up to a steady level and last 30 minutes or longer</w:t>
            </w:r>
          </w:p>
          <w:p w14:paraId="17444317" w14:textId="77777777" w:rsidR="0043736E" w:rsidRDefault="001F0277">
            <w:pPr>
              <w:widowControl w:val="0"/>
              <w:tabs>
                <w:tab w:val="left" w:pos="425"/>
              </w:tabs>
              <w:spacing w:line="360" w:lineRule="auto"/>
              <w:ind w:left="2" w:hanging="2"/>
              <w:jc w:val="both"/>
              <w:rPr>
                <w:sz w:val="24"/>
                <w:szCs w:val="24"/>
              </w:rPr>
            </w:pPr>
            <w:r>
              <w:rPr>
                <w:sz w:val="24"/>
                <w:szCs w:val="24"/>
              </w:rPr>
              <w:t xml:space="preserve"> Episodes occur at different intervals (not daily)</w:t>
            </w:r>
          </w:p>
          <w:p w14:paraId="30CE89DF" w14:textId="616257D4" w:rsidR="0043736E" w:rsidRDefault="001F0277">
            <w:pPr>
              <w:widowControl w:val="0"/>
              <w:tabs>
                <w:tab w:val="left" w:pos="425"/>
              </w:tabs>
              <w:spacing w:line="360" w:lineRule="auto"/>
              <w:ind w:left="2" w:hanging="2"/>
              <w:jc w:val="both"/>
              <w:rPr>
                <w:sz w:val="24"/>
                <w:szCs w:val="24"/>
              </w:rPr>
            </w:pPr>
            <w:r>
              <w:rPr>
                <w:sz w:val="24"/>
                <w:szCs w:val="24"/>
              </w:rPr>
              <w:t xml:space="preserve">Episodes are severe </w:t>
            </w:r>
            <w:r w:rsidR="00BA6AFB" w:rsidRPr="005D2F91">
              <w:rPr>
                <w:sz w:val="24"/>
                <w:szCs w:val="24"/>
                <w:highlight w:val="yellow"/>
              </w:rPr>
              <w:t xml:space="preserve">enough </w:t>
            </w:r>
            <w:r>
              <w:rPr>
                <w:sz w:val="24"/>
                <w:szCs w:val="24"/>
              </w:rPr>
              <w:t xml:space="preserve">to interrupt </w:t>
            </w:r>
            <w:r w:rsidR="00BA6AFB" w:rsidRPr="005D2F91">
              <w:rPr>
                <w:sz w:val="24"/>
                <w:szCs w:val="24"/>
                <w:highlight w:val="yellow"/>
              </w:rPr>
              <w:t xml:space="preserve">the </w:t>
            </w:r>
            <w:r>
              <w:rPr>
                <w:sz w:val="24"/>
                <w:szCs w:val="24"/>
              </w:rPr>
              <w:t>patient’s activities or lead to emergency room visits</w:t>
            </w:r>
          </w:p>
          <w:p w14:paraId="7E8BF28B" w14:textId="77777777" w:rsidR="0043736E" w:rsidRDefault="001F0277">
            <w:pPr>
              <w:widowControl w:val="0"/>
              <w:tabs>
                <w:tab w:val="left" w:pos="425"/>
              </w:tabs>
              <w:spacing w:line="360" w:lineRule="auto"/>
              <w:ind w:left="2" w:hanging="2"/>
              <w:jc w:val="both"/>
              <w:rPr>
                <w:sz w:val="24"/>
                <w:szCs w:val="24"/>
              </w:rPr>
            </w:pPr>
            <w:r>
              <w:rPr>
                <w:sz w:val="24"/>
                <w:szCs w:val="24"/>
              </w:rPr>
              <w:t xml:space="preserve">Episodes are not significantly (&lt; 20%) related to bowel movements </w:t>
            </w:r>
          </w:p>
          <w:p w14:paraId="59E4CA16" w14:textId="77777777" w:rsidR="0043736E" w:rsidRDefault="001F0277">
            <w:pPr>
              <w:widowControl w:val="0"/>
              <w:tabs>
                <w:tab w:val="left" w:pos="425"/>
              </w:tabs>
              <w:spacing w:line="360" w:lineRule="auto"/>
              <w:ind w:left="2" w:hanging="2"/>
              <w:jc w:val="both"/>
              <w:rPr>
                <w:sz w:val="24"/>
                <w:szCs w:val="24"/>
              </w:rPr>
            </w:pPr>
            <w:r>
              <w:rPr>
                <w:sz w:val="24"/>
                <w:szCs w:val="24"/>
              </w:rPr>
              <w:t>Episodes are not significantly (&lt; 20%) relieved by postural change or acid suppression.</w:t>
            </w:r>
          </w:p>
          <w:p w14:paraId="3929971E" w14:textId="77777777" w:rsidR="0043736E" w:rsidRDefault="001F0277">
            <w:pPr>
              <w:widowControl w:val="0"/>
              <w:spacing w:line="360" w:lineRule="auto"/>
              <w:ind w:left="2" w:hanging="2"/>
              <w:rPr>
                <w:sz w:val="24"/>
                <w:szCs w:val="24"/>
              </w:rPr>
            </w:pPr>
            <w:r>
              <w:rPr>
                <w:b/>
                <w:sz w:val="24"/>
                <w:szCs w:val="24"/>
              </w:rPr>
              <w:t>Supportive Criteria:</w:t>
            </w:r>
          </w:p>
          <w:p w14:paraId="0B972DAC" w14:textId="77777777" w:rsidR="0043736E" w:rsidRDefault="001F0277">
            <w:pPr>
              <w:widowControl w:val="0"/>
              <w:spacing w:line="360" w:lineRule="auto"/>
              <w:ind w:left="2" w:hanging="2"/>
              <w:rPr>
                <w:sz w:val="24"/>
                <w:szCs w:val="24"/>
              </w:rPr>
            </w:pPr>
            <w:r>
              <w:rPr>
                <w:sz w:val="24"/>
                <w:szCs w:val="24"/>
              </w:rPr>
              <w:t>The pain may be associated with:</w:t>
            </w:r>
          </w:p>
          <w:p w14:paraId="41BFD5CF" w14:textId="77777777" w:rsidR="0043736E" w:rsidRDefault="001F0277">
            <w:pPr>
              <w:widowControl w:val="0"/>
              <w:tabs>
                <w:tab w:val="left" w:pos="425"/>
              </w:tabs>
              <w:spacing w:line="360" w:lineRule="auto"/>
              <w:ind w:left="2" w:hanging="2"/>
              <w:rPr>
                <w:sz w:val="24"/>
                <w:szCs w:val="24"/>
              </w:rPr>
            </w:pPr>
            <w:r>
              <w:rPr>
                <w:sz w:val="24"/>
                <w:szCs w:val="24"/>
              </w:rPr>
              <w:t xml:space="preserve">Nausea and/ or vomiting </w:t>
            </w:r>
          </w:p>
          <w:p w14:paraId="777A341F" w14:textId="77777777" w:rsidR="0043736E" w:rsidRDefault="001F0277">
            <w:pPr>
              <w:widowControl w:val="0"/>
              <w:tabs>
                <w:tab w:val="left" w:pos="425"/>
              </w:tabs>
              <w:spacing w:line="360" w:lineRule="auto"/>
              <w:ind w:left="2" w:hanging="2"/>
              <w:rPr>
                <w:sz w:val="24"/>
                <w:szCs w:val="24"/>
              </w:rPr>
            </w:pPr>
            <w:r>
              <w:rPr>
                <w:sz w:val="24"/>
                <w:szCs w:val="24"/>
              </w:rPr>
              <w:t xml:space="preserve">Radiation to the back and/or right </w:t>
            </w:r>
            <w:proofErr w:type="spellStart"/>
            <w:r>
              <w:rPr>
                <w:sz w:val="24"/>
                <w:szCs w:val="24"/>
              </w:rPr>
              <w:t>infrascapular</w:t>
            </w:r>
            <w:proofErr w:type="spellEnd"/>
            <w:r>
              <w:rPr>
                <w:sz w:val="24"/>
                <w:szCs w:val="24"/>
              </w:rPr>
              <w:t xml:space="preserve"> area</w:t>
            </w:r>
          </w:p>
          <w:p w14:paraId="262E85DF" w14:textId="77777777" w:rsidR="0043736E" w:rsidRDefault="001F0277">
            <w:pPr>
              <w:widowControl w:val="0"/>
              <w:tabs>
                <w:tab w:val="left" w:pos="425"/>
              </w:tabs>
              <w:spacing w:line="360" w:lineRule="auto"/>
              <w:ind w:left="2" w:hanging="2"/>
              <w:rPr>
                <w:sz w:val="24"/>
                <w:szCs w:val="24"/>
              </w:rPr>
            </w:pPr>
            <w:r>
              <w:rPr>
                <w:sz w:val="24"/>
                <w:szCs w:val="24"/>
              </w:rPr>
              <w:t xml:space="preserve">Waking up from sleep </w:t>
            </w:r>
          </w:p>
          <w:p w14:paraId="61D2722F" w14:textId="77777777" w:rsidR="0043736E" w:rsidRDefault="0043736E">
            <w:pPr>
              <w:widowControl w:val="0"/>
              <w:spacing w:line="360" w:lineRule="auto"/>
              <w:ind w:left="2" w:hanging="2"/>
              <w:rPr>
                <w:sz w:val="24"/>
                <w:szCs w:val="24"/>
              </w:rPr>
            </w:pPr>
          </w:p>
        </w:tc>
      </w:tr>
      <w:tr w:rsidR="0043736E" w14:paraId="5978DF10" w14:textId="77777777">
        <w:trPr>
          <w:trHeight w:val="4947"/>
        </w:trPr>
        <w:tc>
          <w:tcPr>
            <w:tcW w:w="8700" w:type="dxa"/>
            <w:tcBorders>
              <w:top w:val="single" w:sz="4" w:space="0" w:color="000000"/>
              <w:left w:val="single" w:sz="4" w:space="0" w:color="000000"/>
              <w:bottom w:val="single" w:sz="4" w:space="0" w:color="000000"/>
              <w:right w:val="single" w:sz="4" w:space="0" w:color="000000"/>
            </w:tcBorders>
            <w:shd w:val="clear" w:color="auto" w:fill="FFFFFF"/>
          </w:tcPr>
          <w:p w14:paraId="21874316" w14:textId="77777777" w:rsidR="0043736E" w:rsidRDefault="0043736E">
            <w:pPr>
              <w:widowControl w:val="0"/>
              <w:spacing w:line="360" w:lineRule="auto"/>
              <w:ind w:left="2" w:hanging="2"/>
              <w:rPr>
                <w:sz w:val="24"/>
                <w:szCs w:val="24"/>
              </w:rPr>
            </w:pPr>
          </w:p>
          <w:p w14:paraId="5D255857" w14:textId="77777777" w:rsidR="0043736E" w:rsidRDefault="001F0277">
            <w:pPr>
              <w:widowControl w:val="0"/>
              <w:spacing w:line="360" w:lineRule="auto"/>
              <w:ind w:left="2" w:hanging="2"/>
              <w:rPr>
                <w:sz w:val="24"/>
                <w:szCs w:val="24"/>
              </w:rPr>
            </w:pPr>
            <w:r>
              <w:rPr>
                <w:sz w:val="24"/>
                <w:szCs w:val="24"/>
              </w:rPr>
              <w:t xml:space="preserve"> </w:t>
            </w:r>
            <w:r>
              <w:rPr>
                <w:b/>
                <w:sz w:val="24"/>
                <w:szCs w:val="24"/>
              </w:rPr>
              <w:t xml:space="preserve">Table 2. ROME IV criteria for Functional GB Disorder </w:t>
            </w:r>
          </w:p>
          <w:p w14:paraId="7CBAE807" w14:textId="77777777" w:rsidR="0043736E" w:rsidRDefault="001F0277">
            <w:pPr>
              <w:widowControl w:val="0"/>
              <w:spacing w:line="360" w:lineRule="auto"/>
              <w:ind w:left="2" w:hanging="2"/>
              <w:rPr>
                <w:sz w:val="24"/>
                <w:szCs w:val="24"/>
              </w:rPr>
            </w:pPr>
            <w:r>
              <w:rPr>
                <w:b/>
                <w:sz w:val="24"/>
                <w:szCs w:val="24"/>
              </w:rPr>
              <w:t xml:space="preserve">          </w:t>
            </w:r>
            <w:r>
              <w:rPr>
                <w:sz w:val="24"/>
                <w:szCs w:val="24"/>
              </w:rPr>
              <w:t>Must include all of the following:</w:t>
            </w:r>
          </w:p>
          <w:p w14:paraId="2964605C" w14:textId="77777777" w:rsidR="0043736E" w:rsidRDefault="001F0277">
            <w:pPr>
              <w:widowControl w:val="0"/>
              <w:spacing w:line="360" w:lineRule="auto"/>
              <w:ind w:left="2" w:hanging="2"/>
              <w:rPr>
                <w:sz w:val="24"/>
                <w:szCs w:val="24"/>
              </w:rPr>
            </w:pPr>
            <w:r>
              <w:rPr>
                <w:sz w:val="24"/>
                <w:szCs w:val="24"/>
              </w:rPr>
              <w:t xml:space="preserve">1) Criteria for biliary pain are met </w:t>
            </w:r>
            <w:r>
              <w:rPr>
                <w:b/>
                <w:sz w:val="24"/>
                <w:szCs w:val="24"/>
              </w:rPr>
              <w:t xml:space="preserve"> </w:t>
            </w:r>
          </w:p>
          <w:p w14:paraId="0AD1812B" w14:textId="6B09E2B3" w:rsidR="0043736E" w:rsidRDefault="001F0277">
            <w:pPr>
              <w:widowControl w:val="0"/>
              <w:spacing w:line="360" w:lineRule="auto"/>
              <w:ind w:left="2" w:hanging="2"/>
              <w:rPr>
                <w:sz w:val="24"/>
                <w:szCs w:val="24"/>
              </w:rPr>
            </w:pPr>
            <w:r>
              <w:rPr>
                <w:sz w:val="24"/>
                <w:szCs w:val="24"/>
              </w:rPr>
              <w:t xml:space="preserve">2) Absence of </w:t>
            </w:r>
            <w:r w:rsidR="00BA6AFB" w:rsidRPr="005D2F91">
              <w:rPr>
                <w:sz w:val="24"/>
                <w:szCs w:val="24"/>
                <w:highlight w:val="yellow"/>
              </w:rPr>
              <w:t>gallstones</w:t>
            </w:r>
            <w:r>
              <w:rPr>
                <w:sz w:val="24"/>
                <w:szCs w:val="24"/>
              </w:rPr>
              <w:t xml:space="preserve"> or other structural pathology.</w:t>
            </w:r>
          </w:p>
          <w:p w14:paraId="2254F6A3" w14:textId="77777777" w:rsidR="0043736E" w:rsidRDefault="001F0277">
            <w:pPr>
              <w:widowControl w:val="0"/>
              <w:spacing w:line="360" w:lineRule="auto"/>
              <w:ind w:left="2" w:hanging="2"/>
              <w:rPr>
                <w:sz w:val="24"/>
                <w:szCs w:val="24"/>
              </w:rPr>
            </w:pPr>
            <w:r>
              <w:rPr>
                <w:b/>
                <w:sz w:val="24"/>
                <w:szCs w:val="24"/>
              </w:rPr>
              <w:t>Supportive Criteria:</w:t>
            </w:r>
          </w:p>
          <w:p w14:paraId="30867E8B" w14:textId="77777777" w:rsidR="0043736E" w:rsidRDefault="001F0277">
            <w:pPr>
              <w:widowControl w:val="0"/>
              <w:spacing w:line="360" w:lineRule="auto"/>
              <w:ind w:left="2" w:hanging="2"/>
              <w:rPr>
                <w:sz w:val="24"/>
                <w:szCs w:val="24"/>
              </w:rPr>
            </w:pPr>
            <w:r>
              <w:rPr>
                <w:sz w:val="24"/>
                <w:szCs w:val="24"/>
              </w:rPr>
              <w:t>1) Low ejection fraction on gall bladder scintigraphy</w:t>
            </w:r>
          </w:p>
          <w:p w14:paraId="32B15E3B" w14:textId="77777777" w:rsidR="0043736E" w:rsidRDefault="001F0277">
            <w:pPr>
              <w:widowControl w:val="0"/>
              <w:spacing w:line="360" w:lineRule="auto"/>
              <w:ind w:left="2" w:hanging="2"/>
              <w:rPr>
                <w:sz w:val="24"/>
                <w:szCs w:val="24"/>
              </w:rPr>
            </w:pPr>
            <w:r>
              <w:rPr>
                <w:sz w:val="24"/>
                <w:szCs w:val="24"/>
              </w:rPr>
              <w:t xml:space="preserve">2) Normal liver enzymes, conjugated bilirubin, and amylase/ lipase. </w:t>
            </w:r>
            <w:r>
              <w:rPr>
                <w:sz w:val="24"/>
                <w:szCs w:val="24"/>
              </w:rPr>
              <w:br/>
            </w:r>
          </w:p>
        </w:tc>
      </w:tr>
    </w:tbl>
    <w:p w14:paraId="0D125CA8" w14:textId="24200754" w:rsidR="0043736E" w:rsidRDefault="001F0277">
      <w:pPr>
        <w:widowControl w:val="0"/>
        <w:spacing w:line="480" w:lineRule="auto"/>
        <w:ind w:left="2" w:hanging="2"/>
        <w:jc w:val="both"/>
        <w:rPr>
          <w:sz w:val="24"/>
          <w:szCs w:val="24"/>
        </w:rPr>
      </w:pPr>
      <w:r>
        <w:rPr>
          <w:sz w:val="24"/>
          <w:szCs w:val="24"/>
        </w:rPr>
        <w:lastRenderedPageBreak/>
        <w:t xml:space="preserve">A general approach to patients with epigastric or RUQ would be a detailed history, physical examination, ultrasonography, endoscopy &amp; lab evaluation. Abnormal findings could be dealt </w:t>
      </w:r>
      <w:r w:rsidR="00BA6AFB" w:rsidRPr="005D2F91">
        <w:rPr>
          <w:sz w:val="24"/>
          <w:szCs w:val="24"/>
          <w:highlight w:val="yellow"/>
        </w:rPr>
        <w:t xml:space="preserve">with </w:t>
      </w:r>
      <w:r>
        <w:rPr>
          <w:sz w:val="24"/>
          <w:szCs w:val="24"/>
        </w:rPr>
        <w:t>accordingly</w:t>
      </w:r>
      <w:r w:rsidR="00BA6AFB" w:rsidRPr="005D2F91">
        <w:rPr>
          <w:sz w:val="24"/>
          <w:szCs w:val="24"/>
          <w:highlight w:val="yellow"/>
        </w:rPr>
        <w:t>,</w:t>
      </w:r>
      <w:r w:rsidRPr="005D2F91">
        <w:rPr>
          <w:sz w:val="24"/>
          <w:szCs w:val="24"/>
          <w:highlight w:val="yellow"/>
        </w:rPr>
        <w:t xml:space="preserve"> </w:t>
      </w:r>
      <w:r>
        <w:rPr>
          <w:sz w:val="24"/>
          <w:szCs w:val="24"/>
        </w:rPr>
        <w:t xml:space="preserve">and the patients with </w:t>
      </w:r>
      <w:r w:rsidR="00BA6AFB" w:rsidRPr="005D2F91">
        <w:rPr>
          <w:sz w:val="24"/>
          <w:szCs w:val="24"/>
          <w:highlight w:val="yellow"/>
        </w:rPr>
        <w:t xml:space="preserve">a </w:t>
      </w:r>
      <w:r>
        <w:rPr>
          <w:sz w:val="24"/>
          <w:szCs w:val="24"/>
        </w:rPr>
        <w:t xml:space="preserve">negative </w:t>
      </w:r>
      <w:r w:rsidR="00BA6AFB" w:rsidRPr="005D2F91">
        <w:rPr>
          <w:sz w:val="24"/>
          <w:szCs w:val="24"/>
          <w:highlight w:val="yellow"/>
        </w:rPr>
        <w:t>workup</w:t>
      </w:r>
      <w:r w:rsidRPr="005D2F91">
        <w:rPr>
          <w:sz w:val="24"/>
          <w:szCs w:val="24"/>
          <w:highlight w:val="yellow"/>
        </w:rPr>
        <w:t xml:space="preserve"> </w:t>
      </w:r>
      <w:r>
        <w:rPr>
          <w:sz w:val="24"/>
          <w:szCs w:val="24"/>
        </w:rPr>
        <w:t>are subjected to gall bladder scintigraphy for evaluation of gall bladder ejection fraction (GBEF). On documentation of a low GBEF, adequate observation, reassessment and/or cholecystectomy is carried out based on symptom severity and clinical judgement</w:t>
      </w:r>
      <w:r>
        <w:rPr>
          <w:sz w:val="24"/>
          <w:szCs w:val="24"/>
          <w:vertAlign w:val="superscript"/>
        </w:rPr>
        <w:t>3</w:t>
      </w:r>
      <w:r>
        <w:rPr>
          <w:sz w:val="24"/>
          <w:szCs w:val="24"/>
        </w:rPr>
        <w:t xml:space="preserve">. </w:t>
      </w:r>
      <w:r w:rsidR="00BE7AD7" w:rsidRPr="005D2F91">
        <w:rPr>
          <w:sz w:val="24"/>
          <w:szCs w:val="24"/>
          <w:highlight w:val="yellow"/>
        </w:rPr>
        <w:t>Cholecystectomy remains a commonly applied treatment for BD, despite a lack of high-quality evidence supporting the practice</w:t>
      </w:r>
      <w:r w:rsidR="00BE7AD7" w:rsidRPr="005D2F91">
        <w:rPr>
          <w:sz w:val="24"/>
          <w:szCs w:val="24"/>
          <w:highlight w:val="yellow"/>
        </w:rPr>
        <w:t xml:space="preserve"> </w:t>
      </w:r>
      <w:r w:rsidR="00BE7AD7" w:rsidRPr="005D2F91">
        <w:rPr>
          <w:sz w:val="24"/>
          <w:szCs w:val="24"/>
          <w:highlight w:val="yellow"/>
        </w:rPr>
        <w:t>(Richmond &amp; Walker, 2021).</w:t>
      </w:r>
      <w:r w:rsidR="00BE7AD7" w:rsidRPr="00BE7AD7">
        <w:rPr>
          <w:sz w:val="24"/>
          <w:szCs w:val="24"/>
        </w:rPr>
        <w:t xml:space="preserve"> </w:t>
      </w:r>
      <w:r>
        <w:rPr>
          <w:sz w:val="24"/>
          <w:szCs w:val="24"/>
        </w:rPr>
        <w:t xml:space="preserve">There could be further evaluation for selected subjects or wherever essential in the form of endoscopic ultrasound (EUS), CT scan, MRCP or bile analysis for microlithiasis. </w:t>
      </w:r>
    </w:p>
    <w:p w14:paraId="14794577" w14:textId="7168F058" w:rsidR="0043736E" w:rsidRDefault="001F0277">
      <w:pPr>
        <w:widowControl w:val="0"/>
        <w:spacing w:line="480" w:lineRule="auto"/>
        <w:ind w:left="2" w:hanging="2"/>
        <w:jc w:val="both"/>
        <w:rPr>
          <w:sz w:val="24"/>
          <w:szCs w:val="24"/>
        </w:rPr>
      </w:pPr>
      <w:r>
        <w:rPr>
          <w:sz w:val="24"/>
          <w:szCs w:val="24"/>
        </w:rPr>
        <w:t>The testing of GB scintigraphy could also differ</w:t>
      </w:r>
      <w:r w:rsidR="00BA6AFB">
        <w:rPr>
          <w:sz w:val="24"/>
          <w:szCs w:val="24"/>
        </w:rPr>
        <w:t>,</w:t>
      </w:r>
      <w:r>
        <w:rPr>
          <w:sz w:val="24"/>
          <w:szCs w:val="24"/>
        </w:rPr>
        <w:t xml:space="preserve"> and it could be </w:t>
      </w:r>
      <w:r w:rsidR="00BA6AFB" w:rsidRPr="005D2F91">
        <w:rPr>
          <w:sz w:val="24"/>
          <w:szCs w:val="24"/>
          <w:highlight w:val="yellow"/>
        </w:rPr>
        <w:t xml:space="preserve">a </w:t>
      </w:r>
      <w:r>
        <w:rPr>
          <w:sz w:val="24"/>
          <w:szCs w:val="24"/>
        </w:rPr>
        <w:t xml:space="preserve">fatty </w:t>
      </w:r>
      <w:r w:rsidR="00BA6AFB" w:rsidRPr="005D2F91">
        <w:rPr>
          <w:sz w:val="24"/>
          <w:szCs w:val="24"/>
          <w:highlight w:val="yellow"/>
        </w:rPr>
        <w:t>meal-enhanced</w:t>
      </w:r>
      <w:r w:rsidRPr="005D2F91">
        <w:rPr>
          <w:sz w:val="24"/>
          <w:szCs w:val="24"/>
          <w:highlight w:val="yellow"/>
        </w:rPr>
        <w:t xml:space="preserve"> </w:t>
      </w:r>
      <w:r>
        <w:rPr>
          <w:sz w:val="24"/>
          <w:szCs w:val="24"/>
        </w:rPr>
        <w:t>HIDA scan or cholecystokinin (CCK) enhanced HIDA scan based on the local availability and practices. The validation of the tests and acceptance of abnormal values of GBEF range from &lt;35% to &lt; 65 % based on various studies</w:t>
      </w:r>
      <w:r w:rsidR="00BA6AFB">
        <w:rPr>
          <w:sz w:val="24"/>
          <w:szCs w:val="24"/>
        </w:rPr>
        <w:t>,</w:t>
      </w:r>
      <w:r>
        <w:rPr>
          <w:sz w:val="24"/>
          <w:szCs w:val="24"/>
        </w:rPr>
        <w:t xml:space="preserve"> and may add to the dilemma of </w:t>
      </w:r>
      <w:r w:rsidR="00BA6AFB" w:rsidRPr="005D2F91">
        <w:rPr>
          <w:sz w:val="24"/>
          <w:szCs w:val="24"/>
          <w:highlight w:val="yellow"/>
        </w:rPr>
        <w:t xml:space="preserve">the </w:t>
      </w:r>
      <w:r>
        <w:rPr>
          <w:sz w:val="24"/>
          <w:szCs w:val="24"/>
        </w:rPr>
        <w:t xml:space="preserve">clinical situation. </w:t>
      </w:r>
    </w:p>
    <w:p w14:paraId="0B6AB50F" w14:textId="757F2C72" w:rsidR="0043736E" w:rsidRDefault="001F0277">
      <w:pPr>
        <w:widowControl w:val="0"/>
        <w:spacing w:line="480" w:lineRule="auto"/>
        <w:ind w:left="2" w:hanging="2"/>
        <w:jc w:val="both"/>
        <w:rPr>
          <w:sz w:val="24"/>
          <w:szCs w:val="24"/>
        </w:rPr>
      </w:pPr>
      <w:r>
        <w:rPr>
          <w:sz w:val="24"/>
          <w:szCs w:val="24"/>
        </w:rPr>
        <w:t xml:space="preserve">The society of nuclear medicine practice guidelines for hepatobiliary scintigraphy have been published for the determination of </w:t>
      </w:r>
      <w:proofErr w:type="gramStart"/>
      <w:r>
        <w:rPr>
          <w:sz w:val="24"/>
          <w:szCs w:val="24"/>
        </w:rPr>
        <w:t>GBEF,  table</w:t>
      </w:r>
      <w:proofErr w:type="gramEnd"/>
      <w:r>
        <w:rPr>
          <w:sz w:val="24"/>
          <w:szCs w:val="24"/>
        </w:rPr>
        <w:t xml:space="preserve"> no. 3 </w:t>
      </w:r>
      <w:proofErr w:type="spellStart"/>
      <w:r w:rsidR="00BA6AFB" w:rsidRPr="005D2F91">
        <w:rPr>
          <w:sz w:val="24"/>
          <w:szCs w:val="24"/>
          <w:highlight w:val="yellow"/>
        </w:rPr>
        <w:t>summarises</w:t>
      </w:r>
      <w:proofErr w:type="spellEnd"/>
      <w:r w:rsidR="00BA6AFB" w:rsidRPr="005D2F91">
        <w:rPr>
          <w:sz w:val="24"/>
          <w:szCs w:val="24"/>
          <w:highlight w:val="yellow"/>
        </w:rPr>
        <w:t xml:space="preserve"> </w:t>
      </w:r>
      <w:r>
        <w:rPr>
          <w:sz w:val="24"/>
          <w:szCs w:val="24"/>
        </w:rPr>
        <w:t xml:space="preserve">these </w:t>
      </w:r>
      <w:r w:rsidR="00BA6AFB" w:rsidRPr="005D2F91">
        <w:rPr>
          <w:sz w:val="24"/>
          <w:szCs w:val="24"/>
          <w:highlight w:val="yellow"/>
        </w:rPr>
        <w:t>guidelines</w:t>
      </w:r>
      <w:r>
        <w:rPr>
          <w:sz w:val="24"/>
          <w:szCs w:val="24"/>
        </w:rPr>
        <w:t>.</w:t>
      </w:r>
    </w:p>
    <w:p w14:paraId="17B0B739" w14:textId="77777777" w:rsidR="0043736E" w:rsidRDefault="0043736E">
      <w:pPr>
        <w:widowControl w:val="0"/>
        <w:spacing w:line="480" w:lineRule="auto"/>
        <w:ind w:left="2" w:hanging="2"/>
        <w:jc w:val="both"/>
        <w:rPr>
          <w:sz w:val="24"/>
          <w:szCs w:val="24"/>
        </w:rPr>
      </w:pPr>
    </w:p>
    <w:p w14:paraId="7171D714" w14:textId="77777777" w:rsidR="0043736E" w:rsidRDefault="0043736E">
      <w:pPr>
        <w:widowControl w:val="0"/>
        <w:spacing w:line="480" w:lineRule="auto"/>
        <w:ind w:left="2" w:hanging="2"/>
        <w:jc w:val="both"/>
        <w:rPr>
          <w:sz w:val="24"/>
          <w:szCs w:val="24"/>
        </w:rPr>
      </w:pPr>
    </w:p>
    <w:p w14:paraId="3754FE25" w14:textId="77777777" w:rsidR="0043736E" w:rsidRDefault="0043736E">
      <w:pPr>
        <w:widowControl w:val="0"/>
        <w:spacing w:line="480" w:lineRule="auto"/>
        <w:ind w:left="2" w:hanging="2"/>
        <w:jc w:val="both"/>
        <w:rPr>
          <w:sz w:val="24"/>
          <w:szCs w:val="24"/>
        </w:rPr>
      </w:pPr>
    </w:p>
    <w:p w14:paraId="52A6B03A" w14:textId="77777777" w:rsidR="0043736E" w:rsidRDefault="0043736E">
      <w:pPr>
        <w:widowControl w:val="0"/>
        <w:spacing w:line="480" w:lineRule="auto"/>
        <w:ind w:left="2" w:hanging="2"/>
        <w:jc w:val="both"/>
        <w:rPr>
          <w:sz w:val="24"/>
          <w:szCs w:val="24"/>
        </w:rPr>
      </w:pPr>
    </w:p>
    <w:p w14:paraId="5FC3724A" w14:textId="77777777" w:rsidR="0043736E" w:rsidRDefault="0043736E">
      <w:pPr>
        <w:widowControl w:val="0"/>
        <w:spacing w:line="480" w:lineRule="auto"/>
        <w:ind w:left="2" w:hanging="2"/>
        <w:jc w:val="both"/>
        <w:rPr>
          <w:sz w:val="24"/>
          <w:szCs w:val="24"/>
        </w:rPr>
      </w:pPr>
    </w:p>
    <w:p w14:paraId="68047D30" w14:textId="77777777" w:rsidR="0043736E" w:rsidRDefault="0043736E">
      <w:pPr>
        <w:widowControl w:val="0"/>
        <w:spacing w:line="480" w:lineRule="auto"/>
        <w:ind w:firstLineChars="0" w:firstLine="0"/>
        <w:jc w:val="both"/>
        <w:rPr>
          <w:sz w:val="24"/>
          <w:szCs w:val="24"/>
        </w:rPr>
      </w:pPr>
    </w:p>
    <w:p w14:paraId="0F438164" w14:textId="77777777" w:rsidR="0043736E" w:rsidRDefault="0043736E">
      <w:pPr>
        <w:widowControl w:val="0"/>
        <w:spacing w:line="480" w:lineRule="auto"/>
        <w:ind w:firstLineChars="0" w:firstLine="0"/>
        <w:jc w:val="both"/>
        <w:rPr>
          <w:sz w:val="24"/>
          <w:szCs w:val="24"/>
        </w:rPr>
      </w:pPr>
    </w:p>
    <w:p w14:paraId="2BC7A2D6" w14:textId="77777777" w:rsidR="0043736E" w:rsidRDefault="0043736E">
      <w:pPr>
        <w:widowControl w:val="0"/>
        <w:spacing w:line="480" w:lineRule="auto"/>
        <w:ind w:left="2" w:hanging="2"/>
        <w:jc w:val="both"/>
        <w:rPr>
          <w:sz w:val="24"/>
          <w:szCs w:val="24"/>
        </w:rPr>
      </w:pPr>
    </w:p>
    <w:tbl>
      <w:tblPr>
        <w:tblW w:w="8522" w:type="dxa"/>
        <w:tblInd w:w="-108" w:type="dxa"/>
        <w:tblLayout w:type="fixed"/>
        <w:tblLook w:val="04A0" w:firstRow="1" w:lastRow="0" w:firstColumn="1" w:lastColumn="0" w:noHBand="0" w:noVBand="1"/>
      </w:tblPr>
      <w:tblGrid>
        <w:gridCol w:w="8522"/>
      </w:tblGrid>
      <w:tr w:rsidR="0043736E" w14:paraId="3261DB27" w14:textId="77777777">
        <w:trPr>
          <w:trHeight w:val="1"/>
        </w:trPr>
        <w:tc>
          <w:tcPr>
            <w:tcW w:w="8522" w:type="dxa"/>
            <w:tcBorders>
              <w:top w:val="single" w:sz="4" w:space="0" w:color="000000"/>
              <w:left w:val="single" w:sz="4" w:space="0" w:color="000000"/>
              <w:bottom w:val="single" w:sz="4" w:space="0" w:color="000000"/>
              <w:right w:val="single" w:sz="4" w:space="0" w:color="000000"/>
            </w:tcBorders>
            <w:shd w:val="clear" w:color="auto" w:fill="FFFFFF"/>
          </w:tcPr>
          <w:p w14:paraId="24BEA67D" w14:textId="77777777" w:rsidR="0043736E" w:rsidRDefault="001F0277">
            <w:pPr>
              <w:widowControl w:val="0"/>
              <w:spacing w:line="360" w:lineRule="auto"/>
              <w:ind w:left="2" w:hanging="2"/>
              <w:rPr>
                <w:sz w:val="24"/>
                <w:szCs w:val="24"/>
              </w:rPr>
            </w:pPr>
            <w:r>
              <w:rPr>
                <w:b/>
                <w:sz w:val="24"/>
                <w:szCs w:val="24"/>
              </w:rPr>
              <w:t>Table No. 3:  SNM guidelines for GBEF</w:t>
            </w:r>
            <w:r>
              <w:rPr>
                <w:b/>
                <w:sz w:val="24"/>
                <w:szCs w:val="24"/>
                <w:vertAlign w:val="superscript"/>
              </w:rPr>
              <w:t>4</w:t>
            </w:r>
            <w:r>
              <w:rPr>
                <w:b/>
                <w:sz w:val="24"/>
                <w:szCs w:val="24"/>
              </w:rPr>
              <w:t xml:space="preserve"> </w:t>
            </w:r>
          </w:p>
          <w:p w14:paraId="4105CC79" w14:textId="0128D08D" w:rsidR="0043736E" w:rsidRDefault="00BA6AFB">
            <w:pPr>
              <w:widowControl w:val="0"/>
              <w:tabs>
                <w:tab w:val="left" w:pos="420"/>
              </w:tabs>
              <w:spacing w:line="360" w:lineRule="auto"/>
              <w:ind w:left="2" w:hanging="2"/>
              <w:jc w:val="both"/>
              <w:rPr>
                <w:sz w:val="24"/>
                <w:szCs w:val="24"/>
              </w:rPr>
            </w:pPr>
            <w:r w:rsidRPr="005D2F91">
              <w:rPr>
                <w:sz w:val="24"/>
                <w:szCs w:val="24"/>
                <w:highlight w:val="yellow"/>
              </w:rPr>
              <w:t>The study</w:t>
            </w:r>
            <w:r w:rsidRPr="005D2F91">
              <w:rPr>
                <w:sz w:val="24"/>
                <w:szCs w:val="24"/>
                <w:highlight w:val="yellow"/>
              </w:rPr>
              <w:t xml:space="preserve"> </w:t>
            </w:r>
            <w:r w:rsidR="001F0277">
              <w:rPr>
                <w:sz w:val="24"/>
                <w:szCs w:val="24"/>
              </w:rPr>
              <w:t xml:space="preserve">should be performed ideally as </w:t>
            </w:r>
            <w:r w:rsidRPr="005D2F91">
              <w:rPr>
                <w:sz w:val="24"/>
                <w:szCs w:val="24"/>
                <w:highlight w:val="yellow"/>
              </w:rPr>
              <w:t xml:space="preserve">an </w:t>
            </w:r>
            <w:r w:rsidR="001F0277">
              <w:rPr>
                <w:sz w:val="24"/>
                <w:szCs w:val="24"/>
              </w:rPr>
              <w:t xml:space="preserve">outpatient in a </w:t>
            </w:r>
            <w:r w:rsidRPr="005D2F91">
              <w:rPr>
                <w:sz w:val="24"/>
                <w:szCs w:val="24"/>
                <w:highlight w:val="yellow"/>
              </w:rPr>
              <w:t>non-sick</w:t>
            </w:r>
            <w:r w:rsidR="001F0277" w:rsidRPr="005D2F91">
              <w:rPr>
                <w:sz w:val="24"/>
                <w:szCs w:val="24"/>
                <w:highlight w:val="yellow"/>
              </w:rPr>
              <w:t xml:space="preserve"> </w:t>
            </w:r>
            <w:r w:rsidR="001F0277">
              <w:rPr>
                <w:sz w:val="24"/>
                <w:szCs w:val="24"/>
              </w:rPr>
              <w:t xml:space="preserve">patient </w:t>
            </w:r>
          </w:p>
          <w:p w14:paraId="1682073D" w14:textId="77777777" w:rsidR="0043736E" w:rsidRDefault="001F0277">
            <w:pPr>
              <w:widowControl w:val="0"/>
              <w:tabs>
                <w:tab w:val="left" w:pos="420"/>
              </w:tabs>
              <w:spacing w:line="360" w:lineRule="auto"/>
              <w:ind w:left="2" w:hanging="2"/>
              <w:jc w:val="both"/>
              <w:rPr>
                <w:sz w:val="24"/>
                <w:szCs w:val="24"/>
              </w:rPr>
            </w:pPr>
            <w:r>
              <w:rPr>
                <w:sz w:val="24"/>
                <w:szCs w:val="24"/>
              </w:rPr>
              <w:t>Nothing by mouth 4-6 hours prior to study</w:t>
            </w:r>
          </w:p>
          <w:p w14:paraId="155C7B5D" w14:textId="77777777" w:rsidR="0043736E" w:rsidRDefault="001F0277">
            <w:pPr>
              <w:widowControl w:val="0"/>
              <w:tabs>
                <w:tab w:val="left" w:pos="420"/>
              </w:tabs>
              <w:spacing w:line="360" w:lineRule="auto"/>
              <w:ind w:left="2" w:hanging="2"/>
              <w:jc w:val="both"/>
              <w:rPr>
                <w:sz w:val="24"/>
                <w:szCs w:val="24"/>
              </w:rPr>
            </w:pPr>
            <w:r>
              <w:rPr>
                <w:sz w:val="24"/>
                <w:szCs w:val="24"/>
              </w:rPr>
              <w:t>No opiates 6 hours prior to study</w:t>
            </w:r>
          </w:p>
          <w:p w14:paraId="17F56E36" w14:textId="15D55D5C" w:rsidR="0043736E" w:rsidRDefault="001F0277">
            <w:pPr>
              <w:widowControl w:val="0"/>
              <w:tabs>
                <w:tab w:val="left" w:pos="420"/>
              </w:tabs>
              <w:spacing w:line="360" w:lineRule="auto"/>
              <w:ind w:left="2" w:hanging="2"/>
              <w:jc w:val="both"/>
              <w:rPr>
                <w:sz w:val="24"/>
                <w:szCs w:val="24"/>
              </w:rPr>
            </w:pPr>
            <w:r>
              <w:rPr>
                <w:sz w:val="24"/>
                <w:szCs w:val="24"/>
              </w:rPr>
              <w:t>Drugs to be withheld (which inhibit GB contraction</w:t>
            </w:r>
            <w:r w:rsidR="00BA6AFB" w:rsidRPr="005D2F91">
              <w:rPr>
                <w:sz w:val="24"/>
                <w:szCs w:val="24"/>
                <w:highlight w:val="yellow"/>
              </w:rPr>
              <w:t>)</w:t>
            </w:r>
            <w:r w:rsidR="00BA6AFB" w:rsidRPr="005D2F91">
              <w:rPr>
                <w:sz w:val="24"/>
                <w:szCs w:val="24"/>
                <w:highlight w:val="yellow"/>
              </w:rPr>
              <w:t>:</w:t>
            </w:r>
            <w:r w:rsidR="00BA6AFB" w:rsidRPr="005D2F91">
              <w:rPr>
                <w:sz w:val="24"/>
                <w:szCs w:val="24"/>
                <w:highlight w:val="yellow"/>
              </w:rPr>
              <w:t xml:space="preserve"> </w:t>
            </w:r>
            <w:r>
              <w:rPr>
                <w:sz w:val="24"/>
                <w:szCs w:val="24"/>
              </w:rPr>
              <w:t>Atropine, calcium channel blockers, octreotide, progesterone, indomethacin, theophylline, benzodiazepines, H</w:t>
            </w:r>
            <w:r>
              <w:rPr>
                <w:sz w:val="24"/>
                <w:szCs w:val="24"/>
                <w:vertAlign w:val="subscript"/>
              </w:rPr>
              <w:t xml:space="preserve">2 </w:t>
            </w:r>
            <w:r>
              <w:rPr>
                <w:sz w:val="24"/>
                <w:szCs w:val="24"/>
              </w:rPr>
              <w:t>receptor antagonists.</w:t>
            </w:r>
          </w:p>
          <w:p w14:paraId="3D91D5C6" w14:textId="46557F03" w:rsidR="0043736E" w:rsidRDefault="001F0277">
            <w:pPr>
              <w:widowControl w:val="0"/>
              <w:tabs>
                <w:tab w:val="left" w:pos="420"/>
              </w:tabs>
              <w:spacing w:line="360" w:lineRule="auto"/>
              <w:ind w:left="2" w:hanging="2"/>
              <w:jc w:val="both"/>
              <w:rPr>
                <w:sz w:val="24"/>
                <w:szCs w:val="24"/>
              </w:rPr>
            </w:pPr>
            <w:r>
              <w:rPr>
                <w:sz w:val="24"/>
                <w:szCs w:val="24"/>
              </w:rPr>
              <w:t xml:space="preserve">Tc-99m mebrofenin or </w:t>
            </w:r>
            <w:proofErr w:type="spellStart"/>
            <w:r>
              <w:rPr>
                <w:sz w:val="24"/>
                <w:szCs w:val="24"/>
              </w:rPr>
              <w:t>disofenin</w:t>
            </w:r>
            <w:proofErr w:type="spellEnd"/>
            <w:r>
              <w:rPr>
                <w:sz w:val="24"/>
                <w:szCs w:val="24"/>
              </w:rPr>
              <w:t>, 3-5 mci</w:t>
            </w:r>
            <w:r w:rsidR="00BA6AFB">
              <w:rPr>
                <w:sz w:val="24"/>
                <w:szCs w:val="24"/>
              </w:rPr>
              <w:t>,</w:t>
            </w:r>
            <w:r>
              <w:rPr>
                <w:sz w:val="24"/>
                <w:szCs w:val="24"/>
              </w:rPr>
              <w:t xml:space="preserve"> is injected IV while the patient lies under the gamma camera</w:t>
            </w:r>
          </w:p>
          <w:p w14:paraId="1EC2E3B3" w14:textId="77777777" w:rsidR="0043736E" w:rsidRDefault="001F0277">
            <w:pPr>
              <w:widowControl w:val="0"/>
              <w:tabs>
                <w:tab w:val="left" w:pos="420"/>
              </w:tabs>
              <w:spacing w:line="360" w:lineRule="auto"/>
              <w:ind w:left="2" w:hanging="2"/>
              <w:jc w:val="both"/>
              <w:rPr>
                <w:sz w:val="24"/>
                <w:szCs w:val="24"/>
              </w:rPr>
            </w:pPr>
            <w:r>
              <w:rPr>
                <w:sz w:val="24"/>
                <w:szCs w:val="24"/>
              </w:rPr>
              <w:t>Image acquisition over 60 minutes</w:t>
            </w:r>
          </w:p>
          <w:p w14:paraId="35A60A8B" w14:textId="7DE4C701" w:rsidR="0043736E" w:rsidRDefault="001F0277">
            <w:pPr>
              <w:widowControl w:val="0"/>
              <w:tabs>
                <w:tab w:val="left" w:pos="420"/>
              </w:tabs>
              <w:spacing w:line="360" w:lineRule="auto"/>
              <w:ind w:left="2" w:hanging="2"/>
              <w:jc w:val="both"/>
              <w:rPr>
                <w:sz w:val="24"/>
                <w:szCs w:val="24"/>
              </w:rPr>
            </w:pPr>
            <w:r>
              <w:rPr>
                <w:sz w:val="24"/>
                <w:szCs w:val="24"/>
              </w:rPr>
              <w:t xml:space="preserve">If GB fills, </w:t>
            </w:r>
            <w:proofErr w:type="spellStart"/>
            <w:r>
              <w:rPr>
                <w:sz w:val="24"/>
                <w:szCs w:val="24"/>
              </w:rPr>
              <w:t>sincalide</w:t>
            </w:r>
            <w:proofErr w:type="spellEnd"/>
            <w:r>
              <w:rPr>
                <w:sz w:val="24"/>
                <w:szCs w:val="24"/>
              </w:rPr>
              <w:t xml:space="preserve"> (CCK) 0.02 µg/kg is infused at a slow rate over 60 minutes</w:t>
            </w:r>
            <w:r w:rsidR="00BA6AFB">
              <w:rPr>
                <w:sz w:val="24"/>
                <w:szCs w:val="24"/>
              </w:rPr>
              <w:t>,</w:t>
            </w:r>
            <w:r>
              <w:rPr>
                <w:sz w:val="24"/>
                <w:szCs w:val="24"/>
              </w:rPr>
              <w:t xml:space="preserve"> with images acquired during the same period.</w:t>
            </w:r>
          </w:p>
          <w:p w14:paraId="3DEF3908" w14:textId="356B4560" w:rsidR="0043736E" w:rsidRDefault="00BA6AFB">
            <w:pPr>
              <w:widowControl w:val="0"/>
              <w:tabs>
                <w:tab w:val="left" w:pos="420"/>
              </w:tabs>
              <w:spacing w:line="360" w:lineRule="auto"/>
              <w:ind w:left="2" w:hanging="2"/>
              <w:jc w:val="both"/>
              <w:rPr>
                <w:sz w:val="24"/>
                <w:szCs w:val="24"/>
              </w:rPr>
            </w:pPr>
            <w:r w:rsidRPr="005D2F91">
              <w:rPr>
                <w:sz w:val="24"/>
                <w:szCs w:val="24"/>
                <w:highlight w:val="yellow"/>
              </w:rPr>
              <w:t>The region</w:t>
            </w:r>
            <w:r w:rsidRPr="005D2F91">
              <w:rPr>
                <w:sz w:val="24"/>
                <w:szCs w:val="24"/>
                <w:highlight w:val="yellow"/>
              </w:rPr>
              <w:t xml:space="preserve"> </w:t>
            </w:r>
            <w:r w:rsidR="001F0277">
              <w:rPr>
                <w:sz w:val="24"/>
                <w:szCs w:val="24"/>
              </w:rPr>
              <w:t xml:space="preserve">of interest is drawn on </w:t>
            </w:r>
            <w:r w:rsidRPr="005D2F91">
              <w:rPr>
                <w:sz w:val="24"/>
                <w:szCs w:val="24"/>
                <w:highlight w:val="yellow"/>
              </w:rPr>
              <w:t>a</w:t>
            </w:r>
            <w:r>
              <w:rPr>
                <w:sz w:val="24"/>
                <w:szCs w:val="24"/>
              </w:rPr>
              <w:t xml:space="preserve"> </w:t>
            </w:r>
            <w:r w:rsidR="001F0277">
              <w:rPr>
                <w:sz w:val="24"/>
                <w:szCs w:val="24"/>
              </w:rPr>
              <w:t>computer around GB</w:t>
            </w:r>
          </w:p>
          <w:p w14:paraId="1D6BCD23" w14:textId="77777777" w:rsidR="0043736E" w:rsidRDefault="001F0277">
            <w:pPr>
              <w:widowControl w:val="0"/>
              <w:tabs>
                <w:tab w:val="left" w:pos="420"/>
              </w:tabs>
              <w:spacing w:line="240" w:lineRule="auto"/>
              <w:ind w:left="2" w:hanging="2"/>
              <w:rPr>
                <w:sz w:val="24"/>
                <w:szCs w:val="24"/>
              </w:rPr>
            </w:pPr>
            <w:r>
              <w:rPr>
                <w:sz w:val="24"/>
                <w:szCs w:val="24"/>
              </w:rPr>
              <w:t>GBEF % =  GB counts (maximum) - GB counts (minimum)  x 100</w:t>
            </w:r>
            <w:r w:rsidR="00000000">
              <w:pict w14:anchorId="65E6E01D">
                <v:shapetype id="_x0000_t32" coordsize="21600,21600" o:spt="32" o:oned="t" path="m,l21600,21600e" filled="f">
                  <v:path arrowok="t" fillok="f" o:connecttype="none"/>
                  <o:lock v:ext="edit" shapetype="t"/>
                </v:shapetype>
                <v:shape id="Straight Connector 1025" o:spid="_x0000_s2050" type="#_x0000_t32" style="position:absolute;left:0;text-align:left;margin-left:106pt;margin-top:15pt;width:.05pt;height:1pt;z-index:1;mso-position-horizontal-relative:text;mso-position-vertical-relative:text" o:preferrelative="t" filled="t">
                  <v:stroke miterlimit="2"/>
                </v:shape>
              </w:pict>
            </w:r>
          </w:p>
          <w:p w14:paraId="4BA97A67" w14:textId="77777777" w:rsidR="0043736E" w:rsidRDefault="001F0277">
            <w:pPr>
              <w:widowControl w:val="0"/>
              <w:spacing w:line="240" w:lineRule="auto"/>
              <w:ind w:left="2" w:hanging="2"/>
              <w:jc w:val="both"/>
              <w:rPr>
                <w:sz w:val="24"/>
                <w:szCs w:val="24"/>
              </w:rPr>
            </w:pPr>
            <w:r>
              <w:rPr>
                <w:sz w:val="24"/>
                <w:szCs w:val="24"/>
              </w:rPr>
              <w:t xml:space="preserve">GB counts (maximum) </w:t>
            </w:r>
          </w:p>
          <w:p w14:paraId="3FC98E38" w14:textId="77777777" w:rsidR="0043736E" w:rsidRDefault="001F0277">
            <w:pPr>
              <w:widowControl w:val="0"/>
              <w:tabs>
                <w:tab w:val="left" w:pos="420"/>
              </w:tabs>
              <w:spacing w:line="360" w:lineRule="auto"/>
              <w:ind w:left="2" w:hanging="2"/>
              <w:rPr>
                <w:sz w:val="24"/>
                <w:szCs w:val="24"/>
              </w:rPr>
            </w:pPr>
            <w:r>
              <w:rPr>
                <w:sz w:val="24"/>
                <w:szCs w:val="24"/>
              </w:rPr>
              <w:t>Abnormal GBEF is less than 38%</w:t>
            </w:r>
          </w:p>
        </w:tc>
      </w:tr>
    </w:tbl>
    <w:p w14:paraId="6F2134B7" w14:textId="77777777" w:rsidR="0043736E" w:rsidRDefault="0043736E">
      <w:pPr>
        <w:widowControl w:val="0"/>
        <w:spacing w:line="480" w:lineRule="auto"/>
        <w:ind w:left="2" w:hanging="2"/>
        <w:rPr>
          <w:sz w:val="24"/>
          <w:szCs w:val="24"/>
        </w:rPr>
      </w:pPr>
    </w:p>
    <w:p w14:paraId="67F0509B" w14:textId="3A3EA4DB" w:rsidR="0043736E" w:rsidRDefault="001F0277">
      <w:pPr>
        <w:widowControl w:val="0"/>
        <w:spacing w:line="480" w:lineRule="auto"/>
        <w:ind w:left="2" w:hanging="2"/>
        <w:jc w:val="both"/>
        <w:rPr>
          <w:sz w:val="24"/>
          <w:szCs w:val="24"/>
        </w:rPr>
      </w:pPr>
      <w:r>
        <w:rPr>
          <w:sz w:val="24"/>
          <w:szCs w:val="24"/>
        </w:rPr>
        <w:t xml:space="preserve">The problem with the </w:t>
      </w:r>
      <w:r w:rsidR="00BA6AFB" w:rsidRPr="005D2F91">
        <w:rPr>
          <w:sz w:val="24"/>
          <w:szCs w:val="24"/>
          <w:highlight w:val="yellow"/>
        </w:rPr>
        <w:t>CCK-HIDA</w:t>
      </w:r>
      <w:r w:rsidRPr="005D2F91">
        <w:rPr>
          <w:sz w:val="24"/>
          <w:szCs w:val="24"/>
          <w:highlight w:val="yellow"/>
        </w:rPr>
        <w:t xml:space="preserve"> </w:t>
      </w:r>
      <w:r>
        <w:rPr>
          <w:sz w:val="24"/>
          <w:szCs w:val="24"/>
        </w:rPr>
        <w:t>scan is the cost of CCK</w:t>
      </w:r>
      <w:r w:rsidR="00BA6AFB">
        <w:rPr>
          <w:sz w:val="24"/>
          <w:szCs w:val="24"/>
        </w:rPr>
        <w:t>,</w:t>
      </w:r>
      <w:r>
        <w:rPr>
          <w:sz w:val="24"/>
          <w:szCs w:val="24"/>
        </w:rPr>
        <w:t xml:space="preserve"> which may be </w:t>
      </w:r>
      <w:r w:rsidR="00BA6AFB" w:rsidRPr="005D2F91">
        <w:rPr>
          <w:sz w:val="24"/>
          <w:szCs w:val="24"/>
          <w:highlight w:val="yellow"/>
        </w:rPr>
        <w:t>up to</w:t>
      </w:r>
      <w:r>
        <w:rPr>
          <w:sz w:val="24"/>
          <w:szCs w:val="24"/>
        </w:rPr>
        <w:t xml:space="preserve"> 1000 dollars per test, making it prohibitively expensive. Flick et al suggested that stimulation of GB contraction with a fatty meal during HIDA scan is </w:t>
      </w:r>
      <w:r w:rsidR="00BA6AFB" w:rsidRPr="005D2F91">
        <w:rPr>
          <w:sz w:val="24"/>
          <w:szCs w:val="24"/>
          <w:highlight w:val="yellow"/>
        </w:rPr>
        <w:t xml:space="preserve">a </w:t>
      </w:r>
      <w:r>
        <w:rPr>
          <w:sz w:val="24"/>
          <w:szCs w:val="24"/>
        </w:rPr>
        <w:t>more affordable and reliable alternative to cholecystokinin for patients undergoing evaluation for GB dysmotility.</w:t>
      </w:r>
      <w:r>
        <w:rPr>
          <w:sz w:val="24"/>
          <w:szCs w:val="24"/>
          <w:vertAlign w:val="superscript"/>
        </w:rPr>
        <w:t>5</w:t>
      </w:r>
      <w:r>
        <w:rPr>
          <w:sz w:val="24"/>
          <w:szCs w:val="24"/>
        </w:rPr>
        <w:t xml:space="preserve"> Majority of the </w:t>
      </w:r>
      <w:proofErr w:type="spellStart"/>
      <w:r w:rsidR="00BA6AFB" w:rsidRPr="005D2F91">
        <w:rPr>
          <w:sz w:val="24"/>
          <w:szCs w:val="24"/>
          <w:highlight w:val="yellow"/>
        </w:rPr>
        <w:t>centres</w:t>
      </w:r>
      <w:proofErr w:type="spellEnd"/>
      <w:r w:rsidR="00BA6AFB" w:rsidRPr="005D2F91">
        <w:rPr>
          <w:sz w:val="24"/>
          <w:szCs w:val="24"/>
          <w:highlight w:val="yellow"/>
        </w:rPr>
        <w:t xml:space="preserve"> </w:t>
      </w:r>
      <w:r>
        <w:rPr>
          <w:sz w:val="24"/>
          <w:szCs w:val="24"/>
        </w:rPr>
        <w:t xml:space="preserve">in India use fatty </w:t>
      </w:r>
      <w:r w:rsidR="00BA6AFB" w:rsidRPr="005D2F91">
        <w:rPr>
          <w:sz w:val="24"/>
          <w:szCs w:val="24"/>
          <w:highlight w:val="yellow"/>
        </w:rPr>
        <w:t>meal-stimulated</w:t>
      </w:r>
      <w:r w:rsidRPr="005D2F91">
        <w:rPr>
          <w:sz w:val="24"/>
          <w:szCs w:val="24"/>
          <w:highlight w:val="yellow"/>
        </w:rPr>
        <w:t xml:space="preserve"> </w:t>
      </w:r>
      <w:r>
        <w:rPr>
          <w:sz w:val="24"/>
          <w:szCs w:val="24"/>
        </w:rPr>
        <w:t>GB scintigraphy in view of the very high cost of cholecystokinin.</w:t>
      </w:r>
    </w:p>
    <w:p w14:paraId="09513B87" w14:textId="77777777" w:rsidR="0043736E" w:rsidRDefault="0043736E">
      <w:pPr>
        <w:widowControl w:val="0"/>
        <w:spacing w:line="480" w:lineRule="auto"/>
        <w:ind w:left="2" w:hanging="2"/>
        <w:jc w:val="both"/>
        <w:rPr>
          <w:b/>
          <w:sz w:val="24"/>
          <w:szCs w:val="24"/>
        </w:rPr>
      </w:pPr>
    </w:p>
    <w:p w14:paraId="0C656F21" w14:textId="77777777" w:rsidR="0043736E" w:rsidRDefault="0043736E">
      <w:pPr>
        <w:widowControl w:val="0"/>
        <w:spacing w:line="480" w:lineRule="auto"/>
        <w:ind w:left="2" w:hanging="2"/>
        <w:jc w:val="both"/>
        <w:rPr>
          <w:b/>
          <w:sz w:val="24"/>
          <w:szCs w:val="24"/>
        </w:rPr>
      </w:pPr>
    </w:p>
    <w:p w14:paraId="2A650A99" w14:textId="77777777" w:rsidR="0043736E" w:rsidRDefault="001F0277">
      <w:pPr>
        <w:widowControl w:val="0"/>
        <w:spacing w:line="480" w:lineRule="auto"/>
        <w:ind w:left="2" w:hanging="2"/>
        <w:jc w:val="both"/>
        <w:rPr>
          <w:sz w:val="24"/>
          <w:szCs w:val="24"/>
        </w:rPr>
      </w:pPr>
      <w:r>
        <w:rPr>
          <w:b/>
          <w:sz w:val="24"/>
          <w:szCs w:val="24"/>
        </w:rPr>
        <w:t>Materials and Methods</w:t>
      </w:r>
    </w:p>
    <w:p w14:paraId="01545F9C" w14:textId="77777777" w:rsidR="0043736E" w:rsidRDefault="001F0277">
      <w:pPr>
        <w:widowControl w:val="0"/>
        <w:spacing w:line="480" w:lineRule="auto"/>
        <w:ind w:left="2" w:hanging="2"/>
        <w:rPr>
          <w:sz w:val="24"/>
          <w:szCs w:val="24"/>
        </w:rPr>
      </w:pPr>
      <w:r>
        <w:rPr>
          <w:b/>
          <w:sz w:val="24"/>
          <w:szCs w:val="24"/>
        </w:rPr>
        <w:t>1) Patient selection:</w:t>
      </w:r>
    </w:p>
    <w:p w14:paraId="1CE496DA" w14:textId="16249714" w:rsidR="0043736E" w:rsidRDefault="001F0277">
      <w:pPr>
        <w:widowControl w:val="0"/>
        <w:spacing w:line="480" w:lineRule="auto"/>
        <w:ind w:left="2" w:hanging="2"/>
        <w:jc w:val="both"/>
        <w:rPr>
          <w:sz w:val="24"/>
          <w:szCs w:val="24"/>
        </w:rPr>
      </w:pPr>
      <w:r>
        <w:rPr>
          <w:sz w:val="24"/>
          <w:szCs w:val="24"/>
        </w:rPr>
        <w:t xml:space="preserve">116 subjects with RUQ pain who underwent biliary scintigraphy were </w:t>
      </w:r>
      <w:proofErr w:type="spellStart"/>
      <w:r w:rsidR="00BA6AFB" w:rsidRPr="005D2F91">
        <w:rPr>
          <w:sz w:val="24"/>
          <w:szCs w:val="24"/>
          <w:highlight w:val="yellow"/>
        </w:rPr>
        <w:t>analysed</w:t>
      </w:r>
      <w:proofErr w:type="spellEnd"/>
      <w:r>
        <w:rPr>
          <w:sz w:val="24"/>
          <w:szCs w:val="24"/>
        </w:rPr>
        <w:t xml:space="preserve">. The criteria for undergoing the test </w:t>
      </w:r>
      <w:r w:rsidR="00BA6AFB" w:rsidRPr="005D2F91">
        <w:rPr>
          <w:sz w:val="24"/>
          <w:szCs w:val="24"/>
          <w:highlight w:val="yellow"/>
        </w:rPr>
        <w:t>were</w:t>
      </w:r>
      <w:r w:rsidR="00BA6AFB" w:rsidRPr="005D2F91">
        <w:rPr>
          <w:sz w:val="24"/>
          <w:szCs w:val="24"/>
          <w:highlight w:val="yellow"/>
        </w:rPr>
        <w:t xml:space="preserve"> </w:t>
      </w:r>
      <w:r w:rsidR="00BA6AFB" w:rsidRPr="005D2F91">
        <w:rPr>
          <w:sz w:val="24"/>
          <w:szCs w:val="24"/>
          <w:highlight w:val="yellow"/>
        </w:rPr>
        <w:t xml:space="preserve">a </w:t>
      </w:r>
      <w:r>
        <w:rPr>
          <w:sz w:val="24"/>
          <w:szCs w:val="24"/>
        </w:rPr>
        <w:t>negative evaluation (lab, ultrasonography and endoscopy) in patients with RUQ pain. It is a retrospective analysis done during the period Jan 2020 to June 2023. Ethical committee approval was obtained. Patients were contacted telephonically and in person during their routine visit to the hospital.</w:t>
      </w:r>
    </w:p>
    <w:p w14:paraId="087BDF00" w14:textId="77777777" w:rsidR="0043736E" w:rsidRDefault="0043736E">
      <w:pPr>
        <w:widowControl w:val="0"/>
        <w:spacing w:line="480" w:lineRule="auto"/>
        <w:ind w:left="2" w:hanging="2"/>
        <w:jc w:val="both"/>
        <w:rPr>
          <w:sz w:val="24"/>
          <w:szCs w:val="24"/>
        </w:rPr>
      </w:pPr>
    </w:p>
    <w:p w14:paraId="1326ABA7" w14:textId="77777777" w:rsidR="0043736E" w:rsidRDefault="001F0277">
      <w:pPr>
        <w:widowControl w:val="0"/>
        <w:spacing w:line="480" w:lineRule="auto"/>
        <w:ind w:left="2" w:hanging="2"/>
        <w:rPr>
          <w:sz w:val="24"/>
          <w:szCs w:val="24"/>
        </w:rPr>
      </w:pPr>
      <w:r>
        <w:rPr>
          <w:b/>
          <w:sz w:val="24"/>
          <w:szCs w:val="24"/>
        </w:rPr>
        <w:t xml:space="preserve"> HIDA technique: </w:t>
      </w:r>
    </w:p>
    <w:p w14:paraId="4D93DAAE" w14:textId="0B0CFEB2" w:rsidR="0043736E" w:rsidRDefault="001F0277">
      <w:pPr>
        <w:widowControl w:val="0"/>
        <w:spacing w:line="480" w:lineRule="auto"/>
        <w:ind w:left="2" w:hanging="2"/>
        <w:jc w:val="both"/>
        <w:rPr>
          <w:sz w:val="24"/>
          <w:szCs w:val="24"/>
        </w:rPr>
      </w:pPr>
      <w:r>
        <w:rPr>
          <w:sz w:val="24"/>
          <w:szCs w:val="24"/>
        </w:rPr>
        <w:t>Patient preparation: Among the patients scheduled for the scan, overnight fasting was ensured. Patients on opioids (morphine) were advised to stop medication 6 hours before the scan</w:t>
      </w:r>
      <w:r w:rsidR="00BA6AFB">
        <w:rPr>
          <w:sz w:val="24"/>
          <w:szCs w:val="24"/>
        </w:rPr>
        <w:t>,</w:t>
      </w:r>
      <w:r>
        <w:rPr>
          <w:sz w:val="24"/>
          <w:szCs w:val="24"/>
        </w:rPr>
        <w:t xml:space="preserve"> as it interferes with biliary clearance.</w:t>
      </w:r>
    </w:p>
    <w:p w14:paraId="3C391F76" w14:textId="7695C340" w:rsidR="0043736E" w:rsidRDefault="001F0277">
      <w:pPr>
        <w:widowControl w:val="0"/>
        <w:spacing w:line="480" w:lineRule="auto"/>
        <w:ind w:left="2" w:hanging="2"/>
        <w:jc w:val="both"/>
      </w:pPr>
      <w:r>
        <w:rPr>
          <w:sz w:val="24"/>
          <w:szCs w:val="24"/>
        </w:rPr>
        <w:t xml:space="preserve">Procedure: Following intravenous injection of Tc-99m Mebrofenin (5 </w:t>
      </w:r>
      <w:proofErr w:type="spellStart"/>
      <w:r>
        <w:rPr>
          <w:sz w:val="24"/>
          <w:szCs w:val="24"/>
        </w:rPr>
        <w:t>mCi</w:t>
      </w:r>
      <w:proofErr w:type="spellEnd"/>
      <w:r>
        <w:rPr>
          <w:sz w:val="24"/>
          <w:szCs w:val="24"/>
        </w:rPr>
        <w:t xml:space="preserve">/185 MBq in adults; 0.2 </w:t>
      </w:r>
      <w:proofErr w:type="spellStart"/>
      <w:r>
        <w:rPr>
          <w:sz w:val="24"/>
          <w:szCs w:val="24"/>
        </w:rPr>
        <w:t>mCi</w:t>
      </w:r>
      <w:proofErr w:type="spellEnd"/>
      <w:r>
        <w:rPr>
          <w:sz w:val="24"/>
          <w:szCs w:val="24"/>
        </w:rPr>
        <w:t xml:space="preserve">/kg or 7.4 MBq/kg body weight in children), sequential dynamic images (Frame rate 30 sec/frame, 128 x 128 matrix size) were acquired for 30 minutes with </w:t>
      </w:r>
      <w:proofErr w:type="spellStart"/>
      <w:r>
        <w:rPr>
          <w:sz w:val="24"/>
          <w:szCs w:val="24"/>
        </w:rPr>
        <w:t>Seimens</w:t>
      </w:r>
      <w:proofErr w:type="spellEnd"/>
      <w:r>
        <w:rPr>
          <w:sz w:val="24"/>
          <w:szCs w:val="24"/>
        </w:rPr>
        <w:t xml:space="preserve"> </w:t>
      </w:r>
      <w:proofErr w:type="spellStart"/>
      <w:r>
        <w:rPr>
          <w:sz w:val="24"/>
          <w:szCs w:val="24"/>
        </w:rPr>
        <w:t>symbia</w:t>
      </w:r>
      <w:proofErr w:type="spellEnd"/>
      <w:r>
        <w:rPr>
          <w:sz w:val="24"/>
          <w:szCs w:val="24"/>
        </w:rPr>
        <w:t xml:space="preserve"> Evo dual head gamma camera (low energy parallel hole </w:t>
      </w:r>
      <w:proofErr w:type="spellStart"/>
      <w:r>
        <w:rPr>
          <w:sz w:val="24"/>
          <w:szCs w:val="24"/>
        </w:rPr>
        <w:t>colimator</w:t>
      </w:r>
      <w:proofErr w:type="spellEnd"/>
      <w:r>
        <w:rPr>
          <w:sz w:val="24"/>
          <w:szCs w:val="24"/>
        </w:rPr>
        <w:t xml:space="preserve">, 15-20% over 140 </w:t>
      </w:r>
      <w:proofErr w:type="spellStart"/>
      <w:r>
        <w:rPr>
          <w:sz w:val="24"/>
          <w:szCs w:val="24"/>
        </w:rPr>
        <w:t>kev</w:t>
      </w:r>
      <w:proofErr w:type="spellEnd"/>
      <w:r>
        <w:rPr>
          <w:sz w:val="24"/>
          <w:szCs w:val="24"/>
        </w:rPr>
        <w:t xml:space="preserve"> peak)</w:t>
      </w:r>
      <w:r>
        <w:rPr>
          <w:sz w:val="24"/>
          <w:szCs w:val="24"/>
          <w:vertAlign w:val="superscript"/>
        </w:rPr>
        <w:t>6</w:t>
      </w:r>
      <w:r>
        <w:rPr>
          <w:sz w:val="24"/>
          <w:szCs w:val="24"/>
        </w:rPr>
        <w:t xml:space="preserve">. Delayed </w:t>
      </w:r>
      <w:r w:rsidR="00BA6AFB" w:rsidRPr="005D2F91">
        <w:rPr>
          <w:sz w:val="24"/>
          <w:szCs w:val="24"/>
          <w:highlight w:val="yellow"/>
        </w:rPr>
        <w:t>1-minute</w:t>
      </w:r>
      <w:r w:rsidRPr="005D2F91">
        <w:rPr>
          <w:sz w:val="24"/>
          <w:szCs w:val="24"/>
          <w:highlight w:val="yellow"/>
        </w:rPr>
        <w:t xml:space="preserve"> </w:t>
      </w:r>
      <w:r>
        <w:rPr>
          <w:sz w:val="24"/>
          <w:szCs w:val="24"/>
        </w:rPr>
        <w:t xml:space="preserve">planar antero-posterior static images of </w:t>
      </w:r>
      <w:r w:rsidR="00BA6AFB" w:rsidRPr="005D2F91">
        <w:rPr>
          <w:sz w:val="24"/>
          <w:szCs w:val="24"/>
          <w:highlight w:val="yellow"/>
        </w:rPr>
        <w:t xml:space="preserve">the </w:t>
      </w:r>
      <w:r>
        <w:rPr>
          <w:sz w:val="24"/>
          <w:szCs w:val="24"/>
        </w:rPr>
        <w:t xml:space="preserve">abdomen were acquired at </w:t>
      </w:r>
      <w:r w:rsidR="00BA6AFB" w:rsidRPr="005D2F91">
        <w:rPr>
          <w:sz w:val="24"/>
          <w:szCs w:val="24"/>
          <w:highlight w:val="yellow"/>
        </w:rPr>
        <w:t>15-minute</w:t>
      </w:r>
      <w:r w:rsidRPr="005D2F91">
        <w:rPr>
          <w:sz w:val="24"/>
          <w:szCs w:val="24"/>
          <w:highlight w:val="yellow"/>
        </w:rPr>
        <w:t xml:space="preserve"> </w:t>
      </w:r>
      <w:r w:rsidR="00BA6AFB" w:rsidRPr="005D2F91">
        <w:rPr>
          <w:sz w:val="24"/>
          <w:szCs w:val="24"/>
          <w:highlight w:val="yellow"/>
        </w:rPr>
        <w:t>intervals</w:t>
      </w:r>
      <w:r w:rsidR="00BA6AFB" w:rsidRPr="005D2F91">
        <w:rPr>
          <w:sz w:val="24"/>
          <w:szCs w:val="24"/>
          <w:highlight w:val="yellow"/>
        </w:rPr>
        <w:t xml:space="preserve"> </w:t>
      </w:r>
      <w:r>
        <w:rPr>
          <w:sz w:val="24"/>
          <w:szCs w:val="24"/>
        </w:rPr>
        <w:t xml:space="preserve">till maximum accumulation of tracer is seen in the gall bladder and negligible tracer in the biliary ducts, liver parenchyma. </w:t>
      </w:r>
      <w:r w:rsidR="00BA6AFB" w:rsidRPr="005D2F91">
        <w:rPr>
          <w:sz w:val="24"/>
          <w:szCs w:val="24"/>
          <w:highlight w:val="yellow"/>
        </w:rPr>
        <w:t>A delayed</w:t>
      </w:r>
      <w:r w:rsidR="00BA6AFB" w:rsidRPr="005D2F91">
        <w:rPr>
          <w:sz w:val="24"/>
          <w:szCs w:val="24"/>
          <w:highlight w:val="yellow"/>
        </w:rPr>
        <w:t xml:space="preserve"> </w:t>
      </w:r>
      <w:r>
        <w:rPr>
          <w:sz w:val="24"/>
          <w:szCs w:val="24"/>
        </w:rPr>
        <w:t xml:space="preserve">planar antero-posterior static image showing intense tracer activity in the gall bladder is considered </w:t>
      </w:r>
      <w:r w:rsidR="00BA6AFB">
        <w:rPr>
          <w:sz w:val="24"/>
          <w:szCs w:val="24"/>
        </w:rPr>
        <w:t>a</w:t>
      </w:r>
      <w:r w:rsidR="00BA6AFB">
        <w:rPr>
          <w:sz w:val="24"/>
          <w:szCs w:val="24"/>
        </w:rPr>
        <w:t xml:space="preserve"> </w:t>
      </w:r>
      <w:r>
        <w:rPr>
          <w:sz w:val="24"/>
          <w:szCs w:val="24"/>
        </w:rPr>
        <w:t>Pre-meal static image. Thereafter</w:t>
      </w:r>
      <w:r w:rsidR="00BA6AFB">
        <w:rPr>
          <w:sz w:val="24"/>
          <w:szCs w:val="24"/>
        </w:rPr>
        <w:t>,</w:t>
      </w:r>
      <w:r>
        <w:rPr>
          <w:sz w:val="24"/>
          <w:szCs w:val="24"/>
        </w:rPr>
        <w:t xml:space="preserve"> patients were given </w:t>
      </w:r>
      <w:r w:rsidR="00BA6AFB" w:rsidRPr="005D2F91">
        <w:rPr>
          <w:sz w:val="24"/>
          <w:szCs w:val="24"/>
          <w:highlight w:val="yellow"/>
        </w:rPr>
        <w:t xml:space="preserve">a </w:t>
      </w:r>
      <w:r>
        <w:rPr>
          <w:sz w:val="24"/>
          <w:szCs w:val="24"/>
        </w:rPr>
        <w:t xml:space="preserve">fatty meal. </w:t>
      </w:r>
      <w:r w:rsidR="00BA6AFB" w:rsidRPr="005D2F91">
        <w:rPr>
          <w:sz w:val="24"/>
          <w:szCs w:val="24"/>
          <w:highlight w:val="yellow"/>
        </w:rPr>
        <w:t>Post-meal</w:t>
      </w:r>
      <w:r w:rsidRPr="005D2F91">
        <w:rPr>
          <w:sz w:val="24"/>
          <w:szCs w:val="24"/>
          <w:highlight w:val="yellow"/>
        </w:rPr>
        <w:t xml:space="preserve"> </w:t>
      </w:r>
      <w:r>
        <w:rPr>
          <w:sz w:val="24"/>
          <w:szCs w:val="24"/>
        </w:rPr>
        <w:t xml:space="preserve">planar antero-posterior </w:t>
      </w:r>
      <w:r w:rsidR="00BA6AFB" w:rsidRPr="005D2F91">
        <w:rPr>
          <w:sz w:val="24"/>
          <w:szCs w:val="24"/>
          <w:highlight w:val="yellow"/>
        </w:rPr>
        <w:t>1-minute</w:t>
      </w:r>
      <w:r w:rsidRPr="005D2F91">
        <w:rPr>
          <w:sz w:val="24"/>
          <w:szCs w:val="24"/>
          <w:highlight w:val="yellow"/>
        </w:rPr>
        <w:t xml:space="preserve"> </w:t>
      </w:r>
      <w:r>
        <w:rPr>
          <w:sz w:val="24"/>
          <w:szCs w:val="24"/>
        </w:rPr>
        <w:t xml:space="preserve">static images were also acquired 1 hour following the ingestion of </w:t>
      </w:r>
      <w:r w:rsidR="00BA6AFB" w:rsidRPr="005D2F91">
        <w:rPr>
          <w:sz w:val="24"/>
          <w:szCs w:val="24"/>
          <w:highlight w:val="yellow"/>
        </w:rPr>
        <w:t xml:space="preserve">a </w:t>
      </w:r>
      <w:r>
        <w:rPr>
          <w:sz w:val="24"/>
          <w:szCs w:val="24"/>
        </w:rPr>
        <w:t xml:space="preserve">fatty meal. Intravenous </w:t>
      </w:r>
      <w:proofErr w:type="spellStart"/>
      <w:r>
        <w:rPr>
          <w:sz w:val="24"/>
          <w:szCs w:val="24"/>
        </w:rPr>
        <w:t>Sincalide</w:t>
      </w:r>
      <w:proofErr w:type="spellEnd"/>
      <w:r>
        <w:rPr>
          <w:sz w:val="24"/>
          <w:szCs w:val="24"/>
        </w:rPr>
        <w:t xml:space="preserve"> </w:t>
      </w:r>
      <w:r>
        <w:rPr>
          <w:sz w:val="24"/>
          <w:szCs w:val="24"/>
        </w:rPr>
        <w:lastRenderedPageBreak/>
        <w:t>administration can be done alternative to fatty meal</w:t>
      </w:r>
      <w:r w:rsidR="00BA6AFB">
        <w:rPr>
          <w:sz w:val="24"/>
          <w:szCs w:val="24"/>
        </w:rPr>
        <w:t>,</w:t>
      </w:r>
      <w:r>
        <w:rPr>
          <w:sz w:val="24"/>
          <w:szCs w:val="24"/>
        </w:rPr>
        <w:t xml:space="preserve"> but </w:t>
      </w:r>
      <w:r w:rsidR="00BA6AFB" w:rsidRPr="005D2F91">
        <w:rPr>
          <w:sz w:val="24"/>
          <w:szCs w:val="24"/>
          <w:highlight w:val="yellow"/>
        </w:rPr>
        <w:t xml:space="preserve">is </w:t>
      </w:r>
      <w:r>
        <w:rPr>
          <w:sz w:val="24"/>
          <w:szCs w:val="24"/>
        </w:rPr>
        <w:t xml:space="preserve">not given </w:t>
      </w:r>
      <w:r w:rsidR="00BA6AFB" w:rsidRPr="005D2F91">
        <w:rPr>
          <w:sz w:val="24"/>
          <w:szCs w:val="24"/>
          <w:highlight w:val="yellow"/>
        </w:rPr>
        <w:t>to</w:t>
      </w:r>
      <w:r w:rsidR="00BA6AFB" w:rsidRPr="005D2F91">
        <w:rPr>
          <w:sz w:val="24"/>
          <w:szCs w:val="24"/>
          <w:highlight w:val="yellow"/>
        </w:rPr>
        <w:t xml:space="preserve"> </w:t>
      </w:r>
      <w:r>
        <w:rPr>
          <w:sz w:val="24"/>
          <w:szCs w:val="24"/>
        </w:rPr>
        <w:t xml:space="preserve">our patients due to lack of </w:t>
      </w:r>
      <w:r w:rsidR="00BA6AFB" w:rsidRPr="005D2F91">
        <w:rPr>
          <w:sz w:val="24"/>
          <w:szCs w:val="24"/>
          <w:highlight w:val="yellow"/>
        </w:rPr>
        <w:t>availability</w:t>
      </w:r>
    </w:p>
    <w:p w14:paraId="7678D6B8" w14:textId="77777777" w:rsidR="0043736E" w:rsidRDefault="0043736E">
      <w:pPr>
        <w:ind w:left="2" w:hanging="2"/>
        <w:jc w:val="center"/>
      </w:pPr>
    </w:p>
    <w:p w14:paraId="14D23D6B" w14:textId="77777777" w:rsidR="0043736E" w:rsidRDefault="0043736E">
      <w:pPr>
        <w:ind w:left="2" w:hanging="2"/>
        <w:jc w:val="center"/>
      </w:pPr>
    </w:p>
    <w:p w14:paraId="608AECFD" w14:textId="77777777" w:rsidR="0043736E" w:rsidRDefault="0043736E">
      <w:pPr>
        <w:ind w:left="2" w:hanging="2"/>
        <w:jc w:val="center"/>
      </w:pPr>
    </w:p>
    <w:p w14:paraId="4CB28BD0" w14:textId="77777777" w:rsidR="0043736E" w:rsidRDefault="0043736E">
      <w:pPr>
        <w:ind w:left="2" w:hanging="2"/>
        <w:jc w:val="center"/>
      </w:pPr>
    </w:p>
    <w:p w14:paraId="78AA8599" w14:textId="77777777" w:rsidR="0043736E" w:rsidRDefault="00BA6AFB">
      <w:pPr>
        <w:ind w:left="2" w:hanging="2"/>
        <w:jc w:val="center"/>
        <w:rPr>
          <w:u w:val="single"/>
        </w:rPr>
      </w:pPr>
      <w:r>
        <w:pict w14:anchorId="6530B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Frame 1026" o:spid="_x0000_i1025" type="#_x0000_t75" style="width:393.8pt;height:137.15pt" o:preferrelative="f">
            <v:imagedata r:id="rId8" o:title=""/>
          </v:shape>
        </w:pict>
      </w:r>
    </w:p>
    <w:p w14:paraId="40D43305" w14:textId="77777777" w:rsidR="0043736E" w:rsidRDefault="0043736E">
      <w:pPr>
        <w:ind w:left="2" w:hanging="2"/>
        <w:rPr>
          <w:u w:val="single"/>
        </w:rPr>
      </w:pPr>
    </w:p>
    <w:p w14:paraId="27B62B26" w14:textId="77777777" w:rsidR="0043736E" w:rsidRDefault="001F0277">
      <w:pPr>
        <w:ind w:left="2" w:hanging="2"/>
        <w:jc w:val="both"/>
      </w:pPr>
      <w:r>
        <w:rPr>
          <w:b/>
        </w:rPr>
        <w:t>Fig1: GBEF assessment done with Tc99m -Mebrofenin (HIDA scan) shows severely reduced gall bladder ejection fraction with dyskinetic gall bladder.</w:t>
      </w:r>
    </w:p>
    <w:p w14:paraId="12A20C9A" w14:textId="77777777" w:rsidR="0043736E" w:rsidRDefault="0043736E">
      <w:pPr>
        <w:ind w:left="2" w:hanging="2"/>
        <w:jc w:val="both"/>
      </w:pPr>
    </w:p>
    <w:p w14:paraId="6DCA2178" w14:textId="77777777" w:rsidR="0043736E" w:rsidRDefault="0043736E">
      <w:pPr>
        <w:ind w:left="2" w:hanging="2"/>
        <w:jc w:val="both"/>
      </w:pPr>
    </w:p>
    <w:p w14:paraId="7E72FB44" w14:textId="77777777" w:rsidR="0043736E" w:rsidRDefault="0043736E">
      <w:pPr>
        <w:ind w:left="2" w:hanging="2"/>
        <w:jc w:val="both"/>
      </w:pPr>
    </w:p>
    <w:p w14:paraId="1C1E5784" w14:textId="77777777" w:rsidR="0043736E" w:rsidRDefault="0043736E">
      <w:pPr>
        <w:widowControl w:val="0"/>
        <w:spacing w:line="480" w:lineRule="auto"/>
        <w:ind w:left="2" w:hanging="2"/>
        <w:jc w:val="both"/>
        <w:rPr>
          <w:sz w:val="24"/>
          <w:szCs w:val="24"/>
        </w:rPr>
      </w:pPr>
    </w:p>
    <w:p w14:paraId="53102783" w14:textId="77777777" w:rsidR="0043736E" w:rsidRDefault="00BA6AFB">
      <w:pPr>
        <w:ind w:left="2" w:hanging="2"/>
        <w:jc w:val="center"/>
        <w:rPr>
          <w:u w:val="single"/>
        </w:rPr>
      </w:pPr>
      <w:r>
        <w:pict w14:anchorId="19263C98">
          <v:shape id="Picture Frame 1027" o:spid="_x0000_i1026" type="#_x0000_t75" style="width:411.45pt;height:124.4pt" o:preferrelative="f">
            <v:imagedata r:id="rId9" o:title=""/>
          </v:shape>
        </w:pict>
      </w:r>
    </w:p>
    <w:p w14:paraId="2DC8AE26" w14:textId="77777777" w:rsidR="0043736E" w:rsidRDefault="0043736E">
      <w:pPr>
        <w:ind w:left="2" w:hanging="2"/>
        <w:rPr>
          <w:u w:val="single"/>
        </w:rPr>
      </w:pPr>
    </w:p>
    <w:p w14:paraId="06CDAE51" w14:textId="77777777" w:rsidR="0043736E" w:rsidRDefault="0043736E">
      <w:pPr>
        <w:ind w:left="2" w:hanging="2"/>
        <w:rPr>
          <w:u w:val="single"/>
        </w:rPr>
      </w:pPr>
    </w:p>
    <w:p w14:paraId="1BA509FB" w14:textId="3BB6999C" w:rsidR="0043736E" w:rsidRDefault="001F0277">
      <w:pPr>
        <w:ind w:left="2" w:hanging="2"/>
        <w:jc w:val="both"/>
      </w:pPr>
      <w:r>
        <w:rPr>
          <w:b/>
        </w:rPr>
        <w:t xml:space="preserve">Fig 2: GBEF assessment done with Tc99m - Mebrofenin (HIDA scan) shows adequate contractile function of </w:t>
      </w:r>
      <w:r w:rsidR="00BA6AFB" w:rsidRPr="005D2F91">
        <w:rPr>
          <w:b/>
          <w:highlight w:val="yellow"/>
        </w:rPr>
        <w:t>the</w:t>
      </w:r>
      <w:r w:rsidR="00BA6AFB">
        <w:rPr>
          <w:b/>
        </w:rPr>
        <w:t xml:space="preserve"> </w:t>
      </w:r>
      <w:r>
        <w:rPr>
          <w:b/>
        </w:rPr>
        <w:t>gall bladder with preserved ejection fraction</w:t>
      </w:r>
    </w:p>
    <w:p w14:paraId="257CB0A3" w14:textId="77777777" w:rsidR="0043736E" w:rsidRDefault="0043736E">
      <w:pPr>
        <w:ind w:left="2" w:hanging="2"/>
        <w:jc w:val="both"/>
      </w:pPr>
    </w:p>
    <w:p w14:paraId="3B911782" w14:textId="77777777" w:rsidR="0043736E" w:rsidRDefault="0043736E">
      <w:pPr>
        <w:ind w:firstLineChars="0" w:firstLine="0"/>
        <w:jc w:val="both"/>
      </w:pPr>
    </w:p>
    <w:p w14:paraId="483FBC34" w14:textId="77777777" w:rsidR="0043736E" w:rsidRDefault="0043736E">
      <w:pPr>
        <w:ind w:left="2" w:hanging="2"/>
        <w:jc w:val="center"/>
        <w:rPr>
          <w:b/>
          <w:sz w:val="24"/>
          <w:szCs w:val="24"/>
        </w:rPr>
      </w:pPr>
    </w:p>
    <w:p w14:paraId="5023F8E5" w14:textId="77777777" w:rsidR="0043736E" w:rsidRDefault="0043736E">
      <w:pPr>
        <w:ind w:left="2" w:hanging="2"/>
        <w:jc w:val="center"/>
        <w:rPr>
          <w:b/>
          <w:sz w:val="24"/>
          <w:szCs w:val="24"/>
        </w:rPr>
      </w:pPr>
    </w:p>
    <w:p w14:paraId="0F105983" w14:textId="77777777" w:rsidR="0043736E" w:rsidRDefault="001F0277">
      <w:pPr>
        <w:ind w:left="2" w:hanging="2"/>
        <w:jc w:val="center"/>
        <w:rPr>
          <w:u w:val="single"/>
        </w:rPr>
      </w:pPr>
      <w:r>
        <w:rPr>
          <w:b/>
          <w:sz w:val="24"/>
          <w:szCs w:val="24"/>
        </w:rPr>
        <w:t>Table no. 4 Base line Characteristics</w:t>
      </w:r>
    </w:p>
    <w:p w14:paraId="0146B4C9" w14:textId="77777777" w:rsidR="0043736E" w:rsidRDefault="0043736E">
      <w:pPr>
        <w:ind w:left="2" w:hanging="2"/>
        <w:jc w:val="center"/>
        <w:rPr>
          <w:sz w:val="24"/>
          <w:szCs w:val="24"/>
        </w:rPr>
      </w:pPr>
    </w:p>
    <w:tbl>
      <w:tblPr>
        <w:tblW w:w="85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3"/>
        <w:gridCol w:w="3009"/>
        <w:gridCol w:w="3160"/>
      </w:tblGrid>
      <w:tr w:rsidR="0043736E" w14:paraId="31A38788" w14:textId="77777777">
        <w:trPr>
          <w:trHeight w:val="935"/>
          <w:jc w:val="center"/>
        </w:trPr>
        <w:tc>
          <w:tcPr>
            <w:tcW w:w="2423" w:type="dxa"/>
            <w:tcBorders>
              <w:top w:val="single" w:sz="4" w:space="0" w:color="000000"/>
              <w:left w:val="single" w:sz="4" w:space="0" w:color="000000"/>
              <w:bottom w:val="single" w:sz="4" w:space="0" w:color="000000"/>
              <w:right w:val="single" w:sz="4" w:space="0" w:color="000000"/>
            </w:tcBorders>
          </w:tcPr>
          <w:p w14:paraId="10922D5B" w14:textId="77777777" w:rsidR="0043736E" w:rsidRDefault="0043736E">
            <w:pPr>
              <w:spacing w:after="0"/>
              <w:ind w:left="2" w:hanging="2"/>
              <w:rPr>
                <w:sz w:val="24"/>
                <w:szCs w:val="24"/>
              </w:rPr>
            </w:pPr>
          </w:p>
        </w:tc>
        <w:tc>
          <w:tcPr>
            <w:tcW w:w="3009" w:type="dxa"/>
            <w:tcBorders>
              <w:top w:val="single" w:sz="4" w:space="0" w:color="000000"/>
              <w:left w:val="single" w:sz="4" w:space="0" w:color="000000"/>
              <w:bottom w:val="single" w:sz="4" w:space="0" w:color="000000"/>
              <w:right w:val="single" w:sz="4" w:space="0" w:color="000000"/>
            </w:tcBorders>
          </w:tcPr>
          <w:p w14:paraId="52E2C796" w14:textId="77777777" w:rsidR="0043736E" w:rsidRDefault="001F0277">
            <w:pPr>
              <w:spacing w:after="0"/>
              <w:ind w:left="2" w:hanging="2"/>
              <w:rPr>
                <w:sz w:val="24"/>
                <w:szCs w:val="24"/>
              </w:rPr>
            </w:pPr>
            <w:r>
              <w:rPr>
                <w:sz w:val="24"/>
                <w:szCs w:val="24"/>
              </w:rPr>
              <w:t>Operated n = 20</w:t>
            </w:r>
          </w:p>
        </w:tc>
        <w:tc>
          <w:tcPr>
            <w:tcW w:w="3160" w:type="dxa"/>
            <w:tcBorders>
              <w:top w:val="single" w:sz="4" w:space="0" w:color="000000"/>
              <w:left w:val="single" w:sz="4" w:space="0" w:color="000000"/>
              <w:bottom w:val="single" w:sz="4" w:space="0" w:color="000000"/>
              <w:right w:val="single" w:sz="4" w:space="0" w:color="000000"/>
            </w:tcBorders>
          </w:tcPr>
          <w:p w14:paraId="610FAE6D" w14:textId="77777777" w:rsidR="0043736E" w:rsidRDefault="001F0277">
            <w:pPr>
              <w:spacing w:after="0"/>
              <w:ind w:left="2" w:hanging="2"/>
              <w:rPr>
                <w:sz w:val="24"/>
                <w:szCs w:val="24"/>
              </w:rPr>
            </w:pPr>
            <w:r>
              <w:rPr>
                <w:sz w:val="24"/>
                <w:szCs w:val="24"/>
              </w:rPr>
              <w:t>Not operated  n= 30</w:t>
            </w:r>
          </w:p>
        </w:tc>
      </w:tr>
      <w:tr w:rsidR="0043736E" w14:paraId="1268F808" w14:textId="77777777">
        <w:trPr>
          <w:trHeight w:val="679"/>
          <w:jc w:val="center"/>
        </w:trPr>
        <w:tc>
          <w:tcPr>
            <w:tcW w:w="2423" w:type="dxa"/>
            <w:tcBorders>
              <w:top w:val="single" w:sz="4" w:space="0" w:color="000000"/>
              <w:left w:val="single" w:sz="4" w:space="0" w:color="000000"/>
              <w:bottom w:val="single" w:sz="4" w:space="0" w:color="000000"/>
              <w:right w:val="single" w:sz="4" w:space="0" w:color="000000"/>
            </w:tcBorders>
          </w:tcPr>
          <w:p w14:paraId="69933084" w14:textId="77777777" w:rsidR="0043736E" w:rsidRDefault="001F0277">
            <w:pPr>
              <w:spacing w:after="0"/>
              <w:ind w:left="2" w:hanging="2"/>
              <w:rPr>
                <w:sz w:val="24"/>
                <w:szCs w:val="24"/>
              </w:rPr>
            </w:pPr>
            <w:r>
              <w:rPr>
                <w:sz w:val="24"/>
                <w:szCs w:val="24"/>
              </w:rPr>
              <w:t>Male</w:t>
            </w:r>
          </w:p>
        </w:tc>
        <w:tc>
          <w:tcPr>
            <w:tcW w:w="3009" w:type="dxa"/>
            <w:tcBorders>
              <w:top w:val="single" w:sz="4" w:space="0" w:color="000000"/>
              <w:left w:val="single" w:sz="4" w:space="0" w:color="000000"/>
              <w:bottom w:val="single" w:sz="4" w:space="0" w:color="000000"/>
              <w:right w:val="single" w:sz="4" w:space="0" w:color="000000"/>
            </w:tcBorders>
          </w:tcPr>
          <w:p w14:paraId="4EB91610" w14:textId="77777777" w:rsidR="0043736E" w:rsidRDefault="001F0277">
            <w:pPr>
              <w:spacing w:after="0"/>
              <w:ind w:left="2" w:hanging="2"/>
              <w:rPr>
                <w:sz w:val="24"/>
                <w:szCs w:val="24"/>
              </w:rPr>
            </w:pPr>
            <w:r>
              <w:rPr>
                <w:sz w:val="24"/>
                <w:szCs w:val="24"/>
              </w:rPr>
              <w:t>7</w:t>
            </w:r>
          </w:p>
        </w:tc>
        <w:tc>
          <w:tcPr>
            <w:tcW w:w="3160" w:type="dxa"/>
            <w:tcBorders>
              <w:top w:val="single" w:sz="4" w:space="0" w:color="000000"/>
              <w:left w:val="single" w:sz="4" w:space="0" w:color="000000"/>
              <w:bottom w:val="single" w:sz="4" w:space="0" w:color="000000"/>
              <w:right w:val="single" w:sz="4" w:space="0" w:color="000000"/>
            </w:tcBorders>
          </w:tcPr>
          <w:p w14:paraId="2D90430C" w14:textId="77777777" w:rsidR="0043736E" w:rsidRDefault="001F0277">
            <w:pPr>
              <w:spacing w:after="0"/>
              <w:ind w:left="2" w:hanging="2"/>
              <w:rPr>
                <w:sz w:val="24"/>
                <w:szCs w:val="24"/>
              </w:rPr>
            </w:pPr>
            <w:r>
              <w:rPr>
                <w:sz w:val="24"/>
                <w:szCs w:val="24"/>
              </w:rPr>
              <w:t>14</w:t>
            </w:r>
          </w:p>
        </w:tc>
      </w:tr>
      <w:tr w:rsidR="0043736E" w14:paraId="24707DF3" w14:textId="77777777">
        <w:trPr>
          <w:trHeight w:val="712"/>
          <w:jc w:val="center"/>
        </w:trPr>
        <w:tc>
          <w:tcPr>
            <w:tcW w:w="2423" w:type="dxa"/>
            <w:tcBorders>
              <w:top w:val="single" w:sz="4" w:space="0" w:color="000000"/>
              <w:left w:val="single" w:sz="4" w:space="0" w:color="000000"/>
              <w:bottom w:val="single" w:sz="4" w:space="0" w:color="000000"/>
              <w:right w:val="single" w:sz="4" w:space="0" w:color="000000"/>
            </w:tcBorders>
          </w:tcPr>
          <w:p w14:paraId="6000081F" w14:textId="77777777" w:rsidR="0043736E" w:rsidRDefault="001F0277">
            <w:pPr>
              <w:spacing w:after="0"/>
              <w:ind w:left="2" w:hanging="2"/>
              <w:rPr>
                <w:sz w:val="24"/>
                <w:szCs w:val="24"/>
              </w:rPr>
            </w:pPr>
            <w:r>
              <w:rPr>
                <w:sz w:val="24"/>
                <w:szCs w:val="24"/>
              </w:rPr>
              <w:t>Female</w:t>
            </w:r>
          </w:p>
        </w:tc>
        <w:tc>
          <w:tcPr>
            <w:tcW w:w="3009" w:type="dxa"/>
            <w:tcBorders>
              <w:top w:val="single" w:sz="4" w:space="0" w:color="000000"/>
              <w:left w:val="single" w:sz="4" w:space="0" w:color="000000"/>
              <w:bottom w:val="single" w:sz="4" w:space="0" w:color="000000"/>
              <w:right w:val="single" w:sz="4" w:space="0" w:color="000000"/>
            </w:tcBorders>
          </w:tcPr>
          <w:p w14:paraId="7C447675" w14:textId="77777777" w:rsidR="0043736E" w:rsidRDefault="001F0277">
            <w:pPr>
              <w:spacing w:after="0"/>
              <w:ind w:left="2" w:hanging="2"/>
              <w:rPr>
                <w:sz w:val="24"/>
                <w:szCs w:val="24"/>
              </w:rPr>
            </w:pPr>
            <w:r>
              <w:rPr>
                <w:sz w:val="24"/>
                <w:szCs w:val="24"/>
              </w:rPr>
              <w:t>13</w:t>
            </w:r>
          </w:p>
        </w:tc>
        <w:tc>
          <w:tcPr>
            <w:tcW w:w="3160" w:type="dxa"/>
            <w:tcBorders>
              <w:top w:val="single" w:sz="4" w:space="0" w:color="000000"/>
              <w:left w:val="single" w:sz="4" w:space="0" w:color="000000"/>
              <w:bottom w:val="single" w:sz="4" w:space="0" w:color="000000"/>
              <w:right w:val="single" w:sz="4" w:space="0" w:color="000000"/>
            </w:tcBorders>
          </w:tcPr>
          <w:p w14:paraId="6981679A" w14:textId="77777777" w:rsidR="0043736E" w:rsidRDefault="001F0277">
            <w:pPr>
              <w:spacing w:after="0"/>
              <w:ind w:left="2" w:hanging="2"/>
              <w:rPr>
                <w:sz w:val="24"/>
                <w:szCs w:val="24"/>
              </w:rPr>
            </w:pPr>
            <w:r>
              <w:rPr>
                <w:sz w:val="24"/>
                <w:szCs w:val="24"/>
              </w:rPr>
              <w:t>18</w:t>
            </w:r>
          </w:p>
        </w:tc>
      </w:tr>
      <w:tr w:rsidR="0043736E" w14:paraId="4106F0D1" w14:textId="77777777">
        <w:trPr>
          <w:trHeight w:val="700"/>
          <w:jc w:val="center"/>
        </w:trPr>
        <w:tc>
          <w:tcPr>
            <w:tcW w:w="2423" w:type="dxa"/>
            <w:tcBorders>
              <w:top w:val="single" w:sz="4" w:space="0" w:color="000000"/>
              <w:left w:val="single" w:sz="4" w:space="0" w:color="000000"/>
              <w:bottom w:val="single" w:sz="4" w:space="0" w:color="000000"/>
              <w:right w:val="single" w:sz="4" w:space="0" w:color="000000"/>
            </w:tcBorders>
          </w:tcPr>
          <w:p w14:paraId="0A9CA88D" w14:textId="77777777" w:rsidR="0043736E" w:rsidRDefault="001F0277">
            <w:pPr>
              <w:spacing w:after="0"/>
              <w:ind w:left="2" w:hanging="2"/>
              <w:rPr>
                <w:sz w:val="24"/>
                <w:szCs w:val="24"/>
              </w:rPr>
            </w:pPr>
            <w:r>
              <w:rPr>
                <w:sz w:val="24"/>
                <w:szCs w:val="24"/>
              </w:rPr>
              <w:t>Age&lt;40</w:t>
            </w:r>
          </w:p>
        </w:tc>
        <w:tc>
          <w:tcPr>
            <w:tcW w:w="3009" w:type="dxa"/>
            <w:tcBorders>
              <w:top w:val="single" w:sz="4" w:space="0" w:color="000000"/>
              <w:left w:val="single" w:sz="4" w:space="0" w:color="000000"/>
              <w:bottom w:val="single" w:sz="4" w:space="0" w:color="000000"/>
              <w:right w:val="single" w:sz="4" w:space="0" w:color="000000"/>
            </w:tcBorders>
          </w:tcPr>
          <w:p w14:paraId="36FAD176" w14:textId="77777777" w:rsidR="0043736E" w:rsidRDefault="001F0277">
            <w:pPr>
              <w:spacing w:after="0"/>
              <w:ind w:left="2" w:hanging="2"/>
              <w:rPr>
                <w:sz w:val="24"/>
                <w:szCs w:val="24"/>
              </w:rPr>
            </w:pPr>
            <w:r>
              <w:rPr>
                <w:sz w:val="24"/>
                <w:szCs w:val="24"/>
              </w:rPr>
              <w:t>5</w:t>
            </w:r>
          </w:p>
        </w:tc>
        <w:tc>
          <w:tcPr>
            <w:tcW w:w="3160" w:type="dxa"/>
            <w:tcBorders>
              <w:top w:val="single" w:sz="4" w:space="0" w:color="000000"/>
              <w:left w:val="single" w:sz="4" w:space="0" w:color="000000"/>
              <w:bottom w:val="single" w:sz="4" w:space="0" w:color="000000"/>
              <w:right w:val="single" w:sz="4" w:space="0" w:color="000000"/>
            </w:tcBorders>
          </w:tcPr>
          <w:p w14:paraId="4F426419" w14:textId="77777777" w:rsidR="0043736E" w:rsidRDefault="001F0277">
            <w:pPr>
              <w:spacing w:after="0"/>
              <w:ind w:left="2" w:hanging="2"/>
              <w:rPr>
                <w:sz w:val="24"/>
                <w:szCs w:val="24"/>
              </w:rPr>
            </w:pPr>
            <w:r>
              <w:rPr>
                <w:sz w:val="24"/>
                <w:szCs w:val="24"/>
              </w:rPr>
              <w:t>13</w:t>
            </w:r>
          </w:p>
        </w:tc>
      </w:tr>
      <w:tr w:rsidR="0043736E" w14:paraId="0C7A6E90" w14:textId="77777777">
        <w:trPr>
          <w:trHeight w:val="685"/>
          <w:jc w:val="center"/>
        </w:trPr>
        <w:tc>
          <w:tcPr>
            <w:tcW w:w="2423" w:type="dxa"/>
            <w:tcBorders>
              <w:top w:val="single" w:sz="4" w:space="0" w:color="000000"/>
              <w:left w:val="single" w:sz="4" w:space="0" w:color="000000"/>
              <w:bottom w:val="single" w:sz="4" w:space="0" w:color="000000"/>
              <w:right w:val="single" w:sz="4" w:space="0" w:color="000000"/>
            </w:tcBorders>
          </w:tcPr>
          <w:p w14:paraId="425164AE" w14:textId="77777777" w:rsidR="0043736E" w:rsidRDefault="001F0277">
            <w:pPr>
              <w:spacing w:after="0"/>
              <w:ind w:left="2" w:hanging="2"/>
              <w:rPr>
                <w:sz w:val="24"/>
                <w:szCs w:val="24"/>
              </w:rPr>
            </w:pPr>
            <w:r>
              <w:rPr>
                <w:sz w:val="24"/>
                <w:szCs w:val="24"/>
              </w:rPr>
              <w:t>Age&gt;40</w:t>
            </w:r>
          </w:p>
        </w:tc>
        <w:tc>
          <w:tcPr>
            <w:tcW w:w="3009" w:type="dxa"/>
            <w:tcBorders>
              <w:top w:val="single" w:sz="4" w:space="0" w:color="000000"/>
              <w:left w:val="single" w:sz="4" w:space="0" w:color="000000"/>
              <w:bottom w:val="single" w:sz="4" w:space="0" w:color="000000"/>
              <w:right w:val="single" w:sz="4" w:space="0" w:color="000000"/>
            </w:tcBorders>
          </w:tcPr>
          <w:p w14:paraId="4790507C" w14:textId="77777777" w:rsidR="0043736E" w:rsidRDefault="001F0277">
            <w:pPr>
              <w:spacing w:after="0"/>
              <w:ind w:left="2" w:hanging="2"/>
              <w:rPr>
                <w:sz w:val="24"/>
                <w:szCs w:val="24"/>
              </w:rPr>
            </w:pPr>
            <w:r>
              <w:rPr>
                <w:sz w:val="24"/>
                <w:szCs w:val="24"/>
              </w:rPr>
              <w:t>9</w:t>
            </w:r>
          </w:p>
        </w:tc>
        <w:tc>
          <w:tcPr>
            <w:tcW w:w="3160" w:type="dxa"/>
            <w:tcBorders>
              <w:top w:val="single" w:sz="4" w:space="0" w:color="000000"/>
              <w:left w:val="single" w:sz="4" w:space="0" w:color="000000"/>
              <w:bottom w:val="single" w:sz="4" w:space="0" w:color="000000"/>
              <w:right w:val="single" w:sz="4" w:space="0" w:color="000000"/>
            </w:tcBorders>
          </w:tcPr>
          <w:p w14:paraId="066C86C2" w14:textId="77777777" w:rsidR="0043736E" w:rsidRDefault="001F0277">
            <w:pPr>
              <w:spacing w:after="0"/>
              <w:ind w:left="2" w:hanging="2"/>
              <w:rPr>
                <w:sz w:val="24"/>
                <w:szCs w:val="24"/>
              </w:rPr>
            </w:pPr>
            <w:r>
              <w:rPr>
                <w:sz w:val="24"/>
                <w:szCs w:val="24"/>
              </w:rPr>
              <w:t>12</w:t>
            </w:r>
          </w:p>
        </w:tc>
      </w:tr>
      <w:tr w:rsidR="0043736E" w14:paraId="10379256" w14:textId="77777777">
        <w:trPr>
          <w:trHeight w:val="694"/>
          <w:jc w:val="center"/>
        </w:trPr>
        <w:tc>
          <w:tcPr>
            <w:tcW w:w="2423" w:type="dxa"/>
            <w:tcBorders>
              <w:top w:val="single" w:sz="4" w:space="0" w:color="000000"/>
              <w:left w:val="single" w:sz="4" w:space="0" w:color="000000"/>
              <w:bottom w:val="single" w:sz="4" w:space="0" w:color="000000"/>
              <w:right w:val="single" w:sz="4" w:space="0" w:color="000000"/>
            </w:tcBorders>
          </w:tcPr>
          <w:p w14:paraId="4FF032A0" w14:textId="77777777" w:rsidR="0043736E" w:rsidRDefault="001F0277">
            <w:pPr>
              <w:spacing w:after="0"/>
              <w:ind w:left="2" w:hanging="2"/>
              <w:rPr>
                <w:sz w:val="24"/>
                <w:szCs w:val="24"/>
              </w:rPr>
            </w:pPr>
            <w:r>
              <w:rPr>
                <w:sz w:val="24"/>
                <w:szCs w:val="24"/>
              </w:rPr>
              <w:t>Mean EF</w:t>
            </w:r>
          </w:p>
        </w:tc>
        <w:tc>
          <w:tcPr>
            <w:tcW w:w="3009" w:type="dxa"/>
            <w:tcBorders>
              <w:top w:val="single" w:sz="4" w:space="0" w:color="000000"/>
              <w:left w:val="single" w:sz="4" w:space="0" w:color="000000"/>
              <w:bottom w:val="single" w:sz="4" w:space="0" w:color="000000"/>
              <w:right w:val="single" w:sz="4" w:space="0" w:color="000000"/>
            </w:tcBorders>
          </w:tcPr>
          <w:p w14:paraId="4CD2F353" w14:textId="77777777" w:rsidR="0043736E" w:rsidRDefault="001F0277">
            <w:pPr>
              <w:ind w:left="2" w:hanging="2"/>
              <w:rPr>
                <w:rFonts w:ascii="Calibri" w:eastAsia="Calibri" w:hAnsi="Calibri" w:cs="Calibri"/>
                <w:color w:val="000000"/>
              </w:rPr>
            </w:pPr>
            <w:r>
              <w:rPr>
                <w:rFonts w:ascii="Calibri" w:eastAsia="Calibri" w:hAnsi="Calibri" w:cs="Calibri"/>
                <w:color w:val="000000"/>
              </w:rPr>
              <w:t>16.42</w:t>
            </w:r>
          </w:p>
        </w:tc>
        <w:tc>
          <w:tcPr>
            <w:tcW w:w="3160" w:type="dxa"/>
            <w:tcBorders>
              <w:top w:val="single" w:sz="4" w:space="0" w:color="000000"/>
              <w:left w:val="single" w:sz="4" w:space="0" w:color="000000"/>
              <w:bottom w:val="single" w:sz="4" w:space="0" w:color="000000"/>
              <w:right w:val="single" w:sz="4" w:space="0" w:color="000000"/>
            </w:tcBorders>
          </w:tcPr>
          <w:p w14:paraId="53CD90C4" w14:textId="77777777" w:rsidR="0043736E" w:rsidRDefault="001F0277">
            <w:pPr>
              <w:spacing w:after="0"/>
              <w:ind w:left="2" w:hanging="2"/>
              <w:rPr>
                <w:sz w:val="24"/>
                <w:szCs w:val="24"/>
              </w:rPr>
            </w:pPr>
            <w:r>
              <w:rPr>
                <w:sz w:val="24"/>
                <w:szCs w:val="24"/>
              </w:rPr>
              <w:t>17</w:t>
            </w:r>
          </w:p>
        </w:tc>
      </w:tr>
      <w:tr w:rsidR="0043736E" w14:paraId="1A96EF70" w14:textId="77777777">
        <w:trPr>
          <w:trHeight w:val="706"/>
          <w:jc w:val="center"/>
        </w:trPr>
        <w:tc>
          <w:tcPr>
            <w:tcW w:w="2423" w:type="dxa"/>
            <w:tcBorders>
              <w:top w:val="single" w:sz="4" w:space="0" w:color="000000"/>
              <w:left w:val="single" w:sz="4" w:space="0" w:color="000000"/>
              <w:bottom w:val="single" w:sz="4" w:space="0" w:color="000000"/>
              <w:right w:val="single" w:sz="4" w:space="0" w:color="000000"/>
            </w:tcBorders>
          </w:tcPr>
          <w:p w14:paraId="3EF5ACA2" w14:textId="77777777" w:rsidR="0043736E" w:rsidRDefault="001F0277">
            <w:pPr>
              <w:spacing w:after="0"/>
              <w:ind w:left="2" w:hanging="2"/>
              <w:rPr>
                <w:sz w:val="24"/>
                <w:szCs w:val="24"/>
              </w:rPr>
            </w:pPr>
            <w:r>
              <w:rPr>
                <w:sz w:val="24"/>
                <w:szCs w:val="24"/>
              </w:rPr>
              <w:t>Median EF</w:t>
            </w:r>
          </w:p>
        </w:tc>
        <w:tc>
          <w:tcPr>
            <w:tcW w:w="3009" w:type="dxa"/>
            <w:tcBorders>
              <w:top w:val="single" w:sz="4" w:space="0" w:color="000000"/>
              <w:left w:val="single" w:sz="4" w:space="0" w:color="000000"/>
              <w:bottom w:val="single" w:sz="4" w:space="0" w:color="000000"/>
              <w:right w:val="single" w:sz="4" w:space="0" w:color="000000"/>
            </w:tcBorders>
          </w:tcPr>
          <w:p w14:paraId="71EC8FF3" w14:textId="77777777" w:rsidR="0043736E" w:rsidRDefault="001F0277">
            <w:pPr>
              <w:spacing w:after="0"/>
              <w:ind w:left="2" w:hanging="2"/>
              <w:rPr>
                <w:sz w:val="24"/>
                <w:szCs w:val="24"/>
              </w:rPr>
            </w:pPr>
            <w:r>
              <w:rPr>
                <w:sz w:val="24"/>
                <w:szCs w:val="24"/>
              </w:rPr>
              <w:t>25.7</w:t>
            </w:r>
          </w:p>
        </w:tc>
        <w:tc>
          <w:tcPr>
            <w:tcW w:w="3160" w:type="dxa"/>
            <w:tcBorders>
              <w:top w:val="single" w:sz="4" w:space="0" w:color="000000"/>
              <w:left w:val="single" w:sz="4" w:space="0" w:color="000000"/>
              <w:bottom w:val="single" w:sz="4" w:space="0" w:color="000000"/>
              <w:right w:val="single" w:sz="4" w:space="0" w:color="000000"/>
            </w:tcBorders>
          </w:tcPr>
          <w:p w14:paraId="1B5B59F6" w14:textId="77777777" w:rsidR="0043736E" w:rsidRDefault="001F0277">
            <w:pPr>
              <w:spacing w:after="0"/>
              <w:ind w:left="2" w:hanging="2"/>
              <w:rPr>
                <w:sz w:val="24"/>
                <w:szCs w:val="24"/>
              </w:rPr>
            </w:pPr>
            <w:r>
              <w:rPr>
                <w:sz w:val="24"/>
                <w:szCs w:val="24"/>
              </w:rPr>
              <w:t>27.5</w:t>
            </w:r>
          </w:p>
        </w:tc>
      </w:tr>
    </w:tbl>
    <w:p w14:paraId="2B6C5097" w14:textId="77777777" w:rsidR="0043736E" w:rsidRDefault="0043736E">
      <w:pPr>
        <w:widowControl w:val="0"/>
        <w:spacing w:line="480" w:lineRule="auto"/>
        <w:ind w:left="2" w:hanging="2"/>
        <w:jc w:val="both"/>
        <w:rPr>
          <w:sz w:val="24"/>
          <w:szCs w:val="24"/>
        </w:rPr>
      </w:pPr>
    </w:p>
    <w:p w14:paraId="755C6D78" w14:textId="2BEE46FC" w:rsidR="0043736E" w:rsidRDefault="00BA6AFB">
      <w:pPr>
        <w:widowControl w:val="0"/>
        <w:spacing w:line="480" w:lineRule="auto"/>
        <w:ind w:left="2" w:hanging="2"/>
        <w:jc w:val="both"/>
        <w:rPr>
          <w:sz w:val="24"/>
          <w:szCs w:val="24"/>
        </w:rPr>
      </w:pPr>
      <w:r w:rsidRPr="005D2F91">
        <w:rPr>
          <w:sz w:val="24"/>
          <w:szCs w:val="24"/>
          <w:highlight w:val="yellow"/>
        </w:rPr>
        <w:t>An</w:t>
      </w:r>
      <w:r w:rsidRPr="005D2F91">
        <w:rPr>
          <w:sz w:val="24"/>
          <w:szCs w:val="24"/>
          <w:highlight w:val="yellow"/>
        </w:rPr>
        <w:t xml:space="preserve"> </w:t>
      </w:r>
      <w:r w:rsidR="001F0277">
        <w:rPr>
          <w:sz w:val="24"/>
          <w:szCs w:val="24"/>
        </w:rPr>
        <w:t xml:space="preserve">ROI (Region of interest) is drawn around the gall bladder in the pre-meal and </w:t>
      </w:r>
      <w:r w:rsidRPr="005D2F91">
        <w:rPr>
          <w:sz w:val="24"/>
          <w:szCs w:val="24"/>
          <w:highlight w:val="yellow"/>
        </w:rPr>
        <w:t>post-meal</w:t>
      </w:r>
      <w:r w:rsidR="001F0277" w:rsidRPr="005D2F91">
        <w:rPr>
          <w:sz w:val="24"/>
          <w:szCs w:val="24"/>
          <w:highlight w:val="yellow"/>
        </w:rPr>
        <w:t xml:space="preserve"> </w:t>
      </w:r>
      <w:r w:rsidR="001F0277">
        <w:rPr>
          <w:sz w:val="24"/>
          <w:szCs w:val="24"/>
        </w:rPr>
        <w:t xml:space="preserve">static images. GBEF (gall bladder ejection fraction) is then calculated by using the </w:t>
      </w:r>
      <w:r w:rsidRPr="005D2F91">
        <w:rPr>
          <w:sz w:val="24"/>
          <w:szCs w:val="24"/>
          <w:highlight w:val="yellow"/>
        </w:rPr>
        <w:t>following</w:t>
      </w:r>
      <w:r w:rsidR="001F0277" w:rsidRPr="005D2F91">
        <w:rPr>
          <w:sz w:val="24"/>
          <w:szCs w:val="24"/>
          <w:highlight w:val="yellow"/>
        </w:rPr>
        <w:t xml:space="preserve"> </w:t>
      </w:r>
      <w:r w:rsidR="001F0277">
        <w:rPr>
          <w:sz w:val="24"/>
          <w:szCs w:val="24"/>
        </w:rPr>
        <w:t>formula;</w:t>
      </w:r>
    </w:p>
    <w:p w14:paraId="75E092C5" w14:textId="3860A2EB" w:rsidR="0043736E" w:rsidRDefault="001F0277">
      <w:pPr>
        <w:widowControl w:val="0"/>
        <w:spacing w:line="480" w:lineRule="auto"/>
        <w:ind w:left="2" w:hanging="2"/>
        <w:jc w:val="both"/>
        <w:rPr>
          <w:sz w:val="24"/>
          <w:szCs w:val="24"/>
        </w:rPr>
      </w:pPr>
      <w:r>
        <w:rPr>
          <w:sz w:val="24"/>
          <w:szCs w:val="24"/>
        </w:rPr>
        <w:t xml:space="preserve">GBEF = </w:t>
      </w:r>
      <w:r w:rsidR="00BA6AFB" w:rsidRPr="005D2F91">
        <w:rPr>
          <w:sz w:val="24"/>
          <w:szCs w:val="24"/>
          <w:highlight w:val="yellow"/>
        </w:rPr>
        <w:t>Pre-meal</w:t>
      </w:r>
      <w:r w:rsidRPr="005D2F91">
        <w:rPr>
          <w:sz w:val="24"/>
          <w:szCs w:val="24"/>
          <w:highlight w:val="yellow"/>
        </w:rPr>
        <w:t xml:space="preserve"> </w:t>
      </w:r>
      <w:r>
        <w:rPr>
          <w:sz w:val="24"/>
          <w:szCs w:val="24"/>
        </w:rPr>
        <w:t xml:space="preserve">gall bladder counts - </w:t>
      </w:r>
      <w:proofErr w:type="gramStart"/>
      <w:r w:rsidR="00BA6AFB" w:rsidRPr="005D2F91">
        <w:rPr>
          <w:sz w:val="24"/>
          <w:szCs w:val="24"/>
          <w:highlight w:val="yellow"/>
        </w:rPr>
        <w:t>Post-meal</w:t>
      </w:r>
      <w:proofErr w:type="gramEnd"/>
      <w:r w:rsidRPr="005D2F91">
        <w:rPr>
          <w:sz w:val="24"/>
          <w:szCs w:val="24"/>
          <w:highlight w:val="yellow"/>
        </w:rPr>
        <w:t xml:space="preserve"> </w:t>
      </w:r>
      <w:r>
        <w:rPr>
          <w:sz w:val="24"/>
          <w:szCs w:val="24"/>
        </w:rPr>
        <w:t xml:space="preserve">gall bladder counts / </w:t>
      </w:r>
      <w:r w:rsidR="00BA6AFB" w:rsidRPr="005D2F91">
        <w:rPr>
          <w:sz w:val="24"/>
          <w:szCs w:val="24"/>
          <w:highlight w:val="yellow"/>
        </w:rPr>
        <w:t>Pre-meal</w:t>
      </w:r>
      <w:r w:rsidRPr="005D2F91">
        <w:rPr>
          <w:sz w:val="24"/>
          <w:szCs w:val="24"/>
          <w:highlight w:val="yellow"/>
        </w:rPr>
        <w:t xml:space="preserve"> </w:t>
      </w:r>
      <w:r>
        <w:rPr>
          <w:sz w:val="24"/>
          <w:szCs w:val="24"/>
        </w:rPr>
        <w:t>gall bladder counts x 100.</w:t>
      </w:r>
    </w:p>
    <w:p w14:paraId="436B8B46" w14:textId="6E56EB35" w:rsidR="0043736E" w:rsidRDefault="001F0277">
      <w:pPr>
        <w:widowControl w:val="0"/>
        <w:spacing w:line="480" w:lineRule="auto"/>
        <w:ind w:left="2" w:hanging="2"/>
        <w:jc w:val="both"/>
        <w:rPr>
          <w:sz w:val="24"/>
          <w:szCs w:val="24"/>
        </w:rPr>
      </w:pPr>
      <w:r>
        <w:rPr>
          <w:sz w:val="24"/>
          <w:szCs w:val="24"/>
        </w:rPr>
        <w:t xml:space="preserve">Patients with GBEF </w:t>
      </w:r>
      <w:r w:rsidR="00BA6AFB" w:rsidRPr="005D2F91">
        <w:rPr>
          <w:sz w:val="24"/>
          <w:szCs w:val="24"/>
          <w:highlight w:val="yellow"/>
        </w:rPr>
        <w:t>values</w:t>
      </w:r>
      <w:r w:rsidR="00BA6AFB" w:rsidRPr="005D2F91">
        <w:rPr>
          <w:sz w:val="24"/>
          <w:szCs w:val="24"/>
          <w:highlight w:val="yellow"/>
        </w:rPr>
        <w:t xml:space="preserve"> </w:t>
      </w:r>
      <w:r>
        <w:rPr>
          <w:sz w:val="24"/>
          <w:szCs w:val="24"/>
        </w:rPr>
        <w:t>less than 45% were considered abnormal and designated as GB hypo/dyskinesia, and patients with GBEF values greater than 80% were considered to have biliary hyperkinesia</w:t>
      </w:r>
      <w:r>
        <w:rPr>
          <w:sz w:val="24"/>
          <w:szCs w:val="24"/>
          <w:vertAlign w:val="superscript"/>
        </w:rPr>
        <w:t>4</w:t>
      </w:r>
      <w:r>
        <w:rPr>
          <w:sz w:val="24"/>
          <w:szCs w:val="24"/>
        </w:rPr>
        <w:t>. (Fig1 &amp;2)</w:t>
      </w:r>
    </w:p>
    <w:p w14:paraId="0FCAD213" w14:textId="77777777" w:rsidR="0043736E" w:rsidRDefault="001F0277">
      <w:pPr>
        <w:widowControl w:val="0"/>
        <w:spacing w:line="480" w:lineRule="auto"/>
        <w:ind w:left="2" w:hanging="2"/>
        <w:rPr>
          <w:sz w:val="24"/>
          <w:szCs w:val="24"/>
        </w:rPr>
      </w:pPr>
      <w:r>
        <w:rPr>
          <w:b/>
          <w:sz w:val="24"/>
          <w:szCs w:val="24"/>
        </w:rPr>
        <w:t>3) Patient interview</w:t>
      </w:r>
    </w:p>
    <w:p w14:paraId="72E9EDFA" w14:textId="77777777" w:rsidR="0043736E" w:rsidRDefault="001F0277">
      <w:pPr>
        <w:widowControl w:val="0"/>
        <w:spacing w:line="480" w:lineRule="auto"/>
        <w:ind w:left="2" w:hanging="2"/>
        <w:rPr>
          <w:rFonts w:eastAsia="Calibri"/>
          <w:sz w:val="24"/>
          <w:szCs w:val="24"/>
        </w:rPr>
      </w:pPr>
      <w:r>
        <w:rPr>
          <w:sz w:val="24"/>
          <w:szCs w:val="24"/>
        </w:rPr>
        <w:lastRenderedPageBreak/>
        <w:t xml:space="preserve">Patients were contacted through telephone and/or during their routine visit to the Gastroenterology department. </w:t>
      </w:r>
      <w:r>
        <w:rPr>
          <w:rFonts w:eastAsia="Calibri"/>
          <w:sz w:val="24"/>
          <w:szCs w:val="24"/>
        </w:rPr>
        <w:t xml:space="preserve">(Fig 3) </w:t>
      </w:r>
    </w:p>
    <w:p w14:paraId="135B902D" w14:textId="77777777" w:rsidR="0043736E" w:rsidRDefault="00BA6AFB">
      <w:pPr>
        <w:widowControl w:val="0"/>
        <w:spacing w:line="480" w:lineRule="auto"/>
        <w:ind w:left="2" w:hanging="2"/>
        <w:rPr>
          <w:rFonts w:eastAsia="Calibri"/>
          <w:sz w:val="24"/>
          <w:szCs w:val="24"/>
        </w:rPr>
      </w:pPr>
      <w:r>
        <w:rPr>
          <w:rFonts w:eastAsia="Calibri"/>
          <w:sz w:val="24"/>
          <w:szCs w:val="24"/>
        </w:rPr>
        <w:lastRenderedPageBreak/>
        <w:pict w14:anchorId="6AEF4E7C">
          <v:shape id="Picture Frame 8" o:spid="_x0000_i1027" type="#_x0000_t75" style="width:449.15pt;height:636.75pt">
            <v:imagedata r:id="rId10" o:title="Fig 3 HIDA"/>
          </v:shape>
        </w:pict>
      </w:r>
    </w:p>
    <w:p w14:paraId="3AB6C7AB" w14:textId="77777777" w:rsidR="0043736E" w:rsidRDefault="001F0277">
      <w:pPr>
        <w:spacing w:line="360" w:lineRule="auto"/>
        <w:ind w:left="2" w:hanging="2"/>
        <w:jc w:val="center"/>
        <w:rPr>
          <w:rFonts w:eastAsia="Calibri"/>
          <w:b/>
          <w:bCs/>
          <w:sz w:val="24"/>
          <w:szCs w:val="24"/>
        </w:rPr>
      </w:pPr>
      <w:r>
        <w:rPr>
          <w:rFonts w:eastAsia="Calibri"/>
          <w:b/>
          <w:bCs/>
          <w:sz w:val="24"/>
          <w:szCs w:val="24"/>
        </w:rPr>
        <w:t>Fig 3:  Proposed algorithmic approach for FGBD</w:t>
      </w:r>
    </w:p>
    <w:p w14:paraId="1116C33D" w14:textId="4B29C365" w:rsidR="0043736E" w:rsidRDefault="001F0277">
      <w:pPr>
        <w:widowControl w:val="0"/>
        <w:autoSpaceDE w:val="0"/>
        <w:autoSpaceDN w:val="0"/>
        <w:spacing w:line="480" w:lineRule="auto"/>
        <w:ind w:left="2" w:hanging="2"/>
        <w:rPr>
          <w:rFonts w:eastAsia="Calibri"/>
          <w:sz w:val="24"/>
          <w:szCs w:val="24"/>
        </w:rPr>
      </w:pPr>
      <w:r>
        <w:rPr>
          <w:rFonts w:eastAsia="Calibri"/>
          <w:sz w:val="24"/>
          <w:szCs w:val="24"/>
        </w:rPr>
        <w:lastRenderedPageBreak/>
        <w:t xml:space="preserve">Functional gall bladder disease was diagnosed in 69 subjects. 52 of these were followed up for 4 weeks. Patients with milder pain were observed; those with moderate to severe </w:t>
      </w:r>
      <w:r w:rsidR="00BA6AFB" w:rsidRPr="005D2F91">
        <w:rPr>
          <w:rFonts w:eastAsia="Calibri"/>
          <w:sz w:val="24"/>
          <w:szCs w:val="24"/>
          <w:highlight w:val="yellow"/>
        </w:rPr>
        <w:t>pain</w:t>
      </w:r>
      <w:r w:rsidR="00BA6AFB" w:rsidRPr="005D2F91">
        <w:rPr>
          <w:rFonts w:eastAsia="Calibri"/>
          <w:sz w:val="24"/>
          <w:szCs w:val="24"/>
          <w:highlight w:val="yellow"/>
        </w:rPr>
        <w:t xml:space="preserve"> </w:t>
      </w:r>
      <w:r>
        <w:rPr>
          <w:rFonts w:eastAsia="Calibri"/>
          <w:sz w:val="24"/>
          <w:szCs w:val="24"/>
        </w:rPr>
        <w:t xml:space="preserve">were subjected </w:t>
      </w:r>
      <w:r w:rsidR="00BA6AFB" w:rsidRPr="005D2F91">
        <w:rPr>
          <w:rFonts w:eastAsia="Calibri"/>
          <w:sz w:val="24"/>
          <w:szCs w:val="24"/>
          <w:highlight w:val="yellow"/>
        </w:rPr>
        <w:t>to</w:t>
      </w:r>
      <w:r w:rsidR="00BA6AFB" w:rsidRPr="005D2F91">
        <w:rPr>
          <w:rFonts w:eastAsia="Calibri"/>
          <w:sz w:val="24"/>
          <w:szCs w:val="24"/>
          <w:highlight w:val="yellow"/>
        </w:rPr>
        <w:t xml:space="preserve"> </w:t>
      </w:r>
      <w:r>
        <w:rPr>
          <w:rFonts w:eastAsia="Calibri"/>
          <w:sz w:val="24"/>
          <w:szCs w:val="24"/>
        </w:rPr>
        <w:t xml:space="preserve">cholecystectomy. Among those operated (n=20), patients with GBEF &lt; 38 (19/20) improved, while 1 patient with GBEF of 38-45% (1/20) did not improve. The result shows that subjects of FGBD with significant pain and GBEF &lt; 38% are the likely candidates to benefit from cholecystectomy. </w:t>
      </w:r>
    </w:p>
    <w:p w14:paraId="314CC604" w14:textId="77777777" w:rsidR="0043736E" w:rsidRDefault="0043736E">
      <w:pPr>
        <w:widowControl w:val="0"/>
        <w:spacing w:line="480" w:lineRule="auto"/>
        <w:ind w:left="2" w:hanging="2"/>
        <w:rPr>
          <w:sz w:val="24"/>
          <w:szCs w:val="24"/>
        </w:rPr>
      </w:pPr>
    </w:p>
    <w:p w14:paraId="69554C89" w14:textId="77777777" w:rsidR="0043736E" w:rsidRDefault="001F0277">
      <w:pPr>
        <w:ind w:firstLineChars="0" w:firstLine="0"/>
        <w:jc w:val="both"/>
        <w:rPr>
          <w:sz w:val="24"/>
          <w:szCs w:val="24"/>
        </w:rPr>
      </w:pPr>
      <w:r>
        <w:rPr>
          <w:b/>
          <w:sz w:val="24"/>
          <w:szCs w:val="24"/>
        </w:rPr>
        <w:t>Results:</w:t>
      </w:r>
    </w:p>
    <w:p w14:paraId="08660FBF" w14:textId="1C39E391" w:rsidR="0043736E" w:rsidRDefault="001F0277">
      <w:pPr>
        <w:spacing w:line="480" w:lineRule="auto"/>
        <w:ind w:left="2" w:hanging="2"/>
        <w:jc w:val="both"/>
        <w:rPr>
          <w:sz w:val="24"/>
          <w:szCs w:val="24"/>
        </w:rPr>
      </w:pPr>
      <w:r>
        <w:rPr>
          <w:sz w:val="24"/>
          <w:szCs w:val="24"/>
        </w:rPr>
        <w:t xml:space="preserve">Patients who had RUQ pains (mild to severe intensity) with normal ultrasonography of </w:t>
      </w:r>
      <w:r w:rsidR="00BA6AFB" w:rsidRPr="005D2F91">
        <w:rPr>
          <w:sz w:val="24"/>
          <w:szCs w:val="24"/>
          <w:highlight w:val="yellow"/>
        </w:rPr>
        <w:t xml:space="preserve">the </w:t>
      </w:r>
      <w:r>
        <w:rPr>
          <w:sz w:val="24"/>
          <w:szCs w:val="24"/>
        </w:rPr>
        <w:t xml:space="preserve">abdomen and endoscopy (exclusion of stone and ulcer disease) were subjected to </w:t>
      </w:r>
      <w:r w:rsidR="00BA6AFB" w:rsidRPr="005D2F91">
        <w:rPr>
          <w:sz w:val="24"/>
          <w:szCs w:val="24"/>
          <w:highlight w:val="yellow"/>
        </w:rPr>
        <w:t xml:space="preserve">an </w:t>
      </w:r>
      <w:r>
        <w:rPr>
          <w:sz w:val="24"/>
          <w:szCs w:val="24"/>
        </w:rPr>
        <w:t xml:space="preserve">HIDA scan. A </w:t>
      </w:r>
      <w:proofErr w:type="spellStart"/>
      <w:r w:rsidR="00BA6AFB" w:rsidRPr="005D2F91">
        <w:rPr>
          <w:sz w:val="24"/>
          <w:szCs w:val="24"/>
          <w:highlight w:val="yellow"/>
        </w:rPr>
        <w:t>standardised</w:t>
      </w:r>
      <w:proofErr w:type="spellEnd"/>
      <w:r w:rsidR="00BA6AFB" w:rsidRPr="005D2F91">
        <w:rPr>
          <w:sz w:val="24"/>
          <w:szCs w:val="24"/>
          <w:highlight w:val="yellow"/>
        </w:rPr>
        <w:t xml:space="preserve"> </w:t>
      </w:r>
      <w:r>
        <w:rPr>
          <w:sz w:val="24"/>
          <w:szCs w:val="24"/>
        </w:rPr>
        <w:t>protocol was followed.</w:t>
      </w:r>
    </w:p>
    <w:p w14:paraId="4E76BC0C" w14:textId="59BB8F41" w:rsidR="0043736E" w:rsidRDefault="001F0277">
      <w:pPr>
        <w:spacing w:line="480" w:lineRule="auto"/>
        <w:ind w:left="2" w:hanging="2"/>
        <w:jc w:val="both"/>
        <w:rPr>
          <w:sz w:val="24"/>
          <w:szCs w:val="24"/>
        </w:rPr>
      </w:pPr>
      <w:r>
        <w:rPr>
          <w:sz w:val="24"/>
          <w:szCs w:val="24"/>
        </w:rPr>
        <w:t>A total of 116 patients having RUQ pain underwent HIDA; 69/116 were positive</w:t>
      </w:r>
      <w:r w:rsidR="00BA6AFB">
        <w:rPr>
          <w:sz w:val="24"/>
          <w:szCs w:val="24"/>
        </w:rPr>
        <w:t>,</w:t>
      </w:r>
      <w:r>
        <w:rPr>
          <w:sz w:val="24"/>
          <w:szCs w:val="24"/>
        </w:rPr>
        <w:t xml:space="preserve"> and the rest 47/116 were negative. GBEF was between 38-45% in 9/69 and less than 38% in 60/69. Data could be obtained in 52/69 &amp; could not be </w:t>
      </w:r>
      <w:r w:rsidR="00BA6AFB" w:rsidRPr="005D2F91">
        <w:rPr>
          <w:sz w:val="24"/>
          <w:szCs w:val="24"/>
          <w:highlight w:val="yellow"/>
        </w:rPr>
        <w:t>retrieved</w:t>
      </w:r>
      <w:r w:rsidR="00BA6AFB" w:rsidRPr="005D2F91">
        <w:rPr>
          <w:sz w:val="24"/>
          <w:szCs w:val="24"/>
          <w:highlight w:val="yellow"/>
        </w:rPr>
        <w:t xml:space="preserve"> </w:t>
      </w:r>
      <w:r>
        <w:rPr>
          <w:sz w:val="24"/>
          <w:szCs w:val="24"/>
        </w:rPr>
        <w:t xml:space="preserve">in 17/69 subjects. Subjects in whom the GBEF was low and had </w:t>
      </w:r>
      <w:r w:rsidR="00BA6AFB" w:rsidRPr="005D2F91">
        <w:rPr>
          <w:sz w:val="24"/>
          <w:szCs w:val="24"/>
          <w:highlight w:val="yellow"/>
        </w:rPr>
        <w:t>significant</w:t>
      </w:r>
      <w:r w:rsidR="00BA6AFB" w:rsidRPr="005D2F91">
        <w:rPr>
          <w:sz w:val="24"/>
          <w:szCs w:val="24"/>
          <w:highlight w:val="yellow"/>
        </w:rPr>
        <w:t xml:space="preserve"> </w:t>
      </w:r>
      <w:r>
        <w:rPr>
          <w:sz w:val="24"/>
          <w:szCs w:val="24"/>
        </w:rPr>
        <w:t>symptoms were suggested cholecystectomy (20/52) and underwent the procedure (Table no. 4). Rest of 32/52 had mild symptoms and were not suggested surgery. Precisely</w:t>
      </w:r>
      <w:r w:rsidR="00BA6AFB">
        <w:rPr>
          <w:sz w:val="24"/>
          <w:szCs w:val="24"/>
        </w:rPr>
        <w:t>,</w:t>
      </w:r>
      <w:r>
        <w:rPr>
          <w:sz w:val="24"/>
          <w:szCs w:val="24"/>
        </w:rPr>
        <w:t xml:space="preserve"> patients who had moderate &amp; severe pains were operated and the rest were followed up with mild analgesia. Among the patients who were operated (20/52), 19 made good symptomatic improvement</w:t>
      </w:r>
      <w:r w:rsidR="00BA6AFB">
        <w:rPr>
          <w:sz w:val="24"/>
          <w:szCs w:val="24"/>
        </w:rPr>
        <w:t>,</w:t>
      </w:r>
      <w:r>
        <w:rPr>
          <w:sz w:val="24"/>
          <w:szCs w:val="24"/>
        </w:rPr>
        <w:t xml:space="preserve"> and 1 patient had </w:t>
      </w:r>
      <w:r w:rsidR="00BA6AFB" w:rsidRPr="005D2F91">
        <w:rPr>
          <w:sz w:val="24"/>
          <w:szCs w:val="24"/>
          <w:highlight w:val="yellow"/>
        </w:rPr>
        <w:t xml:space="preserve">an </w:t>
      </w:r>
      <w:r>
        <w:rPr>
          <w:sz w:val="24"/>
          <w:szCs w:val="24"/>
        </w:rPr>
        <w:t xml:space="preserve">unsatisfactory course, with persistence of symptoms. Gall bladder histopathology was normal in 5, acute inflammation in 3, chronic inflammation in 4 and not obtainable in others. </w:t>
      </w:r>
    </w:p>
    <w:p w14:paraId="3C18F1E6" w14:textId="77777777" w:rsidR="0043736E" w:rsidRDefault="001F0277">
      <w:pPr>
        <w:spacing w:line="480" w:lineRule="auto"/>
        <w:ind w:left="2" w:hanging="2"/>
        <w:jc w:val="both"/>
        <w:rPr>
          <w:sz w:val="24"/>
          <w:szCs w:val="24"/>
        </w:rPr>
      </w:pPr>
      <w:r>
        <w:rPr>
          <w:sz w:val="24"/>
          <w:szCs w:val="24"/>
        </w:rPr>
        <w:t>Among the patients who were not operated (32/52), there was symptomatic recovery in (30/32) with simple analgesics, but 2/32 continued to have significant symptoms.</w:t>
      </w:r>
    </w:p>
    <w:p w14:paraId="2404E0B8" w14:textId="15A421DC" w:rsidR="0043736E" w:rsidRDefault="001F0277">
      <w:pPr>
        <w:spacing w:line="480" w:lineRule="auto"/>
        <w:ind w:left="2" w:hanging="2"/>
        <w:jc w:val="both"/>
        <w:rPr>
          <w:sz w:val="24"/>
          <w:szCs w:val="24"/>
        </w:rPr>
      </w:pPr>
      <w:r>
        <w:rPr>
          <w:sz w:val="24"/>
          <w:szCs w:val="24"/>
        </w:rPr>
        <w:lastRenderedPageBreak/>
        <w:t>Overall</w:t>
      </w:r>
      <w:r w:rsidR="00BA6AFB">
        <w:rPr>
          <w:sz w:val="24"/>
          <w:szCs w:val="24"/>
        </w:rPr>
        <w:t>,</w:t>
      </w:r>
      <w:r>
        <w:rPr>
          <w:sz w:val="24"/>
          <w:szCs w:val="24"/>
        </w:rPr>
        <w:t xml:space="preserve"> it was observed that in subjects with RUQ pain and low GBEF, the important indicator for cholecystectomy was the presence &amp; intensity of pain rather than mere detection of low GBEF. Despite the basis of pain being the criteria for selection for cholecystectomy</w:t>
      </w:r>
      <w:r w:rsidR="00BA6AFB">
        <w:rPr>
          <w:sz w:val="24"/>
          <w:szCs w:val="24"/>
        </w:rPr>
        <w:t>,</w:t>
      </w:r>
      <w:r>
        <w:rPr>
          <w:sz w:val="24"/>
          <w:szCs w:val="24"/>
        </w:rPr>
        <w:t xml:space="preserve"> the GBEF between operated and </w:t>
      </w:r>
      <w:r w:rsidR="00BA6AFB" w:rsidRPr="005D2F91">
        <w:rPr>
          <w:sz w:val="24"/>
          <w:szCs w:val="24"/>
          <w:highlight w:val="yellow"/>
        </w:rPr>
        <w:t>non-operated</w:t>
      </w:r>
      <w:r w:rsidRPr="005D2F91">
        <w:rPr>
          <w:sz w:val="24"/>
          <w:szCs w:val="24"/>
          <w:highlight w:val="yellow"/>
        </w:rPr>
        <w:t xml:space="preserve"> </w:t>
      </w:r>
      <w:r>
        <w:rPr>
          <w:sz w:val="24"/>
          <w:szCs w:val="24"/>
        </w:rPr>
        <w:t xml:space="preserve">patients reached statistical significance. The mean SD GBEF being 16.43±12.02 in operated and 25.50±13.14 in </w:t>
      </w:r>
      <w:r w:rsidR="00BA6AFB" w:rsidRPr="005D2F91">
        <w:rPr>
          <w:sz w:val="24"/>
          <w:szCs w:val="24"/>
          <w:highlight w:val="yellow"/>
        </w:rPr>
        <w:t>non-operated</w:t>
      </w:r>
      <w:r w:rsidRPr="005D2F91">
        <w:rPr>
          <w:sz w:val="24"/>
          <w:szCs w:val="24"/>
          <w:highlight w:val="yellow"/>
        </w:rPr>
        <w:t xml:space="preserve"> </w:t>
      </w:r>
      <w:r>
        <w:rPr>
          <w:sz w:val="24"/>
          <w:szCs w:val="24"/>
        </w:rPr>
        <w:t xml:space="preserve">patients (Table no 5&amp;6) </w:t>
      </w:r>
    </w:p>
    <w:p w14:paraId="6A2DB65A" w14:textId="77777777" w:rsidR="0043736E" w:rsidRDefault="0043736E">
      <w:pPr>
        <w:ind w:firstLineChars="0" w:firstLine="0"/>
        <w:jc w:val="both"/>
        <w:rPr>
          <w:sz w:val="24"/>
          <w:szCs w:val="24"/>
        </w:rPr>
      </w:pPr>
    </w:p>
    <w:p w14:paraId="76B98DC8" w14:textId="77777777" w:rsidR="0043736E" w:rsidRDefault="001F0277">
      <w:pPr>
        <w:ind w:left="2" w:hanging="2"/>
        <w:jc w:val="center"/>
        <w:rPr>
          <w:sz w:val="24"/>
          <w:szCs w:val="24"/>
        </w:rPr>
      </w:pPr>
      <w:r>
        <w:rPr>
          <w:b/>
          <w:sz w:val="24"/>
          <w:szCs w:val="24"/>
        </w:rPr>
        <w:t>Table 5: Comparison of Ejection Fraction</w:t>
      </w:r>
    </w:p>
    <w:p w14:paraId="478131DC" w14:textId="77777777" w:rsidR="0043736E" w:rsidRDefault="0043736E">
      <w:pPr>
        <w:ind w:left="2" w:hanging="2"/>
        <w:jc w:val="center"/>
        <w:rPr>
          <w:sz w:val="24"/>
          <w:szCs w:val="24"/>
        </w:rPr>
      </w:pPr>
    </w:p>
    <w:tbl>
      <w:tblPr>
        <w:tblW w:w="7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5"/>
        <w:gridCol w:w="1350"/>
        <w:gridCol w:w="1440"/>
        <w:gridCol w:w="1809"/>
        <w:gridCol w:w="1251"/>
      </w:tblGrid>
      <w:tr w:rsidR="0043736E" w14:paraId="1FA5F51A" w14:textId="77777777">
        <w:trPr>
          <w:jc w:val="center"/>
        </w:trPr>
        <w:tc>
          <w:tcPr>
            <w:tcW w:w="2075" w:type="dxa"/>
          </w:tcPr>
          <w:p w14:paraId="426296AB" w14:textId="77777777" w:rsidR="0043736E" w:rsidRDefault="001F0277">
            <w:pPr>
              <w:ind w:left="2" w:hanging="2"/>
              <w:jc w:val="center"/>
              <w:rPr>
                <w:sz w:val="24"/>
                <w:szCs w:val="24"/>
              </w:rPr>
            </w:pPr>
            <w:r>
              <w:rPr>
                <w:b/>
                <w:sz w:val="24"/>
                <w:szCs w:val="24"/>
              </w:rPr>
              <w:t>Variable</w:t>
            </w:r>
          </w:p>
        </w:tc>
        <w:tc>
          <w:tcPr>
            <w:tcW w:w="1350" w:type="dxa"/>
          </w:tcPr>
          <w:p w14:paraId="5B3AFE7A" w14:textId="77777777" w:rsidR="0043736E" w:rsidRDefault="001F0277">
            <w:pPr>
              <w:ind w:left="2" w:hanging="2"/>
              <w:jc w:val="center"/>
              <w:rPr>
                <w:sz w:val="24"/>
                <w:szCs w:val="24"/>
              </w:rPr>
            </w:pPr>
            <w:r>
              <w:rPr>
                <w:b/>
                <w:sz w:val="24"/>
                <w:szCs w:val="24"/>
              </w:rPr>
              <w:t>Minimum</w:t>
            </w:r>
          </w:p>
        </w:tc>
        <w:tc>
          <w:tcPr>
            <w:tcW w:w="1440" w:type="dxa"/>
          </w:tcPr>
          <w:p w14:paraId="01417ECB" w14:textId="77777777" w:rsidR="0043736E" w:rsidRDefault="001F0277">
            <w:pPr>
              <w:ind w:left="2" w:hanging="2"/>
              <w:jc w:val="center"/>
              <w:rPr>
                <w:sz w:val="24"/>
                <w:szCs w:val="24"/>
              </w:rPr>
            </w:pPr>
            <w:r>
              <w:rPr>
                <w:b/>
                <w:sz w:val="24"/>
                <w:szCs w:val="24"/>
              </w:rPr>
              <w:t>Maximum</w:t>
            </w:r>
          </w:p>
        </w:tc>
        <w:tc>
          <w:tcPr>
            <w:tcW w:w="1809" w:type="dxa"/>
          </w:tcPr>
          <w:p w14:paraId="48A9D782" w14:textId="77777777" w:rsidR="0043736E" w:rsidRDefault="001F0277">
            <w:pPr>
              <w:ind w:left="2" w:hanging="2"/>
              <w:jc w:val="center"/>
              <w:rPr>
                <w:sz w:val="24"/>
                <w:szCs w:val="24"/>
              </w:rPr>
            </w:pPr>
            <w:r>
              <w:rPr>
                <w:b/>
                <w:sz w:val="24"/>
                <w:szCs w:val="24"/>
              </w:rPr>
              <w:t>Mean ± SD</w:t>
            </w:r>
          </w:p>
        </w:tc>
        <w:tc>
          <w:tcPr>
            <w:tcW w:w="1251" w:type="dxa"/>
          </w:tcPr>
          <w:p w14:paraId="36BD850C" w14:textId="77777777" w:rsidR="0043736E" w:rsidRDefault="001F0277">
            <w:pPr>
              <w:ind w:left="2" w:hanging="2"/>
              <w:jc w:val="center"/>
              <w:rPr>
                <w:sz w:val="24"/>
                <w:szCs w:val="24"/>
              </w:rPr>
            </w:pPr>
            <w:r>
              <w:rPr>
                <w:b/>
                <w:sz w:val="24"/>
                <w:szCs w:val="24"/>
              </w:rPr>
              <w:t>P value</w:t>
            </w:r>
          </w:p>
        </w:tc>
      </w:tr>
      <w:tr w:rsidR="0043736E" w14:paraId="389F47BE" w14:textId="77777777">
        <w:trPr>
          <w:jc w:val="center"/>
        </w:trPr>
        <w:tc>
          <w:tcPr>
            <w:tcW w:w="2075" w:type="dxa"/>
          </w:tcPr>
          <w:p w14:paraId="3CB8B4D2" w14:textId="77777777" w:rsidR="0043736E" w:rsidRDefault="001F0277">
            <w:pPr>
              <w:ind w:left="2" w:hanging="2"/>
              <w:jc w:val="center"/>
              <w:rPr>
                <w:sz w:val="24"/>
                <w:szCs w:val="24"/>
              </w:rPr>
            </w:pPr>
            <w:r>
              <w:rPr>
                <w:sz w:val="24"/>
                <w:szCs w:val="24"/>
              </w:rPr>
              <w:t>Operated</w:t>
            </w:r>
          </w:p>
        </w:tc>
        <w:tc>
          <w:tcPr>
            <w:tcW w:w="1350" w:type="dxa"/>
          </w:tcPr>
          <w:p w14:paraId="14FDB5FB" w14:textId="77777777" w:rsidR="0043736E" w:rsidRDefault="001F0277">
            <w:pPr>
              <w:ind w:left="2" w:hanging="2"/>
              <w:jc w:val="center"/>
              <w:rPr>
                <w:sz w:val="24"/>
                <w:szCs w:val="24"/>
              </w:rPr>
            </w:pPr>
            <w:r>
              <w:rPr>
                <w:sz w:val="24"/>
                <w:szCs w:val="24"/>
              </w:rPr>
              <w:t>0</w:t>
            </w:r>
          </w:p>
        </w:tc>
        <w:tc>
          <w:tcPr>
            <w:tcW w:w="1440" w:type="dxa"/>
          </w:tcPr>
          <w:p w14:paraId="643B21EB" w14:textId="77777777" w:rsidR="0043736E" w:rsidRDefault="001F0277">
            <w:pPr>
              <w:ind w:left="2" w:hanging="2"/>
              <w:jc w:val="center"/>
              <w:rPr>
                <w:sz w:val="24"/>
                <w:szCs w:val="24"/>
              </w:rPr>
            </w:pPr>
            <w:r>
              <w:rPr>
                <w:sz w:val="24"/>
                <w:szCs w:val="24"/>
              </w:rPr>
              <w:t>34</w:t>
            </w:r>
          </w:p>
        </w:tc>
        <w:tc>
          <w:tcPr>
            <w:tcW w:w="1809" w:type="dxa"/>
          </w:tcPr>
          <w:p w14:paraId="4B911601" w14:textId="77777777" w:rsidR="0043736E" w:rsidRDefault="001F0277">
            <w:pPr>
              <w:ind w:left="2" w:hanging="2"/>
              <w:jc w:val="center"/>
            </w:pPr>
            <w:r>
              <w:rPr>
                <w:sz w:val="24"/>
                <w:szCs w:val="24"/>
              </w:rPr>
              <w:t>16.43±12.02</w:t>
            </w:r>
          </w:p>
        </w:tc>
        <w:tc>
          <w:tcPr>
            <w:tcW w:w="1251" w:type="dxa"/>
            <w:vMerge w:val="restart"/>
          </w:tcPr>
          <w:p w14:paraId="1805F1D8" w14:textId="77777777" w:rsidR="0043736E" w:rsidRDefault="0043736E">
            <w:pPr>
              <w:spacing w:after="0"/>
              <w:ind w:left="2" w:hanging="2"/>
              <w:rPr>
                <w:sz w:val="24"/>
                <w:szCs w:val="24"/>
              </w:rPr>
            </w:pPr>
          </w:p>
          <w:p w14:paraId="371B97E7" w14:textId="77777777" w:rsidR="0043736E" w:rsidRDefault="001F0277">
            <w:pPr>
              <w:spacing w:after="0"/>
              <w:ind w:left="2" w:hanging="2"/>
              <w:jc w:val="center"/>
              <w:rPr>
                <w:sz w:val="24"/>
                <w:szCs w:val="24"/>
              </w:rPr>
            </w:pPr>
            <w:r>
              <w:rPr>
                <w:sz w:val="24"/>
                <w:szCs w:val="24"/>
              </w:rPr>
              <w:t>0.0142*</w:t>
            </w:r>
          </w:p>
        </w:tc>
      </w:tr>
      <w:tr w:rsidR="0043736E" w14:paraId="107F667D" w14:textId="77777777">
        <w:trPr>
          <w:trHeight w:val="398"/>
          <w:jc w:val="center"/>
        </w:trPr>
        <w:tc>
          <w:tcPr>
            <w:tcW w:w="2075" w:type="dxa"/>
          </w:tcPr>
          <w:p w14:paraId="51902129" w14:textId="77777777" w:rsidR="0043736E" w:rsidRDefault="001F0277">
            <w:pPr>
              <w:ind w:left="2" w:hanging="2"/>
              <w:jc w:val="center"/>
              <w:rPr>
                <w:sz w:val="24"/>
                <w:szCs w:val="24"/>
              </w:rPr>
            </w:pPr>
            <w:r>
              <w:rPr>
                <w:sz w:val="24"/>
                <w:szCs w:val="24"/>
              </w:rPr>
              <w:t>Non-operated</w:t>
            </w:r>
          </w:p>
        </w:tc>
        <w:tc>
          <w:tcPr>
            <w:tcW w:w="1350" w:type="dxa"/>
          </w:tcPr>
          <w:p w14:paraId="2154F345" w14:textId="77777777" w:rsidR="0043736E" w:rsidRDefault="001F0277">
            <w:pPr>
              <w:ind w:left="2" w:hanging="2"/>
              <w:jc w:val="center"/>
              <w:rPr>
                <w:sz w:val="24"/>
                <w:szCs w:val="24"/>
              </w:rPr>
            </w:pPr>
            <w:r>
              <w:rPr>
                <w:sz w:val="24"/>
                <w:szCs w:val="24"/>
              </w:rPr>
              <w:t>5</w:t>
            </w:r>
          </w:p>
        </w:tc>
        <w:tc>
          <w:tcPr>
            <w:tcW w:w="1440" w:type="dxa"/>
          </w:tcPr>
          <w:p w14:paraId="53055B95" w14:textId="77777777" w:rsidR="0043736E" w:rsidRDefault="001F0277">
            <w:pPr>
              <w:ind w:left="2" w:hanging="2"/>
              <w:jc w:val="center"/>
              <w:rPr>
                <w:sz w:val="24"/>
                <w:szCs w:val="24"/>
              </w:rPr>
            </w:pPr>
            <w:r>
              <w:rPr>
                <w:sz w:val="24"/>
                <w:szCs w:val="24"/>
              </w:rPr>
              <w:t>45</w:t>
            </w:r>
          </w:p>
        </w:tc>
        <w:tc>
          <w:tcPr>
            <w:tcW w:w="1809" w:type="dxa"/>
          </w:tcPr>
          <w:p w14:paraId="0F9741D7" w14:textId="77777777" w:rsidR="0043736E" w:rsidRDefault="001F0277">
            <w:pPr>
              <w:ind w:left="2" w:hanging="2"/>
              <w:jc w:val="center"/>
            </w:pPr>
            <w:r>
              <w:rPr>
                <w:sz w:val="24"/>
                <w:szCs w:val="24"/>
              </w:rPr>
              <w:t>25.50±13.14</w:t>
            </w:r>
          </w:p>
        </w:tc>
        <w:tc>
          <w:tcPr>
            <w:tcW w:w="1251" w:type="dxa"/>
            <w:vMerge/>
          </w:tcPr>
          <w:p w14:paraId="38C59F5C" w14:textId="77777777" w:rsidR="0043736E" w:rsidRDefault="0043736E">
            <w:pPr>
              <w:widowControl w:val="0"/>
              <w:pBdr>
                <w:top w:val="single" w:sz="0" w:space="0" w:color="auto"/>
                <w:left w:val="single" w:sz="0" w:space="0" w:color="auto"/>
                <w:bottom w:val="single" w:sz="0" w:space="0" w:color="auto"/>
                <w:right w:val="single" w:sz="0" w:space="0" w:color="auto"/>
                <w:between w:val="single" w:sz="0" w:space="0" w:color="auto"/>
              </w:pBdr>
              <w:shd w:val="clear" w:color="050000" w:fill="auto"/>
              <w:spacing w:after="0" w:line="276" w:lineRule="auto"/>
              <w:ind w:left="2" w:hanging="2"/>
            </w:pPr>
          </w:p>
        </w:tc>
      </w:tr>
    </w:tbl>
    <w:p w14:paraId="028B89A1" w14:textId="77777777" w:rsidR="0043736E" w:rsidRDefault="0043736E">
      <w:pPr>
        <w:spacing w:line="360" w:lineRule="auto"/>
        <w:ind w:left="2" w:hanging="2"/>
        <w:jc w:val="both"/>
        <w:rPr>
          <w:sz w:val="24"/>
          <w:szCs w:val="24"/>
        </w:rPr>
      </w:pPr>
    </w:p>
    <w:p w14:paraId="3E2B8C27" w14:textId="54B3C458" w:rsidR="0043736E" w:rsidRDefault="00BA6AFB">
      <w:pPr>
        <w:spacing w:line="360" w:lineRule="auto"/>
        <w:ind w:left="2" w:hanging="2"/>
        <w:jc w:val="both"/>
        <w:rPr>
          <w:sz w:val="24"/>
          <w:szCs w:val="24"/>
        </w:rPr>
      </w:pPr>
      <w:r w:rsidRPr="005D2F91">
        <w:rPr>
          <w:sz w:val="24"/>
          <w:szCs w:val="24"/>
          <w:highlight w:val="yellow"/>
        </w:rPr>
        <w:t>A statistically</w:t>
      </w:r>
      <w:r>
        <w:rPr>
          <w:sz w:val="24"/>
          <w:szCs w:val="24"/>
        </w:rPr>
        <w:t xml:space="preserve"> </w:t>
      </w:r>
      <w:r w:rsidR="001F0277">
        <w:rPr>
          <w:sz w:val="24"/>
          <w:szCs w:val="24"/>
        </w:rPr>
        <w:t>significant difference was found in the ejection fraction between operated and non-operated patients.</w:t>
      </w:r>
    </w:p>
    <w:p w14:paraId="27AC8385" w14:textId="77777777" w:rsidR="0043736E" w:rsidRDefault="001F0277">
      <w:pPr>
        <w:ind w:left="2" w:hanging="2"/>
        <w:jc w:val="center"/>
        <w:rPr>
          <w:sz w:val="24"/>
          <w:szCs w:val="24"/>
        </w:rPr>
      </w:pPr>
      <w:r>
        <w:rPr>
          <w:b/>
          <w:sz w:val="24"/>
          <w:szCs w:val="24"/>
        </w:rPr>
        <w:t>Table 6: Comparison of Pain</w:t>
      </w:r>
    </w:p>
    <w:p w14:paraId="203E5D82" w14:textId="77777777" w:rsidR="0043736E" w:rsidRDefault="0043736E">
      <w:pPr>
        <w:ind w:left="2" w:hanging="2"/>
        <w:rPr>
          <w:sz w:val="24"/>
          <w:szCs w:val="24"/>
        </w:rPr>
      </w:pPr>
    </w:p>
    <w:tbl>
      <w:tblPr>
        <w:tblW w:w="6048" w:type="dxa"/>
        <w:jc w:val="center"/>
        <w:tblLayout w:type="fixed"/>
        <w:tblLook w:val="04A0" w:firstRow="1" w:lastRow="0" w:firstColumn="1" w:lastColumn="0" w:noHBand="0" w:noVBand="1"/>
      </w:tblPr>
      <w:tblGrid>
        <w:gridCol w:w="2138"/>
        <w:gridCol w:w="1398"/>
        <w:gridCol w:w="1276"/>
        <w:gridCol w:w="1236"/>
      </w:tblGrid>
      <w:tr w:rsidR="0043736E" w14:paraId="21676CD6" w14:textId="77777777">
        <w:trPr>
          <w:trHeight w:val="230"/>
          <w:jc w:val="center"/>
        </w:trPr>
        <w:tc>
          <w:tcPr>
            <w:tcW w:w="2138" w:type="dxa"/>
            <w:vMerge w:val="restart"/>
            <w:tcBorders>
              <w:top w:val="single" w:sz="8" w:space="0" w:color="000000"/>
              <w:left w:val="single" w:sz="8" w:space="0" w:color="000000"/>
              <w:right w:val="single" w:sz="8" w:space="0" w:color="000000"/>
            </w:tcBorders>
          </w:tcPr>
          <w:p w14:paraId="1396160D" w14:textId="77777777" w:rsidR="0043736E" w:rsidRDefault="001F0277">
            <w:pPr>
              <w:spacing w:after="0" w:line="240" w:lineRule="auto"/>
              <w:ind w:left="2" w:hanging="2"/>
              <w:jc w:val="center"/>
              <w:rPr>
                <w:color w:val="000000"/>
                <w:sz w:val="24"/>
                <w:szCs w:val="24"/>
              </w:rPr>
            </w:pPr>
            <w:r>
              <w:rPr>
                <w:b/>
                <w:color w:val="000000"/>
                <w:sz w:val="24"/>
                <w:szCs w:val="24"/>
              </w:rPr>
              <w:t>Variable</w:t>
            </w:r>
          </w:p>
          <w:p w14:paraId="7FD8B1AF" w14:textId="77777777" w:rsidR="0043736E" w:rsidRDefault="0043736E">
            <w:pPr>
              <w:spacing w:after="0" w:line="240" w:lineRule="auto"/>
              <w:ind w:left="2" w:hanging="2"/>
              <w:jc w:val="center"/>
              <w:rPr>
                <w:color w:val="000000"/>
                <w:sz w:val="24"/>
                <w:szCs w:val="24"/>
              </w:rPr>
            </w:pPr>
          </w:p>
        </w:tc>
        <w:tc>
          <w:tcPr>
            <w:tcW w:w="2674" w:type="dxa"/>
            <w:gridSpan w:val="2"/>
            <w:tcBorders>
              <w:top w:val="single" w:sz="8" w:space="0" w:color="000000"/>
              <w:left w:val="nil"/>
              <w:bottom w:val="single" w:sz="4" w:space="0" w:color="000000"/>
              <w:right w:val="single" w:sz="8" w:space="0" w:color="000000"/>
            </w:tcBorders>
          </w:tcPr>
          <w:p w14:paraId="372572EC" w14:textId="77777777" w:rsidR="0043736E" w:rsidRDefault="001F0277">
            <w:pPr>
              <w:spacing w:after="0" w:line="360" w:lineRule="auto"/>
              <w:ind w:left="2" w:hanging="2"/>
              <w:jc w:val="center"/>
              <w:rPr>
                <w:color w:val="000000"/>
                <w:sz w:val="24"/>
                <w:szCs w:val="24"/>
              </w:rPr>
            </w:pPr>
            <w:r>
              <w:rPr>
                <w:b/>
                <w:color w:val="000000"/>
                <w:sz w:val="24"/>
                <w:szCs w:val="24"/>
              </w:rPr>
              <w:t>Pain</w:t>
            </w:r>
          </w:p>
        </w:tc>
        <w:tc>
          <w:tcPr>
            <w:tcW w:w="1236" w:type="dxa"/>
            <w:vMerge w:val="restart"/>
            <w:tcBorders>
              <w:top w:val="single" w:sz="8" w:space="0" w:color="000000"/>
              <w:left w:val="nil"/>
              <w:right w:val="single" w:sz="8" w:space="0" w:color="000000"/>
            </w:tcBorders>
          </w:tcPr>
          <w:p w14:paraId="32B69463" w14:textId="77777777" w:rsidR="0043736E" w:rsidRDefault="001F0277">
            <w:pPr>
              <w:spacing w:after="0" w:line="360" w:lineRule="auto"/>
              <w:ind w:left="2" w:hanging="2"/>
              <w:jc w:val="center"/>
              <w:rPr>
                <w:color w:val="000000"/>
                <w:sz w:val="24"/>
                <w:szCs w:val="24"/>
              </w:rPr>
            </w:pPr>
            <w:r>
              <w:rPr>
                <w:b/>
                <w:color w:val="000000"/>
                <w:sz w:val="24"/>
                <w:szCs w:val="24"/>
              </w:rPr>
              <w:t>P value</w:t>
            </w:r>
          </w:p>
        </w:tc>
      </w:tr>
      <w:tr w:rsidR="0043736E" w14:paraId="7A0B246A" w14:textId="77777777">
        <w:trPr>
          <w:trHeight w:val="174"/>
          <w:jc w:val="center"/>
        </w:trPr>
        <w:tc>
          <w:tcPr>
            <w:tcW w:w="2138" w:type="dxa"/>
            <w:vMerge/>
            <w:tcBorders>
              <w:top w:val="single" w:sz="8" w:space="0" w:color="000000"/>
              <w:left w:val="single" w:sz="8" w:space="0" w:color="000000"/>
              <w:right w:val="single" w:sz="8" w:space="0" w:color="000000"/>
            </w:tcBorders>
          </w:tcPr>
          <w:p w14:paraId="17C7238A" w14:textId="77777777" w:rsidR="0043736E" w:rsidRDefault="0043736E">
            <w:pPr>
              <w:widowControl w:val="0"/>
              <w:pBdr>
                <w:top w:val="single" w:sz="0" w:space="0" w:color="auto"/>
                <w:left w:val="single" w:sz="0" w:space="0" w:color="auto"/>
                <w:bottom w:val="single" w:sz="0" w:space="0" w:color="auto"/>
                <w:right w:val="single" w:sz="0" w:space="0" w:color="auto"/>
                <w:between w:val="single" w:sz="0" w:space="0" w:color="auto"/>
              </w:pBdr>
              <w:shd w:val="clear" w:color="050000" w:fill="auto"/>
              <w:spacing w:after="0" w:line="276" w:lineRule="auto"/>
              <w:ind w:left="2" w:hanging="2"/>
              <w:rPr>
                <w:color w:val="000000"/>
                <w:sz w:val="24"/>
                <w:szCs w:val="24"/>
              </w:rPr>
            </w:pPr>
          </w:p>
        </w:tc>
        <w:tc>
          <w:tcPr>
            <w:tcW w:w="1398" w:type="dxa"/>
            <w:tcBorders>
              <w:top w:val="single" w:sz="4" w:space="0" w:color="000000"/>
              <w:left w:val="nil"/>
              <w:bottom w:val="single" w:sz="8" w:space="0" w:color="000000"/>
              <w:right w:val="single" w:sz="4" w:space="0" w:color="000000"/>
            </w:tcBorders>
          </w:tcPr>
          <w:p w14:paraId="4DAB17C9" w14:textId="77777777" w:rsidR="0043736E" w:rsidRDefault="001F0277">
            <w:pPr>
              <w:spacing w:after="0" w:line="360" w:lineRule="auto"/>
              <w:ind w:left="2" w:hanging="2"/>
              <w:jc w:val="center"/>
              <w:rPr>
                <w:color w:val="000000"/>
                <w:sz w:val="24"/>
                <w:szCs w:val="24"/>
              </w:rPr>
            </w:pPr>
            <w:r>
              <w:rPr>
                <w:b/>
                <w:color w:val="000000"/>
                <w:sz w:val="24"/>
                <w:szCs w:val="24"/>
              </w:rPr>
              <w:t>Present</w:t>
            </w:r>
          </w:p>
        </w:tc>
        <w:tc>
          <w:tcPr>
            <w:tcW w:w="1276" w:type="dxa"/>
            <w:tcBorders>
              <w:top w:val="single" w:sz="4" w:space="0" w:color="000000"/>
              <w:left w:val="single" w:sz="4" w:space="0" w:color="000000"/>
              <w:bottom w:val="single" w:sz="8" w:space="0" w:color="000000"/>
              <w:right w:val="single" w:sz="8" w:space="0" w:color="000000"/>
            </w:tcBorders>
          </w:tcPr>
          <w:p w14:paraId="37BC4BC4" w14:textId="77777777" w:rsidR="0043736E" w:rsidRDefault="001F0277">
            <w:pPr>
              <w:spacing w:after="0" w:line="360" w:lineRule="auto"/>
              <w:ind w:left="2" w:hanging="2"/>
              <w:jc w:val="center"/>
              <w:rPr>
                <w:color w:val="000000"/>
                <w:sz w:val="24"/>
                <w:szCs w:val="24"/>
              </w:rPr>
            </w:pPr>
            <w:r>
              <w:rPr>
                <w:b/>
                <w:color w:val="000000"/>
                <w:sz w:val="24"/>
                <w:szCs w:val="24"/>
              </w:rPr>
              <w:t>Absent</w:t>
            </w:r>
          </w:p>
        </w:tc>
        <w:tc>
          <w:tcPr>
            <w:tcW w:w="1236" w:type="dxa"/>
            <w:vMerge/>
            <w:tcBorders>
              <w:top w:val="single" w:sz="8" w:space="0" w:color="000000"/>
              <w:left w:val="nil"/>
              <w:right w:val="single" w:sz="8" w:space="0" w:color="000000"/>
            </w:tcBorders>
          </w:tcPr>
          <w:p w14:paraId="4DB37E8F" w14:textId="77777777" w:rsidR="0043736E" w:rsidRDefault="0043736E">
            <w:pPr>
              <w:widowControl w:val="0"/>
              <w:pBdr>
                <w:top w:val="single" w:sz="0" w:space="0" w:color="auto"/>
                <w:left w:val="single" w:sz="0" w:space="0" w:color="auto"/>
                <w:bottom w:val="single" w:sz="0" w:space="0" w:color="auto"/>
                <w:right w:val="single" w:sz="0" w:space="0" w:color="auto"/>
                <w:between w:val="single" w:sz="0" w:space="0" w:color="auto"/>
              </w:pBdr>
              <w:shd w:val="clear" w:color="050000" w:fill="auto"/>
              <w:spacing w:after="0" w:line="276" w:lineRule="auto"/>
              <w:ind w:left="2" w:hanging="2"/>
              <w:rPr>
                <w:color w:val="000000"/>
                <w:sz w:val="24"/>
                <w:szCs w:val="24"/>
              </w:rPr>
            </w:pPr>
          </w:p>
        </w:tc>
      </w:tr>
      <w:tr w:rsidR="0043736E" w14:paraId="09A6FEC3" w14:textId="77777777">
        <w:trPr>
          <w:trHeight w:val="331"/>
          <w:jc w:val="center"/>
        </w:trPr>
        <w:tc>
          <w:tcPr>
            <w:tcW w:w="2138" w:type="dxa"/>
            <w:tcBorders>
              <w:top w:val="nil"/>
              <w:left w:val="single" w:sz="8" w:space="0" w:color="000000"/>
              <w:bottom w:val="single" w:sz="8" w:space="0" w:color="000000"/>
              <w:right w:val="single" w:sz="8" w:space="0" w:color="000000"/>
            </w:tcBorders>
          </w:tcPr>
          <w:p w14:paraId="1880E900" w14:textId="77777777" w:rsidR="0043736E" w:rsidRDefault="001F0277">
            <w:pPr>
              <w:spacing w:after="0" w:line="360" w:lineRule="auto"/>
              <w:ind w:left="2" w:hanging="2"/>
              <w:jc w:val="center"/>
              <w:rPr>
                <w:color w:val="000000"/>
                <w:sz w:val="24"/>
                <w:szCs w:val="24"/>
              </w:rPr>
            </w:pPr>
            <w:r>
              <w:rPr>
                <w:color w:val="000000"/>
                <w:sz w:val="24"/>
                <w:szCs w:val="24"/>
              </w:rPr>
              <w:t>Operated</w:t>
            </w:r>
          </w:p>
        </w:tc>
        <w:tc>
          <w:tcPr>
            <w:tcW w:w="1398" w:type="dxa"/>
            <w:tcBorders>
              <w:top w:val="nil"/>
              <w:left w:val="nil"/>
              <w:bottom w:val="single" w:sz="8" w:space="0" w:color="000000"/>
              <w:right w:val="single" w:sz="4" w:space="0" w:color="000000"/>
            </w:tcBorders>
          </w:tcPr>
          <w:p w14:paraId="24776D75" w14:textId="77777777" w:rsidR="0043736E" w:rsidRDefault="001F0277">
            <w:pPr>
              <w:spacing w:after="0" w:line="360" w:lineRule="auto"/>
              <w:ind w:left="2" w:hanging="2"/>
              <w:jc w:val="center"/>
              <w:rPr>
                <w:color w:val="000000"/>
                <w:sz w:val="24"/>
                <w:szCs w:val="24"/>
              </w:rPr>
            </w:pPr>
            <w:r>
              <w:rPr>
                <w:color w:val="000000"/>
                <w:sz w:val="24"/>
                <w:szCs w:val="24"/>
              </w:rPr>
              <w:t>03</w:t>
            </w:r>
          </w:p>
        </w:tc>
        <w:tc>
          <w:tcPr>
            <w:tcW w:w="1276" w:type="dxa"/>
            <w:tcBorders>
              <w:top w:val="nil"/>
              <w:left w:val="single" w:sz="4" w:space="0" w:color="000000"/>
              <w:bottom w:val="single" w:sz="8" w:space="0" w:color="000000"/>
              <w:right w:val="single" w:sz="8" w:space="0" w:color="000000"/>
            </w:tcBorders>
          </w:tcPr>
          <w:p w14:paraId="14AEEDC9" w14:textId="77777777" w:rsidR="0043736E" w:rsidRDefault="001F0277">
            <w:pPr>
              <w:spacing w:after="0" w:line="360" w:lineRule="auto"/>
              <w:ind w:left="2" w:hanging="2"/>
              <w:jc w:val="center"/>
              <w:rPr>
                <w:color w:val="000000"/>
                <w:sz w:val="24"/>
                <w:szCs w:val="24"/>
              </w:rPr>
            </w:pPr>
            <w:r>
              <w:rPr>
                <w:color w:val="000000"/>
                <w:sz w:val="24"/>
                <w:szCs w:val="24"/>
              </w:rPr>
              <w:t>18</w:t>
            </w:r>
          </w:p>
        </w:tc>
        <w:tc>
          <w:tcPr>
            <w:tcW w:w="1236" w:type="dxa"/>
            <w:vMerge w:val="restart"/>
            <w:tcBorders>
              <w:top w:val="nil"/>
              <w:left w:val="single" w:sz="4" w:space="0" w:color="000000"/>
              <w:right w:val="single" w:sz="8" w:space="0" w:color="000000"/>
            </w:tcBorders>
          </w:tcPr>
          <w:p w14:paraId="15E4E80D" w14:textId="77777777" w:rsidR="0043736E" w:rsidRDefault="001F0277">
            <w:pPr>
              <w:spacing w:after="0" w:line="240" w:lineRule="auto"/>
              <w:ind w:left="2" w:hanging="2"/>
              <w:jc w:val="center"/>
              <w:rPr>
                <w:color w:val="000000"/>
                <w:sz w:val="24"/>
                <w:szCs w:val="24"/>
              </w:rPr>
            </w:pPr>
            <w:r>
              <w:rPr>
                <w:color w:val="000000"/>
                <w:sz w:val="24"/>
                <w:szCs w:val="24"/>
              </w:rPr>
              <w:t>0.4938</w:t>
            </w:r>
          </w:p>
        </w:tc>
      </w:tr>
      <w:tr w:rsidR="0043736E" w14:paraId="3DC5B08B" w14:textId="77777777">
        <w:trPr>
          <w:trHeight w:val="265"/>
          <w:jc w:val="center"/>
        </w:trPr>
        <w:tc>
          <w:tcPr>
            <w:tcW w:w="2138" w:type="dxa"/>
            <w:tcBorders>
              <w:top w:val="nil"/>
              <w:left w:val="single" w:sz="8" w:space="0" w:color="000000"/>
              <w:bottom w:val="single" w:sz="8" w:space="0" w:color="000000"/>
              <w:right w:val="single" w:sz="8" w:space="0" w:color="000000"/>
            </w:tcBorders>
          </w:tcPr>
          <w:p w14:paraId="66882F9E" w14:textId="77777777" w:rsidR="0043736E" w:rsidRDefault="001F0277">
            <w:pPr>
              <w:spacing w:after="0" w:line="360" w:lineRule="auto"/>
              <w:ind w:left="2" w:hanging="2"/>
              <w:jc w:val="center"/>
              <w:rPr>
                <w:color w:val="000000"/>
                <w:sz w:val="24"/>
                <w:szCs w:val="24"/>
              </w:rPr>
            </w:pPr>
            <w:r>
              <w:rPr>
                <w:color w:val="000000"/>
                <w:sz w:val="24"/>
                <w:szCs w:val="24"/>
              </w:rPr>
              <w:t>Non-operated</w:t>
            </w:r>
          </w:p>
        </w:tc>
        <w:tc>
          <w:tcPr>
            <w:tcW w:w="1398" w:type="dxa"/>
            <w:tcBorders>
              <w:top w:val="nil"/>
              <w:left w:val="nil"/>
              <w:bottom w:val="single" w:sz="8" w:space="0" w:color="000000"/>
              <w:right w:val="single" w:sz="4" w:space="0" w:color="000000"/>
            </w:tcBorders>
          </w:tcPr>
          <w:p w14:paraId="1197A3C2" w14:textId="77777777" w:rsidR="0043736E" w:rsidRDefault="001F0277">
            <w:pPr>
              <w:spacing w:after="0" w:line="360" w:lineRule="auto"/>
              <w:ind w:left="2" w:hanging="2"/>
              <w:jc w:val="center"/>
              <w:rPr>
                <w:color w:val="000000"/>
                <w:sz w:val="24"/>
                <w:szCs w:val="24"/>
              </w:rPr>
            </w:pPr>
            <w:r>
              <w:rPr>
                <w:color w:val="000000"/>
                <w:sz w:val="24"/>
                <w:szCs w:val="24"/>
              </w:rPr>
              <w:t>08</w:t>
            </w:r>
          </w:p>
        </w:tc>
        <w:tc>
          <w:tcPr>
            <w:tcW w:w="1276" w:type="dxa"/>
            <w:tcBorders>
              <w:top w:val="nil"/>
              <w:left w:val="single" w:sz="4" w:space="0" w:color="000000"/>
              <w:bottom w:val="single" w:sz="8" w:space="0" w:color="000000"/>
              <w:right w:val="single" w:sz="8" w:space="0" w:color="000000"/>
            </w:tcBorders>
          </w:tcPr>
          <w:p w14:paraId="0171F769" w14:textId="77777777" w:rsidR="0043736E" w:rsidRDefault="001F0277">
            <w:pPr>
              <w:spacing w:after="0" w:line="360" w:lineRule="auto"/>
              <w:ind w:left="2" w:hanging="2"/>
              <w:jc w:val="center"/>
              <w:rPr>
                <w:color w:val="000000"/>
                <w:sz w:val="24"/>
                <w:szCs w:val="24"/>
              </w:rPr>
            </w:pPr>
            <w:r>
              <w:rPr>
                <w:color w:val="000000"/>
                <w:sz w:val="24"/>
                <w:szCs w:val="24"/>
              </w:rPr>
              <w:t>24</w:t>
            </w:r>
          </w:p>
        </w:tc>
        <w:tc>
          <w:tcPr>
            <w:tcW w:w="1236" w:type="dxa"/>
            <w:vMerge/>
            <w:tcBorders>
              <w:top w:val="nil"/>
              <w:left w:val="single" w:sz="4" w:space="0" w:color="000000"/>
              <w:right w:val="single" w:sz="8" w:space="0" w:color="000000"/>
            </w:tcBorders>
          </w:tcPr>
          <w:p w14:paraId="0C2D37E3" w14:textId="77777777" w:rsidR="0043736E" w:rsidRDefault="0043736E">
            <w:pPr>
              <w:widowControl w:val="0"/>
              <w:pBdr>
                <w:top w:val="single" w:sz="0" w:space="0" w:color="auto"/>
                <w:left w:val="single" w:sz="0" w:space="0" w:color="auto"/>
                <w:bottom w:val="single" w:sz="0" w:space="0" w:color="auto"/>
                <w:right w:val="single" w:sz="0" w:space="0" w:color="auto"/>
                <w:between w:val="single" w:sz="0" w:space="0" w:color="auto"/>
              </w:pBdr>
              <w:shd w:val="clear" w:color="050000" w:fill="auto"/>
              <w:spacing w:after="0" w:line="276" w:lineRule="auto"/>
              <w:ind w:left="2" w:hanging="2"/>
              <w:rPr>
                <w:color w:val="000000"/>
                <w:sz w:val="24"/>
                <w:szCs w:val="24"/>
              </w:rPr>
            </w:pPr>
          </w:p>
        </w:tc>
      </w:tr>
    </w:tbl>
    <w:p w14:paraId="6412A8DC" w14:textId="77777777" w:rsidR="0043736E" w:rsidRDefault="0043736E">
      <w:pPr>
        <w:ind w:left="2" w:hanging="2"/>
        <w:jc w:val="center"/>
        <w:rPr>
          <w:sz w:val="24"/>
          <w:szCs w:val="24"/>
        </w:rPr>
      </w:pPr>
    </w:p>
    <w:p w14:paraId="3AE4F8B5" w14:textId="48E95C2D" w:rsidR="0043736E" w:rsidRDefault="001F0277">
      <w:pPr>
        <w:spacing w:line="360" w:lineRule="auto"/>
        <w:ind w:left="2" w:hanging="2"/>
        <w:jc w:val="both"/>
        <w:rPr>
          <w:sz w:val="24"/>
          <w:szCs w:val="24"/>
        </w:rPr>
      </w:pPr>
      <w:r>
        <w:rPr>
          <w:sz w:val="24"/>
          <w:szCs w:val="24"/>
        </w:rPr>
        <w:t xml:space="preserve">Statistically significant difference was not found in the pain scale between operated and </w:t>
      </w:r>
      <w:r w:rsidR="00BA6AFB" w:rsidRPr="005D2F91">
        <w:rPr>
          <w:sz w:val="24"/>
          <w:szCs w:val="24"/>
          <w:highlight w:val="yellow"/>
        </w:rPr>
        <w:t>non-operated</w:t>
      </w:r>
      <w:r>
        <w:rPr>
          <w:sz w:val="24"/>
          <w:szCs w:val="24"/>
        </w:rPr>
        <w:t xml:space="preserve"> patients. </w:t>
      </w:r>
    </w:p>
    <w:p w14:paraId="7D260A19" w14:textId="77777777" w:rsidR="0043736E" w:rsidRDefault="0043736E">
      <w:pPr>
        <w:ind w:firstLineChars="0" w:firstLine="0"/>
        <w:rPr>
          <w:sz w:val="24"/>
          <w:szCs w:val="24"/>
        </w:rPr>
      </w:pPr>
    </w:p>
    <w:p w14:paraId="375E52D3" w14:textId="77777777" w:rsidR="0043736E" w:rsidRDefault="00BA6AFB">
      <w:pPr>
        <w:spacing w:line="480" w:lineRule="auto"/>
        <w:ind w:left="2" w:hanging="2"/>
        <w:jc w:val="center"/>
        <w:rPr>
          <w:sz w:val="24"/>
          <w:szCs w:val="24"/>
        </w:rPr>
      </w:pPr>
      <w:r>
        <w:rPr>
          <w:sz w:val="24"/>
          <w:szCs w:val="24"/>
        </w:rPr>
        <w:lastRenderedPageBreak/>
        <w:pict w14:anchorId="79A2DEE2">
          <v:shape id="Picture Frame 1064" o:spid="_x0000_i1028" type="#_x0000_t75" style="width:159.65pt;height:110.2pt" o:preferrelative="f">
            <v:imagedata r:id="rId11" o:title=""/>
          </v:shape>
        </w:pict>
      </w:r>
    </w:p>
    <w:p w14:paraId="389C384D" w14:textId="3B82113A" w:rsidR="0043736E" w:rsidRDefault="001F0277">
      <w:pPr>
        <w:spacing w:line="480" w:lineRule="auto"/>
        <w:ind w:left="2" w:hanging="2"/>
        <w:jc w:val="center"/>
        <w:rPr>
          <w:sz w:val="24"/>
          <w:szCs w:val="24"/>
        </w:rPr>
      </w:pPr>
      <w:r>
        <w:rPr>
          <w:b/>
          <w:sz w:val="20"/>
          <w:szCs w:val="20"/>
        </w:rPr>
        <w:t xml:space="preserve">Fig 4 GB wall with mild lamina </w:t>
      </w:r>
      <w:r w:rsidR="00BA6AFB" w:rsidRPr="005D2F91">
        <w:rPr>
          <w:b/>
          <w:sz w:val="20"/>
          <w:szCs w:val="20"/>
          <w:highlight w:val="yellow"/>
        </w:rPr>
        <w:t>propria</w:t>
      </w:r>
      <w:r w:rsidR="00BA6AFB">
        <w:rPr>
          <w:b/>
          <w:sz w:val="20"/>
          <w:szCs w:val="20"/>
        </w:rPr>
        <w:t xml:space="preserve"> </w:t>
      </w:r>
      <w:r>
        <w:rPr>
          <w:b/>
          <w:sz w:val="20"/>
          <w:szCs w:val="20"/>
        </w:rPr>
        <w:t xml:space="preserve">fibrosis and mild chronic inflammation - chronic cholecystitis </w:t>
      </w:r>
    </w:p>
    <w:p w14:paraId="5C28BF08" w14:textId="77777777" w:rsidR="0043736E" w:rsidRDefault="00BA6AFB">
      <w:pPr>
        <w:spacing w:before="280" w:after="280" w:line="240" w:lineRule="auto"/>
        <w:ind w:left="2" w:hanging="2"/>
        <w:jc w:val="center"/>
        <w:rPr>
          <w:sz w:val="24"/>
          <w:szCs w:val="24"/>
        </w:rPr>
      </w:pPr>
      <w:r>
        <w:pict w14:anchorId="784D7D68">
          <v:shape id="Picture Frame 1065" o:spid="_x0000_i1029" type="#_x0000_t75" style="width:161.65pt;height:119.5pt" o:preferrelative="f">
            <v:imagedata r:id="rId12" o:title=""/>
          </v:shape>
        </w:pict>
      </w:r>
    </w:p>
    <w:p w14:paraId="223586AD" w14:textId="77777777" w:rsidR="0043736E" w:rsidRDefault="001F0277">
      <w:pPr>
        <w:spacing w:before="280" w:after="280" w:line="240" w:lineRule="auto"/>
        <w:ind w:left="2" w:hanging="2"/>
        <w:rPr>
          <w:sz w:val="24"/>
          <w:szCs w:val="24"/>
        </w:rPr>
      </w:pPr>
      <w:r>
        <w:rPr>
          <w:b/>
          <w:sz w:val="20"/>
          <w:szCs w:val="20"/>
        </w:rPr>
        <w:t xml:space="preserve">Fig </w:t>
      </w:r>
      <w:proofErr w:type="gramStart"/>
      <w:r>
        <w:rPr>
          <w:b/>
          <w:sz w:val="20"/>
          <w:szCs w:val="20"/>
        </w:rPr>
        <w:t>5  GB</w:t>
      </w:r>
      <w:proofErr w:type="gramEnd"/>
      <w:r>
        <w:rPr>
          <w:b/>
          <w:sz w:val="20"/>
          <w:szCs w:val="20"/>
        </w:rPr>
        <w:t xml:space="preserve"> wall with focal erosion and occasional neutrophil infiltrate </w:t>
      </w:r>
      <w:proofErr w:type="gramStart"/>
      <w:r>
        <w:rPr>
          <w:b/>
          <w:sz w:val="20"/>
          <w:szCs w:val="20"/>
        </w:rPr>
        <w:t>-  suggestive</w:t>
      </w:r>
      <w:proofErr w:type="gramEnd"/>
      <w:r>
        <w:rPr>
          <w:b/>
          <w:sz w:val="20"/>
          <w:szCs w:val="20"/>
        </w:rPr>
        <w:t xml:space="preserve"> of acute cholecystitis</w:t>
      </w:r>
    </w:p>
    <w:p w14:paraId="7A7C5C7B" w14:textId="77777777" w:rsidR="0043736E" w:rsidRDefault="0043736E">
      <w:pPr>
        <w:spacing w:before="280" w:after="280" w:line="240" w:lineRule="auto"/>
        <w:ind w:left="2" w:hanging="2"/>
        <w:jc w:val="center"/>
        <w:rPr>
          <w:sz w:val="24"/>
          <w:szCs w:val="24"/>
        </w:rPr>
      </w:pPr>
    </w:p>
    <w:p w14:paraId="0FF4DF63" w14:textId="77777777" w:rsidR="0043736E" w:rsidRDefault="00BA6AFB">
      <w:pPr>
        <w:spacing w:before="280" w:after="280" w:line="240" w:lineRule="auto"/>
        <w:ind w:left="2" w:hanging="2"/>
        <w:jc w:val="center"/>
        <w:rPr>
          <w:sz w:val="24"/>
          <w:szCs w:val="24"/>
        </w:rPr>
      </w:pPr>
      <w:r>
        <w:rPr>
          <w:sz w:val="24"/>
          <w:szCs w:val="24"/>
        </w:rPr>
        <w:pict w14:anchorId="4FD101FB">
          <v:shape id="Picture Frame 1066" o:spid="_x0000_i1030" type="#_x0000_t75" style="width:160.65pt;height:118.05pt" o:preferrelative="f">
            <v:imagedata r:id="rId13" o:title=""/>
          </v:shape>
        </w:pict>
      </w:r>
    </w:p>
    <w:p w14:paraId="402A8074" w14:textId="77777777" w:rsidR="0043736E" w:rsidRDefault="001F0277">
      <w:pPr>
        <w:spacing w:before="280" w:after="280" w:line="240" w:lineRule="auto"/>
        <w:ind w:left="2" w:hanging="2"/>
        <w:jc w:val="center"/>
        <w:rPr>
          <w:sz w:val="24"/>
          <w:szCs w:val="24"/>
        </w:rPr>
      </w:pPr>
      <w:r>
        <w:rPr>
          <w:b/>
          <w:sz w:val="20"/>
          <w:szCs w:val="20"/>
        </w:rPr>
        <w:t xml:space="preserve">Fig 6 Gall bladder mucosa with </w:t>
      </w:r>
      <w:proofErr w:type="spellStart"/>
      <w:r>
        <w:rPr>
          <w:b/>
          <w:sz w:val="20"/>
          <w:szCs w:val="20"/>
        </w:rPr>
        <w:t>cholesteatosis</w:t>
      </w:r>
      <w:proofErr w:type="spellEnd"/>
      <w:r>
        <w:rPr>
          <w:b/>
          <w:sz w:val="20"/>
          <w:szCs w:val="20"/>
        </w:rPr>
        <w:t xml:space="preserve"> (foamy macrophage aggregates)</w:t>
      </w:r>
    </w:p>
    <w:p w14:paraId="398EB16A" w14:textId="77777777" w:rsidR="0043736E" w:rsidRDefault="0043736E">
      <w:pPr>
        <w:spacing w:before="280" w:after="280" w:line="240" w:lineRule="auto"/>
        <w:ind w:left="2" w:hanging="2"/>
        <w:rPr>
          <w:sz w:val="24"/>
          <w:szCs w:val="24"/>
        </w:rPr>
      </w:pPr>
    </w:p>
    <w:p w14:paraId="32391017" w14:textId="77777777" w:rsidR="0043736E" w:rsidRDefault="00BA6AFB">
      <w:pPr>
        <w:spacing w:before="280" w:after="280" w:line="240" w:lineRule="auto"/>
        <w:ind w:left="2" w:hanging="2"/>
        <w:jc w:val="center"/>
        <w:rPr>
          <w:sz w:val="24"/>
          <w:szCs w:val="24"/>
        </w:rPr>
      </w:pPr>
      <w:r>
        <w:pict w14:anchorId="2045D61F">
          <v:shape id="Picture Frame 1067" o:spid="_x0000_i1031" type="#_x0000_t75" style="width:145pt;height:118.05pt" o:preferrelative="f">
            <v:imagedata r:id="rId14" o:title=""/>
          </v:shape>
        </w:pict>
      </w:r>
    </w:p>
    <w:p w14:paraId="522B215D" w14:textId="77777777" w:rsidR="0043736E" w:rsidRDefault="001F0277">
      <w:pPr>
        <w:spacing w:before="280" w:after="280" w:line="240" w:lineRule="auto"/>
        <w:ind w:left="2" w:hanging="2"/>
        <w:rPr>
          <w:sz w:val="24"/>
          <w:szCs w:val="24"/>
        </w:rPr>
      </w:pPr>
      <w:r>
        <w:rPr>
          <w:b/>
          <w:sz w:val="20"/>
          <w:szCs w:val="20"/>
        </w:rPr>
        <w:t xml:space="preserve">Fig 7 GB wall with reactive Rokitansky Aschoff’s sinuses and lamina </w:t>
      </w:r>
      <w:proofErr w:type="spellStart"/>
      <w:r>
        <w:rPr>
          <w:b/>
          <w:sz w:val="20"/>
          <w:szCs w:val="20"/>
        </w:rPr>
        <w:t>propia</w:t>
      </w:r>
      <w:proofErr w:type="spellEnd"/>
      <w:r>
        <w:rPr>
          <w:b/>
          <w:sz w:val="20"/>
          <w:szCs w:val="20"/>
        </w:rPr>
        <w:t xml:space="preserve"> fibrosis- chronic cholecystitis</w:t>
      </w:r>
    </w:p>
    <w:p w14:paraId="5BABD2E9" w14:textId="77777777" w:rsidR="0043736E" w:rsidRDefault="001F0277">
      <w:pPr>
        <w:widowControl w:val="0"/>
        <w:spacing w:line="276" w:lineRule="auto"/>
        <w:ind w:left="2" w:hanging="2"/>
        <w:rPr>
          <w:sz w:val="24"/>
          <w:szCs w:val="24"/>
        </w:rPr>
      </w:pPr>
      <w:r>
        <w:rPr>
          <w:b/>
          <w:sz w:val="24"/>
          <w:szCs w:val="24"/>
        </w:rPr>
        <w:lastRenderedPageBreak/>
        <w:t>Discussion:</w:t>
      </w:r>
    </w:p>
    <w:p w14:paraId="69C72496" w14:textId="49CEE315" w:rsidR="0043736E" w:rsidRDefault="001F0277">
      <w:pPr>
        <w:widowControl w:val="0"/>
        <w:spacing w:line="480" w:lineRule="auto"/>
        <w:ind w:left="2" w:hanging="2"/>
        <w:jc w:val="both"/>
        <w:rPr>
          <w:sz w:val="24"/>
          <w:szCs w:val="24"/>
        </w:rPr>
      </w:pPr>
      <w:r>
        <w:rPr>
          <w:sz w:val="24"/>
          <w:szCs w:val="24"/>
        </w:rPr>
        <w:t>FGBD</w:t>
      </w:r>
      <w:r>
        <w:rPr>
          <w:b/>
          <w:sz w:val="24"/>
          <w:szCs w:val="24"/>
        </w:rPr>
        <w:t xml:space="preserve"> </w:t>
      </w:r>
      <w:r>
        <w:rPr>
          <w:sz w:val="24"/>
          <w:szCs w:val="24"/>
        </w:rPr>
        <w:t xml:space="preserve">is not a common clinical problem, but </w:t>
      </w:r>
      <w:r w:rsidR="00BA6AFB" w:rsidRPr="005D2F91">
        <w:rPr>
          <w:sz w:val="24"/>
          <w:szCs w:val="24"/>
          <w:highlight w:val="yellow"/>
        </w:rPr>
        <w:t>it</w:t>
      </w:r>
      <w:r w:rsidR="00BA6AFB">
        <w:rPr>
          <w:sz w:val="24"/>
          <w:szCs w:val="24"/>
        </w:rPr>
        <w:t xml:space="preserve"> </w:t>
      </w:r>
      <w:r>
        <w:rPr>
          <w:sz w:val="24"/>
          <w:szCs w:val="24"/>
        </w:rPr>
        <w:t xml:space="preserve">does occur in a proportion of patients, causing significant morbidity. Despite its presence for a long time, clinicians tend to disregard the symptoms and consider it </w:t>
      </w:r>
      <w:r w:rsidR="00BA6AFB" w:rsidRPr="005D2F91">
        <w:rPr>
          <w:sz w:val="24"/>
          <w:szCs w:val="24"/>
          <w:highlight w:val="yellow"/>
        </w:rPr>
        <w:t>a</w:t>
      </w:r>
      <w:r w:rsidR="00BA6AFB" w:rsidRPr="005D2F91">
        <w:rPr>
          <w:sz w:val="24"/>
          <w:szCs w:val="24"/>
          <w:highlight w:val="yellow"/>
        </w:rPr>
        <w:t xml:space="preserve"> </w:t>
      </w:r>
      <w:r>
        <w:rPr>
          <w:sz w:val="24"/>
          <w:szCs w:val="24"/>
        </w:rPr>
        <w:t xml:space="preserve">functional gastrointestinal disorder (FGID) and do not convince </w:t>
      </w:r>
      <w:r w:rsidR="00BA6AFB" w:rsidRPr="005D2F91">
        <w:rPr>
          <w:sz w:val="24"/>
          <w:szCs w:val="24"/>
          <w:highlight w:val="yellow"/>
        </w:rPr>
        <w:t>patients</w:t>
      </w:r>
      <w:r w:rsidR="00BA6AFB" w:rsidRPr="005D2F91">
        <w:rPr>
          <w:sz w:val="24"/>
          <w:szCs w:val="24"/>
          <w:highlight w:val="yellow"/>
        </w:rPr>
        <w:t xml:space="preserve"> </w:t>
      </w:r>
      <w:r w:rsidR="00BA6AFB" w:rsidRPr="005D2F91">
        <w:rPr>
          <w:sz w:val="24"/>
          <w:szCs w:val="24"/>
          <w:highlight w:val="yellow"/>
        </w:rPr>
        <w:t>to undergo</w:t>
      </w:r>
      <w:r w:rsidR="00BA6AFB" w:rsidRPr="005D2F91">
        <w:rPr>
          <w:sz w:val="24"/>
          <w:szCs w:val="24"/>
          <w:highlight w:val="yellow"/>
        </w:rPr>
        <w:t xml:space="preserve"> </w:t>
      </w:r>
      <w:r>
        <w:rPr>
          <w:sz w:val="24"/>
          <w:szCs w:val="24"/>
        </w:rPr>
        <w:t>the surgical procedure of cholecystectomy</w:t>
      </w:r>
      <w:r w:rsidR="00BA6AFB">
        <w:rPr>
          <w:sz w:val="24"/>
          <w:szCs w:val="24"/>
        </w:rPr>
        <w:t>,</w:t>
      </w:r>
      <w:r>
        <w:rPr>
          <w:sz w:val="24"/>
          <w:szCs w:val="24"/>
        </w:rPr>
        <w:t xml:space="preserve"> as there is no definite assurance regarding pain relief after the operation. This attitude may be due to the experience in a limited number of cases</w:t>
      </w:r>
      <w:r w:rsidR="00BA6AFB">
        <w:rPr>
          <w:sz w:val="24"/>
          <w:szCs w:val="24"/>
        </w:rPr>
        <w:t>,</w:t>
      </w:r>
      <w:r>
        <w:rPr>
          <w:sz w:val="24"/>
          <w:szCs w:val="24"/>
        </w:rPr>
        <w:t xml:space="preserve"> and also due to improper selection. There are a few reports of cholecystectomy done for gall bladder </w:t>
      </w:r>
      <w:proofErr w:type="spellStart"/>
      <w:r>
        <w:rPr>
          <w:sz w:val="24"/>
          <w:szCs w:val="24"/>
        </w:rPr>
        <w:t>dykinesia</w:t>
      </w:r>
      <w:proofErr w:type="spellEnd"/>
      <w:r w:rsidR="00BA6AFB">
        <w:rPr>
          <w:sz w:val="24"/>
          <w:szCs w:val="24"/>
        </w:rPr>
        <w:t>,</w:t>
      </w:r>
      <w:r>
        <w:rPr>
          <w:sz w:val="24"/>
          <w:szCs w:val="24"/>
        </w:rPr>
        <w:t xml:space="preserve"> and the relief of symptoms was substantial. In an interim analysis reported by Kevin et al in 2024, out of 31 </w:t>
      </w:r>
      <w:r w:rsidR="00BA6AFB" w:rsidRPr="005D2F91">
        <w:rPr>
          <w:sz w:val="24"/>
          <w:szCs w:val="24"/>
          <w:highlight w:val="yellow"/>
        </w:rPr>
        <w:t>patients</w:t>
      </w:r>
      <w:r w:rsidR="00BA6AFB" w:rsidRPr="005D2F91">
        <w:rPr>
          <w:sz w:val="24"/>
          <w:szCs w:val="24"/>
          <w:highlight w:val="yellow"/>
        </w:rPr>
        <w:t xml:space="preserve"> </w:t>
      </w:r>
      <w:r>
        <w:rPr>
          <w:sz w:val="24"/>
          <w:szCs w:val="24"/>
        </w:rPr>
        <w:t xml:space="preserve">operated, 84% reported rapid improvement and 93% showed improvement at 6 months </w:t>
      </w:r>
      <w:r w:rsidR="00BA6AFB" w:rsidRPr="005D2F91">
        <w:rPr>
          <w:sz w:val="24"/>
          <w:szCs w:val="24"/>
          <w:highlight w:val="yellow"/>
        </w:rPr>
        <w:t>follow-up</w:t>
      </w:r>
      <w:r>
        <w:rPr>
          <w:sz w:val="24"/>
          <w:szCs w:val="24"/>
        </w:rPr>
        <w:t xml:space="preserve">. The study also suggested that FGBD should no longer be a controversial indication for </w:t>
      </w:r>
      <w:r w:rsidR="00BA6AFB" w:rsidRPr="005D2F91">
        <w:rPr>
          <w:sz w:val="24"/>
          <w:szCs w:val="24"/>
          <w:highlight w:val="yellow"/>
        </w:rPr>
        <w:t>cholecystectomy</w:t>
      </w:r>
      <w:r>
        <w:rPr>
          <w:sz w:val="24"/>
          <w:szCs w:val="24"/>
        </w:rPr>
        <w:t xml:space="preserve">. In an older study, out of 199 patients who underwent Cholecystectomy, 26 (13%) did not have </w:t>
      </w:r>
      <w:r w:rsidR="00BA6AFB" w:rsidRPr="005D2F91">
        <w:rPr>
          <w:sz w:val="24"/>
          <w:szCs w:val="24"/>
          <w:highlight w:val="yellow"/>
        </w:rPr>
        <w:t>gallstones</w:t>
      </w:r>
      <w:r>
        <w:rPr>
          <w:sz w:val="24"/>
          <w:szCs w:val="24"/>
        </w:rPr>
        <w:t xml:space="preserve">. It was suggested that symptomatic patients who may obtain </w:t>
      </w:r>
      <w:r w:rsidR="00BA6AFB" w:rsidRPr="005D2F91">
        <w:rPr>
          <w:sz w:val="24"/>
          <w:szCs w:val="24"/>
          <w:highlight w:val="yellow"/>
        </w:rPr>
        <w:t>long-term</w:t>
      </w:r>
      <w:r w:rsidRPr="005D2F91">
        <w:rPr>
          <w:sz w:val="24"/>
          <w:szCs w:val="24"/>
          <w:highlight w:val="yellow"/>
        </w:rPr>
        <w:t xml:space="preserve"> </w:t>
      </w:r>
      <w:r>
        <w:rPr>
          <w:sz w:val="24"/>
          <w:szCs w:val="24"/>
        </w:rPr>
        <w:t xml:space="preserve">relief after Cholecystectomy, the accuracy of sonography, oral cholecystography and biliary </w:t>
      </w:r>
      <w:proofErr w:type="spellStart"/>
      <w:r>
        <w:rPr>
          <w:sz w:val="24"/>
          <w:szCs w:val="24"/>
        </w:rPr>
        <w:t>scintingraphy</w:t>
      </w:r>
      <w:proofErr w:type="spellEnd"/>
      <w:r>
        <w:rPr>
          <w:sz w:val="24"/>
          <w:szCs w:val="24"/>
        </w:rPr>
        <w:t xml:space="preserve"> was 82%, 86% and 38% respectively. This study also inferred that more than one test positivity is required to predict </w:t>
      </w:r>
      <w:r w:rsidR="00BA6AFB" w:rsidRPr="005D2F91">
        <w:rPr>
          <w:sz w:val="24"/>
          <w:szCs w:val="24"/>
          <w:highlight w:val="yellow"/>
        </w:rPr>
        <w:t xml:space="preserve">a </w:t>
      </w:r>
      <w:r>
        <w:rPr>
          <w:sz w:val="24"/>
          <w:szCs w:val="24"/>
        </w:rPr>
        <w:t>good result from Cholecystectomy</w:t>
      </w:r>
      <w:r>
        <w:rPr>
          <w:sz w:val="24"/>
          <w:szCs w:val="24"/>
          <w:vertAlign w:val="superscript"/>
        </w:rPr>
        <w:t>8</w:t>
      </w:r>
      <w:r>
        <w:rPr>
          <w:sz w:val="24"/>
          <w:szCs w:val="24"/>
        </w:rPr>
        <w:t xml:space="preserve">. In a study by Jones et al, 36 patients with recurrent biliary colic and no evidence of </w:t>
      </w:r>
      <w:proofErr w:type="spellStart"/>
      <w:r>
        <w:rPr>
          <w:sz w:val="24"/>
          <w:szCs w:val="24"/>
        </w:rPr>
        <w:t>cholithiasis</w:t>
      </w:r>
      <w:proofErr w:type="spellEnd"/>
      <w:r>
        <w:rPr>
          <w:sz w:val="24"/>
          <w:szCs w:val="24"/>
        </w:rPr>
        <w:t xml:space="preserve"> by ultrasound were subjected to laparoscopic cholecystectomy. Among this group, low GBEF by scintigraphy was detected in 28/32</w:t>
      </w:r>
      <w:r w:rsidR="00BA6AFB">
        <w:rPr>
          <w:sz w:val="24"/>
          <w:szCs w:val="24"/>
        </w:rPr>
        <w:t>,</w:t>
      </w:r>
      <w:r>
        <w:rPr>
          <w:sz w:val="24"/>
          <w:szCs w:val="24"/>
        </w:rPr>
        <w:t xml:space="preserve"> and the rest 4/32 had normal GBEF. On </w:t>
      </w:r>
      <w:r w:rsidR="00BA6AFB" w:rsidRPr="005D2F91">
        <w:rPr>
          <w:sz w:val="24"/>
          <w:szCs w:val="24"/>
          <w:highlight w:val="yellow"/>
        </w:rPr>
        <w:t>follow-up</w:t>
      </w:r>
      <w:r w:rsidRPr="005D2F91">
        <w:rPr>
          <w:sz w:val="24"/>
          <w:szCs w:val="24"/>
          <w:highlight w:val="yellow"/>
        </w:rPr>
        <w:t xml:space="preserve"> </w:t>
      </w:r>
      <w:r>
        <w:rPr>
          <w:sz w:val="24"/>
          <w:szCs w:val="24"/>
        </w:rPr>
        <w:t>93% with low GBEF and 75% with normal GBEF had relief of biliary pain</w:t>
      </w:r>
      <w:r>
        <w:rPr>
          <w:sz w:val="24"/>
          <w:szCs w:val="24"/>
          <w:vertAlign w:val="superscript"/>
        </w:rPr>
        <w:t xml:space="preserve"> 9</w:t>
      </w:r>
      <w:r>
        <w:rPr>
          <w:sz w:val="24"/>
          <w:szCs w:val="24"/>
        </w:rPr>
        <w:t>.</w:t>
      </w:r>
    </w:p>
    <w:p w14:paraId="17D37692" w14:textId="108001B2" w:rsidR="0043736E" w:rsidRDefault="001F0277">
      <w:pPr>
        <w:widowControl w:val="0"/>
        <w:spacing w:line="480" w:lineRule="auto"/>
        <w:ind w:left="2" w:hanging="2"/>
        <w:jc w:val="both"/>
        <w:rPr>
          <w:sz w:val="24"/>
          <w:szCs w:val="24"/>
        </w:rPr>
      </w:pPr>
      <w:r>
        <w:rPr>
          <w:sz w:val="24"/>
          <w:szCs w:val="24"/>
        </w:rPr>
        <w:t>In our study, Cholecystectomy was carried out in the low GBEF group only if they suffered moderate to severe pain. Patients with milder pains (Pain scale) were asked to follow up</w:t>
      </w:r>
      <w:r w:rsidR="00BA6AFB">
        <w:rPr>
          <w:sz w:val="24"/>
          <w:szCs w:val="24"/>
        </w:rPr>
        <w:t>,</w:t>
      </w:r>
      <w:r>
        <w:rPr>
          <w:sz w:val="24"/>
          <w:szCs w:val="24"/>
        </w:rPr>
        <w:t xml:space="preserve"> and surgery was not carried out. This approach was based on our earlier experience of finding satisfactory </w:t>
      </w:r>
      <w:r w:rsidR="000B13D4" w:rsidRPr="005D2F91">
        <w:rPr>
          <w:sz w:val="24"/>
          <w:szCs w:val="24"/>
          <w:highlight w:val="yellow"/>
        </w:rPr>
        <w:t>responses</w:t>
      </w:r>
      <w:r w:rsidR="000B13D4" w:rsidRPr="005D2F91">
        <w:rPr>
          <w:sz w:val="24"/>
          <w:szCs w:val="24"/>
          <w:highlight w:val="yellow"/>
        </w:rPr>
        <w:t xml:space="preserve"> </w:t>
      </w:r>
      <w:r>
        <w:rPr>
          <w:sz w:val="24"/>
          <w:szCs w:val="24"/>
        </w:rPr>
        <w:t xml:space="preserve">in patients with significant abdominal pain who underwent cholecystectomy. </w:t>
      </w:r>
      <w:proofErr w:type="gramStart"/>
      <w:r>
        <w:rPr>
          <w:sz w:val="24"/>
          <w:szCs w:val="24"/>
        </w:rPr>
        <w:t>So</w:t>
      </w:r>
      <w:proofErr w:type="gramEnd"/>
      <w:r>
        <w:rPr>
          <w:sz w:val="24"/>
          <w:szCs w:val="24"/>
        </w:rPr>
        <w:t xml:space="preserve"> the comparison was not between operated and those who were not </w:t>
      </w:r>
      <w:r>
        <w:rPr>
          <w:sz w:val="24"/>
          <w:szCs w:val="24"/>
        </w:rPr>
        <w:lastRenderedPageBreak/>
        <w:t xml:space="preserve">operated. In fact, all the patients who were operated </w:t>
      </w:r>
      <w:r w:rsidR="000B13D4" w:rsidRPr="005D2F91">
        <w:rPr>
          <w:sz w:val="24"/>
          <w:szCs w:val="24"/>
          <w:highlight w:val="yellow"/>
        </w:rPr>
        <w:t xml:space="preserve">on </w:t>
      </w:r>
      <w:r>
        <w:rPr>
          <w:sz w:val="24"/>
          <w:szCs w:val="24"/>
        </w:rPr>
        <w:t xml:space="preserve">had significant relief from their symptoms, except one who had developed acute appendicitis in the </w:t>
      </w:r>
      <w:r w:rsidR="000B13D4" w:rsidRPr="005D2F91">
        <w:rPr>
          <w:sz w:val="24"/>
          <w:szCs w:val="24"/>
          <w:highlight w:val="yellow"/>
        </w:rPr>
        <w:t>follow-up</w:t>
      </w:r>
      <w:r>
        <w:rPr>
          <w:sz w:val="24"/>
          <w:szCs w:val="24"/>
        </w:rPr>
        <w:t xml:space="preserve">. Among those who were not operated and educated about the disease, milder symptoms persisted but were able to </w:t>
      </w:r>
      <w:r w:rsidR="000B13D4" w:rsidRPr="005D2F91">
        <w:rPr>
          <w:sz w:val="24"/>
          <w:szCs w:val="24"/>
          <w:highlight w:val="yellow"/>
        </w:rPr>
        <w:t>be handled</w:t>
      </w:r>
      <w:r w:rsidR="000B13D4" w:rsidRPr="005D2F91">
        <w:rPr>
          <w:sz w:val="24"/>
          <w:szCs w:val="24"/>
          <w:highlight w:val="yellow"/>
        </w:rPr>
        <w:t xml:space="preserve"> </w:t>
      </w:r>
      <w:r>
        <w:rPr>
          <w:sz w:val="24"/>
          <w:szCs w:val="24"/>
        </w:rPr>
        <w:t>with mild analgesia. Hence</w:t>
      </w:r>
      <w:r w:rsidR="000B13D4">
        <w:rPr>
          <w:sz w:val="24"/>
          <w:szCs w:val="24"/>
        </w:rPr>
        <w:t>,</w:t>
      </w:r>
      <w:r>
        <w:rPr>
          <w:sz w:val="24"/>
          <w:szCs w:val="24"/>
        </w:rPr>
        <w:t xml:space="preserve"> it could be presumed that </w:t>
      </w:r>
      <w:r w:rsidR="000B13D4" w:rsidRPr="005D2F91">
        <w:rPr>
          <w:sz w:val="24"/>
          <w:szCs w:val="24"/>
          <w:highlight w:val="yellow"/>
        </w:rPr>
        <w:t xml:space="preserve">the </w:t>
      </w:r>
      <w:r>
        <w:rPr>
          <w:sz w:val="24"/>
          <w:szCs w:val="24"/>
        </w:rPr>
        <w:t xml:space="preserve">indication of surgery in FGBD patients who have low GBEF is severe biliary pain. These patients had symptom relief immediately after surgery and also in the follow up ranging from 6 months to 48 months. Gall bladder pathology revealed acute cholecystitis (25%), chronic cholecystitis (35%) and normal (40%) in the operated group. Our study has shown a deviation from the earlier studies in that the selection for surgery in FGBD patients was based on the symptom severity and not </w:t>
      </w:r>
      <w:r w:rsidR="000B13D4" w:rsidRPr="005D2F91">
        <w:rPr>
          <w:sz w:val="24"/>
          <w:szCs w:val="24"/>
          <w:highlight w:val="yellow"/>
        </w:rPr>
        <w:t>the</w:t>
      </w:r>
      <w:r w:rsidR="000B13D4">
        <w:rPr>
          <w:sz w:val="24"/>
          <w:szCs w:val="24"/>
        </w:rPr>
        <w:t xml:space="preserve"> </w:t>
      </w:r>
      <w:r>
        <w:rPr>
          <w:sz w:val="24"/>
          <w:szCs w:val="24"/>
        </w:rPr>
        <w:t>mere presence of disease. This may be relevant for this condition</w:t>
      </w:r>
      <w:r w:rsidR="000B13D4">
        <w:rPr>
          <w:sz w:val="24"/>
          <w:szCs w:val="24"/>
        </w:rPr>
        <w:t>,</w:t>
      </w:r>
      <w:r>
        <w:rPr>
          <w:sz w:val="24"/>
          <w:szCs w:val="24"/>
        </w:rPr>
        <w:t xml:space="preserve"> as the dilemma to suggest surgical treatment for milder symptoms may be deferred and careful observation and selection of patients for appropriate treatment.</w:t>
      </w:r>
    </w:p>
    <w:p w14:paraId="26787DFB" w14:textId="77777777" w:rsidR="0043736E" w:rsidRDefault="0043736E">
      <w:pPr>
        <w:widowControl w:val="0"/>
        <w:spacing w:line="480" w:lineRule="auto"/>
        <w:ind w:left="2" w:hanging="2"/>
        <w:jc w:val="both"/>
        <w:rPr>
          <w:sz w:val="24"/>
          <w:szCs w:val="24"/>
        </w:rPr>
      </w:pPr>
    </w:p>
    <w:p w14:paraId="7785CFD6" w14:textId="550EC2C2" w:rsidR="0043736E" w:rsidRDefault="001F0277">
      <w:pPr>
        <w:widowControl w:val="0"/>
        <w:spacing w:line="480" w:lineRule="auto"/>
        <w:ind w:left="2" w:hanging="2"/>
        <w:rPr>
          <w:sz w:val="24"/>
          <w:szCs w:val="24"/>
        </w:rPr>
      </w:pPr>
      <w:r>
        <w:rPr>
          <w:b/>
          <w:sz w:val="24"/>
          <w:szCs w:val="24"/>
        </w:rPr>
        <w:t>Conclusion:</w:t>
      </w:r>
      <w:r>
        <w:rPr>
          <w:sz w:val="24"/>
          <w:szCs w:val="24"/>
        </w:rPr>
        <w:t xml:space="preserve"> FGBD is a clinical entity diagnosed by scintigraphy, after exclusion of organic disease by imaging. Symptoms range from mild to severe. Subjects with severe symptoms benefit from cholecystectomy, </w:t>
      </w:r>
      <w:r w:rsidR="000B13D4" w:rsidRPr="005D2F91">
        <w:rPr>
          <w:sz w:val="24"/>
          <w:szCs w:val="24"/>
          <w:highlight w:val="yellow"/>
        </w:rPr>
        <w:t>whereas</w:t>
      </w:r>
      <w:r>
        <w:rPr>
          <w:sz w:val="24"/>
          <w:szCs w:val="24"/>
        </w:rPr>
        <w:t xml:space="preserve"> those with milder symptoms may be managed with medication, thereby avoiding unnecessary surgical intervention.  Presence of severe pain </w:t>
      </w:r>
      <w:r w:rsidR="000B13D4" w:rsidRPr="005D2F91">
        <w:rPr>
          <w:sz w:val="24"/>
          <w:szCs w:val="24"/>
          <w:highlight w:val="yellow"/>
        </w:rPr>
        <w:t>appears</w:t>
      </w:r>
      <w:r w:rsidR="000B13D4">
        <w:rPr>
          <w:sz w:val="24"/>
          <w:szCs w:val="24"/>
        </w:rPr>
        <w:t xml:space="preserve"> </w:t>
      </w:r>
      <w:r>
        <w:rPr>
          <w:sz w:val="24"/>
          <w:szCs w:val="24"/>
        </w:rPr>
        <w:t xml:space="preserve">to be the predictive indicator of successful outcome in patients with low GBEF. </w:t>
      </w:r>
    </w:p>
    <w:p w14:paraId="638333C9" w14:textId="77777777" w:rsidR="0043736E" w:rsidRDefault="0043736E">
      <w:pPr>
        <w:widowControl w:val="0"/>
        <w:spacing w:line="480" w:lineRule="auto"/>
        <w:ind w:left="2" w:hanging="2"/>
        <w:rPr>
          <w:sz w:val="24"/>
          <w:szCs w:val="24"/>
        </w:rPr>
      </w:pPr>
    </w:p>
    <w:p w14:paraId="3B66875A" w14:textId="77777777" w:rsidR="0043736E" w:rsidRDefault="0043736E">
      <w:pPr>
        <w:widowControl w:val="0"/>
        <w:spacing w:line="480" w:lineRule="auto"/>
        <w:ind w:left="2" w:hanging="2"/>
        <w:rPr>
          <w:sz w:val="24"/>
          <w:szCs w:val="24"/>
        </w:rPr>
      </w:pPr>
    </w:p>
    <w:p w14:paraId="67635FA9" w14:textId="77777777" w:rsidR="0043736E" w:rsidRDefault="0043736E">
      <w:pPr>
        <w:widowControl w:val="0"/>
        <w:spacing w:line="480" w:lineRule="auto"/>
        <w:ind w:firstLineChars="0" w:firstLine="0"/>
        <w:rPr>
          <w:sz w:val="24"/>
          <w:szCs w:val="24"/>
        </w:rPr>
      </w:pPr>
    </w:p>
    <w:p w14:paraId="720D415C" w14:textId="77777777" w:rsidR="003B5EDF" w:rsidRPr="00270720" w:rsidRDefault="003B5EDF" w:rsidP="003B5EDF">
      <w:pPr>
        <w:ind w:left="2" w:hanging="2"/>
        <w:rPr>
          <w:highlight w:val="yellow"/>
        </w:rPr>
      </w:pPr>
      <w:r w:rsidRPr="00270720">
        <w:rPr>
          <w:highlight w:val="yellow"/>
        </w:rPr>
        <w:t>Disclaimer (Artificial intelligence)</w:t>
      </w:r>
    </w:p>
    <w:p w14:paraId="01914BBB" w14:textId="77777777" w:rsidR="003B5EDF" w:rsidRPr="00270720" w:rsidRDefault="003B5EDF" w:rsidP="003B5EDF">
      <w:pPr>
        <w:ind w:left="2" w:hanging="2"/>
        <w:rPr>
          <w:highlight w:val="yellow"/>
        </w:rPr>
      </w:pPr>
    </w:p>
    <w:p w14:paraId="3E12E83A" w14:textId="77777777" w:rsidR="003B5EDF" w:rsidRPr="00270720" w:rsidRDefault="003B5EDF" w:rsidP="003B5EDF">
      <w:pPr>
        <w:ind w:left="2" w:hanging="2"/>
        <w:rPr>
          <w:highlight w:val="yellow"/>
        </w:rPr>
      </w:pPr>
      <w:r w:rsidRPr="00270720">
        <w:rPr>
          <w:highlight w:val="yellow"/>
        </w:rPr>
        <w:t xml:space="preserve">Option 1: </w:t>
      </w:r>
    </w:p>
    <w:p w14:paraId="7663C1C0" w14:textId="77777777" w:rsidR="003B5EDF" w:rsidRPr="00270720" w:rsidRDefault="003B5EDF" w:rsidP="003B5EDF">
      <w:pPr>
        <w:ind w:left="2" w:hanging="2"/>
        <w:rPr>
          <w:highlight w:val="yellow"/>
        </w:rPr>
      </w:pPr>
    </w:p>
    <w:p w14:paraId="6C0CCF65" w14:textId="77777777" w:rsidR="003B5EDF" w:rsidRPr="00270720" w:rsidRDefault="003B5EDF" w:rsidP="003B5EDF">
      <w:pPr>
        <w:ind w:left="2" w:hanging="2"/>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427D3E37" w14:textId="77777777" w:rsidR="003B5EDF" w:rsidRPr="00270720" w:rsidRDefault="003B5EDF" w:rsidP="003B5EDF">
      <w:pPr>
        <w:ind w:left="2" w:hanging="2"/>
        <w:rPr>
          <w:highlight w:val="yellow"/>
        </w:rPr>
      </w:pPr>
    </w:p>
    <w:p w14:paraId="59C8ACCE" w14:textId="77777777" w:rsidR="003B5EDF" w:rsidRPr="00270720" w:rsidRDefault="003B5EDF" w:rsidP="003B5EDF">
      <w:pPr>
        <w:ind w:left="2" w:hanging="2"/>
        <w:rPr>
          <w:highlight w:val="yellow"/>
        </w:rPr>
      </w:pPr>
      <w:r w:rsidRPr="00270720">
        <w:rPr>
          <w:highlight w:val="yellow"/>
        </w:rPr>
        <w:t xml:space="preserve">Option 2: </w:t>
      </w:r>
    </w:p>
    <w:p w14:paraId="029A391A" w14:textId="77777777" w:rsidR="003B5EDF" w:rsidRPr="00270720" w:rsidRDefault="003B5EDF" w:rsidP="003B5EDF">
      <w:pPr>
        <w:ind w:left="2" w:hanging="2"/>
        <w:rPr>
          <w:highlight w:val="yellow"/>
        </w:rPr>
      </w:pPr>
    </w:p>
    <w:p w14:paraId="718D3AE3" w14:textId="77777777" w:rsidR="003B5EDF" w:rsidRPr="00270720" w:rsidRDefault="003B5EDF" w:rsidP="003B5EDF">
      <w:pPr>
        <w:ind w:left="2" w:hanging="2"/>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2190942" w14:textId="77777777" w:rsidR="003B5EDF" w:rsidRPr="00270720" w:rsidRDefault="003B5EDF" w:rsidP="003B5EDF">
      <w:pPr>
        <w:ind w:left="2" w:hanging="2"/>
        <w:rPr>
          <w:highlight w:val="yellow"/>
        </w:rPr>
      </w:pPr>
    </w:p>
    <w:p w14:paraId="2584FE06" w14:textId="77777777" w:rsidR="003B5EDF" w:rsidRPr="00270720" w:rsidRDefault="003B5EDF" w:rsidP="003B5EDF">
      <w:pPr>
        <w:ind w:left="2" w:hanging="2"/>
        <w:rPr>
          <w:highlight w:val="yellow"/>
        </w:rPr>
      </w:pPr>
      <w:r w:rsidRPr="00270720">
        <w:rPr>
          <w:highlight w:val="yellow"/>
        </w:rPr>
        <w:t>Details of the AI usage are given below:</w:t>
      </w:r>
    </w:p>
    <w:p w14:paraId="7A11E5DF" w14:textId="77777777" w:rsidR="003B5EDF" w:rsidRPr="00270720" w:rsidRDefault="003B5EDF" w:rsidP="003B5EDF">
      <w:pPr>
        <w:ind w:left="2" w:hanging="2"/>
        <w:rPr>
          <w:highlight w:val="yellow"/>
        </w:rPr>
      </w:pPr>
      <w:r w:rsidRPr="00270720">
        <w:rPr>
          <w:highlight w:val="yellow"/>
        </w:rPr>
        <w:t>1.</w:t>
      </w:r>
    </w:p>
    <w:p w14:paraId="1BAC96F9" w14:textId="77777777" w:rsidR="003B5EDF" w:rsidRPr="00270720" w:rsidRDefault="003B5EDF" w:rsidP="003B5EDF">
      <w:pPr>
        <w:ind w:left="2" w:hanging="2"/>
        <w:rPr>
          <w:highlight w:val="yellow"/>
        </w:rPr>
      </w:pPr>
      <w:r w:rsidRPr="00270720">
        <w:rPr>
          <w:highlight w:val="yellow"/>
        </w:rPr>
        <w:t>2.</w:t>
      </w:r>
    </w:p>
    <w:p w14:paraId="472884C8" w14:textId="77777777" w:rsidR="003B5EDF" w:rsidRPr="00270720" w:rsidRDefault="003B5EDF" w:rsidP="003B5EDF">
      <w:pPr>
        <w:ind w:left="2" w:hanging="2"/>
      </w:pPr>
      <w:r w:rsidRPr="00270720">
        <w:rPr>
          <w:highlight w:val="yellow"/>
        </w:rPr>
        <w:t>3.</w:t>
      </w:r>
    </w:p>
    <w:p w14:paraId="6A59B9AC" w14:textId="77777777" w:rsidR="0043736E" w:rsidRDefault="0043736E">
      <w:pPr>
        <w:widowControl w:val="0"/>
        <w:spacing w:line="480" w:lineRule="auto"/>
        <w:ind w:firstLineChars="0" w:firstLine="0"/>
        <w:rPr>
          <w:sz w:val="24"/>
          <w:szCs w:val="24"/>
        </w:rPr>
      </w:pPr>
    </w:p>
    <w:p w14:paraId="0F34EF2D" w14:textId="77777777" w:rsidR="0043736E" w:rsidRDefault="0043736E">
      <w:pPr>
        <w:widowControl w:val="0"/>
        <w:spacing w:line="480" w:lineRule="auto"/>
        <w:ind w:left="2" w:hanging="2"/>
        <w:rPr>
          <w:sz w:val="24"/>
          <w:szCs w:val="24"/>
        </w:rPr>
      </w:pPr>
    </w:p>
    <w:p w14:paraId="7CC85634" w14:textId="77777777" w:rsidR="0043736E" w:rsidRDefault="001F0277">
      <w:pPr>
        <w:widowControl w:val="0"/>
        <w:spacing w:line="276" w:lineRule="auto"/>
        <w:ind w:left="2" w:hanging="2"/>
        <w:rPr>
          <w:sz w:val="24"/>
          <w:szCs w:val="24"/>
        </w:rPr>
      </w:pPr>
      <w:r>
        <w:rPr>
          <w:b/>
          <w:sz w:val="24"/>
          <w:szCs w:val="24"/>
        </w:rPr>
        <w:t>References:</w:t>
      </w:r>
    </w:p>
    <w:p w14:paraId="2CA00652" w14:textId="77777777" w:rsidR="0043736E" w:rsidRDefault="001F0277">
      <w:pPr>
        <w:widowControl w:val="0"/>
        <w:spacing w:line="480" w:lineRule="auto"/>
        <w:ind w:left="2" w:hanging="2"/>
        <w:jc w:val="both"/>
        <w:rPr>
          <w:sz w:val="24"/>
          <w:szCs w:val="24"/>
        </w:rPr>
      </w:pPr>
      <w:r>
        <w:rPr>
          <w:sz w:val="24"/>
          <w:szCs w:val="24"/>
        </w:rPr>
        <w:t xml:space="preserve">1) Cotton PB, Elta GH, </w:t>
      </w:r>
      <w:proofErr w:type="spellStart"/>
      <w:r>
        <w:rPr>
          <w:sz w:val="24"/>
          <w:szCs w:val="24"/>
        </w:rPr>
        <w:t>CArter</w:t>
      </w:r>
      <w:proofErr w:type="spellEnd"/>
      <w:r>
        <w:rPr>
          <w:sz w:val="24"/>
          <w:szCs w:val="24"/>
        </w:rPr>
        <w:t xml:space="preserve"> CR, Pasricha PJ, </w:t>
      </w:r>
      <w:proofErr w:type="spellStart"/>
      <w:r>
        <w:rPr>
          <w:sz w:val="24"/>
          <w:szCs w:val="24"/>
        </w:rPr>
        <w:t>Corazziari</w:t>
      </w:r>
      <w:proofErr w:type="spellEnd"/>
      <w:r>
        <w:rPr>
          <w:sz w:val="24"/>
          <w:szCs w:val="24"/>
        </w:rPr>
        <w:t xml:space="preserve"> Es. Gallbladder and sphincter of Oddi disorders. Gastroenterology. </w:t>
      </w:r>
      <w:proofErr w:type="gramStart"/>
      <w:r>
        <w:rPr>
          <w:sz w:val="24"/>
          <w:szCs w:val="24"/>
        </w:rPr>
        <w:t>2016;150:1420</w:t>
      </w:r>
      <w:proofErr w:type="gramEnd"/>
      <w:r>
        <w:rPr>
          <w:sz w:val="24"/>
          <w:szCs w:val="24"/>
        </w:rPr>
        <w:t>-1429</w:t>
      </w:r>
    </w:p>
    <w:p w14:paraId="121F5454" w14:textId="77777777" w:rsidR="0043736E" w:rsidRDefault="001F0277">
      <w:pPr>
        <w:widowControl w:val="0"/>
        <w:spacing w:line="480" w:lineRule="auto"/>
        <w:ind w:left="2" w:hanging="2"/>
        <w:jc w:val="both"/>
        <w:rPr>
          <w:sz w:val="24"/>
          <w:szCs w:val="24"/>
        </w:rPr>
      </w:pPr>
      <w:r>
        <w:rPr>
          <w:sz w:val="24"/>
          <w:szCs w:val="24"/>
        </w:rPr>
        <w:t>2) Bryan K. Richmond, MD, MBA, FACS and Andrew Walker, MD; Biliary Dyskinesia: Current Perspectives and Future Directions- The American Surgeon 2020.</w:t>
      </w:r>
    </w:p>
    <w:p w14:paraId="56F2DA81" w14:textId="77777777" w:rsidR="0043736E" w:rsidRDefault="001F0277">
      <w:pPr>
        <w:widowControl w:val="0"/>
        <w:spacing w:line="480" w:lineRule="auto"/>
        <w:ind w:left="2" w:hanging="2"/>
        <w:jc w:val="both"/>
        <w:rPr>
          <w:color w:val="222222"/>
          <w:sz w:val="24"/>
          <w:szCs w:val="24"/>
          <w:highlight w:val="white"/>
        </w:rPr>
      </w:pPr>
      <w:r>
        <w:rPr>
          <w:sz w:val="24"/>
          <w:szCs w:val="24"/>
        </w:rPr>
        <w:t xml:space="preserve">3) </w:t>
      </w:r>
      <w:r>
        <w:rPr>
          <w:color w:val="222222"/>
          <w:sz w:val="24"/>
          <w:szCs w:val="24"/>
          <w:highlight w:val="white"/>
        </w:rPr>
        <w:t xml:space="preserve">Vakil N, Talley N, van Zanten SV, Flook N, Persson T, </w:t>
      </w:r>
      <w:proofErr w:type="spellStart"/>
      <w:r>
        <w:rPr>
          <w:color w:val="222222"/>
          <w:sz w:val="24"/>
          <w:szCs w:val="24"/>
          <w:highlight w:val="white"/>
        </w:rPr>
        <w:t>Björck</w:t>
      </w:r>
      <w:proofErr w:type="spellEnd"/>
      <w:r>
        <w:rPr>
          <w:color w:val="222222"/>
          <w:sz w:val="24"/>
          <w:szCs w:val="24"/>
          <w:highlight w:val="white"/>
        </w:rPr>
        <w:t xml:space="preserve"> E, Lind T, Bolling–</w:t>
      </w:r>
      <w:proofErr w:type="spellStart"/>
      <w:r>
        <w:rPr>
          <w:color w:val="222222"/>
          <w:sz w:val="24"/>
          <w:szCs w:val="24"/>
          <w:highlight w:val="white"/>
        </w:rPr>
        <w:t>Sternevald</w:t>
      </w:r>
      <w:proofErr w:type="spellEnd"/>
      <w:r>
        <w:rPr>
          <w:color w:val="222222"/>
          <w:sz w:val="24"/>
          <w:szCs w:val="24"/>
          <w:highlight w:val="white"/>
        </w:rPr>
        <w:t xml:space="preserve"> E, STARS I Study Group. Cost of detecting malignant lesions by endoscopy in 2741 primary care dyspeptic patients without alarm symptoms. Clinical Gastroenterology and Hepatology. 2009 Jul 1;7(7):756-61.</w:t>
      </w:r>
    </w:p>
    <w:p w14:paraId="3DB56559" w14:textId="77777777" w:rsidR="0043736E" w:rsidRDefault="001F0277">
      <w:pPr>
        <w:widowControl w:val="0"/>
        <w:spacing w:line="480" w:lineRule="auto"/>
        <w:ind w:left="2" w:hanging="2"/>
        <w:jc w:val="both"/>
        <w:rPr>
          <w:sz w:val="24"/>
          <w:szCs w:val="24"/>
        </w:rPr>
      </w:pPr>
      <w:r>
        <w:rPr>
          <w:sz w:val="24"/>
          <w:szCs w:val="24"/>
        </w:rPr>
        <w:t xml:space="preserve">4) Tulchinsky M, Ciak B/w, </w:t>
      </w:r>
      <w:proofErr w:type="spellStart"/>
      <w:r>
        <w:rPr>
          <w:sz w:val="24"/>
          <w:szCs w:val="24"/>
        </w:rPr>
        <w:t>Delbeke</w:t>
      </w:r>
      <w:proofErr w:type="spellEnd"/>
      <w:r>
        <w:rPr>
          <w:sz w:val="24"/>
          <w:szCs w:val="24"/>
        </w:rPr>
        <w:t xml:space="preserve"> D, et al. SNM practice guideline for hepatobiliary </w:t>
      </w:r>
      <w:proofErr w:type="spellStart"/>
      <w:r>
        <w:rPr>
          <w:sz w:val="24"/>
          <w:szCs w:val="24"/>
        </w:rPr>
        <w:t>scintingraphy</w:t>
      </w:r>
      <w:proofErr w:type="spellEnd"/>
      <w:r>
        <w:rPr>
          <w:sz w:val="24"/>
          <w:szCs w:val="24"/>
        </w:rPr>
        <w:t xml:space="preserve"> 4.0. J. </w:t>
      </w:r>
      <w:proofErr w:type="spellStart"/>
      <w:r>
        <w:rPr>
          <w:sz w:val="24"/>
          <w:szCs w:val="24"/>
        </w:rPr>
        <w:t>Nucl</w:t>
      </w:r>
      <w:proofErr w:type="spellEnd"/>
      <w:r>
        <w:rPr>
          <w:sz w:val="24"/>
          <w:szCs w:val="24"/>
        </w:rPr>
        <w:t xml:space="preserve"> Med </w:t>
      </w:r>
      <w:proofErr w:type="spellStart"/>
      <w:r>
        <w:rPr>
          <w:sz w:val="24"/>
          <w:szCs w:val="24"/>
        </w:rPr>
        <w:t>Techol</w:t>
      </w:r>
      <w:proofErr w:type="spellEnd"/>
      <w:r>
        <w:rPr>
          <w:sz w:val="24"/>
          <w:szCs w:val="24"/>
        </w:rPr>
        <w:t>. 2010; 38:210-218.</w:t>
      </w:r>
    </w:p>
    <w:p w14:paraId="72FDE30B" w14:textId="77777777" w:rsidR="0043736E" w:rsidRDefault="001F0277">
      <w:pPr>
        <w:widowControl w:val="0"/>
        <w:spacing w:line="480" w:lineRule="auto"/>
        <w:ind w:left="2" w:hanging="2"/>
        <w:jc w:val="both"/>
        <w:rPr>
          <w:color w:val="222222"/>
          <w:sz w:val="24"/>
          <w:szCs w:val="24"/>
          <w:highlight w:val="white"/>
        </w:rPr>
      </w:pPr>
      <w:r>
        <w:rPr>
          <w:sz w:val="24"/>
          <w:szCs w:val="24"/>
        </w:rPr>
        <w:lastRenderedPageBreak/>
        <w:t xml:space="preserve">5) </w:t>
      </w:r>
      <w:r>
        <w:rPr>
          <w:color w:val="222222"/>
          <w:sz w:val="24"/>
          <w:szCs w:val="24"/>
          <w:highlight w:val="white"/>
        </w:rPr>
        <w:t xml:space="preserve">Flick KF, Soufi M, Sublette CM, Sinsabaugh CA, Colgate CL, Tann M, House MG. Optimal hepatobiliary scintigraphy for gallbladder dyskinesia. Surgery Open Science. 2021 Apr </w:t>
      </w:r>
      <w:proofErr w:type="gramStart"/>
      <w:r>
        <w:rPr>
          <w:color w:val="222222"/>
          <w:sz w:val="24"/>
          <w:szCs w:val="24"/>
          <w:highlight w:val="white"/>
        </w:rPr>
        <w:t>1;4:7</w:t>
      </w:r>
      <w:proofErr w:type="gramEnd"/>
      <w:r>
        <w:rPr>
          <w:color w:val="222222"/>
          <w:sz w:val="24"/>
          <w:szCs w:val="24"/>
          <w:highlight w:val="white"/>
        </w:rPr>
        <w:t>-11.</w:t>
      </w:r>
    </w:p>
    <w:p w14:paraId="10FC036D" w14:textId="77777777" w:rsidR="0043736E" w:rsidRDefault="001F0277">
      <w:pPr>
        <w:widowControl w:val="0"/>
        <w:spacing w:line="480" w:lineRule="auto"/>
        <w:ind w:left="2" w:hanging="2"/>
        <w:jc w:val="both"/>
        <w:rPr>
          <w:color w:val="222222"/>
          <w:sz w:val="24"/>
          <w:szCs w:val="24"/>
          <w:highlight w:val="white"/>
        </w:rPr>
      </w:pPr>
      <w:r>
        <w:rPr>
          <w:color w:val="222222"/>
          <w:sz w:val="24"/>
          <w:szCs w:val="24"/>
          <w:highlight w:val="white"/>
        </w:rPr>
        <w:t>6)</w:t>
      </w:r>
      <w:r>
        <w:rPr>
          <w:color w:val="000000"/>
          <w:sz w:val="24"/>
          <w:szCs w:val="24"/>
          <w:highlight w:val="white"/>
        </w:rPr>
        <w:t xml:space="preserve"> </w:t>
      </w:r>
      <w:proofErr w:type="spellStart"/>
      <w:r>
        <w:rPr>
          <w:color w:val="000000"/>
          <w:sz w:val="24"/>
          <w:szCs w:val="24"/>
          <w:highlight w:val="white"/>
        </w:rPr>
        <w:t>Ziessman</w:t>
      </w:r>
      <w:proofErr w:type="spellEnd"/>
      <w:r>
        <w:rPr>
          <w:color w:val="000000"/>
          <w:sz w:val="24"/>
          <w:szCs w:val="24"/>
          <w:highlight w:val="white"/>
        </w:rPr>
        <w:t xml:space="preserve"> HA. Hepatobiliary scintigraphy in 2014. J </w:t>
      </w:r>
      <w:proofErr w:type="spellStart"/>
      <w:r>
        <w:rPr>
          <w:color w:val="000000"/>
          <w:sz w:val="24"/>
          <w:szCs w:val="24"/>
          <w:highlight w:val="white"/>
        </w:rPr>
        <w:t>Nucl</w:t>
      </w:r>
      <w:proofErr w:type="spellEnd"/>
      <w:r>
        <w:rPr>
          <w:color w:val="000000"/>
          <w:sz w:val="24"/>
          <w:szCs w:val="24"/>
          <w:highlight w:val="white"/>
        </w:rPr>
        <w:t xml:space="preserve"> Med Technol. 2014 Dec;42(4):249-59.</w:t>
      </w:r>
    </w:p>
    <w:p w14:paraId="2F1C2BC3" w14:textId="77777777" w:rsidR="0043736E" w:rsidRDefault="001F0277">
      <w:pPr>
        <w:widowControl w:val="0"/>
        <w:spacing w:line="480" w:lineRule="auto"/>
        <w:ind w:left="2" w:hanging="2"/>
        <w:jc w:val="both"/>
        <w:rPr>
          <w:color w:val="222222"/>
          <w:sz w:val="24"/>
          <w:szCs w:val="24"/>
          <w:highlight w:val="white"/>
        </w:rPr>
      </w:pPr>
      <w:r>
        <w:rPr>
          <w:color w:val="222222"/>
          <w:sz w:val="24"/>
          <w:szCs w:val="24"/>
          <w:highlight w:val="white"/>
        </w:rPr>
        <w:t xml:space="preserve">7) Dillehay G, Bar-Sever Z, Brown M, Brown R, Green E, Lee M, Lim JK, Metter D, Trout A, Wagner R, Wani S. Appropriate use criteria for hepatobiliary scintigraphy in abdominal pain: summary and excerpts. J </w:t>
      </w:r>
      <w:proofErr w:type="spellStart"/>
      <w:r>
        <w:rPr>
          <w:color w:val="222222"/>
          <w:sz w:val="24"/>
          <w:szCs w:val="24"/>
          <w:highlight w:val="white"/>
        </w:rPr>
        <w:t>Nucl</w:t>
      </w:r>
      <w:proofErr w:type="spellEnd"/>
      <w:r>
        <w:rPr>
          <w:color w:val="222222"/>
          <w:sz w:val="24"/>
          <w:szCs w:val="24"/>
          <w:highlight w:val="white"/>
        </w:rPr>
        <w:t xml:space="preserve"> Med. 2017 Jun 1;58(6):9N-11N.</w:t>
      </w:r>
    </w:p>
    <w:p w14:paraId="66C7B666" w14:textId="77777777" w:rsidR="0043736E" w:rsidRDefault="001F0277">
      <w:pPr>
        <w:widowControl w:val="0"/>
        <w:spacing w:line="480" w:lineRule="auto"/>
        <w:ind w:left="2" w:hanging="2"/>
        <w:jc w:val="both"/>
        <w:rPr>
          <w:color w:val="222222"/>
          <w:sz w:val="24"/>
          <w:szCs w:val="24"/>
          <w:highlight w:val="white"/>
        </w:rPr>
      </w:pPr>
      <w:r>
        <w:rPr>
          <w:sz w:val="24"/>
          <w:szCs w:val="24"/>
        </w:rPr>
        <w:t xml:space="preserve">8) </w:t>
      </w:r>
      <w:r>
        <w:rPr>
          <w:color w:val="222222"/>
          <w:sz w:val="24"/>
          <w:szCs w:val="24"/>
          <w:highlight w:val="white"/>
        </w:rPr>
        <w:t xml:space="preserve">Scott W, McCracken LM. Patients' impression of change following treatment for chronic pain: global, specific, a single dimension, or </w:t>
      </w:r>
      <w:proofErr w:type="gramStart"/>
      <w:r>
        <w:rPr>
          <w:color w:val="222222"/>
          <w:sz w:val="24"/>
          <w:szCs w:val="24"/>
          <w:highlight w:val="white"/>
        </w:rPr>
        <w:t>many?.</w:t>
      </w:r>
      <w:proofErr w:type="gramEnd"/>
      <w:r>
        <w:rPr>
          <w:color w:val="222222"/>
          <w:sz w:val="24"/>
          <w:szCs w:val="24"/>
          <w:highlight w:val="white"/>
        </w:rPr>
        <w:t xml:space="preserve"> The Journal of Pain. 2015 Jun 1;16(6):518-26.</w:t>
      </w:r>
    </w:p>
    <w:p w14:paraId="16AD49BD" w14:textId="77777777" w:rsidR="0043736E" w:rsidRDefault="0043736E">
      <w:pPr>
        <w:widowControl w:val="0"/>
        <w:spacing w:line="480" w:lineRule="auto"/>
        <w:ind w:left="2" w:hanging="2"/>
        <w:jc w:val="both"/>
        <w:rPr>
          <w:color w:val="222222"/>
          <w:sz w:val="24"/>
          <w:szCs w:val="24"/>
          <w:highlight w:val="white"/>
        </w:rPr>
      </w:pPr>
    </w:p>
    <w:p w14:paraId="10F2939B" w14:textId="77777777" w:rsidR="0043736E" w:rsidRDefault="001F0277">
      <w:pPr>
        <w:widowControl w:val="0"/>
        <w:spacing w:line="480" w:lineRule="auto"/>
        <w:ind w:left="2" w:hanging="2"/>
        <w:jc w:val="both"/>
        <w:rPr>
          <w:sz w:val="24"/>
          <w:szCs w:val="24"/>
        </w:rPr>
      </w:pPr>
      <w:r>
        <w:rPr>
          <w:sz w:val="24"/>
          <w:szCs w:val="24"/>
        </w:rPr>
        <w:t xml:space="preserve">9) Kevin J </w:t>
      </w:r>
      <w:proofErr w:type="gramStart"/>
      <w:r>
        <w:rPr>
          <w:sz w:val="24"/>
          <w:szCs w:val="24"/>
        </w:rPr>
        <w:t>Xu ,</w:t>
      </w:r>
      <w:proofErr w:type="gramEnd"/>
      <w:r>
        <w:rPr>
          <w:sz w:val="24"/>
          <w:szCs w:val="24"/>
        </w:rPr>
        <w:t xml:space="preserve"> Josie C </w:t>
      </w:r>
      <w:proofErr w:type="gramStart"/>
      <w:r>
        <w:rPr>
          <w:sz w:val="24"/>
          <w:szCs w:val="24"/>
        </w:rPr>
        <w:t>Brock ,</w:t>
      </w:r>
      <w:proofErr w:type="gramEnd"/>
      <w:r>
        <w:rPr>
          <w:sz w:val="24"/>
          <w:szCs w:val="24"/>
        </w:rPr>
        <w:t xml:space="preserve"> Naeem </w:t>
      </w:r>
      <w:proofErr w:type="spellStart"/>
      <w:proofErr w:type="gramStart"/>
      <w:r>
        <w:rPr>
          <w:sz w:val="24"/>
          <w:szCs w:val="24"/>
        </w:rPr>
        <w:t>Goussous</w:t>
      </w:r>
      <w:proofErr w:type="spellEnd"/>
      <w:r>
        <w:rPr>
          <w:sz w:val="24"/>
          <w:szCs w:val="24"/>
        </w:rPr>
        <w:t xml:space="preserve"> ,</w:t>
      </w:r>
      <w:proofErr w:type="gramEnd"/>
      <w:r>
        <w:rPr>
          <w:sz w:val="24"/>
          <w:szCs w:val="24"/>
        </w:rPr>
        <w:t xml:space="preserve"> Anne M </w:t>
      </w:r>
      <w:proofErr w:type="gramStart"/>
      <w:r>
        <w:rPr>
          <w:sz w:val="24"/>
          <w:szCs w:val="24"/>
        </w:rPr>
        <w:t>Sill ,</w:t>
      </w:r>
      <w:proofErr w:type="gramEnd"/>
      <w:r>
        <w:rPr>
          <w:sz w:val="24"/>
          <w:szCs w:val="24"/>
        </w:rPr>
        <w:t xml:space="preserve"> Steven C </w:t>
      </w:r>
      <w:proofErr w:type="gramStart"/>
      <w:r>
        <w:rPr>
          <w:sz w:val="24"/>
          <w:szCs w:val="24"/>
        </w:rPr>
        <w:t>Cunningham  Functional</w:t>
      </w:r>
      <w:proofErr w:type="gramEnd"/>
      <w:r>
        <w:rPr>
          <w:sz w:val="24"/>
          <w:szCs w:val="24"/>
        </w:rPr>
        <w:t xml:space="preserve"> gall bladder disorder: Interim analysis of a prospective cohort study. The American Journal of Surgery 2024, Vol 229, Page 129 - 132.</w:t>
      </w:r>
    </w:p>
    <w:p w14:paraId="451560C6" w14:textId="77777777" w:rsidR="0043736E" w:rsidRDefault="001F0277">
      <w:pPr>
        <w:widowControl w:val="0"/>
        <w:spacing w:line="480" w:lineRule="auto"/>
        <w:ind w:left="2" w:hanging="2"/>
        <w:jc w:val="both"/>
        <w:rPr>
          <w:sz w:val="24"/>
          <w:szCs w:val="24"/>
        </w:rPr>
      </w:pPr>
      <w:r>
        <w:rPr>
          <w:sz w:val="24"/>
          <w:szCs w:val="24"/>
        </w:rPr>
        <w:t xml:space="preserve">10) V </w:t>
      </w:r>
      <w:proofErr w:type="spellStart"/>
      <w:r>
        <w:rPr>
          <w:sz w:val="24"/>
          <w:szCs w:val="24"/>
        </w:rPr>
        <w:t>Raptopoulos</w:t>
      </w:r>
      <w:proofErr w:type="spellEnd"/>
      <w:r>
        <w:rPr>
          <w:sz w:val="24"/>
          <w:szCs w:val="24"/>
        </w:rPr>
        <w:t xml:space="preserve">, C </w:t>
      </w:r>
      <w:proofErr w:type="spellStart"/>
      <w:r>
        <w:rPr>
          <w:sz w:val="24"/>
          <w:szCs w:val="24"/>
        </w:rPr>
        <w:t>C</w:t>
      </w:r>
      <w:proofErr w:type="spellEnd"/>
      <w:r>
        <w:rPr>
          <w:sz w:val="24"/>
          <w:szCs w:val="24"/>
        </w:rPr>
        <w:t xml:space="preserve"> Compton, P Doherty, E H Smith, C J D'Orsi, N A Patwardhan, R Goldberg. Chronic Acalculous Gallbladder disease. </w:t>
      </w:r>
      <w:proofErr w:type="spellStart"/>
      <w:r>
        <w:rPr>
          <w:sz w:val="24"/>
          <w:szCs w:val="24"/>
        </w:rPr>
        <w:t>Multiimaging</w:t>
      </w:r>
      <w:proofErr w:type="spellEnd"/>
      <w:r>
        <w:rPr>
          <w:sz w:val="24"/>
          <w:szCs w:val="24"/>
        </w:rPr>
        <w:t xml:space="preserve"> evaluation with clinical. Pathological correlation AJR, 1986. 147: 721 - 724.    </w:t>
      </w:r>
    </w:p>
    <w:p w14:paraId="7BBBD282" w14:textId="77777777" w:rsidR="000B13D4" w:rsidRDefault="001F0277">
      <w:pPr>
        <w:widowControl w:val="0"/>
        <w:spacing w:line="480" w:lineRule="auto"/>
        <w:ind w:left="2" w:hanging="2"/>
        <w:jc w:val="both"/>
        <w:rPr>
          <w:sz w:val="24"/>
          <w:szCs w:val="24"/>
        </w:rPr>
      </w:pPr>
      <w:r>
        <w:rPr>
          <w:sz w:val="24"/>
          <w:szCs w:val="24"/>
        </w:rPr>
        <w:t xml:space="preserve">11) </w:t>
      </w:r>
      <w:r>
        <w:rPr>
          <w:color w:val="222222"/>
          <w:sz w:val="24"/>
          <w:szCs w:val="24"/>
          <w:highlight w:val="white"/>
        </w:rPr>
        <w:t>Jones DB, Soper NJ, Brewer JD, Quasebarth MA, Swanson PE, Strasberg SM, Brunt LM. Chronic acalculous cholecystitis: laparoscopic treatment. Surgical Laparoscopy Endoscopy &amp; Percutaneous Techniques. 1996 Apr 1;6(2):114-22.</w:t>
      </w:r>
      <w:r>
        <w:rPr>
          <w:sz w:val="24"/>
          <w:szCs w:val="24"/>
        </w:rPr>
        <w:t xml:space="preserve">    </w:t>
      </w:r>
    </w:p>
    <w:p w14:paraId="602E5FFF" w14:textId="0D712E51" w:rsidR="0043736E" w:rsidRDefault="000B13D4">
      <w:pPr>
        <w:widowControl w:val="0"/>
        <w:spacing w:line="480" w:lineRule="auto"/>
        <w:ind w:left="2" w:hanging="2"/>
        <w:jc w:val="both"/>
        <w:rPr>
          <w:sz w:val="24"/>
          <w:szCs w:val="24"/>
        </w:rPr>
      </w:pPr>
      <w:r>
        <w:rPr>
          <w:sz w:val="24"/>
          <w:szCs w:val="24"/>
        </w:rPr>
        <w:t xml:space="preserve">12) </w:t>
      </w:r>
      <w:r w:rsidRPr="005D2F91">
        <w:rPr>
          <w:sz w:val="24"/>
          <w:szCs w:val="24"/>
          <w:highlight w:val="yellow"/>
        </w:rPr>
        <w:t xml:space="preserve">Popover, J. L., Oulton, Z. W., Brown, Z. G., King, N. E., Sardzinski, E. E., Imam, A., ... &amp; Toomey, P. G. (2025). Biliary Dyskinesia-Is It </w:t>
      </w:r>
      <w:proofErr w:type="gramStart"/>
      <w:r w:rsidRPr="005D2F91">
        <w:rPr>
          <w:sz w:val="24"/>
          <w:szCs w:val="24"/>
          <w:highlight w:val="yellow"/>
        </w:rPr>
        <w:t>Real?.</w:t>
      </w:r>
      <w:proofErr w:type="gramEnd"/>
      <w:r w:rsidRPr="005D2F91">
        <w:rPr>
          <w:sz w:val="24"/>
          <w:szCs w:val="24"/>
          <w:highlight w:val="yellow"/>
        </w:rPr>
        <w:t xml:space="preserve"> JSLS: </w:t>
      </w:r>
      <w:r w:rsidRPr="005D2F91">
        <w:rPr>
          <w:i/>
          <w:iCs/>
          <w:sz w:val="24"/>
          <w:szCs w:val="24"/>
          <w:highlight w:val="yellow"/>
        </w:rPr>
        <w:t xml:space="preserve">Journal of the Society of </w:t>
      </w:r>
      <w:r w:rsidRPr="005D2F91">
        <w:rPr>
          <w:i/>
          <w:iCs/>
          <w:sz w:val="24"/>
          <w:szCs w:val="24"/>
          <w:highlight w:val="yellow"/>
        </w:rPr>
        <w:lastRenderedPageBreak/>
        <w:t>Laparoscopic &amp; Robotic Surgeons</w:t>
      </w:r>
      <w:r w:rsidRPr="005D2F91">
        <w:rPr>
          <w:sz w:val="24"/>
          <w:szCs w:val="24"/>
          <w:highlight w:val="yellow"/>
        </w:rPr>
        <w:t>, 29(1), e2024-00053.</w:t>
      </w:r>
      <w:r>
        <w:rPr>
          <w:sz w:val="24"/>
          <w:szCs w:val="24"/>
        </w:rPr>
        <w:t xml:space="preserve">  </w:t>
      </w:r>
      <w:r w:rsidR="001F0277">
        <w:rPr>
          <w:sz w:val="24"/>
          <w:szCs w:val="24"/>
        </w:rPr>
        <w:t xml:space="preserve">      </w:t>
      </w:r>
    </w:p>
    <w:p w14:paraId="2C7A1396" w14:textId="32526E7C" w:rsidR="00BE7AD7" w:rsidRDefault="00BE7AD7">
      <w:pPr>
        <w:widowControl w:val="0"/>
        <w:spacing w:line="480" w:lineRule="auto"/>
        <w:ind w:left="2" w:hanging="2"/>
        <w:jc w:val="both"/>
        <w:rPr>
          <w:sz w:val="24"/>
          <w:szCs w:val="24"/>
        </w:rPr>
      </w:pPr>
      <w:r>
        <w:rPr>
          <w:sz w:val="24"/>
          <w:szCs w:val="24"/>
        </w:rPr>
        <w:t xml:space="preserve">13) </w:t>
      </w:r>
      <w:r w:rsidRPr="005D2F91">
        <w:rPr>
          <w:sz w:val="24"/>
          <w:szCs w:val="24"/>
          <w:highlight w:val="yellow"/>
        </w:rPr>
        <w:t>Richmond, B. K., &amp; Walker, A. (2021). Biliary dyskinesia: current perspectives and future directions. The American Surgeon, 87(6), 954-960.</w:t>
      </w:r>
      <w:r>
        <w:rPr>
          <w:sz w:val="24"/>
          <w:szCs w:val="24"/>
        </w:rPr>
        <w:t xml:space="preserve">  </w:t>
      </w:r>
      <w:proofErr w:type="spellStart"/>
      <w:r w:rsidRPr="005D2F91">
        <w:rPr>
          <w:sz w:val="24"/>
          <w:szCs w:val="24"/>
          <w:highlight w:val="yellow"/>
        </w:rPr>
        <w:t>Kulaylat</w:t>
      </w:r>
      <w:proofErr w:type="spellEnd"/>
      <w:r w:rsidRPr="005D2F91">
        <w:rPr>
          <w:sz w:val="24"/>
          <w:szCs w:val="24"/>
          <w:highlight w:val="yellow"/>
        </w:rPr>
        <w:t xml:space="preserve">, A. N., Lucas, D. J., Chang, H. L., Derderian, S. C., Beres, A. L., Ham III, P. B., ... &amp; </w:t>
      </w:r>
      <w:proofErr w:type="spellStart"/>
      <w:r w:rsidRPr="005D2F91">
        <w:rPr>
          <w:sz w:val="24"/>
          <w:szCs w:val="24"/>
          <w:highlight w:val="yellow"/>
        </w:rPr>
        <w:t>Rialon</w:t>
      </w:r>
      <w:proofErr w:type="spellEnd"/>
      <w:r w:rsidRPr="005D2F91">
        <w:rPr>
          <w:sz w:val="24"/>
          <w:szCs w:val="24"/>
          <w:highlight w:val="yellow"/>
        </w:rPr>
        <w:t xml:space="preserve">, K. L. (2024). Evaluation and Management of Biliary Dyskinesia in Children and Adolescents: A Systematic Review </w:t>
      </w:r>
      <w:proofErr w:type="gramStart"/>
      <w:r w:rsidRPr="005D2F91">
        <w:rPr>
          <w:sz w:val="24"/>
          <w:szCs w:val="24"/>
          <w:highlight w:val="yellow"/>
        </w:rPr>
        <w:t>From</w:t>
      </w:r>
      <w:proofErr w:type="gramEnd"/>
      <w:r w:rsidRPr="005D2F91">
        <w:rPr>
          <w:sz w:val="24"/>
          <w:szCs w:val="24"/>
          <w:highlight w:val="yellow"/>
        </w:rPr>
        <w:t xml:space="preserve"> the APSA Outcomes and Evidence-Based Committee. Journal of pediatric surgery, 59(11), 161678.</w:t>
      </w:r>
      <w:r>
        <w:rPr>
          <w:sz w:val="24"/>
          <w:szCs w:val="24"/>
        </w:rPr>
        <w:t xml:space="preserve">   </w:t>
      </w:r>
    </w:p>
    <w:p w14:paraId="7B81BF2A" w14:textId="6D729356" w:rsidR="00BE7AD7" w:rsidRDefault="00BE7AD7">
      <w:pPr>
        <w:widowControl w:val="0"/>
        <w:spacing w:line="480" w:lineRule="auto"/>
        <w:ind w:left="2" w:hanging="2"/>
        <w:jc w:val="both"/>
        <w:rPr>
          <w:sz w:val="24"/>
          <w:szCs w:val="24"/>
        </w:rPr>
      </w:pPr>
      <w:r w:rsidRPr="005D2F91">
        <w:rPr>
          <w:sz w:val="24"/>
          <w:szCs w:val="24"/>
          <w:highlight w:val="yellow"/>
        </w:rPr>
        <w:t>Whitaker, L. F., Bosley, M. E., Refugia, J. M., Powell, M. S., McNatt, S. S., Westcott, C. J., ... &amp; Fernandez, A. Z. (2022). Outcomes after laparoscopic cholecystectomy in hyperkinetic biliary dyskinesia. The American Surgeon, 88(8), 1983-1987.</w:t>
      </w:r>
      <w:r>
        <w:rPr>
          <w:sz w:val="24"/>
          <w:szCs w:val="24"/>
        </w:rPr>
        <w:t xml:space="preserve">   </w:t>
      </w:r>
    </w:p>
    <w:p w14:paraId="6E25B232" w14:textId="77777777" w:rsidR="0043736E" w:rsidRDefault="0043736E">
      <w:pPr>
        <w:pBdr>
          <w:top w:val="single" w:sz="0" w:space="0" w:color="auto"/>
          <w:left w:val="single" w:sz="0" w:space="0" w:color="auto"/>
          <w:bottom w:val="single" w:sz="0" w:space="0" w:color="auto"/>
          <w:right w:val="single" w:sz="0" w:space="0" w:color="auto"/>
          <w:between w:val="single" w:sz="0" w:space="0" w:color="auto"/>
        </w:pBdr>
        <w:shd w:val="clear" w:color="050000" w:fill="FFFFFF"/>
        <w:spacing w:after="0" w:line="240" w:lineRule="auto"/>
        <w:ind w:left="2" w:hanging="2"/>
        <w:rPr>
          <w:rFonts w:eastAsia="Times New Roman"/>
          <w:color w:val="212121"/>
          <w:sz w:val="24"/>
          <w:szCs w:val="24"/>
          <w:highlight w:val="white"/>
          <w:u w:val="single"/>
        </w:rPr>
      </w:pPr>
    </w:p>
    <w:p w14:paraId="37320BF8" w14:textId="77777777" w:rsidR="0043736E" w:rsidRDefault="0043736E">
      <w:pPr>
        <w:shd w:val="clear" w:color="000000" w:fill="FFFFFF"/>
        <w:spacing w:after="0"/>
        <w:ind w:left="2" w:hanging="2"/>
        <w:jc w:val="both"/>
        <w:rPr>
          <w:sz w:val="24"/>
          <w:szCs w:val="24"/>
        </w:rPr>
      </w:pPr>
    </w:p>
    <w:p w14:paraId="160200D6" w14:textId="77777777" w:rsidR="0043736E" w:rsidRDefault="001F0277">
      <w:pPr>
        <w:widowControl w:val="0"/>
        <w:spacing w:line="480" w:lineRule="auto"/>
        <w:ind w:left="2" w:hanging="2"/>
        <w:jc w:val="both"/>
        <w:rPr>
          <w:sz w:val="24"/>
          <w:szCs w:val="24"/>
          <w:u w:val="single"/>
        </w:rPr>
      </w:pPr>
      <w:r>
        <w:rPr>
          <w:sz w:val="24"/>
          <w:szCs w:val="24"/>
        </w:rPr>
        <w:t xml:space="preserve"> </w:t>
      </w:r>
    </w:p>
    <w:sectPr w:rsidR="0043736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4CE93" w14:textId="77777777" w:rsidR="00100AD9" w:rsidRDefault="00100AD9" w:rsidP="00E30DF6">
      <w:pPr>
        <w:spacing w:after="0" w:line="240" w:lineRule="auto"/>
        <w:ind w:left="2" w:hanging="2"/>
      </w:pPr>
      <w:r>
        <w:separator/>
      </w:r>
    </w:p>
  </w:endnote>
  <w:endnote w:type="continuationSeparator" w:id="0">
    <w:p w14:paraId="1FB5A3D2" w14:textId="77777777" w:rsidR="00100AD9" w:rsidRDefault="00100AD9" w:rsidP="00E30DF6">
      <w:pPr>
        <w:spacing w:after="0"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B0" w14:textId="77777777" w:rsidR="00E30DF6" w:rsidRDefault="00E30DF6">
    <w:pPr>
      <w:pStyle w:val="Footer"/>
      <w:ind w:left="2"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5EEF" w14:textId="77777777" w:rsidR="00E30DF6" w:rsidRDefault="00E30DF6">
    <w:pPr>
      <w:pStyle w:val="Footer"/>
      <w:ind w:left="2"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D474" w14:textId="77777777" w:rsidR="00E30DF6" w:rsidRDefault="00E30DF6">
    <w:pPr>
      <w:pStyle w:val="Footer"/>
      <w:ind w:left="2"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6D8CF" w14:textId="77777777" w:rsidR="00100AD9" w:rsidRDefault="00100AD9" w:rsidP="00E30DF6">
      <w:pPr>
        <w:spacing w:after="0" w:line="240" w:lineRule="auto"/>
        <w:ind w:left="2" w:hanging="2"/>
      </w:pPr>
      <w:r>
        <w:separator/>
      </w:r>
    </w:p>
  </w:footnote>
  <w:footnote w:type="continuationSeparator" w:id="0">
    <w:p w14:paraId="7A6337FF" w14:textId="77777777" w:rsidR="00100AD9" w:rsidRDefault="00100AD9" w:rsidP="00E30DF6">
      <w:pPr>
        <w:spacing w:after="0" w:line="240" w:lineRule="auto"/>
        <w:ind w:left="2"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85B0" w14:textId="7A2D6FB1" w:rsidR="00E30DF6" w:rsidRDefault="00000000">
    <w:pPr>
      <w:pStyle w:val="Header"/>
      <w:ind w:left="2" w:hanging="2"/>
    </w:pPr>
    <w:r>
      <w:rPr>
        <w:noProof/>
      </w:rPr>
      <w:pict w14:anchorId="11F18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235" o:spid="_x0000_s1026" type="#_x0000_t136" style="position:absolute;left:0;text-align:left;margin-left:0;margin-top:0;width:572.65pt;height:63.6pt;rotation:315;z-index:-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EF67" w14:textId="467A1BFC" w:rsidR="00E30DF6" w:rsidRDefault="00000000">
    <w:pPr>
      <w:pStyle w:val="Header"/>
      <w:ind w:left="2" w:hanging="2"/>
    </w:pPr>
    <w:r>
      <w:rPr>
        <w:noProof/>
      </w:rPr>
      <w:pict w14:anchorId="6729B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236" o:spid="_x0000_s1027" type="#_x0000_t136" style="position:absolute;left:0;text-align:left;margin-left:0;margin-top:0;width:572.65pt;height:63.6pt;rotation:315;z-index:-1;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B94A" w14:textId="055620ED" w:rsidR="00E30DF6" w:rsidRDefault="00000000">
    <w:pPr>
      <w:pStyle w:val="Header"/>
      <w:ind w:left="2" w:hanging="2"/>
    </w:pPr>
    <w:r>
      <w:rPr>
        <w:noProof/>
      </w:rPr>
      <w:pict w14:anchorId="07BD5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234" o:spid="_x0000_s1025" type="#_x0000_t136" style="position:absolute;left:0;text-align:left;margin-left:0;margin-top:0;width:572.65pt;height:63.6pt;rotation:315;z-index:-3;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A0D93"/>
    <w:multiLevelType w:val="singleLevel"/>
    <w:tmpl w:val="653A0D93"/>
    <w:lvl w:ilvl="0">
      <w:start w:val="1"/>
      <w:numFmt w:val="decimal"/>
      <w:lvlText w:val="%1)"/>
      <w:lvlJc w:val="left"/>
      <w:pPr>
        <w:tabs>
          <w:tab w:val="left" w:pos="425"/>
        </w:tabs>
        <w:ind w:left="425" w:hanging="425"/>
      </w:pPr>
      <w:rPr>
        <w:rFonts w:hint="default"/>
      </w:rPr>
    </w:lvl>
  </w:abstractNum>
  <w:num w:numId="1" w16cid:durableId="4734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oNotTrackMoves/>
  <w:defaultTabStop w:val="720"/>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wsDCwMLM0MbW0sDRQ0lEKTi0uzszPAykwrAUAb4+OoywAAAA="/>
  </w:docVars>
  <w:rsids>
    <w:rsidRoot w:val="0043736E"/>
    <w:rsid w:val="00085D04"/>
    <w:rsid w:val="000B13D4"/>
    <w:rsid w:val="000D0DBA"/>
    <w:rsid w:val="00100AD9"/>
    <w:rsid w:val="00155252"/>
    <w:rsid w:val="001F0277"/>
    <w:rsid w:val="001F3C8A"/>
    <w:rsid w:val="002D45E5"/>
    <w:rsid w:val="003000D0"/>
    <w:rsid w:val="003B5EDF"/>
    <w:rsid w:val="003D793E"/>
    <w:rsid w:val="004249D3"/>
    <w:rsid w:val="0043736E"/>
    <w:rsid w:val="004D7DD1"/>
    <w:rsid w:val="005B0F33"/>
    <w:rsid w:val="005D2F91"/>
    <w:rsid w:val="00650F41"/>
    <w:rsid w:val="00963BC1"/>
    <w:rsid w:val="00B52031"/>
    <w:rsid w:val="00BA6AFB"/>
    <w:rsid w:val="00BE7AD7"/>
    <w:rsid w:val="00CF4BC0"/>
    <w:rsid w:val="00D82DDE"/>
    <w:rsid w:val="00E30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9cbee0" strokecolor="#739cc3">
      <v:fill color="#9cbee0" color2="#bbd5f0" type="gradient">
        <o:fill v:ext="view" type="gradientUnscaled"/>
      </v:fill>
      <v:stroke color="#739cc3" weight="1.25pt" miterlimit="2"/>
    </o:shapedefaults>
    <o:shapelayout v:ext="edit">
      <o:idmap v:ext="edit" data="2"/>
      <o:rules v:ext="edit">
        <o:r id="V:Rule1" type="connector" idref="#Straight Connector 1025"/>
      </o:rules>
    </o:shapelayout>
  </w:shapeDefaults>
  <w:decimalSymbol w:val="."/>
  <w:listSeparator w:val=","/>
  <w14:docId w14:val="5EFC5FED"/>
  <w15:docId w15:val="{5E4D1517-781B-408A-AB4A-1EF035F3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pPr>
      <w:suppressAutoHyphens/>
      <w:spacing w:after="160" w:line="259" w:lineRule="auto"/>
      <w:ind w:hangingChars="1" w:hanging="1"/>
      <w:textAlignment w:val="top"/>
      <w:outlineLvl w:val="0"/>
    </w:pPr>
    <w:rPr>
      <w:position w:val="-1"/>
      <w:sz w:val="22"/>
      <w:szCs w:val="22"/>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160" w:line="278" w:lineRule="auto"/>
    </w:pPr>
    <w:rPr>
      <w:lang w:eastAsia="zh-CN"/>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NormalWeb">
    <w:name w:val="Normal (Web)"/>
    <w:hidden/>
    <w:qFormat/>
    <w:pPr>
      <w:suppressAutoHyphens/>
      <w:spacing w:before="100" w:beforeAutospacing="1" w:after="100" w:afterAutospacing="1" w:line="1" w:lineRule="atLeast"/>
      <w:ind w:hangingChars="1" w:hanging="1"/>
      <w:textAlignment w:val="top"/>
      <w:outlineLvl w:val="0"/>
    </w:pPr>
    <w:rPr>
      <w:position w:val="-1"/>
      <w:sz w:val="24"/>
      <w:szCs w:val="24"/>
      <w:lang w:eastAsia="zh-CN"/>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Title">
    <w:name w:val="Title"/>
    <w:basedOn w:val="Normal1"/>
    <w:next w:val="Normal1"/>
    <w:pPr>
      <w:keepNext/>
      <w:keepLines/>
      <w:spacing w:before="480" w:after="120"/>
    </w:pPr>
    <w:rPr>
      <w:b/>
      <w:sz w:val="72"/>
      <w:szCs w:val="72"/>
    </w:rPr>
  </w:style>
  <w:style w:type="character" w:styleId="Hyperlink">
    <w:name w:val="Hyperlink"/>
    <w:qFormat/>
    <w:rPr>
      <w:color w:val="0000FF"/>
      <w:w w:val="100"/>
      <w:position w:val="-1"/>
      <w:u w:val="single"/>
    </w:rPr>
  </w:style>
  <w:style w:type="paragraph" w:customStyle="1" w:styleId="Header1">
    <w:name w:val="Header1"/>
    <w:basedOn w:val="Normal1"/>
    <w:hidden/>
    <w:qFormat/>
    <w:pPr>
      <w:tabs>
        <w:tab w:val="center" w:pos="4153"/>
        <w:tab w:val="right" w:pos="8306"/>
      </w:tabs>
      <w:suppressAutoHyphens/>
      <w:spacing w:line="259" w:lineRule="auto"/>
      <w:ind w:hangingChars="1" w:hanging="1"/>
      <w:textAlignment w:val="top"/>
      <w:outlineLvl w:val="0"/>
    </w:pPr>
    <w:rPr>
      <w:position w:val="-1"/>
      <w:sz w:val="18"/>
      <w:szCs w:val="18"/>
      <w:lang w:eastAsia="en-US"/>
    </w:rPr>
  </w:style>
  <w:style w:type="paragraph" w:customStyle="1" w:styleId="Footer1">
    <w:name w:val="Footer1"/>
    <w:basedOn w:val="Normal1"/>
    <w:hidden/>
    <w:qFormat/>
    <w:pPr>
      <w:tabs>
        <w:tab w:val="center" w:pos="4153"/>
        <w:tab w:val="right" w:pos="8306"/>
      </w:tabs>
      <w:suppressAutoHyphens/>
      <w:spacing w:line="259" w:lineRule="auto"/>
      <w:ind w:hangingChars="1" w:hanging="1"/>
      <w:textAlignment w:val="top"/>
      <w:outlineLvl w:val="0"/>
    </w:pPr>
    <w:rPr>
      <w:position w:val="-1"/>
      <w:sz w:val="18"/>
      <w:szCs w:val="18"/>
      <w:lang w:eastAsia="en-US"/>
    </w:rPr>
  </w:style>
  <w:style w:type="character" w:customStyle="1" w:styleId="UnresolvedMention1">
    <w:name w:val="Unresolved Mention1"/>
    <w:uiPriority w:val="99"/>
    <w:semiHidden/>
    <w:unhideWhenUsed/>
    <w:rsid w:val="00D82DDE"/>
    <w:rPr>
      <w:color w:val="605E5C"/>
      <w:shd w:val="clear" w:color="auto" w:fill="E1DFDD"/>
    </w:rPr>
  </w:style>
  <w:style w:type="paragraph" w:styleId="Header">
    <w:name w:val="header"/>
    <w:basedOn w:val="Normal"/>
    <w:link w:val="HeaderChar"/>
    <w:uiPriority w:val="99"/>
    <w:unhideWhenUsed/>
    <w:rsid w:val="00E30DF6"/>
    <w:pPr>
      <w:tabs>
        <w:tab w:val="center" w:pos="4680"/>
        <w:tab w:val="right" w:pos="9360"/>
      </w:tabs>
    </w:pPr>
  </w:style>
  <w:style w:type="character" w:customStyle="1" w:styleId="HeaderChar">
    <w:name w:val="Header Char"/>
    <w:link w:val="Header"/>
    <w:uiPriority w:val="99"/>
    <w:rsid w:val="00E30DF6"/>
    <w:rPr>
      <w:position w:val="-1"/>
      <w:sz w:val="22"/>
      <w:szCs w:val="22"/>
      <w:lang w:val="en-US" w:eastAsia="en-US"/>
    </w:rPr>
  </w:style>
  <w:style w:type="paragraph" w:styleId="Revision">
    <w:name w:val="Revision"/>
    <w:hidden/>
    <w:uiPriority w:val="99"/>
    <w:semiHidden/>
    <w:rsid w:val="00BA6AFB"/>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3560</Words>
  <Characters>19049</Characters>
  <Application>Microsoft Office Word</Application>
  <DocSecurity>0</DocSecurity>
  <Lines>634</Lines>
  <Paragraphs>275</Paragraphs>
  <ScaleCrop>false</ScaleCrop>
  <HeadingPairs>
    <vt:vector size="2" baseType="variant">
      <vt:variant>
        <vt:lpstr>Title</vt:lpstr>
      </vt:variant>
      <vt:variant>
        <vt:i4>1</vt:i4>
      </vt:variant>
    </vt:vector>
  </HeadingPairs>
  <TitlesOfParts>
    <vt:vector size="1" baseType="lpstr">
      <vt:lpstr>Functional Gall Bladder Disease: Pain is the critical factor for Decision Making .</vt:lpstr>
    </vt:vector>
  </TitlesOfParts>
  <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Gall Bladder Disease: Pain is the critical factor for Decision Making .</dc:title>
  <dc:creator>Dr. B. Ravi Shankar</dc:creator>
  <cp:lastModifiedBy>Editor Acc 101</cp:lastModifiedBy>
  <cp:revision>14</cp:revision>
  <dcterms:created xsi:type="dcterms:W3CDTF">2024-06-01T09:41:00Z</dcterms:created>
  <dcterms:modified xsi:type="dcterms:W3CDTF">2025-08-30T07:18:00Z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1033-9.1.0.4514</vt:lpwstr>
  </property>
  <property fmtid="{D5CDD505-2E9C-101B-9397-08002B2CF9AE}" pid="3" name="ICV">
    <vt:lpwstr>8967DC6F25FA4F9A882F91830901F8F3_13</vt:lpwstr>
  </property>
  <property fmtid="{D5CDD505-2E9C-101B-9397-08002B2CF9AE}" pid="4" name="GrammarlyDocumentId">
    <vt:lpwstr>fa3b3f46-78fa-4bb4-b01b-68c2e4222559</vt:lpwstr>
  </property>
</Properties>
</file>