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68BB" w14:textId="77777777" w:rsidR="00754C9A" w:rsidRDefault="00A433A8" w:rsidP="00441B6F">
      <w:pPr>
        <w:pStyle w:val="Title"/>
        <w:spacing w:after="0"/>
        <w:jc w:val="both"/>
        <w:rPr>
          <w:rFonts w:ascii="Arial" w:hAnsi="Arial" w:cs="Arial"/>
          <w:b w:val="0"/>
          <w:bCs/>
          <w:sz w:val="24"/>
          <w:szCs w:val="14"/>
        </w:rPr>
      </w:pPr>
      <w:r w:rsidRPr="00A433A8">
        <w:rPr>
          <w:rFonts w:ascii="Arial" w:hAnsi="Arial" w:cs="Arial"/>
          <w:b w:val="0"/>
          <w:bCs/>
          <w:sz w:val="24"/>
          <w:szCs w:val="14"/>
        </w:rPr>
        <w:t>Original Research Article</w:t>
      </w:r>
    </w:p>
    <w:p w14:paraId="1BA6B4E3" w14:textId="77777777" w:rsidR="00A433A8" w:rsidRPr="00A433A8" w:rsidRDefault="00A433A8" w:rsidP="00441B6F">
      <w:pPr>
        <w:pStyle w:val="Title"/>
        <w:spacing w:after="0"/>
        <w:jc w:val="both"/>
        <w:rPr>
          <w:rFonts w:ascii="Arial" w:hAnsi="Arial" w:cs="Arial"/>
          <w:b w:val="0"/>
          <w:bCs/>
          <w:sz w:val="24"/>
          <w:szCs w:val="14"/>
        </w:rPr>
      </w:pPr>
    </w:p>
    <w:p w14:paraId="657631F8" w14:textId="77777777" w:rsidR="00163BC4" w:rsidRPr="00163BC4" w:rsidRDefault="00CA50D0" w:rsidP="00441B6F">
      <w:pPr>
        <w:pStyle w:val="Author"/>
        <w:spacing w:line="240" w:lineRule="auto"/>
        <w:rPr>
          <w:rFonts w:ascii="Arial" w:hAnsi="Arial" w:cs="Arial"/>
          <w:bCs/>
          <w:iCs/>
          <w:kern w:val="28"/>
          <w:sz w:val="36"/>
        </w:rPr>
      </w:pPr>
      <w:r w:rsidRPr="00CA50D0">
        <w:rPr>
          <w:rFonts w:ascii="Arial" w:hAnsi="Arial" w:cs="Arial"/>
          <w:bCs/>
          <w:iCs/>
          <w:kern w:val="28"/>
          <w:sz w:val="36"/>
        </w:rPr>
        <w:t>Caregiver Death Preparedness in Ghana: Awareness, Emotional, and Behavioral Dimensions of End-of-Life Care</w:t>
      </w:r>
      <w:r w:rsidR="00231920">
        <w:rPr>
          <w:rFonts w:ascii="Arial" w:hAnsi="Arial" w:cs="Arial"/>
          <w:bCs/>
          <w:iCs/>
          <w:kern w:val="28"/>
          <w:sz w:val="36"/>
        </w:rPr>
        <w:t xml:space="preserve"> </w:t>
      </w:r>
    </w:p>
    <w:p w14:paraId="0267D834" w14:textId="77777777" w:rsidR="00A258C3" w:rsidRPr="00790ADA" w:rsidRDefault="00A258C3" w:rsidP="00441B6F">
      <w:pPr>
        <w:pStyle w:val="Author"/>
        <w:spacing w:line="240" w:lineRule="auto"/>
        <w:jc w:val="both"/>
        <w:rPr>
          <w:rFonts w:ascii="Arial" w:hAnsi="Arial" w:cs="Arial"/>
          <w:sz w:val="36"/>
        </w:rPr>
      </w:pPr>
    </w:p>
    <w:p w14:paraId="29B3F2DB" w14:textId="77777777" w:rsidR="00790ADA" w:rsidRDefault="00790ADA" w:rsidP="00441B6F">
      <w:pPr>
        <w:pStyle w:val="Affiliation"/>
        <w:spacing w:after="0" w:line="240" w:lineRule="auto"/>
        <w:jc w:val="both"/>
        <w:rPr>
          <w:rFonts w:ascii="Arial" w:hAnsi="Arial" w:cs="Arial"/>
        </w:rPr>
      </w:pPr>
    </w:p>
    <w:p w14:paraId="77787699" w14:textId="77777777" w:rsidR="002C57D2" w:rsidRPr="00FB3A86" w:rsidRDefault="002C57D2" w:rsidP="00441B6F">
      <w:pPr>
        <w:pStyle w:val="Affiliation"/>
        <w:spacing w:after="0" w:line="240" w:lineRule="auto"/>
        <w:jc w:val="both"/>
        <w:rPr>
          <w:rFonts w:ascii="Arial" w:hAnsi="Arial" w:cs="Arial"/>
        </w:rPr>
      </w:pPr>
    </w:p>
    <w:p w14:paraId="636AD0E1" w14:textId="77777777" w:rsidR="00B01FCD" w:rsidRPr="00FB3A86" w:rsidRDefault="000605DC" w:rsidP="00441B6F">
      <w:pPr>
        <w:pStyle w:val="Copyright"/>
        <w:spacing w:after="0" w:line="240" w:lineRule="auto"/>
        <w:jc w:val="both"/>
        <w:rPr>
          <w:rFonts w:ascii="Arial" w:hAnsi="Arial" w:cs="Arial"/>
        </w:rPr>
        <w:sectPr w:rsidR="00B01FCD" w:rsidRPr="00FB3A86" w:rsidSect="004008D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3E71A59" wp14:editId="23EA725E">
                <wp:extent cx="5303520" cy="635"/>
                <wp:effectExtent l="13335" t="16510" r="17145" b="12065"/>
                <wp:docPr id="5750560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F39F5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3DC26F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FCFF3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A651462" w14:textId="77777777" w:rsidTr="001E44FE">
        <w:tc>
          <w:tcPr>
            <w:tcW w:w="9576" w:type="dxa"/>
            <w:shd w:val="clear" w:color="auto" w:fill="F2F2F2"/>
          </w:tcPr>
          <w:p w14:paraId="67AEF634" w14:textId="77777777" w:rsidR="00735726" w:rsidRPr="00735726" w:rsidRDefault="00735726" w:rsidP="00735726">
            <w:pPr>
              <w:pStyle w:val="Body"/>
              <w:rPr>
                <w:rFonts w:ascii="Arial" w:eastAsia="Calibri" w:hAnsi="Arial" w:cs="Arial"/>
                <w:szCs w:val="22"/>
              </w:rPr>
            </w:pPr>
            <w:r w:rsidRPr="00735726">
              <w:rPr>
                <w:rFonts w:ascii="Arial" w:eastAsia="Calibri" w:hAnsi="Arial" w:cs="Arial"/>
                <w:b/>
                <w:bCs/>
                <w:szCs w:val="22"/>
              </w:rPr>
              <w:t>Background</w:t>
            </w:r>
            <w:r w:rsidRPr="00735726">
              <w:rPr>
                <w:rFonts w:ascii="Arial" w:eastAsia="Calibri" w:hAnsi="Arial" w:cs="Arial"/>
                <w:szCs w:val="22"/>
              </w:rPr>
              <w:t>: Caregiver preparedness for the death of a loved one is increasingly recognized as a critical component of palliative care. In Ghana, cultural taboos, religious beliefs, and limited support systems influence how families approach this process, yet little is known about how caregivers themselves navigate death preparedness.</w:t>
            </w:r>
          </w:p>
          <w:p w14:paraId="3E28122A" w14:textId="77777777" w:rsidR="00735726" w:rsidRPr="00735726" w:rsidRDefault="00735726" w:rsidP="00735726">
            <w:pPr>
              <w:pStyle w:val="Body"/>
              <w:rPr>
                <w:rFonts w:ascii="Arial" w:eastAsia="Calibri" w:hAnsi="Arial" w:cs="Arial"/>
                <w:szCs w:val="22"/>
              </w:rPr>
            </w:pPr>
            <w:r w:rsidRPr="00735726">
              <w:rPr>
                <w:rFonts w:ascii="Arial" w:eastAsia="Calibri" w:hAnsi="Arial" w:cs="Arial"/>
                <w:b/>
                <w:bCs/>
                <w:szCs w:val="22"/>
              </w:rPr>
              <w:t>Objective:</w:t>
            </w:r>
            <w:r w:rsidRPr="00735726">
              <w:rPr>
                <w:rFonts w:ascii="Arial" w:eastAsia="Calibri" w:hAnsi="Arial" w:cs="Arial"/>
                <w:szCs w:val="22"/>
              </w:rPr>
              <w:t xml:space="preserve"> This study explored the dimensions of caregiver death preparedness in Ghana, focusing on awareness, emotional responses, and behavioral actions.</w:t>
            </w:r>
          </w:p>
          <w:p w14:paraId="224DB6F7" w14:textId="77777777" w:rsidR="00735726" w:rsidRPr="00735726" w:rsidRDefault="00735726" w:rsidP="00735726">
            <w:pPr>
              <w:pStyle w:val="Body"/>
              <w:rPr>
                <w:rFonts w:ascii="Arial" w:eastAsia="Calibri" w:hAnsi="Arial" w:cs="Arial"/>
                <w:szCs w:val="22"/>
              </w:rPr>
            </w:pPr>
            <w:r w:rsidRPr="00735726">
              <w:rPr>
                <w:rFonts w:ascii="Arial" w:eastAsia="Calibri" w:hAnsi="Arial" w:cs="Arial"/>
                <w:b/>
                <w:bCs/>
                <w:szCs w:val="22"/>
              </w:rPr>
              <w:t>Methods:</w:t>
            </w:r>
            <w:r w:rsidRPr="00735726">
              <w:rPr>
                <w:rFonts w:ascii="Arial" w:eastAsia="Calibri" w:hAnsi="Arial" w:cs="Arial"/>
                <w:szCs w:val="22"/>
              </w:rPr>
              <w:t xml:space="preserve"> A qualitative descriptive design was employed at the Palliative Care Unit of Tetteh Quarshie Memorial Hospital, the only in-patient palliative care facility in Ghana. Twelve informal family caregivers of terminally ill patients were purposively recruited, and data saturation was achieved. Semi-structured interviews were conducted, transcribed verbatim, and analyzed thematically. Trustworthiness was enhanced through member checking, reflexivity, and use of verbatim quotes.</w:t>
            </w:r>
          </w:p>
          <w:p w14:paraId="1A70F62D" w14:textId="77777777" w:rsidR="00735726" w:rsidRPr="00735726" w:rsidRDefault="00735726" w:rsidP="00735726">
            <w:pPr>
              <w:pStyle w:val="Body"/>
              <w:rPr>
                <w:rFonts w:ascii="Arial" w:eastAsia="Calibri" w:hAnsi="Arial" w:cs="Arial"/>
                <w:szCs w:val="22"/>
              </w:rPr>
            </w:pPr>
            <w:r>
              <w:rPr>
                <w:rFonts w:ascii="Arial" w:eastAsia="Calibri" w:hAnsi="Arial" w:cs="Arial"/>
                <w:b/>
                <w:bCs/>
                <w:szCs w:val="22"/>
              </w:rPr>
              <w:t>Findings</w:t>
            </w:r>
            <w:r w:rsidRPr="00735726">
              <w:rPr>
                <w:rFonts w:ascii="Arial" w:eastAsia="Calibri" w:hAnsi="Arial" w:cs="Arial"/>
                <w:b/>
                <w:bCs/>
                <w:szCs w:val="22"/>
              </w:rPr>
              <w:t>:</w:t>
            </w:r>
            <w:r w:rsidRPr="00735726">
              <w:rPr>
                <w:rFonts w:ascii="Arial" w:eastAsia="Calibri" w:hAnsi="Arial" w:cs="Arial"/>
                <w:szCs w:val="22"/>
              </w:rPr>
              <w:t xml:space="preserve"> Three interrelated dimensions of preparedness were identified. Awareness included knowledge of disease, recognition of disease stage, and anticipation (or denial) of death. Emotional responses ranged from denial, fear, and turmoil to faith-based rationalization and eventual acceptance, often shaped by spirituality. Behavioral actions reflected caregivers’ responses to awareness and emotions, including persistent efforts toward recovery, financial and legal planning, and fulfilment of last wishes. Preparedness varied widely, with unpreparedness often linked to denial and reliance on hope.</w:t>
            </w:r>
          </w:p>
          <w:p w14:paraId="7AA0EB05" w14:textId="77777777" w:rsidR="00505F06" w:rsidRPr="00BA1B01" w:rsidRDefault="00735726" w:rsidP="00441B6F">
            <w:pPr>
              <w:pStyle w:val="Body"/>
              <w:spacing w:after="0"/>
              <w:rPr>
                <w:rFonts w:ascii="Arial" w:eastAsia="Calibri" w:hAnsi="Arial" w:cs="Arial"/>
                <w:szCs w:val="22"/>
              </w:rPr>
            </w:pPr>
            <w:r w:rsidRPr="00735726">
              <w:rPr>
                <w:rFonts w:ascii="Arial" w:eastAsia="Calibri" w:hAnsi="Arial" w:cs="Arial"/>
                <w:b/>
                <w:bCs/>
                <w:szCs w:val="22"/>
              </w:rPr>
              <w:t>Conclusion</w:t>
            </w:r>
            <w:r w:rsidRPr="00735726">
              <w:rPr>
                <w:rFonts w:ascii="Arial" w:eastAsia="Calibri" w:hAnsi="Arial" w:cs="Arial"/>
                <w:szCs w:val="22"/>
              </w:rPr>
              <w:t>: Caregiver death preparedness in Ghana is a dynamic, multidimensional process shaped by the interplay of awareness, emotion, and behavior. These findings provide evidence to guide culturally sensitive caregiver interventions and inform the integration of caregiver support into palliative care services and policy in Ghana and similar settings.</w:t>
            </w:r>
          </w:p>
        </w:tc>
      </w:tr>
    </w:tbl>
    <w:p w14:paraId="62CBA6ED" w14:textId="77777777" w:rsidR="00636EB2" w:rsidRDefault="00636EB2" w:rsidP="00441B6F">
      <w:pPr>
        <w:pStyle w:val="Body"/>
        <w:spacing w:after="0"/>
        <w:rPr>
          <w:rFonts w:ascii="Arial" w:hAnsi="Arial" w:cs="Arial"/>
          <w:i/>
        </w:rPr>
      </w:pPr>
    </w:p>
    <w:p w14:paraId="39CFBC32" w14:textId="77777777" w:rsidR="00A24E7E" w:rsidRDefault="00A24E7E" w:rsidP="00441B6F">
      <w:pPr>
        <w:pStyle w:val="Body"/>
        <w:spacing w:after="0"/>
        <w:rPr>
          <w:rFonts w:ascii="Arial" w:hAnsi="Arial" w:cs="Arial"/>
          <w:i/>
        </w:rPr>
      </w:pPr>
      <w:r>
        <w:rPr>
          <w:rFonts w:ascii="Arial" w:hAnsi="Arial" w:cs="Arial"/>
          <w:i/>
        </w:rPr>
        <w:t xml:space="preserve">Keywords: </w:t>
      </w:r>
      <w:r w:rsidR="00735726" w:rsidRPr="00735726">
        <w:rPr>
          <w:rFonts w:ascii="Arial" w:hAnsi="Arial" w:cs="Arial"/>
          <w:i/>
        </w:rPr>
        <w:t>Caregiver preparedness, death awareness, emotional responses, behavioral actions, palliative care</w:t>
      </w:r>
    </w:p>
    <w:p w14:paraId="7173ABCB" w14:textId="77777777" w:rsidR="0024282C" w:rsidRDefault="0024282C" w:rsidP="00441B6F">
      <w:pPr>
        <w:pStyle w:val="Body"/>
        <w:spacing w:after="0"/>
        <w:rPr>
          <w:rFonts w:ascii="Arial" w:hAnsi="Arial" w:cs="Arial"/>
          <w:i/>
          <w:sz w:val="18"/>
        </w:rPr>
      </w:pPr>
    </w:p>
    <w:p w14:paraId="7D927E95" w14:textId="77777777" w:rsidR="00505F06" w:rsidRPr="00A24E7E" w:rsidRDefault="00505F06" w:rsidP="00441B6F">
      <w:pPr>
        <w:pStyle w:val="Body"/>
        <w:spacing w:after="0"/>
        <w:rPr>
          <w:rFonts w:ascii="Arial" w:hAnsi="Arial" w:cs="Arial"/>
          <w:i/>
        </w:rPr>
      </w:pPr>
    </w:p>
    <w:p w14:paraId="780F136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5698C85" w14:textId="77777777" w:rsidR="00790ADA" w:rsidRPr="00FB3A86" w:rsidRDefault="00790ADA" w:rsidP="00441B6F">
      <w:pPr>
        <w:pStyle w:val="AbstHead"/>
        <w:spacing w:after="0"/>
        <w:jc w:val="both"/>
        <w:rPr>
          <w:rFonts w:ascii="Arial" w:hAnsi="Arial" w:cs="Arial"/>
        </w:rPr>
      </w:pPr>
    </w:p>
    <w:p w14:paraId="6D40CC9D" w14:textId="77777777" w:rsidR="007F194A" w:rsidRPr="007F194A" w:rsidRDefault="007F194A" w:rsidP="007F194A">
      <w:pPr>
        <w:pStyle w:val="Body"/>
        <w:rPr>
          <w:rFonts w:ascii="Arial" w:hAnsi="Arial" w:cs="Arial"/>
        </w:rPr>
      </w:pPr>
      <w:r w:rsidRPr="007F194A">
        <w:rPr>
          <w:rFonts w:ascii="Arial" w:hAnsi="Arial" w:cs="Arial"/>
        </w:rPr>
        <w:t>Globally, the need for caregiver support in end-of-life care is increasingly recognized as an essential component of palliative care. The World Health Organization estimates that over 56 million people require palliative care annually, with most living in low- and middle-income countries (World Health Organization, 2020). In these contexts, informal family caregivers shoulder the majority of the caregiving burden, often with limited training or support (</w:t>
      </w:r>
      <w:proofErr w:type="spellStart"/>
      <w:r w:rsidRPr="007F194A">
        <w:rPr>
          <w:rFonts w:ascii="Arial" w:hAnsi="Arial" w:cs="Arial"/>
        </w:rPr>
        <w:t>Kisangala</w:t>
      </w:r>
      <w:proofErr w:type="spellEnd"/>
      <w:r w:rsidRPr="007F194A">
        <w:rPr>
          <w:rFonts w:ascii="Arial" w:hAnsi="Arial" w:cs="Arial"/>
        </w:rPr>
        <w:t xml:space="preserve"> et al., 2024, </w:t>
      </w:r>
      <w:proofErr w:type="spellStart"/>
      <w:r w:rsidRPr="007F194A">
        <w:rPr>
          <w:rFonts w:ascii="Arial" w:hAnsi="Arial" w:cs="Arial"/>
        </w:rPr>
        <w:t>Aejoh</w:t>
      </w:r>
      <w:proofErr w:type="spellEnd"/>
      <w:r w:rsidRPr="007F194A">
        <w:rPr>
          <w:rFonts w:ascii="Arial" w:hAnsi="Arial" w:cs="Arial"/>
        </w:rPr>
        <w:t xml:space="preserve"> et al., 2020). While high-income countries have integrated structured caregiver programs into palliative care, addressing emotional, psychological, and practical preparedness, many resource-constrained settings, including those in sub-Saharan Africa, continue to under-address caregiver needs (McGuigan et al., 2024; Gambe et al., 2023).</w:t>
      </w:r>
    </w:p>
    <w:p w14:paraId="69F69E71" w14:textId="77777777" w:rsidR="007F194A" w:rsidRPr="007F194A" w:rsidRDefault="007F194A" w:rsidP="007F194A">
      <w:pPr>
        <w:pStyle w:val="Body"/>
        <w:rPr>
          <w:rFonts w:ascii="Arial" w:hAnsi="Arial" w:cs="Arial"/>
        </w:rPr>
      </w:pPr>
      <w:r w:rsidRPr="007F194A">
        <w:rPr>
          <w:rFonts w:ascii="Arial" w:hAnsi="Arial" w:cs="Arial"/>
        </w:rPr>
        <w:lastRenderedPageBreak/>
        <w:t>Caregiver death preparedness refers to the process by which family members become cognitively, emotionally, and practically ready for the anticipated death of a loved one (</w:t>
      </w:r>
      <w:proofErr w:type="spellStart"/>
      <w:r w:rsidRPr="007F194A">
        <w:rPr>
          <w:rFonts w:ascii="Arial" w:hAnsi="Arial" w:cs="Arial"/>
        </w:rPr>
        <w:t>Theißen</w:t>
      </w:r>
      <w:proofErr w:type="spellEnd"/>
      <w:r w:rsidRPr="007F194A">
        <w:rPr>
          <w:rFonts w:ascii="Arial" w:hAnsi="Arial" w:cs="Arial"/>
        </w:rPr>
        <w:t xml:space="preserve"> et al, 2024). It encompasses awareness of the illness and prognosis, emotional acceptance of impending loss, and behavioral actions such as financial planning, funeral arrangements, and fulfilment of last wishes (</w:t>
      </w:r>
      <w:proofErr w:type="spellStart"/>
      <w:r w:rsidRPr="007F194A">
        <w:rPr>
          <w:rFonts w:ascii="Arial" w:hAnsi="Arial" w:cs="Arial"/>
        </w:rPr>
        <w:t>Theißen</w:t>
      </w:r>
      <w:proofErr w:type="spellEnd"/>
      <w:r w:rsidRPr="007F194A">
        <w:rPr>
          <w:rFonts w:ascii="Arial" w:hAnsi="Arial" w:cs="Arial"/>
        </w:rPr>
        <w:t xml:space="preserve"> et al, 2024). Evidence suggests that adequate preparedness benefits both caregivers and patients by reducing anxiety, enhancing decision-making, and improving bereavement outcomes (Alvariza et al., 2020). However, unpreparedness has been linked to complicated grief, family conflict, and poor end-of-life experiences.</w:t>
      </w:r>
    </w:p>
    <w:p w14:paraId="3529352F" w14:textId="77777777" w:rsidR="007F194A" w:rsidRPr="007F194A" w:rsidRDefault="007F194A" w:rsidP="007F194A">
      <w:pPr>
        <w:pStyle w:val="Body"/>
        <w:rPr>
          <w:rFonts w:ascii="Arial" w:hAnsi="Arial" w:cs="Arial"/>
        </w:rPr>
      </w:pPr>
      <w:r w:rsidRPr="007F194A">
        <w:rPr>
          <w:rFonts w:ascii="Arial" w:hAnsi="Arial" w:cs="Arial"/>
        </w:rPr>
        <w:t>In sub-Saharan Africa, some progress has been made in integrating caregiver support into national palliative care frameworks, notably in South Africa, Kenya, Uganda, and Botswana. Yet, death preparedness remains particularly neglected (</w:t>
      </w:r>
      <w:proofErr w:type="spellStart"/>
      <w:r w:rsidRPr="007F194A">
        <w:rPr>
          <w:rFonts w:ascii="Arial" w:hAnsi="Arial" w:cs="Arial"/>
        </w:rPr>
        <w:t>Adejoh</w:t>
      </w:r>
      <w:proofErr w:type="spellEnd"/>
      <w:r w:rsidRPr="007F194A">
        <w:rPr>
          <w:rFonts w:ascii="Arial" w:hAnsi="Arial" w:cs="Arial"/>
        </w:rPr>
        <w:t xml:space="preserve"> et al., 2020; Hailu et al., 2025). In Ghana, cultural norms and taboos surrounding death often inhibit open conversations about dying. Families may view discussions about death as invoking misfortune, and caregivers frequently adopt hopeful or faith-based responses such as “It shall be well” or “God will heal”, even when prognosis is poor. While these expressions reflect resilience, they may also delay practical planning and emotional readiness.</w:t>
      </w:r>
    </w:p>
    <w:p w14:paraId="08EA27A4" w14:textId="77777777" w:rsidR="007F194A" w:rsidRPr="007F194A" w:rsidRDefault="007F194A" w:rsidP="007F194A">
      <w:pPr>
        <w:pStyle w:val="Body"/>
        <w:rPr>
          <w:rFonts w:ascii="Arial" w:hAnsi="Arial" w:cs="Arial"/>
        </w:rPr>
      </w:pPr>
      <w:r w:rsidRPr="007F194A">
        <w:rPr>
          <w:rFonts w:ascii="Arial" w:hAnsi="Arial" w:cs="Arial"/>
        </w:rPr>
        <w:t>Beyond cultural barriers, systemic challenges limit caregiver support in Ghana. Although palliative care services have been gradually incorporated into healthcare delivery, structured caregiver-focused interventions remain scarce. Clinicians may avoid prognosis-related discussions, assuming families will initiate them when ready (Ofosu-Poku, 2021). Caregivers, in turn, are left with limited guidance, navigating physical caregiving demands, emotional distress, and practical concerns such as funeral costs, dependents’ welfare, and property management (</w:t>
      </w:r>
      <w:proofErr w:type="spellStart"/>
      <w:r w:rsidRPr="007F194A">
        <w:rPr>
          <w:rFonts w:ascii="Arial" w:hAnsi="Arial" w:cs="Arial"/>
        </w:rPr>
        <w:t>Haliu</w:t>
      </w:r>
      <w:proofErr w:type="spellEnd"/>
      <w:r w:rsidRPr="007F194A">
        <w:rPr>
          <w:rFonts w:ascii="Arial" w:hAnsi="Arial" w:cs="Arial"/>
        </w:rPr>
        <w:t xml:space="preserve"> et al., 2025). Without adequate support, many families face overwhelming responsibilities when death occurs.</w:t>
      </w:r>
    </w:p>
    <w:p w14:paraId="19FF70B5" w14:textId="77777777" w:rsidR="007F194A" w:rsidRPr="007F194A" w:rsidRDefault="007F194A" w:rsidP="007F194A">
      <w:pPr>
        <w:pStyle w:val="Body"/>
        <w:rPr>
          <w:rFonts w:ascii="Arial" w:hAnsi="Arial" w:cs="Arial"/>
        </w:rPr>
      </w:pPr>
      <w:r w:rsidRPr="007F194A">
        <w:rPr>
          <w:rFonts w:ascii="Arial" w:hAnsi="Arial" w:cs="Arial"/>
        </w:rPr>
        <w:t>Existing literature on caregiving in Ghana has highlighted the burden of care, financial strain, and emotional toll of terminal illness (Agyemang-Duah, Abdullah, &amp; Rosenberg, 2024). However, little is known about how caregivers specifically prepare or fail to prepare for death (Lung et al., 2021). This knowledge gap is significant because preparedness is not a uniform process but a multidimensional one, shaped by the interplay of awareness, emotional adjustment, and behavioral action (Wen et al., 2022). Understanding how caregivers in Ghana experience these dimensions is essential to designing culturally sensitive interventions that can support families at the end of life.</w:t>
      </w:r>
    </w:p>
    <w:p w14:paraId="77939715" w14:textId="77777777" w:rsidR="007F194A" w:rsidRPr="007F194A" w:rsidRDefault="007F194A" w:rsidP="007F194A">
      <w:pPr>
        <w:pStyle w:val="Body"/>
        <w:rPr>
          <w:rFonts w:ascii="Arial" w:hAnsi="Arial" w:cs="Arial"/>
        </w:rPr>
      </w:pPr>
      <w:r w:rsidRPr="007F194A">
        <w:rPr>
          <w:rFonts w:ascii="Arial" w:hAnsi="Arial" w:cs="Arial"/>
        </w:rPr>
        <w:t>This study, therefore, explores caregiver death preparedness among family caregivers of terminally ill patients receiving palliative care at Tetteh Quarshie Memorial Hospital in Ghana. Specifically, the study seeks to find out how caregivers understand and interpret illness, its progression, and the prospect of death, the emotional responses caregivers experience in the face of impending death, as well as behavioral actions caregivers take in preparing or not preparing for the death of their loved ones.</w:t>
      </w:r>
    </w:p>
    <w:p w14:paraId="7417FDD5" w14:textId="77777777" w:rsidR="007F194A" w:rsidRDefault="007F194A" w:rsidP="007F194A">
      <w:pPr>
        <w:pStyle w:val="Body"/>
        <w:spacing w:after="0"/>
        <w:rPr>
          <w:rFonts w:ascii="Arial" w:hAnsi="Arial" w:cs="Arial"/>
        </w:rPr>
      </w:pPr>
      <w:r w:rsidRPr="007F194A">
        <w:rPr>
          <w:rFonts w:ascii="Arial" w:hAnsi="Arial" w:cs="Arial"/>
        </w:rPr>
        <w:t xml:space="preserve">By addressing these questions, this study contributes to the limited empirical evidence on caregiver death preparedness in Ghana. Findings are intended to inform both clinical practice and policy, supporting the integration of caregiver-focused interventions into palliative care services, and ultimately improving end-of-life experiences for patients and families. </w:t>
      </w:r>
    </w:p>
    <w:p w14:paraId="5771C24C" w14:textId="77777777" w:rsidR="00B01FCD" w:rsidRDefault="00B01FCD" w:rsidP="00441B6F">
      <w:pPr>
        <w:pStyle w:val="Body"/>
        <w:spacing w:after="0"/>
        <w:rPr>
          <w:rFonts w:ascii="Arial" w:hAnsi="Arial" w:cs="Arial"/>
        </w:rPr>
      </w:pPr>
    </w:p>
    <w:p w14:paraId="4237C96E" w14:textId="77777777" w:rsidR="00790ADA" w:rsidRPr="00FB3A86" w:rsidRDefault="00790ADA" w:rsidP="00441B6F">
      <w:pPr>
        <w:pStyle w:val="Body"/>
        <w:spacing w:after="0"/>
        <w:rPr>
          <w:rFonts w:ascii="Arial" w:hAnsi="Arial" w:cs="Arial"/>
        </w:rPr>
      </w:pPr>
    </w:p>
    <w:p w14:paraId="71376969"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5D3C2EC" w14:textId="77777777" w:rsidR="00790ADA" w:rsidRPr="00FB3A86" w:rsidRDefault="00790ADA" w:rsidP="00441B6F">
      <w:pPr>
        <w:pStyle w:val="AbstHead"/>
        <w:spacing w:after="0"/>
        <w:jc w:val="both"/>
        <w:rPr>
          <w:rFonts w:ascii="Arial" w:hAnsi="Arial" w:cs="Arial"/>
        </w:rPr>
      </w:pPr>
    </w:p>
    <w:p w14:paraId="57E9D995" w14:textId="77777777" w:rsidR="009F0010" w:rsidRPr="009F0010" w:rsidRDefault="009F0010" w:rsidP="009F0010">
      <w:pPr>
        <w:pStyle w:val="Body"/>
        <w:rPr>
          <w:rFonts w:ascii="Arial" w:hAnsi="Arial" w:cs="Arial"/>
          <w:b/>
          <w:bCs/>
        </w:rPr>
      </w:pPr>
      <w:r w:rsidRPr="009F0010">
        <w:rPr>
          <w:rFonts w:ascii="Arial" w:hAnsi="Arial" w:cs="Arial"/>
          <w:b/>
          <w:bCs/>
        </w:rPr>
        <w:t>2.1 Study Design</w:t>
      </w:r>
    </w:p>
    <w:p w14:paraId="414D2117" w14:textId="77777777" w:rsidR="009F0010" w:rsidRPr="009F0010" w:rsidRDefault="009F0010" w:rsidP="009F0010">
      <w:pPr>
        <w:pStyle w:val="Body"/>
        <w:rPr>
          <w:rFonts w:ascii="Arial" w:hAnsi="Arial" w:cs="Arial"/>
        </w:rPr>
      </w:pPr>
      <w:r w:rsidRPr="009F0010">
        <w:rPr>
          <w:rFonts w:ascii="Arial" w:hAnsi="Arial" w:cs="Arial"/>
        </w:rPr>
        <w:t>This study employed a qualitative descriptive design to explore caregiver death preparedness among family caregivers of terminally ill patients. A qualitative approach was deemed appropriate to capture the depth and complexity of the lived experiences of participants, particularly their awareness, emotional responses, and behavioral actions in preparing for the death of a loved one.</w:t>
      </w:r>
    </w:p>
    <w:p w14:paraId="46FB41C7" w14:textId="77777777" w:rsidR="009F0010" w:rsidRPr="009F0010" w:rsidRDefault="009F0010" w:rsidP="009F0010">
      <w:pPr>
        <w:pStyle w:val="Body"/>
        <w:rPr>
          <w:rFonts w:ascii="Arial" w:hAnsi="Arial" w:cs="Arial"/>
          <w:b/>
          <w:bCs/>
        </w:rPr>
      </w:pPr>
      <w:r w:rsidRPr="009F0010">
        <w:rPr>
          <w:rFonts w:ascii="Arial" w:hAnsi="Arial" w:cs="Arial"/>
          <w:b/>
          <w:bCs/>
        </w:rPr>
        <w:t>2.2</w:t>
      </w:r>
      <w:r>
        <w:rPr>
          <w:rFonts w:ascii="Arial" w:hAnsi="Arial" w:cs="Arial"/>
          <w:b/>
          <w:bCs/>
        </w:rPr>
        <w:t xml:space="preserve"> </w:t>
      </w:r>
      <w:r w:rsidRPr="009F0010">
        <w:rPr>
          <w:rFonts w:ascii="Arial" w:hAnsi="Arial" w:cs="Arial"/>
          <w:b/>
          <w:bCs/>
        </w:rPr>
        <w:t>Study Setting</w:t>
      </w:r>
    </w:p>
    <w:p w14:paraId="301741A4" w14:textId="77777777" w:rsidR="009F0010" w:rsidRPr="009F0010" w:rsidRDefault="009F0010" w:rsidP="009F0010">
      <w:pPr>
        <w:pStyle w:val="Body"/>
        <w:rPr>
          <w:rFonts w:ascii="Arial" w:hAnsi="Arial" w:cs="Arial"/>
        </w:rPr>
      </w:pPr>
      <w:r w:rsidRPr="009F0010">
        <w:rPr>
          <w:rFonts w:ascii="Arial" w:hAnsi="Arial" w:cs="Arial"/>
        </w:rPr>
        <w:t xml:space="preserve">The study was conducted at the Palliative Care Unit of Tetteh Quarshie Memorial Hospital (TQMH) in the Eastern Region of Ghana. TQMH serves as the main district hospital for the </w:t>
      </w:r>
      <w:proofErr w:type="spellStart"/>
      <w:r w:rsidRPr="009F0010">
        <w:rPr>
          <w:rFonts w:ascii="Arial" w:hAnsi="Arial" w:cs="Arial"/>
        </w:rPr>
        <w:t>Akuapim</w:t>
      </w:r>
      <w:proofErr w:type="spellEnd"/>
      <w:r w:rsidRPr="009F0010">
        <w:rPr>
          <w:rFonts w:ascii="Arial" w:hAnsi="Arial" w:cs="Arial"/>
        </w:rPr>
        <w:t xml:space="preserve"> North Municipality and houses Ghana’s only in-patient palliative care unit. This unique facility was, therefore, an appropriate site for exploring caregiver experiences in end-of-life contexts.</w:t>
      </w:r>
    </w:p>
    <w:p w14:paraId="073DFBF6" w14:textId="77777777" w:rsidR="009F0010" w:rsidRPr="009F0010" w:rsidRDefault="009F0010" w:rsidP="009F0010">
      <w:pPr>
        <w:pStyle w:val="Body"/>
        <w:rPr>
          <w:rFonts w:ascii="Arial" w:hAnsi="Arial" w:cs="Arial"/>
          <w:b/>
          <w:bCs/>
        </w:rPr>
      </w:pPr>
      <w:r w:rsidRPr="009F0010">
        <w:rPr>
          <w:rFonts w:ascii="Arial" w:hAnsi="Arial" w:cs="Arial"/>
          <w:b/>
          <w:bCs/>
        </w:rPr>
        <w:t>2.3 Study Population</w:t>
      </w:r>
    </w:p>
    <w:p w14:paraId="6FF7B580" w14:textId="77777777" w:rsidR="009F0010" w:rsidRPr="009F0010" w:rsidRDefault="009F0010" w:rsidP="009F0010">
      <w:pPr>
        <w:pStyle w:val="Body"/>
        <w:rPr>
          <w:rFonts w:ascii="Arial" w:hAnsi="Arial" w:cs="Arial"/>
        </w:rPr>
      </w:pPr>
      <w:r w:rsidRPr="009F0010">
        <w:rPr>
          <w:rFonts w:ascii="Arial" w:hAnsi="Arial" w:cs="Arial"/>
        </w:rPr>
        <w:lastRenderedPageBreak/>
        <w:t>The study population comprised informal or family caregivers who were at least 18 years old and were currently caring for, or had cared for, a terminally ill patient receiving palliative care services at TQMH within the previous 12 months. This timeframe ensured both recency and relevance of caregiving experiences. Professional or paid caregivers were excluded.</w:t>
      </w:r>
    </w:p>
    <w:p w14:paraId="0CFAE4FE" w14:textId="77777777" w:rsidR="009F0010" w:rsidRPr="009F0010" w:rsidRDefault="009F0010" w:rsidP="009F0010">
      <w:pPr>
        <w:pStyle w:val="Body"/>
        <w:rPr>
          <w:rFonts w:ascii="Arial" w:hAnsi="Arial" w:cs="Arial"/>
          <w:b/>
          <w:bCs/>
        </w:rPr>
      </w:pPr>
      <w:r w:rsidRPr="009F0010">
        <w:rPr>
          <w:rFonts w:ascii="Arial" w:hAnsi="Arial" w:cs="Arial"/>
          <w:b/>
          <w:bCs/>
        </w:rPr>
        <w:t>2.4 Sampling</w:t>
      </w:r>
    </w:p>
    <w:p w14:paraId="102F908F" w14:textId="77777777" w:rsidR="009F0010" w:rsidRPr="009F0010" w:rsidRDefault="009F0010" w:rsidP="009F0010">
      <w:pPr>
        <w:pStyle w:val="Body"/>
        <w:rPr>
          <w:rFonts w:ascii="Arial" w:hAnsi="Arial" w:cs="Arial"/>
        </w:rPr>
      </w:pPr>
      <w:r w:rsidRPr="009F0010">
        <w:rPr>
          <w:rFonts w:ascii="Arial" w:hAnsi="Arial" w:cs="Arial"/>
        </w:rPr>
        <w:t>A purposive sampling technique was used to recruit participants with direct experience of caregiving. Recruitment was facilitated by palliative care staff, who acted as gatekeepers to identify eligible caregivers and introduce the study. Twenty caregivers were approached, 15 expressed interest, and 12 ultimately participated. Data saturation was reached by the twelfth interview, as no new codes or themes emerged during the final two interviews.</w:t>
      </w:r>
    </w:p>
    <w:p w14:paraId="0BC97ED7" w14:textId="77777777" w:rsidR="009F0010" w:rsidRPr="009F0010" w:rsidRDefault="009F0010" w:rsidP="009F0010">
      <w:pPr>
        <w:pStyle w:val="Body"/>
        <w:rPr>
          <w:rFonts w:ascii="Arial" w:hAnsi="Arial" w:cs="Arial"/>
          <w:b/>
          <w:bCs/>
        </w:rPr>
      </w:pPr>
      <w:r w:rsidRPr="009F0010">
        <w:rPr>
          <w:rFonts w:ascii="Arial" w:hAnsi="Arial" w:cs="Arial"/>
          <w:b/>
          <w:bCs/>
        </w:rPr>
        <w:t>2.5 Data Collection</w:t>
      </w:r>
    </w:p>
    <w:p w14:paraId="4C13BD1F" w14:textId="77777777" w:rsidR="009F0010" w:rsidRPr="009F0010" w:rsidRDefault="009F0010" w:rsidP="009F0010">
      <w:pPr>
        <w:pStyle w:val="Body"/>
        <w:rPr>
          <w:rFonts w:ascii="Arial" w:hAnsi="Arial" w:cs="Arial"/>
        </w:rPr>
      </w:pPr>
      <w:r w:rsidRPr="009F0010">
        <w:rPr>
          <w:rFonts w:ascii="Arial" w:hAnsi="Arial" w:cs="Arial"/>
        </w:rPr>
        <w:t>Data was collected in April 2022 through one-on-one semi-structured interviews. Interviews were conducted in a private consulting room at the palliative care unit or, when preferred, in the participant’s home to ensure comfort and confidentiality. Each interview lasted 25–35 minutes. An interview guide consisting of 17 open-ended questions was developed based on the study’s conceptual framework and a review of relevant literature. Questions included, ‘How did you first become aware of your loved one’s illness and what it might mean?’, ‘In what ways did you prepare emotionally for the possibility of their death?’, and ‘What practical steps did you take to prepare for the future?’</w:t>
      </w:r>
    </w:p>
    <w:p w14:paraId="2C4B1EE3" w14:textId="77777777" w:rsidR="009F0010" w:rsidRPr="009F0010" w:rsidRDefault="009F0010" w:rsidP="009F0010">
      <w:pPr>
        <w:pStyle w:val="Body"/>
        <w:rPr>
          <w:rFonts w:ascii="Arial" w:hAnsi="Arial" w:cs="Arial"/>
        </w:rPr>
      </w:pPr>
      <w:r w:rsidRPr="009F0010">
        <w:rPr>
          <w:rFonts w:ascii="Arial" w:hAnsi="Arial" w:cs="Arial"/>
        </w:rPr>
        <w:t>Interviews were conducted in English or Twi depending on the participant’s preference. Where Twi was used, professional interpreters assisted. Transcripts were subsequently translated into English and cross-checked by bilingual research assistants to ensure accuracy and preserve meaning. All interviews were audio-recorded with consent and transcribed verbatim.</w:t>
      </w:r>
    </w:p>
    <w:p w14:paraId="58ECAF06" w14:textId="77777777" w:rsidR="009F0010" w:rsidRPr="009F0010" w:rsidRDefault="009F0010" w:rsidP="009F0010">
      <w:pPr>
        <w:pStyle w:val="Body"/>
        <w:rPr>
          <w:rFonts w:ascii="Arial" w:hAnsi="Arial" w:cs="Arial"/>
          <w:b/>
          <w:bCs/>
        </w:rPr>
      </w:pPr>
      <w:r w:rsidRPr="009F0010">
        <w:rPr>
          <w:rFonts w:ascii="Arial" w:hAnsi="Arial" w:cs="Arial"/>
          <w:b/>
          <w:bCs/>
        </w:rPr>
        <w:t>2.6 Researcher Reflexivity</w:t>
      </w:r>
    </w:p>
    <w:p w14:paraId="0B035ABD" w14:textId="77777777" w:rsidR="009F0010" w:rsidRPr="009F0010" w:rsidRDefault="009F0010" w:rsidP="009F0010">
      <w:pPr>
        <w:pStyle w:val="Body"/>
        <w:rPr>
          <w:rFonts w:ascii="Arial" w:hAnsi="Arial" w:cs="Arial"/>
        </w:rPr>
      </w:pPr>
      <w:r w:rsidRPr="009F0010">
        <w:rPr>
          <w:rFonts w:ascii="Arial" w:hAnsi="Arial" w:cs="Arial"/>
        </w:rPr>
        <w:t>The lead researcher is a palliative care nurse with prior experience in end-of-life care. This background facilitated rapport and empathy during interviews but also posed a potential risk of bias. Reflexivity was maintained through journaling, documenting preconceptions, and regular debriefing with the research team to reflect on how the researcher’s professional role might have influenced interactions and interpretations.</w:t>
      </w:r>
    </w:p>
    <w:p w14:paraId="1ABCCB2C" w14:textId="77777777" w:rsidR="009F0010" w:rsidRPr="009F0010" w:rsidRDefault="009F0010" w:rsidP="009F0010">
      <w:pPr>
        <w:pStyle w:val="Body"/>
        <w:rPr>
          <w:rFonts w:ascii="Arial" w:hAnsi="Arial" w:cs="Arial"/>
          <w:b/>
          <w:bCs/>
        </w:rPr>
      </w:pPr>
      <w:r w:rsidRPr="009F0010">
        <w:rPr>
          <w:rFonts w:ascii="Arial" w:hAnsi="Arial" w:cs="Arial"/>
          <w:b/>
          <w:bCs/>
        </w:rPr>
        <w:t>2.7 Data Management and Analysis</w:t>
      </w:r>
    </w:p>
    <w:p w14:paraId="57CB0789" w14:textId="77777777" w:rsidR="009F0010" w:rsidRPr="009F0010" w:rsidRDefault="009F0010" w:rsidP="009F0010">
      <w:pPr>
        <w:pStyle w:val="Body"/>
        <w:rPr>
          <w:rFonts w:ascii="Arial" w:hAnsi="Arial" w:cs="Arial"/>
        </w:rPr>
      </w:pPr>
      <w:r w:rsidRPr="009F0010">
        <w:rPr>
          <w:rFonts w:ascii="Arial" w:hAnsi="Arial" w:cs="Arial"/>
        </w:rPr>
        <w:t>Transcripts were anonymized and securely stored on password-protected devices. Data was analyzed using thematic content analysis, following Braun and Clarke’s six-step approach of familiarization with transcripts, generating initial codes, grouping codes into categories, developing themes, reviewing themes, and defining and naming themes. Coding was conducted inductively, allowing themes to emerge from the data while being guided by the study framework (awareness, emotional responses, and behavioral actions).</w:t>
      </w:r>
    </w:p>
    <w:p w14:paraId="22ED0796" w14:textId="77777777" w:rsidR="009F0010" w:rsidRPr="009F0010" w:rsidRDefault="009F0010" w:rsidP="009F0010">
      <w:pPr>
        <w:pStyle w:val="Body"/>
        <w:rPr>
          <w:rFonts w:ascii="Arial" w:hAnsi="Arial" w:cs="Arial"/>
        </w:rPr>
      </w:pPr>
      <w:r w:rsidRPr="009F0010">
        <w:rPr>
          <w:rFonts w:ascii="Arial" w:hAnsi="Arial" w:cs="Arial"/>
        </w:rPr>
        <w:t>Two members of the research team independently coded a subset of transcripts to enhance dependability. Discrepancies were discussed and resolved, and a coding framework was developed and applied to the remaining transcripts. NVivo 12 software was used to support data organization and retrieval. Verbatim quotes are presented in the findings to ensure transparency and preserve participants’ voices.</w:t>
      </w:r>
    </w:p>
    <w:p w14:paraId="7A48BFC8" w14:textId="77777777" w:rsidR="009F0010" w:rsidRPr="009F0010" w:rsidRDefault="009F0010" w:rsidP="009F0010">
      <w:pPr>
        <w:pStyle w:val="Body"/>
        <w:rPr>
          <w:rFonts w:ascii="Arial" w:hAnsi="Arial" w:cs="Arial"/>
          <w:b/>
          <w:bCs/>
        </w:rPr>
      </w:pPr>
      <w:r w:rsidRPr="009F0010">
        <w:rPr>
          <w:rFonts w:ascii="Arial" w:hAnsi="Arial" w:cs="Arial"/>
          <w:b/>
          <w:bCs/>
        </w:rPr>
        <w:t>2.8 Trustworthiness</w:t>
      </w:r>
    </w:p>
    <w:p w14:paraId="53F267FF" w14:textId="77777777" w:rsidR="009F0010" w:rsidRDefault="009F0010" w:rsidP="009F0010">
      <w:pPr>
        <w:pStyle w:val="Body"/>
        <w:spacing w:after="0"/>
        <w:rPr>
          <w:rFonts w:ascii="Arial" w:hAnsi="Arial" w:cs="Arial"/>
        </w:rPr>
      </w:pPr>
      <w:r w:rsidRPr="009F0010">
        <w:rPr>
          <w:rFonts w:ascii="Arial" w:hAnsi="Arial" w:cs="Arial"/>
        </w:rPr>
        <w:t xml:space="preserve">Trustworthiness was ensured through multiple strategies. Member checking was conducted with selected participants to validate interpretations. Verbatim quotes to illustrate findings also helped ensure credibility. An audit trail documenting coding decisions and analytic processes was maintained to ensure dependability. Confirmability was ensured through reflexive journaling and team debriefing to minimize researcher bias. A detailed description of the study setting, sampling, and participant demographics enables readers to assess applicability or transferability to other contexts. </w:t>
      </w:r>
    </w:p>
    <w:p w14:paraId="158C83B9" w14:textId="77777777" w:rsidR="00CE56E8" w:rsidRDefault="00CE56E8" w:rsidP="009F0010">
      <w:pPr>
        <w:pStyle w:val="Body"/>
        <w:spacing w:after="0"/>
        <w:rPr>
          <w:rFonts w:ascii="Arial" w:hAnsi="Arial" w:cs="Arial"/>
        </w:rPr>
      </w:pPr>
    </w:p>
    <w:p w14:paraId="4AA5FAC4" w14:textId="1A0AC5FA" w:rsidR="00CE56E8" w:rsidRPr="00947159" w:rsidRDefault="00CE56E8" w:rsidP="00CE56E8">
      <w:pPr>
        <w:spacing w:after="240"/>
        <w:jc w:val="both"/>
        <w:rPr>
          <w:rFonts w:ascii="Arial" w:hAnsi="Arial" w:cs="Arial"/>
          <w:b/>
          <w:bCs/>
          <w:color w:val="000000" w:themeColor="text1"/>
          <w:sz w:val="22"/>
          <w:szCs w:val="22"/>
        </w:rPr>
      </w:pPr>
      <w:r w:rsidRPr="008D34B9">
        <w:rPr>
          <w:rFonts w:ascii="Arial" w:hAnsi="Arial" w:cs="Arial"/>
          <w:b/>
          <w:bCs/>
          <w:sz w:val="22"/>
          <w:szCs w:val="22"/>
        </w:rPr>
        <w:t xml:space="preserve">3. </w:t>
      </w:r>
      <w:r w:rsidR="00682C51">
        <w:rPr>
          <w:rFonts w:ascii="Arial" w:hAnsi="Arial" w:cs="Arial"/>
          <w:b/>
          <w:bCs/>
          <w:color w:val="000000" w:themeColor="text1"/>
          <w:sz w:val="22"/>
          <w:szCs w:val="22"/>
        </w:rPr>
        <w:t>Result</w:t>
      </w:r>
    </w:p>
    <w:p w14:paraId="5C9211A2" w14:textId="77777777" w:rsidR="00CE56E8" w:rsidRPr="00947159" w:rsidRDefault="00CE56E8" w:rsidP="00CE56E8">
      <w:pPr>
        <w:spacing w:after="240"/>
        <w:jc w:val="both"/>
        <w:rPr>
          <w:rFonts w:ascii="Arial" w:hAnsi="Arial" w:cs="Arial"/>
          <w:b/>
          <w:bCs/>
          <w:color w:val="000000" w:themeColor="text1"/>
          <w:sz w:val="22"/>
          <w:szCs w:val="22"/>
        </w:rPr>
      </w:pPr>
      <w:r w:rsidRPr="008D34B9">
        <w:rPr>
          <w:rFonts w:ascii="Arial" w:hAnsi="Arial" w:cs="Arial"/>
          <w:b/>
          <w:bCs/>
          <w:sz w:val="22"/>
          <w:szCs w:val="22"/>
        </w:rPr>
        <w:t xml:space="preserve">3.1 </w:t>
      </w:r>
      <w:r w:rsidRPr="00947159">
        <w:rPr>
          <w:rFonts w:ascii="Arial" w:hAnsi="Arial" w:cs="Arial"/>
          <w:b/>
          <w:bCs/>
          <w:color w:val="000000" w:themeColor="text1"/>
          <w:sz w:val="22"/>
          <w:szCs w:val="22"/>
        </w:rPr>
        <w:t>Participant Demographics</w:t>
      </w:r>
    </w:p>
    <w:p w14:paraId="6ABB6B49" w14:textId="55CBAC63" w:rsidR="00CE56E8" w:rsidRPr="00947159" w:rsidRDefault="00CE56E8" w:rsidP="00CE56E8">
      <w:pPr>
        <w:spacing w:after="240"/>
        <w:jc w:val="both"/>
        <w:rPr>
          <w:rFonts w:ascii="Arial" w:hAnsi="Arial" w:cs="Arial"/>
          <w:color w:val="000000" w:themeColor="text1"/>
        </w:rPr>
      </w:pPr>
      <w:r w:rsidRPr="00947159">
        <w:rPr>
          <w:rFonts w:ascii="Arial" w:hAnsi="Arial" w:cs="Arial"/>
          <w:color w:val="000000" w:themeColor="text1"/>
        </w:rPr>
        <w:lastRenderedPageBreak/>
        <w:t>Twelve caregivers participated in the study. Ages ranged from 24 to 79 years, with most being female (1</w:t>
      </w:r>
      <w:r w:rsidR="00AB7137">
        <w:rPr>
          <w:rFonts w:ascii="Arial" w:hAnsi="Arial" w:cs="Arial"/>
          <w:color w:val="000000" w:themeColor="text1"/>
        </w:rPr>
        <w:t>1</w:t>
      </w:r>
      <w:r w:rsidRPr="00947159">
        <w:rPr>
          <w:rFonts w:ascii="Arial" w:hAnsi="Arial" w:cs="Arial"/>
          <w:color w:val="000000" w:themeColor="text1"/>
        </w:rPr>
        <w:t xml:space="preserve"> out of 12). Relationships to the patient were primarily daughters (5), nieces (3), mothers (2), one sister, and one spouse. Caregiving duration varied from 8 months to 10 years. All participants identified as Christian.</w:t>
      </w:r>
    </w:p>
    <w:p w14:paraId="330FBDE4"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b/>
          <w:bCs/>
          <w:color w:val="000000" w:themeColor="text1"/>
        </w:rPr>
        <w:t>Table 1: Demographic Characteristics of Caregivers (N = 12)</w:t>
      </w:r>
    </w:p>
    <w:tbl>
      <w:tblPr>
        <w:tblStyle w:val="TableGrid"/>
        <w:tblW w:w="0" w:type="auto"/>
        <w:tblLook w:val="04A0" w:firstRow="1" w:lastRow="0" w:firstColumn="1" w:lastColumn="0" w:noHBand="0" w:noVBand="1"/>
      </w:tblPr>
      <w:tblGrid>
        <w:gridCol w:w="1251"/>
        <w:gridCol w:w="1250"/>
        <w:gridCol w:w="1459"/>
        <w:gridCol w:w="1339"/>
        <w:gridCol w:w="1006"/>
        <w:gridCol w:w="2258"/>
        <w:gridCol w:w="2227"/>
      </w:tblGrid>
      <w:tr w:rsidR="00CE56E8" w:rsidRPr="008D34B9" w14:paraId="576989E0" w14:textId="77777777" w:rsidTr="00645C13">
        <w:tc>
          <w:tcPr>
            <w:tcW w:w="0" w:type="auto"/>
            <w:hideMark/>
          </w:tcPr>
          <w:p w14:paraId="7DF49CA8"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Participant</w:t>
            </w:r>
          </w:p>
        </w:tc>
        <w:tc>
          <w:tcPr>
            <w:tcW w:w="0" w:type="auto"/>
            <w:hideMark/>
          </w:tcPr>
          <w:p w14:paraId="2C2AC827"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Age (years)</w:t>
            </w:r>
          </w:p>
        </w:tc>
        <w:tc>
          <w:tcPr>
            <w:tcW w:w="0" w:type="auto"/>
            <w:hideMark/>
          </w:tcPr>
          <w:p w14:paraId="004D4209"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Marital Status</w:t>
            </w:r>
          </w:p>
        </w:tc>
        <w:tc>
          <w:tcPr>
            <w:tcW w:w="0" w:type="auto"/>
            <w:hideMark/>
          </w:tcPr>
          <w:p w14:paraId="2EEAF9C9"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Occupation</w:t>
            </w:r>
          </w:p>
        </w:tc>
        <w:tc>
          <w:tcPr>
            <w:tcW w:w="0" w:type="auto"/>
            <w:hideMark/>
          </w:tcPr>
          <w:p w14:paraId="077D5570"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Religion</w:t>
            </w:r>
          </w:p>
        </w:tc>
        <w:tc>
          <w:tcPr>
            <w:tcW w:w="0" w:type="auto"/>
            <w:hideMark/>
          </w:tcPr>
          <w:p w14:paraId="6E435B23"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Relationship to Patient</w:t>
            </w:r>
          </w:p>
        </w:tc>
        <w:tc>
          <w:tcPr>
            <w:tcW w:w="0" w:type="auto"/>
            <w:hideMark/>
          </w:tcPr>
          <w:p w14:paraId="290C496C"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Duration of Caregiving</w:t>
            </w:r>
          </w:p>
        </w:tc>
      </w:tr>
      <w:tr w:rsidR="00CE56E8" w:rsidRPr="008D34B9" w14:paraId="5495E1B2" w14:textId="77777777" w:rsidTr="00645C13">
        <w:tc>
          <w:tcPr>
            <w:tcW w:w="0" w:type="auto"/>
            <w:hideMark/>
          </w:tcPr>
          <w:p w14:paraId="06DB47D2"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P1</w:t>
            </w:r>
          </w:p>
        </w:tc>
        <w:tc>
          <w:tcPr>
            <w:tcW w:w="0" w:type="auto"/>
            <w:hideMark/>
          </w:tcPr>
          <w:p w14:paraId="255EF6E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46</w:t>
            </w:r>
          </w:p>
        </w:tc>
        <w:tc>
          <w:tcPr>
            <w:tcW w:w="0" w:type="auto"/>
            <w:hideMark/>
          </w:tcPr>
          <w:p w14:paraId="47334E9E"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Married</w:t>
            </w:r>
          </w:p>
        </w:tc>
        <w:tc>
          <w:tcPr>
            <w:tcW w:w="0" w:type="auto"/>
            <w:hideMark/>
          </w:tcPr>
          <w:p w14:paraId="165BD48C"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Trader</w:t>
            </w:r>
          </w:p>
        </w:tc>
        <w:tc>
          <w:tcPr>
            <w:tcW w:w="0" w:type="auto"/>
            <w:hideMark/>
          </w:tcPr>
          <w:p w14:paraId="5BF5CDD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7FE64F73"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Daughter</w:t>
            </w:r>
          </w:p>
        </w:tc>
        <w:tc>
          <w:tcPr>
            <w:tcW w:w="0" w:type="auto"/>
            <w:hideMark/>
          </w:tcPr>
          <w:p w14:paraId="4182DE4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3 years</w:t>
            </w:r>
          </w:p>
        </w:tc>
      </w:tr>
      <w:tr w:rsidR="00CE56E8" w:rsidRPr="008D34B9" w14:paraId="1083EF39" w14:textId="77777777" w:rsidTr="00645C13">
        <w:tc>
          <w:tcPr>
            <w:tcW w:w="0" w:type="auto"/>
            <w:hideMark/>
          </w:tcPr>
          <w:p w14:paraId="1500415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P2</w:t>
            </w:r>
          </w:p>
        </w:tc>
        <w:tc>
          <w:tcPr>
            <w:tcW w:w="0" w:type="auto"/>
            <w:hideMark/>
          </w:tcPr>
          <w:p w14:paraId="45D72149"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63</w:t>
            </w:r>
          </w:p>
        </w:tc>
        <w:tc>
          <w:tcPr>
            <w:tcW w:w="0" w:type="auto"/>
            <w:hideMark/>
          </w:tcPr>
          <w:p w14:paraId="6924CB54"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Married</w:t>
            </w:r>
          </w:p>
        </w:tc>
        <w:tc>
          <w:tcPr>
            <w:tcW w:w="0" w:type="auto"/>
            <w:hideMark/>
          </w:tcPr>
          <w:p w14:paraId="43993F3D"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Retired</w:t>
            </w:r>
          </w:p>
        </w:tc>
        <w:tc>
          <w:tcPr>
            <w:tcW w:w="0" w:type="auto"/>
            <w:hideMark/>
          </w:tcPr>
          <w:p w14:paraId="691BEC50"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6F459B24"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Mother</w:t>
            </w:r>
          </w:p>
        </w:tc>
        <w:tc>
          <w:tcPr>
            <w:tcW w:w="0" w:type="auto"/>
            <w:hideMark/>
          </w:tcPr>
          <w:p w14:paraId="5C5DAB5D"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1 year</w:t>
            </w:r>
          </w:p>
        </w:tc>
      </w:tr>
      <w:tr w:rsidR="00CE56E8" w:rsidRPr="008D34B9" w14:paraId="3CD60F42" w14:textId="77777777" w:rsidTr="00645C13">
        <w:tc>
          <w:tcPr>
            <w:tcW w:w="0" w:type="auto"/>
            <w:hideMark/>
          </w:tcPr>
          <w:p w14:paraId="307D086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P3</w:t>
            </w:r>
          </w:p>
        </w:tc>
        <w:tc>
          <w:tcPr>
            <w:tcW w:w="0" w:type="auto"/>
            <w:hideMark/>
          </w:tcPr>
          <w:p w14:paraId="47B8B8E1"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71</w:t>
            </w:r>
          </w:p>
        </w:tc>
        <w:tc>
          <w:tcPr>
            <w:tcW w:w="0" w:type="auto"/>
            <w:hideMark/>
          </w:tcPr>
          <w:p w14:paraId="14995892"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Married</w:t>
            </w:r>
          </w:p>
        </w:tc>
        <w:tc>
          <w:tcPr>
            <w:tcW w:w="0" w:type="auto"/>
            <w:hideMark/>
          </w:tcPr>
          <w:p w14:paraId="59E7A1C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Retired</w:t>
            </w:r>
          </w:p>
        </w:tc>
        <w:tc>
          <w:tcPr>
            <w:tcW w:w="0" w:type="auto"/>
            <w:hideMark/>
          </w:tcPr>
          <w:p w14:paraId="2636D0E6"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1FF8CD77"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Mother</w:t>
            </w:r>
          </w:p>
        </w:tc>
        <w:tc>
          <w:tcPr>
            <w:tcW w:w="0" w:type="auto"/>
            <w:hideMark/>
          </w:tcPr>
          <w:p w14:paraId="26EF13C4"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1 year</w:t>
            </w:r>
          </w:p>
        </w:tc>
      </w:tr>
      <w:tr w:rsidR="00CE56E8" w:rsidRPr="008D34B9" w14:paraId="4BAE6389" w14:textId="77777777" w:rsidTr="00645C13">
        <w:tc>
          <w:tcPr>
            <w:tcW w:w="0" w:type="auto"/>
            <w:hideMark/>
          </w:tcPr>
          <w:p w14:paraId="7B1434A2"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P4</w:t>
            </w:r>
          </w:p>
        </w:tc>
        <w:tc>
          <w:tcPr>
            <w:tcW w:w="0" w:type="auto"/>
            <w:hideMark/>
          </w:tcPr>
          <w:p w14:paraId="51342D00"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43</w:t>
            </w:r>
          </w:p>
        </w:tc>
        <w:tc>
          <w:tcPr>
            <w:tcW w:w="0" w:type="auto"/>
            <w:hideMark/>
          </w:tcPr>
          <w:p w14:paraId="59AF4678"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Married</w:t>
            </w:r>
          </w:p>
        </w:tc>
        <w:tc>
          <w:tcPr>
            <w:tcW w:w="0" w:type="auto"/>
            <w:hideMark/>
          </w:tcPr>
          <w:p w14:paraId="342F51E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Nurse</w:t>
            </w:r>
          </w:p>
        </w:tc>
        <w:tc>
          <w:tcPr>
            <w:tcW w:w="0" w:type="auto"/>
            <w:hideMark/>
          </w:tcPr>
          <w:p w14:paraId="1665920A"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51A046EC"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Daughter</w:t>
            </w:r>
          </w:p>
        </w:tc>
        <w:tc>
          <w:tcPr>
            <w:tcW w:w="0" w:type="auto"/>
            <w:hideMark/>
          </w:tcPr>
          <w:p w14:paraId="0CCDBBE8"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2 years</w:t>
            </w:r>
          </w:p>
        </w:tc>
      </w:tr>
      <w:tr w:rsidR="00CE56E8" w:rsidRPr="008D34B9" w14:paraId="64B1D84E" w14:textId="77777777" w:rsidTr="00645C13">
        <w:tc>
          <w:tcPr>
            <w:tcW w:w="0" w:type="auto"/>
            <w:hideMark/>
          </w:tcPr>
          <w:p w14:paraId="7C2D57B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P5</w:t>
            </w:r>
          </w:p>
        </w:tc>
        <w:tc>
          <w:tcPr>
            <w:tcW w:w="0" w:type="auto"/>
            <w:hideMark/>
          </w:tcPr>
          <w:p w14:paraId="728AABE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46</w:t>
            </w:r>
          </w:p>
        </w:tc>
        <w:tc>
          <w:tcPr>
            <w:tcW w:w="0" w:type="auto"/>
            <w:hideMark/>
          </w:tcPr>
          <w:p w14:paraId="4CF154D2"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Married</w:t>
            </w:r>
          </w:p>
        </w:tc>
        <w:tc>
          <w:tcPr>
            <w:tcW w:w="0" w:type="auto"/>
            <w:hideMark/>
          </w:tcPr>
          <w:p w14:paraId="614FD407"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Teacher</w:t>
            </w:r>
          </w:p>
        </w:tc>
        <w:tc>
          <w:tcPr>
            <w:tcW w:w="0" w:type="auto"/>
            <w:hideMark/>
          </w:tcPr>
          <w:p w14:paraId="4E860548"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068574D9"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Daughter</w:t>
            </w:r>
          </w:p>
        </w:tc>
        <w:tc>
          <w:tcPr>
            <w:tcW w:w="0" w:type="auto"/>
            <w:hideMark/>
          </w:tcPr>
          <w:p w14:paraId="48E06C91"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4 years</w:t>
            </w:r>
          </w:p>
        </w:tc>
      </w:tr>
      <w:tr w:rsidR="00CE56E8" w:rsidRPr="008D34B9" w14:paraId="296FA26A" w14:textId="77777777" w:rsidTr="00645C13">
        <w:tc>
          <w:tcPr>
            <w:tcW w:w="0" w:type="auto"/>
            <w:hideMark/>
          </w:tcPr>
          <w:p w14:paraId="15C41C2E"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P6</w:t>
            </w:r>
          </w:p>
        </w:tc>
        <w:tc>
          <w:tcPr>
            <w:tcW w:w="0" w:type="auto"/>
            <w:hideMark/>
          </w:tcPr>
          <w:p w14:paraId="1F79BD2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62</w:t>
            </w:r>
          </w:p>
        </w:tc>
        <w:tc>
          <w:tcPr>
            <w:tcW w:w="0" w:type="auto"/>
            <w:hideMark/>
          </w:tcPr>
          <w:p w14:paraId="1C5A034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Widower</w:t>
            </w:r>
          </w:p>
        </w:tc>
        <w:tc>
          <w:tcPr>
            <w:tcW w:w="0" w:type="auto"/>
            <w:hideMark/>
          </w:tcPr>
          <w:p w14:paraId="443C24D7"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Pastor</w:t>
            </w:r>
          </w:p>
        </w:tc>
        <w:tc>
          <w:tcPr>
            <w:tcW w:w="0" w:type="auto"/>
            <w:hideMark/>
          </w:tcPr>
          <w:p w14:paraId="525E1D7A"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7F9DB532"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Husband</w:t>
            </w:r>
          </w:p>
        </w:tc>
        <w:tc>
          <w:tcPr>
            <w:tcW w:w="0" w:type="auto"/>
            <w:hideMark/>
          </w:tcPr>
          <w:p w14:paraId="603D443C"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3 years</w:t>
            </w:r>
          </w:p>
        </w:tc>
      </w:tr>
      <w:tr w:rsidR="00CE56E8" w:rsidRPr="008D34B9" w14:paraId="554B50C1" w14:textId="77777777" w:rsidTr="00645C13">
        <w:tc>
          <w:tcPr>
            <w:tcW w:w="0" w:type="auto"/>
            <w:hideMark/>
          </w:tcPr>
          <w:p w14:paraId="3AB69693"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P7</w:t>
            </w:r>
          </w:p>
        </w:tc>
        <w:tc>
          <w:tcPr>
            <w:tcW w:w="0" w:type="auto"/>
            <w:hideMark/>
          </w:tcPr>
          <w:p w14:paraId="09BB459F"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24</w:t>
            </w:r>
          </w:p>
        </w:tc>
        <w:tc>
          <w:tcPr>
            <w:tcW w:w="0" w:type="auto"/>
            <w:hideMark/>
          </w:tcPr>
          <w:p w14:paraId="706A8B6C"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Single</w:t>
            </w:r>
          </w:p>
        </w:tc>
        <w:tc>
          <w:tcPr>
            <w:tcW w:w="0" w:type="auto"/>
            <w:hideMark/>
          </w:tcPr>
          <w:p w14:paraId="4273A3F2"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Unemployed</w:t>
            </w:r>
          </w:p>
        </w:tc>
        <w:tc>
          <w:tcPr>
            <w:tcW w:w="0" w:type="auto"/>
            <w:hideMark/>
          </w:tcPr>
          <w:p w14:paraId="6965628A"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718229FD"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Sister</w:t>
            </w:r>
          </w:p>
        </w:tc>
        <w:tc>
          <w:tcPr>
            <w:tcW w:w="0" w:type="auto"/>
            <w:hideMark/>
          </w:tcPr>
          <w:p w14:paraId="2991B14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1 year</w:t>
            </w:r>
          </w:p>
        </w:tc>
      </w:tr>
      <w:tr w:rsidR="00CE56E8" w:rsidRPr="008D34B9" w14:paraId="242F5D29" w14:textId="77777777" w:rsidTr="00645C13">
        <w:tc>
          <w:tcPr>
            <w:tcW w:w="0" w:type="auto"/>
            <w:hideMark/>
          </w:tcPr>
          <w:p w14:paraId="4565D308"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P8</w:t>
            </w:r>
          </w:p>
        </w:tc>
        <w:tc>
          <w:tcPr>
            <w:tcW w:w="0" w:type="auto"/>
            <w:hideMark/>
          </w:tcPr>
          <w:p w14:paraId="6E5DA85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28</w:t>
            </w:r>
          </w:p>
        </w:tc>
        <w:tc>
          <w:tcPr>
            <w:tcW w:w="0" w:type="auto"/>
            <w:hideMark/>
          </w:tcPr>
          <w:p w14:paraId="1A108BB8"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Single</w:t>
            </w:r>
          </w:p>
        </w:tc>
        <w:tc>
          <w:tcPr>
            <w:tcW w:w="0" w:type="auto"/>
            <w:hideMark/>
          </w:tcPr>
          <w:p w14:paraId="07CCD19D"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Unemployed</w:t>
            </w:r>
          </w:p>
        </w:tc>
        <w:tc>
          <w:tcPr>
            <w:tcW w:w="0" w:type="auto"/>
            <w:hideMark/>
          </w:tcPr>
          <w:p w14:paraId="57921740"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1A92DA54"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Niece</w:t>
            </w:r>
          </w:p>
        </w:tc>
        <w:tc>
          <w:tcPr>
            <w:tcW w:w="0" w:type="auto"/>
            <w:hideMark/>
          </w:tcPr>
          <w:p w14:paraId="0ECE877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1 year</w:t>
            </w:r>
          </w:p>
        </w:tc>
      </w:tr>
      <w:tr w:rsidR="00CE56E8" w:rsidRPr="008D34B9" w14:paraId="5156E470" w14:textId="77777777" w:rsidTr="00645C13">
        <w:tc>
          <w:tcPr>
            <w:tcW w:w="0" w:type="auto"/>
            <w:hideMark/>
          </w:tcPr>
          <w:p w14:paraId="4815B693"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P9</w:t>
            </w:r>
          </w:p>
        </w:tc>
        <w:tc>
          <w:tcPr>
            <w:tcW w:w="0" w:type="auto"/>
            <w:hideMark/>
          </w:tcPr>
          <w:p w14:paraId="040A0697"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79</w:t>
            </w:r>
          </w:p>
        </w:tc>
        <w:tc>
          <w:tcPr>
            <w:tcW w:w="0" w:type="auto"/>
            <w:hideMark/>
          </w:tcPr>
          <w:p w14:paraId="0FAB7286"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Widow</w:t>
            </w:r>
          </w:p>
        </w:tc>
        <w:tc>
          <w:tcPr>
            <w:tcW w:w="0" w:type="auto"/>
            <w:hideMark/>
          </w:tcPr>
          <w:p w14:paraId="3F5543D7"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Retired</w:t>
            </w:r>
          </w:p>
        </w:tc>
        <w:tc>
          <w:tcPr>
            <w:tcW w:w="0" w:type="auto"/>
            <w:hideMark/>
          </w:tcPr>
          <w:p w14:paraId="45185BAF"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5282147A"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Wife</w:t>
            </w:r>
          </w:p>
        </w:tc>
        <w:tc>
          <w:tcPr>
            <w:tcW w:w="0" w:type="auto"/>
            <w:hideMark/>
          </w:tcPr>
          <w:p w14:paraId="6358663C"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10 years</w:t>
            </w:r>
          </w:p>
        </w:tc>
      </w:tr>
      <w:tr w:rsidR="00CE56E8" w:rsidRPr="008D34B9" w14:paraId="74523B0A" w14:textId="77777777" w:rsidTr="00645C13">
        <w:tc>
          <w:tcPr>
            <w:tcW w:w="0" w:type="auto"/>
            <w:hideMark/>
          </w:tcPr>
          <w:p w14:paraId="0D8671F6"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P10</w:t>
            </w:r>
          </w:p>
        </w:tc>
        <w:tc>
          <w:tcPr>
            <w:tcW w:w="0" w:type="auto"/>
            <w:hideMark/>
          </w:tcPr>
          <w:p w14:paraId="79CE929A"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40</w:t>
            </w:r>
          </w:p>
        </w:tc>
        <w:tc>
          <w:tcPr>
            <w:tcW w:w="0" w:type="auto"/>
            <w:hideMark/>
          </w:tcPr>
          <w:p w14:paraId="04DB0C8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Married</w:t>
            </w:r>
          </w:p>
        </w:tc>
        <w:tc>
          <w:tcPr>
            <w:tcW w:w="0" w:type="auto"/>
            <w:hideMark/>
          </w:tcPr>
          <w:p w14:paraId="627CE7DE"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Teacher</w:t>
            </w:r>
          </w:p>
        </w:tc>
        <w:tc>
          <w:tcPr>
            <w:tcW w:w="0" w:type="auto"/>
            <w:hideMark/>
          </w:tcPr>
          <w:p w14:paraId="6CD81267"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3846E2B1"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Daughter</w:t>
            </w:r>
          </w:p>
        </w:tc>
        <w:tc>
          <w:tcPr>
            <w:tcW w:w="0" w:type="auto"/>
            <w:hideMark/>
          </w:tcPr>
          <w:p w14:paraId="12738216"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8 months</w:t>
            </w:r>
          </w:p>
        </w:tc>
      </w:tr>
      <w:tr w:rsidR="00CE56E8" w:rsidRPr="008D34B9" w14:paraId="73ACA2BF" w14:textId="77777777" w:rsidTr="00645C13">
        <w:tc>
          <w:tcPr>
            <w:tcW w:w="0" w:type="auto"/>
            <w:hideMark/>
          </w:tcPr>
          <w:p w14:paraId="11AFDF8E"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P11</w:t>
            </w:r>
          </w:p>
        </w:tc>
        <w:tc>
          <w:tcPr>
            <w:tcW w:w="0" w:type="auto"/>
            <w:hideMark/>
          </w:tcPr>
          <w:p w14:paraId="231FF3E0"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28</w:t>
            </w:r>
          </w:p>
        </w:tc>
        <w:tc>
          <w:tcPr>
            <w:tcW w:w="0" w:type="auto"/>
            <w:hideMark/>
          </w:tcPr>
          <w:p w14:paraId="1BDB8F13"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Single</w:t>
            </w:r>
          </w:p>
        </w:tc>
        <w:tc>
          <w:tcPr>
            <w:tcW w:w="0" w:type="auto"/>
            <w:hideMark/>
          </w:tcPr>
          <w:p w14:paraId="510C964E"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Trader</w:t>
            </w:r>
          </w:p>
        </w:tc>
        <w:tc>
          <w:tcPr>
            <w:tcW w:w="0" w:type="auto"/>
            <w:hideMark/>
          </w:tcPr>
          <w:p w14:paraId="6AEF1656"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7138BF93"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Niece</w:t>
            </w:r>
          </w:p>
        </w:tc>
        <w:tc>
          <w:tcPr>
            <w:tcW w:w="0" w:type="auto"/>
            <w:hideMark/>
          </w:tcPr>
          <w:p w14:paraId="291A5E9E"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1 year</w:t>
            </w:r>
          </w:p>
        </w:tc>
      </w:tr>
      <w:tr w:rsidR="00CE56E8" w:rsidRPr="008D34B9" w14:paraId="2062E446" w14:textId="77777777" w:rsidTr="00645C13">
        <w:tc>
          <w:tcPr>
            <w:tcW w:w="0" w:type="auto"/>
            <w:hideMark/>
          </w:tcPr>
          <w:p w14:paraId="40EC60F0"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P12</w:t>
            </w:r>
          </w:p>
        </w:tc>
        <w:tc>
          <w:tcPr>
            <w:tcW w:w="0" w:type="auto"/>
            <w:hideMark/>
          </w:tcPr>
          <w:p w14:paraId="474FB23A"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25</w:t>
            </w:r>
          </w:p>
        </w:tc>
        <w:tc>
          <w:tcPr>
            <w:tcW w:w="0" w:type="auto"/>
            <w:hideMark/>
          </w:tcPr>
          <w:p w14:paraId="5775292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Single</w:t>
            </w:r>
          </w:p>
        </w:tc>
        <w:tc>
          <w:tcPr>
            <w:tcW w:w="0" w:type="auto"/>
            <w:hideMark/>
          </w:tcPr>
          <w:p w14:paraId="44B8549F"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Unemployed</w:t>
            </w:r>
          </w:p>
        </w:tc>
        <w:tc>
          <w:tcPr>
            <w:tcW w:w="0" w:type="auto"/>
            <w:hideMark/>
          </w:tcPr>
          <w:p w14:paraId="6E932BF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1F0B1C52"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Daughter</w:t>
            </w:r>
          </w:p>
        </w:tc>
        <w:tc>
          <w:tcPr>
            <w:tcW w:w="0" w:type="auto"/>
            <w:hideMark/>
          </w:tcPr>
          <w:p w14:paraId="084A2B11"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4 years</w:t>
            </w:r>
          </w:p>
        </w:tc>
      </w:tr>
    </w:tbl>
    <w:p w14:paraId="0CDC14A5" w14:textId="77777777" w:rsidR="00CE56E8" w:rsidRPr="008D34B9" w:rsidRDefault="00CE56E8" w:rsidP="00CE56E8">
      <w:pPr>
        <w:spacing w:after="240"/>
        <w:jc w:val="both"/>
        <w:rPr>
          <w:rFonts w:ascii="Arial" w:hAnsi="Arial" w:cs="Arial"/>
          <w:color w:val="000000" w:themeColor="text1"/>
        </w:rPr>
      </w:pPr>
    </w:p>
    <w:p w14:paraId="7210AECB" w14:textId="77777777" w:rsidR="00CE56E8" w:rsidRPr="008D34B9" w:rsidRDefault="00CE56E8" w:rsidP="00CE56E8">
      <w:pPr>
        <w:spacing w:after="240"/>
        <w:jc w:val="both"/>
        <w:rPr>
          <w:rFonts w:ascii="Arial" w:hAnsi="Arial" w:cs="Arial"/>
          <w:color w:val="000000" w:themeColor="text1"/>
        </w:rPr>
      </w:pPr>
    </w:p>
    <w:p w14:paraId="050E8C13" w14:textId="77777777" w:rsidR="00CE56E8" w:rsidRPr="00947159" w:rsidRDefault="00CE56E8" w:rsidP="00CE56E8">
      <w:pPr>
        <w:spacing w:after="240"/>
        <w:jc w:val="both"/>
        <w:rPr>
          <w:rFonts w:ascii="Arial" w:hAnsi="Arial" w:cs="Arial"/>
          <w:b/>
          <w:bCs/>
          <w:color w:val="000000" w:themeColor="text1"/>
          <w:sz w:val="22"/>
          <w:szCs w:val="22"/>
        </w:rPr>
      </w:pPr>
      <w:r w:rsidRPr="008D34B9">
        <w:rPr>
          <w:rFonts w:ascii="Arial" w:hAnsi="Arial" w:cs="Arial"/>
          <w:b/>
          <w:bCs/>
          <w:sz w:val="22"/>
          <w:szCs w:val="22"/>
        </w:rPr>
        <w:t xml:space="preserve">3.2 </w:t>
      </w:r>
      <w:r w:rsidRPr="00947159">
        <w:rPr>
          <w:rFonts w:ascii="Arial" w:hAnsi="Arial" w:cs="Arial"/>
          <w:b/>
          <w:bCs/>
          <w:color w:val="000000" w:themeColor="text1"/>
          <w:sz w:val="22"/>
          <w:szCs w:val="22"/>
        </w:rPr>
        <w:t>Themes and Subthemes</w:t>
      </w:r>
    </w:p>
    <w:p w14:paraId="1A205ECA"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Analysis revealed three overarching themes</w:t>
      </w:r>
      <w:r w:rsidRPr="008D34B9">
        <w:rPr>
          <w:rFonts w:ascii="Arial" w:hAnsi="Arial" w:cs="Arial"/>
          <w:color w:val="000000" w:themeColor="text1"/>
        </w:rPr>
        <w:t xml:space="preserve"> – </w:t>
      </w:r>
      <w:r w:rsidRPr="00947159">
        <w:rPr>
          <w:rFonts w:ascii="Arial" w:hAnsi="Arial" w:cs="Arial"/>
          <w:color w:val="000000" w:themeColor="text1"/>
        </w:rPr>
        <w:t>Awareness, Emotional Responses, and Behavioral Actions. Each theme comprised several subthemes</w:t>
      </w:r>
      <w:r w:rsidRPr="008D34B9">
        <w:rPr>
          <w:rFonts w:ascii="Arial" w:hAnsi="Arial" w:cs="Arial"/>
          <w:color w:val="000000" w:themeColor="text1"/>
        </w:rPr>
        <w:t xml:space="preserve"> (Table 2)</w:t>
      </w:r>
      <w:r w:rsidRPr="00947159">
        <w:rPr>
          <w:rFonts w:ascii="Arial" w:hAnsi="Arial" w:cs="Arial"/>
          <w:color w:val="000000" w:themeColor="text1"/>
        </w:rPr>
        <w:t xml:space="preserve"> that together illustrate the complexity of caregiver preparedness for death.</w:t>
      </w:r>
    </w:p>
    <w:p w14:paraId="66E13376" w14:textId="77777777" w:rsidR="00CE56E8" w:rsidRPr="00947159" w:rsidRDefault="00CE56E8" w:rsidP="00CE56E8">
      <w:pPr>
        <w:spacing w:after="240"/>
        <w:jc w:val="both"/>
        <w:rPr>
          <w:rFonts w:ascii="Arial" w:hAnsi="Arial" w:cs="Arial"/>
          <w:b/>
          <w:bCs/>
          <w:color w:val="000000" w:themeColor="text1"/>
        </w:rPr>
      </w:pPr>
      <w:r w:rsidRPr="00947159">
        <w:rPr>
          <w:rFonts w:ascii="Arial" w:hAnsi="Arial" w:cs="Arial"/>
          <w:b/>
          <w:bCs/>
          <w:color w:val="000000" w:themeColor="text1"/>
        </w:rPr>
        <w:t>Table 2: Themes and Subthemes of Caregiver Death Preparedness</w:t>
      </w:r>
    </w:p>
    <w:tbl>
      <w:tblPr>
        <w:tblStyle w:val="TableGrid"/>
        <w:tblW w:w="9414" w:type="dxa"/>
        <w:tblLook w:val="04A0" w:firstRow="1" w:lastRow="0" w:firstColumn="1" w:lastColumn="0" w:noHBand="0" w:noVBand="1"/>
      </w:tblPr>
      <w:tblGrid>
        <w:gridCol w:w="2986"/>
        <w:gridCol w:w="6428"/>
      </w:tblGrid>
      <w:tr w:rsidR="00CE56E8" w:rsidRPr="008D34B9" w14:paraId="02FCDDA9" w14:textId="77777777" w:rsidTr="00645C13">
        <w:trPr>
          <w:trHeight w:val="303"/>
        </w:trPr>
        <w:tc>
          <w:tcPr>
            <w:tcW w:w="0" w:type="auto"/>
            <w:hideMark/>
          </w:tcPr>
          <w:p w14:paraId="68802C07"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Themes (Dimensions)</w:t>
            </w:r>
          </w:p>
        </w:tc>
        <w:tc>
          <w:tcPr>
            <w:tcW w:w="0" w:type="auto"/>
            <w:hideMark/>
          </w:tcPr>
          <w:p w14:paraId="1825F38B"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Subthemes</w:t>
            </w:r>
          </w:p>
        </w:tc>
      </w:tr>
      <w:tr w:rsidR="00CE56E8" w:rsidRPr="008D34B9" w14:paraId="30784D36" w14:textId="77777777" w:rsidTr="00645C13">
        <w:trPr>
          <w:trHeight w:val="303"/>
        </w:trPr>
        <w:tc>
          <w:tcPr>
            <w:tcW w:w="0" w:type="auto"/>
            <w:vMerge w:val="restart"/>
            <w:hideMark/>
          </w:tcPr>
          <w:p w14:paraId="39D05EC8"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b/>
                <w:bCs/>
                <w:color w:val="000000" w:themeColor="text1"/>
                <w:sz w:val="20"/>
                <w:szCs w:val="20"/>
              </w:rPr>
              <w:t>Awareness</w:t>
            </w:r>
          </w:p>
        </w:tc>
        <w:tc>
          <w:tcPr>
            <w:tcW w:w="0" w:type="auto"/>
            <w:hideMark/>
          </w:tcPr>
          <w:p w14:paraId="09D0F5F4"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Disease awareness</w:t>
            </w:r>
          </w:p>
        </w:tc>
      </w:tr>
      <w:tr w:rsidR="00CE56E8" w:rsidRPr="008D34B9" w14:paraId="0271DB17" w14:textId="77777777" w:rsidTr="00645C13">
        <w:trPr>
          <w:trHeight w:val="157"/>
        </w:trPr>
        <w:tc>
          <w:tcPr>
            <w:tcW w:w="0" w:type="auto"/>
            <w:vMerge/>
          </w:tcPr>
          <w:p w14:paraId="1236D39B" w14:textId="77777777" w:rsidR="00CE56E8" w:rsidRPr="008D34B9" w:rsidRDefault="00CE56E8" w:rsidP="00CE56E8">
            <w:pPr>
              <w:spacing w:after="240"/>
              <w:jc w:val="both"/>
              <w:rPr>
                <w:rFonts w:ascii="Arial" w:hAnsi="Arial" w:cs="Arial"/>
                <w:b/>
                <w:bCs/>
                <w:color w:val="000000" w:themeColor="text1"/>
                <w:sz w:val="20"/>
                <w:szCs w:val="20"/>
              </w:rPr>
            </w:pPr>
          </w:p>
        </w:tc>
        <w:tc>
          <w:tcPr>
            <w:tcW w:w="0" w:type="auto"/>
          </w:tcPr>
          <w:p w14:paraId="5C60A39E" w14:textId="77777777" w:rsidR="00CE56E8" w:rsidRPr="008D34B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Disease stage awareness</w:t>
            </w:r>
          </w:p>
        </w:tc>
      </w:tr>
      <w:tr w:rsidR="00CE56E8" w:rsidRPr="008D34B9" w14:paraId="5D114FDC" w14:textId="77777777" w:rsidTr="00645C13">
        <w:trPr>
          <w:trHeight w:val="157"/>
        </w:trPr>
        <w:tc>
          <w:tcPr>
            <w:tcW w:w="0" w:type="auto"/>
            <w:vMerge/>
          </w:tcPr>
          <w:p w14:paraId="64EEAA0A" w14:textId="77777777" w:rsidR="00CE56E8" w:rsidRPr="008D34B9" w:rsidRDefault="00CE56E8" w:rsidP="00CE56E8">
            <w:pPr>
              <w:spacing w:after="240"/>
              <w:jc w:val="both"/>
              <w:rPr>
                <w:rFonts w:ascii="Arial" w:hAnsi="Arial" w:cs="Arial"/>
                <w:b/>
                <w:bCs/>
                <w:color w:val="000000" w:themeColor="text1"/>
                <w:sz w:val="20"/>
                <w:szCs w:val="20"/>
              </w:rPr>
            </w:pPr>
          </w:p>
        </w:tc>
        <w:tc>
          <w:tcPr>
            <w:tcW w:w="0" w:type="auto"/>
          </w:tcPr>
          <w:p w14:paraId="32FE33AD" w14:textId="77777777" w:rsidR="00CE56E8" w:rsidRPr="008D34B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Death awareness (anticipated vs. unanticipated)</w:t>
            </w:r>
          </w:p>
        </w:tc>
      </w:tr>
      <w:tr w:rsidR="00CE56E8" w:rsidRPr="008D34B9" w14:paraId="53EA5611" w14:textId="77777777" w:rsidTr="00645C13">
        <w:trPr>
          <w:trHeight w:val="303"/>
        </w:trPr>
        <w:tc>
          <w:tcPr>
            <w:tcW w:w="0" w:type="auto"/>
            <w:vMerge w:val="restart"/>
            <w:hideMark/>
          </w:tcPr>
          <w:p w14:paraId="7C3186D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b/>
                <w:bCs/>
                <w:color w:val="000000" w:themeColor="text1"/>
                <w:sz w:val="20"/>
                <w:szCs w:val="20"/>
              </w:rPr>
              <w:t>Emotional Responses</w:t>
            </w:r>
          </w:p>
        </w:tc>
        <w:tc>
          <w:tcPr>
            <w:tcW w:w="0" w:type="auto"/>
            <w:hideMark/>
          </w:tcPr>
          <w:p w14:paraId="130F7AE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Denial, fear, and emotional turmoil</w:t>
            </w:r>
          </w:p>
        </w:tc>
      </w:tr>
      <w:tr w:rsidR="00CE56E8" w:rsidRPr="008D34B9" w14:paraId="66050351" w14:textId="77777777" w:rsidTr="00645C13">
        <w:trPr>
          <w:trHeight w:val="157"/>
        </w:trPr>
        <w:tc>
          <w:tcPr>
            <w:tcW w:w="0" w:type="auto"/>
            <w:vMerge/>
          </w:tcPr>
          <w:p w14:paraId="5FF4B0D3" w14:textId="77777777" w:rsidR="00CE56E8" w:rsidRPr="008D34B9" w:rsidRDefault="00CE56E8" w:rsidP="00CE56E8">
            <w:pPr>
              <w:spacing w:after="240"/>
              <w:jc w:val="both"/>
              <w:rPr>
                <w:rFonts w:ascii="Arial" w:hAnsi="Arial" w:cs="Arial"/>
                <w:b/>
                <w:bCs/>
                <w:color w:val="000000" w:themeColor="text1"/>
                <w:sz w:val="20"/>
                <w:szCs w:val="20"/>
              </w:rPr>
            </w:pPr>
          </w:p>
        </w:tc>
        <w:tc>
          <w:tcPr>
            <w:tcW w:w="0" w:type="auto"/>
          </w:tcPr>
          <w:p w14:paraId="49308903" w14:textId="77777777" w:rsidR="00CE56E8" w:rsidRPr="008D34B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Faith-based rationalization</w:t>
            </w:r>
          </w:p>
        </w:tc>
      </w:tr>
      <w:tr w:rsidR="00CE56E8" w:rsidRPr="008D34B9" w14:paraId="36516DB6" w14:textId="77777777" w:rsidTr="00645C13">
        <w:trPr>
          <w:trHeight w:val="157"/>
        </w:trPr>
        <w:tc>
          <w:tcPr>
            <w:tcW w:w="0" w:type="auto"/>
            <w:vMerge/>
          </w:tcPr>
          <w:p w14:paraId="695D2259" w14:textId="77777777" w:rsidR="00CE56E8" w:rsidRPr="008D34B9" w:rsidRDefault="00CE56E8" w:rsidP="00CE56E8">
            <w:pPr>
              <w:spacing w:after="240"/>
              <w:jc w:val="both"/>
              <w:rPr>
                <w:rFonts w:ascii="Arial" w:hAnsi="Arial" w:cs="Arial"/>
                <w:b/>
                <w:bCs/>
                <w:color w:val="000000" w:themeColor="text1"/>
                <w:sz w:val="20"/>
                <w:szCs w:val="20"/>
              </w:rPr>
            </w:pPr>
          </w:p>
        </w:tc>
        <w:tc>
          <w:tcPr>
            <w:tcW w:w="0" w:type="auto"/>
          </w:tcPr>
          <w:p w14:paraId="34FBAE10" w14:textId="77777777" w:rsidR="00CE56E8" w:rsidRPr="008D34B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Compassionate release and eventual acceptance</w:t>
            </w:r>
          </w:p>
        </w:tc>
      </w:tr>
      <w:tr w:rsidR="00CE56E8" w:rsidRPr="008D34B9" w14:paraId="78BACA71" w14:textId="77777777" w:rsidTr="00645C13">
        <w:trPr>
          <w:trHeight w:val="303"/>
        </w:trPr>
        <w:tc>
          <w:tcPr>
            <w:tcW w:w="0" w:type="auto"/>
            <w:vMerge w:val="restart"/>
            <w:hideMark/>
          </w:tcPr>
          <w:p w14:paraId="6CEAA70C"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b/>
                <w:bCs/>
                <w:color w:val="000000" w:themeColor="text1"/>
                <w:sz w:val="20"/>
                <w:szCs w:val="20"/>
              </w:rPr>
              <w:lastRenderedPageBreak/>
              <w:t>Behavioral Actions</w:t>
            </w:r>
          </w:p>
        </w:tc>
        <w:tc>
          <w:tcPr>
            <w:tcW w:w="0" w:type="auto"/>
            <w:hideMark/>
          </w:tcPr>
          <w:p w14:paraId="01175F97"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 xml:space="preserve">Efforts toward recovery and denial of death </w:t>
            </w:r>
          </w:p>
        </w:tc>
      </w:tr>
      <w:tr w:rsidR="00CE56E8" w:rsidRPr="008D34B9" w14:paraId="6B91A177" w14:textId="77777777" w:rsidTr="00645C13">
        <w:trPr>
          <w:trHeight w:val="157"/>
        </w:trPr>
        <w:tc>
          <w:tcPr>
            <w:tcW w:w="0" w:type="auto"/>
            <w:vMerge/>
          </w:tcPr>
          <w:p w14:paraId="30F53FCC" w14:textId="77777777" w:rsidR="00CE56E8" w:rsidRPr="008D34B9" w:rsidRDefault="00CE56E8" w:rsidP="00CE56E8">
            <w:pPr>
              <w:spacing w:after="240"/>
              <w:jc w:val="both"/>
              <w:rPr>
                <w:rFonts w:ascii="Arial" w:hAnsi="Arial" w:cs="Arial"/>
                <w:b/>
                <w:bCs/>
                <w:color w:val="000000" w:themeColor="text1"/>
                <w:sz w:val="20"/>
                <w:szCs w:val="20"/>
              </w:rPr>
            </w:pPr>
          </w:p>
        </w:tc>
        <w:tc>
          <w:tcPr>
            <w:tcW w:w="0" w:type="auto"/>
          </w:tcPr>
          <w:p w14:paraId="4B9D45F5" w14:textId="77777777" w:rsidR="00CE56E8" w:rsidRPr="008D34B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Practical and financial planning</w:t>
            </w:r>
          </w:p>
        </w:tc>
      </w:tr>
      <w:tr w:rsidR="00CE56E8" w:rsidRPr="008D34B9" w14:paraId="2B0373AD" w14:textId="77777777" w:rsidTr="00645C13">
        <w:trPr>
          <w:trHeight w:val="157"/>
        </w:trPr>
        <w:tc>
          <w:tcPr>
            <w:tcW w:w="0" w:type="auto"/>
            <w:vMerge/>
          </w:tcPr>
          <w:p w14:paraId="4CEC4DC9" w14:textId="77777777" w:rsidR="00CE56E8" w:rsidRPr="008D34B9" w:rsidRDefault="00CE56E8" w:rsidP="00CE56E8">
            <w:pPr>
              <w:spacing w:after="240"/>
              <w:jc w:val="both"/>
              <w:rPr>
                <w:rFonts w:ascii="Arial" w:hAnsi="Arial" w:cs="Arial"/>
                <w:b/>
                <w:bCs/>
                <w:color w:val="000000" w:themeColor="text1"/>
                <w:sz w:val="20"/>
                <w:szCs w:val="20"/>
              </w:rPr>
            </w:pPr>
          </w:p>
        </w:tc>
        <w:tc>
          <w:tcPr>
            <w:tcW w:w="0" w:type="auto"/>
          </w:tcPr>
          <w:p w14:paraId="20710617" w14:textId="77777777" w:rsidR="00CE56E8" w:rsidRPr="008D34B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Fulfilment of last wishes and end-of-life arrangements</w:t>
            </w:r>
          </w:p>
        </w:tc>
      </w:tr>
    </w:tbl>
    <w:p w14:paraId="3E798D16" w14:textId="77777777" w:rsidR="00CE56E8" w:rsidRPr="00947159" w:rsidRDefault="00CE56E8" w:rsidP="00CE56E8">
      <w:pPr>
        <w:spacing w:after="240"/>
        <w:jc w:val="both"/>
        <w:rPr>
          <w:rFonts w:ascii="Arial" w:hAnsi="Arial" w:cs="Arial"/>
          <w:color w:val="000000" w:themeColor="text1"/>
        </w:rPr>
      </w:pPr>
    </w:p>
    <w:p w14:paraId="58266BA5" w14:textId="77777777" w:rsidR="00CE56E8" w:rsidRPr="00947159" w:rsidRDefault="00CE56E8" w:rsidP="00CE56E8">
      <w:pPr>
        <w:spacing w:after="240"/>
        <w:jc w:val="both"/>
        <w:rPr>
          <w:rFonts w:ascii="Arial" w:hAnsi="Arial" w:cs="Arial"/>
          <w:b/>
          <w:bCs/>
          <w:color w:val="000000" w:themeColor="text1"/>
          <w:sz w:val="22"/>
          <w:szCs w:val="22"/>
        </w:rPr>
      </w:pPr>
      <w:r w:rsidRPr="008D34B9">
        <w:rPr>
          <w:rFonts w:ascii="Arial" w:hAnsi="Arial" w:cs="Arial"/>
          <w:b/>
          <w:bCs/>
          <w:sz w:val="22"/>
          <w:szCs w:val="22"/>
        </w:rPr>
        <w:t xml:space="preserve">3.3 </w:t>
      </w:r>
      <w:r w:rsidRPr="00947159">
        <w:rPr>
          <w:rFonts w:ascii="Arial" w:hAnsi="Arial" w:cs="Arial"/>
          <w:b/>
          <w:bCs/>
          <w:color w:val="000000" w:themeColor="text1"/>
          <w:sz w:val="22"/>
          <w:szCs w:val="22"/>
        </w:rPr>
        <w:t>Awareness</w:t>
      </w:r>
    </w:p>
    <w:p w14:paraId="54FC6CEF" w14:textId="77777777" w:rsidR="00CE56E8" w:rsidRPr="00947159" w:rsidRDefault="00CE56E8" w:rsidP="00CE56E8">
      <w:pPr>
        <w:spacing w:after="240"/>
        <w:jc w:val="both"/>
        <w:rPr>
          <w:rFonts w:ascii="Arial" w:hAnsi="Arial" w:cs="Arial"/>
          <w:b/>
          <w:bCs/>
          <w:color w:val="000000" w:themeColor="text1"/>
          <w:u w:val="single"/>
        </w:rPr>
      </w:pPr>
      <w:r w:rsidRPr="008D34B9">
        <w:rPr>
          <w:rFonts w:ascii="Arial" w:hAnsi="Arial" w:cs="Arial"/>
          <w:b/>
          <w:bCs/>
          <w:u w:val="single"/>
        </w:rPr>
        <w:t xml:space="preserve">3.3.1 </w:t>
      </w:r>
      <w:r w:rsidRPr="00947159">
        <w:rPr>
          <w:rFonts w:ascii="Arial" w:hAnsi="Arial" w:cs="Arial"/>
          <w:b/>
          <w:bCs/>
          <w:color w:val="000000" w:themeColor="text1"/>
          <w:u w:val="single"/>
        </w:rPr>
        <w:t>Disease Awareness</w:t>
      </w:r>
    </w:p>
    <w:p w14:paraId="72EBFE6A"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color w:val="000000" w:themeColor="text1"/>
        </w:rPr>
        <w:t>Caregivers differed in how they understood and processed the diagnosis of their loved one. For some, medical confirmation of cancer or other chronic conditions immediately signaled the seriousness of the situation and prompted early mental or practical preparations. Others, however, acknowledged the diagnosis but maintained hope for recovery, which delayed active steps toward preparedness.</w:t>
      </w:r>
    </w:p>
    <w:p w14:paraId="628C106E"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As one caregiver</w:t>
      </w:r>
      <w:r w:rsidRPr="008D34B9">
        <w:rPr>
          <w:rFonts w:ascii="Arial" w:hAnsi="Arial" w:cs="Arial"/>
          <w:color w:val="000000" w:themeColor="text1"/>
        </w:rPr>
        <w:t>, a 40-year-old teacher,</w:t>
      </w:r>
      <w:r w:rsidRPr="00947159">
        <w:rPr>
          <w:rFonts w:ascii="Arial" w:hAnsi="Arial" w:cs="Arial"/>
          <w:color w:val="000000" w:themeColor="text1"/>
        </w:rPr>
        <w:t xml:space="preserve"> noted: </w:t>
      </w:r>
      <w:r w:rsidRPr="00947159">
        <w:rPr>
          <w:rFonts w:ascii="Arial" w:hAnsi="Arial" w:cs="Arial"/>
          <w:i/>
          <w:iCs/>
          <w:color w:val="000000" w:themeColor="text1"/>
        </w:rPr>
        <w:t>“She was diagnosed that she had cancer”</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10</w:t>
      </w:r>
      <w:r w:rsidRPr="008D34B9">
        <w:rPr>
          <w:rFonts w:ascii="Arial" w:hAnsi="Arial" w:cs="Arial"/>
          <w:color w:val="000000" w:themeColor="text1"/>
        </w:rPr>
        <w:t>)</w:t>
      </w:r>
      <w:r w:rsidRPr="00947159">
        <w:rPr>
          <w:rFonts w:ascii="Arial" w:hAnsi="Arial" w:cs="Arial"/>
          <w:color w:val="000000" w:themeColor="text1"/>
        </w:rPr>
        <w:t xml:space="preserve">. Another elaborated: </w:t>
      </w:r>
    </w:p>
    <w:p w14:paraId="325F49C4"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When she found out there was a lump… she was diagnosed with breast cancer… it helped us prepare for her child and other things</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8</w:t>
      </w:r>
      <w:r w:rsidRPr="008D34B9">
        <w:rPr>
          <w:rFonts w:ascii="Arial" w:hAnsi="Arial" w:cs="Arial"/>
          <w:color w:val="000000" w:themeColor="text1"/>
        </w:rPr>
        <w:t>)</w:t>
      </w:r>
    </w:p>
    <w:p w14:paraId="0C9DBD12"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For some, knowledge of the diagnosis translated into practical measures</w:t>
      </w:r>
      <w:r w:rsidRPr="008D34B9">
        <w:rPr>
          <w:rFonts w:ascii="Arial" w:hAnsi="Arial" w:cs="Arial"/>
          <w:color w:val="000000" w:themeColor="text1"/>
        </w:rPr>
        <w:t>. A 79-year-old retired woman said</w:t>
      </w:r>
      <w:r w:rsidRPr="00947159">
        <w:rPr>
          <w:rFonts w:ascii="Arial" w:hAnsi="Arial" w:cs="Arial"/>
          <w:color w:val="000000" w:themeColor="text1"/>
        </w:rPr>
        <w:t>:</w:t>
      </w:r>
    </w:p>
    <w:p w14:paraId="1A6B1F5A" w14:textId="77777777" w:rsidR="00CE56E8" w:rsidRPr="0094715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He was hoping to die quickly… so I was hoping for him to do a will. So financially we were prepared</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9</w:t>
      </w:r>
      <w:r w:rsidRPr="008D34B9">
        <w:rPr>
          <w:rFonts w:ascii="Arial" w:hAnsi="Arial" w:cs="Arial"/>
          <w:color w:val="000000" w:themeColor="text1"/>
        </w:rPr>
        <w:t>)</w:t>
      </w:r>
    </w:p>
    <w:p w14:paraId="1A9E81EF"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In contrast, others described recognition of illness but persistent optimism about recovery</w:t>
      </w:r>
      <w:r w:rsidRPr="008D34B9">
        <w:rPr>
          <w:rFonts w:ascii="Arial" w:hAnsi="Arial" w:cs="Arial"/>
          <w:color w:val="000000" w:themeColor="text1"/>
        </w:rPr>
        <w:t>. One 25-year-old expressed</w:t>
      </w:r>
      <w:r w:rsidRPr="00947159">
        <w:rPr>
          <w:rFonts w:ascii="Arial" w:hAnsi="Arial" w:cs="Arial"/>
          <w:color w:val="000000" w:themeColor="text1"/>
        </w:rPr>
        <w:t>:</w:t>
      </w:r>
    </w:p>
    <w:p w14:paraId="4DEB772E"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We didn’t make any preparation because we knew it was diabetes and whatever it is, he’ll get well</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12</w:t>
      </w:r>
      <w:r w:rsidRPr="008D34B9">
        <w:rPr>
          <w:rFonts w:ascii="Arial" w:hAnsi="Arial" w:cs="Arial"/>
          <w:color w:val="000000" w:themeColor="text1"/>
        </w:rPr>
        <w:t>)</w:t>
      </w:r>
    </w:p>
    <w:p w14:paraId="5D47F2E1" w14:textId="77777777" w:rsidR="00CE56E8" w:rsidRDefault="00CE56E8" w:rsidP="00CE56E8">
      <w:pPr>
        <w:spacing w:after="240"/>
        <w:rPr>
          <w:rFonts w:ascii="Arial" w:hAnsi="Arial" w:cs="Arial"/>
        </w:rPr>
      </w:pPr>
      <w:r w:rsidRPr="00947159">
        <w:rPr>
          <w:rFonts w:ascii="Arial" w:hAnsi="Arial" w:cs="Arial"/>
          <w:color w:val="000000" w:themeColor="text1"/>
        </w:rPr>
        <w:t>Thus, while awareness was generally present, it did not always lead to readiness.</w:t>
      </w:r>
    </w:p>
    <w:p w14:paraId="2C3D9368" w14:textId="77777777" w:rsidR="00CE56E8" w:rsidRPr="00947159" w:rsidRDefault="00CE56E8" w:rsidP="00CE56E8">
      <w:pPr>
        <w:spacing w:after="240"/>
        <w:jc w:val="both"/>
        <w:rPr>
          <w:rFonts w:ascii="Arial" w:hAnsi="Arial" w:cs="Arial"/>
          <w:color w:val="000000" w:themeColor="text1"/>
        </w:rPr>
      </w:pPr>
    </w:p>
    <w:p w14:paraId="514CC550" w14:textId="77777777" w:rsidR="00CE56E8" w:rsidRPr="00947159" w:rsidRDefault="00CE56E8" w:rsidP="00CE56E8">
      <w:pPr>
        <w:spacing w:after="240"/>
        <w:jc w:val="both"/>
        <w:rPr>
          <w:rFonts w:ascii="Arial" w:hAnsi="Arial" w:cs="Arial"/>
          <w:b/>
          <w:bCs/>
          <w:color w:val="000000" w:themeColor="text1"/>
          <w:u w:val="single"/>
        </w:rPr>
      </w:pPr>
      <w:r w:rsidRPr="008D34B9">
        <w:rPr>
          <w:rFonts w:ascii="Arial" w:hAnsi="Arial" w:cs="Arial"/>
          <w:b/>
          <w:bCs/>
          <w:u w:val="single"/>
        </w:rPr>
        <w:t xml:space="preserve">3.3.2 </w:t>
      </w:r>
      <w:r w:rsidRPr="00947159">
        <w:rPr>
          <w:rFonts w:ascii="Arial" w:hAnsi="Arial" w:cs="Arial"/>
          <w:b/>
          <w:bCs/>
          <w:color w:val="000000" w:themeColor="text1"/>
          <w:u w:val="single"/>
        </w:rPr>
        <w:t>Disease Stage Awareness</w:t>
      </w:r>
    </w:p>
    <w:p w14:paraId="093A6150"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color w:val="000000" w:themeColor="text1"/>
        </w:rPr>
        <w:t>Some caregivers were explicitly informed of the disease stage, which shaped their preparedness in different ways. For a few, awareness of advanced stage allowed them to begin accepting the possibility of death and preparing emotionally. Others, however, responded with fear and avoidance.</w:t>
      </w:r>
      <w:r w:rsidRPr="008D34B9">
        <w:rPr>
          <w:rFonts w:ascii="Arial" w:hAnsi="Arial" w:cs="Arial"/>
          <w:color w:val="000000" w:themeColor="text1"/>
        </w:rPr>
        <w:t xml:space="preserve"> One caregiver, a 46-year-old trader, stated:</w:t>
      </w:r>
    </w:p>
    <w:p w14:paraId="1FB3E5F9"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We were told the cancer stage was advanced… so we psyched ourselves a bit</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w:t>
      </w:r>
      <w:r w:rsidRPr="008D34B9">
        <w:rPr>
          <w:rFonts w:ascii="Arial" w:hAnsi="Arial" w:cs="Arial"/>
          <w:color w:val="000000" w:themeColor="text1"/>
        </w:rPr>
        <w:t>)</w:t>
      </w:r>
    </w:p>
    <w:p w14:paraId="538A45DE" w14:textId="77777777" w:rsidR="00CE56E8" w:rsidRPr="008D34B9" w:rsidRDefault="00CE56E8" w:rsidP="00CE56E8">
      <w:pPr>
        <w:spacing w:after="240"/>
        <w:jc w:val="both"/>
        <w:rPr>
          <w:rFonts w:ascii="Arial" w:hAnsi="Arial" w:cs="Arial"/>
          <w:i/>
          <w:iCs/>
          <w:color w:val="000000" w:themeColor="text1"/>
        </w:rPr>
      </w:pPr>
      <w:r w:rsidRPr="00947159">
        <w:rPr>
          <w:rFonts w:ascii="Arial" w:hAnsi="Arial" w:cs="Arial"/>
          <w:color w:val="000000" w:themeColor="text1"/>
        </w:rPr>
        <w:t xml:space="preserve">A caregiver with professional experience explained: </w:t>
      </w:r>
    </w:p>
    <w:p w14:paraId="7AA72944"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Because of my nursing background, I psyched myself for any eventuality… we were preparing</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4</w:t>
      </w:r>
      <w:r w:rsidRPr="008D34B9">
        <w:rPr>
          <w:rFonts w:ascii="Arial" w:hAnsi="Arial" w:cs="Arial"/>
          <w:color w:val="000000" w:themeColor="text1"/>
        </w:rPr>
        <w:t>)</w:t>
      </w:r>
    </w:p>
    <w:p w14:paraId="79E70AD0"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Yet for some, this awareness triggered distress</w:t>
      </w:r>
      <w:r w:rsidRPr="008D34B9">
        <w:rPr>
          <w:rFonts w:ascii="Arial" w:hAnsi="Arial" w:cs="Arial"/>
          <w:color w:val="000000" w:themeColor="text1"/>
        </w:rPr>
        <w:t>. A 28-year-old informal caregiver shared</w:t>
      </w:r>
      <w:r w:rsidRPr="00947159">
        <w:rPr>
          <w:rFonts w:ascii="Arial" w:hAnsi="Arial" w:cs="Arial"/>
          <w:color w:val="000000" w:themeColor="text1"/>
        </w:rPr>
        <w:t xml:space="preserve">: </w:t>
      </w:r>
    </w:p>
    <w:p w14:paraId="2F96CA2B" w14:textId="77777777" w:rsidR="00CE56E8" w:rsidRDefault="00CE56E8" w:rsidP="00CE56E8">
      <w:pPr>
        <w:spacing w:after="240"/>
        <w:ind w:left="720"/>
        <w:rPr>
          <w:rFonts w:ascii="Arial" w:hAnsi="Arial" w:cs="Arial"/>
        </w:rPr>
      </w:pPr>
      <w:r w:rsidRPr="00947159">
        <w:rPr>
          <w:rFonts w:ascii="Arial" w:hAnsi="Arial" w:cs="Arial"/>
          <w:i/>
          <w:iCs/>
          <w:color w:val="000000" w:themeColor="text1"/>
        </w:rPr>
        <w:t>When the illness was progressing… I panicked. It wasn’t something I accepted</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11</w:t>
      </w:r>
      <w:r w:rsidRPr="008D34B9">
        <w:rPr>
          <w:rFonts w:ascii="Arial" w:hAnsi="Arial" w:cs="Arial"/>
          <w:color w:val="000000" w:themeColor="text1"/>
        </w:rPr>
        <w:t>)</w:t>
      </w:r>
    </w:p>
    <w:p w14:paraId="46D6B028" w14:textId="77777777" w:rsidR="00CE56E8" w:rsidRPr="00947159" w:rsidRDefault="00CE56E8" w:rsidP="00CE56E8">
      <w:pPr>
        <w:spacing w:after="240"/>
        <w:ind w:left="720"/>
        <w:jc w:val="both"/>
        <w:rPr>
          <w:rFonts w:ascii="Arial" w:hAnsi="Arial" w:cs="Arial"/>
          <w:color w:val="000000" w:themeColor="text1"/>
        </w:rPr>
      </w:pPr>
    </w:p>
    <w:p w14:paraId="3530D4E2" w14:textId="77777777" w:rsidR="00CE56E8" w:rsidRPr="00947159" w:rsidRDefault="00CE56E8" w:rsidP="00CE56E8">
      <w:pPr>
        <w:spacing w:after="240"/>
        <w:jc w:val="both"/>
        <w:rPr>
          <w:rFonts w:ascii="Arial" w:hAnsi="Arial" w:cs="Arial"/>
          <w:b/>
          <w:bCs/>
          <w:color w:val="000000" w:themeColor="text1"/>
          <w:u w:val="single"/>
        </w:rPr>
      </w:pPr>
      <w:r w:rsidRPr="002D7184">
        <w:rPr>
          <w:rFonts w:ascii="Arial" w:hAnsi="Arial" w:cs="Arial"/>
          <w:b/>
          <w:bCs/>
          <w:u w:val="single"/>
        </w:rPr>
        <w:t xml:space="preserve">3.3.3 </w:t>
      </w:r>
      <w:r w:rsidRPr="00947159">
        <w:rPr>
          <w:rFonts w:ascii="Arial" w:hAnsi="Arial" w:cs="Arial"/>
          <w:b/>
          <w:bCs/>
          <w:color w:val="000000" w:themeColor="text1"/>
          <w:u w:val="single"/>
        </w:rPr>
        <w:t>Death Awareness (Anticipated vs. Unanticipated)</w:t>
      </w:r>
    </w:p>
    <w:p w14:paraId="2D63C096"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color w:val="000000" w:themeColor="text1"/>
        </w:rPr>
        <w:t>Caregivers varied in whether they anticipated the death of their loved one. Some described early acknowledgment of the likelihood of death, prompting them to begin making arrangements. Others remained hopeful for recovery, even into the late stages of illness.</w:t>
      </w:r>
      <w:r w:rsidRPr="008D34B9">
        <w:rPr>
          <w:rFonts w:ascii="Arial" w:hAnsi="Arial" w:cs="Arial"/>
          <w:color w:val="000000" w:themeColor="text1"/>
        </w:rPr>
        <w:t xml:space="preserve"> One participant stated:</w:t>
      </w:r>
    </w:p>
    <w:p w14:paraId="66E01634"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lastRenderedPageBreak/>
        <w:t>I did anticipate his death so I called my siblings… we should prepare in terms of funeral</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4</w:t>
      </w:r>
      <w:r w:rsidRPr="008D34B9">
        <w:rPr>
          <w:rFonts w:ascii="Arial" w:hAnsi="Arial" w:cs="Arial"/>
          <w:color w:val="000000" w:themeColor="text1"/>
        </w:rPr>
        <w:t>)</w:t>
      </w:r>
      <w:r w:rsidRPr="00947159">
        <w:rPr>
          <w:rFonts w:ascii="Arial" w:hAnsi="Arial" w:cs="Arial"/>
          <w:color w:val="000000" w:themeColor="text1"/>
        </w:rPr>
        <w:t xml:space="preserve"> </w:t>
      </w:r>
    </w:p>
    <w:p w14:paraId="3DC0AF51"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 xml:space="preserve">Similarly, </w:t>
      </w:r>
      <w:r w:rsidRPr="008D34B9">
        <w:rPr>
          <w:rFonts w:ascii="Arial" w:hAnsi="Arial" w:cs="Arial"/>
          <w:color w:val="000000" w:themeColor="text1"/>
        </w:rPr>
        <w:t xml:space="preserve">another caregiver shared, </w:t>
      </w:r>
    </w:p>
    <w:p w14:paraId="24129BE1" w14:textId="77777777" w:rsidR="00CE56E8" w:rsidRPr="0094715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She asked for minor repair works to be done on the building… we were really prepared for any eventuality</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5</w:t>
      </w:r>
      <w:r w:rsidRPr="008D34B9">
        <w:rPr>
          <w:rFonts w:ascii="Arial" w:hAnsi="Arial" w:cs="Arial"/>
          <w:color w:val="000000" w:themeColor="text1"/>
        </w:rPr>
        <w:t>)</w:t>
      </w:r>
    </w:p>
    <w:p w14:paraId="78F2DE54"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In contrast, others admitted to not anticipating death at all</w:t>
      </w:r>
      <w:r w:rsidRPr="008D34B9">
        <w:rPr>
          <w:rFonts w:ascii="Arial" w:hAnsi="Arial" w:cs="Arial"/>
          <w:color w:val="000000" w:themeColor="text1"/>
        </w:rPr>
        <w:t>. One 71-year-old woman, a mother, shared:</w:t>
      </w:r>
    </w:p>
    <w:p w14:paraId="18482352"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We did not at all anticipate death and did not think it could lead to death, so we made no preparations</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3</w:t>
      </w:r>
      <w:r w:rsidRPr="008D34B9">
        <w:rPr>
          <w:rFonts w:ascii="Arial" w:hAnsi="Arial" w:cs="Arial"/>
          <w:color w:val="000000" w:themeColor="text1"/>
        </w:rPr>
        <w:t>)</w:t>
      </w:r>
    </w:p>
    <w:p w14:paraId="227FBC5C"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Another caregiver explained</w:t>
      </w:r>
      <w:r w:rsidRPr="008D34B9">
        <w:rPr>
          <w:rFonts w:ascii="Arial" w:hAnsi="Arial" w:cs="Arial"/>
          <w:color w:val="000000" w:themeColor="text1"/>
        </w:rPr>
        <w:t>,</w:t>
      </w:r>
    </w:p>
    <w:p w14:paraId="1969D869" w14:textId="77777777" w:rsidR="00CE56E8" w:rsidRPr="0094715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If he wasn’t getting well at one hospital, we’d take him to another. We knew he was going to get well</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12</w:t>
      </w:r>
      <w:r w:rsidRPr="008D34B9">
        <w:rPr>
          <w:rFonts w:ascii="Arial" w:hAnsi="Arial" w:cs="Arial"/>
          <w:color w:val="000000" w:themeColor="text1"/>
        </w:rPr>
        <w:t>)</w:t>
      </w:r>
    </w:p>
    <w:p w14:paraId="0C9FF676" w14:textId="77777777" w:rsidR="00CE56E8" w:rsidRPr="00947159" w:rsidRDefault="00CE56E8" w:rsidP="00CE56E8">
      <w:pPr>
        <w:spacing w:after="240"/>
        <w:jc w:val="both"/>
        <w:rPr>
          <w:rFonts w:ascii="Arial" w:hAnsi="Arial" w:cs="Arial"/>
          <w:b/>
          <w:bCs/>
          <w:color w:val="000000" w:themeColor="text1"/>
          <w:sz w:val="22"/>
          <w:szCs w:val="22"/>
        </w:rPr>
      </w:pPr>
      <w:r w:rsidRPr="002D7184">
        <w:rPr>
          <w:rFonts w:ascii="Arial" w:hAnsi="Arial" w:cs="Arial"/>
          <w:b/>
          <w:bCs/>
          <w:sz w:val="22"/>
          <w:szCs w:val="22"/>
        </w:rPr>
        <w:t xml:space="preserve">3.4 </w:t>
      </w:r>
      <w:r w:rsidRPr="00947159">
        <w:rPr>
          <w:rFonts w:ascii="Arial" w:hAnsi="Arial" w:cs="Arial"/>
          <w:b/>
          <w:bCs/>
          <w:color w:val="000000" w:themeColor="text1"/>
          <w:sz w:val="22"/>
          <w:szCs w:val="22"/>
        </w:rPr>
        <w:t>Emotional Responses</w:t>
      </w:r>
    </w:p>
    <w:p w14:paraId="6FBEB6D3" w14:textId="77777777" w:rsidR="00CE56E8" w:rsidRPr="00947159" w:rsidRDefault="00CE56E8" w:rsidP="00CE56E8">
      <w:pPr>
        <w:spacing w:after="240"/>
        <w:jc w:val="both"/>
        <w:rPr>
          <w:rFonts w:ascii="Arial" w:hAnsi="Arial" w:cs="Arial"/>
          <w:b/>
          <w:bCs/>
          <w:color w:val="000000" w:themeColor="text1"/>
          <w:u w:val="single"/>
        </w:rPr>
      </w:pPr>
      <w:r w:rsidRPr="002D7184">
        <w:rPr>
          <w:rFonts w:ascii="Arial" w:hAnsi="Arial" w:cs="Arial"/>
          <w:b/>
          <w:bCs/>
          <w:u w:val="single"/>
        </w:rPr>
        <w:t xml:space="preserve">3.4.1 </w:t>
      </w:r>
      <w:r w:rsidRPr="00947159">
        <w:rPr>
          <w:rFonts w:ascii="Arial" w:hAnsi="Arial" w:cs="Arial"/>
          <w:b/>
          <w:bCs/>
          <w:color w:val="000000" w:themeColor="text1"/>
          <w:u w:val="single"/>
        </w:rPr>
        <w:t>Denial, Fear, and Turmoil</w:t>
      </w:r>
    </w:p>
    <w:p w14:paraId="0278B212"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color w:val="000000" w:themeColor="text1"/>
        </w:rPr>
        <w:t>The initial response to illness and prognosis for many caregivers was characterized by denial, fear, and emotional turmoil. Panic and sadness were especially pronounced when the patient was relatively young or when the illness advanced suddenly.</w:t>
      </w:r>
      <w:r w:rsidRPr="008D34B9">
        <w:rPr>
          <w:rFonts w:ascii="Arial" w:hAnsi="Arial" w:cs="Arial"/>
          <w:color w:val="000000" w:themeColor="text1"/>
        </w:rPr>
        <w:t xml:space="preserve"> One participant shared,</w:t>
      </w:r>
    </w:p>
    <w:p w14:paraId="6B5401ED"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I panicked because she wasn’t that old… it wasn’t something I accepted”</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11</w:t>
      </w:r>
      <w:r w:rsidRPr="008D34B9">
        <w:rPr>
          <w:rFonts w:ascii="Arial" w:hAnsi="Arial" w:cs="Arial"/>
          <w:color w:val="000000" w:themeColor="text1"/>
        </w:rPr>
        <w:t>)</w:t>
      </w:r>
    </w:p>
    <w:p w14:paraId="10DAD372" w14:textId="77777777" w:rsidR="00CE56E8" w:rsidRPr="008D34B9" w:rsidRDefault="00CE56E8" w:rsidP="00CE56E8">
      <w:pPr>
        <w:spacing w:after="240"/>
        <w:jc w:val="both"/>
        <w:rPr>
          <w:rFonts w:ascii="Arial" w:hAnsi="Arial" w:cs="Arial"/>
          <w:color w:val="000000" w:themeColor="text1"/>
        </w:rPr>
      </w:pPr>
      <w:r w:rsidRPr="008D34B9">
        <w:rPr>
          <w:rFonts w:ascii="Arial" w:hAnsi="Arial" w:cs="Arial"/>
          <w:color w:val="000000" w:themeColor="text1"/>
        </w:rPr>
        <w:t>Another participant added,</w:t>
      </w:r>
    </w:p>
    <w:p w14:paraId="35EE67A6"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When my brother explained the condition… I was pained because I didn’t want anything to happen to my aunt</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10</w:t>
      </w:r>
      <w:r w:rsidRPr="008D34B9">
        <w:rPr>
          <w:rFonts w:ascii="Arial" w:hAnsi="Arial" w:cs="Arial"/>
          <w:color w:val="000000" w:themeColor="text1"/>
        </w:rPr>
        <w:t>)</w:t>
      </w:r>
    </w:p>
    <w:p w14:paraId="160B1DBB"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One participant described overwhelming grief:</w:t>
      </w:r>
    </w:p>
    <w:p w14:paraId="43803AEB" w14:textId="77777777" w:rsidR="00CE56E8" w:rsidRPr="00947159" w:rsidRDefault="00CE56E8" w:rsidP="00CE56E8">
      <w:pPr>
        <w:spacing w:after="240"/>
        <w:ind w:firstLine="720"/>
        <w:jc w:val="both"/>
        <w:rPr>
          <w:rFonts w:ascii="Arial" w:hAnsi="Arial" w:cs="Arial"/>
          <w:color w:val="000000" w:themeColor="text1"/>
        </w:rPr>
      </w:pPr>
      <w:r w:rsidRPr="00947159">
        <w:rPr>
          <w:rFonts w:ascii="Arial" w:hAnsi="Arial" w:cs="Arial"/>
          <w:i/>
          <w:iCs/>
          <w:color w:val="000000" w:themeColor="text1"/>
        </w:rPr>
        <w:t>I told myself I wouldn’t cry but unfortunately</w:t>
      </w:r>
      <w:r w:rsidRPr="008D34B9">
        <w:rPr>
          <w:rFonts w:ascii="Arial" w:hAnsi="Arial" w:cs="Arial"/>
          <w:i/>
          <w:iCs/>
          <w:color w:val="000000" w:themeColor="text1"/>
        </w:rPr>
        <w:t>,</w:t>
      </w:r>
      <w:r w:rsidRPr="00947159">
        <w:rPr>
          <w:rFonts w:ascii="Arial" w:hAnsi="Arial" w:cs="Arial"/>
          <w:i/>
          <w:iCs/>
          <w:color w:val="000000" w:themeColor="text1"/>
        </w:rPr>
        <w:t xml:space="preserve"> I couldn’t… I really cried</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6</w:t>
      </w:r>
      <w:r w:rsidRPr="008D34B9">
        <w:rPr>
          <w:rFonts w:ascii="Arial" w:hAnsi="Arial" w:cs="Arial"/>
          <w:color w:val="000000" w:themeColor="text1"/>
        </w:rPr>
        <w:t>)</w:t>
      </w:r>
    </w:p>
    <w:p w14:paraId="296114C0" w14:textId="77777777" w:rsidR="00CE56E8" w:rsidRPr="00947159" w:rsidRDefault="00CE56E8" w:rsidP="00CE56E8">
      <w:pPr>
        <w:spacing w:after="240"/>
        <w:jc w:val="both"/>
        <w:rPr>
          <w:rFonts w:ascii="Arial" w:hAnsi="Arial" w:cs="Arial"/>
          <w:b/>
          <w:bCs/>
          <w:color w:val="000000" w:themeColor="text1"/>
          <w:u w:val="single"/>
        </w:rPr>
      </w:pPr>
      <w:r w:rsidRPr="002D7184">
        <w:rPr>
          <w:rFonts w:ascii="Arial" w:hAnsi="Arial" w:cs="Arial"/>
          <w:b/>
          <w:bCs/>
          <w:u w:val="single"/>
        </w:rPr>
        <w:t xml:space="preserve">3.4.2 </w:t>
      </w:r>
      <w:r w:rsidRPr="00947159">
        <w:rPr>
          <w:rFonts w:ascii="Arial" w:hAnsi="Arial" w:cs="Arial"/>
          <w:b/>
          <w:bCs/>
          <w:color w:val="000000" w:themeColor="text1"/>
          <w:u w:val="single"/>
        </w:rPr>
        <w:t>Faith-Based Rationalization</w:t>
      </w:r>
    </w:p>
    <w:p w14:paraId="0C65D941"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color w:val="000000" w:themeColor="text1"/>
        </w:rPr>
        <w:t>Religious faith shaped emotional responses for most caregivers. Prayer, reliance on God’s will, and biblical interpretation provided comfort for some but also delayed acceptance for others.</w:t>
      </w:r>
      <w:r w:rsidRPr="008D34B9">
        <w:rPr>
          <w:rFonts w:ascii="Arial" w:hAnsi="Arial" w:cs="Arial"/>
          <w:color w:val="000000" w:themeColor="text1"/>
        </w:rPr>
        <w:t xml:space="preserve"> A 62-year-old man who was a religious cleric stated:</w:t>
      </w:r>
    </w:p>
    <w:p w14:paraId="3A4C3B60"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Through it all, we kept praying, but I saw the reality… so I was not so worried when it happened</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6</w:t>
      </w:r>
      <w:r w:rsidRPr="008D34B9">
        <w:rPr>
          <w:rFonts w:ascii="Arial" w:hAnsi="Arial" w:cs="Arial"/>
          <w:color w:val="000000" w:themeColor="text1"/>
        </w:rPr>
        <w:t>)</w:t>
      </w:r>
    </w:p>
    <w:p w14:paraId="198EA486" w14:textId="77777777" w:rsidR="00CE56E8" w:rsidRPr="008D34B9" w:rsidRDefault="00CE56E8" w:rsidP="00CE56E8">
      <w:pPr>
        <w:spacing w:after="240"/>
        <w:jc w:val="both"/>
        <w:rPr>
          <w:rFonts w:ascii="Arial" w:hAnsi="Arial" w:cs="Arial"/>
          <w:i/>
          <w:iCs/>
          <w:color w:val="000000" w:themeColor="text1"/>
        </w:rPr>
      </w:pPr>
      <w:r w:rsidRPr="00947159">
        <w:rPr>
          <w:rFonts w:ascii="Arial" w:hAnsi="Arial" w:cs="Arial"/>
          <w:color w:val="000000" w:themeColor="text1"/>
        </w:rPr>
        <w:t xml:space="preserve">Another </w:t>
      </w:r>
      <w:r w:rsidRPr="008D34B9">
        <w:rPr>
          <w:rFonts w:ascii="Arial" w:hAnsi="Arial" w:cs="Arial"/>
          <w:color w:val="000000" w:themeColor="text1"/>
        </w:rPr>
        <w:t xml:space="preserve">caregiver </w:t>
      </w:r>
      <w:r w:rsidRPr="00947159">
        <w:rPr>
          <w:rFonts w:ascii="Arial" w:hAnsi="Arial" w:cs="Arial"/>
          <w:color w:val="000000" w:themeColor="text1"/>
        </w:rPr>
        <w:t>explained</w:t>
      </w:r>
      <w:r w:rsidRPr="008D34B9">
        <w:rPr>
          <w:rFonts w:ascii="Arial" w:hAnsi="Arial" w:cs="Arial"/>
          <w:color w:val="000000" w:themeColor="text1"/>
        </w:rPr>
        <w:t>:</w:t>
      </w:r>
    </w:p>
    <w:p w14:paraId="104A6992" w14:textId="77777777" w:rsidR="00CE56E8" w:rsidRPr="0094715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I accepted it because she is 73 years and the Bible says it’s a blessing to be seventy years and above</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5</w:t>
      </w:r>
      <w:r w:rsidRPr="008D34B9">
        <w:rPr>
          <w:rFonts w:ascii="Arial" w:hAnsi="Arial" w:cs="Arial"/>
          <w:color w:val="000000" w:themeColor="text1"/>
        </w:rPr>
        <w:t>)</w:t>
      </w:r>
    </w:p>
    <w:p w14:paraId="11C0C50F"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Even when caregivers acknowledged the terminal nature of illness, they often refrained from explicitly naming death to the patient:</w:t>
      </w:r>
    </w:p>
    <w:p w14:paraId="2B547AB6" w14:textId="77777777" w:rsidR="00CE56E8" w:rsidRPr="0094715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I conditioned my mind… I never told her she was going to die but I knew it and saw it</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6</w:t>
      </w:r>
      <w:r w:rsidRPr="008D34B9">
        <w:rPr>
          <w:rFonts w:ascii="Arial" w:hAnsi="Arial" w:cs="Arial"/>
          <w:color w:val="000000" w:themeColor="text1"/>
        </w:rPr>
        <w:t>)</w:t>
      </w:r>
    </w:p>
    <w:p w14:paraId="62F45CAD" w14:textId="77777777" w:rsidR="00CE56E8" w:rsidRPr="00947159" w:rsidRDefault="00CE56E8" w:rsidP="00CE56E8">
      <w:pPr>
        <w:spacing w:after="240"/>
        <w:jc w:val="both"/>
        <w:rPr>
          <w:rFonts w:ascii="Arial" w:hAnsi="Arial" w:cs="Arial"/>
          <w:b/>
          <w:bCs/>
          <w:color w:val="000000" w:themeColor="text1"/>
          <w:u w:val="single"/>
        </w:rPr>
      </w:pPr>
      <w:r w:rsidRPr="002D7184">
        <w:rPr>
          <w:rFonts w:ascii="Arial" w:hAnsi="Arial" w:cs="Arial"/>
          <w:b/>
          <w:bCs/>
          <w:u w:val="single"/>
        </w:rPr>
        <w:t xml:space="preserve">3.4.3 </w:t>
      </w:r>
      <w:r w:rsidRPr="00947159">
        <w:rPr>
          <w:rFonts w:ascii="Arial" w:hAnsi="Arial" w:cs="Arial"/>
          <w:b/>
          <w:bCs/>
          <w:color w:val="000000" w:themeColor="text1"/>
          <w:u w:val="single"/>
        </w:rPr>
        <w:t>Compassionate Release and Acceptance</w:t>
      </w:r>
    </w:p>
    <w:p w14:paraId="53943A67"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For some caregivers, acceptance was facilitated by witnessing the patient’s suffering. Death was reframed as a release from pain, allowing caregivers to let go.</w:t>
      </w:r>
      <w:r w:rsidRPr="008D34B9">
        <w:rPr>
          <w:rFonts w:ascii="Arial" w:hAnsi="Arial" w:cs="Arial"/>
          <w:color w:val="000000" w:themeColor="text1"/>
        </w:rPr>
        <w:t xml:space="preserve"> One participant stated:</w:t>
      </w:r>
    </w:p>
    <w:p w14:paraId="78916E49"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Because of the way she was suffering, we even wanted her to die…</w:t>
      </w:r>
      <w:r w:rsidRPr="008D34B9">
        <w:rPr>
          <w:rFonts w:ascii="Arial" w:hAnsi="Arial" w:cs="Arial"/>
          <w:i/>
          <w:iCs/>
          <w:color w:val="000000" w:themeColor="text1"/>
        </w:rPr>
        <w:t>T</w:t>
      </w:r>
      <w:r w:rsidRPr="00947159">
        <w:rPr>
          <w:rFonts w:ascii="Arial" w:hAnsi="Arial" w:cs="Arial"/>
          <w:i/>
          <w:iCs/>
          <w:color w:val="000000" w:themeColor="text1"/>
        </w:rPr>
        <w:t>he pain was unbearable</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11</w:t>
      </w:r>
      <w:r w:rsidRPr="008D34B9">
        <w:rPr>
          <w:rFonts w:ascii="Arial" w:hAnsi="Arial" w:cs="Arial"/>
          <w:color w:val="000000" w:themeColor="text1"/>
        </w:rPr>
        <w:t>)</w:t>
      </w:r>
    </w:p>
    <w:p w14:paraId="7E40E3CC"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lastRenderedPageBreak/>
        <w:t xml:space="preserve">Another </w:t>
      </w:r>
      <w:r w:rsidRPr="008D34B9">
        <w:rPr>
          <w:rFonts w:ascii="Arial" w:hAnsi="Arial" w:cs="Arial"/>
          <w:color w:val="000000" w:themeColor="text1"/>
        </w:rPr>
        <w:t xml:space="preserve">caregiver who was a religious cleric </w:t>
      </w:r>
      <w:r w:rsidRPr="00947159">
        <w:rPr>
          <w:rFonts w:ascii="Arial" w:hAnsi="Arial" w:cs="Arial"/>
          <w:color w:val="000000" w:themeColor="text1"/>
        </w:rPr>
        <w:t>shared:</w:t>
      </w:r>
    </w:p>
    <w:p w14:paraId="1A6FFDED"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I spent the whole night praying to God to take her life and thank God on the 24th February, she passed away</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6</w:t>
      </w:r>
      <w:r w:rsidRPr="008D34B9">
        <w:rPr>
          <w:rFonts w:ascii="Arial" w:hAnsi="Arial" w:cs="Arial"/>
          <w:color w:val="000000" w:themeColor="text1"/>
        </w:rPr>
        <w:t>)</w:t>
      </w:r>
    </w:p>
    <w:p w14:paraId="556D2777" w14:textId="77777777" w:rsidR="00CE56E8" w:rsidRPr="00947159" w:rsidRDefault="00CE56E8" w:rsidP="00CE56E8">
      <w:pPr>
        <w:spacing w:after="240"/>
        <w:jc w:val="both"/>
        <w:rPr>
          <w:rFonts w:ascii="Arial" w:hAnsi="Arial" w:cs="Arial"/>
          <w:color w:val="000000" w:themeColor="text1"/>
        </w:rPr>
      </w:pPr>
      <w:r w:rsidRPr="008D34B9">
        <w:rPr>
          <w:rFonts w:ascii="Arial" w:hAnsi="Arial" w:cs="Arial"/>
          <w:color w:val="000000" w:themeColor="text1"/>
        </w:rPr>
        <w:t>Additionally, another caregiver also emphasized subdued grief in the words, “</w:t>
      </w:r>
      <w:r w:rsidRPr="00947159">
        <w:rPr>
          <w:rFonts w:ascii="Arial" w:hAnsi="Arial" w:cs="Arial"/>
          <w:i/>
          <w:iCs/>
          <w:color w:val="000000" w:themeColor="text1"/>
        </w:rPr>
        <w:t>…so even though I was sad, it wasn’t too much”</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5</w:t>
      </w:r>
      <w:r w:rsidRPr="008D34B9">
        <w:rPr>
          <w:rFonts w:ascii="Arial" w:hAnsi="Arial" w:cs="Arial"/>
          <w:color w:val="000000" w:themeColor="text1"/>
        </w:rPr>
        <w:t>)</w:t>
      </w:r>
    </w:p>
    <w:p w14:paraId="578FED2D" w14:textId="77777777" w:rsidR="00CE56E8" w:rsidRPr="00947159" w:rsidRDefault="00CE56E8" w:rsidP="00CE56E8">
      <w:pPr>
        <w:spacing w:after="240"/>
        <w:jc w:val="both"/>
        <w:rPr>
          <w:rFonts w:ascii="Arial" w:hAnsi="Arial" w:cs="Arial"/>
          <w:b/>
          <w:bCs/>
          <w:color w:val="000000" w:themeColor="text1"/>
          <w:sz w:val="22"/>
          <w:szCs w:val="22"/>
        </w:rPr>
      </w:pPr>
      <w:r w:rsidRPr="002D7184">
        <w:rPr>
          <w:rFonts w:ascii="Arial" w:hAnsi="Arial" w:cs="Arial"/>
          <w:b/>
          <w:bCs/>
          <w:sz w:val="22"/>
          <w:szCs w:val="22"/>
        </w:rPr>
        <w:t xml:space="preserve">3.5 </w:t>
      </w:r>
      <w:r w:rsidRPr="00947159">
        <w:rPr>
          <w:rFonts w:ascii="Arial" w:hAnsi="Arial" w:cs="Arial"/>
          <w:b/>
          <w:bCs/>
          <w:color w:val="000000" w:themeColor="text1"/>
          <w:sz w:val="22"/>
          <w:szCs w:val="22"/>
        </w:rPr>
        <w:t>Behavioral Actions</w:t>
      </w:r>
    </w:p>
    <w:p w14:paraId="478AB53C" w14:textId="77777777" w:rsidR="00CE56E8" w:rsidRPr="00947159" w:rsidRDefault="00CE56E8" w:rsidP="00CE56E8">
      <w:pPr>
        <w:spacing w:after="240"/>
        <w:jc w:val="both"/>
        <w:rPr>
          <w:rFonts w:ascii="Arial" w:hAnsi="Arial" w:cs="Arial"/>
          <w:b/>
          <w:bCs/>
          <w:color w:val="000000" w:themeColor="text1"/>
          <w:u w:val="single"/>
        </w:rPr>
      </w:pPr>
      <w:r w:rsidRPr="002D7184">
        <w:rPr>
          <w:rFonts w:ascii="Arial" w:hAnsi="Arial" w:cs="Arial"/>
          <w:b/>
          <w:bCs/>
          <w:u w:val="single"/>
        </w:rPr>
        <w:t xml:space="preserve">3.5.1 </w:t>
      </w:r>
      <w:r w:rsidRPr="00947159">
        <w:rPr>
          <w:rFonts w:ascii="Arial" w:hAnsi="Arial" w:cs="Arial"/>
          <w:b/>
          <w:bCs/>
          <w:color w:val="000000" w:themeColor="text1"/>
          <w:u w:val="single"/>
        </w:rPr>
        <w:t>Efforts Toward Recovery and Denial of Death</w:t>
      </w:r>
    </w:p>
    <w:p w14:paraId="2F578921"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For many caregivers, the dominant behavioral response was to continue seeking medical care, even when prognosis was poor. This pursuit of treatment reflected both denial and hope, and often meant practical preparations for death were delayed.</w:t>
      </w:r>
      <w:r w:rsidRPr="008D34B9">
        <w:rPr>
          <w:rFonts w:ascii="Arial" w:hAnsi="Arial" w:cs="Arial"/>
          <w:color w:val="000000" w:themeColor="text1"/>
        </w:rPr>
        <w:t xml:space="preserve"> A 25-year-old caregiver stated:</w:t>
      </w:r>
    </w:p>
    <w:p w14:paraId="4C3471A8" w14:textId="77777777" w:rsidR="00CE56E8" w:rsidRPr="008D34B9" w:rsidRDefault="00CE56E8" w:rsidP="00CE56E8">
      <w:pPr>
        <w:spacing w:after="240"/>
        <w:ind w:firstLine="720"/>
        <w:jc w:val="both"/>
        <w:rPr>
          <w:rFonts w:ascii="Arial" w:hAnsi="Arial" w:cs="Arial"/>
          <w:color w:val="000000" w:themeColor="text1"/>
        </w:rPr>
      </w:pPr>
      <w:r w:rsidRPr="00947159">
        <w:rPr>
          <w:rFonts w:ascii="Arial" w:hAnsi="Arial" w:cs="Arial"/>
          <w:i/>
          <w:iCs/>
          <w:color w:val="000000" w:themeColor="text1"/>
        </w:rPr>
        <w:t>If he wasn’t getting well at one hospital, then we’d take him to another</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12</w:t>
      </w:r>
      <w:r w:rsidRPr="008D34B9">
        <w:rPr>
          <w:rFonts w:ascii="Arial" w:hAnsi="Arial" w:cs="Arial"/>
          <w:color w:val="000000" w:themeColor="text1"/>
        </w:rPr>
        <w:t>)</w:t>
      </w:r>
    </w:p>
    <w:p w14:paraId="12F91C7D" w14:textId="77777777" w:rsidR="00CE56E8" w:rsidRPr="008D34B9" w:rsidRDefault="00CE56E8" w:rsidP="00CE56E8">
      <w:pPr>
        <w:spacing w:after="240"/>
        <w:jc w:val="both"/>
        <w:rPr>
          <w:rFonts w:ascii="Arial" w:hAnsi="Arial" w:cs="Arial"/>
          <w:i/>
          <w:iCs/>
          <w:color w:val="000000" w:themeColor="text1"/>
        </w:rPr>
      </w:pPr>
      <w:r w:rsidRPr="008D34B9">
        <w:rPr>
          <w:rFonts w:ascii="Arial" w:hAnsi="Arial" w:cs="Arial"/>
          <w:color w:val="000000" w:themeColor="text1"/>
        </w:rPr>
        <w:t>The same participant remarked</w:t>
      </w:r>
      <w:r w:rsidRPr="00947159">
        <w:rPr>
          <w:rFonts w:ascii="Arial" w:hAnsi="Arial" w:cs="Arial"/>
          <w:color w:val="000000" w:themeColor="text1"/>
        </w:rPr>
        <w:t xml:space="preserve">: </w:t>
      </w:r>
    </w:p>
    <w:p w14:paraId="79C6B4CF"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We didn’t make any preparation because we knew it was diabetes and he’d get well</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12</w:t>
      </w:r>
      <w:r w:rsidRPr="008D34B9">
        <w:rPr>
          <w:rFonts w:ascii="Arial" w:hAnsi="Arial" w:cs="Arial"/>
          <w:color w:val="000000" w:themeColor="text1"/>
        </w:rPr>
        <w:t>)</w:t>
      </w:r>
    </w:p>
    <w:p w14:paraId="57135B64"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Others acknowledged death might occur, but expected more warning signs</w:t>
      </w:r>
      <w:r w:rsidRPr="008D34B9">
        <w:rPr>
          <w:rFonts w:ascii="Arial" w:hAnsi="Arial" w:cs="Arial"/>
          <w:color w:val="000000" w:themeColor="text1"/>
        </w:rPr>
        <w:t>. A 46-year-old caregiver who was a teacher stated:</w:t>
      </w:r>
    </w:p>
    <w:p w14:paraId="1CA5DE47" w14:textId="77777777" w:rsidR="00CE56E8" w:rsidRPr="0094715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We knew she’d die alright but not so fast. I thought she’d be bedridden and give off some signs</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5</w:t>
      </w:r>
      <w:r w:rsidRPr="008D34B9">
        <w:rPr>
          <w:rFonts w:ascii="Arial" w:hAnsi="Arial" w:cs="Arial"/>
          <w:color w:val="000000" w:themeColor="text1"/>
        </w:rPr>
        <w:t>)</w:t>
      </w:r>
    </w:p>
    <w:p w14:paraId="224D0031" w14:textId="77777777" w:rsidR="00CE56E8" w:rsidRPr="00947159" w:rsidRDefault="00CE56E8" w:rsidP="00CE56E8">
      <w:pPr>
        <w:spacing w:after="240"/>
        <w:jc w:val="both"/>
        <w:rPr>
          <w:rFonts w:ascii="Arial" w:hAnsi="Arial" w:cs="Arial"/>
          <w:b/>
          <w:bCs/>
          <w:color w:val="000000" w:themeColor="text1"/>
          <w:u w:val="single"/>
        </w:rPr>
      </w:pPr>
      <w:r w:rsidRPr="002D7184">
        <w:rPr>
          <w:rFonts w:ascii="Arial" w:hAnsi="Arial" w:cs="Arial"/>
          <w:b/>
          <w:bCs/>
          <w:u w:val="single"/>
        </w:rPr>
        <w:t xml:space="preserve">3.5.2 </w:t>
      </w:r>
      <w:r w:rsidRPr="00947159">
        <w:rPr>
          <w:rFonts w:ascii="Arial" w:hAnsi="Arial" w:cs="Arial"/>
          <w:b/>
          <w:bCs/>
          <w:color w:val="000000" w:themeColor="text1"/>
          <w:u w:val="single"/>
        </w:rPr>
        <w:t>Practical and Financial Planning</w:t>
      </w:r>
    </w:p>
    <w:p w14:paraId="7F0D2CB1"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Among caregivers who reached acceptance, practical planning was a central action. This included encouraging patients to make wills, saving money for eventual costs, and consulting professionals.</w:t>
      </w:r>
      <w:r w:rsidRPr="008D34B9">
        <w:rPr>
          <w:rFonts w:ascii="Arial" w:hAnsi="Arial" w:cs="Arial"/>
          <w:color w:val="000000" w:themeColor="text1"/>
        </w:rPr>
        <w:t xml:space="preserve"> A 79-year-old shared that, </w:t>
      </w:r>
      <w:r w:rsidRPr="00947159">
        <w:rPr>
          <w:rFonts w:ascii="Arial" w:hAnsi="Arial" w:cs="Arial"/>
          <w:i/>
          <w:iCs/>
          <w:color w:val="000000" w:themeColor="text1"/>
        </w:rPr>
        <w:t>“He</w:t>
      </w:r>
      <w:r w:rsidRPr="008D34B9">
        <w:rPr>
          <w:rFonts w:ascii="Arial" w:hAnsi="Arial" w:cs="Arial"/>
          <w:color w:val="000000" w:themeColor="text1"/>
        </w:rPr>
        <w:t xml:space="preserve"> [the patient]</w:t>
      </w:r>
      <w:r w:rsidRPr="00947159">
        <w:rPr>
          <w:rFonts w:ascii="Arial" w:hAnsi="Arial" w:cs="Arial"/>
          <w:i/>
          <w:iCs/>
          <w:color w:val="000000" w:themeColor="text1"/>
        </w:rPr>
        <w:t xml:space="preserve"> was hoping to die quickly… so I was hoping for him to do a will”</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9</w:t>
      </w:r>
      <w:r w:rsidRPr="008D34B9">
        <w:rPr>
          <w:rFonts w:ascii="Arial" w:hAnsi="Arial" w:cs="Arial"/>
          <w:color w:val="000000" w:themeColor="text1"/>
        </w:rPr>
        <w:t xml:space="preserve">). </w:t>
      </w:r>
      <w:r w:rsidRPr="00947159">
        <w:rPr>
          <w:rFonts w:ascii="Arial" w:hAnsi="Arial" w:cs="Arial"/>
          <w:color w:val="000000" w:themeColor="text1"/>
        </w:rPr>
        <w:t>Another explained:</w:t>
      </w:r>
    </w:p>
    <w:p w14:paraId="37787AC9"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We decided to save some money every month so in case of any eventuality we wouldn’t be found wanting</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5</w:t>
      </w:r>
      <w:r w:rsidRPr="008D34B9">
        <w:rPr>
          <w:rFonts w:ascii="Arial" w:hAnsi="Arial" w:cs="Arial"/>
          <w:color w:val="000000" w:themeColor="text1"/>
        </w:rPr>
        <w:t>)</w:t>
      </w:r>
    </w:p>
    <w:p w14:paraId="240B4DDC"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color w:val="000000" w:themeColor="text1"/>
        </w:rPr>
        <w:t xml:space="preserve">In some cases, legal arrangements were prioritized: </w:t>
      </w:r>
      <w:r w:rsidRPr="00947159">
        <w:rPr>
          <w:rFonts w:ascii="Arial" w:hAnsi="Arial" w:cs="Arial"/>
          <w:i/>
          <w:iCs/>
          <w:color w:val="000000" w:themeColor="text1"/>
        </w:rPr>
        <w:t>“I went in for a Lawyer from Tema to do a will for him”</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10</w:t>
      </w:r>
      <w:r w:rsidRPr="008D34B9">
        <w:rPr>
          <w:rFonts w:ascii="Arial" w:hAnsi="Arial" w:cs="Arial"/>
          <w:color w:val="000000" w:themeColor="text1"/>
        </w:rPr>
        <w:t>).</w:t>
      </w:r>
    </w:p>
    <w:p w14:paraId="60B6A66B" w14:textId="77777777" w:rsidR="00CE56E8" w:rsidRPr="00947159" w:rsidRDefault="00CE56E8" w:rsidP="00CE56E8">
      <w:pPr>
        <w:spacing w:after="240"/>
        <w:jc w:val="both"/>
        <w:rPr>
          <w:rFonts w:ascii="Arial" w:hAnsi="Arial" w:cs="Arial"/>
          <w:b/>
          <w:bCs/>
          <w:color w:val="000000" w:themeColor="text1"/>
          <w:u w:val="single"/>
        </w:rPr>
      </w:pPr>
      <w:r w:rsidRPr="002D7184">
        <w:rPr>
          <w:rFonts w:ascii="Arial" w:hAnsi="Arial" w:cs="Arial"/>
          <w:b/>
          <w:bCs/>
          <w:u w:val="single"/>
        </w:rPr>
        <w:t xml:space="preserve">3.5.3 </w:t>
      </w:r>
      <w:r w:rsidRPr="00947159">
        <w:rPr>
          <w:rFonts w:ascii="Arial" w:hAnsi="Arial" w:cs="Arial"/>
          <w:b/>
          <w:bCs/>
          <w:color w:val="000000" w:themeColor="text1"/>
          <w:u w:val="single"/>
        </w:rPr>
        <w:t>Fulfilment of Last Wishes and End-of-Life Arrangements</w:t>
      </w:r>
    </w:p>
    <w:p w14:paraId="5A1B4B3C"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A</w:t>
      </w:r>
      <w:r w:rsidRPr="008D34B9">
        <w:rPr>
          <w:rFonts w:ascii="Arial" w:hAnsi="Arial" w:cs="Arial"/>
          <w:color w:val="000000" w:themeColor="text1"/>
        </w:rPr>
        <w:t>nother</w:t>
      </w:r>
      <w:r w:rsidRPr="00947159">
        <w:rPr>
          <w:rFonts w:ascii="Arial" w:hAnsi="Arial" w:cs="Arial"/>
          <w:color w:val="000000" w:themeColor="text1"/>
        </w:rPr>
        <w:t xml:space="preserve"> final behavioral response involved fulfilling the patient’s last wishes and planning for dependents. This demonstrated the agency of caregivers even in difficult circumstances.</w:t>
      </w:r>
      <w:r w:rsidRPr="008D34B9">
        <w:rPr>
          <w:rFonts w:ascii="Arial" w:hAnsi="Arial" w:cs="Arial"/>
          <w:color w:val="000000" w:themeColor="text1"/>
        </w:rPr>
        <w:t xml:space="preserve"> One participant stated: </w:t>
      </w:r>
      <w:r w:rsidRPr="00947159">
        <w:rPr>
          <w:rFonts w:ascii="Arial" w:hAnsi="Arial" w:cs="Arial"/>
          <w:i/>
          <w:iCs/>
          <w:color w:val="000000" w:themeColor="text1"/>
        </w:rPr>
        <w:t>“She asked for some repair works to be done on the building”</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5</w:t>
      </w:r>
      <w:r w:rsidRPr="008D34B9">
        <w:rPr>
          <w:rFonts w:ascii="Arial" w:hAnsi="Arial" w:cs="Arial"/>
          <w:color w:val="000000" w:themeColor="text1"/>
        </w:rPr>
        <w:t xml:space="preserve">). Another participant highlighted, </w:t>
      </w:r>
    </w:p>
    <w:p w14:paraId="64221A01"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She told me because she was about to die, we should put things in place… she did her will</w:t>
      </w:r>
      <w:r w:rsidRPr="008D34B9">
        <w:rPr>
          <w:rFonts w:ascii="Arial" w:hAnsi="Arial" w:cs="Arial"/>
          <w:i/>
          <w:iCs/>
          <w:color w:val="000000" w:themeColor="text1"/>
        </w:rPr>
        <w:t xml:space="preserve"> </w:t>
      </w:r>
      <w:r w:rsidRPr="00947159">
        <w:rPr>
          <w:rFonts w:ascii="Arial" w:hAnsi="Arial" w:cs="Arial"/>
          <w:color w:val="000000" w:themeColor="text1"/>
        </w:rPr>
        <w:t>(P</w:t>
      </w:r>
      <w:r w:rsidRPr="008D34B9">
        <w:rPr>
          <w:rFonts w:ascii="Arial" w:hAnsi="Arial" w:cs="Arial"/>
          <w:color w:val="000000" w:themeColor="text1"/>
        </w:rPr>
        <w:t xml:space="preserve">articipant </w:t>
      </w:r>
      <w:r w:rsidRPr="00947159">
        <w:rPr>
          <w:rFonts w:ascii="Arial" w:hAnsi="Arial" w:cs="Arial"/>
          <w:color w:val="000000" w:themeColor="text1"/>
        </w:rPr>
        <w:t>11</w:t>
      </w:r>
      <w:r w:rsidRPr="008D34B9">
        <w:rPr>
          <w:rFonts w:ascii="Arial" w:hAnsi="Arial" w:cs="Arial"/>
          <w:color w:val="000000" w:themeColor="text1"/>
        </w:rPr>
        <w:t>)</w:t>
      </w:r>
    </w:p>
    <w:p w14:paraId="0B4C9712"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Others emphasiz</w:t>
      </w:r>
      <w:r w:rsidRPr="008D34B9">
        <w:rPr>
          <w:rFonts w:ascii="Arial" w:hAnsi="Arial" w:cs="Arial"/>
          <w:color w:val="000000" w:themeColor="text1"/>
        </w:rPr>
        <w:t>ed</w:t>
      </w:r>
      <w:r w:rsidRPr="00947159">
        <w:rPr>
          <w:rFonts w:ascii="Arial" w:hAnsi="Arial" w:cs="Arial"/>
          <w:color w:val="000000" w:themeColor="text1"/>
        </w:rPr>
        <w:t xml:space="preserve"> continuity of care for children</w:t>
      </w:r>
      <w:r w:rsidRPr="008D34B9">
        <w:rPr>
          <w:rFonts w:ascii="Arial" w:hAnsi="Arial" w:cs="Arial"/>
          <w:color w:val="000000" w:themeColor="text1"/>
        </w:rPr>
        <w:t xml:space="preserve"> in the next figure</w:t>
      </w:r>
      <w:r w:rsidRPr="00947159">
        <w:rPr>
          <w:rFonts w:ascii="Arial" w:hAnsi="Arial" w:cs="Arial"/>
          <w:color w:val="000000" w:themeColor="text1"/>
        </w:rPr>
        <w:t xml:space="preserve">: </w:t>
      </w:r>
    </w:p>
    <w:p w14:paraId="144C46F0" w14:textId="77777777" w:rsidR="00CE56E8" w:rsidRPr="00947159" w:rsidRDefault="00CE56E8" w:rsidP="00CE56E8">
      <w:pPr>
        <w:spacing w:after="240"/>
        <w:ind w:left="720"/>
        <w:jc w:val="both"/>
        <w:rPr>
          <w:rFonts w:ascii="Arial" w:hAnsi="Arial" w:cs="Arial"/>
          <w:color w:val="000000" w:themeColor="text1"/>
        </w:rPr>
      </w:pPr>
      <w:r w:rsidRPr="008D34B9">
        <w:rPr>
          <w:rFonts w:ascii="Arial" w:hAnsi="Arial" w:cs="Arial"/>
          <w:i/>
          <w:iCs/>
          <w:color w:val="000000" w:themeColor="text1"/>
        </w:rPr>
        <w:t>I</w:t>
      </w:r>
      <w:r w:rsidRPr="00947159">
        <w:rPr>
          <w:rFonts w:ascii="Arial" w:hAnsi="Arial" w:cs="Arial"/>
          <w:i/>
          <w:iCs/>
          <w:color w:val="000000" w:themeColor="text1"/>
        </w:rPr>
        <w:t>t helped us to get someone to look after the child, so it didn’t pose much of a problem</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8</w:t>
      </w:r>
      <w:r w:rsidRPr="008D34B9">
        <w:rPr>
          <w:rFonts w:ascii="Arial" w:hAnsi="Arial" w:cs="Arial"/>
          <w:color w:val="000000" w:themeColor="text1"/>
        </w:rPr>
        <w:t>)</w:t>
      </w:r>
      <w:r w:rsidRPr="00947159">
        <w:rPr>
          <w:rFonts w:ascii="Arial" w:hAnsi="Arial" w:cs="Arial"/>
          <w:color w:val="000000" w:themeColor="text1"/>
        </w:rPr>
        <w:t>.</w:t>
      </w:r>
    </w:p>
    <w:p w14:paraId="4D4A1DE8" w14:textId="77777777" w:rsidR="00CE56E8" w:rsidRPr="008D34B9" w:rsidRDefault="00CE56E8" w:rsidP="00CE56E8">
      <w:pPr>
        <w:spacing w:after="240"/>
        <w:jc w:val="both"/>
        <w:rPr>
          <w:rFonts w:ascii="Arial" w:hAnsi="Arial" w:cs="Arial"/>
          <w:color w:val="000000" w:themeColor="text1"/>
        </w:rPr>
      </w:pPr>
    </w:p>
    <w:p w14:paraId="2F6A3A61" w14:textId="77777777" w:rsidR="00CE56E8" w:rsidRPr="00B23864" w:rsidRDefault="00CE56E8" w:rsidP="00CE56E8">
      <w:pPr>
        <w:spacing w:after="240"/>
        <w:jc w:val="both"/>
        <w:rPr>
          <w:rFonts w:ascii="Arial" w:hAnsi="Arial" w:cs="Arial"/>
          <w:b/>
          <w:bCs/>
          <w:color w:val="000000" w:themeColor="text1"/>
        </w:rPr>
      </w:pPr>
      <w:r>
        <w:rPr>
          <w:rFonts w:ascii="Arial" w:hAnsi="Arial" w:cs="Arial"/>
          <w:b/>
          <w:bCs/>
        </w:rPr>
        <w:t xml:space="preserve">4. </w:t>
      </w:r>
      <w:r w:rsidRPr="00B23864">
        <w:rPr>
          <w:rFonts w:ascii="Arial" w:hAnsi="Arial" w:cs="Arial"/>
          <w:b/>
          <w:bCs/>
          <w:color w:val="000000" w:themeColor="text1"/>
        </w:rPr>
        <w:t>Discussion</w:t>
      </w:r>
    </w:p>
    <w:p w14:paraId="194E60B3"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Awareness of illness and prognosis was uneven among caregivers. Some had clear knowledge of the diagnosis and disease progression, while others held onto hope of recovery despite medical confirmation of advanced illness. This finding is consistent with literature from other low- and middle-income countries, where limited health literacy and avoidance of prognosis discussions contribute to inadequate preparedness (</w:t>
      </w:r>
      <w:r w:rsidRPr="008D34B9">
        <w:rPr>
          <w:rFonts w:ascii="Arial" w:hAnsi="Arial" w:cs="Arial"/>
          <w:color w:val="000000" w:themeColor="text1"/>
        </w:rPr>
        <w:t xml:space="preserve">Adedeji et al., 2022; Urrizola et al., </w:t>
      </w:r>
      <w:r w:rsidRPr="00B23864">
        <w:rPr>
          <w:rFonts w:ascii="Arial" w:hAnsi="Arial" w:cs="Arial"/>
          <w:color w:val="000000" w:themeColor="text1"/>
        </w:rPr>
        <w:t>20</w:t>
      </w:r>
      <w:r w:rsidRPr="008D34B9">
        <w:rPr>
          <w:rFonts w:ascii="Arial" w:hAnsi="Arial" w:cs="Arial"/>
          <w:color w:val="000000" w:themeColor="text1"/>
        </w:rPr>
        <w:t>2</w:t>
      </w:r>
      <w:r w:rsidRPr="00B23864">
        <w:rPr>
          <w:rFonts w:ascii="Arial" w:hAnsi="Arial" w:cs="Arial"/>
          <w:color w:val="000000" w:themeColor="text1"/>
        </w:rPr>
        <w:t xml:space="preserve">4). Even in contexts </w:t>
      </w:r>
      <w:r w:rsidRPr="00B23864">
        <w:rPr>
          <w:rFonts w:ascii="Arial" w:hAnsi="Arial" w:cs="Arial"/>
          <w:color w:val="000000" w:themeColor="text1"/>
        </w:rPr>
        <w:lastRenderedPageBreak/>
        <w:t>where caregivers were aware of advanced disease, many struggled to accept its terminal nature, illustrating that knowledge alone does not translate into preparedness.</w:t>
      </w:r>
    </w:p>
    <w:p w14:paraId="6EE0751D"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Similar to studies in Uganda and Kenya (Powell et al., 20</w:t>
      </w:r>
      <w:r w:rsidRPr="008D34B9">
        <w:rPr>
          <w:rFonts w:ascii="Arial" w:hAnsi="Arial" w:cs="Arial"/>
          <w:color w:val="000000" w:themeColor="text1"/>
        </w:rPr>
        <w:t>21</w:t>
      </w:r>
      <w:r w:rsidRPr="00B23864">
        <w:rPr>
          <w:rFonts w:ascii="Arial" w:hAnsi="Arial" w:cs="Arial"/>
          <w:color w:val="000000" w:themeColor="text1"/>
        </w:rPr>
        <w:t xml:space="preserve">; </w:t>
      </w:r>
      <w:r w:rsidRPr="008D34B9">
        <w:rPr>
          <w:rFonts w:ascii="Arial" w:hAnsi="Arial" w:cs="Arial"/>
          <w:color w:val="000000" w:themeColor="text1"/>
        </w:rPr>
        <w:t>Too et al., 2023; Adedeji et al., 2022</w:t>
      </w:r>
      <w:r w:rsidRPr="00B23864">
        <w:rPr>
          <w:rFonts w:ascii="Arial" w:hAnsi="Arial" w:cs="Arial"/>
          <w:color w:val="000000" w:themeColor="text1"/>
        </w:rPr>
        <w:t xml:space="preserve">), our findings reveal that open communication between healthcare providers and families remains a challenge. In Ghana, cultural taboos around speaking about death further inhibit frank discussions, with caregivers perceiving such conversations as invoking misfortune. This may explain why some caregivers persisted in seeking alternative treatment even when prognosis was poor. Collectively, the findings </w:t>
      </w:r>
      <w:r w:rsidRPr="008D34B9">
        <w:rPr>
          <w:rFonts w:ascii="Arial" w:hAnsi="Arial" w:cs="Arial"/>
          <w:color w:val="000000" w:themeColor="text1"/>
        </w:rPr>
        <w:t>emphasize</w:t>
      </w:r>
      <w:r w:rsidRPr="00B23864">
        <w:rPr>
          <w:rFonts w:ascii="Arial" w:hAnsi="Arial" w:cs="Arial"/>
          <w:color w:val="000000" w:themeColor="text1"/>
        </w:rPr>
        <w:t xml:space="preserve"> the need for sensitive but clear communication strategies to support awareness and planning among families.</w:t>
      </w:r>
    </w:p>
    <w:p w14:paraId="33F9BB51"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Emotional responses ranged from denial and fear to eventual acceptance, echoing the concept of anticipatory grief described in the literature (</w:t>
      </w:r>
      <w:proofErr w:type="spellStart"/>
      <w:r w:rsidRPr="008D34B9">
        <w:rPr>
          <w:rFonts w:ascii="Arial" w:hAnsi="Arial" w:cs="Arial"/>
          <w:color w:val="000000" w:themeColor="text1"/>
        </w:rPr>
        <w:t>Kustani</w:t>
      </w:r>
      <w:proofErr w:type="spellEnd"/>
      <w:r w:rsidRPr="00B23864">
        <w:rPr>
          <w:rFonts w:ascii="Arial" w:hAnsi="Arial" w:cs="Arial"/>
          <w:color w:val="000000" w:themeColor="text1"/>
        </w:rPr>
        <w:t xml:space="preserve"> et al., 202</w:t>
      </w:r>
      <w:r w:rsidRPr="008D34B9">
        <w:rPr>
          <w:rFonts w:ascii="Arial" w:hAnsi="Arial" w:cs="Arial"/>
          <w:color w:val="000000" w:themeColor="text1"/>
        </w:rPr>
        <w:t>4</w:t>
      </w:r>
      <w:r w:rsidRPr="00B23864">
        <w:rPr>
          <w:rFonts w:ascii="Arial" w:hAnsi="Arial" w:cs="Arial"/>
          <w:color w:val="000000" w:themeColor="text1"/>
        </w:rPr>
        <w:t>). Caregivers initially described panic and sadness, particularly when the patient was relatively young. For some, however, faith and spirituality played a central role in rationalizing the situation.</w:t>
      </w:r>
    </w:p>
    <w:p w14:paraId="0E93EDEB"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Faith-based responses were ambivalent</w:t>
      </w:r>
      <w:r w:rsidRPr="008D34B9">
        <w:rPr>
          <w:rFonts w:ascii="Arial" w:hAnsi="Arial" w:cs="Arial"/>
          <w:color w:val="000000" w:themeColor="text1"/>
        </w:rPr>
        <w:t>. O</w:t>
      </w:r>
      <w:r w:rsidRPr="00B23864">
        <w:rPr>
          <w:rFonts w:ascii="Arial" w:hAnsi="Arial" w:cs="Arial"/>
          <w:color w:val="000000" w:themeColor="text1"/>
        </w:rPr>
        <w:t>n one hand, spirituality provided comfort, resilience, and meaning, aligning with previous studies that show religion as a protective factor in caregiver adjustment (</w:t>
      </w:r>
      <w:r w:rsidRPr="008D34B9">
        <w:rPr>
          <w:rFonts w:ascii="Arial" w:hAnsi="Arial" w:cs="Arial"/>
          <w:color w:val="000000" w:themeColor="text1"/>
        </w:rPr>
        <w:t>Maree, Mishima, Ngubeni,</w:t>
      </w:r>
      <w:r w:rsidRPr="00B23864">
        <w:rPr>
          <w:rFonts w:ascii="Arial" w:hAnsi="Arial" w:cs="Arial"/>
          <w:color w:val="000000" w:themeColor="text1"/>
        </w:rPr>
        <w:t xml:space="preserve"> &amp; </w:t>
      </w:r>
      <w:r w:rsidRPr="008D34B9">
        <w:rPr>
          <w:rFonts w:ascii="Arial" w:hAnsi="Arial" w:cs="Arial"/>
          <w:color w:val="000000" w:themeColor="text1"/>
        </w:rPr>
        <w:t>Zondi</w:t>
      </w:r>
      <w:r w:rsidRPr="00B23864">
        <w:rPr>
          <w:rFonts w:ascii="Arial" w:hAnsi="Arial" w:cs="Arial"/>
          <w:color w:val="000000" w:themeColor="text1"/>
        </w:rPr>
        <w:t>, 201</w:t>
      </w:r>
      <w:r w:rsidRPr="008D34B9">
        <w:rPr>
          <w:rFonts w:ascii="Arial" w:hAnsi="Arial" w:cs="Arial"/>
          <w:color w:val="000000" w:themeColor="text1"/>
        </w:rPr>
        <w:t>8</w:t>
      </w:r>
      <w:r w:rsidRPr="00B23864">
        <w:rPr>
          <w:rFonts w:ascii="Arial" w:hAnsi="Arial" w:cs="Arial"/>
          <w:color w:val="000000" w:themeColor="text1"/>
        </w:rPr>
        <w:t>). On the other hand, reliance on hope and prayer sometimes delayed acknowledgment of impending death, resulting in unpreparedness. This dual role of spirituality mirrors findings from other African contexts, where strong religious coping can simultaneously support caregivers and perpetuate denial (</w:t>
      </w:r>
      <w:r w:rsidRPr="008D34B9">
        <w:rPr>
          <w:rFonts w:ascii="Arial" w:hAnsi="Arial" w:cs="Arial"/>
          <w:color w:val="000000" w:themeColor="text1"/>
        </w:rPr>
        <w:t>Hailu</w:t>
      </w:r>
      <w:r w:rsidRPr="00B23864">
        <w:rPr>
          <w:rFonts w:ascii="Arial" w:hAnsi="Arial" w:cs="Arial"/>
          <w:color w:val="000000" w:themeColor="text1"/>
        </w:rPr>
        <w:t xml:space="preserve"> et al., 20</w:t>
      </w:r>
      <w:r w:rsidRPr="008D34B9">
        <w:rPr>
          <w:rFonts w:ascii="Arial" w:hAnsi="Arial" w:cs="Arial"/>
          <w:color w:val="000000" w:themeColor="text1"/>
        </w:rPr>
        <w:t>25</w:t>
      </w:r>
      <w:r w:rsidRPr="00B23864">
        <w:rPr>
          <w:rFonts w:ascii="Arial" w:hAnsi="Arial" w:cs="Arial"/>
          <w:color w:val="000000" w:themeColor="text1"/>
        </w:rPr>
        <w:t>).</w:t>
      </w:r>
    </w:p>
    <w:p w14:paraId="5C1AFB87"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Acceptance often came when caregivers viewed death as a release from suffering. This echoes the “compassionate release” concept identified in bereavement studies (</w:t>
      </w:r>
      <w:r w:rsidRPr="008D34B9">
        <w:rPr>
          <w:rFonts w:ascii="Arial" w:hAnsi="Arial" w:cs="Arial"/>
          <w:color w:val="000000" w:themeColor="text1"/>
        </w:rPr>
        <w:t>O’Donnell</w:t>
      </w:r>
      <w:r w:rsidRPr="00B23864">
        <w:rPr>
          <w:rFonts w:ascii="Arial" w:hAnsi="Arial" w:cs="Arial"/>
          <w:color w:val="000000" w:themeColor="text1"/>
        </w:rPr>
        <w:t xml:space="preserve"> et al., 20</w:t>
      </w:r>
      <w:r w:rsidRPr="008D34B9">
        <w:rPr>
          <w:rFonts w:ascii="Arial" w:hAnsi="Arial" w:cs="Arial"/>
          <w:color w:val="000000" w:themeColor="text1"/>
        </w:rPr>
        <w:t>23</w:t>
      </w:r>
      <w:r w:rsidRPr="00B23864">
        <w:rPr>
          <w:rFonts w:ascii="Arial" w:hAnsi="Arial" w:cs="Arial"/>
          <w:color w:val="000000" w:themeColor="text1"/>
        </w:rPr>
        <w:t>). Importantly, acceptance was not linear but dynamic, with caregivers oscillating between denial, faith, and acceptance throughout the illness trajectory. Recognizing this fluctuation is critical for healthcare providers seeking to support families in real time rather than expecting a linear progression.</w:t>
      </w:r>
    </w:p>
    <w:p w14:paraId="12305BDD"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Behavioral preparedness reflected caregivers’ responses to awareness and emotions. For some, denial led to persistent pursuit of treatment and a lack of planning. For others, especially those who reached acceptance, practical and financial preparations were prioritized, including drafting wills, saving for funeral costs, and arranging care for dependents.</w:t>
      </w:r>
    </w:p>
    <w:p w14:paraId="6440DD63"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These findings resonate with the “dual process model” of coping with bereavement (</w:t>
      </w:r>
      <w:r w:rsidRPr="008D34B9">
        <w:rPr>
          <w:rFonts w:ascii="Arial" w:hAnsi="Arial" w:cs="Arial"/>
          <w:color w:val="000000" w:themeColor="text1"/>
        </w:rPr>
        <w:t>Fiore</w:t>
      </w:r>
      <w:r w:rsidRPr="00B23864">
        <w:rPr>
          <w:rFonts w:ascii="Arial" w:hAnsi="Arial" w:cs="Arial"/>
          <w:color w:val="000000" w:themeColor="text1"/>
        </w:rPr>
        <w:t>, 201</w:t>
      </w:r>
      <w:r w:rsidRPr="008D34B9">
        <w:rPr>
          <w:rFonts w:ascii="Arial" w:hAnsi="Arial" w:cs="Arial"/>
          <w:color w:val="000000" w:themeColor="text1"/>
        </w:rPr>
        <w:t>9</w:t>
      </w:r>
      <w:r w:rsidRPr="00B23864">
        <w:rPr>
          <w:rFonts w:ascii="Arial" w:hAnsi="Arial" w:cs="Arial"/>
          <w:color w:val="000000" w:themeColor="text1"/>
        </w:rPr>
        <w:t>), which emphasizes oscillation between loss-oriented and restoration-oriented behaviors. Caregivers in this study demonstrated restoration-oriented behaviors through practical planning, even as they grappled with loss-oriented emotions such as sadness and fear. The fulfilment of last wishes, such as repairing a house or arranging care for children, highlights the agency caregivers exercised despite limited systemic support.</w:t>
      </w:r>
    </w:p>
    <w:p w14:paraId="277A1055"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Notably, divergent cases emerged where caregivers, despite awareness, actively avoided preparations due to fear or cultural norms. These negative cases reinforce that preparedness is not a uniform outcome but a spectrum influenced by personal, relational, and contextual factors.</w:t>
      </w:r>
    </w:p>
    <w:p w14:paraId="10D15FE7"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The study highlights the interplay of cultural beliefs and health system gaps in shaping preparedness. Ghanaian cultural norms often discourage discussions about death, reinforcing avoidance among both families and healthcare providers. Faith-based worldviews further complicate preparedness, as families may rely on divine intervention even when prognosis is poor.</w:t>
      </w:r>
    </w:p>
    <w:p w14:paraId="4B58DE49" w14:textId="77777777" w:rsidR="00CE56E8" w:rsidRDefault="00CE56E8" w:rsidP="00CE56E8">
      <w:pPr>
        <w:spacing w:after="240"/>
        <w:jc w:val="both"/>
        <w:rPr>
          <w:rFonts w:ascii="Arial" w:hAnsi="Arial" w:cs="Arial"/>
          <w:color w:val="000000" w:themeColor="text1"/>
        </w:rPr>
      </w:pPr>
      <w:r w:rsidRPr="00B23864">
        <w:rPr>
          <w:rFonts w:ascii="Arial" w:hAnsi="Arial" w:cs="Arial"/>
          <w:color w:val="000000" w:themeColor="text1"/>
        </w:rPr>
        <w:t>At the health system level, the absence of structured caregiver interventions means that families often navigate this process unsupported. In contrast, high-income countries have introduced caregiver readiness programs that include psychoeducation, counseling, and practical support (</w:t>
      </w:r>
      <w:r w:rsidRPr="008D34B9">
        <w:rPr>
          <w:rFonts w:ascii="Arial" w:hAnsi="Arial" w:cs="Arial"/>
          <w:color w:val="000000" w:themeColor="text1"/>
        </w:rPr>
        <w:t>Fiore, 2019</w:t>
      </w:r>
      <w:r w:rsidRPr="00B23864">
        <w:rPr>
          <w:rFonts w:ascii="Arial" w:hAnsi="Arial" w:cs="Arial"/>
          <w:color w:val="000000" w:themeColor="text1"/>
        </w:rPr>
        <w:t>). Adapting such interventions to the Ghanaian context, while respecting cultural and spiritual values, could improve preparedness outcomes.</w:t>
      </w:r>
    </w:p>
    <w:p w14:paraId="588B84E5" w14:textId="758E6F4F" w:rsidR="00C9581A" w:rsidRPr="00B23864" w:rsidRDefault="00C9581A" w:rsidP="00CE56E8">
      <w:pPr>
        <w:spacing w:after="240"/>
        <w:jc w:val="both"/>
        <w:rPr>
          <w:rFonts w:ascii="Arial" w:hAnsi="Arial" w:cs="Arial"/>
          <w:color w:val="000000" w:themeColor="text1"/>
        </w:rPr>
      </w:pPr>
      <w:r w:rsidRPr="00C9581A">
        <w:rPr>
          <w:rFonts w:ascii="Arial" w:hAnsi="Arial" w:cs="Arial"/>
          <w:color w:val="000000" w:themeColor="text1"/>
          <w:highlight w:val="yellow"/>
        </w:rPr>
        <w:t>An interesting feature of this study is that most caregivers were female. This reflects broader societal expectations in Ghana and many sub-Saharan African contexts, where women are more likely to take on informal caregiving roles (</w:t>
      </w:r>
      <w:r>
        <w:rPr>
          <w:rFonts w:ascii="Arial" w:hAnsi="Arial" w:cs="Arial"/>
          <w:color w:val="000000" w:themeColor="text1"/>
          <w:highlight w:val="yellow"/>
        </w:rPr>
        <w:t>Hailu et al., 2025)</w:t>
      </w:r>
      <w:r w:rsidRPr="00C9581A">
        <w:rPr>
          <w:rFonts w:ascii="Arial" w:hAnsi="Arial" w:cs="Arial"/>
          <w:color w:val="000000" w:themeColor="text1"/>
          <w:highlight w:val="yellow"/>
        </w:rPr>
        <w:t xml:space="preserve">. </w:t>
      </w:r>
      <w:r w:rsidR="00586170" w:rsidRPr="00BB7D32">
        <w:rPr>
          <w:rFonts w:ascii="Arial" w:hAnsi="Arial" w:cs="Arial"/>
          <w:color w:val="000000" w:themeColor="text1"/>
          <w:highlight w:val="yellow"/>
        </w:rPr>
        <w:t>In Ghana specifically, gender roles are strongly shaped by traditional expectations that women perform personal and instrumental care tasks, while men assume breadwinner roles</w:t>
      </w:r>
      <w:r w:rsidR="00DA0356" w:rsidRPr="00BB7D32">
        <w:rPr>
          <w:rFonts w:ascii="Arial" w:hAnsi="Arial" w:cs="Arial"/>
          <w:color w:val="000000" w:themeColor="text1"/>
          <w:highlight w:val="yellow"/>
        </w:rPr>
        <w:t xml:space="preserve"> (</w:t>
      </w:r>
      <w:proofErr w:type="spellStart"/>
      <w:r w:rsidR="00DA0356" w:rsidRPr="00BB7D32">
        <w:rPr>
          <w:rFonts w:ascii="Arial" w:hAnsi="Arial" w:cs="Arial"/>
          <w:color w:val="000000" w:themeColor="text1"/>
          <w:highlight w:val="yellow"/>
        </w:rPr>
        <w:t>Ninnoni</w:t>
      </w:r>
      <w:proofErr w:type="spellEnd"/>
      <w:r w:rsidR="00DA0356" w:rsidRPr="00BB7D32">
        <w:rPr>
          <w:rFonts w:ascii="Arial" w:hAnsi="Arial" w:cs="Arial"/>
          <w:color w:val="000000" w:themeColor="text1"/>
          <w:highlight w:val="yellow"/>
        </w:rPr>
        <w:t xml:space="preserve"> &amp; Owoo, 2023). </w:t>
      </w:r>
      <w:r w:rsidRPr="00C9581A">
        <w:rPr>
          <w:rFonts w:ascii="Arial" w:hAnsi="Arial" w:cs="Arial"/>
          <w:color w:val="000000" w:themeColor="text1"/>
          <w:highlight w:val="yellow"/>
        </w:rPr>
        <w:t>While this gendered pattern is not unique to Ghana, it raises important questions about the burden placed on women and the extent to which male family members participate in end-of-life care. Future research could further explore the gender dynamics of caregiver preparedness, examining how roles, responsibilities, and experiences may differ between male and female caregivers</w:t>
      </w:r>
      <w:r w:rsidR="00C06497">
        <w:rPr>
          <w:rFonts w:ascii="Arial" w:hAnsi="Arial" w:cs="Arial"/>
          <w:color w:val="000000" w:themeColor="text1"/>
        </w:rPr>
        <w:t>.</w:t>
      </w:r>
    </w:p>
    <w:p w14:paraId="2B54674B" w14:textId="77777777" w:rsidR="00CE56E8" w:rsidRPr="00B23864" w:rsidRDefault="00CE56E8" w:rsidP="00CE56E8">
      <w:pPr>
        <w:spacing w:after="240"/>
        <w:jc w:val="both"/>
        <w:rPr>
          <w:rFonts w:ascii="Arial" w:hAnsi="Arial" w:cs="Arial"/>
          <w:b/>
          <w:bCs/>
          <w:color w:val="000000" w:themeColor="text1"/>
          <w:sz w:val="22"/>
          <w:szCs w:val="22"/>
        </w:rPr>
      </w:pPr>
      <w:r w:rsidRPr="002D7184">
        <w:rPr>
          <w:rFonts w:ascii="Arial" w:hAnsi="Arial" w:cs="Arial"/>
          <w:b/>
          <w:bCs/>
          <w:sz w:val="22"/>
        </w:rPr>
        <w:t xml:space="preserve">5. </w:t>
      </w:r>
      <w:r w:rsidRPr="00B23864">
        <w:rPr>
          <w:rFonts w:ascii="Arial" w:hAnsi="Arial" w:cs="Arial"/>
          <w:b/>
          <w:bCs/>
          <w:sz w:val="22"/>
        </w:rPr>
        <w:t>STRENGTHS AND LIMITATIONS</w:t>
      </w:r>
    </w:p>
    <w:p w14:paraId="600B7ABE"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lastRenderedPageBreak/>
        <w:t>This study provides rare qualitative insight into caregiver death preparedness in Ghana, offering culturally grounded perspectives from family caregivers. The use of purposive sampling, verbatim quotes, and member checking strengthened credibility.</w:t>
      </w:r>
    </w:p>
    <w:p w14:paraId="3370A457" w14:textId="57D099C4"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 xml:space="preserve">However, limitations must be acknowledged. The study was conducted in a single hospital, which may limit transferability. All participants identified as Christian, limiting insights into religious diversity. </w:t>
      </w:r>
      <w:r w:rsidR="00C06497" w:rsidRPr="00C06497">
        <w:rPr>
          <w:rFonts w:ascii="Arial" w:hAnsi="Arial" w:cs="Arial"/>
          <w:color w:val="000000" w:themeColor="text1"/>
          <w:highlight w:val="yellow"/>
        </w:rPr>
        <w:t>Most participants in this study were female, which may limit the transferability of findings to male caregivers.</w:t>
      </w:r>
      <w:r w:rsidR="00783BA9">
        <w:rPr>
          <w:rFonts w:ascii="Arial" w:hAnsi="Arial" w:cs="Arial"/>
          <w:color w:val="000000" w:themeColor="text1"/>
        </w:rPr>
        <w:t xml:space="preserve"> </w:t>
      </w:r>
      <w:r w:rsidRPr="00B23864">
        <w:rPr>
          <w:rFonts w:ascii="Arial" w:hAnsi="Arial" w:cs="Arial"/>
          <w:color w:val="000000" w:themeColor="text1"/>
        </w:rPr>
        <w:t xml:space="preserve">The sample size (12 caregivers) was appropriate for qualitative depth but cannot capture all possible experiences. Finally, the </w:t>
      </w:r>
      <w:r w:rsidRPr="008D34B9">
        <w:rPr>
          <w:rFonts w:ascii="Arial" w:hAnsi="Arial" w:cs="Arial"/>
          <w:color w:val="000000" w:themeColor="text1"/>
        </w:rPr>
        <w:t xml:space="preserve">principal investigator’s </w:t>
      </w:r>
      <w:r w:rsidRPr="00B23864">
        <w:rPr>
          <w:rFonts w:ascii="Arial" w:hAnsi="Arial" w:cs="Arial"/>
          <w:color w:val="000000" w:themeColor="text1"/>
        </w:rPr>
        <w:t>background as a palliative nurse may have influenced data collection, although reflexivity measures were applied to minimize bias.</w:t>
      </w:r>
    </w:p>
    <w:p w14:paraId="035D64DE" w14:textId="77777777" w:rsidR="00CE56E8" w:rsidRPr="00B23864" w:rsidRDefault="00CE56E8" w:rsidP="00CE56E8">
      <w:pPr>
        <w:spacing w:after="240"/>
        <w:jc w:val="both"/>
        <w:rPr>
          <w:rFonts w:ascii="Arial" w:hAnsi="Arial" w:cs="Arial"/>
          <w:b/>
          <w:bCs/>
          <w:color w:val="000000" w:themeColor="text1"/>
          <w:sz w:val="22"/>
          <w:szCs w:val="22"/>
        </w:rPr>
      </w:pPr>
      <w:r w:rsidRPr="002D7184">
        <w:rPr>
          <w:rFonts w:ascii="Arial" w:hAnsi="Arial" w:cs="Arial"/>
          <w:b/>
          <w:bCs/>
          <w:sz w:val="22"/>
        </w:rPr>
        <w:t xml:space="preserve">6. </w:t>
      </w:r>
      <w:r w:rsidRPr="00B23864">
        <w:rPr>
          <w:rFonts w:ascii="Arial" w:hAnsi="Arial" w:cs="Arial"/>
          <w:b/>
          <w:bCs/>
          <w:sz w:val="22"/>
        </w:rPr>
        <w:t>CONCLUSION</w:t>
      </w:r>
    </w:p>
    <w:p w14:paraId="30F34229"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 xml:space="preserve">Caregiver death preparedness in Ghana is a dynamic, multidimensional process shaped by awareness, emotional responses, and behavioral actions. Preparedness varied widely, with denial and reliance on faith often delaying planning, while acceptance facilitated practical readiness. The study contributes to limited evidence on this subject in Ghana and </w:t>
      </w:r>
      <w:r w:rsidRPr="008D34B9">
        <w:rPr>
          <w:rFonts w:ascii="Arial" w:hAnsi="Arial" w:cs="Arial"/>
          <w:color w:val="000000" w:themeColor="text1"/>
        </w:rPr>
        <w:t>highlights</w:t>
      </w:r>
      <w:r w:rsidRPr="00B23864">
        <w:rPr>
          <w:rFonts w:ascii="Arial" w:hAnsi="Arial" w:cs="Arial"/>
          <w:color w:val="000000" w:themeColor="text1"/>
        </w:rPr>
        <w:t xml:space="preserve"> the need for culturally sensitive interventions and supportive policies that empower caregivers in navigating the end-of-life journey.</w:t>
      </w:r>
    </w:p>
    <w:p w14:paraId="7F3DEA7E"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Clinically, palliative care providers should incorporate structured conversations about prognosis and preparedness, balancing sensitivity with clarity. Training healthcare workers in culturally sensitive communication will be essential.</w:t>
      </w:r>
    </w:p>
    <w:p w14:paraId="0559EE8B" w14:textId="77777777" w:rsidR="00CE56E8" w:rsidRDefault="00CE56E8" w:rsidP="00CE56E8">
      <w:pPr>
        <w:spacing w:after="240"/>
        <w:rPr>
          <w:rFonts w:ascii="Arial" w:hAnsi="Arial" w:cs="Arial"/>
        </w:rPr>
      </w:pPr>
      <w:r w:rsidRPr="00B23864">
        <w:rPr>
          <w:rFonts w:ascii="Arial" w:hAnsi="Arial" w:cs="Arial"/>
          <w:color w:val="000000" w:themeColor="text1"/>
        </w:rPr>
        <w:t>At the policy level, integrating caregiver preparedness interventions into palliative care services could reduce unpreparedness and its negative outcomes. Practical measures such as caregiver support groups, counseling services, and advance care planning could be piloted in Ghana. Importantly, interventions must be culturally adapted, recognizing the centrality of spirituality and family collectivism.</w:t>
      </w:r>
      <w:r w:rsidRPr="008D34B9">
        <w:rPr>
          <w:rFonts w:ascii="Arial" w:hAnsi="Arial" w:cs="Arial"/>
          <w:color w:val="000000" w:themeColor="text1"/>
        </w:rPr>
        <w:t xml:space="preserve"> </w:t>
      </w:r>
    </w:p>
    <w:p w14:paraId="66210D41" w14:textId="77777777" w:rsidR="00CE56E8" w:rsidRDefault="00CE56E8" w:rsidP="00CE56E8">
      <w:pPr>
        <w:spacing w:after="240"/>
        <w:rPr>
          <w:rFonts w:ascii="Arial" w:hAnsi="Arial" w:cs="Arial"/>
        </w:rPr>
      </w:pPr>
    </w:p>
    <w:p w14:paraId="72EB400F" w14:textId="77777777" w:rsidR="001C6286" w:rsidRPr="001C6286" w:rsidRDefault="001C6286" w:rsidP="001C6286">
      <w:pPr>
        <w:spacing w:after="240"/>
        <w:jc w:val="both"/>
        <w:rPr>
          <w:rFonts w:ascii="Arial" w:hAnsi="Arial" w:cs="Arial"/>
          <w:b/>
          <w:bCs/>
          <w:sz w:val="22"/>
          <w:szCs w:val="22"/>
        </w:rPr>
      </w:pPr>
      <w:r w:rsidRPr="001C6286">
        <w:rPr>
          <w:rFonts w:ascii="Arial" w:hAnsi="Arial" w:cs="Arial"/>
          <w:b/>
          <w:bCs/>
          <w:sz w:val="22"/>
          <w:szCs w:val="22"/>
        </w:rPr>
        <w:t>ETHICAL CONSIDERATIONS</w:t>
      </w:r>
    </w:p>
    <w:p w14:paraId="460577DC" w14:textId="77777777" w:rsidR="00CE56E8" w:rsidRDefault="001C6286" w:rsidP="001C6286">
      <w:pPr>
        <w:spacing w:after="240"/>
        <w:jc w:val="both"/>
        <w:rPr>
          <w:rFonts w:ascii="Arial" w:hAnsi="Arial" w:cs="Arial"/>
        </w:rPr>
      </w:pPr>
      <w:r w:rsidRPr="001C6286">
        <w:rPr>
          <w:rFonts w:ascii="Arial" w:hAnsi="Arial" w:cs="Arial"/>
        </w:rPr>
        <w:t>Ethical approval was obtained from the Ghana Health Service Ethics Review Committee (GHS-ERC: 029/04/21. Permission was also granted by the management of TQMH. Written informed consent was obtained from all participants. Confidentiality was ensured through anonymization of transcripts and use of participant codes. Given the sensitive nature of the topic, psychological support services were made available for participants who experienced emotional distress during interviews.</w:t>
      </w:r>
    </w:p>
    <w:p w14:paraId="41A1AA49" w14:textId="77777777" w:rsidR="00682C51" w:rsidRDefault="00682C51" w:rsidP="001C6286">
      <w:pPr>
        <w:spacing w:after="240"/>
        <w:jc w:val="both"/>
        <w:rPr>
          <w:rFonts w:ascii="Arial" w:hAnsi="Arial" w:cs="Arial"/>
        </w:rPr>
      </w:pPr>
    </w:p>
    <w:p w14:paraId="2CD9998D" w14:textId="77777777" w:rsidR="00682C51" w:rsidRPr="00682C51" w:rsidRDefault="00682C51" w:rsidP="00682C51">
      <w:pPr>
        <w:spacing w:after="240"/>
        <w:jc w:val="both"/>
        <w:rPr>
          <w:rFonts w:ascii="Arial" w:hAnsi="Arial" w:cs="Arial"/>
        </w:rPr>
      </w:pPr>
      <w:r w:rsidRPr="00682C51">
        <w:rPr>
          <w:rFonts w:ascii="Arial" w:hAnsi="Arial" w:cs="Arial"/>
        </w:rPr>
        <w:t>COMPETING INTERESTS DISCLAIMER:</w:t>
      </w:r>
    </w:p>
    <w:p w14:paraId="18E9D59B" w14:textId="097BEEF6" w:rsidR="00682C51" w:rsidRDefault="00682C51" w:rsidP="00682C51">
      <w:pPr>
        <w:spacing w:after="240"/>
        <w:jc w:val="both"/>
        <w:rPr>
          <w:rFonts w:ascii="Arial" w:hAnsi="Arial" w:cs="Arial"/>
        </w:rPr>
      </w:pPr>
      <w:r w:rsidRPr="00682C51">
        <w:rPr>
          <w:rFonts w:ascii="Arial" w:hAnsi="Arial" w:cs="Arial"/>
        </w:rPr>
        <w:t>Authors have declared that they have no known competing financial interests OR non-financial interests OR personal relationships that could have appeared to influence the work reported in this paper.</w:t>
      </w:r>
    </w:p>
    <w:p w14:paraId="728B147A" w14:textId="5C9D869A" w:rsidR="00E55361" w:rsidRDefault="00E55361" w:rsidP="00682C51">
      <w:pPr>
        <w:spacing w:after="240"/>
        <w:jc w:val="both"/>
        <w:rPr>
          <w:rFonts w:ascii="Arial" w:hAnsi="Arial" w:cs="Arial"/>
        </w:rPr>
      </w:pPr>
    </w:p>
    <w:p w14:paraId="4C8622B9" w14:textId="77777777" w:rsidR="00E55361" w:rsidRPr="00270720" w:rsidRDefault="00E55361" w:rsidP="00E55361">
      <w:pPr>
        <w:rPr>
          <w:highlight w:val="yellow"/>
        </w:rPr>
      </w:pPr>
      <w:r w:rsidRPr="00270720">
        <w:rPr>
          <w:highlight w:val="yellow"/>
        </w:rPr>
        <w:t>Disclaimer (Artificial intelligence)</w:t>
      </w:r>
    </w:p>
    <w:p w14:paraId="50EEEA33" w14:textId="77777777" w:rsidR="00E55361" w:rsidRPr="00270720" w:rsidRDefault="00E55361" w:rsidP="00E55361">
      <w:pPr>
        <w:rPr>
          <w:highlight w:val="yellow"/>
        </w:rPr>
      </w:pPr>
    </w:p>
    <w:p w14:paraId="07995535" w14:textId="77777777" w:rsidR="00E55361" w:rsidRPr="00270720" w:rsidRDefault="00E55361" w:rsidP="00E55361">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2241AC92" w14:textId="77777777" w:rsidR="00E55361" w:rsidRPr="008D34B9" w:rsidRDefault="00E55361" w:rsidP="00682C51">
      <w:pPr>
        <w:spacing w:after="240"/>
        <w:jc w:val="both"/>
        <w:rPr>
          <w:rFonts w:ascii="Arial" w:hAnsi="Arial" w:cs="Arial"/>
        </w:rPr>
      </w:pPr>
    </w:p>
    <w:p w14:paraId="5AD408DD" w14:textId="77777777" w:rsidR="00CE56E8" w:rsidRPr="00FC22F9" w:rsidRDefault="00CE56E8" w:rsidP="00CE56E8">
      <w:pPr>
        <w:spacing w:after="240"/>
        <w:jc w:val="both"/>
        <w:rPr>
          <w:rFonts w:ascii="Arial" w:hAnsi="Arial" w:cs="Arial"/>
          <w:b/>
          <w:bCs/>
          <w:sz w:val="22"/>
          <w:szCs w:val="22"/>
        </w:rPr>
      </w:pPr>
      <w:r w:rsidRPr="00FC22F9">
        <w:rPr>
          <w:rFonts w:ascii="Arial" w:hAnsi="Arial" w:cs="Arial"/>
          <w:b/>
          <w:bCs/>
          <w:sz w:val="22"/>
        </w:rPr>
        <w:t>REFERENCES</w:t>
      </w:r>
    </w:p>
    <w:p w14:paraId="1364ED3D" w14:textId="77777777" w:rsidR="00CE56E8" w:rsidRPr="00272FCF" w:rsidRDefault="00CE56E8" w:rsidP="00CE56E8">
      <w:pPr>
        <w:spacing w:after="240"/>
        <w:jc w:val="both"/>
        <w:rPr>
          <w:rFonts w:ascii="Arial" w:hAnsi="Arial" w:cs="Arial"/>
        </w:rPr>
      </w:pPr>
      <w:r w:rsidRPr="00272FCF">
        <w:rPr>
          <w:rFonts w:ascii="Arial" w:hAnsi="Arial" w:cs="Arial"/>
        </w:rPr>
        <w:t>Adedeji</w:t>
      </w:r>
      <w:r w:rsidRPr="008D34B9">
        <w:rPr>
          <w:rFonts w:ascii="Arial" w:hAnsi="Arial" w:cs="Arial"/>
        </w:rPr>
        <w:t>,</w:t>
      </w:r>
      <w:r w:rsidRPr="00272FCF">
        <w:rPr>
          <w:rFonts w:ascii="Arial" w:hAnsi="Arial" w:cs="Arial"/>
        </w:rPr>
        <w:t xml:space="preserve"> I</w:t>
      </w:r>
      <w:r w:rsidRPr="008D34B9">
        <w:rPr>
          <w:rFonts w:ascii="Arial" w:hAnsi="Arial" w:cs="Arial"/>
        </w:rPr>
        <w:t xml:space="preserve">. </w:t>
      </w:r>
      <w:r w:rsidRPr="00272FCF">
        <w:rPr>
          <w:rFonts w:ascii="Arial" w:hAnsi="Arial" w:cs="Arial"/>
        </w:rPr>
        <w:t>A</w:t>
      </w:r>
      <w:r w:rsidRPr="008D34B9">
        <w:rPr>
          <w:rFonts w:ascii="Arial" w:hAnsi="Arial" w:cs="Arial"/>
        </w:rPr>
        <w:t>.</w:t>
      </w:r>
      <w:r w:rsidRPr="00272FCF">
        <w:rPr>
          <w:rFonts w:ascii="Arial" w:hAnsi="Arial" w:cs="Arial"/>
        </w:rPr>
        <w:t>, Ogunniyi</w:t>
      </w:r>
      <w:r w:rsidRPr="008D34B9">
        <w:rPr>
          <w:rFonts w:ascii="Arial" w:hAnsi="Arial" w:cs="Arial"/>
        </w:rPr>
        <w:t>,</w:t>
      </w:r>
      <w:r w:rsidRPr="00272FCF">
        <w:rPr>
          <w:rFonts w:ascii="Arial" w:hAnsi="Arial" w:cs="Arial"/>
        </w:rPr>
        <w:t xml:space="preserve"> A</w:t>
      </w:r>
      <w:r w:rsidRPr="008D34B9">
        <w:rPr>
          <w:rFonts w:ascii="Arial" w:hAnsi="Arial" w:cs="Arial"/>
        </w:rPr>
        <w:t>.</w:t>
      </w:r>
      <w:r w:rsidRPr="00272FCF">
        <w:rPr>
          <w:rFonts w:ascii="Arial" w:hAnsi="Arial" w:cs="Arial"/>
        </w:rPr>
        <w:t>, Henderson</w:t>
      </w:r>
      <w:r w:rsidRPr="008D34B9">
        <w:rPr>
          <w:rFonts w:ascii="Arial" w:hAnsi="Arial" w:cs="Arial"/>
        </w:rPr>
        <w:t>,</w:t>
      </w:r>
      <w:r w:rsidRPr="00272FCF">
        <w:rPr>
          <w:rFonts w:ascii="Arial" w:hAnsi="Arial" w:cs="Arial"/>
        </w:rPr>
        <w:t xml:space="preserve"> D</w:t>
      </w:r>
      <w:r w:rsidRPr="008D34B9">
        <w:rPr>
          <w:rFonts w:ascii="Arial" w:hAnsi="Arial" w:cs="Arial"/>
        </w:rPr>
        <w:t xml:space="preserve">. </w:t>
      </w:r>
      <w:r w:rsidRPr="00272FCF">
        <w:rPr>
          <w:rFonts w:ascii="Arial" w:hAnsi="Arial" w:cs="Arial"/>
        </w:rPr>
        <w:t>C</w:t>
      </w:r>
      <w:r w:rsidRPr="008D34B9">
        <w:rPr>
          <w:rFonts w:ascii="Arial" w:hAnsi="Arial" w:cs="Arial"/>
        </w:rPr>
        <w:t>.</w:t>
      </w:r>
      <w:r w:rsidRPr="00272FCF">
        <w:rPr>
          <w:rFonts w:ascii="Arial" w:hAnsi="Arial" w:cs="Arial"/>
        </w:rPr>
        <w:t>, Sam-Agudu</w:t>
      </w:r>
      <w:r w:rsidRPr="008D34B9">
        <w:rPr>
          <w:rFonts w:ascii="Arial" w:hAnsi="Arial" w:cs="Arial"/>
        </w:rPr>
        <w:t>,</w:t>
      </w:r>
      <w:r w:rsidRPr="00272FCF">
        <w:rPr>
          <w:rFonts w:ascii="Arial" w:hAnsi="Arial" w:cs="Arial"/>
        </w:rPr>
        <w:t xml:space="preserve"> N</w:t>
      </w:r>
      <w:r w:rsidRPr="008D34B9">
        <w:rPr>
          <w:rFonts w:ascii="Arial" w:hAnsi="Arial" w:cs="Arial"/>
        </w:rPr>
        <w:t xml:space="preserve">. </w:t>
      </w:r>
      <w:r w:rsidRPr="00272FCF">
        <w:rPr>
          <w:rFonts w:ascii="Arial" w:hAnsi="Arial" w:cs="Arial"/>
        </w:rPr>
        <w:t>A.</w:t>
      </w:r>
      <w:r w:rsidRPr="008D34B9">
        <w:rPr>
          <w:rFonts w:ascii="Arial" w:hAnsi="Arial" w:cs="Arial"/>
        </w:rPr>
        <w:t xml:space="preserve"> (2022)</w:t>
      </w:r>
      <w:r w:rsidRPr="00272FCF">
        <w:rPr>
          <w:rFonts w:ascii="Arial" w:hAnsi="Arial" w:cs="Arial"/>
        </w:rPr>
        <w:t xml:space="preserve"> Experiences and practices of caregiving for older persons living with dementia in African countries: A qualitative scoping review. </w:t>
      </w:r>
      <w:r w:rsidRPr="00272FCF">
        <w:rPr>
          <w:rFonts w:ascii="Arial" w:hAnsi="Arial" w:cs="Arial"/>
          <w:i/>
          <w:iCs/>
        </w:rPr>
        <w:t>Dementia</w:t>
      </w:r>
      <w:r w:rsidRPr="00272FCF">
        <w:rPr>
          <w:rFonts w:ascii="Arial" w:hAnsi="Arial" w:cs="Arial"/>
        </w:rPr>
        <w:t>. 21(3):995-1011. doi:</w:t>
      </w:r>
      <w:hyperlink r:id="rId14" w:history="1">
        <w:r w:rsidRPr="00272FCF">
          <w:rPr>
            <w:rStyle w:val="Hyperlink"/>
            <w:rFonts w:ascii="Arial" w:hAnsi="Arial" w:cs="Arial"/>
          </w:rPr>
          <w:t>10.1177/14713012211065398</w:t>
        </w:r>
      </w:hyperlink>
    </w:p>
    <w:p w14:paraId="21EE06AB" w14:textId="77777777" w:rsidR="00CE56E8" w:rsidRPr="008D34B9" w:rsidRDefault="00CE56E8" w:rsidP="00CE56E8">
      <w:pPr>
        <w:spacing w:after="240"/>
        <w:jc w:val="both"/>
        <w:rPr>
          <w:rFonts w:ascii="Arial" w:hAnsi="Arial" w:cs="Arial"/>
        </w:rPr>
      </w:pPr>
      <w:proofErr w:type="spellStart"/>
      <w:r w:rsidRPr="008D34B9">
        <w:rPr>
          <w:rFonts w:ascii="Arial" w:hAnsi="Arial" w:cs="Arial"/>
        </w:rPr>
        <w:t>Adejoh</w:t>
      </w:r>
      <w:proofErr w:type="spellEnd"/>
      <w:r w:rsidRPr="008D34B9">
        <w:rPr>
          <w:rFonts w:ascii="Arial" w:hAnsi="Arial" w:cs="Arial"/>
        </w:rPr>
        <w:t xml:space="preserve">, S. O., Boele, F., Akeju, D., </w:t>
      </w:r>
      <w:proofErr w:type="spellStart"/>
      <w:r w:rsidRPr="008D34B9">
        <w:rPr>
          <w:rFonts w:ascii="Arial" w:hAnsi="Arial" w:cs="Arial"/>
        </w:rPr>
        <w:t>Dandadzi</w:t>
      </w:r>
      <w:proofErr w:type="spellEnd"/>
      <w:r w:rsidRPr="008D34B9">
        <w:rPr>
          <w:rFonts w:ascii="Arial" w:hAnsi="Arial" w:cs="Arial"/>
        </w:rPr>
        <w:t xml:space="preserve">, A., Nabirye, E., </w:t>
      </w:r>
      <w:proofErr w:type="spellStart"/>
      <w:r w:rsidRPr="008D34B9">
        <w:rPr>
          <w:rFonts w:ascii="Arial" w:hAnsi="Arial" w:cs="Arial"/>
        </w:rPr>
        <w:t>Namisango</w:t>
      </w:r>
      <w:proofErr w:type="spellEnd"/>
      <w:r w:rsidRPr="008D34B9">
        <w:rPr>
          <w:rFonts w:ascii="Arial" w:hAnsi="Arial" w:cs="Arial"/>
        </w:rPr>
        <w:t xml:space="preserve">, E., Namukwaya, E., </w:t>
      </w:r>
      <w:proofErr w:type="spellStart"/>
      <w:r w:rsidRPr="008D34B9">
        <w:rPr>
          <w:rFonts w:ascii="Arial" w:hAnsi="Arial" w:cs="Arial"/>
        </w:rPr>
        <w:t>Ebenso</w:t>
      </w:r>
      <w:proofErr w:type="spellEnd"/>
      <w:r w:rsidRPr="008D34B9">
        <w:rPr>
          <w:rFonts w:ascii="Arial" w:hAnsi="Arial" w:cs="Arial"/>
        </w:rPr>
        <w:t xml:space="preserve">, B., Nkhoma, K., &amp; Allsop, M. J. (2021). The role, impact, and support of informal caregivers in the delivery of palliative care for patients with </w:t>
      </w:r>
      <w:r w:rsidRPr="008D34B9">
        <w:rPr>
          <w:rFonts w:ascii="Arial" w:hAnsi="Arial" w:cs="Arial"/>
        </w:rPr>
        <w:lastRenderedPageBreak/>
        <w:t>advanced cancer: A multi-country qualitative study. </w:t>
      </w:r>
      <w:r w:rsidRPr="008D34B9">
        <w:rPr>
          <w:rFonts w:ascii="Arial" w:hAnsi="Arial" w:cs="Arial"/>
          <w:i/>
          <w:iCs/>
        </w:rPr>
        <w:t>Palliative medicine</w:t>
      </w:r>
      <w:r w:rsidRPr="008D34B9">
        <w:rPr>
          <w:rFonts w:ascii="Arial" w:hAnsi="Arial" w:cs="Arial"/>
        </w:rPr>
        <w:t>, </w:t>
      </w:r>
      <w:r w:rsidRPr="008D34B9">
        <w:rPr>
          <w:rFonts w:ascii="Arial" w:hAnsi="Arial" w:cs="Arial"/>
          <w:i/>
          <w:iCs/>
        </w:rPr>
        <w:t>35</w:t>
      </w:r>
      <w:r w:rsidRPr="008D34B9">
        <w:rPr>
          <w:rFonts w:ascii="Arial" w:hAnsi="Arial" w:cs="Arial"/>
        </w:rPr>
        <w:t xml:space="preserve">(3), 552–562. </w:t>
      </w:r>
      <w:hyperlink r:id="rId15" w:history="1">
        <w:r w:rsidRPr="008D34B9">
          <w:rPr>
            <w:rStyle w:val="Hyperlink"/>
            <w:rFonts w:ascii="Arial" w:hAnsi="Arial" w:cs="Arial"/>
          </w:rPr>
          <w:t>https://doi.org/10.1177/0269216320974925</w:t>
        </w:r>
      </w:hyperlink>
    </w:p>
    <w:p w14:paraId="438288DD" w14:textId="77777777" w:rsidR="00CE56E8" w:rsidRPr="008D34B9" w:rsidRDefault="00CE56E8" w:rsidP="00CE56E8">
      <w:pPr>
        <w:spacing w:after="240"/>
        <w:jc w:val="both"/>
        <w:rPr>
          <w:rFonts w:ascii="Arial" w:hAnsi="Arial" w:cs="Arial"/>
        </w:rPr>
      </w:pPr>
      <w:r w:rsidRPr="008D34B9">
        <w:rPr>
          <w:rFonts w:ascii="Arial" w:hAnsi="Arial" w:cs="Arial"/>
        </w:rPr>
        <w:t>Agyemang-Duah, W., Abdullah, A. &amp; Rosenberg, M.W. (2024). Caregiver burden and health-related quality of life: A study of informal caregivers of older adults in Ghana. </w:t>
      </w:r>
      <w:r w:rsidRPr="008D34B9">
        <w:rPr>
          <w:rFonts w:ascii="Arial" w:hAnsi="Arial" w:cs="Arial"/>
          <w:i/>
          <w:iCs/>
        </w:rPr>
        <w:t xml:space="preserve">J Health </w:t>
      </w:r>
      <w:proofErr w:type="spellStart"/>
      <w:r w:rsidRPr="008D34B9">
        <w:rPr>
          <w:rFonts w:ascii="Arial" w:hAnsi="Arial" w:cs="Arial"/>
          <w:i/>
          <w:iCs/>
        </w:rPr>
        <w:t>Popul</w:t>
      </w:r>
      <w:proofErr w:type="spellEnd"/>
      <w:r w:rsidRPr="008D34B9">
        <w:rPr>
          <w:rFonts w:ascii="Arial" w:hAnsi="Arial" w:cs="Arial"/>
          <w:i/>
          <w:iCs/>
        </w:rPr>
        <w:t xml:space="preserve"> </w:t>
      </w:r>
      <w:proofErr w:type="spellStart"/>
      <w:r w:rsidRPr="008D34B9">
        <w:rPr>
          <w:rFonts w:ascii="Arial" w:hAnsi="Arial" w:cs="Arial"/>
          <w:i/>
          <w:iCs/>
        </w:rPr>
        <w:t>Nutr</w:t>
      </w:r>
      <w:proofErr w:type="spellEnd"/>
      <w:r w:rsidRPr="008D34B9">
        <w:rPr>
          <w:rFonts w:ascii="Arial" w:hAnsi="Arial" w:cs="Arial"/>
        </w:rPr>
        <w:t> </w:t>
      </w:r>
      <w:r w:rsidRPr="008D34B9">
        <w:rPr>
          <w:rFonts w:ascii="Arial" w:hAnsi="Arial" w:cs="Arial"/>
          <w:b/>
          <w:bCs/>
        </w:rPr>
        <w:t>43</w:t>
      </w:r>
      <w:r w:rsidRPr="008D34B9">
        <w:rPr>
          <w:rFonts w:ascii="Arial" w:hAnsi="Arial" w:cs="Arial"/>
        </w:rPr>
        <w:t xml:space="preserve">, 31. </w:t>
      </w:r>
      <w:hyperlink r:id="rId16" w:history="1">
        <w:r w:rsidRPr="008D34B9">
          <w:rPr>
            <w:rStyle w:val="Hyperlink"/>
            <w:rFonts w:ascii="Arial" w:hAnsi="Arial" w:cs="Arial"/>
          </w:rPr>
          <w:t>https://doi.org/10.1186/s41043-024-00509-3</w:t>
        </w:r>
      </w:hyperlink>
    </w:p>
    <w:p w14:paraId="01C96FB7" w14:textId="77777777" w:rsidR="00CE56E8" w:rsidRPr="008D34B9" w:rsidRDefault="00CE56E8" w:rsidP="00CE56E8">
      <w:pPr>
        <w:spacing w:after="240"/>
        <w:jc w:val="both"/>
        <w:rPr>
          <w:rFonts w:ascii="Arial" w:hAnsi="Arial" w:cs="Arial"/>
        </w:rPr>
      </w:pPr>
      <w:r w:rsidRPr="008D34B9">
        <w:rPr>
          <w:rFonts w:ascii="Arial" w:hAnsi="Arial" w:cs="Arial"/>
        </w:rPr>
        <w:t>Fiore, J. (2019). </w:t>
      </w:r>
      <w:hyperlink r:id="rId17" w:history="1">
        <w:r w:rsidRPr="008D34B9">
          <w:rPr>
            <w:rStyle w:val="Hyperlink"/>
            <w:rFonts w:ascii="Arial" w:hAnsi="Arial" w:cs="Arial"/>
          </w:rPr>
          <w:t xml:space="preserve">"A Systematic Review of the Dual Process Model of Coping </w:t>
        </w:r>
        <w:proofErr w:type="gramStart"/>
        <w:r w:rsidRPr="008D34B9">
          <w:rPr>
            <w:rStyle w:val="Hyperlink"/>
            <w:rFonts w:ascii="Arial" w:hAnsi="Arial" w:cs="Arial"/>
          </w:rPr>
          <w:t>With</w:t>
        </w:r>
        <w:proofErr w:type="gramEnd"/>
        <w:r w:rsidRPr="008D34B9">
          <w:rPr>
            <w:rStyle w:val="Hyperlink"/>
            <w:rFonts w:ascii="Arial" w:hAnsi="Arial" w:cs="Arial"/>
          </w:rPr>
          <w:t xml:space="preserve"> Bereavement (1999–2016)"</w:t>
        </w:r>
      </w:hyperlink>
      <w:r w:rsidRPr="008D34B9">
        <w:rPr>
          <w:rFonts w:ascii="Arial" w:hAnsi="Arial" w:cs="Arial"/>
        </w:rPr>
        <w:t>. </w:t>
      </w:r>
      <w:r w:rsidRPr="008D34B9">
        <w:rPr>
          <w:rFonts w:ascii="Arial" w:hAnsi="Arial" w:cs="Arial"/>
          <w:i/>
          <w:iCs/>
        </w:rPr>
        <w:t>OMEGA - Journal of Death and Dying</w:t>
      </w:r>
      <w:r w:rsidRPr="008D34B9">
        <w:rPr>
          <w:rFonts w:ascii="Arial" w:hAnsi="Arial" w:cs="Arial"/>
        </w:rPr>
        <w:t>. </w:t>
      </w:r>
      <w:r w:rsidRPr="008D34B9">
        <w:rPr>
          <w:rFonts w:ascii="Arial" w:hAnsi="Arial" w:cs="Arial"/>
          <w:b/>
          <w:bCs/>
        </w:rPr>
        <w:t>84</w:t>
      </w:r>
      <w:r w:rsidRPr="008D34B9">
        <w:rPr>
          <w:rFonts w:ascii="Arial" w:hAnsi="Arial" w:cs="Arial"/>
        </w:rPr>
        <w:t> (2): 414–458. </w:t>
      </w:r>
      <w:hyperlink r:id="rId18" w:tooltip="Doi (identifier)" w:history="1">
        <w:r w:rsidRPr="008D34B9">
          <w:rPr>
            <w:rStyle w:val="Hyperlink"/>
            <w:rFonts w:ascii="Arial" w:hAnsi="Arial" w:cs="Arial"/>
          </w:rPr>
          <w:t>doi</w:t>
        </w:r>
      </w:hyperlink>
      <w:r w:rsidRPr="008D34B9">
        <w:rPr>
          <w:rFonts w:ascii="Arial" w:hAnsi="Arial" w:cs="Arial"/>
        </w:rPr>
        <w:t>:</w:t>
      </w:r>
      <w:hyperlink r:id="rId19" w:history="1">
        <w:r w:rsidRPr="008D34B9">
          <w:rPr>
            <w:rStyle w:val="Hyperlink"/>
            <w:rFonts w:ascii="Arial" w:hAnsi="Arial" w:cs="Arial"/>
          </w:rPr>
          <w:t>10.1177/0030222819893139</w:t>
        </w:r>
      </w:hyperlink>
    </w:p>
    <w:p w14:paraId="27CF6266" w14:textId="77777777" w:rsidR="00CE56E8" w:rsidRPr="008D34B9" w:rsidRDefault="00CE56E8" w:rsidP="00CE56E8">
      <w:pPr>
        <w:spacing w:after="240"/>
        <w:jc w:val="both"/>
        <w:rPr>
          <w:rFonts w:ascii="Arial" w:hAnsi="Arial" w:cs="Arial"/>
        </w:rPr>
      </w:pPr>
      <w:r w:rsidRPr="008D34B9">
        <w:rPr>
          <w:rFonts w:ascii="Arial" w:hAnsi="Arial" w:cs="Arial"/>
        </w:rPr>
        <w:t xml:space="preserve">Gambe, R. G., Clark, J., </w:t>
      </w:r>
      <w:proofErr w:type="spellStart"/>
      <w:r w:rsidRPr="008D34B9">
        <w:rPr>
          <w:rFonts w:ascii="Arial" w:hAnsi="Arial" w:cs="Arial"/>
        </w:rPr>
        <w:t>Meddick</w:t>
      </w:r>
      <w:proofErr w:type="spellEnd"/>
      <w:r w:rsidRPr="008D34B9">
        <w:rPr>
          <w:rFonts w:ascii="Arial" w:hAnsi="Arial" w:cs="Arial"/>
        </w:rPr>
        <w:t xml:space="preserve">-Dyson, S. A., </w:t>
      </w:r>
      <w:proofErr w:type="spellStart"/>
      <w:r w:rsidRPr="008D34B9">
        <w:rPr>
          <w:rFonts w:ascii="Arial" w:hAnsi="Arial" w:cs="Arial"/>
        </w:rPr>
        <w:t>Ukoha</w:t>
      </w:r>
      <w:proofErr w:type="spellEnd"/>
      <w:r w:rsidRPr="008D34B9">
        <w:rPr>
          <w:rFonts w:ascii="Arial" w:hAnsi="Arial" w:cs="Arial"/>
        </w:rPr>
        <w:t xml:space="preserve">-Kalu, B. O., </w:t>
      </w:r>
      <w:proofErr w:type="spellStart"/>
      <w:r w:rsidRPr="008D34B9">
        <w:rPr>
          <w:rFonts w:ascii="Arial" w:hAnsi="Arial" w:cs="Arial"/>
        </w:rPr>
        <w:t>Nyaaba</w:t>
      </w:r>
      <w:proofErr w:type="spellEnd"/>
      <w:r w:rsidRPr="008D34B9">
        <w:rPr>
          <w:rFonts w:ascii="Arial" w:hAnsi="Arial" w:cs="Arial"/>
        </w:rPr>
        <w:t>, G. N., &amp; Murtagh, F. E. M. (2023). The roles and experiences of informal carers providing care to people with advanced cancer in Africa-A systematic review and critical interpretive analysis. </w:t>
      </w:r>
      <w:r w:rsidRPr="008D34B9">
        <w:rPr>
          <w:rFonts w:ascii="Arial" w:hAnsi="Arial" w:cs="Arial"/>
          <w:i/>
          <w:iCs/>
        </w:rPr>
        <w:t>PLOS global public health</w:t>
      </w:r>
      <w:r w:rsidRPr="008D34B9">
        <w:rPr>
          <w:rFonts w:ascii="Arial" w:hAnsi="Arial" w:cs="Arial"/>
        </w:rPr>
        <w:t>, </w:t>
      </w:r>
      <w:r w:rsidRPr="008D34B9">
        <w:rPr>
          <w:rFonts w:ascii="Arial" w:hAnsi="Arial" w:cs="Arial"/>
          <w:i/>
          <w:iCs/>
        </w:rPr>
        <w:t>3</w:t>
      </w:r>
      <w:r w:rsidRPr="008D34B9">
        <w:rPr>
          <w:rFonts w:ascii="Arial" w:hAnsi="Arial" w:cs="Arial"/>
        </w:rPr>
        <w:t xml:space="preserve">(4), e0001785. </w:t>
      </w:r>
      <w:hyperlink r:id="rId20" w:history="1">
        <w:r w:rsidRPr="008D34B9">
          <w:rPr>
            <w:rStyle w:val="Hyperlink"/>
            <w:rFonts w:ascii="Arial" w:hAnsi="Arial" w:cs="Arial"/>
          </w:rPr>
          <w:t>https://doi.org/10.1371/journal.pgph.0001785</w:t>
        </w:r>
      </w:hyperlink>
    </w:p>
    <w:p w14:paraId="59FEAF42" w14:textId="77777777" w:rsidR="00CE56E8" w:rsidRPr="008D34B9" w:rsidRDefault="00CE56E8" w:rsidP="00CE56E8">
      <w:pPr>
        <w:spacing w:after="240"/>
        <w:jc w:val="both"/>
        <w:rPr>
          <w:rFonts w:ascii="Arial" w:hAnsi="Arial" w:cs="Arial"/>
        </w:rPr>
      </w:pPr>
      <w:r w:rsidRPr="008D34B9">
        <w:rPr>
          <w:rFonts w:ascii="Arial" w:hAnsi="Arial" w:cs="Arial"/>
        </w:rPr>
        <w:t>Hailu, G.N., Gebru, H.B., Hagos, G.G. </w:t>
      </w:r>
      <w:r w:rsidRPr="008D34B9">
        <w:rPr>
          <w:rFonts w:ascii="Arial" w:hAnsi="Arial" w:cs="Arial"/>
          <w:i/>
          <w:iCs/>
        </w:rPr>
        <w:t>et al. (2025)</w:t>
      </w:r>
      <w:r w:rsidRPr="008D34B9">
        <w:rPr>
          <w:rFonts w:ascii="Arial" w:hAnsi="Arial" w:cs="Arial"/>
        </w:rPr>
        <w:t> The role of family caregivers in supporting older adults in Africa: systematic review. </w:t>
      </w:r>
      <w:r w:rsidRPr="008D34B9">
        <w:rPr>
          <w:rFonts w:ascii="Arial" w:hAnsi="Arial" w:cs="Arial"/>
          <w:i/>
          <w:iCs/>
        </w:rPr>
        <w:t xml:space="preserve">BMC </w:t>
      </w:r>
      <w:proofErr w:type="spellStart"/>
      <w:r w:rsidRPr="008D34B9">
        <w:rPr>
          <w:rFonts w:ascii="Arial" w:hAnsi="Arial" w:cs="Arial"/>
          <w:i/>
          <w:iCs/>
        </w:rPr>
        <w:t>Geriatr</w:t>
      </w:r>
      <w:proofErr w:type="spellEnd"/>
      <w:r w:rsidRPr="008D34B9">
        <w:rPr>
          <w:rFonts w:ascii="Arial" w:hAnsi="Arial" w:cs="Arial"/>
        </w:rPr>
        <w:t> </w:t>
      </w:r>
      <w:r w:rsidRPr="008D34B9">
        <w:rPr>
          <w:rFonts w:ascii="Arial" w:hAnsi="Arial" w:cs="Arial"/>
          <w:b/>
          <w:bCs/>
        </w:rPr>
        <w:t>25</w:t>
      </w:r>
      <w:r w:rsidRPr="008D34B9">
        <w:rPr>
          <w:rFonts w:ascii="Arial" w:hAnsi="Arial" w:cs="Arial"/>
        </w:rPr>
        <w:t xml:space="preserve">, 491. </w:t>
      </w:r>
      <w:hyperlink r:id="rId21" w:history="1">
        <w:r w:rsidRPr="008D34B9">
          <w:rPr>
            <w:rStyle w:val="Hyperlink"/>
            <w:rFonts w:ascii="Arial" w:hAnsi="Arial" w:cs="Arial"/>
          </w:rPr>
          <w:t>https://doi.org/10.1186/s12877-025-06154-7</w:t>
        </w:r>
      </w:hyperlink>
    </w:p>
    <w:p w14:paraId="1A965D68" w14:textId="77777777" w:rsidR="00CE56E8" w:rsidRPr="008D34B9" w:rsidRDefault="00CE56E8" w:rsidP="00CE56E8">
      <w:pPr>
        <w:spacing w:after="240"/>
        <w:jc w:val="both"/>
        <w:rPr>
          <w:rFonts w:ascii="Arial" w:hAnsi="Arial" w:cs="Arial"/>
        </w:rPr>
      </w:pPr>
      <w:proofErr w:type="spellStart"/>
      <w:r w:rsidRPr="008D34B9">
        <w:rPr>
          <w:rFonts w:ascii="Arial" w:hAnsi="Arial" w:cs="Arial"/>
        </w:rPr>
        <w:t>Kisangala</w:t>
      </w:r>
      <w:proofErr w:type="spellEnd"/>
      <w:r w:rsidRPr="008D34B9">
        <w:rPr>
          <w:rFonts w:ascii="Arial" w:hAnsi="Arial" w:cs="Arial"/>
        </w:rPr>
        <w:t xml:space="preserve">, E., </w:t>
      </w:r>
      <w:proofErr w:type="spellStart"/>
      <w:r w:rsidRPr="008D34B9">
        <w:rPr>
          <w:rFonts w:ascii="Arial" w:hAnsi="Arial" w:cs="Arial"/>
        </w:rPr>
        <w:t>Mbivnjo</w:t>
      </w:r>
      <w:proofErr w:type="spellEnd"/>
      <w:r w:rsidRPr="008D34B9">
        <w:rPr>
          <w:rFonts w:ascii="Arial" w:hAnsi="Arial" w:cs="Arial"/>
        </w:rPr>
        <w:t xml:space="preserve">, E. L., Webb, E. J. D., Barrett, B., Rukundo, G. Z., </w:t>
      </w:r>
      <w:proofErr w:type="spellStart"/>
      <w:r w:rsidRPr="008D34B9">
        <w:rPr>
          <w:rFonts w:ascii="Arial" w:hAnsi="Arial" w:cs="Arial"/>
        </w:rPr>
        <w:t>Namisango</w:t>
      </w:r>
      <w:proofErr w:type="spellEnd"/>
      <w:r w:rsidRPr="008D34B9">
        <w:rPr>
          <w:rFonts w:ascii="Arial" w:hAnsi="Arial" w:cs="Arial"/>
        </w:rPr>
        <w:t>, E., &amp; Heslin, M. (2024). Health and economic impact of caregiving on informal caregivers of people with chronic diseases in sub-Saharan Africa: A systematic review. </w:t>
      </w:r>
      <w:r w:rsidRPr="008D34B9">
        <w:rPr>
          <w:rFonts w:ascii="Arial" w:hAnsi="Arial" w:cs="Arial"/>
          <w:i/>
          <w:iCs/>
        </w:rPr>
        <w:t>PLOS global public health</w:t>
      </w:r>
      <w:r w:rsidRPr="008D34B9">
        <w:rPr>
          <w:rFonts w:ascii="Arial" w:hAnsi="Arial" w:cs="Arial"/>
        </w:rPr>
        <w:t>, </w:t>
      </w:r>
      <w:r w:rsidRPr="008D34B9">
        <w:rPr>
          <w:rFonts w:ascii="Arial" w:hAnsi="Arial" w:cs="Arial"/>
          <w:i/>
          <w:iCs/>
        </w:rPr>
        <w:t>4</w:t>
      </w:r>
      <w:r w:rsidRPr="008D34B9">
        <w:rPr>
          <w:rFonts w:ascii="Arial" w:hAnsi="Arial" w:cs="Arial"/>
        </w:rPr>
        <w:t xml:space="preserve">(12), e0004061. </w:t>
      </w:r>
      <w:hyperlink r:id="rId22" w:history="1">
        <w:r w:rsidRPr="008D34B9">
          <w:rPr>
            <w:rStyle w:val="Hyperlink"/>
            <w:rFonts w:ascii="Arial" w:hAnsi="Arial" w:cs="Arial"/>
          </w:rPr>
          <w:t>https://doi.org/10.1371/journal.pgph.0004061</w:t>
        </w:r>
      </w:hyperlink>
    </w:p>
    <w:p w14:paraId="158A1DE0" w14:textId="77777777" w:rsidR="00CE56E8" w:rsidRPr="008D34B9" w:rsidRDefault="00CE56E8" w:rsidP="00CE56E8">
      <w:pPr>
        <w:spacing w:after="240"/>
        <w:jc w:val="both"/>
        <w:rPr>
          <w:rFonts w:ascii="Arial" w:hAnsi="Arial" w:cs="Arial"/>
        </w:rPr>
      </w:pPr>
      <w:proofErr w:type="spellStart"/>
      <w:r w:rsidRPr="008D34B9">
        <w:rPr>
          <w:rFonts w:ascii="Arial" w:hAnsi="Arial" w:cs="Arial"/>
        </w:rPr>
        <w:t>Kustanti</w:t>
      </w:r>
      <w:proofErr w:type="spellEnd"/>
      <w:r w:rsidRPr="008D34B9">
        <w:rPr>
          <w:rFonts w:ascii="Arial" w:hAnsi="Arial" w:cs="Arial"/>
        </w:rPr>
        <w:t>, C. Y., Chu, H., Kang, X. L., Pien, L. C., Chen, R., Tsai, H. T., &amp; Chou, K. R. (2024). Anticipatory grief prevalence among caregivers of persons with a life-threatening illness: A meta-analysis. </w:t>
      </w:r>
      <w:r w:rsidRPr="008D34B9">
        <w:rPr>
          <w:rFonts w:ascii="Arial" w:hAnsi="Arial" w:cs="Arial"/>
          <w:i/>
          <w:iCs/>
        </w:rPr>
        <w:t>BMJ supportive &amp; palliative care</w:t>
      </w:r>
      <w:r w:rsidRPr="008D34B9">
        <w:rPr>
          <w:rFonts w:ascii="Arial" w:hAnsi="Arial" w:cs="Arial"/>
        </w:rPr>
        <w:t>, </w:t>
      </w:r>
      <w:r w:rsidRPr="008D34B9">
        <w:rPr>
          <w:rFonts w:ascii="Arial" w:hAnsi="Arial" w:cs="Arial"/>
          <w:i/>
          <w:iCs/>
        </w:rPr>
        <w:t>13</w:t>
      </w:r>
      <w:r w:rsidRPr="008D34B9">
        <w:rPr>
          <w:rFonts w:ascii="Arial" w:hAnsi="Arial" w:cs="Arial"/>
        </w:rPr>
        <w:t xml:space="preserve">(e3), e1074–e1083. </w:t>
      </w:r>
      <w:hyperlink r:id="rId23" w:history="1">
        <w:r w:rsidRPr="008D34B9">
          <w:rPr>
            <w:rStyle w:val="Hyperlink"/>
            <w:rFonts w:ascii="Arial" w:hAnsi="Arial" w:cs="Arial"/>
          </w:rPr>
          <w:t>https://doi.org/10.1136/bmjspcare-2021-003338</w:t>
        </w:r>
      </w:hyperlink>
    </w:p>
    <w:p w14:paraId="6EA8CB9A" w14:textId="77777777" w:rsidR="00CE56E8" w:rsidRPr="000C639A" w:rsidRDefault="00CE56E8" w:rsidP="00CE56E8">
      <w:pPr>
        <w:spacing w:after="240"/>
        <w:jc w:val="both"/>
        <w:rPr>
          <w:rFonts w:ascii="Arial" w:hAnsi="Arial" w:cs="Arial"/>
        </w:rPr>
      </w:pPr>
      <w:r w:rsidRPr="000C639A">
        <w:rPr>
          <w:rFonts w:ascii="Arial" w:hAnsi="Arial" w:cs="Arial"/>
        </w:rPr>
        <w:t>Lung</w:t>
      </w:r>
      <w:r w:rsidRPr="008D34B9">
        <w:rPr>
          <w:rFonts w:ascii="Arial" w:hAnsi="Arial" w:cs="Arial"/>
        </w:rPr>
        <w:t>,</w:t>
      </w:r>
      <w:r w:rsidRPr="000C639A">
        <w:rPr>
          <w:rFonts w:ascii="Arial" w:hAnsi="Arial" w:cs="Arial"/>
        </w:rPr>
        <w:t xml:space="preserve"> E</w:t>
      </w:r>
      <w:r w:rsidRPr="008D34B9">
        <w:rPr>
          <w:rFonts w:ascii="Arial" w:hAnsi="Arial" w:cs="Arial"/>
        </w:rPr>
        <w:t xml:space="preserve">. </w:t>
      </w:r>
      <w:r w:rsidRPr="000C639A">
        <w:rPr>
          <w:rFonts w:ascii="Arial" w:hAnsi="Arial" w:cs="Arial"/>
        </w:rPr>
        <w:t>Y</w:t>
      </w:r>
      <w:r w:rsidRPr="008D34B9">
        <w:rPr>
          <w:rFonts w:ascii="Arial" w:hAnsi="Arial" w:cs="Arial"/>
        </w:rPr>
        <w:t xml:space="preserve">. </w:t>
      </w:r>
      <w:r w:rsidRPr="000C639A">
        <w:rPr>
          <w:rFonts w:ascii="Arial" w:hAnsi="Arial" w:cs="Arial"/>
        </w:rPr>
        <w:t>L</w:t>
      </w:r>
      <w:r w:rsidRPr="008D34B9">
        <w:rPr>
          <w:rFonts w:ascii="Arial" w:hAnsi="Arial" w:cs="Arial"/>
        </w:rPr>
        <w:t>.</w:t>
      </w:r>
      <w:r w:rsidRPr="000C639A">
        <w:rPr>
          <w:rFonts w:ascii="Arial" w:hAnsi="Arial" w:cs="Arial"/>
        </w:rPr>
        <w:t>, Wan</w:t>
      </w:r>
      <w:r w:rsidRPr="008D34B9">
        <w:rPr>
          <w:rFonts w:ascii="Arial" w:hAnsi="Arial" w:cs="Arial"/>
        </w:rPr>
        <w:t>,</w:t>
      </w:r>
      <w:r w:rsidRPr="000C639A">
        <w:rPr>
          <w:rFonts w:ascii="Arial" w:hAnsi="Arial" w:cs="Arial"/>
        </w:rPr>
        <w:t xml:space="preserve"> A</w:t>
      </w:r>
      <w:r w:rsidRPr="008D34B9">
        <w:rPr>
          <w:rFonts w:ascii="Arial" w:hAnsi="Arial" w:cs="Arial"/>
        </w:rPr>
        <w:t>.</w:t>
      </w:r>
      <w:r w:rsidRPr="000C639A">
        <w:rPr>
          <w:rFonts w:ascii="Arial" w:hAnsi="Arial" w:cs="Arial"/>
        </w:rPr>
        <w:t>, Ankita</w:t>
      </w:r>
      <w:r w:rsidRPr="008D34B9">
        <w:rPr>
          <w:rFonts w:ascii="Arial" w:hAnsi="Arial" w:cs="Arial"/>
        </w:rPr>
        <w:t>,</w:t>
      </w:r>
      <w:r w:rsidRPr="000C639A">
        <w:rPr>
          <w:rFonts w:ascii="Arial" w:hAnsi="Arial" w:cs="Arial"/>
        </w:rPr>
        <w:t xml:space="preserve"> A</w:t>
      </w:r>
      <w:r w:rsidRPr="008D34B9">
        <w:rPr>
          <w:rFonts w:ascii="Arial" w:hAnsi="Arial" w:cs="Arial"/>
        </w:rPr>
        <w:t>.</w:t>
      </w:r>
      <w:r w:rsidRPr="000C639A">
        <w:rPr>
          <w:rFonts w:ascii="Arial" w:hAnsi="Arial" w:cs="Arial"/>
        </w:rPr>
        <w:t>, et al.</w:t>
      </w:r>
      <w:r w:rsidRPr="008D34B9">
        <w:rPr>
          <w:rFonts w:ascii="Arial" w:hAnsi="Arial" w:cs="Arial"/>
        </w:rPr>
        <w:t xml:space="preserve"> (2021).</w:t>
      </w:r>
      <w:r w:rsidRPr="000C639A">
        <w:rPr>
          <w:rFonts w:ascii="Arial" w:hAnsi="Arial" w:cs="Arial"/>
        </w:rPr>
        <w:t xml:space="preserve"> Informal Caregiving for People </w:t>
      </w:r>
      <w:proofErr w:type="gramStart"/>
      <w:r w:rsidRPr="000C639A">
        <w:rPr>
          <w:rFonts w:ascii="Arial" w:hAnsi="Arial" w:cs="Arial"/>
        </w:rPr>
        <w:t>With</w:t>
      </w:r>
      <w:proofErr w:type="gramEnd"/>
      <w:r w:rsidRPr="000C639A">
        <w:rPr>
          <w:rFonts w:ascii="Arial" w:hAnsi="Arial" w:cs="Arial"/>
        </w:rPr>
        <w:t xml:space="preserve"> Life-Limiting Illness: Exploring the Knowledge Gaps. </w:t>
      </w:r>
      <w:r w:rsidRPr="000C639A">
        <w:rPr>
          <w:rFonts w:ascii="Arial" w:hAnsi="Arial" w:cs="Arial"/>
          <w:i/>
          <w:iCs/>
        </w:rPr>
        <w:t>Journal of Palliative Care</w:t>
      </w:r>
      <w:r w:rsidRPr="000C639A">
        <w:rPr>
          <w:rFonts w:ascii="Arial" w:hAnsi="Arial" w:cs="Arial"/>
        </w:rPr>
        <w:t>. 37(2):233-241. doi:</w:t>
      </w:r>
      <w:hyperlink r:id="rId24" w:history="1">
        <w:r w:rsidRPr="000C639A">
          <w:rPr>
            <w:rStyle w:val="Hyperlink"/>
            <w:rFonts w:ascii="Arial" w:hAnsi="Arial" w:cs="Arial"/>
          </w:rPr>
          <w:t>10.1177/0825859720984564</w:t>
        </w:r>
      </w:hyperlink>
    </w:p>
    <w:p w14:paraId="5C97B9BF" w14:textId="77777777" w:rsidR="00CE56E8" w:rsidRPr="008D34B9" w:rsidRDefault="00CE56E8" w:rsidP="00CE56E8">
      <w:pPr>
        <w:spacing w:after="240"/>
        <w:jc w:val="both"/>
        <w:rPr>
          <w:rFonts w:ascii="Arial" w:hAnsi="Arial" w:cs="Arial"/>
        </w:rPr>
      </w:pPr>
      <w:r w:rsidRPr="008D34B9">
        <w:rPr>
          <w:rFonts w:ascii="Arial" w:hAnsi="Arial" w:cs="Arial"/>
        </w:rPr>
        <w:t xml:space="preserve">Maree, J. E., </w:t>
      </w:r>
      <w:proofErr w:type="spellStart"/>
      <w:r w:rsidRPr="008D34B9">
        <w:rPr>
          <w:rFonts w:ascii="Arial" w:hAnsi="Arial" w:cs="Arial"/>
        </w:rPr>
        <w:t>Moshima</w:t>
      </w:r>
      <w:proofErr w:type="spellEnd"/>
      <w:r w:rsidRPr="008D34B9">
        <w:rPr>
          <w:rFonts w:ascii="Arial" w:hAnsi="Arial" w:cs="Arial"/>
        </w:rPr>
        <w:t>, D., Ngubeni, M., &amp; Zondi, L. (2018). On being a caregiver: The experiences of South African family caregivers caring for cancer patients. </w:t>
      </w:r>
      <w:r w:rsidRPr="008D34B9">
        <w:rPr>
          <w:rFonts w:ascii="Arial" w:hAnsi="Arial" w:cs="Arial"/>
          <w:i/>
          <w:iCs/>
        </w:rPr>
        <w:t>European journal of cancer care</w:t>
      </w:r>
      <w:r w:rsidRPr="008D34B9">
        <w:rPr>
          <w:rFonts w:ascii="Arial" w:hAnsi="Arial" w:cs="Arial"/>
        </w:rPr>
        <w:t>, </w:t>
      </w:r>
      <w:r w:rsidRPr="008D34B9">
        <w:rPr>
          <w:rFonts w:ascii="Arial" w:hAnsi="Arial" w:cs="Arial"/>
          <w:i/>
          <w:iCs/>
        </w:rPr>
        <w:t>27</w:t>
      </w:r>
      <w:r w:rsidRPr="008D34B9">
        <w:rPr>
          <w:rFonts w:ascii="Arial" w:hAnsi="Arial" w:cs="Arial"/>
        </w:rPr>
        <w:t xml:space="preserve">(2), e12801. </w:t>
      </w:r>
      <w:hyperlink r:id="rId25" w:history="1">
        <w:r w:rsidRPr="008D34B9">
          <w:rPr>
            <w:rStyle w:val="Hyperlink"/>
            <w:rFonts w:ascii="Arial" w:hAnsi="Arial" w:cs="Arial"/>
          </w:rPr>
          <w:t>https://doi.org/10.1111/ecc.12801</w:t>
        </w:r>
      </w:hyperlink>
    </w:p>
    <w:p w14:paraId="43BDB651" w14:textId="77777777" w:rsidR="00CE56E8" w:rsidRPr="008D34B9" w:rsidRDefault="00CE56E8" w:rsidP="00CE56E8">
      <w:pPr>
        <w:spacing w:after="240"/>
        <w:jc w:val="both"/>
        <w:rPr>
          <w:rFonts w:ascii="Arial" w:hAnsi="Arial" w:cs="Arial"/>
        </w:rPr>
      </w:pPr>
      <w:r w:rsidRPr="008D34B9">
        <w:rPr>
          <w:rFonts w:ascii="Arial" w:hAnsi="Arial" w:cs="Arial"/>
        </w:rPr>
        <w:t>McGuigan, K., Laurente, G., Christie, A. </w:t>
      </w:r>
      <w:r w:rsidRPr="008D34B9">
        <w:rPr>
          <w:rFonts w:ascii="Arial" w:hAnsi="Arial" w:cs="Arial"/>
          <w:i/>
          <w:iCs/>
        </w:rPr>
        <w:t>et al. (2024).</w:t>
      </w:r>
      <w:r w:rsidRPr="008D34B9">
        <w:rPr>
          <w:rFonts w:ascii="Arial" w:hAnsi="Arial" w:cs="Arial"/>
        </w:rPr>
        <w:t> Effectiveness of interventions for informal caregivers of people with end-stage chronic illness: a systematic review. </w:t>
      </w:r>
      <w:r w:rsidRPr="008D34B9">
        <w:rPr>
          <w:rFonts w:ascii="Arial" w:hAnsi="Arial" w:cs="Arial"/>
          <w:i/>
          <w:iCs/>
        </w:rPr>
        <w:t>Syst Rev</w:t>
      </w:r>
      <w:r w:rsidRPr="008D34B9">
        <w:rPr>
          <w:rFonts w:ascii="Arial" w:hAnsi="Arial" w:cs="Arial"/>
        </w:rPr>
        <w:t> </w:t>
      </w:r>
      <w:r w:rsidRPr="008D34B9">
        <w:rPr>
          <w:rFonts w:ascii="Arial" w:hAnsi="Arial" w:cs="Arial"/>
          <w:b/>
          <w:bCs/>
        </w:rPr>
        <w:t>13</w:t>
      </w:r>
      <w:r w:rsidRPr="008D34B9">
        <w:rPr>
          <w:rFonts w:ascii="Arial" w:hAnsi="Arial" w:cs="Arial"/>
        </w:rPr>
        <w:t xml:space="preserve">, 245. </w:t>
      </w:r>
      <w:hyperlink r:id="rId26" w:history="1">
        <w:r w:rsidRPr="008D34B9">
          <w:rPr>
            <w:rStyle w:val="Hyperlink"/>
            <w:rFonts w:ascii="Arial" w:hAnsi="Arial" w:cs="Arial"/>
          </w:rPr>
          <w:t>https://doi.org/10.1186/s13643-024-02641-x</w:t>
        </w:r>
      </w:hyperlink>
    </w:p>
    <w:p w14:paraId="5CA0FAB5" w14:textId="3A0214E8" w:rsidR="00BB7D32" w:rsidRDefault="00BB7D32" w:rsidP="00CE56E8">
      <w:pPr>
        <w:spacing w:after="240"/>
        <w:jc w:val="both"/>
        <w:rPr>
          <w:rFonts w:ascii="Arial" w:hAnsi="Arial" w:cs="Arial"/>
        </w:rPr>
      </w:pPr>
      <w:proofErr w:type="spellStart"/>
      <w:r w:rsidRPr="00BB7D32">
        <w:rPr>
          <w:rFonts w:ascii="Arial" w:hAnsi="Arial" w:cs="Arial"/>
          <w:highlight w:val="yellow"/>
        </w:rPr>
        <w:t>Ninnoni</w:t>
      </w:r>
      <w:proofErr w:type="spellEnd"/>
      <w:r w:rsidRPr="00BB7D32">
        <w:rPr>
          <w:rFonts w:ascii="Arial" w:hAnsi="Arial" w:cs="Arial"/>
          <w:highlight w:val="yellow"/>
        </w:rPr>
        <w:t xml:space="preserve">, J. P. K., &amp; Owoo, B. (2023). Psychosocial experiences of caring by family caregivers of patients living with prostate cancer in a teaching hospital: A descriptive phenomenological study. Nursing open, 10(9), 6268–6281. </w:t>
      </w:r>
      <w:hyperlink r:id="rId27" w:history="1">
        <w:r w:rsidRPr="00BB7D32">
          <w:rPr>
            <w:rStyle w:val="Hyperlink"/>
            <w:rFonts w:ascii="Arial" w:hAnsi="Arial" w:cs="Arial"/>
            <w:highlight w:val="yellow"/>
          </w:rPr>
          <w:t>https://doi.org/10.1002/nop2.1869</w:t>
        </w:r>
      </w:hyperlink>
      <w:r>
        <w:rPr>
          <w:rFonts w:ascii="Arial" w:hAnsi="Arial" w:cs="Arial"/>
        </w:rPr>
        <w:t xml:space="preserve"> </w:t>
      </w:r>
    </w:p>
    <w:p w14:paraId="60082AC6" w14:textId="5B7618C4" w:rsidR="00CE56E8" w:rsidRPr="008D34B9" w:rsidRDefault="00CE56E8" w:rsidP="00CE56E8">
      <w:pPr>
        <w:spacing w:after="240"/>
        <w:jc w:val="both"/>
        <w:rPr>
          <w:rFonts w:ascii="Arial" w:hAnsi="Arial" w:cs="Arial"/>
        </w:rPr>
      </w:pPr>
      <w:proofErr w:type="spellStart"/>
      <w:r w:rsidRPr="008D34B9">
        <w:rPr>
          <w:rFonts w:ascii="Arial" w:hAnsi="Arial" w:cs="Arial"/>
        </w:rPr>
        <w:t>Theißen</w:t>
      </w:r>
      <w:proofErr w:type="spellEnd"/>
      <w:r w:rsidRPr="008D34B9">
        <w:rPr>
          <w:rFonts w:ascii="Arial" w:hAnsi="Arial" w:cs="Arial"/>
        </w:rPr>
        <w:t>, T., Ullrich, A., Oechsle, K. </w:t>
      </w:r>
      <w:r w:rsidRPr="008D34B9">
        <w:rPr>
          <w:rFonts w:ascii="Arial" w:hAnsi="Arial" w:cs="Arial"/>
          <w:i/>
          <w:iCs/>
        </w:rPr>
        <w:t>et al. (2024).</w:t>
      </w:r>
      <w:r w:rsidRPr="008D34B9">
        <w:rPr>
          <w:rFonts w:ascii="Arial" w:hAnsi="Arial" w:cs="Arial"/>
        </w:rPr>
        <w:t> “Being an informal caregiver – strengthening resources”: mixed methods evaluation of a psychoeducational intervention supporting informal caregivers in palliative care. </w:t>
      </w:r>
      <w:r w:rsidRPr="008D34B9">
        <w:rPr>
          <w:rFonts w:ascii="Arial" w:hAnsi="Arial" w:cs="Arial"/>
          <w:i/>
          <w:iCs/>
        </w:rPr>
        <w:t xml:space="preserve">BMC </w:t>
      </w:r>
      <w:proofErr w:type="spellStart"/>
      <w:r w:rsidRPr="008D34B9">
        <w:rPr>
          <w:rFonts w:ascii="Arial" w:hAnsi="Arial" w:cs="Arial"/>
          <w:i/>
          <w:iCs/>
        </w:rPr>
        <w:t>Palliat</w:t>
      </w:r>
      <w:proofErr w:type="spellEnd"/>
      <w:r w:rsidRPr="008D34B9">
        <w:rPr>
          <w:rFonts w:ascii="Arial" w:hAnsi="Arial" w:cs="Arial"/>
          <w:i/>
          <w:iCs/>
        </w:rPr>
        <w:t xml:space="preserve"> Care</w:t>
      </w:r>
      <w:r w:rsidRPr="008D34B9">
        <w:rPr>
          <w:rFonts w:ascii="Arial" w:hAnsi="Arial" w:cs="Arial"/>
        </w:rPr>
        <w:t> </w:t>
      </w:r>
      <w:r w:rsidRPr="008D34B9">
        <w:rPr>
          <w:rFonts w:ascii="Arial" w:hAnsi="Arial" w:cs="Arial"/>
          <w:b/>
          <w:bCs/>
        </w:rPr>
        <w:t>23</w:t>
      </w:r>
      <w:r w:rsidRPr="008D34B9">
        <w:rPr>
          <w:rFonts w:ascii="Arial" w:hAnsi="Arial" w:cs="Arial"/>
        </w:rPr>
        <w:t xml:space="preserve">, 95. </w:t>
      </w:r>
      <w:hyperlink r:id="rId28" w:history="1">
        <w:r w:rsidRPr="008D34B9">
          <w:rPr>
            <w:rStyle w:val="Hyperlink"/>
            <w:rFonts w:ascii="Arial" w:hAnsi="Arial" w:cs="Arial"/>
          </w:rPr>
          <w:t>https://doi.org/10.1186/s12904-024-01428-0</w:t>
        </w:r>
      </w:hyperlink>
    </w:p>
    <w:p w14:paraId="345DD69B" w14:textId="77777777" w:rsidR="00CE56E8" w:rsidRPr="00960E9F" w:rsidRDefault="00CE56E8" w:rsidP="00CE56E8">
      <w:pPr>
        <w:spacing w:after="240"/>
        <w:jc w:val="both"/>
        <w:rPr>
          <w:rFonts w:ascii="Arial" w:hAnsi="Arial" w:cs="Arial"/>
        </w:rPr>
      </w:pPr>
      <w:r w:rsidRPr="00960E9F">
        <w:rPr>
          <w:rFonts w:ascii="Arial" w:hAnsi="Arial" w:cs="Arial"/>
        </w:rPr>
        <w:t xml:space="preserve">O’Donnell, M. G., &amp; Baker, Z. G. (2023). “I Have Accepted My Father’s Death; I was not Sad but Relieved.” Adaptive Grief Responses for Bereaved Dementia Family Caregivers: A Scoping Review. </w:t>
      </w:r>
      <w:r w:rsidRPr="00960E9F">
        <w:rPr>
          <w:rFonts w:ascii="Arial" w:hAnsi="Arial" w:cs="Arial"/>
          <w:i/>
          <w:iCs/>
        </w:rPr>
        <w:t>OMEGA - Journal of Death and Dying</w:t>
      </w:r>
      <w:r w:rsidRPr="00960E9F">
        <w:rPr>
          <w:rFonts w:ascii="Arial" w:hAnsi="Arial" w:cs="Arial"/>
        </w:rPr>
        <w:t xml:space="preserve">, </w:t>
      </w:r>
      <w:r w:rsidRPr="00960E9F">
        <w:rPr>
          <w:rFonts w:ascii="Arial" w:hAnsi="Arial" w:cs="Arial"/>
          <w:i/>
          <w:iCs/>
        </w:rPr>
        <w:t>0</w:t>
      </w:r>
      <w:r w:rsidRPr="00960E9F">
        <w:rPr>
          <w:rFonts w:ascii="Arial" w:hAnsi="Arial" w:cs="Arial"/>
        </w:rPr>
        <w:t xml:space="preserve">(0). </w:t>
      </w:r>
      <w:hyperlink r:id="rId29" w:history="1">
        <w:r w:rsidRPr="00960E9F">
          <w:rPr>
            <w:rStyle w:val="Hyperlink"/>
            <w:rFonts w:ascii="Arial" w:hAnsi="Arial" w:cs="Arial"/>
          </w:rPr>
          <w:t>https://doi.org/10.1177/00302228231217334</w:t>
        </w:r>
      </w:hyperlink>
    </w:p>
    <w:p w14:paraId="0EFEC8A3" w14:textId="77777777" w:rsidR="00CE56E8" w:rsidRPr="008D34B9" w:rsidRDefault="00CE56E8" w:rsidP="00CE56E8">
      <w:pPr>
        <w:spacing w:after="240"/>
        <w:jc w:val="both"/>
        <w:rPr>
          <w:rFonts w:ascii="Arial" w:hAnsi="Arial" w:cs="Arial"/>
        </w:rPr>
      </w:pPr>
      <w:r w:rsidRPr="008D34B9">
        <w:rPr>
          <w:rFonts w:ascii="Arial" w:hAnsi="Arial" w:cs="Arial"/>
        </w:rPr>
        <w:t xml:space="preserve">Ofosu-Poku, R. (2021). Perspective Chapter: Who Is Making Decisions? An Open Letter to Healthcare Professionals in the Developing World. In: Suggestions for Addressing Clinical and Non-Clinical Issues in Palliative Care. </w:t>
      </w:r>
      <w:proofErr w:type="spellStart"/>
      <w:r w:rsidRPr="008D34B9">
        <w:rPr>
          <w:rFonts w:ascii="Arial" w:hAnsi="Arial" w:cs="Arial"/>
        </w:rPr>
        <w:t>IntechOpen</w:t>
      </w:r>
      <w:proofErr w:type="spellEnd"/>
      <w:r w:rsidRPr="008D34B9">
        <w:rPr>
          <w:rFonts w:ascii="Arial" w:hAnsi="Arial" w:cs="Arial"/>
        </w:rPr>
        <w:t xml:space="preserve">. </w:t>
      </w:r>
      <w:hyperlink r:id="rId30" w:history="1">
        <w:r w:rsidRPr="008D34B9">
          <w:rPr>
            <w:rStyle w:val="Hyperlink"/>
            <w:rFonts w:ascii="Arial" w:hAnsi="Arial" w:cs="Arial"/>
          </w:rPr>
          <w:t>https://doi.org/10.5772/intechopen.95410</w:t>
        </w:r>
      </w:hyperlink>
    </w:p>
    <w:p w14:paraId="5F63BDE6" w14:textId="77777777" w:rsidR="00CE56E8" w:rsidRPr="008D34B9" w:rsidRDefault="00CE56E8" w:rsidP="00CE56E8">
      <w:pPr>
        <w:spacing w:after="240"/>
        <w:jc w:val="both"/>
        <w:rPr>
          <w:rFonts w:ascii="Arial" w:hAnsi="Arial" w:cs="Arial"/>
        </w:rPr>
      </w:pPr>
      <w:r w:rsidRPr="003D084F">
        <w:rPr>
          <w:rFonts w:ascii="Arial" w:hAnsi="Arial" w:cs="Arial"/>
        </w:rPr>
        <w:t>Powell</w:t>
      </w:r>
      <w:r w:rsidRPr="008D34B9">
        <w:rPr>
          <w:rFonts w:ascii="Arial" w:hAnsi="Arial" w:cs="Arial"/>
        </w:rPr>
        <w:t>,</w:t>
      </w:r>
      <w:r w:rsidRPr="003D084F">
        <w:rPr>
          <w:rFonts w:ascii="Arial" w:hAnsi="Arial" w:cs="Arial"/>
        </w:rPr>
        <w:t> R</w:t>
      </w:r>
      <w:r w:rsidRPr="008D34B9">
        <w:rPr>
          <w:rFonts w:ascii="Arial" w:hAnsi="Arial" w:cs="Arial"/>
        </w:rPr>
        <w:t xml:space="preserve">. </w:t>
      </w:r>
      <w:r w:rsidRPr="003D084F">
        <w:rPr>
          <w:rFonts w:ascii="Arial" w:hAnsi="Arial" w:cs="Arial"/>
        </w:rPr>
        <w:t>A</w:t>
      </w:r>
      <w:r w:rsidRPr="008D34B9">
        <w:rPr>
          <w:rFonts w:ascii="Arial" w:hAnsi="Arial" w:cs="Arial"/>
        </w:rPr>
        <w:t>.</w:t>
      </w:r>
      <w:r w:rsidRPr="003D084F">
        <w:rPr>
          <w:rFonts w:ascii="Arial" w:hAnsi="Arial" w:cs="Arial"/>
        </w:rPr>
        <w:t>, Rodriquez-Campos</w:t>
      </w:r>
      <w:r w:rsidRPr="008D34B9">
        <w:rPr>
          <w:rFonts w:ascii="Arial" w:hAnsi="Arial" w:cs="Arial"/>
        </w:rPr>
        <w:t>,</w:t>
      </w:r>
      <w:r w:rsidRPr="003D084F">
        <w:rPr>
          <w:rFonts w:ascii="Arial" w:hAnsi="Arial" w:cs="Arial"/>
        </w:rPr>
        <w:t> L</w:t>
      </w:r>
      <w:r w:rsidRPr="008D34B9">
        <w:rPr>
          <w:rFonts w:ascii="Arial" w:hAnsi="Arial" w:cs="Arial"/>
        </w:rPr>
        <w:t>.</w:t>
      </w:r>
      <w:r w:rsidRPr="003D084F">
        <w:rPr>
          <w:rFonts w:ascii="Arial" w:hAnsi="Arial" w:cs="Arial"/>
        </w:rPr>
        <w:t>, Opare-Lokko</w:t>
      </w:r>
      <w:r w:rsidRPr="008D34B9">
        <w:rPr>
          <w:rFonts w:ascii="Arial" w:hAnsi="Arial" w:cs="Arial"/>
        </w:rPr>
        <w:t>,</w:t>
      </w:r>
      <w:r w:rsidRPr="003D084F">
        <w:rPr>
          <w:rFonts w:ascii="Arial" w:hAnsi="Arial" w:cs="Arial"/>
        </w:rPr>
        <w:t> E</w:t>
      </w:r>
      <w:r w:rsidRPr="008D34B9">
        <w:rPr>
          <w:rFonts w:ascii="Arial" w:hAnsi="Arial" w:cs="Arial"/>
        </w:rPr>
        <w:t xml:space="preserve">. </w:t>
      </w:r>
      <w:r w:rsidRPr="003D084F">
        <w:rPr>
          <w:rFonts w:ascii="Arial" w:hAnsi="Arial" w:cs="Arial"/>
        </w:rPr>
        <w:t>B</w:t>
      </w:r>
      <w:r w:rsidRPr="008D34B9">
        <w:rPr>
          <w:rFonts w:ascii="Arial" w:hAnsi="Arial" w:cs="Arial"/>
        </w:rPr>
        <w:t>.</w:t>
      </w:r>
      <w:r w:rsidRPr="003D084F">
        <w:rPr>
          <w:rFonts w:ascii="Arial" w:hAnsi="Arial" w:cs="Arial"/>
          <w:i/>
          <w:iCs/>
        </w:rPr>
        <w:t>, et al</w:t>
      </w:r>
      <w:r w:rsidRPr="008D34B9">
        <w:rPr>
          <w:rFonts w:ascii="Arial" w:hAnsi="Arial" w:cs="Arial"/>
        </w:rPr>
        <w:t xml:space="preserve">. (2021). </w:t>
      </w:r>
      <w:r w:rsidRPr="003D084F">
        <w:rPr>
          <w:rFonts w:ascii="Arial" w:hAnsi="Arial" w:cs="Arial"/>
        </w:rPr>
        <w:t>‘Flattening’ one curve: what about ‘raising the line’ on the other? COVID-19 and palliative care in low-income and middle-income countries</w:t>
      </w:r>
      <w:r w:rsidRPr="008D34B9">
        <w:rPr>
          <w:rFonts w:ascii="Arial" w:hAnsi="Arial" w:cs="Arial"/>
        </w:rPr>
        <w:t xml:space="preserve">. </w:t>
      </w:r>
      <w:r w:rsidRPr="003D084F">
        <w:rPr>
          <w:rFonts w:ascii="Arial" w:hAnsi="Arial" w:cs="Arial"/>
          <w:i/>
          <w:iCs/>
        </w:rPr>
        <w:t xml:space="preserve">BMJ Supportive &amp; Palliative </w:t>
      </w:r>
      <w:r w:rsidRPr="003D084F">
        <w:rPr>
          <w:rFonts w:ascii="Arial" w:hAnsi="Arial" w:cs="Arial"/>
          <w:b/>
          <w:bCs/>
        </w:rPr>
        <w:t>11:</w:t>
      </w:r>
      <w:r w:rsidRPr="003D084F">
        <w:rPr>
          <w:rFonts w:ascii="Arial" w:hAnsi="Arial" w:cs="Arial"/>
        </w:rPr>
        <w:t>119-121</w:t>
      </w:r>
      <w:r w:rsidRPr="008D34B9">
        <w:rPr>
          <w:rFonts w:ascii="Arial" w:hAnsi="Arial" w:cs="Arial"/>
        </w:rPr>
        <w:t xml:space="preserve">. </w:t>
      </w:r>
      <w:hyperlink r:id="rId31" w:history="1">
        <w:r w:rsidRPr="008D34B9">
          <w:rPr>
            <w:rStyle w:val="Hyperlink"/>
            <w:rFonts w:ascii="Arial" w:hAnsi="Arial" w:cs="Arial"/>
          </w:rPr>
          <w:t>https://doi.org/10.1136/bmjspcare-2020-002675</w:t>
        </w:r>
      </w:hyperlink>
    </w:p>
    <w:p w14:paraId="10791299" w14:textId="77777777" w:rsidR="00CE56E8" w:rsidRPr="008D34B9" w:rsidRDefault="00CE56E8" w:rsidP="00CE56E8">
      <w:pPr>
        <w:spacing w:after="240"/>
        <w:jc w:val="both"/>
        <w:rPr>
          <w:rFonts w:ascii="Arial" w:hAnsi="Arial" w:cs="Arial"/>
        </w:rPr>
      </w:pPr>
      <w:r w:rsidRPr="008D34B9">
        <w:rPr>
          <w:rFonts w:ascii="Arial" w:hAnsi="Arial" w:cs="Arial"/>
        </w:rPr>
        <w:t xml:space="preserve">Too, W., Lelei, F., Adam, M., &amp; </w:t>
      </w:r>
      <w:proofErr w:type="spellStart"/>
      <w:r w:rsidRPr="008D34B9">
        <w:rPr>
          <w:rFonts w:ascii="Arial" w:hAnsi="Arial" w:cs="Arial"/>
        </w:rPr>
        <w:t>Halestrap</w:t>
      </w:r>
      <w:proofErr w:type="spellEnd"/>
      <w:r w:rsidRPr="008D34B9">
        <w:rPr>
          <w:rFonts w:ascii="Arial" w:hAnsi="Arial" w:cs="Arial"/>
        </w:rPr>
        <w:t>, P. (2023). Preparedness, resilience and unmet needs of informal caregivers of advanced cancer patients in a Regional Mission Hospital in Kenya: Qualitative Study. </w:t>
      </w:r>
      <w:r w:rsidRPr="008D34B9">
        <w:rPr>
          <w:rFonts w:ascii="Arial" w:hAnsi="Arial" w:cs="Arial"/>
          <w:i/>
          <w:iCs/>
        </w:rPr>
        <w:t>BMC palliative care</w:t>
      </w:r>
      <w:r w:rsidRPr="008D34B9">
        <w:rPr>
          <w:rFonts w:ascii="Arial" w:hAnsi="Arial" w:cs="Arial"/>
        </w:rPr>
        <w:t>, </w:t>
      </w:r>
      <w:r w:rsidRPr="008D34B9">
        <w:rPr>
          <w:rFonts w:ascii="Arial" w:hAnsi="Arial" w:cs="Arial"/>
          <w:i/>
          <w:iCs/>
        </w:rPr>
        <w:t>22</w:t>
      </w:r>
      <w:r w:rsidRPr="008D34B9">
        <w:rPr>
          <w:rFonts w:ascii="Arial" w:hAnsi="Arial" w:cs="Arial"/>
        </w:rPr>
        <w:t xml:space="preserve">(1), 16. </w:t>
      </w:r>
      <w:hyperlink r:id="rId32" w:history="1">
        <w:r w:rsidRPr="008D34B9">
          <w:rPr>
            <w:rStyle w:val="Hyperlink"/>
            <w:rFonts w:ascii="Arial" w:hAnsi="Arial" w:cs="Arial"/>
          </w:rPr>
          <w:t>https://doi.org/10.1186/s12904-022-01048-6</w:t>
        </w:r>
      </w:hyperlink>
    </w:p>
    <w:p w14:paraId="0FCB3C98" w14:textId="77777777" w:rsidR="00CE56E8" w:rsidRPr="008D34B9" w:rsidRDefault="00CE56E8" w:rsidP="00CE56E8">
      <w:pPr>
        <w:spacing w:after="240"/>
        <w:jc w:val="both"/>
        <w:rPr>
          <w:rFonts w:ascii="Arial" w:hAnsi="Arial" w:cs="Arial"/>
        </w:rPr>
      </w:pPr>
      <w:r w:rsidRPr="008D34B9">
        <w:rPr>
          <w:rFonts w:ascii="Arial" w:hAnsi="Arial" w:cs="Arial"/>
        </w:rPr>
        <w:lastRenderedPageBreak/>
        <w:t>Urrizola, A. </w:t>
      </w:r>
      <w:r w:rsidRPr="008D34B9">
        <w:rPr>
          <w:rFonts w:ascii="Arial" w:hAnsi="Arial" w:cs="Arial"/>
          <w:i/>
          <w:iCs/>
        </w:rPr>
        <w:t>et al.</w:t>
      </w:r>
      <w:r w:rsidRPr="008D34B9">
        <w:rPr>
          <w:rFonts w:ascii="Arial" w:hAnsi="Arial" w:cs="Arial"/>
        </w:rPr>
        <w:t xml:space="preserve"> (2025). The Role of Health Literacy and Care Pathways in the Provision of Palliative Care and Patient-Centred Care: A Discussion Paper. In: Hole, T., </w:t>
      </w:r>
      <w:proofErr w:type="spellStart"/>
      <w:r w:rsidRPr="008D34B9">
        <w:rPr>
          <w:rFonts w:ascii="Arial" w:hAnsi="Arial" w:cs="Arial"/>
        </w:rPr>
        <w:t>Kvangarsnes</w:t>
      </w:r>
      <w:proofErr w:type="spellEnd"/>
      <w:r w:rsidRPr="008D34B9">
        <w:rPr>
          <w:rFonts w:ascii="Arial" w:hAnsi="Arial" w:cs="Arial"/>
        </w:rPr>
        <w:t xml:space="preserve">, M., </w:t>
      </w:r>
      <w:proofErr w:type="spellStart"/>
      <w:r w:rsidRPr="008D34B9">
        <w:rPr>
          <w:rFonts w:ascii="Arial" w:hAnsi="Arial" w:cs="Arial"/>
        </w:rPr>
        <w:t>Landstad</w:t>
      </w:r>
      <w:proofErr w:type="spellEnd"/>
      <w:r w:rsidRPr="008D34B9">
        <w:rPr>
          <w:rFonts w:ascii="Arial" w:hAnsi="Arial" w:cs="Arial"/>
        </w:rPr>
        <w:t xml:space="preserve">, B.J., </w:t>
      </w:r>
      <w:proofErr w:type="spellStart"/>
      <w:r w:rsidRPr="008D34B9">
        <w:rPr>
          <w:rFonts w:ascii="Arial" w:hAnsi="Arial" w:cs="Arial"/>
        </w:rPr>
        <w:t>Bårdsgjerde</w:t>
      </w:r>
      <w:proofErr w:type="spellEnd"/>
      <w:r w:rsidRPr="008D34B9">
        <w:rPr>
          <w:rFonts w:ascii="Arial" w:hAnsi="Arial" w:cs="Arial"/>
        </w:rPr>
        <w:t>, E.K., Tippett-</w:t>
      </w:r>
      <w:proofErr w:type="spellStart"/>
      <w:r w:rsidRPr="008D34B9">
        <w:rPr>
          <w:rFonts w:ascii="Arial" w:hAnsi="Arial" w:cs="Arial"/>
        </w:rPr>
        <w:t>Spirtou</w:t>
      </w:r>
      <w:proofErr w:type="spellEnd"/>
      <w:r w:rsidRPr="008D34B9">
        <w:rPr>
          <w:rFonts w:ascii="Arial" w:hAnsi="Arial" w:cs="Arial"/>
        </w:rPr>
        <w:t xml:space="preserve">, S.E. (eds) Towards Sustainable Good Health and Well-being. Springer, Cham. </w:t>
      </w:r>
      <w:hyperlink r:id="rId33" w:history="1">
        <w:r w:rsidRPr="008D34B9">
          <w:rPr>
            <w:rStyle w:val="Hyperlink"/>
            <w:rFonts w:ascii="Arial" w:hAnsi="Arial" w:cs="Arial"/>
          </w:rPr>
          <w:t>https://doi.org/10.1007/978-3-031-61810-9_11</w:t>
        </w:r>
      </w:hyperlink>
    </w:p>
    <w:p w14:paraId="02E051DD" w14:textId="77777777" w:rsidR="00CE56E8" w:rsidRPr="008D34B9" w:rsidRDefault="00CE56E8" w:rsidP="00CE56E8">
      <w:pPr>
        <w:spacing w:after="240"/>
        <w:jc w:val="both"/>
        <w:rPr>
          <w:rFonts w:ascii="Arial" w:hAnsi="Arial" w:cs="Arial"/>
        </w:rPr>
      </w:pPr>
      <w:r w:rsidRPr="008D34B9">
        <w:rPr>
          <w:rFonts w:ascii="Arial" w:hAnsi="Arial" w:cs="Arial"/>
        </w:rPr>
        <w:t>Wen, F. H., Chou, W. C., Chen, J. S., Chang, W. C., Hsu, M. H., &amp; Tang, S. T. (2022). Sufficient Death Preparedness Correlates to Better Mental Health, Quality of Life, and EOL Care. </w:t>
      </w:r>
      <w:r w:rsidRPr="008D34B9">
        <w:rPr>
          <w:rFonts w:ascii="Arial" w:hAnsi="Arial" w:cs="Arial"/>
          <w:i/>
          <w:iCs/>
        </w:rPr>
        <w:t>Journal of pain and symptom management</w:t>
      </w:r>
      <w:r w:rsidRPr="008D34B9">
        <w:rPr>
          <w:rFonts w:ascii="Arial" w:hAnsi="Arial" w:cs="Arial"/>
        </w:rPr>
        <w:t>, </w:t>
      </w:r>
      <w:r w:rsidRPr="008D34B9">
        <w:rPr>
          <w:rFonts w:ascii="Arial" w:hAnsi="Arial" w:cs="Arial"/>
          <w:i/>
          <w:iCs/>
        </w:rPr>
        <w:t>63</w:t>
      </w:r>
      <w:r w:rsidRPr="008D34B9">
        <w:rPr>
          <w:rFonts w:ascii="Arial" w:hAnsi="Arial" w:cs="Arial"/>
        </w:rPr>
        <w:t xml:space="preserve">(6), 988–996. </w:t>
      </w:r>
      <w:hyperlink r:id="rId34" w:history="1">
        <w:r w:rsidRPr="008D34B9">
          <w:rPr>
            <w:rStyle w:val="Hyperlink"/>
            <w:rFonts w:ascii="Arial" w:hAnsi="Arial" w:cs="Arial"/>
          </w:rPr>
          <w:t>https://doi.org/10.1016/j.jpainsymman.2022.02.014</w:t>
        </w:r>
      </w:hyperlink>
    </w:p>
    <w:p w14:paraId="72B13910" w14:textId="77777777" w:rsidR="00B01FCD" w:rsidRPr="00A22A57" w:rsidRDefault="00CE56E8" w:rsidP="00A22A57">
      <w:pPr>
        <w:pStyle w:val="Body"/>
        <w:rPr>
          <w:rFonts w:ascii="Arial" w:hAnsi="Arial" w:cs="Arial"/>
        </w:rPr>
      </w:pPr>
      <w:r w:rsidRPr="008D34B9">
        <w:rPr>
          <w:rFonts w:ascii="Arial" w:hAnsi="Arial" w:cs="Arial"/>
        </w:rPr>
        <w:t xml:space="preserve">World Health Organization (2020). Palliative care: Key facts. World </w:t>
      </w:r>
      <w:proofErr w:type="spellStart"/>
      <w:r w:rsidRPr="008D34B9">
        <w:rPr>
          <w:rFonts w:ascii="Arial" w:hAnsi="Arial" w:cs="Arial"/>
        </w:rPr>
        <w:t>Heath</w:t>
      </w:r>
      <w:proofErr w:type="spellEnd"/>
      <w:r w:rsidRPr="008D34B9">
        <w:rPr>
          <w:rFonts w:ascii="Arial" w:hAnsi="Arial" w:cs="Arial"/>
        </w:rPr>
        <w:t xml:space="preserve"> Organization. </w:t>
      </w:r>
      <w:hyperlink r:id="rId35" w:history="1">
        <w:r w:rsidRPr="008D34B9">
          <w:rPr>
            <w:rStyle w:val="Hyperlink"/>
            <w:rFonts w:ascii="Arial" w:hAnsi="Arial" w:cs="Arial"/>
          </w:rPr>
          <w:t>https://www.who.int/news-room/fact-sheets/detail/palliative-care</w:t>
        </w:r>
      </w:hyperlink>
    </w:p>
    <w:sectPr w:rsidR="00B01FCD" w:rsidRPr="00A22A57" w:rsidSect="004008D0">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DC53" w14:textId="77777777" w:rsidR="00725B62" w:rsidRDefault="00725B62" w:rsidP="00C37E61">
      <w:r>
        <w:separator/>
      </w:r>
    </w:p>
  </w:endnote>
  <w:endnote w:type="continuationSeparator" w:id="0">
    <w:p w14:paraId="61767B1C" w14:textId="77777777" w:rsidR="00725B62" w:rsidRDefault="00725B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7995" w14:textId="77777777" w:rsidR="004008D0" w:rsidRDefault="00400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8517" w14:textId="77777777"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ED32" w14:textId="40AFFD2E" w:rsidR="00754C9A" w:rsidRPr="004008D0" w:rsidRDefault="00754C9A" w:rsidP="004008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D21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FAA7" w14:textId="77777777" w:rsidR="00725B62" w:rsidRDefault="00725B62" w:rsidP="00C37E61">
      <w:r>
        <w:separator/>
      </w:r>
    </w:p>
  </w:footnote>
  <w:footnote w:type="continuationSeparator" w:id="0">
    <w:p w14:paraId="3DD34F46" w14:textId="77777777" w:rsidR="00725B62" w:rsidRDefault="00725B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DC0A" w14:textId="19512882" w:rsidR="004008D0" w:rsidRDefault="00000000">
    <w:pPr>
      <w:pStyle w:val="Header"/>
    </w:pPr>
    <w:r>
      <w:rPr>
        <w:noProof/>
      </w:rPr>
      <w:pict w14:anchorId="0F285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34485"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C54C" w14:textId="7120928D" w:rsidR="004008D0" w:rsidRDefault="00000000">
    <w:pPr>
      <w:pStyle w:val="Header"/>
    </w:pPr>
    <w:r>
      <w:rPr>
        <w:noProof/>
      </w:rPr>
      <w:pict w14:anchorId="5E36A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34486"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EAFF" w14:textId="5ABE2D71" w:rsidR="00296529" w:rsidRPr="00296529" w:rsidRDefault="00000000" w:rsidP="00296529">
    <w:pPr>
      <w:ind w:left="2160"/>
      <w:jc w:val="center"/>
      <w:rPr>
        <w:rFonts w:ascii="Times New Roman" w:eastAsia="Calibri" w:hAnsi="Times New Roman"/>
        <w:i/>
        <w:sz w:val="18"/>
        <w:szCs w:val="22"/>
      </w:rPr>
    </w:pPr>
    <w:r>
      <w:rPr>
        <w:noProof/>
      </w:rPr>
      <w:pict w14:anchorId="164B1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34484"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D3256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4FE34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CEC70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B52B4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84A52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51C7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EB44" w14:textId="7E7A29E3" w:rsidR="004008D0" w:rsidRDefault="00000000">
    <w:pPr>
      <w:pStyle w:val="Header"/>
    </w:pPr>
    <w:r>
      <w:rPr>
        <w:noProof/>
      </w:rPr>
      <w:pict w14:anchorId="4216C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34488"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A3EF" w14:textId="1A682AA8" w:rsidR="004008D0" w:rsidRDefault="00000000">
    <w:pPr>
      <w:pStyle w:val="Header"/>
    </w:pPr>
    <w:r>
      <w:rPr>
        <w:noProof/>
      </w:rPr>
      <w:pict w14:anchorId="67754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34489"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6711" w14:textId="52FDE1E6" w:rsidR="004008D0" w:rsidRDefault="00000000">
    <w:pPr>
      <w:pStyle w:val="Header"/>
    </w:pPr>
    <w:r>
      <w:rPr>
        <w:noProof/>
      </w:rPr>
      <w:pict w14:anchorId="1286A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34487"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626060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81814388">
    <w:abstractNumId w:val="15"/>
  </w:num>
  <w:num w:numId="3" w16cid:durableId="90203317">
    <w:abstractNumId w:val="23"/>
  </w:num>
  <w:num w:numId="4" w16cid:durableId="18773556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50196354">
    <w:abstractNumId w:val="7"/>
  </w:num>
  <w:num w:numId="6" w16cid:durableId="1783724460">
    <w:abstractNumId w:val="6"/>
  </w:num>
  <w:num w:numId="7" w16cid:durableId="1895047897">
    <w:abstractNumId w:val="1"/>
  </w:num>
  <w:num w:numId="8" w16cid:durableId="1485777466">
    <w:abstractNumId w:val="12"/>
  </w:num>
  <w:num w:numId="9" w16cid:durableId="520513508">
    <w:abstractNumId w:val="25"/>
  </w:num>
  <w:num w:numId="10" w16cid:durableId="2005164491">
    <w:abstractNumId w:val="2"/>
  </w:num>
  <w:num w:numId="11" w16cid:durableId="1895385147">
    <w:abstractNumId w:val="18"/>
  </w:num>
  <w:num w:numId="12" w16cid:durableId="1322929845">
    <w:abstractNumId w:val="3"/>
  </w:num>
  <w:num w:numId="13" w16cid:durableId="459223706">
    <w:abstractNumId w:val="17"/>
  </w:num>
  <w:num w:numId="14" w16cid:durableId="1165054568">
    <w:abstractNumId w:val="8"/>
  </w:num>
  <w:num w:numId="15" w16cid:durableId="1744524011">
    <w:abstractNumId w:val="21"/>
  </w:num>
  <w:num w:numId="16" w16cid:durableId="2021811783">
    <w:abstractNumId w:val="5"/>
  </w:num>
  <w:num w:numId="17" w16cid:durableId="1241020325">
    <w:abstractNumId w:val="22"/>
  </w:num>
  <w:num w:numId="18" w16cid:durableId="1517840613">
    <w:abstractNumId w:val="14"/>
  </w:num>
  <w:num w:numId="19" w16cid:durableId="911699359">
    <w:abstractNumId w:val="28"/>
  </w:num>
  <w:num w:numId="20" w16cid:durableId="1773546086">
    <w:abstractNumId w:val="11"/>
  </w:num>
  <w:num w:numId="21" w16cid:durableId="1081947864">
    <w:abstractNumId w:val="9"/>
  </w:num>
  <w:num w:numId="22" w16cid:durableId="1264723146">
    <w:abstractNumId w:val="13"/>
  </w:num>
  <w:num w:numId="23" w16cid:durableId="715157047">
    <w:abstractNumId w:val="19"/>
  </w:num>
  <w:num w:numId="24" w16cid:durableId="1132944296">
    <w:abstractNumId w:val="26"/>
  </w:num>
  <w:num w:numId="25" w16cid:durableId="1498032804">
    <w:abstractNumId w:val="4"/>
  </w:num>
  <w:num w:numId="26" w16cid:durableId="1057119973">
    <w:abstractNumId w:val="16"/>
  </w:num>
  <w:num w:numId="27" w16cid:durableId="144127544">
    <w:abstractNumId w:val="20"/>
  </w:num>
  <w:num w:numId="28" w16cid:durableId="1640451557">
    <w:abstractNumId w:val="27"/>
  </w:num>
  <w:num w:numId="29" w16cid:durableId="640698844">
    <w:abstractNumId w:val="24"/>
  </w:num>
  <w:num w:numId="30" w16cid:durableId="450713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05DC"/>
    <w:rsid w:val="000A47FA"/>
    <w:rsid w:val="000A65D3"/>
    <w:rsid w:val="000B1E33"/>
    <w:rsid w:val="000D689F"/>
    <w:rsid w:val="000E7B7B"/>
    <w:rsid w:val="000E7D62"/>
    <w:rsid w:val="00103357"/>
    <w:rsid w:val="00123C9F"/>
    <w:rsid w:val="00126190"/>
    <w:rsid w:val="00130F17"/>
    <w:rsid w:val="001320BF"/>
    <w:rsid w:val="001443D8"/>
    <w:rsid w:val="00163BC4"/>
    <w:rsid w:val="00191062"/>
    <w:rsid w:val="00192B72"/>
    <w:rsid w:val="001A29D8"/>
    <w:rsid w:val="001A5CAA"/>
    <w:rsid w:val="001B0427"/>
    <w:rsid w:val="001C3BC7"/>
    <w:rsid w:val="001C6286"/>
    <w:rsid w:val="001D3A51"/>
    <w:rsid w:val="001E10D2"/>
    <w:rsid w:val="001E25B4"/>
    <w:rsid w:val="001E44FE"/>
    <w:rsid w:val="00200595"/>
    <w:rsid w:val="00204835"/>
    <w:rsid w:val="00231920"/>
    <w:rsid w:val="0023195C"/>
    <w:rsid w:val="0024282C"/>
    <w:rsid w:val="002460DC"/>
    <w:rsid w:val="00250985"/>
    <w:rsid w:val="002556F6"/>
    <w:rsid w:val="00283105"/>
    <w:rsid w:val="00283CDB"/>
    <w:rsid w:val="00284C4C"/>
    <w:rsid w:val="00287E68"/>
    <w:rsid w:val="00296529"/>
    <w:rsid w:val="002B27FB"/>
    <w:rsid w:val="002B685A"/>
    <w:rsid w:val="002C57D2"/>
    <w:rsid w:val="002E0D56"/>
    <w:rsid w:val="00315186"/>
    <w:rsid w:val="0033343E"/>
    <w:rsid w:val="00336104"/>
    <w:rsid w:val="00343A0E"/>
    <w:rsid w:val="003512C2"/>
    <w:rsid w:val="00371FB6"/>
    <w:rsid w:val="003763C1"/>
    <w:rsid w:val="00376BBE"/>
    <w:rsid w:val="00386758"/>
    <w:rsid w:val="0039224F"/>
    <w:rsid w:val="003A43A4"/>
    <w:rsid w:val="003A7E18"/>
    <w:rsid w:val="003C4C86"/>
    <w:rsid w:val="003C6258"/>
    <w:rsid w:val="003E2904"/>
    <w:rsid w:val="004008D0"/>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6170"/>
    <w:rsid w:val="005B1703"/>
    <w:rsid w:val="005C784C"/>
    <w:rsid w:val="005D17F6"/>
    <w:rsid w:val="005E5539"/>
    <w:rsid w:val="00602BF5"/>
    <w:rsid w:val="00617FDD"/>
    <w:rsid w:val="00633614"/>
    <w:rsid w:val="00633F68"/>
    <w:rsid w:val="00636EB2"/>
    <w:rsid w:val="006375B8"/>
    <w:rsid w:val="0066510A"/>
    <w:rsid w:val="00673F9F"/>
    <w:rsid w:val="00682C51"/>
    <w:rsid w:val="00686953"/>
    <w:rsid w:val="00687DEA"/>
    <w:rsid w:val="00687E67"/>
    <w:rsid w:val="006967F7"/>
    <w:rsid w:val="006A250C"/>
    <w:rsid w:val="006B21D3"/>
    <w:rsid w:val="006B57D0"/>
    <w:rsid w:val="006D30FF"/>
    <w:rsid w:val="006D6940"/>
    <w:rsid w:val="006F11EC"/>
    <w:rsid w:val="0070082C"/>
    <w:rsid w:val="00725B62"/>
    <w:rsid w:val="00735726"/>
    <w:rsid w:val="007369E6"/>
    <w:rsid w:val="00746E59"/>
    <w:rsid w:val="00754C9A"/>
    <w:rsid w:val="0075599A"/>
    <w:rsid w:val="00761D52"/>
    <w:rsid w:val="0077749E"/>
    <w:rsid w:val="00783BA9"/>
    <w:rsid w:val="00790ADA"/>
    <w:rsid w:val="007D2288"/>
    <w:rsid w:val="007E088F"/>
    <w:rsid w:val="007F194A"/>
    <w:rsid w:val="007F7B32"/>
    <w:rsid w:val="00804BC2"/>
    <w:rsid w:val="0081431A"/>
    <w:rsid w:val="0083216F"/>
    <w:rsid w:val="00834540"/>
    <w:rsid w:val="00856D90"/>
    <w:rsid w:val="00860000"/>
    <w:rsid w:val="00863BD3"/>
    <w:rsid w:val="008641ED"/>
    <w:rsid w:val="00866D66"/>
    <w:rsid w:val="008671C6"/>
    <w:rsid w:val="00875803"/>
    <w:rsid w:val="008B459E"/>
    <w:rsid w:val="008C4B40"/>
    <w:rsid w:val="008E13AE"/>
    <w:rsid w:val="008E1506"/>
    <w:rsid w:val="008E710C"/>
    <w:rsid w:val="008F69D6"/>
    <w:rsid w:val="00902823"/>
    <w:rsid w:val="0090785E"/>
    <w:rsid w:val="00915CA6"/>
    <w:rsid w:val="00927834"/>
    <w:rsid w:val="009500A6"/>
    <w:rsid w:val="00957C18"/>
    <w:rsid w:val="009659BA"/>
    <w:rsid w:val="00965A1D"/>
    <w:rsid w:val="00983040"/>
    <w:rsid w:val="009B3FB9"/>
    <w:rsid w:val="009C2465"/>
    <w:rsid w:val="009D35A0"/>
    <w:rsid w:val="009D7EB7"/>
    <w:rsid w:val="009E048A"/>
    <w:rsid w:val="009E08E9"/>
    <w:rsid w:val="009E3DB9"/>
    <w:rsid w:val="009E6E35"/>
    <w:rsid w:val="009F0010"/>
    <w:rsid w:val="009F0EDA"/>
    <w:rsid w:val="00A03B96"/>
    <w:rsid w:val="00A05B19"/>
    <w:rsid w:val="00A1134E"/>
    <w:rsid w:val="00A22A57"/>
    <w:rsid w:val="00A24E7E"/>
    <w:rsid w:val="00A258C3"/>
    <w:rsid w:val="00A329AF"/>
    <w:rsid w:val="00A347C0"/>
    <w:rsid w:val="00A433A8"/>
    <w:rsid w:val="00A51431"/>
    <w:rsid w:val="00A539AD"/>
    <w:rsid w:val="00A94063"/>
    <w:rsid w:val="00AA6219"/>
    <w:rsid w:val="00AA74E0"/>
    <w:rsid w:val="00AB703F"/>
    <w:rsid w:val="00AB7137"/>
    <w:rsid w:val="00AC6BB8"/>
    <w:rsid w:val="00AE008F"/>
    <w:rsid w:val="00AE2DD9"/>
    <w:rsid w:val="00B01FCD"/>
    <w:rsid w:val="00B1776C"/>
    <w:rsid w:val="00B52583"/>
    <w:rsid w:val="00B52896"/>
    <w:rsid w:val="00B95236"/>
    <w:rsid w:val="00B96BD9"/>
    <w:rsid w:val="00BA1B01"/>
    <w:rsid w:val="00BA2641"/>
    <w:rsid w:val="00BB12AD"/>
    <w:rsid w:val="00BB37AA"/>
    <w:rsid w:val="00BB7D32"/>
    <w:rsid w:val="00BC53A0"/>
    <w:rsid w:val="00BE62AD"/>
    <w:rsid w:val="00BF121F"/>
    <w:rsid w:val="00BF1F80"/>
    <w:rsid w:val="00C06497"/>
    <w:rsid w:val="00C166EF"/>
    <w:rsid w:val="00C17EB0"/>
    <w:rsid w:val="00C27F5F"/>
    <w:rsid w:val="00C30A0F"/>
    <w:rsid w:val="00C37E61"/>
    <w:rsid w:val="00C70F1B"/>
    <w:rsid w:val="00C71A47"/>
    <w:rsid w:val="00C7464C"/>
    <w:rsid w:val="00C85588"/>
    <w:rsid w:val="00C93853"/>
    <w:rsid w:val="00C9581A"/>
    <w:rsid w:val="00CA50D0"/>
    <w:rsid w:val="00CB21FA"/>
    <w:rsid w:val="00CD6755"/>
    <w:rsid w:val="00CD6856"/>
    <w:rsid w:val="00CE0089"/>
    <w:rsid w:val="00CE56E8"/>
    <w:rsid w:val="00CE793C"/>
    <w:rsid w:val="00CF193C"/>
    <w:rsid w:val="00D173F1"/>
    <w:rsid w:val="00D74CB0"/>
    <w:rsid w:val="00D8295D"/>
    <w:rsid w:val="00DA0356"/>
    <w:rsid w:val="00DC2A65"/>
    <w:rsid w:val="00DE15F0"/>
    <w:rsid w:val="00DE5663"/>
    <w:rsid w:val="00DE78AA"/>
    <w:rsid w:val="00E053D0"/>
    <w:rsid w:val="00E15994"/>
    <w:rsid w:val="00E3114E"/>
    <w:rsid w:val="00E31A70"/>
    <w:rsid w:val="00E35B02"/>
    <w:rsid w:val="00E55361"/>
    <w:rsid w:val="00E66496"/>
    <w:rsid w:val="00E66B35"/>
    <w:rsid w:val="00E66E10"/>
    <w:rsid w:val="00E769F6"/>
    <w:rsid w:val="00E8407C"/>
    <w:rsid w:val="00E84F3C"/>
    <w:rsid w:val="00E90B8C"/>
    <w:rsid w:val="00EA012C"/>
    <w:rsid w:val="00EC6A55"/>
    <w:rsid w:val="00ED0288"/>
    <w:rsid w:val="00EE52CB"/>
    <w:rsid w:val="00EF581D"/>
    <w:rsid w:val="00EF7FD8"/>
    <w:rsid w:val="00F06F59"/>
    <w:rsid w:val="00F17988"/>
    <w:rsid w:val="00F469F0"/>
    <w:rsid w:val="00F53273"/>
    <w:rsid w:val="00F755E4"/>
    <w:rsid w:val="00F77D02"/>
    <w:rsid w:val="00FB3A86"/>
    <w:rsid w:val="00FC02D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28A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CE56E8"/>
    <w:pPr>
      <w:keepNext/>
      <w:keepLines/>
      <w:spacing w:before="160" w:after="80" w:line="480" w:lineRule="auto"/>
      <w:jc w:val="both"/>
      <w:outlineLvl w:val="2"/>
    </w:pPr>
    <w:rPr>
      <w:rFonts w:asciiTheme="minorHAnsi" w:eastAsiaTheme="majorEastAsia" w:hAnsiTheme="min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CE56E8"/>
    <w:rPr>
      <w:rFonts w:asciiTheme="minorHAnsi" w:eastAsiaTheme="majorEastAsia" w:hAnsiTheme="minorHAnsi" w:cstheme="majorBidi"/>
      <w:color w:val="365F91" w:themeColor="accent1" w:themeShade="BF"/>
      <w:sz w:val="28"/>
      <w:szCs w:val="28"/>
    </w:rPr>
  </w:style>
  <w:style w:type="paragraph" w:styleId="ListParagraph">
    <w:name w:val="List Paragraph"/>
    <w:basedOn w:val="Normal"/>
    <w:uiPriority w:val="34"/>
    <w:qFormat/>
    <w:rsid w:val="00682C51"/>
    <w:pPr>
      <w:ind w:left="720"/>
      <w:contextualSpacing/>
    </w:pPr>
  </w:style>
  <w:style w:type="character" w:styleId="UnresolvedMention">
    <w:name w:val="Unresolved Mention"/>
    <w:basedOn w:val="DefaultParagraphFont"/>
    <w:uiPriority w:val="99"/>
    <w:semiHidden/>
    <w:unhideWhenUsed/>
    <w:rsid w:val="00BB7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n.wikipedia.org/wiki/Doi_(identifier)" TargetMode="External"/><Relationship Id="rId26" Type="http://schemas.openxmlformats.org/officeDocument/2006/relationships/hyperlink" Target="https://doi.org/10.1186/s13643-024-02641-x" TargetMode="External"/><Relationship Id="rId39" Type="http://schemas.openxmlformats.org/officeDocument/2006/relationships/header" Target="header6.xml"/><Relationship Id="rId21" Type="http://schemas.openxmlformats.org/officeDocument/2006/relationships/hyperlink" Target="https://doi.org/10.1186/s12877-025-06154-7" TargetMode="External"/><Relationship Id="rId34" Type="http://schemas.openxmlformats.org/officeDocument/2006/relationships/hyperlink" Target="https://doi.org/10.1016/j.jpainsymman.2022.02.01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41043-024-00509-3" TargetMode="External"/><Relationship Id="rId20" Type="http://schemas.openxmlformats.org/officeDocument/2006/relationships/hyperlink" Target="https://doi.org/10.1371/journal.pgph.0001785" TargetMode="External"/><Relationship Id="rId29" Type="http://schemas.openxmlformats.org/officeDocument/2006/relationships/hyperlink" Target="https://doi.org/10.1177/0030222823121733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0825859720984564" TargetMode="External"/><Relationship Id="rId32" Type="http://schemas.openxmlformats.org/officeDocument/2006/relationships/hyperlink" Target="https://doi.org/10.1186/s12904-022-01048-6"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269216320974925" TargetMode="External"/><Relationship Id="rId23" Type="http://schemas.openxmlformats.org/officeDocument/2006/relationships/hyperlink" Target="https://doi.org/10.1136/bmjspcare-2021-003338" TargetMode="External"/><Relationship Id="rId28" Type="http://schemas.openxmlformats.org/officeDocument/2006/relationships/hyperlink" Target="https://doi.org/10.1186/s12904-024-01428-0"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177%2F0030222819893139" TargetMode="External"/><Relationship Id="rId31" Type="http://schemas.openxmlformats.org/officeDocument/2006/relationships/hyperlink" Target="https://doi.org/10.1136/bmjspcare-2020-00267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77/14713012211065398" TargetMode="External"/><Relationship Id="rId22" Type="http://schemas.openxmlformats.org/officeDocument/2006/relationships/hyperlink" Target="https://doi.org/10.1371/journal.pgph.0004061" TargetMode="External"/><Relationship Id="rId27" Type="http://schemas.openxmlformats.org/officeDocument/2006/relationships/hyperlink" Target="https://doi.org/10.1002/nop2.1869" TargetMode="External"/><Relationship Id="rId30" Type="http://schemas.openxmlformats.org/officeDocument/2006/relationships/hyperlink" Target="https://doi.org/10.5772/intechopen.95410" TargetMode="External"/><Relationship Id="rId35" Type="http://schemas.openxmlformats.org/officeDocument/2006/relationships/hyperlink" Target="https://www.who.int/news-room/fact-sheets/detail/palliative-care"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journals.sagepub.com/doi/10.1177/0030222819893139" TargetMode="External"/><Relationship Id="rId25" Type="http://schemas.openxmlformats.org/officeDocument/2006/relationships/hyperlink" Target="https://doi.org/10.1111/ecc.12801" TargetMode="External"/><Relationship Id="rId33" Type="http://schemas.openxmlformats.org/officeDocument/2006/relationships/hyperlink" Target="https://doi.org/10.1007/978-3-031-61810-9_11"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251D7-A46D-4811-9FC5-0BF1E5C3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11</Pages>
  <Words>5351</Words>
  <Characters>30502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35782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30</cp:revision>
  <cp:lastPrinted>1999-07-06T11:00:00Z</cp:lastPrinted>
  <dcterms:created xsi:type="dcterms:W3CDTF">2025-08-21T08:02:00Z</dcterms:created>
  <dcterms:modified xsi:type="dcterms:W3CDTF">2025-08-29T07:33:00Z</dcterms:modified>
</cp:coreProperties>
</file>