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54C9A" w:rsidRPr="00A628DF" w:rsidRDefault="00754C9A" w:rsidP="00441B6F">
      <w:pPr>
        <w:pStyle w:val="Title"/>
        <w:spacing w:after="0"/>
        <w:jc w:val="both"/>
        <w:rPr>
          <w:rFonts w:ascii="Arial" w:hAnsi="Arial" w:cs="Arial"/>
        </w:rPr>
      </w:pPr>
      <w:bookmarkStart w:id="0" w:name="_GoBack"/>
    </w:p>
    <w:p w:rsidR="00A258C3" w:rsidRPr="00A628DF" w:rsidRDefault="00570DBF" w:rsidP="00570DBF">
      <w:pPr>
        <w:pStyle w:val="Author"/>
        <w:spacing w:line="240" w:lineRule="auto"/>
        <w:rPr>
          <w:rFonts w:ascii="Arial" w:hAnsi="Arial" w:cs="Arial"/>
          <w:sz w:val="36"/>
        </w:rPr>
      </w:pPr>
      <w:r w:rsidRPr="00A628DF">
        <w:rPr>
          <w:rFonts w:ascii="Arial" w:hAnsi="Arial" w:cs="Arial"/>
          <w:bCs/>
          <w:iCs/>
          <w:kern w:val="28"/>
          <w:sz w:val="36"/>
        </w:rPr>
        <w:t xml:space="preserve">In vitro antioxidant activities of aqueous extracts of Melia azedarach L. and Vernonia </w:t>
      </w:r>
      <w:proofErr w:type="spellStart"/>
      <w:r w:rsidRPr="00A628DF">
        <w:rPr>
          <w:rFonts w:ascii="Arial" w:hAnsi="Arial" w:cs="Arial"/>
          <w:bCs/>
          <w:iCs/>
          <w:kern w:val="28"/>
          <w:sz w:val="36"/>
        </w:rPr>
        <w:t>amygdalina</w:t>
      </w:r>
      <w:proofErr w:type="spellEnd"/>
      <w:r w:rsidRPr="00A628DF">
        <w:rPr>
          <w:rFonts w:ascii="Arial" w:hAnsi="Arial" w:cs="Arial"/>
          <w:bCs/>
          <w:iCs/>
          <w:kern w:val="28"/>
          <w:sz w:val="36"/>
        </w:rPr>
        <w:t xml:space="preserve"> Del.</w:t>
      </w:r>
    </w:p>
    <w:p w:rsidR="002C57D2" w:rsidRPr="00A628DF" w:rsidRDefault="002C57D2" w:rsidP="00441B6F">
      <w:pPr>
        <w:pStyle w:val="Affiliation"/>
        <w:spacing w:after="0" w:line="240" w:lineRule="auto"/>
        <w:jc w:val="both"/>
        <w:rPr>
          <w:rFonts w:ascii="Arial" w:hAnsi="Arial" w:cs="Arial"/>
        </w:rPr>
      </w:pPr>
    </w:p>
    <w:p w:rsidR="00B01FCD" w:rsidRPr="00A628DF" w:rsidRDefault="00527616" w:rsidP="00441B6F">
      <w:pPr>
        <w:pStyle w:val="Copyright"/>
        <w:spacing w:after="0" w:line="240" w:lineRule="auto"/>
        <w:jc w:val="both"/>
        <w:rPr>
          <w:rFonts w:ascii="Arial" w:hAnsi="Arial" w:cs="Arial"/>
        </w:rPr>
        <w:sectPr w:rsidR="00B01FCD" w:rsidRPr="00A628DF" w:rsidSect="00412475">
          <w:headerReference w:type="first" r:id="rId8"/>
          <w:footerReference w:type="first" r:id="rId9"/>
          <w:pgSz w:w="12240" w:h="15840" w:code="1"/>
          <w:pgMar w:top="1440" w:right="2016" w:bottom="2016" w:left="2016" w:header="720" w:footer="1296" w:gutter="0"/>
          <w:lnNumType w:countBy="1" w:restart="continuous"/>
          <w:cols w:space="720"/>
          <w:docGrid w:linePitch="272"/>
        </w:sectPr>
      </w:pPr>
      <w:r w:rsidRPr="00A628DF">
        <w:rPr>
          <w:rFonts w:ascii="Arial" w:hAnsi="Arial" w:cs="Arial"/>
        </w:rPr>
      </w:r>
      <w:r w:rsidRPr="00A628DF">
        <w:rPr>
          <w:rFonts w:ascii="Arial" w:hAnsi="Arial" w:cs="Arial"/>
        </w:rPr>
        <w:pict>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sidRPr="00A628DF">
        <w:rPr>
          <w:rFonts w:ascii="Arial" w:hAnsi="Arial" w:cs="Arial"/>
        </w:rPr>
        <w:t>.</w:t>
      </w:r>
    </w:p>
    <w:p w:rsidR="00790ADA" w:rsidRPr="00A628DF" w:rsidRDefault="00B01FCD" w:rsidP="00441B6F">
      <w:pPr>
        <w:pStyle w:val="AbstHead"/>
        <w:spacing w:after="0"/>
        <w:jc w:val="both"/>
        <w:rPr>
          <w:rFonts w:ascii="Arial" w:hAnsi="Arial" w:cs="Arial"/>
        </w:rPr>
      </w:pPr>
      <w:r w:rsidRPr="00A628DF">
        <w:rPr>
          <w:rFonts w:ascii="Arial" w:hAnsi="Arial" w:cs="Arial"/>
        </w:rPr>
        <w:t>ABSTRACT</w:t>
      </w:r>
      <w:r w:rsidR="0066510A" w:rsidRPr="00A628DF">
        <w:rPr>
          <w:rFonts w:ascii="Arial" w:hAnsi="Arial" w:cs="Arial"/>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A628DF" w:rsidRPr="00A628DF" w:rsidTr="00570DBF">
        <w:tc>
          <w:tcPr>
            <w:tcW w:w="8424" w:type="dxa"/>
            <w:shd w:val="clear" w:color="auto" w:fill="F2F2F2"/>
          </w:tcPr>
          <w:p w:rsidR="00570DBF" w:rsidRPr="00A628DF" w:rsidRDefault="00570DBF" w:rsidP="00570DBF">
            <w:pPr>
              <w:pStyle w:val="Body"/>
              <w:rPr>
                <w:rFonts w:ascii="Arial" w:eastAsia="Calibri" w:hAnsi="Arial" w:cs="Arial"/>
                <w:b/>
                <w:sz w:val="22"/>
                <w:szCs w:val="22"/>
              </w:rPr>
            </w:pPr>
            <w:r w:rsidRPr="00A628DF">
              <w:rPr>
                <w:rFonts w:ascii="Arial" w:eastAsia="Calibri" w:hAnsi="Arial" w:cs="Arial"/>
                <w:b/>
                <w:sz w:val="22"/>
                <w:szCs w:val="22"/>
              </w:rPr>
              <w:t xml:space="preserve">Aim: The present study was undertaken to evaluate the antioxidant potential of aqueous extracts of </w:t>
            </w:r>
            <w:r w:rsidRPr="00A628DF">
              <w:rPr>
                <w:rFonts w:ascii="Arial" w:eastAsia="Calibri" w:hAnsi="Arial" w:cs="Arial"/>
                <w:b/>
                <w:i/>
                <w:sz w:val="22"/>
                <w:szCs w:val="22"/>
              </w:rPr>
              <w:t>Melia azedarach</w:t>
            </w:r>
            <w:r w:rsidRPr="00A628DF">
              <w:rPr>
                <w:rFonts w:ascii="Arial" w:eastAsia="Calibri" w:hAnsi="Arial" w:cs="Arial"/>
                <w:b/>
                <w:sz w:val="22"/>
                <w:szCs w:val="22"/>
              </w:rPr>
              <w:t xml:space="preserve"> (AEMA) and </w:t>
            </w:r>
            <w:r w:rsidRPr="00A628DF">
              <w:rPr>
                <w:rFonts w:ascii="Arial" w:eastAsia="Calibri" w:hAnsi="Arial" w:cs="Arial"/>
                <w:b/>
                <w:i/>
                <w:sz w:val="22"/>
                <w:szCs w:val="22"/>
              </w:rPr>
              <w:t xml:space="preserve">Vernonia </w:t>
            </w:r>
            <w:proofErr w:type="spellStart"/>
            <w:r w:rsidRPr="00A628DF">
              <w:rPr>
                <w:rFonts w:ascii="Arial" w:eastAsia="Calibri" w:hAnsi="Arial" w:cs="Arial"/>
                <w:b/>
                <w:i/>
                <w:sz w:val="22"/>
                <w:szCs w:val="22"/>
              </w:rPr>
              <w:t>amygdalina</w:t>
            </w:r>
            <w:proofErr w:type="spellEnd"/>
            <w:r w:rsidRPr="00A628DF">
              <w:rPr>
                <w:rFonts w:ascii="Arial" w:eastAsia="Calibri" w:hAnsi="Arial" w:cs="Arial"/>
                <w:b/>
                <w:sz w:val="22"/>
                <w:szCs w:val="22"/>
              </w:rPr>
              <w:t xml:space="preserve"> (AEVA) against free radical-induced oxidative damage.</w:t>
            </w:r>
          </w:p>
          <w:p w:rsidR="00570DBF" w:rsidRPr="00A628DF" w:rsidRDefault="00570DBF" w:rsidP="00570DBF">
            <w:pPr>
              <w:pStyle w:val="Body"/>
              <w:rPr>
                <w:rFonts w:ascii="Arial" w:eastAsia="Calibri" w:hAnsi="Arial" w:cs="Arial"/>
                <w:b/>
                <w:sz w:val="22"/>
                <w:szCs w:val="22"/>
              </w:rPr>
            </w:pPr>
            <w:r w:rsidRPr="00A628DF">
              <w:rPr>
                <w:rFonts w:ascii="Arial" w:eastAsia="Calibri" w:hAnsi="Arial" w:cs="Arial"/>
                <w:b/>
                <w:sz w:val="22"/>
                <w:szCs w:val="22"/>
              </w:rPr>
              <w:t>Methodology: The antioxidant activities of the extracts were assessed through three in vitro assays, namely DPPH free radical scavenging assay, ABTS cation radical scavenging assay, and superoxide anion radical scavenging assay.</w:t>
            </w:r>
          </w:p>
          <w:p w:rsidR="00570DBF" w:rsidRPr="00A628DF" w:rsidRDefault="00570DBF" w:rsidP="00570DBF">
            <w:pPr>
              <w:pStyle w:val="Body"/>
              <w:rPr>
                <w:rFonts w:ascii="Arial" w:eastAsia="Calibri" w:hAnsi="Arial" w:cs="Arial"/>
                <w:b/>
                <w:sz w:val="22"/>
                <w:szCs w:val="22"/>
              </w:rPr>
            </w:pPr>
            <w:r w:rsidRPr="00A628DF">
              <w:rPr>
                <w:rFonts w:ascii="Arial" w:eastAsia="Calibri" w:hAnsi="Arial" w:cs="Arial"/>
                <w:b/>
                <w:sz w:val="22"/>
                <w:szCs w:val="22"/>
              </w:rPr>
              <w:t>Results: The findings revealed that both AEMA and AEVA exhibited moderate scavenging activity in the DPPH assay, with IC</w:t>
            </w:r>
            <w:r w:rsidRPr="00A628DF">
              <w:rPr>
                <w:rFonts w:ascii="Arial" w:eastAsia="Calibri" w:hAnsi="Arial" w:cs="Arial"/>
                <w:b/>
                <w:sz w:val="22"/>
                <w:szCs w:val="22"/>
                <w:vertAlign w:val="subscript"/>
              </w:rPr>
              <w:t>50</w:t>
            </w:r>
            <w:r w:rsidRPr="00A628DF">
              <w:rPr>
                <w:rFonts w:ascii="Arial" w:eastAsia="Calibri" w:hAnsi="Arial" w:cs="Arial"/>
                <w:b/>
                <w:sz w:val="22"/>
                <w:szCs w:val="22"/>
              </w:rPr>
              <w:t xml:space="preserve"> values of 149.83 µg/ml and 198.80 µg/ml, respectively. In the ABTS assay, AEMA and AEVA showed </w:t>
            </w:r>
            <w:r w:rsidR="00933B63" w:rsidRPr="00A628DF">
              <w:rPr>
                <w:rFonts w:ascii="Arial" w:eastAsia="Calibri" w:hAnsi="Arial" w:cs="Arial"/>
                <w:b/>
                <w:sz w:val="22"/>
                <w:szCs w:val="22"/>
              </w:rPr>
              <w:t>IC</w:t>
            </w:r>
            <w:r w:rsidR="00933B63" w:rsidRPr="00A628DF">
              <w:rPr>
                <w:rFonts w:ascii="Arial" w:eastAsia="Calibri" w:hAnsi="Arial" w:cs="Arial"/>
                <w:b/>
                <w:sz w:val="22"/>
                <w:szCs w:val="22"/>
                <w:vertAlign w:val="subscript"/>
              </w:rPr>
              <w:t>50</w:t>
            </w:r>
            <w:r w:rsidR="00933B63" w:rsidRPr="00A628DF">
              <w:rPr>
                <w:rFonts w:ascii="Arial" w:eastAsia="Calibri" w:hAnsi="Arial" w:cs="Arial"/>
                <w:b/>
                <w:sz w:val="22"/>
                <w:szCs w:val="22"/>
              </w:rPr>
              <w:t xml:space="preserve"> values 83.38</w:t>
            </w:r>
            <w:r w:rsidR="00CD14F8" w:rsidRPr="00A628DF">
              <w:rPr>
                <w:rFonts w:ascii="Arial" w:eastAsia="Calibri" w:hAnsi="Arial" w:cs="Arial"/>
                <w:b/>
                <w:sz w:val="22"/>
                <w:szCs w:val="22"/>
              </w:rPr>
              <w:t xml:space="preserve"> µg/ml</w:t>
            </w:r>
            <w:r w:rsidR="00933B63" w:rsidRPr="00A628DF">
              <w:rPr>
                <w:rFonts w:ascii="Arial" w:eastAsia="Calibri" w:hAnsi="Arial" w:cs="Arial"/>
                <w:b/>
                <w:sz w:val="22"/>
                <w:szCs w:val="22"/>
              </w:rPr>
              <w:t xml:space="preserve"> and 135.01 </w:t>
            </w:r>
            <w:r w:rsidR="00CD14F8" w:rsidRPr="00A628DF">
              <w:rPr>
                <w:rFonts w:ascii="Arial" w:eastAsia="Calibri" w:hAnsi="Arial" w:cs="Arial"/>
                <w:b/>
                <w:sz w:val="22"/>
                <w:szCs w:val="22"/>
              </w:rPr>
              <w:t xml:space="preserve">µg/ml </w:t>
            </w:r>
            <w:r w:rsidRPr="00A628DF">
              <w:rPr>
                <w:rFonts w:ascii="Arial" w:eastAsia="Calibri" w:hAnsi="Arial" w:cs="Arial"/>
                <w:b/>
                <w:sz w:val="22"/>
                <w:szCs w:val="22"/>
              </w:rPr>
              <w:t>respectively. In the case of the superoxide anion radical scavenging assay, AEMA and AEVA demonstrated IC</w:t>
            </w:r>
            <w:r w:rsidRPr="00A628DF">
              <w:rPr>
                <w:rFonts w:ascii="Arial" w:eastAsia="Calibri" w:hAnsi="Arial" w:cs="Arial"/>
                <w:b/>
                <w:sz w:val="22"/>
                <w:szCs w:val="22"/>
                <w:vertAlign w:val="subscript"/>
              </w:rPr>
              <w:t>50</w:t>
            </w:r>
            <w:r w:rsidRPr="00A628DF">
              <w:rPr>
                <w:rFonts w:ascii="Arial" w:eastAsia="Calibri" w:hAnsi="Arial" w:cs="Arial"/>
                <w:b/>
                <w:sz w:val="22"/>
                <w:szCs w:val="22"/>
              </w:rPr>
              <w:t xml:space="preserve"> values of 130.87 µg/ml and 285.36 µg/ml, respectively. </w:t>
            </w:r>
          </w:p>
          <w:p w:rsidR="00505F06" w:rsidRPr="00A628DF" w:rsidRDefault="00BA1B01" w:rsidP="00570DBF">
            <w:pPr>
              <w:pStyle w:val="Body"/>
              <w:rPr>
                <w:rFonts w:ascii="Arial" w:eastAsia="Calibri" w:hAnsi="Arial" w:cs="Arial"/>
                <w:sz w:val="22"/>
                <w:szCs w:val="22"/>
              </w:rPr>
            </w:pPr>
            <w:r w:rsidRPr="00A628DF">
              <w:rPr>
                <w:rFonts w:ascii="Arial" w:eastAsia="Calibri" w:hAnsi="Arial" w:cs="Arial"/>
                <w:b/>
                <w:bCs/>
                <w:sz w:val="22"/>
                <w:szCs w:val="22"/>
              </w:rPr>
              <w:t>Conclusion:</w:t>
            </w:r>
            <w:r w:rsidR="00570DBF" w:rsidRPr="00A628DF">
              <w:rPr>
                <w:rFonts w:ascii="Arial" w:eastAsia="Calibri" w:hAnsi="Arial" w:cs="Arial"/>
                <w:b/>
                <w:sz w:val="22"/>
                <w:szCs w:val="22"/>
              </w:rPr>
              <w:t xml:space="preserve"> Overall, the results indicate that </w:t>
            </w:r>
            <w:r w:rsidR="00570DBF" w:rsidRPr="00A628DF">
              <w:rPr>
                <w:rFonts w:ascii="Arial" w:eastAsia="Calibri" w:hAnsi="Arial" w:cs="Arial"/>
                <w:b/>
                <w:i/>
                <w:sz w:val="22"/>
                <w:szCs w:val="22"/>
              </w:rPr>
              <w:t>Melia azedarach</w:t>
            </w:r>
            <w:r w:rsidR="00570DBF" w:rsidRPr="00A628DF">
              <w:rPr>
                <w:rFonts w:ascii="Arial" w:eastAsia="Calibri" w:hAnsi="Arial" w:cs="Arial"/>
                <w:b/>
                <w:sz w:val="22"/>
                <w:szCs w:val="22"/>
              </w:rPr>
              <w:t xml:space="preserve"> (AEMA) </w:t>
            </w:r>
            <w:r w:rsidR="00933B63" w:rsidRPr="00A628DF">
              <w:rPr>
                <w:rFonts w:ascii="Arial" w:eastAsia="Calibri" w:hAnsi="Arial" w:cs="Arial"/>
                <w:b/>
                <w:sz w:val="22"/>
                <w:szCs w:val="22"/>
              </w:rPr>
              <w:t xml:space="preserve">extract </w:t>
            </w:r>
            <w:r w:rsidR="00570DBF" w:rsidRPr="00A628DF">
              <w:rPr>
                <w:rFonts w:ascii="Arial" w:eastAsia="Calibri" w:hAnsi="Arial" w:cs="Arial"/>
                <w:b/>
                <w:sz w:val="22"/>
                <w:szCs w:val="22"/>
              </w:rPr>
              <w:t xml:space="preserve">was more effective in scavenging free radicals compared to </w:t>
            </w:r>
            <w:r w:rsidR="00570DBF" w:rsidRPr="00A628DF">
              <w:rPr>
                <w:rFonts w:ascii="Arial" w:eastAsia="Calibri" w:hAnsi="Arial" w:cs="Arial"/>
                <w:b/>
                <w:i/>
                <w:sz w:val="22"/>
                <w:szCs w:val="22"/>
              </w:rPr>
              <w:t xml:space="preserve">Vernonia </w:t>
            </w:r>
            <w:proofErr w:type="spellStart"/>
            <w:r w:rsidR="00570DBF" w:rsidRPr="00A628DF">
              <w:rPr>
                <w:rFonts w:ascii="Arial" w:eastAsia="Calibri" w:hAnsi="Arial" w:cs="Arial"/>
                <w:b/>
                <w:i/>
                <w:sz w:val="22"/>
                <w:szCs w:val="22"/>
              </w:rPr>
              <w:t>amygdalina</w:t>
            </w:r>
            <w:proofErr w:type="spellEnd"/>
            <w:r w:rsidR="00570DBF" w:rsidRPr="00A628DF">
              <w:rPr>
                <w:rFonts w:ascii="Arial" w:eastAsia="Calibri" w:hAnsi="Arial" w:cs="Arial"/>
                <w:b/>
                <w:sz w:val="22"/>
                <w:szCs w:val="22"/>
              </w:rPr>
              <w:t xml:space="preserve"> (AEVA)</w:t>
            </w:r>
            <w:r w:rsidR="00933B63" w:rsidRPr="00A628DF">
              <w:rPr>
                <w:rFonts w:ascii="Arial" w:eastAsia="Calibri" w:hAnsi="Arial" w:cs="Arial"/>
                <w:b/>
                <w:sz w:val="22"/>
                <w:szCs w:val="22"/>
              </w:rPr>
              <w:t xml:space="preserve"> extract</w:t>
            </w:r>
            <w:r w:rsidR="00570DBF" w:rsidRPr="00A628DF">
              <w:rPr>
                <w:rFonts w:ascii="Arial" w:eastAsia="Calibri" w:hAnsi="Arial" w:cs="Arial"/>
                <w:b/>
                <w:sz w:val="22"/>
                <w:szCs w:val="22"/>
              </w:rPr>
              <w:t>, highlighting its potential for further exploration of in vivo antioxidant efficacy and possible applications in the pharmaceutical and food industries.</w:t>
            </w:r>
          </w:p>
        </w:tc>
      </w:tr>
    </w:tbl>
    <w:p w:rsidR="00636EB2" w:rsidRPr="00A628DF" w:rsidRDefault="00636EB2" w:rsidP="00441B6F">
      <w:pPr>
        <w:pStyle w:val="Body"/>
        <w:spacing w:after="0"/>
        <w:rPr>
          <w:rFonts w:ascii="Arial" w:hAnsi="Arial" w:cs="Arial"/>
          <w:i/>
        </w:rPr>
      </w:pPr>
    </w:p>
    <w:p w:rsidR="00790ADA" w:rsidRPr="00A628DF" w:rsidRDefault="00A24E7E" w:rsidP="00441B6F">
      <w:pPr>
        <w:pStyle w:val="Body"/>
        <w:spacing w:after="0"/>
        <w:rPr>
          <w:rFonts w:ascii="Arial" w:hAnsi="Arial" w:cs="Arial"/>
          <w:i/>
        </w:rPr>
      </w:pPr>
      <w:r w:rsidRPr="00A628DF">
        <w:rPr>
          <w:rFonts w:ascii="Arial" w:hAnsi="Arial" w:cs="Arial"/>
          <w:i/>
        </w:rPr>
        <w:t>Keywords: [</w:t>
      </w:r>
      <w:r w:rsidR="002F25DE" w:rsidRPr="00A628DF">
        <w:rPr>
          <w:rFonts w:ascii="Arial" w:hAnsi="Arial" w:cs="Arial"/>
          <w:i/>
        </w:rPr>
        <w:t xml:space="preserve">Melia azedarach, Vernonia </w:t>
      </w:r>
      <w:proofErr w:type="spellStart"/>
      <w:r w:rsidR="002F25DE" w:rsidRPr="00A628DF">
        <w:rPr>
          <w:rFonts w:ascii="Arial" w:hAnsi="Arial" w:cs="Arial"/>
          <w:i/>
        </w:rPr>
        <w:t>amygdalina</w:t>
      </w:r>
      <w:proofErr w:type="spellEnd"/>
      <w:r w:rsidR="002F25DE" w:rsidRPr="00A628DF">
        <w:rPr>
          <w:rFonts w:ascii="Arial" w:hAnsi="Arial" w:cs="Arial"/>
          <w:i/>
        </w:rPr>
        <w:t>, Antioxidant, DPPH, Extracts</w:t>
      </w:r>
    </w:p>
    <w:p w:rsidR="002F25DE" w:rsidRPr="00A628DF" w:rsidRDefault="002F25DE" w:rsidP="00441B6F">
      <w:pPr>
        <w:pStyle w:val="Body"/>
        <w:spacing w:after="0"/>
        <w:rPr>
          <w:rFonts w:ascii="Arial" w:hAnsi="Arial" w:cs="Arial"/>
          <w:i/>
        </w:rPr>
      </w:pPr>
    </w:p>
    <w:p w:rsidR="00505F06" w:rsidRPr="00A628DF" w:rsidRDefault="00505F06" w:rsidP="00441B6F">
      <w:pPr>
        <w:pStyle w:val="Body"/>
        <w:spacing w:after="0"/>
        <w:rPr>
          <w:rFonts w:ascii="Arial" w:hAnsi="Arial" w:cs="Arial"/>
          <w:i/>
        </w:rPr>
      </w:pPr>
    </w:p>
    <w:p w:rsidR="007F7B32" w:rsidRPr="00A628DF" w:rsidRDefault="00902823" w:rsidP="00441B6F">
      <w:pPr>
        <w:pStyle w:val="AbstHead"/>
        <w:spacing w:after="0"/>
        <w:jc w:val="both"/>
        <w:rPr>
          <w:rFonts w:ascii="Arial" w:hAnsi="Arial" w:cs="Arial"/>
        </w:rPr>
      </w:pPr>
      <w:r w:rsidRPr="00A628DF">
        <w:rPr>
          <w:rFonts w:ascii="Arial" w:hAnsi="Arial" w:cs="Arial"/>
        </w:rPr>
        <w:t xml:space="preserve">1. </w:t>
      </w:r>
      <w:r w:rsidR="00B01FCD" w:rsidRPr="00A628DF">
        <w:rPr>
          <w:rFonts w:ascii="Arial" w:hAnsi="Arial" w:cs="Arial"/>
        </w:rPr>
        <w:t>INTRODUCTION</w:t>
      </w:r>
      <w:r w:rsidR="002F25DE" w:rsidRPr="00A628DF">
        <w:rPr>
          <w:rFonts w:ascii="Arial" w:hAnsi="Arial" w:cs="Arial"/>
        </w:rPr>
        <w:t xml:space="preserve"> </w:t>
      </w:r>
    </w:p>
    <w:p w:rsidR="00790ADA" w:rsidRPr="00A628DF" w:rsidRDefault="00790ADA" w:rsidP="00441B6F">
      <w:pPr>
        <w:pStyle w:val="AbstHead"/>
        <w:spacing w:after="0"/>
        <w:jc w:val="both"/>
        <w:rPr>
          <w:rFonts w:ascii="Arial" w:hAnsi="Arial" w:cs="Arial"/>
        </w:rPr>
      </w:pPr>
    </w:p>
    <w:p w:rsidR="00F55A4C" w:rsidRPr="00A628DF" w:rsidRDefault="002F25DE" w:rsidP="00441B6F">
      <w:pPr>
        <w:pStyle w:val="Body"/>
        <w:spacing w:after="0"/>
        <w:rPr>
          <w:rFonts w:ascii="Arial" w:hAnsi="Arial" w:cs="Arial"/>
        </w:rPr>
      </w:pPr>
      <w:r w:rsidRPr="00A628DF">
        <w:rPr>
          <w:rFonts w:ascii="Arial" w:hAnsi="Arial" w:cs="Arial"/>
        </w:rPr>
        <w:t xml:space="preserve">The imbalance between the production of reactive oxygen/nitrogen species (ROS/RNS) and their modulation by cellular antioxidant </w:t>
      </w:r>
      <w:proofErr w:type="spellStart"/>
      <w:r w:rsidRPr="00A628DF">
        <w:rPr>
          <w:rFonts w:ascii="Arial" w:hAnsi="Arial" w:cs="Arial"/>
        </w:rPr>
        <w:t>defences</w:t>
      </w:r>
      <w:proofErr w:type="spellEnd"/>
      <w:r w:rsidRPr="00A628DF">
        <w:rPr>
          <w:rFonts w:ascii="Arial" w:hAnsi="Arial" w:cs="Arial"/>
        </w:rPr>
        <w:t xml:space="preserve"> leads to oxidative stress (</w:t>
      </w:r>
      <w:proofErr w:type="spellStart"/>
      <w:r w:rsidRPr="00A628DF">
        <w:rPr>
          <w:rFonts w:ascii="Arial" w:hAnsi="Arial" w:cs="Arial"/>
        </w:rPr>
        <w:t>Valko</w:t>
      </w:r>
      <w:proofErr w:type="spellEnd"/>
      <w:r w:rsidRPr="00A628DF">
        <w:rPr>
          <w:rFonts w:ascii="Arial" w:hAnsi="Arial" w:cs="Arial"/>
        </w:rPr>
        <w:t xml:space="preserve"> et al., 2007; Waterman et al., 2002). Oxidative stress is </w:t>
      </w:r>
      <w:proofErr w:type="spellStart"/>
      <w:r w:rsidRPr="00A628DF">
        <w:rPr>
          <w:rFonts w:ascii="Arial" w:hAnsi="Arial" w:cs="Arial"/>
        </w:rPr>
        <w:t>recognised</w:t>
      </w:r>
      <w:proofErr w:type="spellEnd"/>
      <w:r w:rsidRPr="00A628DF">
        <w:rPr>
          <w:rFonts w:ascii="Arial" w:hAnsi="Arial" w:cs="Arial"/>
        </w:rPr>
        <w:t xml:space="preserve"> to play a major role in the pathophysiology of many human diseases, including diabetes, cancer, atherosclerosis, ageing, immunosuppression, and neurodegeneration (Harman, 1998; Reuter et Al. 2010). Several biological functions of human depend significantly on these free radicals. However, excessive production free radicals as a result of oxidative stress can start various chain reactions that can damage the cell membrane, obstruct the activity of key enzymes, prevent cellular processes essential for proper body function, inhibit normal cell division, destroy deoxyribonucleic acid (DNA), and prevent energy production if antioxidant system is unable to combat them (</w:t>
      </w:r>
      <w:proofErr w:type="spellStart"/>
      <w:r w:rsidRPr="00A628DF">
        <w:rPr>
          <w:rFonts w:ascii="Arial" w:hAnsi="Arial" w:cs="Arial"/>
        </w:rPr>
        <w:t>Kurutas</w:t>
      </w:r>
      <w:proofErr w:type="spellEnd"/>
      <w:r w:rsidRPr="00A628DF">
        <w:rPr>
          <w:rFonts w:ascii="Arial" w:hAnsi="Arial" w:cs="Arial"/>
        </w:rPr>
        <w:t>, 2015). Supplementing the diet with antioxidant substances found in natural plant products is one way to address this issue (</w:t>
      </w:r>
      <w:proofErr w:type="spellStart"/>
      <w:r w:rsidRPr="00A628DF">
        <w:rPr>
          <w:rFonts w:ascii="Arial" w:hAnsi="Arial" w:cs="Arial"/>
        </w:rPr>
        <w:t>Knekt</w:t>
      </w:r>
      <w:proofErr w:type="spellEnd"/>
      <w:r w:rsidRPr="00A628DF">
        <w:rPr>
          <w:rFonts w:ascii="Arial" w:hAnsi="Arial" w:cs="Arial"/>
        </w:rPr>
        <w:t xml:space="preserve"> et al., 1996). According to recent studies, there is a negative correlation between the consumption of foods high in </w:t>
      </w:r>
      <w:r w:rsidRPr="00A628DF">
        <w:rPr>
          <w:rFonts w:ascii="Arial" w:hAnsi="Arial" w:cs="Arial"/>
        </w:rPr>
        <w:lastRenderedPageBreak/>
        <w:t>antioxidants and the prevalence of human disease (</w:t>
      </w:r>
      <w:proofErr w:type="spellStart"/>
      <w:r w:rsidRPr="00A628DF">
        <w:rPr>
          <w:rFonts w:ascii="Arial" w:hAnsi="Arial" w:cs="Arial"/>
        </w:rPr>
        <w:t>Sies</w:t>
      </w:r>
      <w:proofErr w:type="spellEnd"/>
      <w:r w:rsidRPr="00A628DF">
        <w:rPr>
          <w:rFonts w:ascii="Arial" w:hAnsi="Arial" w:cs="Arial"/>
        </w:rPr>
        <w:t xml:space="preserve">, 1993). Butylated hydroxytoluene (BHT) and butylated </w:t>
      </w:r>
      <w:proofErr w:type="spellStart"/>
      <w:r w:rsidRPr="00A628DF">
        <w:rPr>
          <w:rFonts w:ascii="Arial" w:hAnsi="Arial" w:cs="Arial"/>
        </w:rPr>
        <w:t>hydroxyanisole</w:t>
      </w:r>
      <w:proofErr w:type="spellEnd"/>
      <w:r w:rsidRPr="00A628DF">
        <w:rPr>
          <w:rFonts w:ascii="Arial" w:hAnsi="Arial" w:cs="Arial"/>
        </w:rPr>
        <w:t xml:space="preserve"> (BHA), two synthetic antioxidants that are </w:t>
      </w:r>
      <w:r w:rsidR="005D694B" w:rsidRPr="00A628DF">
        <w:rPr>
          <w:rFonts w:ascii="Arial" w:hAnsi="Arial" w:cs="Arial"/>
        </w:rPr>
        <w:t>often</w:t>
      </w:r>
      <w:r w:rsidRPr="00A628DF">
        <w:rPr>
          <w:rFonts w:ascii="Arial" w:hAnsi="Arial" w:cs="Arial"/>
        </w:rPr>
        <w:t xml:space="preserve"> used as commercially antioxidant are toxic to human body and may cause cancer (Grice, 1988; </w:t>
      </w:r>
      <w:proofErr w:type="spellStart"/>
      <w:r w:rsidRPr="00A628DF">
        <w:rPr>
          <w:rFonts w:ascii="Arial" w:hAnsi="Arial" w:cs="Arial"/>
        </w:rPr>
        <w:t>Wichi</w:t>
      </w:r>
      <w:proofErr w:type="spellEnd"/>
      <w:r w:rsidRPr="00A628DF">
        <w:rPr>
          <w:rFonts w:ascii="Arial" w:hAnsi="Arial" w:cs="Arial"/>
        </w:rPr>
        <w:t xml:space="preserve">, 1986). Because of this, use of natural antioxidants has been increasing day by day. Numerous antioxidants found in plants serve to provide </w:t>
      </w:r>
      <w:proofErr w:type="spellStart"/>
      <w:r w:rsidRPr="00A628DF">
        <w:rPr>
          <w:rFonts w:ascii="Arial" w:hAnsi="Arial" w:cs="Arial"/>
        </w:rPr>
        <w:t>defence</w:t>
      </w:r>
      <w:proofErr w:type="spellEnd"/>
      <w:r w:rsidRPr="00A628DF">
        <w:rPr>
          <w:rFonts w:ascii="Arial" w:hAnsi="Arial" w:cs="Arial"/>
        </w:rPr>
        <w:t xml:space="preserve"> against diseases linked to free radicals (</w:t>
      </w:r>
      <w:proofErr w:type="spellStart"/>
      <w:r w:rsidRPr="00A628DF">
        <w:rPr>
          <w:rFonts w:ascii="Arial" w:hAnsi="Arial" w:cs="Arial"/>
        </w:rPr>
        <w:t>Ofoedu</w:t>
      </w:r>
      <w:proofErr w:type="spellEnd"/>
      <w:r w:rsidRPr="00A628DF">
        <w:rPr>
          <w:rFonts w:ascii="Arial" w:hAnsi="Arial" w:cs="Arial"/>
        </w:rPr>
        <w:t xml:space="preserve"> et al. 2022; Lawal et al., 2016). Plants make the majority of the antioxidant chemicals as secondary metabolites.  They are the chemical substances found in plants (phytochemicals) that are not edible but have a variety of positive health effects and disease-prevention capabilities (Ahmed et al., 2014). They include non-essential nutrients, meaning that the body does not need them to function and maintain life (Rahim et al., 2022). </w:t>
      </w:r>
      <w:r w:rsidR="00F55A4C" w:rsidRPr="00A628DF">
        <w:rPr>
          <w:rFonts w:ascii="Arial" w:hAnsi="Arial" w:cs="Arial"/>
        </w:rPr>
        <w:t>However their consumption by human provide health benefits (</w:t>
      </w:r>
      <w:proofErr w:type="spellStart"/>
      <w:r w:rsidR="00F55A4C" w:rsidRPr="00A628DF">
        <w:rPr>
          <w:rFonts w:ascii="Arial" w:hAnsi="Arial" w:cs="Arial"/>
        </w:rPr>
        <w:t>Atia</w:t>
      </w:r>
      <w:proofErr w:type="spellEnd"/>
      <w:r w:rsidR="00F55A4C" w:rsidRPr="00A628DF">
        <w:rPr>
          <w:rFonts w:ascii="Arial" w:hAnsi="Arial" w:cs="Arial"/>
        </w:rPr>
        <w:t xml:space="preserve">, 2014; </w:t>
      </w:r>
      <w:proofErr w:type="spellStart"/>
      <w:r w:rsidR="00F55A4C" w:rsidRPr="00A628DF">
        <w:rPr>
          <w:rFonts w:ascii="Arial" w:hAnsi="Arial" w:cs="Arial"/>
        </w:rPr>
        <w:t>Ahaotu</w:t>
      </w:r>
      <w:proofErr w:type="spellEnd"/>
      <w:r w:rsidR="00F55A4C" w:rsidRPr="00A628DF">
        <w:rPr>
          <w:rFonts w:ascii="Arial" w:hAnsi="Arial" w:cs="Arial"/>
        </w:rPr>
        <w:t xml:space="preserve"> et al. 2020).</w:t>
      </w:r>
    </w:p>
    <w:p w:rsidR="00EC3BE4" w:rsidRPr="00A628DF" w:rsidRDefault="00F55A4C" w:rsidP="00441B6F">
      <w:pPr>
        <w:pStyle w:val="Body"/>
        <w:spacing w:after="0"/>
        <w:rPr>
          <w:rFonts w:ascii="Arial" w:hAnsi="Arial" w:cs="Arial"/>
        </w:rPr>
      </w:pPr>
      <w:r w:rsidRPr="00A628DF">
        <w:rPr>
          <w:rStyle w:val="Emphasis"/>
        </w:rPr>
        <w:t xml:space="preserve">Vernonia </w:t>
      </w:r>
      <w:proofErr w:type="spellStart"/>
      <w:r w:rsidRPr="00A628DF">
        <w:rPr>
          <w:rStyle w:val="Emphasis"/>
        </w:rPr>
        <w:t>amygdalina</w:t>
      </w:r>
      <w:proofErr w:type="spellEnd"/>
      <w:r w:rsidR="00E14AEB" w:rsidRPr="00A628DF">
        <w:rPr>
          <w:rStyle w:val="Emphasis"/>
        </w:rPr>
        <w:t xml:space="preserve"> </w:t>
      </w:r>
      <w:r w:rsidR="00E14AEB" w:rsidRPr="00A628DF">
        <w:rPr>
          <w:rStyle w:val="Emphasis"/>
          <w:i w:val="0"/>
        </w:rPr>
        <w:t>(Bitter leaf)</w:t>
      </w:r>
      <w:r w:rsidRPr="00A628DF">
        <w:t xml:space="preserve">, a member of the order </w:t>
      </w:r>
      <w:proofErr w:type="spellStart"/>
      <w:r w:rsidRPr="00A628DF">
        <w:rPr>
          <w:rStyle w:val="Strong"/>
          <w:b w:val="0"/>
        </w:rPr>
        <w:t>Asterales</w:t>
      </w:r>
      <w:proofErr w:type="spellEnd"/>
      <w:r w:rsidRPr="00A628DF">
        <w:rPr>
          <w:b/>
        </w:rPr>
        <w:t>,</w:t>
      </w:r>
      <w:r w:rsidRPr="00A628DF">
        <w:t xml:space="preserve"> is well recognized for its diverse medicinal applications (</w:t>
      </w:r>
      <w:proofErr w:type="spellStart"/>
      <w:r w:rsidRPr="00A628DF">
        <w:t>Toyang</w:t>
      </w:r>
      <w:proofErr w:type="spellEnd"/>
      <w:r w:rsidRPr="00A628DF">
        <w:t xml:space="preserve"> &amp; </w:t>
      </w:r>
      <w:proofErr w:type="spellStart"/>
      <w:r w:rsidRPr="00A628DF">
        <w:t>Verpoorte</w:t>
      </w:r>
      <w:proofErr w:type="spellEnd"/>
      <w:r w:rsidRPr="00A628DF">
        <w:t xml:space="preserve">, 2013). The plant contains a wide range of bioactive compounds that contribute to its therapeutic potential. Traditionally, </w:t>
      </w:r>
      <w:r w:rsidRPr="00A628DF">
        <w:rPr>
          <w:rStyle w:val="Emphasis"/>
        </w:rPr>
        <w:t xml:space="preserve">V. </w:t>
      </w:r>
      <w:proofErr w:type="spellStart"/>
      <w:r w:rsidRPr="00A628DF">
        <w:rPr>
          <w:rStyle w:val="Emphasis"/>
        </w:rPr>
        <w:t>amygdalina</w:t>
      </w:r>
      <w:proofErr w:type="spellEnd"/>
      <w:r w:rsidRPr="00A628DF">
        <w:t xml:space="preserve"> has been employed in the treatment of typhoid, inflammatory disorders, malaria, kidney ailments, and gastrointestinal problems. Moreover, it has also been reported to play a role in the management of cancer and obesity.</w:t>
      </w:r>
      <w:r w:rsidRPr="00A628DF">
        <w:rPr>
          <w:rFonts w:ascii="Arial" w:hAnsi="Arial" w:cs="Arial"/>
        </w:rPr>
        <w:t xml:space="preserve"> </w:t>
      </w:r>
      <w:r w:rsidR="00EC3BE4" w:rsidRPr="00A628DF">
        <w:rPr>
          <w:rFonts w:ascii="Arial" w:hAnsi="Arial" w:cs="Arial"/>
        </w:rPr>
        <w:t>(</w:t>
      </w:r>
      <w:proofErr w:type="spellStart"/>
      <w:r w:rsidR="00EC3BE4" w:rsidRPr="00A628DF">
        <w:rPr>
          <w:rFonts w:ascii="Arial" w:hAnsi="Arial" w:cs="Arial"/>
        </w:rPr>
        <w:t>Akah</w:t>
      </w:r>
      <w:proofErr w:type="spellEnd"/>
      <w:r w:rsidR="00EC3BE4" w:rsidRPr="00A628DF">
        <w:rPr>
          <w:rFonts w:ascii="Arial" w:hAnsi="Arial" w:cs="Arial"/>
        </w:rPr>
        <w:t xml:space="preserve"> and </w:t>
      </w:r>
      <w:proofErr w:type="spellStart"/>
      <w:r w:rsidR="00EC3BE4" w:rsidRPr="00A628DF">
        <w:rPr>
          <w:rFonts w:ascii="Arial" w:hAnsi="Arial" w:cs="Arial"/>
        </w:rPr>
        <w:t>Ekekwe</w:t>
      </w:r>
      <w:proofErr w:type="spellEnd"/>
      <w:r w:rsidR="00EC3BE4" w:rsidRPr="00A628DF">
        <w:rPr>
          <w:rFonts w:ascii="Arial" w:hAnsi="Arial" w:cs="Arial"/>
        </w:rPr>
        <w:t xml:space="preserve">, 1995; </w:t>
      </w:r>
      <w:proofErr w:type="spellStart"/>
      <w:r w:rsidR="00EC3BE4" w:rsidRPr="00A628DF">
        <w:rPr>
          <w:rFonts w:ascii="Arial" w:hAnsi="Arial" w:cs="Arial"/>
        </w:rPr>
        <w:t>Yedjou</w:t>
      </w:r>
      <w:proofErr w:type="spellEnd"/>
      <w:r w:rsidR="00EC3BE4" w:rsidRPr="00A628DF">
        <w:rPr>
          <w:rFonts w:ascii="Arial" w:hAnsi="Arial" w:cs="Arial"/>
        </w:rPr>
        <w:t xml:space="preserve"> et al., 2018; </w:t>
      </w:r>
      <w:proofErr w:type="spellStart"/>
      <w:r w:rsidR="00EC3BE4" w:rsidRPr="00A628DF">
        <w:rPr>
          <w:rFonts w:ascii="Arial" w:hAnsi="Arial" w:cs="Arial"/>
        </w:rPr>
        <w:t>Fadimu</w:t>
      </w:r>
      <w:proofErr w:type="spellEnd"/>
      <w:r w:rsidR="00EC3BE4" w:rsidRPr="00A628DF">
        <w:rPr>
          <w:rFonts w:ascii="Arial" w:hAnsi="Arial" w:cs="Arial"/>
        </w:rPr>
        <w:t xml:space="preserve"> et al., 2014; </w:t>
      </w:r>
      <w:proofErr w:type="spellStart"/>
      <w:r w:rsidR="00EC3BE4" w:rsidRPr="00A628DF">
        <w:rPr>
          <w:rFonts w:ascii="Arial" w:hAnsi="Arial" w:cs="Arial"/>
        </w:rPr>
        <w:t>Okpe</w:t>
      </w:r>
      <w:proofErr w:type="spellEnd"/>
      <w:r w:rsidR="00EC3BE4" w:rsidRPr="00A628DF">
        <w:rPr>
          <w:rFonts w:ascii="Arial" w:hAnsi="Arial" w:cs="Arial"/>
        </w:rPr>
        <w:t xml:space="preserve"> et al., 2016; Asante et al., 2019; </w:t>
      </w:r>
      <w:proofErr w:type="spellStart"/>
      <w:r w:rsidR="00EC3BE4" w:rsidRPr="00A628DF">
        <w:rPr>
          <w:rFonts w:ascii="Arial" w:hAnsi="Arial" w:cs="Arial"/>
        </w:rPr>
        <w:t>Atangwho</w:t>
      </w:r>
      <w:proofErr w:type="spellEnd"/>
      <w:r w:rsidR="00EC3BE4" w:rsidRPr="00A628DF">
        <w:rPr>
          <w:rFonts w:ascii="Arial" w:hAnsi="Arial" w:cs="Arial"/>
        </w:rPr>
        <w:t xml:space="preserve"> et al., 2012).</w:t>
      </w:r>
    </w:p>
    <w:p w:rsidR="00EC3BE4" w:rsidRPr="00A628DF" w:rsidRDefault="00F55A4C" w:rsidP="00441B6F">
      <w:pPr>
        <w:pStyle w:val="Body"/>
        <w:spacing w:after="0"/>
        <w:rPr>
          <w:rFonts w:ascii="Arial" w:hAnsi="Arial" w:cs="Arial"/>
        </w:rPr>
      </w:pPr>
      <w:r w:rsidRPr="00A628DF">
        <w:rPr>
          <w:rFonts w:ascii="Arial" w:hAnsi="Arial" w:cs="Arial"/>
          <w:i/>
        </w:rPr>
        <w:t>Melia azedarach</w:t>
      </w:r>
      <w:r w:rsidRPr="00A628DF">
        <w:rPr>
          <w:rFonts w:ascii="Arial" w:hAnsi="Arial" w:cs="Arial"/>
        </w:rPr>
        <w:t>, commonly known as the chinaberry tree, is widely valued in traditional medicine for its diverse therapeutic properties. Extracts from various plant parts have exhibited antibacterial, antifungal and anti-inflammatory activities (</w:t>
      </w:r>
      <w:proofErr w:type="spellStart"/>
      <w:r w:rsidRPr="00A628DF">
        <w:rPr>
          <w:rFonts w:ascii="Arial" w:hAnsi="Arial" w:cs="Arial"/>
        </w:rPr>
        <w:t>Akacha</w:t>
      </w:r>
      <w:proofErr w:type="spellEnd"/>
      <w:r w:rsidRPr="00A628DF">
        <w:rPr>
          <w:rFonts w:ascii="Arial" w:hAnsi="Arial" w:cs="Arial"/>
        </w:rPr>
        <w:t xml:space="preserve"> et al., 2016). Limonoids isolated from the plant showed potent insecticidal and antifeedant properties, making it a potential natural pesticide (</w:t>
      </w:r>
      <w:proofErr w:type="spellStart"/>
      <w:r w:rsidRPr="00A628DF">
        <w:rPr>
          <w:rFonts w:ascii="Arial" w:hAnsi="Arial" w:cs="Arial"/>
        </w:rPr>
        <w:t>Carpinella</w:t>
      </w:r>
      <w:proofErr w:type="spellEnd"/>
      <w:r w:rsidRPr="00A628DF">
        <w:rPr>
          <w:rFonts w:ascii="Arial" w:hAnsi="Arial" w:cs="Arial"/>
        </w:rPr>
        <w:t xml:space="preserve"> et al., 2003). In addition, certain compounds from </w:t>
      </w:r>
      <w:r w:rsidRPr="00A628DF">
        <w:rPr>
          <w:rFonts w:ascii="Arial" w:hAnsi="Arial" w:cs="Arial"/>
          <w:i/>
        </w:rPr>
        <w:t>M. azedarach</w:t>
      </w:r>
      <w:r w:rsidRPr="00A628DF">
        <w:rPr>
          <w:rFonts w:ascii="Arial" w:hAnsi="Arial" w:cs="Arial"/>
        </w:rPr>
        <w:t xml:space="preserve"> have shown promising antiviral effects (</w:t>
      </w:r>
      <w:proofErr w:type="spellStart"/>
      <w:r w:rsidRPr="00A628DF">
        <w:rPr>
          <w:rFonts w:ascii="Arial" w:hAnsi="Arial" w:cs="Arial"/>
        </w:rPr>
        <w:t>Alché</w:t>
      </w:r>
      <w:proofErr w:type="spellEnd"/>
      <w:r w:rsidRPr="00A628DF">
        <w:rPr>
          <w:rFonts w:ascii="Arial" w:hAnsi="Arial" w:cs="Arial"/>
        </w:rPr>
        <w:t xml:space="preserve"> et al., 2002).</w:t>
      </w:r>
    </w:p>
    <w:p w:rsidR="00383BF3" w:rsidRPr="00A628DF" w:rsidRDefault="00383BF3" w:rsidP="00441B6F">
      <w:pPr>
        <w:pStyle w:val="Body"/>
        <w:spacing w:after="0"/>
        <w:rPr>
          <w:rFonts w:ascii="Arial" w:hAnsi="Arial" w:cs="Arial"/>
        </w:rPr>
      </w:pPr>
    </w:p>
    <w:p w:rsidR="00790ADA" w:rsidRPr="00A628DF" w:rsidRDefault="002F25DE" w:rsidP="00441B6F">
      <w:pPr>
        <w:pStyle w:val="Body"/>
        <w:spacing w:after="0"/>
        <w:rPr>
          <w:rFonts w:ascii="Arial" w:hAnsi="Arial" w:cs="Arial"/>
        </w:rPr>
      </w:pPr>
      <w:r w:rsidRPr="00A628DF">
        <w:rPr>
          <w:rFonts w:ascii="Arial" w:hAnsi="Arial" w:cs="Arial"/>
        </w:rPr>
        <w:t xml:space="preserve">Keeping this in mind, the present study was planned to evaluate antioxidant potential of aqueous extracts of </w:t>
      </w:r>
      <w:r w:rsidRPr="00A628DF">
        <w:rPr>
          <w:rFonts w:ascii="Arial" w:hAnsi="Arial" w:cs="Arial"/>
          <w:i/>
        </w:rPr>
        <w:t>Melia azedarach</w:t>
      </w:r>
      <w:r w:rsidRPr="00A628DF">
        <w:rPr>
          <w:rFonts w:ascii="Arial" w:hAnsi="Arial" w:cs="Arial"/>
        </w:rPr>
        <w:t xml:space="preserve"> and </w:t>
      </w:r>
      <w:r w:rsidRPr="00A628DF">
        <w:rPr>
          <w:rFonts w:ascii="Arial" w:hAnsi="Arial" w:cs="Arial"/>
          <w:i/>
        </w:rPr>
        <w:t xml:space="preserve">Vernonia </w:t>
      </w:r>
      <w:proofErr w:type="spellStart"/>
      <w:r w:rsidRPr="00A628DF">
        <w:rPr>
          <w:rFonts w:ascii="Arial" w:hAnsi="Arial" w:cs="Arial"/>
          <w:i/>
        </w:rPr>
        <w:t>amygdalina</w:t>
      </w:r>
      <w:proofErr w:type="spellEnd"/>
      <w:r w:rsidRPr="00A628DF">
        <w:rPr>
          <w:rFonts w:ascii="Arial" w:hAnsi="Arial" w:cs="Arial"/>
          <w:i/>
        </w:rPr>
        <w:t>.</w:t>
      </w:r>
    </w:p>
    <w:p w:rsidR="002F25DE" w:rsidRPr="00A628DF" w:rsidRDefault="002F25DE" w:rsidP="00441B6F">
      <w:pPr>
        <w:pStyle w:val="Body"/>
        <w:spacing w:after="0"/>
        <w:rPr>
          <w:rFonts w:ascii="Arial" w:hAnsi="Arial" w:cs="Arial"/>
        </w:rPr>
      </w:pPr>
    </w:p>
    <w:p w:rsidR="007F7B32" w:rsidRPr="00A628DF" w:rsidRDefault="00902823" w:rsidP="00441B6F">
      <w:pPr>
        <w:pStyle w:val="AbstHead"/>
        <w:spacing w:after="0"/>
        <w:jc w:val="both"/>
        <w:rPr>
          <w:rFonts w:ascii="Arial" w:hAnsi="Arial" w:cs="Arial"/>
        </w:rPr>
      </w:pPr>
      <w:r w:rsidRPr="00A628DF">
        <w:rPr>
          <w:rFonts w:ascii="Arial" w:hAnsi="Arial" w:cs="Arial"/>
        </w:rPr>
        <w:t>2. material and method</w:t>
      </w:r>
      <w:r w:rsidR="005A1ABE" w:rsidRPr="00A628DF">
        <w:rPr>
          <w:rFonts w:ascii="Arial" w:hAnsi="Arial" w:cs="Arial"/>
        </w:rPr>
        <w:t>s</w:t>
      </w:r>
    </w:p>
    <w:p w:rsidR="00790ADA" w:rsidRPr="00A628DF" w:rsidRDefault="00790ADA" w:rsidP="00441B6F">
      <w:pPr>
        <w:pStyle w:val="AbstHead"/>
        <w:spacing w:after="0"/>
        <w:jc w:val="both"/>
        <w:rPr>
          <w:rFonts w:ascii="Arial" w:hAnsi="Arial" w:cs="Arial"/>
        </w:rPr>
      </w:pPr>
    </w:p>
    <w:p w:rsidR="005A1ABE" w:rsidRPr="00A628DF" w:rsidRDefault="005A1ABE" w:rsidP="005A1ABE">
      <w:pPr>
        <w:jc w:val="both"/>
        <w:rPr>
          <w:rFonts w:ascii="Arial" w:hAnsi="Arial" w:cs="Arial"/>
          <w:b/>
          <w:i/>
          <w:sz w:val="22"/>
          <w:szCs w:val="22"/>
        </w:rPr>
      </w:pPr>
      <w:r w:rsidRPr="00A628DF">
        <w:rPr>
          <w:rFonts w:ascii="Arial" w:hAnsi="Arial" w:cs="Arial"/>
          <w:b/>
          <w:i/>
          <w:sz w:val="22"/>
          <w:szCs w:val="22"/>
        </w:rPr>
        <w:t>Chemicals</w:t>
      </w:r>
    </w:p>
    <w:p w:rsidR="005A1ABE" w:rsidRPr="00A628DF" w:rsidRDefault="005A1ABE" w:rsidP="005A1ABE">
      <w:pPr>
        <w:jc w:val="both"/>
        <w:rPr>
          <w:rFonts w:ascii="Arial" w:hAnsi="Arial" w:cs="Arial"/>
        </w:rPr>
      </w:pPr>
      <w:r w:rsidRPr="00A628DF">
        <w:rPr>
          <w:rFonts w:ascii="Arial" w:hAnsi="Arial" w:cs="Arial"/>
        </w:rPr>
        <w:t xml:space="preserve">2, 2- Diphenyl-1-picrylhydrazyl (DPPH), Nicotinamide adenine dinucleotide (NADH), Phenazine methosulphate, </w:t>
      </w:r>
      <w:proofErr w:type="spellStart"/>
      <w:r w:rsidRPr="00A628DF">
        <w:rPr>
          <w:rFonts w:ascii="Arial" w:hAnsi="Arial" w:cs="Arial"/>
        </w:rPr>
        <w:t>Nitrobluetetrazolium</w:t>
      </w:r>
      <w:proofErr w:type="spellEnd"/>
      <w:r w:rsidRPr="00A628DF">
        <w:rPr>
          <w:rFonts w:ascii="Arial" w:hAnsi="Arial" w:cs="Arial"/>
        </w:rPr>
        <w:t xml:space="preserve"> etc. were purchased from </w:t>
      </w:r>
      <w:proofErr w:type="spellStart"/>
      <w:r w:rsidRPr="00A628DF">
        <w:rPr>
          <w:rFonts w:ascii="Arial" w:hAnsi="Arial" w:cs="Arial"/>
        </w:rPr>
        <w:t>HiMedia</w:t>
      </w:r>
      <w:proofErr w:type="spellEnd"/>
      <w:r w:rsidRPr="00A628DF">
        <w:rPr>
          <w:rFonts w:ascii="Arial" w:hAnsi="Arial" w:cs="Arial"/>
        </w:rPr>
        <w:t xml:space="preserve"> Pvt. Limited. Mumbai, India. 2,2-azinobis (3-ethylbenzothiazoline-6-sulfonate) (ABTS) and Potassium persulfate were purchased from Sigma Chemical Co. (St Louis, MO, USA).</w:t>
      </w:r>
    </w:p>
    <w:p w:rsidR="005A1ABE" w:rsidRPr="00A628DF" w:rsidRDefault="005A1ABE" w:rsidP="005A1ABE">
      <w:pPr>
        <w:autoSpaceDE w:val="0"/>
        <w:autoSpaceDN w:val="0"/>
        <w:adjustRightInd w:val="0"/>
        <w:spacing w:before="240"/>
        <w:rPr>
          <w:rFonts w:ascii="Arial" w:hAnsi="Arial" w:cs="Arial"/>
          <w:b/>
          <w:bCs/>
          <w:i/>
          <w:iCs/>
          <w:sz w:val="22"/>
          <w:szCs w:val="22"/>
        </w:rPr>
      </w:pPr>
      <w:r w:rsidRPr="00A628DF">
        <w:rPr>
          <w:rFonts w:ascii="Arial" w:hAnsi="Arial" w:cs="Arial"/>
          <w:b/>
          <w:bCs/>
          <w:i/>
          <w:iCs/>
          <w:sz w:val="22"/>
          <w:szCs w:val="22"/>
        </w:rPr>
        <w:t>Collection of plant material and extraction</w:t>
      </w:r>
    </w:p>
    <w:p w:rsidR="005A1ABE" w:rsidRPr="00A628DF" w:rsidRDefault="005A1ABE" w:rsidP="005A1ABE">
      <w:pPr>
        <w:autoSpaceDE w:val="0"/>
        <w:autoSpaceDN w:val="0"/>
        <w:adjustRightInd w:val="0"/>
        <w:jc w:val="both"/>
        <w:rPr>
          <w:rFonts w:ascii="Arial" w:hAnsi="Arial" w:cs="Arial"/>
        </w:rPr>
      </w:pPr>
      <w:r w:rsidRPr="00A628DF">
        <w:rPr>
          <w:rFonts w:ascii="Arial" w:hAnsi="Arial" w:cs="Arial"/>
        </w:rPr>
        <w:t xml:space="preserve">The leaves of the </w:t>
      </w:r>
      <w:r w:rsidRPr="00A628DF">
        <w:rPr>
          <w:rFonts w:ascii="Arial" w:hAnsi="Arial" w:cs="Arial"/>
          <w:i/>
        </w:rPr>
        <w:t>Melia azedarach</w:t>
      </w:r>
      <w:r w:rsidRPr="00A628DF">
        <w:rPr>
          <w:rFonts w:ascii="Arial" w:hAnsi="Arial" w:cs="Arial"/>
        </w:rPr>
        <w:t xml:space="preserve"> L. and </w:t>
      </w:r>
      <w:r w:rsidRPr="00A628DF">
        <w:rPr>
          <w:rFonts w:ascii="Arial" w:hAnsi="Arial" w:cs="Arial"/>
          <w:i/>
        </w:rPr>
        <w:t xml:space="preserve">Vernonia </w:t>
      </w:r>
      <w:proofErr w:type="spellStart"/>
      <w:r w:rsidRPr="00A628DF">
        <w:rPr>
          <w:rFonts w:ascii="Arial" w:hAnsi="Arial" w:cs="Arial"/>
          <w:i/>
        </w:rPr>
        <w:t>amygdalina</w:t>
      </w:r>
      <w:proofErr w:type="spellEnd"/>
      <w:r w:rsidRPr="00A628DF">
        <w:rPr>
          <w:rFonts w:ascii="Arial" w:hAnsi="Arial" w:cs="Arial"/>
          <w:i/>
        </w:rPr>
        <w:t xml:space="preserve"> </w:t>
      </w:r>
      <w:r w:rsidRPr="00A628DF">
        <w:rPr>
          <w:rFonts w:ascii="Arial" w:hAnsi="Arial" w:cs="Arial"/>
        </w:rPr>
        <w:t>Del. were collected in the month of June from campus of SD College Barnala, Punjab, India</w:t>
      </w:r>
      <w:r w:rsidR="00C1354A" w:rsidRPr="00A628DF">
        <w:rPr>
          <w:rFonts w:ascii="Arial" w:hAnsi="Arial" w:cs="Arial"/>
        </w:rPr>
        <w:t xml:space="preserve"> (Fig. 1)</w:t>
      </w:r>
      <w:r w:rsidRPr="00A628DF">
        <w:rPr>
          <w:rFonts w:ascii="Arial" w:hAnsi="Arial" w:cs="Arial"/>
        </w:rPr>
        <w:t xml:space="preserve">.  Leaves (20 g) of both plants were washed and finely powdered using grinder and percolated in double distilled water (300 mL) for 24h at room temperature. The miscella so obtained was concentrated using rotary vacuum evaporator and finally dried to obtain aqueous extracts of </w:t>
      </w:r>
      <w:r w:rsidRPr="00A628DF">
        <w:rPr>
          <w:rFonts w:ascii="Arial" w:hAnsi="Arial" w:cs="Arial"/>
          <w:i/>
        </w:rPr>
        <w:t>Melia azedarach</w:t>
      </w:r>
      <w:r w:rsidRPr="00A628DF">
        <w:rPr>
          <w:rFonts w:ascii="Arial" w:hAnsi="Arial" w:cs="Arial"/>
        </w:rPr>
        <w:t xml:space="preserve"> (AEMA) and </w:t>
      </w:r>
      <w:r w:rsidRPr="00A628DF">
        <w:rPr>
          <w:rFonts w:ascii="Arial" w:hAnsi="Arial" w:cs="Arial"/>
          <w:i/>
        </w:rPr>
        <w:t xml:space="preserve">Vernonia </w:t>
      </w:r>
      <w:proofErr w:type="spellStart"/>
      <w:r w:rsidRPr="00A628DF">
        <w:rPr>
          <w:rFonts w:ascii="Arial" w:hAnsi="Arial" w:cs="Arial"/>
          <w:i/>
        </w:rPr>
        <w:t>amygdalina</w:t>
      </w:r>
      <w:proofErr w:type="spellEnd"/>
      <w:r w:rsidRPr="00A628DF">
        <w:rPr>
          <w:rFonts w:ascii="Arial" w:hAnsi="Arial" w:cs="Arial"/>
          <w:i/>
        </w:rPr>
        <w:t xml:space="preserve"> </w:t>
      </w:r>
      <w:r w:rsidRPr="00A628DF">
        <w:rPr>
          <w:rFonts w:ascii="Arial" w:hAnsi="Arial" w:cs="Arial"/>
        </w:rPr>
        <w:t>(AEVA).</w:t>
      </w:r>
    </w:p>
    <w:p w:rsidR="005A1ABE" w:rsidRPr="00A628DF" w:rsidRDefault="005A1ABE" w:rsidP="005A1ABE">
      <w:pPr>
        <w:autoSpaceDE w:val="0"/>
        <w:autoSpaceDN w:val="0"/>
        <w:adjustRightInd w:val="0"/>
        <w:jc w:val="both"/>
        <w:rPr>
          <w:rFonts w:ascii="Arial" w:hAnsi="Arial" w:cs="Arial"/>
        </w:rPr>
      </w:pPr>
    </w:p>
    <w:p w:rsidR="00FE320F" w:rsidRPr="00A628DF" w:rsidRDefault="00FE320F" w:rsidP="005A1ABE">
      <w:pPr>
        <w:autoSpaceDE w:val="0"/>
        <w:autoSpaceDN w:val="0"/>
        <w:adjustRightInd w:val="0"/>
        <w:jc w:val="both"/>
        <w:rPr>
          <w:rFonts w:ascii="Arial" w:hAnsi="Arial" w:cs="Arial"/>
        </w:rPr>
      </w:pPr>
    </w:p>
    <w:p w:rsidR="00A44C6E" w:rsidRPr="00A628DF" w:rsidRDefault="005D694B" w:rsidP="00A44C6E">
      <w:pPr>
        <w:pStyle w:val="NormalWeb"/>
        <w:spacing w:before="0" w:beforeAutospacing="0" w:after="0" w:afterAutospacing="0"/>
      </w:pPr>
      <w:r w:rsidRPr="00A628DF">
        <w:lastRenderedPageBreak/>
        <w:t xml:space="preserve">        </w:t>
      </w:r>
      <w:r w:rsidR="00A44C6E" w:rsidRPr="00A628DF">
        <w:rPr>
          <w:noProof/>
        </w:rPr>
        <w:drawing>
          <wp:inline distT="0" distB="0" distL="0" distR="0">
            <wp:extent cx="2275205" cy="2424223"/>
            <wp:effectExtent l="0" t="0" r="0" b="0"/>
            <wp:docPr id="11" name="Picture 11" descr="C:\Users\Manish\Downloads\WhatsApp Image 2025-09-11 at 5.24.01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C:\Users\Manish\Downloads\WhatsApp Image 2025-09-11 at 5.24.01 PM.jpe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82203" cy="2431679"/>
                    </a:xfrm>
                    <a:prstGeom prst="rect">
                      <a:avLst/>
                    </a:prstGeom>
                    <a:noFill/>
                    <a:ln>
                      <a:noFill/>
                    </a:ln>
                  </pic:spPr>
                </pic:pic>
              </a:graphicData>
            </a:graphic>
          </wp:inline>
        </w:drawing>
      </w:r>
      <w:r w:rsidRPr="00A628DF">
        <w:t xml:space="preserve">     </w:t>
      </w:r>
      <w:r w:rsidRPr="00A628DF">
        <w:rPr>
          <w:noProof/>
        </w:rPr>
        <w:drawing>
          <wp:inline distT="0" distB="0" distL="0" distR="0">
            <wp:extent cx="2124075" cy="2409825"/>
            <wp:effectExtent l="0" t="0" r="0" b="0"/>
            <wp:docPr id="2" name="Picture 2" descr="C:\Users\Manish\Downloads\WhatsApp Image 2025-09-12 at 4.17.06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anish\Downloads\WhatsApp Image 2025-09-12 at 4.17.06 PM.jpe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24075" cy="2409825"/>
                    </a:xfrm>
                    <a:prstGeom prst="rect">
                      <a:avLst/>
                    </a:prstGeom>
                    <a:noFill/>
                    <a:ln>
                      <a:noFill/>
                    </a:ln>
                  </pic:spPr>
                </pic:pic>
              </a:graphicData>
            </a:graphic>
          </wp:inline>
        </w:drawing>
      </w:r>
    </w:p>
    <w:p w:rsidR="00A44C6E" w:rsidRPr="00A628DF" w:rsidRDefault="00A44C6E" w:rsidP="00A44C6E">
      <w:pPr>
        <w:autoSpaceDE w:val="0"/>
        <w:autoSpaceDN w:val="0"/>
        <w:adjustRightInd w:val="0"/>
        <w:jc w:val="both"/>
        <w:rPr>
          <w:rFonts w:ascii="Arial" w:hAnsi="Arial" w:cs="Arial"/>
        </w:rPr>
      </w:pPr>
      <w:r w:rsidRPr="00A628DF">
        <w:rPr>
          <w:rFonts w:ascii="Arial" w:hAnsi="Arial" w:cs="Arial"/>
        </w:rPr>
        <w:t xml:space="preserve">                           </w:t>
      </w:r>
    </w:p>
    <w:p w:rsidR="00FE320F" w:rsidRPr="00A628DF" w:rsidRDefault="00A44C6E" w:rsidP="00A44C6E">
      <w:pPr>
        <w:autoSpaceDE w:val="0"/>
        <w:autoSpaceDN w:val="0"/>
        <w:adjustRightInd w:val="0"/>
        <w:rPr>
          <w:rFonts w:ascii="Arial" w:hAnsi="Arial" w:cs="Arial"/>
        </w:rPr>
      </w:pPr>
      <w:r w:rsidRPr="00A628DF">
        <w:rPr>
          <w:rFonts w:ascii="Arial" w:hAnsi="Arial" w:cs="Arial"/>
        </w:rPr>
        <w:t xml:space="preserve">                                 </w:t>
      </w:r>
      <w:r w:rsidR="005D694B" w:rsidRPr="00A628DF">
        <w:rPr>
          <w:rFonts w:ascii="Arial" w:hAnsi="Arial" w:cs="Arial"/>
        </w:rPr>
        <w:t xml:space="preserve">  </w:t>
      </w:r>
      <w:r w:rsidRPr="00A628DF">
        <w:rPr>
          <w:rFonts w:ascii="Arial" w:hAnsi="Arial" w:cs="Arial"/>
        </w:rPr>
        <w:t xml:space="preserve"> (A)</w:t>
      </w:r>
      <w:r w:rsidR="005D694B" w:rsidRPr="00A628DF">
        <w:rPr>
          <w:rFonts w:ascii="Arial" w:hAnsi="Arial" w:cs="Arial"/>
        </w:rPr>
        <w:t xml:space="preserve">                                                               (B)</w:t>
      </w:r>
    </w:p>
    <w:p w:rsidR="00FE320F" w:rsidRPr="00A628DF" w:rsidRDefault="00A44C6E" w:rsidP="005A1ABE">
      <w:pPr>
        <w:autoSpaceDE w:val="0"/>
        <w:autoSpaceDN w:val="0"/>
        <w:adjustRightInd w:val="0"/>
        <w:jc w:val="both"/>
        <w:rPr>
          <w:rFonts w:ascii="Arial" w:hAnsi="Arial" w:cs="Arial"/>
        </w:rPr>
      </w:pPr>
      <w:r w:rsidRPr="00A628DF">
        <w:rPr>
          <w:rFonts w:ascii="Arial" w:hAnsi="Arial" w:cs="Arial"/>
        </w:rPr>
        <w:t xml:space="preserve">Fig. 1. Photographs showing plants of </w:t>
      </w:r>
      <w:r w:rsidRPr="00A628DF">
        <w:rPr>
          <w:rFonts w:ascii="Arial" w:hAnsi="Arial" w:cs="Arial"/>
          <w:i/>
        </w:rPr>
        <w:t>Melia azedarach</w:t>
      </w:r>
      <w:r w:rsidRPr="00A628DF">
        <w:rPr>
          <w:rFonts w:ascii="Arial" w:hAnsi="Arial" w:cs="Arial"/>
        </w:rPr>
        <w:t xml:space="preserve"> (A) and </w:t>
      </w:r>
      <w:r w:rsidRPr="00A628DF">
        <w:rPr>
          <w:rFonts w:ascii="Arial" w:hAnsi="Arial" w:cs="Arial"/>
          <w:i/>
        </w:rPr>
        <w:t xml:space="preserve">Vernonia </w:t>
      </w:r>
      <w:proofErr w:type="spellStart"/>
      <w:r w:rsidRPr="00A628DF">
        <w:rPr>
          <w:rFonts w:ascii="Arial" w:hAnsi="Arial" w:cs="Arial"/>
          <w:i/>
        </w:rPr>
        <w:t>amygdalina</w:t>
      </w:r>
      <w:proofErr w:type="spellEnd"/>
      <w:r w:rsidRPr="00A628DF">
        <w:rPr>
          <w:rFonts w:ascii="Arial" w:hAnsi="Arial" w:cs="Arial"/>
          <w:i/>
        </w:rPr>
        <w:t xml:space="preserve"> (B)</w:t>
      </w:r>
    </w:p>
    <w:p w:rsidR="00CD1065" w:rsidRPr="00A628DF" w:rsidRDefault="00CD1065" w:rsidP="005A1ABE">
      <w:pPr>
        <w:autoSpaceDE w:val="0"/>
        <w:autoSpaceDN w:val="0"/>
        <w:adjustRightInd w:val="0"/>
        <w:jc w:val="both"/>
        <w:rPr>
          <w:rFonts w:ascii="Arial" w:hAnsi="Arial" w:cs="Arial"/>
          <w:b/>
          <w:sz w:val="22"/>
          <w:szCs w:val="22"/>
        </w:rPr>
      </w:pPr>
    </w:p>
    <w:p w:rsidR="005A1ABE" w:rsidRPr="00A628DF" w:rsidRDefault="005A1ABE" w:rsidP="005A1ABE">
      <w:pPr>
        <w:autoSpaceDE w:val="0"/>
        <w:autoSpaceDN w:val="0"/>
        <w:adjustRightInd w:val="0"/>
        <w:jc w:val="both"/>
        <w:rPr>
          <w:rFonts w:ascii="Arial" w:hAnsi="Arial" w:cs="Arial"/>
          <w:b/>
          <w:sz w:val="22"/>
          <w:szCs w:val="22"/>
        </w:rPr>
      </w:pPr>
      <w:r w:rsidRPr="00A628DF">
        <w:rPr>
          <w:rFonts w:ascii="Arial" w:hAnsi="Arial" w:cs="Arial"/>
          <w:b/>
          <w:sz w:val="22"/>
          <w:szCs w:val="22"/>
        </w:rPr>
        <w:t>Antioxidant Assays</w:t>
      </w:r>
    </w:p>
    <w:p w:rsidR="005A1ABE" w:rsidRPr="00A628DF" w:rsidRDefault="005A1ABE" w:rsidP="005A1ABE">
      <w:pPr>
        <w:autoSpaceDE w:val="0"/>
        <w:autoSpaceDN w:val="0"/>
        <w:adjustRightInd w:val="0"/>
        <w:rPr>
          <w:rFonts w:ascii="Arial" w:hAnsi="Arial" w:cs="Arial"/>
          <w:b/>
          <w:bCs/>
          <w:i/>
          <w:iCs/>
          <w:sz w:val="22"/>
          <w:szCs w:val="22"/>
        </w:rPr>
      </w:pPr>
      <w:r w:rsidRPr="00A628DF">
        <w:rPr>
          <w:rFonts w:ascii="Arial" w:hAnsi="Arial" w:cs="Arial"/>
          <w:b/>
          <w:bCs/>
          <w:i/>
          <w:iCs/>
          <w:sz w:val="22"/>
          <w:szCs w:val="22"/>
        </w:rPr>
        <w:t>DPPH radical scavenging assay</w:t>
      </w:r>
    </w:p>
    <w:p w:rsidR="005A1ABE" w:rsidRPr="00A628DF" w:rsidRDefault="005A1ABE" w:rsidP="005A1ABE">
      <w:pPr>
        <w:autoSpaceDE w:val="0"/>
        <w:autoSpaceDN w:val="0"/>
        <w:adjustRightInd w:val="0"/>
        <w:jc w:val="both"/>
        <w:rPr>
          <w:rFonts w:ascii="Arial" w:hAnsi="Arial" w:cs="Arial"/>
        </w:rPr>
      </w:pPr>
      <w:r w:rsidRPr="00A628DF">
        <w:rPr>
          <w:rFonts w:ascii="Arial" w:hAnsi="Arial" w:cs="Arial"/>
        </w:rPr>
        <w:t>DPPH radical scavenging assay was carried out using the method of Blois (1958) with few modifications. Various concentrations of extracts were mixed with methanolic solution of DPPH (2, 2-Diphenyl-1-picrylhydrazyl). After 30 minutes of incubation, absorbance was observed at 517 nm using UV-VIS spectrophotometer.</w:t>
      </w:r>
    </w:p>
    <w:p w:rsidR="005A1ABE" w:rsidRPr="00A628DF" w:rsidRDefault="005A1ABE" w:rsidP="005A1ABE">
      <w:pPr>
        <w:autoSpaceDE w:val="0"/>
        <w:autoSpaceDN w:val="0"/>
        <w:adjustRightInd w:val="0"/>
        <w:rPr>
          <w:rFonts w:ascii="Arial" w:hAnsi="Arial" w:cs="Arial"/>
        </w:rPr>
      </w:pPr>
    </w:p>
    <w:p w:rsidR="005A1ABE" w:rsidRPr="00A628DF" w:rsidRDefault="005A1ABE" w:rsidP="005A1ABE">
      <w:pPr>
        <w:autoSpaceDE w:val="0"/>
        <w:autoSpaceDN w:val="0"/>
        <w:adjustRightInd w:val="0"/>
        <w:rPr>
          <w:rFonts w:ascii="Arial" w:hAnsi="Arial" w:cs="Arial"/>
        </w:rPr>
      </w:pPr>
      <w:r w:rsidRPr="00A628DF">
        <w:rPr>
          <w:rFonts w:ascii="Arial" w:hAnsi="Arial" w:cs="Arial"/>
        </w:rPr>
        <w:t>DPPH radical scavenging potential (%) = S0 - S1/S0 × 100</w:t>
      </w:r>
    </w:p>
    <w:p w:rsidR="005A1ABE" w:rsidRPr="00A628DF" w:rsidRDefault="005A1ABE" w:rsidP="005A1ABE">
      <w:pPr>
        <w:autoSpaceDE w:val="0"/>
        <w:autoSpaceDN w:val="0"/>
        <w:adjustRightInd w:val="0"/>
        <w:rPr>
          <w:rFonts w:ascii="Arial" w:hAnsi="Arial" w:cs="Arial"/>
        </w:rPr>
      </w:pPr>
      <w:r w:rsidRPr="00A628DF">
        <w:rPr>
          <w:rFonts w:ascii="Arial" w:hAnsi="Arial" w:cs="Arial"/>
        </w:rPr>
        <w:t xml:space="preserve">Where, S0 is the absorbance of DPPH solution containing vehicle solvent (control), </w:t>
      </w:r>
    </w:p>
    <w:p w:rsidR="005A1ABE" w:rsidRPr="00A628DF" w:rsidRDefault="005A1ABE" w:rsidP="005A1ABE">
      <w:pPr>
        <w:autoSpaceDE w:val="0"/>
        <w:autoSpaceDN w:val="0"/>
        <w:adjustRightInd w:val="0"/>
        <w:rPr>
          <w:rFonts w:ascii="Arial" w:hAnsi="Arial" w:cs="Arial"/>
          <w:bCs/>
          <w:iCs/>
        </w:rPr>
      </w:pPr>
      <w:r w:rsidRPr="00A628DF">
        <w:rPr>
          <w:rFonts w:ascii="Arial" w:hAnsi="Arial" w:cs="Arial"/>
          <w:bCs/>
          <w:iCs/>
        </w:rPr>
        <w:t>S1 is the absorbance of reaction mixture containing test sample.</w:t>
      </w:r>
    </w:p>
    <w:p w:rsidR="005A1ABE" w:rsidRPr="00A628DF" w:rsidRDefault="005A1ABE" w:rsidP="005A1ABE">
      <w:pPr>
        <w:autoSpaceDE w:val="0"/>
        <w:autoSpaceDN w:val="0"/>
        <w:adjustRightInd w:val="0"/>
        <w:rPr>
          <w:rFonts w:ascii="Arial" w:hAnsi="Arial" w:cs="Arial"/>
          <w:bCs/>
          <w:iCs/>
        </w:rPr>
      </w:pPr>
    </w:p>
    <w:p w:rsidR="005A1ABE" w:rsidRPr="00A628DF" w:rsidRDefault="005A1ABE" w:rsidP="005A1ABE">
      <w:pPr>
        <w:autoSpaceDE w:val="0"/>
        <w:autoSpaceDN w:val="0"/>
        <w:adjustRightInd w:val="0"/>
        <w:rPr>
          <w:rFonts w:ascii="Arial" w:hAnsi="Arial" w:cs="Arial"/>
        </w:rPr>
      </w:pPr>
    </w:p>
    <w:p w:rsidR="005A1ABE" w:rsidRPr="00A628DF" w:rsidRDefault="005A1ABE" w:rsidP="005A1ABE">
      <w:pPr>
        <w:autoSpaceDE w:val="0"/>
        <w:autoSpaceDN w:val="0"/>
        <w:adjustRightInd w:val="0"/>
        <w:rPr>
          <w:rFonts w:ascii="Arial" w:hAnsi="Arial" w:cs="Arial"/>
          <w:b/>
        </w:rPr>
      </w:pPr>
    </w:p>
    <w:p w:rsidR="005A1ABE" w:rsidRPr="00A628DF" w:rsidRDefault="005A1ABE" w:rsidP="005A1ABE">
      <w:pPr>
        <w:autoSpaceDE w:val="0"/>
        <w:autoSpaceDN w:val="0"/>
        <w:adjustRightInd w:val="0"/>
        <w:rPr>
          <w:rFonts w:ascii="Arial" w:hAnsi="Arial" w:cs="Arial"/>
          <w:b/>
          <w:sz w:val="22"/>
          <w:szCs w:val="22"/>
        </w:rPr>
      </w:pPr>
      <w:r w:rsidRPr="00A628DF">
        <w:rPr>
          <w:rFonts w:ascii="Arial" w:hAnsi="Arial" w:cs="Arial"/>
          <w:b/>
          <w:sz w:val="22"/>
          <w:szCs w:val="22"/>
        </w:rPr>
        <w:t xml:space="preserve">ABTS cation radical scavenging assay </w:t>
      </w:r>
    </w:p>
    <w:p w:rsidR="005A1ABE" w:rsidRPr="00A628DF" w:rsidRDefault="005A1ABE" w:rsidP="005A1ABE">
      <w:pPr>
        <w:autoSpaceDE w:val="0"/>
        <w:autoSpaceDN w:val="0"/>
        <w:adjustRightInd w:val="0"/>
        <w:jc w:val="both"/>
        <w:rPr>
          <w:rFonts w:ascii="Arial" w:hAnsi="Arial" w:cs="Arial"/>
        </w:rPr>
      </w:pPr>
      <w:r w:rsidRPr="00A628DF">
        <w:rPr>
          <w:rFonts w:ascii="Arial" w:hAnsi="Arial" w:cs="Arial"/>
          <w:bCs/>
          <w:iCs/>
        </w:rPr>
        <w:t>ABTS</w:t>
      </w:r>
      <w:r w:rsidRPr="00A628DF">
        <w:rPr>
          <w:rFonts w:ascii="Arial" w:hAnsi="Arial" w:cs="Arial"/>
          <w:bCs/>
          <w:iCs/>
          <w:vertAlign w:val="superscript"/>
        </w:rPr>
        <w:t>ꞏ +</w:t>
      </w:r>
      <w:r w:rsidRPr="00A628DF">
        <w:rPr>
          <w:rFonts w:ascii="Arial" w:hAnsi="Arial" w:cs="Arial"/>
          <w:bCs/>
          <w:iCs/>
        </w:rPr>
        <w:t xml:space="preserve"> scavenging assay was carried out by the protocol given by Re et al. (1999). The ABTS</w:t>
      </w:r>
      <w:r w:rsidRPr="00A628DF">
        <w:rPr>
          <w:rFonts w:ascii="Arial" w:hAnsi="Arial" w:cs="Arial"/>
          <w:bCs/>
          <w:iCs/>
          <w:vertAlign w:val="superscript"/>
        </w:rPr>
        <w:t xml:space="preserve"> </w:t>
      </w:r>
      <w:r w:rsidRPr="00A628DF">
        <w:rPr>
          <w:rFonts w:ascii="Arial" w:hAnsi="Arial" w:cs="Arial"/>
          <w:bCs/>
          <w:iCs/>
        </w:rPr>
        <w:t xml:space="preserve">cation radical was </w:t>
      </w:r>
      <w:proofErr w:type="spellStart"/>
      <w:r w:rsidRPr="00A628DF">
        <w:rPr>
          <w:rFonts w:ascii="Arial" w:hAnsi="Arial" w:cs="Arial"/>
          <w:bCs/>
          <w:iCs/>
        </w:rPr>
        <w:t>pregenerated</w:t>
      </w:r>
      <w:proofErr w:type="spellEnd"/>
      <w:r w:rsidRPr="00A628DF">
        <w:rPr>
          <w:rFonts w:ascii="Arial" w:hAnsi="Arial" w:cs="Arial"/>
          <w:bCs/>
          <w:iCs/>
        </w:rPr>
        <w:t xml:space="preserve"> by reacting 7 mM ABTS stock solution with 2.45 mM potassium persulfate followed by incubating this solution in the dark at room temperature </w:t>
      </w:r>
      <w:proofErr w:type="spellStart"/>
      <w:r w:rsidRPr="00A628DF">
        <w:rPr>
          <w:rFonts w:ascii="Arial" w:hAnsi="Arial" w:cs="Arial"/>
          <w:bCs/>
          <w:iCs/>
        </w:rPr>
        <w:t>upto</w:t>
      </w:r>
      <w:proofErr w:type="spellEnd"/>
      <w:r w:rsidRPr="00A628DF">
        <w:rPr>
          <w:rFonts w:ascii="Arial" w:hAnsi="Arial" w:cs="Arial"/>
          <w:bCs/>
          <w:iCs/>
        </w:rPr>
        <w:t xml:space="preserve"> 16 hrs.  The absorbance of the ABTS</w:t>
      </w:r>
      <w:r w:rsidRPr="00A628DF">
        <w:rPr>
          <w:rFonts w:ascii="Arial" w:hAnsi="Arial" w:cs="Arial"/>
          <w:bCs/>
          <w:iCs/>
          <w:vertAlign w:val="superscript"/>
        </w:rPr>
        <w:t xml:space="preserve">.+ </w:t>
      </w:r>
      <w:r w:rsidRPr="00A628DF">
        <w:rPr>
          <w:rFonts w:ascii="Arial" w:hAnsi="Arial" w:cs="Arial"/>
          <w:bCs/>
          <w:iCs/>
        </w:rPr>
        <w:t xml:space="preserve">solution was then diluted with methanol to bring its absorbance to 0.700 (±0.020). For testing scavenging potential, different concentrations  of the extracts (50 to 400 µg/ml) were added to diluted ABTS solution and absorbance of the solution was taken at 734 nm </w:t>
      </w:r>
      <w:r w:rsidRPr="00A628DF">
        <w:rPr>
          <w:rFonts w:ascii="Arial" w:hAnsi="Arial" w:cs="Arial"/>
        </w:rPr>
        <w:t>using UV-VIS spectrophotometer.</w:t>
      </w:r>
    </w:p>
    <w:p w:rsidR="005A1ABE" w:rsidRPr="00A628DF" w:rsidRDefault="005A1ABE" w:rsidP="005A1ABE">
      <w:pPr>
        <w:autoSpaceDE w:val="0"/>
        <w:autoSpaceDN w:val="0"/>
        <w:adjustRightInd w:val="0"/>
        <w:jc w:val="both"/>
        <w:rPr>
          <w:rFonts w:ascii="Arial" w:hAnsi="Arial" w:cs="Arial"/>
        </w:rPr>
      </w:pPr>
    </w:p>
    <w:p w:rsidR="005A1ABE" w:rsidRPr="00A628DF" w:rsidRDefault="005A1ABE" w:rsidP="005A1ABE">
      <w:pPr>
        <w:autoSpaceDE w:val="0"/>
        <w:autoSpaceDN w:val="0"/>
        <w:adjustRightInd w:val="0"/>
        <w:rPr>
          <w:rFonts w:ascii="Arial" w:hAnsi="Arial" w:cs="Arial"/>
        </w:rPr>
      </w:pPr>
      <w:r w:rsidRPr="00A628DF">
        <w:rPr>
          <w:rFonts w:ascii="Arial" w:hAnsi="Arial" w:cs="Arial"/>
          <w:bCs/>
          <w:iCs/>
        </w:rPr>
        <w:t>ABTS</w:t>
      </w:r>
      <w:r w:rsidRPr="00A628DF">
        <w:rPr>
          <w:rFonts w:ascii="Arial" w:hAnsi="Arial" w:cs="Arial"/>
          <w:bCs/>
          <w:iCs/>
          <w:vertAlign w:val="superscript"/>
        </w:rPr>
        <w:t xml:space="preserve">.+ </w:t>
      </w:r>
      <w:r w:rsidRPr="00A628DF">
        <w:rPr>
          <w:rFonts w:ascii="Arial" w:hAnsi="Arial" w:cs="Arial"/>
        </w:rPr>
        <w:t>scavenging potential (%) = S0 - S1/S0 × 100</w:t>
      </w:r>
    </w:p>
    <w:p w:rsidR="005A1ABE" w:rsidRPr="00A628DF" w:rsidRDefault="005A1ABE" w:rsidP="005A1ABE">
      <w:pPr>
        <w:autoSpaceDE w:val="0"/>
        <w:autoSpaceDN w:val="0"/>
        <w:adjustRightInd w:val="0"/>
        <w:rPr>
          <w:rFonts w:ascii="Arial" w:hAnsi="Arial" w:cs="Arial"/>
        </w:rPr>
      </w:pPr>
      <w:r w:rsidRPr="00A628DF">
        <w:rPr>
          <w:rFonts w:ascii="Arial" w:hAnsi="Arial" w:cs="Arial"/>
        </w:rPr>
        <w:t xml:space="preserve">Where, S0 is the absorbance of </w:t>
      </w:r>
      <w:r w:rsidRPr="00A628DF">
        <w:rPr>
          <w:rFonts w:ascii="Arial" w:hAnsi="Arial" w:cs="Arial"/>
          <w:bCs/>
          <w:iCs/>
        </w:rPr>
        <w:t>ABTS</w:t>
      </w:r>
      <w:r w:rsidRPr="00A628DF">
        <w:rPr>
          <w:rFonts w:ascii="Arial" w:hAnsi="Arial" w:cs="Arial"/>
        </w:rPr>
        <w:t xml:space="preserve"> solution containing vehicle solvent (control), </w:t>
      </w:r>
    </w:p>
    <w:p w:rsidR="005A1ABE" w:rsidRPr="00A628DF" w:rsidRDefault="005A1ABE" w:rsidP="005A1ABE">
      <w:pPr>
        <w:autoSpaceDE w:val="0"/>
        <w:autoSpaceDN w:val="0"/>
        <w:adjustRightInd w:val="0"/>
        <w:rPr>
          <w:rFonts w:ascii="Arial" w:hAnsi="Arial" w:cs="Arial"/>
          <w:bCs/>
          <w:iCs/>
        </w:rPr>
      </w:pPr>
      <w:r w:rsidRPr="00A628DF">
        <w:rPr>
          <w:rFonts w:ascii="Arial" w:hAnsi="Arial" w:cs="Arial"/>
          <w:bCs/>
          <w:iCs/>
        </w:rPr>
        <w:t>S1 is the absorbance of reaction mixture containing test sample.</w:t>
      </w:r>
    </w:p>
    <w:p w:rsidR="005A1ABE" w:rsidRPr="00A628DF" w:rsidRDefault="005A1ABE" w:rsidP="005A1ABE">
      <w:pPr>
        <w:autoSpaceDE w:val="0"/>
        <w:autoSpaceDN w:val="0"/>
        <w:adjustRightInd w:val="0"/>
        <w:rPr>
          <w:rFonts w:ascii="Arial" w:hAnsi="Arial" w:cs="Arial"/>
        </w:rPr>
      </w:pPr>
    </w:p>
    <w:p w:rsidR="005A1ABE" w:rsidRPr="00A628DF" w:rsidRDefault="005A1ABE" w:rsidP="005A1ABE">
      <w:pPr>
        <w:autoSpaceDE w:val="0"/>
        <w:autoSpaceDN w:val="0"/>
        <w:adjustRightInd w:val="0"/>
        <w:jc w:val="both"/>
        <w:rPr>
          <w:rFonts w:ascii="Arial" w:hAnsi="Arial" w:cs="Arial"/>
          <w:b/>
          <w:sz w:val="22"/>
          <w:szCs w:val="22"/>
        </w:rPr>
      </w:pPr>
      <w:r w:rsidRPr="00A628DF">
        <w:rPr>
          <w:rFonts w:ascii="Arial" w:hAnsi="Arial" w:cs="Arial"/>
          <w:b/>
          <w:sz w:val="22"/>
          <w:szCs w:val="22"/>
        </w:rPr>
        <w:t>Superoxide anion radical scavenging assay</w:t>
      </w:r>
    </w:p>
    <w:p w:rsidR="005A1ABE" w:rsidRPr="00A628DF" w:rsidRDefault="005A1ABE" w:rsidP="005A1ABE">
      <w:pPr>
        <w:autoSpaceDE w:val="0"/>
        <w:autoSpaceDN w:val="0"/>
        <w:adjustRightInd w:val="0"/>
        <w:jc w:val="both"/>
        <w:rPr>
          <w:rFonts w:ascii="Arial" w:hAnsi="Arial" w:cs="Arial"/>
        </w:rPr>
      </w:pPr>
      <w:r w:rsidRPr="00A628DF">
        <w:rPr>
          <w:rFonts w:ascii="Arial" w:hAnsi="Arial" w:cs="Arial"/>
        </w:rPr>
        <w:t xml:space="preserve">Superoxide anion radical scavenging activity was assessed using a slightly modified method of the </w:t>
      </w:r>
      <w:proofErr w:type="spellStart"/>
      <w:r w:rsidRPr="00A628DF">
        <w:rPr>
          <w:rFonts w:ascii="Arial" w:hAnsi="Arial" w:cs="Arial"/>
        </w:rPr>
        <w:t>Nishikimi</w:t>
      </w:r>
      <w:proofErr w:type="spellEnd"/>
      <w:r w:rsidRPr="00A628DF">
        <w:rPr>
          <w:rFonts w:ascii="Arial" w:hAnsi="Arial" w:cs="Arial"/>
        </w:rPr>
        <w:t xml:space="preserve"> et al. (1972). In test tubes, about 1 ml of </w:t>
      </w:r>
      <w:proofErr w:type="spellStart"/>
      <w:r w:rsidRPr="00A628DF">
        <w:rPr>
          <w:rFonts w:ascii="Arial" w:hAnsi="Arial" w:cs="Arial"/>
        </w:rPr>
        <w:t>nitroblue</w:t>
      </w:r>
      <w:proofErr w:type="spellEnd"/>
      <w:r w:rsidRPr="00A628DF">
        <w:rPr>
          <w:rFonts w:ascii="Arial" w:hAnsi="Arial" w:cs="Arial"/>
        </w:rPr>
        <w:t xml:space="preserve"> tetrazolium (NBT) solution, 1 ml of NADH solution, and various concentrations of extracts (50-400 </w:t>
      </w:r>
      <w:proofErr w:type="spellStart"/>
      <w:r w:rsidRPr="00A628DF">
        <w:rPr>
          <w:rFonts w:ascii="Arial" w:hAnsi="Arial" w:cs="Arial"/>
        </w:rPr>
        <w:t>μg</w:t>
      </w:r>
      <w:proofErr w:type="spellEnd"/>
      <w:r w:rsidRPr="00A628DF">
        <w:rPr>
          <w:rFonts w:ascii="Arial" w:hAnsi="Arial" w:cs="Arial"/>
        </w:rPr>
        <w:t xml:space="preserve">/ml) were </w:t>
      </w:r>
      <w:proofErr w:type="spellStart"/>
      <w:r w:rsidRPr="00A628DF">
        <w:rPr>
          <w:rFonts w:ascii="Arial" w:hAnsi="Arial" w:cs="Arial"/>
        </w:rPr>
        <w:t>mixed.The</w:t>
      </w:r>
      <w:proofErr w:type="spellEnd"/>
      <w:r w:rsidRPr="00A628DF">
        <w:rPr>
          <w:rFonts w:ascii="Arial" w:hAnsi="Arial" w:cs="Arial"/>
        </w:rPr>
        <w:t xml:space="preserve"> reaction was initiated through the addition of 100 </w:t>
      </w:r>
      <w:proofErr w:type="spellStart"/>
      <w:r w:rsidRPr="00A628DF">
        <w:rPr>
          <w:rFonts w:ascii="Arial" w:hAnsi="Arial" w:cs="Arial"/>
        </w:rPr>
        <w:t>μl</w:t>
      </w:r>
      <w:proofErr w:type="spellEnd"/>
      <w:r w:rsidRPr="00A628DF">
        <w:rPr>
          <w:rFonts w:ascii="Arial" w:hAnsi="Arial" w:cs="Arial"/>
        </w:rPr>
        <w:t xml:space="preserve"> of a 60 </w:t>
      </w:r>
      <w:proofErr w:type="spellStart"/>
      <w:r w:rsidRPr="00A628DF">
        <w:rPr>
          <w:rFonts w:ascii="Arial" w:hAnsi="Arial" w:cs="Arial"/>
        </w:rPr>
        <w:t>μM</w:t>
      </w:r>
      <w:proofErr w:type="spellEnd"/>
      <w:r w:rsidRPr="00A628DF">
        <w:rPr>
          <w:rFonts w:ascii="Arial" w:hAnsi="Arial" w:cs="Arial"/>
        </w:rPr>
        <w:t xml:space="preserve"> solution of </w:t>
      </w:r>
      <w:r w:rsidRPr="00A628DF">
        <w:rPr>
          <w:rFonts w:ascii="Arial" w:hAnsi="Arial" w:cs="Arial"/>
        </w:rPr>
        <w:lastRenderedPageBreak/>
        <w:t>phenazine methosulphate (PMS). The reaction mixture was incubated at 25 °C, and a UV-VIS spectrophotometer was used to measure the absorbance at 560 nm.</w:t>
      </w:r>
    </w:p>
    <w:p w:rsidR="005A1ABE" w:rsidRPr="00A628DF" w:rsidRDefault="005A1ABE" w:rsidP="005A1ABE">
      <w:pPr>
        <w:autoSpaceDE w:val="0"/>
        <w:autoSpaceDN w:val="0"/>
        <w:adjustRightInd w:val="0"/>
        <w:jc w:val="both"/>
        <w:rPr>
          <w:rFonts w:ascii="Arial" w:hAnsi="Arial" w:cs="Arial"/>
        </w:rPr>
      </w:pPr>
    </w:p>
    <w:p w:rsidR="005A1ABE" w:rsidRPr="00A628DF" w:rsidRDefault="005A1ABE" w:rsidP="005A1ABE">
      <w:pPr>
        <w:autoSpaceDE w:val="0"/>
        <w:autoSpaceDN w:val="0"/>
        <w:adjustRightInd w:val="0"/>
        <w:rPr>
          <w:rFonts w:ascii="Arial" w:hAnsi="Arial" w:cs="Arial"/>
        </w:rPr>
      </w:pPr>
      <w:r w:rsidRPr="00A628DF">
        <w:rPr>
          <w:rFonts w:ascii="Arial" w:hAnsi="Arial" w:cs="Arial"/>
          <w:bCs/>
          <w:iCs/>
        </w:rPr>
        <w:t>ABTS</w:t>
      </w:r>
      <w:r w:rsidRPr="00A628DF">
        <w:rPr>
          <w:rFonts w:ascii="Arial" w:hAnsi="Arial" w:cs="Arial"/>
          <w:bCs/>
          <w:iCs/>
          <w:vertAlign w:val="superscript"/>
        </w:rPr>
        <w:t xml:space="preserve">.+ </w:t>
      </w:r>
      <w:r w:rsidRPr="00A628DF">
        <w:rPr>
          <w:rFonts w:ascii="Arial" w:hAnsi="Arial" w:cs="Arial"/>
        </w:rPr>
        <w:t>scavenging potential (%) = S0 - S1/S0 × 100</w:t>
      </w:r>
    </w:p>
    <w:p w:rsidR="005A1ABE" w:rsidRPr="00A628DF" w:rsidRDefault="005A1ABE" w:rsidP="005A1ABE">
      <w:pPr>
        <w:autoSpaceDE w:val="0"/>
        <w:autoSpaceDN w:val="0"/>
        <w:adjustRightInd w:val="0"/>
        <w:rPr>
          <w:rFonts w:ascii="Arial" w:hAnsi="Arial" w:cs="Arial"/>
        </w:rPr>
      </w:pPr>
      <w:r w:rsidRPr="00A628DF">
        <w:rPr>
          <w:rFonts w:ascii="Arial" w:hAnsi="Arial" w:cs="Arial"/>
        </w:rPr>
        <w:t xml:space="preserve">Where, S0 is the absorbance of </w:t>
      </w:r>
      <w:r w:rsidRPr="00A628DF">
        <w:rPr>
          <w:rFonts w:ascii="Arial" w:hAnsi="Arial" w:cs="Arial"/>
          <w:bCs/>
          <w:iCs/>
        </w:rPr>
        <w:t xml:space="preserve">reaction mixture </w:t>
      </w:r>
      <w:r w:rsidRPr="00A628DF">
        <w:rPr>
          <w:rFonts w:ascii="Arial" w:hAnsi="Arial" w:cs="Arial"/>
        </w:rPr>
        <w:t xml:space="preserve">containing vehicle solvent (control), </w:t>
      </w:r>
    </w:p>
    <w:p w:rsidR="005A1ABE" w:rsidRPr="00A628DF" w:rsidRDefault="005A1ABE" w:rsidP="005A1ABE">
      <w:pPr>
        <w:autoSpaceDE w:val="0"/>
        <w:autoSpaceDN w:val="0"/>
        <w:adjustRightInd w:val="0"/>
        <w:rPr>
          <w:rFonts w:ascii="Arial" w:hAnsi="Arial" w:cs="Arial"/>
          <w:bCs/>
          <w:iCs/>
        </w:rPr>
      </w:pPr>
      <w:r w:rsidRPr="00A628DF">
        <w:rPr>
          <w:rFonts w:ascii="Arial" w:hAnsi="Arial" w:cs="Arial"/>
          <w:bCs/>
          <w:iCs/>
        </w:rPr>
        <w:t>S1 is the absorbance of reaction mixture containing test sample.</w:t>
      </w:r>
    </w:p>
    <w:p w:rsidR="005A1ABE" w:rsidRPr="00A628DF" w:rsidRDefault="005A1ABE" w:rsidP="005A1ABE">
      <w:pPr>
        <w:spacing w:line="360" w:lineRule="auto"/>
        <w:jc w:val="both"/>
        <w:rPr>
          <w:rFonts w:ascii="Times New Roman" w:hAnsi="Times New Roman"/>
          <w:sz w:val="24"/>
          <w:szCs w:val="24"/>
        </w:rPr>
      </w:pPr>
    </w:p>
    <w:p w:rsidR="005A1ABE" w:rsidRPr="00A628DF" w:rsidRDefault="005A1ABE" w:rsidP="005A1ABE">
      <w:pPr>
        <w:spacing w:line="360" w:lineRule="auto"/>
        <w:jc w:val="both"/>
        <w:rPr>
          <w:rFonts w:ascii="Times New Roman" w:hAnsi="Times New Roman"/>
          <w:b/>
          <w:sz w:val="22"/>
          <w:szCs w:val="22"/>
        </w:rPr>
      </w:pPr>
      <w:r w:rsidRPr="00A628DF">
        <w:rPr>
          <w:rFonts w:ascii="Times New Roman" w:hAnsi="Times New Roman"/>
          <w:b/>
          <w:sz w:val="22"/>
          <w:szCs w:val="22"/>
        </w:rPr>
        <w:t>STATISTICAL ANALYSIS</w:t>
      </w:r>
    </w:p>
    <w:p w:rsidR="005A1ABE" w:rsidRPr="00A628DF" w:rsidRDefault="005A1ABE" w:rsidP="005A1ABE">
      <w:pPr>
        <w:jc w:val="both"/>
        <w:rPr>
          <w:rFonts w:ascii="Arial" w:hAnsi="Arial" w:cs="Arial"/>
        </w:rPr>
      </w:pPr>
      <w:r w:rsidRPr="00A628DF">
        <w:rPr>
          <w:rFonts w:ascii="Arial" w:hAnsi="Arial" w:cs="Arial"/>
        </w:rPr>
        <w:t>Results were shown as the average ± standard error. IC</w:t>
      </w:r>
      <w:r w:rsidRPr="00A628DF">
        <w:rPr>
          <w:rFonts w:ascii="Arial" w:hAnsi="Arial" w:cs="Arial"/>
          <w:vertAlign w:val="subscript"/>
        </w:rPr>
        <w:t xml:space="preserve">50 </w:t>
      </w:r>
      <w:r w:rsidRPr="00A628DF">
        <w:rPr>
          <w:rFonts w:ascii="Arial" w:hAnsi="Arial" w:cs="Arial"/>
        </w:rPr>
        <w:t>values were determined using regression equation. The data was analyzed for statistical significance using analysis of variance (One-way ANOVA) and the difference among means was compared by highly significant difference (HSD) using Tukey’s test. The significance of results was tested at *p ≤ 0.05.</w:t>
      </w:r>
    </w:p>
    <w:p w:rsidR="00AA74E0" w:rsidRPr="00A628DF" w:rsidRDefault="00AA74E0" w:rsidP="00441B6F">
      <w:pPr>
        <w:pStyle w:val="Body"/>
        <w:spacing w:after="0"/>
        <w:rPr>
          <w:rFonts w:ascii="Arial" w:hAnsi="Arial" w:cs="Arial"/>
        </w:rPr>
      </w:pPr>
    </w:p>
    <w:p w:rsidR="00790ADA" w:rsidRPr="00A628DF" w:rsidRDefault="00790ADA" w:rsidP="00441B6F">
      <w:pPr>
        <w:pStyle w:val="Body"/>
        <w:spacing w:after="0"/>
        <w:rPr>
          <w:rFonts w:ascii="Arial" w:hAnsi="Arial" w:cs="Arial"/>
        </w:rPr>
      </w:pPr>
    </w:p>
    <w:p w:rsidR="00902823" w:rsidRPr="00A628DF" w:rsidRDefault="00000F8F" w:rsidP="001B69A4">
      <w:pPr>
        <w:pStyle w:val="Head1"/>
        <w:spacing w:after="0"/>
        <w:jc w:val="both"/>
        <w:rPr>
          <w:rFonts w:ascii="Arial" w:hAnsi="Arial" w:cs="Arial"/>
        </w:rPr>
      </w:pPr>
      <w:r w:rsidRPr="00A628DF">
        <w:rPr>
          <w:rFonts w:ascii="Arial" w:hAnsi="Arial" w:cs="Arial"/>
        </w:rPr>
        <w:t>3</w:t>
      </w:r>
      <w:r w:rsidR="00902823" w:rsidRPr="00A628DF">
        <w:rPr>
          <w:rFonts w:ascii="Arial" w:hAnsi="Arial" w:cs="Arial"/>
        </w:rPr>
        <w:t xml:space="preserve">. </w:t>
      </w:r>
      <w:r w:rsidRPr="00A628DF">
        <w:rPr>
          <w:rFonts w:ascii="Arial" w:hAnsi="Arial" w:cs="Arial"/>
        </w:rPr>
        <w:t>results and discussion</w:t>
      </w:r>
    </w:p>
    <w:p w:rsidR="00790ADA" w:rsidRPr="00A628DF" w:rsidRDefault="00790ADA" w:rsidP="001B69A4">
      <w:pPr>
        <w:pStyle w:val="Head1"/>
        <w:spacing w:after="0"/>
        <w:jc w:val="both"/>
        <w:rPr>
          <w:rFonts w:ascii="Arial" w:hAnsi="Arial" w:cs="Arial"/>
        </w:rPr>
      </w:pPr>
    </w:p>
    <w:p w:rsidR="001B69A4" w:rsidRPr="00A628DF" w:rsidRDefault="005A1ABE" w:rsidP="001B69A4">
      <w:pPr>
        <w:jc w:val="both"/>
      </w:pPr>
      <w:r w:rsidRPr="00A628DF">
        <w:rPr>
          <w:rFonts w:ascii="Arial" w:hAnsi="Arial" w:cs="Arial"/>
        </w:rPr>
        <w:t xml:space="preserve">Medicinal herbs are well </w:t>
      </w:r>
      <w:proofErr w:type="spellStart"/>
      <w:r w:rsidRPr="00A628DF">
        <w:rPr>
          <w:rFonts w:ascii="Arial" w:hAnsi="Arial" w:cs="Arial"/>
        </w:rPr>
        <w:t>recognised</w:t>
      </w:r>
      <w:proofErr w:type="spellEnd"/>
      <w:r w:rsidRPr="00A628DF">
        <w:rPr>
          <w:rFonts w:ascii="Arial" w:hAnsi="Arial" w:cs="Arial"/>
        </w:rPr>
        <w:t xml:space="preserve"> and well-liked for their numerous health advantages, including their ability to lower blood pressure, prevent cardiovascular disorders, and lower the risk of cancer by virtue of their antioxidant properties. High concentrations of antioxidants found in medicinal plants have the ability to prevent or delay the oxidation of lipids and other substances (</w:t>
      </w:r>
      <w:proofErr w:type="spellStart"/>
      <w:r w:rsidRPr="00A628DF">
        <w:rPr>
          <w:rFonts w:ascii="Arial" w:hAnsi="Arial" w:cs="Arial"/>
        </w:rPr>
        <w:t>Škrovánková</w:t>
      </w:r>
      <w:proofErr w:type="spellEnd"/>
      <w:r w:rsidRPr="00A628DF">
        <w:rPr>
          <w:rFonts w:ascii="Arial" w:hAnsi="Arial" w:cs="Arial"/>
        </w:rPr>
        <w:t xml:space="preserve"> et al., 2012). In the present investigation, both the extracts viz. AEMA and AEVA showed moderate scavenging activity against DPPH free radicals</w:t>
      </w:r>
      <w:r w:rsidR="00E11F10" w:rsidRPr="00A628DF">
        <w:rPr>
          <w:rFonts w:ascii="Arial" w:hAnsi="Arial" w:cs="Arial"/>
        </w:rPr>
        <w:t xml:space="preserve"> (Fig. </w:t>
      </w:r>
      <w:r w:rsidR="00553E6F" w:rsidRPr="00A628DF">
        <w:rPr>
          <w:rFonts w:ascii="Arial" w:hAnsi="Arial" w:cs="Arial"/>
        </w:rPr>
        <w:t>2</w:t>
      </w:r>
      <w:r w:rsidR="00E11F10" w:rsidRPr="00A628DF">
        <w:rPr>
          <w:rFonts w:ascii="Arial" w:hAnsi="Arial" w:cs="Arial"/>
        </w:rPr>
        <w:t>)</w:t>
      </w:r>
      <w:r w:rsidRPr="00A628DF">
        <w:rPr>
          <w:rFonts w:ascii="Arial" w:hAnsi="Arial" w:cs="Arial"/>
        </w:rPr>
        <w:t>. AEMA and AEVA exhibited IC</w:t>
      </w:r>
      <w:r w:rsidRPr="00A628DF">
        <w:rPr>
          <w:rFonts w:ascii="Arial" w:hAnsi="Arial" w:cs="Arial"/>
          <w:vertAlign w:val="subscript"/>
        </w:rPr>
        <w:t xml:space="preserve">50 </w:t>
      </w:r>
      <w:r w:rsidRPr="00A628DF">
        <w:rPr>
          <w:rFonts w:ascii="Arial" w:hAnsi="Arial" w:cs="Arial"/>
        </w:rPr>
        <w:t>values of 149.83 and 198.80 µg/ml in DPPH assay</w:t>
      </w:r>
      <w:r w:rsidR="001D6CAF" w:rsidRPr="00A628DF">
        <w:rPr>
          <w:rFonts w:ascii="Arial" w:hAnsi="Arial" w:cs="Arial"/>
        </w:rPr>
        <w:t xml:space="preserve"> (Table 1)</w:t>
      </w:r>
      <w:r w:rsidRPr="00A628DF">
        <w:rPr>
          <w:rFonts w:ascii="Arial" w:hAnsi="Arial" w:cs="Arial"/>
        </w:rPr>
        <w:t>. In ABTS assay, extracts viz. AEMA and AEVA showed scavenging activity with inhibition of 89.77 % and 70.89 % respectively</w:t>
      </w:r>
      <w:r w:rsidR="00E11F10" w:rsidRPr="00A628DF">
        <w:rPr>
          <w:rFonts w:ascii="Arial" w:hAnsi="Arial" w:cs="Arial"/>
        </w:rPr>
        <w:t xml:space="preserve"> (Fig. </w:t>
      </w:r>
      <w:r w:rsidR="00553E6F" w:rsidRPr="00A628DF">
        <w:rPr>
          <w:rFonts w:ascii="Arial" w:hAnsi="Arial" w:cs="Arial"/>
        </w:rPr>
        <w:t>3</w:t>
      </w:r>
      <w:r w:rsidR="00E11F10" w:rsidRPr="00A628DF">
        <w:rPr>
          <w:rFonts w:ascii="Arial" w:hAnsi="Arial" w:cs="Arial"/>
        </w:rPr>
        <w:t>)</w:t>
      </w:r>
      <w:r w:rsidRPr="00A628DF">
        <w:rPr>
          <w:rFonts w:ascii="Arial" w:hAnsi="Arial" w:cs="Arial"/>
        </w:rPr>
        <w:t>. The IC</w:t>
      </w:r>
      <w:r w:rsidRPr="00A628DF">
        <w:rPr>
          <w:rFonts w:ascii="Arial" w:hAnsi="Arial" w:cs="Arial"/>
          <w:vertAlign w:val="subscript"/>
        </w:rPr>
        <w:t xml:space="preserve">50 </w:t>
      </w:r>
      <w:r w:rsidRPr="00A628DF">
        <w:rPr>
          <w:rFonts w:ascii="Arial" w:hAnsi="Arial" w:cs="Arial"/>
        </w:rPr>
        <w:t>values of 83.38 and 135.01 µg/ml were obtained for AEMA and AEVA respectively in ABTS assay</w:t>
      </w:r>
      <w:r w:rsidR="001D6CAF" w:rsidRPr="00A628DF">
        <w:rPr>
          <w:rFonts w:ascii="Arial" w:hAnsi="Arial" w:cs="Arial"/>
        </w:rPr>
        <w:t xml:space="preserve"> (Table 1).  </w:t>
      </w:r>
      <w:r w:rsidRPr="00A628DF">
        <w:rPr>
          <w:rFonts w:ascii="Arial" w:hAnsi="Arial" w:cs="Arial"/>
        </w:rPr>
        <w:t xml:space="preserve">Both the extracts dose dependently and significantly scavenged the DPPH and ABTS radicals. Kumar et al. (2016) studied antioxidant activity of water extract of Henna leaves employing various antioxidant assays. Results demonstrated that extract scavenged the DPPH and ABTS radicals quite effectively with an IC50 of 352.77 and 380.87 </w:t>
      </w:r>
      <w:proofErr w:type="spellStart"/>
      <w:r w:rsidRPr="00A628DF">
        <w:rPr>
          <w:rFonts w:ascii="Arial" w:hAnsi="Arial" w:cs="Arial"/>
        </w:rPr>
        <w:t>μg</w:t>
      </w:r>
      <w:proofErr w:type="spellEnd"/>
      <w:r w:rsidRPr="00A628DF">
        <w:rPr>
          <w:rFonts w:ascii="Arial" w:hAnsi="Arial" w:cs="Arial"/>
        </w:rPr>
        <w:t xml:space="preserve">/ml respectively. </w:t>
      </w:r>
      <w:proofErr w:type="spellStart"/>
      <w:r w:rsidRPr="00A628DF">
        <w:rPr>
          <w:rFonts w:ascii="Arial" w:hAnsi="Arial" w:cs="Arial"/>
        </w:rPr>
        <w:t>Mokoroane</w:t>
      </w:r>
      <w:proofErr w:type="spellEnd"/>
      <w:r w:rsidRPr="00A628DF">
        <w:rPr>
          <w:rFonts w:ascii="Arial" w:hAnsi="Arial" w:cs="Arial"/>
        </w:rPr>
        <w:t xml:space="preserve"> et al. (2020) reported antioxidant activity of leaves and stem-bark of </w:t>
      </w:r>
      <w:proofErr w:type="spellStart"/>
      <w:r w:rsidRPr="00A628DF">
        <w:rPr>
          <w:rFonts w:ascii="Arial" w:hAnsi="Arial" w:cs="Arial"/>
          <w:i/>
        </w:rPr>
        <w:t>Aloiampelos</w:t>
      </w:r>
      <w:proofErr w:type="spellEnd"/>
      <w:r w:rsidRPr="00A628DF">
        <w:rPr>
          <w:rFonts w:ascii="Arial" w:hAnsi="Arial" w:cs="Arial"/>
          <w:i/>
        </w:rPr>
        <w:t xml:space="preserve"> </w:t>
      </w:r>
      <w:proofErr w:type="spellStart"/>
      <w:r w:rsidRPr="00A628DF">
        <w:rPr>
          <w:rFonts w:ascii="Arial" w:hAnsi="Arial" w:cs="Arial"/>
          <w:i/>
        </w:rPr>
        <w:t>striatula</w:t>
      </w:r>
      <w:proofErr w:type="spellEnd"/>
      <w:r w:rsidRPr="00A628DF">
        <w:rPr>
          <w:rFonts w:ascii="Arial" w:hAnsi="Arial" w:cs="Arial"/>
        </w:rPr>
        <w:t xml:space="preserve"> using DPPH assay. It was found that different among various solvent extracts, water extract of the plant leaves showed high DPPH scavenging potential. </w:t>
      </w:r>
      <w:proofErr w:type="spellStart"/>
      <w:r w:rsidRPr="00A628DF">
        <w:rPr>
          <w:rFonts w:ascii="Arial" w:hAnsi="Arial" w:cs="Arial"/>
        </w:rPr>
        <w:t>Rajurkar</w:t>
      </w:r>
      <w:proofErr w:type="spellEnd"/>
      <w:r w:rsidRPr="00A628DF">
        <w:rPr>
          <w:rFonts w:ascii="Arial" w:hAnsi="Arial" w:cs="Arial"/>
        </w:rPr>
        <w:t xml:space="preserve"> and </w:t>
      </w:r>
      <w:proofErr w:type="spellStart"/>
      <w:r w:rsidRPr="00A628DF">
        <w:rPr>
          <w:rFonts w:ascii="Arial" w:hAnsi="Arial" w:cs="Arial"/>
        </w:rPr>
        <w:t>Hande</w:t>
      </w:r>
      <w:proofErr w:type="spellEnd"/>
      <w:r w:rsidRPr="00A628DF">
        <w:rPr>
          <w:rFonts w:ascii="Arial" w:hAnsi="Arial" w:cs="Arial"/>
        </w:rPr>
        <w:t xml:space="preserve"> (2011) studied antioxidant potential of few traditional Indian medicinal plants using DPPH and ABTS assays along with other assays. They reported that antioxidant activity measured by DPPH method was ranged from 0.20 to 1.50 mg </w:t>
      </w:r>
      <w:proofErr w:type="spellStart"/>
      <w:r w:rsidRPr="00A628DF">
        <w:rPr>
          <w:rFonts w:ascii="Arial" w:hAnsi="Arial" w:cs="Arial"/>
        </w:rPr>
        <w:t>trolox</w:t>
      </w:r>
      <w:proofErr w:type="spellEnd"/>
      <w:r w:rsidRPr="00A628DF">
        <w:rPr>
          <w:rFonts w:ascii="Arial" w:hAnsi="Arial" w:cs="Arial"/>
        </w:rPr>
        <w:t xml:space="preserve"> equivalent per g dry weight (mg, TEAC/g </w:t>
      </w:r>
      <w:proofErr w:type="spellStart"/>
      <w:r w:rsidRPr="00A628DF">
        <w:rPr>
          <w:rFonts w:ascii="Arial" w:hAnsi="Arial" w:cs="Arial"/>
        </w:rPr>
        <w:t>dw</w:t>
      </w:r>
      <w:proofErr w:type="spellEnd"/>
      <w:r w:rsidRPr="00A628DF">
        <w:rPr>
          <w:rFonts w:ascii="Arial" w:hAnsi="Arial" w:cs="Arial"/>
        </w:rPr>
        <w:t xml:space="preserve">) while for ABTS assay, the TEAC values ranged from 0.65 to 7.37 mg, TEAC/g </w:t>
      </w:r>
      <w:proofErr w:type="spellStart"/>
      <w:r w:rsidRPr="00A628DF">
        <w:rPr>
          <w:rFonts w:ascii="Arial" w:hAnsi="Arial" w:cs="Arial"/>
        </w:rPr>
        <w:t>dw</w:t>
      </w:r>
      <w:proofErr w:type="spellEnd"/>
      <w:r w:rsidRPr="00A628DF">
        <w:rPr>
          <w:rFonts w:ascii="Arial" w:hAnsi="Arial" w:cs="Arial"/>
        </w:rPr>
        <w:t xml:space="preserve">. The lowest value was obtained in case of </w:t>
      </w:r>
      <w:proofErr w:type="spellStart"/>
      <w:r w:rsidRPr="00A628DF">
        <w:rPr>
          <w:rStyle w:val="Emphasis"/>
          <w:rFonts w:ascii="Arial" w:hAnsi="Arial" w:cs="Arial"/>
        </w:rPr>
        <w:t>Cyperus</w:t>
      </w:r>
      <w:proofErr w:type="spellEnd"/>
      <w:r w:rsidRPr="00A628DF">
        <w:rPr>
          <w:rStyle w:val="Emphasis"/>
          <w:rFonts w:ascii="Arial" w:hAnsi="Arial" w:cs="Arial"/>
        </w:rPr>
        <w:t xml:space="preserve"> </w:t>
      </w:r>
      <w:proofErr w:type="spellStart"/>
      <w:r w:rsidRPr="00A628DF">
        <w:rPr>
          <w:rStyle w:val="Emphasis"/>
          <w:rFonts w:ascii="Arial" w:hAnsi="Arial" w:cs="Arial"/>
        </w:rPr>
        <w:t>rotundus</w:t>
      </w:r>
      <w:proofErr w:type="spellEnd"/>
      <w:r w:rsidRPr="00A628DF">
        <w:rPr>
          <w:rFonts w:ascii="Arial" w:hAnsi="Arial" w:cs="Arial"/>
        </w:rPr>
        <w:t xml:space="preserve"> (0.65 mg, TEAC/g </w:t>
      </w:r>
      <w:proofErr w:type="spellStart"/>
      <w:r w:rsidRPr="00A628DF">
        <w:rPr>
          <w:rFonts w:ascii="Arial" w:hAnsi="Arial" w:cs="Arial"/>
        </w:rPr>
        <w:t>dw</w:t>
      </w:r>
      <w:proofErr w:type="spellEnd"/>
      <w:r w:rsidRPr="00A628DF">
        <w:rPr>
          <w:rFonts w:ascii="Arial" w:hAnsi="Arial" w:cs="Arial"/>
        </w:rPr>
        <w:t xml:space="preserve">) and highest value in case of </w:t>
      </w:r>
      <w:r w:rsidRPr="00A628DF">
        <w:rPr>
          <w:rStyle w:val="Emphasis"/>
          <w:rFonts w:ascii="Arial" w:hAnsi="Arial" w:cs="Arial"/>
        </w:rPr>
        <w:t xml:space="preserve">Acacia </w:t>
      </w:r>
      <w:proofErr w:type="spellStart"/>
      <w:r w:rsidRPr="00A628DF">
        <w:rPr>
          <w:rStyle w:val="Emphasis"/>
          <w:rFonts w:ascii="Arial" w:hAnsi="Arial" w:cs="Arial"/>
        </w:rPr>
        <w:t>nilotica</w:t>
      </w:r>
      <w:proofErr w:type="spellEnd"/>
      <w:r w:rsidRPr="00A628DF">
        <w:rPr>
          <w:rFonts w:ascii="Arial" w:hAnsi="Arial" w:cs="Arial"/>
        </w:rPr>
        <w:t xml:space="preserve"> (7.37 mg, TEAC/g </w:t>
      </w:r>
      <w:proofErr w:type="spellStart"/>
      <w:r w:rsidRPr="00A628DF">
        <w:rPr>
          <w:rFonts w:ascii="Arial" w:hAnsi="Arial" w:cs="Arial"/>
        </w:rPr>
        <w:t>dw</w:t>
      </w:r>
      <w:proofErr w:type="spellEnd"/>
      <w:r w:rsidRPr="00A628DF">
        <w:rPr>
          <w:rFonts w:ascii="Arial" w:hAnsi="Arial" w:cs="Arial"/>
        </w:rPr>
        <w:t>).</w:t>
      </w:r>
      <w:r w:rsidR="00790569" w:rsidRPr="00A628DF">
        <w:rPr>
          <w:rFonts w:ascii="Arial" w:hAnsi="Arial" w:cs="Arial"/>
        </w:rPr>
        <w:t xml:space="preserve"> </w:t>
      </w:r>
      <w:r w:rsidR="005422F8" w:rsidRPr="00A628DF">
        <w:t xml:space="preserve">Ramesh et al. (2025) evaluated the antioxidant potential of methanol flower extract of </w:t>
      </w:r>
      <w:proofErr w:type="spellStart"/>
      <w:r w:rsidR="005422F8" w:rsidRPr="00A628DF">
        <w:rPr>
          <w:rStyle w:val="Emphasis"/>
        </w:rPr>
        <w:t>Peltophorum</w:t>
      </w:r>
      <w:proofErr w:type="spellEnd"/>
      <w:r w:rsidR="005422F8" w:rsidRPr="00A628DF">
        <w:rPr>
          <w:rStyle w:val="Emphasis"/>
        </w:rPr>
        <w:t xml:space="preserve"> </w:t>
      </w:r>
      <w:proofErr w:type="spellStart"/>
      <w:r w:rsidR="005422F8" w:rsidRPr="00A628DF">
        <w:rPr>
          <w:rStyle w:val="Emphasis"/>
        </w:rPr>
        <w:t>pterocarpum</w:t>
      </w:r>
      <w:proofErr w:type="spellEnd"/>
      <w:r w:rsidR="005422F8" w:rsidRPr="00A628DF">
        <w:t xml:space="preserve"> using DPPH and ABTS radical scavenging assays. The extract exhibited moderate activity against DPPH radicals, while showing strong ABTS radical scavenging capacity, with IC</w:t>
      </w:r>
      <w:r w:rsidR="005422F8" w:rsidRPr="00A628DF">
        <w:rPr>
          <w:rFonts w:ascii="Cambria Math" w:hAnsi="Cambria Math" w:cs="Cambria Math"/>
        </w:rPr>
        <w:t>₅₀</w:t>
      </w:r>
      <w:r w:rsidR="005422F8" w:rsidRPr="00A628DF">
        <w:t xml:space="preserve"> values of 103.5 </w:t>
      </w:r>
      <w:proofErr w:type="spellStart"/>
      <w:r w:rsidR="005422F8" w:rsidRPr="00A628DF">
        <w:rPr>
          <w:rFonts w:cs="Helvetica"/>
        </w:rPr>
        <w:t>μ</w:t>
      </w:r>
      <w:r w:rsidR="005422F8" w:rsidRPr="00A628DF">
        <w:t>g</w:t>
      </w:r>
      <w:proofErr w:type="spellEnd"/>
      <w:r w:rsidR="005422F8" w:rsidRPr="00A628DF">
        <w:t xml:space="preserve">/ml and 48.60 </w:t>
      </w:r>
      <w:proofErr w:type="spellStart"/>
      <w:r w:rsidR="005422F8" w:rsidRPr="00A628DF">
        <w:rPr>
          <w:rFonts w:cs="Helvetica"/>
        </w:rPr>
        <w:t>μ</w:t>
      </w:r>
      <w:r w:rsidR="005422F8" w:rsidRPr="00A628DF">
        <w:t>g</w:t>
      </w:r>
      <w:proofErr w:type="spellEnd"/>
      <w:r w:rsidR="005422F8" w:rsidRPr="00A628DF">
        <w:t>/ml, respectively.</w:t>
      </w:r>
      <w:r w:rsidR="001B69A4" w:rsidRPr="00A628DF">
        <w:t xml:space="preserve"> </w:t>
      </w:r>
      <w:proofErr w:type="spellStart"/>
      <w:r w:rsidR="001B69A4" w:rsidRPr="00A628DF">
        <w:t>Oraibi</w:t>
      </w:r>
      <w:proofErr w:type="spellEnd"/>
      <w:r w:rsidR="001B69A4" w:rsidRPr="00A628DF">
        <w:t xml:space="preserve"> et al. (2025) assessed the antioxidant properties of root and aerial part extracts of </w:t>
      </w:r>
      <w:r w:rsidR="001B69A4" w:rsidRPr="00A628DF">
        <w:rPr>
          <w:rStyle w:val="Emphasis"/>
        </w:rPr>
        <w:t>Capparis spinosa</w:t>
      </w:r>
      <w:r w:rsidR="001B69A4" w:rsidRPr="00A628DF">
        <w:t xml:space="preserve"> L. using DPPH, ABTS, FRAP, and CUPRAC assays. </w:t>
      </w:r>
      <w:proofErr w:type="spellStart"/>
      <w:r w:rsidR="001B69A4" w:rsidRPr="00A628DF">
        <w:t>Rutin</w:t>
      </w:r>
      <w:proofErr w:type="spellEnd"/>
      <w:r w:rsidR="001B69A4" w:rsidRPr="00A628DF">
        <w:t xml:space="preserve"> and root extract exhibited significant antioxidant activity, whereas resveratrol and the aerial parts demonstrated only moderate potential.</w:t>
      </w:r>
    </w:p>
    <w:p w:rsidR="005A1ABE" w:rsidRPr="00A628DF" w:rsidRDefault="005A1ABE" w:rsidP="005A1ABE">
      <w:pPr>
        <w:jc w:val="both"/>
        <w:rPr>
          <w:rFonts w:ascii="Arial" w:hAnsi="Arial" w:cs="Arial"/>
        </w:rPr>
      </w:pPr>
    </w:p>
    <w:p w:rsidR="00AF355D" w:rsidRPr="00A628DF" w:rsidRDefault="00AF355D" w:rsidP="005A1ABE">
      <w:pPr>
        <w:jc w:val="both"/>
        <w:rPr>
          <w:rFonts w:ascii="Arial" w:hAnsi="Arial" w:cs="Arial"/>
        </w:rPr>
      </w:pPr>
    </w:p>
    <w:p w:rsidR="002B0E63" w:rsidRPr="00A628DF" w:rsidRDefault="002B0E63" w:rsidP="005A1ABE">
      <w:pPr>
        <w:jc w:val="both"/>
        <w:rPr>
          <w:rFonts w:ascii="Arial" w:hAnsi="Arial" w:cs="Arial"/>
        </w:rPr>
      </w:pPr>
    </w:p>
    <w:p w:rsidR="00AF355D" w:rsidRPr="00A628DF" w:rsidRDefault="00AF355D" w:rsidP="00AF355D">
      <w:pPr>
        <w:pStyle w:val="Body"/>
        <w:rPr>
          <w:rFonts w:ascii="Arial" w:eastAsia="Calibri" w:hAnsi="Arial" w:cs="Arial"/>
          <w:b/>
          <w:sz w:val="22"/>
          <w:szCs w:val="22"/>
        </w:rPr>
      </w:pPr>
      <w:r w:rsidRPr="00A628DF">
        <w:rPr>
          <w:rFonts w:ascii="Arial" w:eastAsia="Calibri" w:hAnsi="Arial" w:cs="Arial"/>
          <w:b/>
          <w:sz w:val="22"/>
          <w:szCs w:val="22"/>
        </w:rPr>
        <w:lastRenderedPageBreak/>
        <w:t xml:space="preserve">Table 1. IC50 values obtained for </w:t>
      </w:r>
      <w:r w:rsidR="006A3269" w:rsidRPr="00A628DF">
        <w:rPr>
          <w:rFonts w:ascii="Arial" w:eastAsia="Calibri" w:hAnsi="Arial" w:cs="Arial"/>
          <w:b/>
          <w:sz w:val="22"/>
          <w:szCs w:val="22"/>
        </w:rPr>
        <w:t>AEMA and AEVA</w:t>
      </w:r>
      <w:r w:rsidRPr="00A628DF">
        <w:rPr>
          <w:rFonts w:ascii="Arial" w:eastAsia="Calibri" w:hAnsi="Arial" w:cs="Arial"/>
          <w:b/>
          <w:sz w:val="22"/>
          <w:szCs w:val="22"/>
        </w:rPr>
        <w:t xml:space="preserve"> in various antioxidant assays </w:t>
      </w:r>
    </w:p>
    <w:tbl>
      <w:tblPr>
        <w:tblStyle w:val="TableGrid"/>
        <w:tblW w:w="0" w:type="auto"/>
        <w:jc w:val="center"/>
        <w:tblLook w:val="04A0" w:firstRow="1" w:lastRow="0" w:firstColumn="1" w:lastColumn="0" w:noHBand="0" w:noVBand="1"/>
      </w:tblPr>
      <w:tblGrid>
        <w:gridCol w:w="2808"/>
        <w:gridCol w:w="2808"/>
        <w:gridCol w:w="2808"/>
      </w:tblGrid>
      <w:tr w:rsidR="00AF355D" w:rsidRPr="00A628DF" w:rsidTr="00EB7C0D">
        <w:trPr>
          <w:trHeight w:val="602"/>
          <w:jc w:val="center"/>
        </w:trPr>
        <w:tc>
          <w:tcPr>
            <w:tcW w:w="2808" w:type="dxa"/>
            <w:vAlign w:val="center"/>
          </w:tcPr>
          <w:p w:rsidR="00AF355D" w:rsidRPr="00A628DF" w:rsidRDefault="00AF355D" w:rsidP="00EB7C0D">
            <w:pPr>
              <w:pStyle w:val="Body"/>
              <w:spacing w:after="0"/>
              <w:jc w:val="center"/>
              <w:rPr>
                <w:rFonts w:ascii="Arial" w:hAnsi="Arial" w:cs="Arial"/>
                <w:b/>
                <w:sz w:val="20"/>
                <w:szCs w:val="20"/>
              </w:rPr>
            </w:pPr>
            <w:r w:rsidRPr="00A628DF">
              <w:rPr>
                <w:rFonts w:ascii="Arial" w:hAnsi="Arial" w:cs="Arial"/>
                <w:b/>
                <w:sz w:val="20"/>
                <w:szCs w:val="20"/>
              </w:rPr>
              <w:t>Assay</w:t>
            </w:r>
          </w:p>
        </w:tc>
        <w:tc>
          <w:tcPr>
            <w:tcW w:w="2808" w:type="dxa"/>
            <w:vAlign w:val="center"/>
          </w:tcPr>
          <w:p w:rsidR="00AF355D" w:rsidRPr="00A628DF" w:rsidRDefault="00AF355D" w:rsidP="00EB7C0D">
            <w:pPr>
              <w:pStyle w:val="Body"/>
              <w:spacing w:after="0"/>
              <w:jc w:val="center"/>
              <w:rPr>
                <w:rFonts w:ascii="Arial" w:hAnsi="Arial" w:cs="Arial"/>
                <w:b/>
                <w:sz w:val="20"/>
                <w:szCs w:val="20"/>
              </w:rPr>
            </w:pPr>
            <w:r w:rsidRPr="00A628DF">
              <w:rPr>
                <w:rFonts w:ascii="Arial" w:hAnsi="Arial" w:cs="Arial"/>
                <w:b/>
                <w:sz w:val="20"/>
                <w:szCs w:val="20"/>
              </w:rPr>
              <w:t>AEMA</w:t>
            </w:r>
          </w:p>
          <w:p w:rsidR="00AF355D" w:rsidRPr="00A628DF" w:rsidRDefault="00AF355D" w:rsidP="00EB7C0D">
            <w:pPr>
              <w:pStyle w:val="Body"/>
              <w:spacing w:after="0"/>
              <w:jc w:val="center"/>
              <w:rPr>
                <w:rFonts w:ascii="Arial" w:hAnsi="Arial" w:cs="Arial"/>
                <w:b/>
                <w:sz w:val="20"/>
                <w:szCs w:val="20"/>
              </w:rPr>
            </w:pPr>
            <w:r w:rsidRPr="00A628DF">
              <w:rPr>
                <w:rFonts w:ascii="Arial" w:hAnsi="Arial" w:cs="Arial"/>
                <w:b/>
                <w:sz w:val="20"/>
                <w:szCs w:val="20"/>
              </w:rPr>
              <w:t>(IC</w:t>
            </w:r>
            <w:r w:rsidRPr="00A628DF">
              <w:rPr>
                <w:rFonts w:ascii="Arial" w:hAnsi="Arial" w:cs="Arial"/>
                <w:b/>
                <w:sz w:val="20"/>
                <w:szCs w:val="20"/>
                <w:vertAlign w:val="subscript"/>
              </w:rPr>
              <w:t xml:space="preserve">50 </w:t>
            </w:r>
            <w:r w:rsidRPr="00A628DF">
              <w:rPr>
                <w:rFonts w:ascii="Arial" w:hAnsi="Arial" w:cs="Arial"/>
                <w:b/>
                <w:sz w:val="20"/>
                <w:szCs w:val="20"/>
              </w:rPr>
              <w:t>values in µg/ml)</w:t>
            </w:r>
          </w:p>
        </w:tc>
        <w:tc>
          <w:tcPr>
            <w:tcW w:w="2808" w:type="dxa"/>
            <w:vAlign w:val="center"/>
          </w:tcPr>
          <w:p w:rsidR="00AF355D" w:rsidRPr="00A628DF" w:rsidRDefault="00AF355D" w:rsidP="00EB7C0D">
            <w:pPr>
              <w:pStyle w:val="Body"/>
              <w:spacing w:after="0"/>
              <w:jc w:val="center"/>
              <w:rPr>
                <w:rFonts w:ascii="Arial" w:hAnsi="Arial" w:cs="Arial"/>
                <w:b/>
                <w:sz w:val="20"/>
                <w:szCs w:val="20"/>
              </w:rPr>
            </w:pPr>
            <w:r w:rsidRPr="00A628DF">
              <w:rPr>
                <w:rFonts w:ascii="Arial" w:hAnsi="Arial" w:cs="Arial"/>
                <w:b/>
                <w:sz w:val="20"/>
                <w:szCs w:val="20"/>
              </w:rPr>
              <w:t>AEVA</w:t>
            </w:r>
          </w:p>
          <w:p w:rsidR="00AF355D" w:rsidRPr="00A628DF" w:rsidRDefault="00AF355D" w:rsidP="00EB7C0D">
            <w:pPr>
              <w:pStyle w:val="Body"/>
              <w:spacing w:after="0"/>
              <w:jc w:val="center"/>
              <w:rPr>
                <w:rFonts w:ascii="Arial" w:hAnsi="Arial" w:cs="Arial"/>
                <w:b/>
                <w:sz w:val="20"/>
                <w:szCs w:val="20"/>
              </w:rPr>
            </w:pPr>
            <w:r w:rsidRPr="00A628DF">
              <w:rPr>
                <w:rFonts w:ascii="Arial" w:hAnsi="Arial" w:cs="Arial"/>
                <w:b/>
                <w:sz w:val="20"/>
                <w:szCs w:val="20"/>
              </w:rPr>
              <w:t>(IC</w:t>
            </w:r>
            <w:r w:rsidRPr="00A628DF">
              <w:rPr>
                <w:rFonts w:ascii="Arial" w:hAnsi="Arial" w:cs="Arial"/>
                <w:b/>
                <w:sz w:val="20"/>
                <w:szCs w:val="20"/>
                <w:vertAlign w:val="subscript"/>
              </w:rPr>
              <w:t xml:space="preserve">50 </w:t>
            </w:r>
            <w:r w:rsidRPr="00A628DF">
              <w:rPr>
                <w:rFonts w:ascii="Arial" w:hAnsi="Arial" w:cs="Arial"/>
                <w:b/>
                <w:sz w:val="20"/>
                <w:szCs w:val="20"/>
              </w:rPr>
              <w:t>values in µg/ml)</w:t>
            </w:r>
          </w:p>
        </w:tc>
      </w:tr>
      <w:tr w:rsidR="00AF355D" w:rsidRPr="00A628DF" w:rsidTr="007E4CDC">
        <w:trPr>
          <w:trHeight w:val="440"/>
          <w:jc w:val="center"/>
        </w:trPr>
        <w:tc>
          <w:tcPr>
            <w:tcW w:w="2808" w:type="dxa"/>
            <w:vAlign w:val="center"/>
          </w:tcPr>
          <w:p w:rsidR="00AF355D" w:rsidRPr="00A628DF" w:rsidRDefault="00AF355D" w:rsidP="007E4CDC">
            <w:pPr>
              <w:pStyle w:val="Body"/>
              <w:spacing w:after="0"/>
              <w:jc w:val="center"/>
              <w:rPr>
                <w:rFonts w:ascii="Arial" w:hAnsi="Arial" w:cs="Arial"/>
                <w:sz w:val="20"/>
                <w:szCs w:val="20"/>
              </w:rPr>
            </w:pPr>
            <w:r w:rsidRPr="00A628DF">
              <w:rPr>
                <w:rFonts w:ascii="Arial" w:hAnsi="Arial" w:cs="Arial"/>
                <w:sz w:val="20"/>
                <w:szCs w:val="20"/>
              </w:rPr>
              <w:t>DPPH assay</w:t>
            </w:r>
          </w:p>
        </w:tc>
        <w:tc>
          <w:tcPr>
            <w:tcW w:w="2808" w:type="dxa"/>
            <w:vAlign w:val="center"/>
          </w:tcPr>
          <w:p w:rsidR="00AF355D" w:rsidRPr="00A628DF" w:rsidRDefault="00AF355D" w:rsidP="00EB7C0D">
            <w:pPr>
              <w:pStyle w:val="Body"/>
              <w:spacing w:after="0"/>
              <w:jc w:val="center"/>
              <w:rPr>
                <w:rFonts w:ascii="Arial" w:hAnsi="Arial" w:cs="Arial"/>
                <w:sz w:val="20"/>
                <w:szCs w:val="20"/>
              </w:rPr>
            </w:pPr>
            <w:r w:rsidRPr="00A628DF">
              <w:rPr>
                <w:rFonts w:ascii="Arial" w:hAnsi="Arial" w:cs="Arial"/>
                <w:sz w:val="20"/>
                <w:szCs w:val="20"/>
              </w:rPr>
              <w:t>149.83</w:t>
            </w:r>
          </w:p>
        </w:tc>
        <w:tc>
          <w:tcPr>
            <w:tcW w:w="2808" w:type="dxa"/>
            <w:vAlign w:val="center"/>
          </w:tcPr>
          <w:p w:rsidR="00AF355D" w:rsidRPr="00A628DF" w:rsidRDefault="00AF355D" w:rsidP="00EB7C0D">
            <w:pPr>
              <w:pStyle w:val="Body"/>
              <w:spacing w:after="0"/>
              <w:jc w:val="center"/>
              <w:rPr>
                <w:rFonts w:ascii="Arial" w:hAnsi="Arial" w:cs="Arial"/>
                <w:sz w:val="20"/>
                <w:szCs w:val="20"/>
              </w:rPr>
            </w:pPr>
            <w:r w:rsidRPr="00A628DF">
              <w:rPr>
                <w:rFonts w:ascii="Arial" w:hAnsi="Arial" w:cs="Arial"/>
                <w:sz w:val="20"/>
                <w:szCs w:val="20"/>
              </w:rPr>
              <w:t>198.80</w:t>
            </w:r>
          </w:p>
        </w:tc>
      </w:tr>
      <w:tr w:rsidR="00AF355D" w:rsidRPr="00A628DF" w:rsidTr="007E4CDC">
        <w:trPr>
          <w:trHeight w:val="440"/>
          <w:jc w:val="center"/>
        </w:trPr>
        <w:tc>
          <w:tcPr>
            <w:tcW w:w="2808" w:type="dxa"/>
            <w:vAlign w:val="center"/>
          </w:tcPr>
          <w:p w:rsidR="00AF355D" w:rsidRPr="00A628DF" w:rsidRDefault="00AF355D" w:rsidP="007E4CDC">
            <w:pPr>
              <w:pStyle w:val="Body"/>
              <w:spacing w:after="0"/>
              <w:jc w:val="center"/>
              <w:rPr>
                <w:rFonts w:ascii="Arial" w:hAnsi="Arial" w:cs="Arial"/>
                <w:sz w:val="20"/>
                <w:szCs w:val="20"/>
              </w:rPr>
            </w:pPr>
            <w:r w:rsidRPr="00A628DF">
              <w:rPr>
                <w:rFonts w:ascii="Arial" w:hAnsi="Arial" w:cs="Arial"/>
                <w:sz w:val="20"/>
                <w:szCs w:val="20"/>
              </w:rPr>
              <w:t>ABTS assay</w:t>
            </w:r>
          </w:p>
        </w:tc>
        <w:tc>
          <w:tcPr>
            <w:tcW w:w="2808" w:type="dxa"/>
            <w:vAlign w:val="center"/>
          </w:tcPr>
          <w:p w:rsidR="00AF355D" w:rsidRPr="00A628DF" w:rsidRDefault="00AF355D" w:rsidP="00EB7C0D">
            <w:pPr>
              <w:pStyle w:val="Body"/>
              <w:spacing w:after="0"/>
              <w:jc w:val="center"/>
              <w:rPr>
                <w:rFonts w:ascii="Arial" w:hAnsi="Arial" w:cs="Arial"/>
                <w:sz w:val="20"/>
                <w:szCs w:val="20"/>
              </w:rPr>
            </w:pPr>
            <w:r w:rsidRPr="00A628DF">
              <w:rPr>
                <w:rFonts w:ascii="Arial" w:hAnsi="Arial" w:cs="Arial"/>
                <w:sz w:val="20"/>
                <w:szCs w:val="20"/>
              </w:rPr>
              <w:t>83.38</w:t>
            </w:r>
          </w:p>
        </w:tc>
        <w:tc>
          <w:tcPr>
            <w:tcW w:w="2808" w:type="dxa"/>
            <w:vAlign w:val="center"/>
          </w:tcPr>
          <w:p w:rsidR="00AF355D" w:rsidRPr="00A628DF" w:rsidRDefault="00AF355D" w:rsidP="00EB7C0D">
            <w:pPr>
              <w:pStyle w:val="Body"/>
              <w:spacing w:after="0"/>
              <w:jc w:val="center"/>
              <w:rPr>
                <w:rFonts w:ascii="Arial" w:hAnsi="Arial" w:cs="Arial"/>
                <w:sz w:val="20"/>
                <w:szCs w:val="20"/>
              </w:rPr>
            </w:pPr>
            <w:r w:rsidRPr="00A628DF">
              <w:rPr>
                <w:rFonts w:ascii="Arial" w:hAnsi="Arial" w:cs="Arial"/>
                <w:sz w:val="20"/>
                <w:szCs w:val="20"/>
              </w:rPr>
              <w:t>135.01</w:t>
            </w:r>
          </w:p>
        </w:tc>
      </w:tr>
      <w:tr w:rsidR="00AF355D" w:rsidRPr="00A628DF" w:rsidTr="007E4CDC">
        <w:trPr>
          <w:jc w:val="center"/>
        </w:trPr>
        <w:tc>
          <w:tcPr>
            <w:tcW w:w="2808" w:type="dxa"/>
            <w:vAlign w:val="center"/>
          </w:tcPr>
          <w:p w:rsidR="00AF355D" w:rsidRPr="00A628DF" w:rsidRDefault="00AF355D" w:rsidP="007E4CDC">
            <w:pPr>
              <w:pStyle w:val="Body"/>
              <w:spacing w:after="0"/>
              <w:jc w:val="center"/>
              <w:rPr>
                <w:rFonts w:ascii="Arial" w:hAnsi="Arial" w:cs="Arial"/>
                <w:sz w:val="20"/>
                <w:szCs w:val="20"/>
              </w:rPr>
            </w:pPr>
            <w:r w:rsidRPr="00A628DF">
              <w:rPr>
                <w:rFonts w:ascii="Arial" w:hAnsi="Arial" w:cs="Arial"/>
                <w:sz w:val="20"/>
                <w:szCs w:val="20"/>
              </w:rPr>
              <w:t>Superoxide anion radical scavenging assay</w:t>
            </w:r>
          </w:p>
        </w:tc>
        <w:tc>
          <w:tcPr>
            <w:tcW w:w="2808" w:type="dxa"/>
            <w:vAlign w:val="center"/>
          </w:tcPr>
          <w:p w:rsidR="00AF355D" w:rsidRPr="00A628DF" w:rsidRDefault="00AF355D" w:rsidP="00EB7C0D">
            <w:pPr>
              <w:pStyle w:val="Body"/>
              <w:spacing w:after="0"/>
              <w:jc w:val="center"/>
              <w:rPr>
                <w:rFonts w:ascii="Arial" w:hAnsi="Arial" w:cs="Arial"/>
                <w:sz w:val="20"/>
                <w:szCs w:val="20"/>
              </w:rPr>
            </w:pPr>
            <w:r w:rsidRPr="00A628DF">
              <w:rPr>
                <w:rFonts w:ascii="Arial" w:hAnsi="Arial" w:cs="Arial"/>
                <w:sz w:val="20"/>
                <w:szCs w:val="20"/>
              </w:rPr>
              <w:t>130.87</w:t>
            </w:r>
          </w:p>
        </w:tc>
        <w:tc>
          <w:tcPr>
            <w:tcW w:w="2808" w:type="dxa"/>
            <w:vAlign w:val="center"/>
          </w:tcPr>
          <w:p w:rsidR="00AF355D" w:rsidRPr="00A628DF" w:rsidRDefault="00AF355D" w:rsidP="00EB7C0D">
            <w:pPr>
              <w:pStyle w:val="Body"/>
              <w:spacing w:after="0"/>
              <w:jc w:val="center"/>
              <w:rPr>
                <w:rFonts w:ascii="Arial" w:hAnsi="Arial" w:cs="Arial"/>
                <w:sz w:val="20"/>
                <w:szCs w:val="20"/>
              </w:rPr>
            </w:pPr>
            <w:r w:rsidRPr="00A628DF">
              <w:rPr>
                <w:rFonts w:ascii="Arial" w:hAnsi="Arial" w:cs="Arial"/>
                <w:sz w:val="20"/>
                <w:szCs w:val="20"/>
              </w:rPr>
              <w:t>285.36</w:t>
            </w:r>
          </w:p>
        </w:tc>
      </w:tr>
    </w:tbl>
    <w:p w:rsidR="00AF355D" w:rsidRPr="00A628DF" w:rsidRDefault="00AF355D" w:rsidP="005A1ABE">
      <w:pPr>
        <w:jc w:val="both"/>
        <w:rPr>
          <w:rFonts w:ascii="Arial" w:hAnsi="Arial" w:cs="Arial"/>
        </w:rPr>
      </w:pPr>
    </w:p>
    <w:p w:rsidR="00790569" w:rsidRPr="00A628DF" w:rsidRDefault="00790569" w:rsidP="005A1ABE">
      <w:pPr>
        <w:jc w:val="both"/>
        <w:rPr>
          <w:rFonts w:ascii="Arial" w:hAnsi="Arial" w:cs="Arial"/>
        </w:rPr>
      </w:pPr>
    </w:p>
    <w:p w:rsidR="00B729DB" w:rsidRPr="00A628DF" w:rsidRDefault="00B729DB" w:rsidP="00EF4F04">
      <w:pPr>
        <w:tabs>
          <w:tab w:val="left" w:pos="1350"/>
        </w:tabs>
        <w:rPr>
          <w:rFonts w:ascii="Arial" w:hAnsi="Arial" w:cs="Arial"/>
          <w:b/>
          <w:bCs/>
        </w:rPr>
      </w:pPr>
    </w:p>
    <w:p w:rsidR="00B729DB" w:rsidRPr="00A628DF" w:rsidRDefault="00B729DB" w:rsidP="00B729DB">
      <w:pPr>
        <w:tabs>
          <w:tab w:val="left" w:pos="1350"/>
        </w:tabs>
        <w:jc w:val="both"/>
        <w:rPr>
          <w:rFonts w:ascii="Arial" w:hAnsi="Arial" w:cs="Arial"/>
          <w:b/>
          <w:bCs/>
        </w:rPr>
      </w:pPr>
      <w:r w:rsidRPr="00A628DF">
        <w:rPr>
          <w:rFonts w:ascii="Arial" w:hAnsi="Arial" w:cs="Arial"/>
          <w:b/>
          <w:bCs/>
          <w:noProof/>
        </w:rPr>
        <w:drawing>
          <wp:inline distT="0" distB="0" distL="0" distR="0" wp14:anchorId="595ED748">
            <wp:extent cx="5124893" cy="3246313"/>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128198" cy="3248407"/>
                    </a:xfrm>
                    <a:prstGeom prst="rect">
                      <a:avLst/>
                    </a:prstGeom>
                    <a:noFill/>
                  </pic:spPr>
                </pic:pic>
              </a:graphicData>
            </a:graphic>
          </wp:inline>
        </w:drawing>
      </w:r>
    </w:p>
    <w:p w:rsidR="00B729DB" w:rsidRPr="00A628DF" w:rsidRDefault="00B729DB" w:rsidP="00B729DB">
      <w:pPr>
        <w:tabs>
          <w:tab w:val="left" w:pos="1350"/>
        </w:tabs>
        <w:jc w:val="both"/>
        <w:rPr>
          <w:rFonts w:ascii="Arial" w:hAnsi="Arial" w:cs="Arial"/>
          <w:b/>
          <w:bCs/>
        </w:rPr>
      </w:pPr>
    </w:p>
    <w:p w:rsidR="00B729DB" w:rsidRPr="00A628DF" w:rsidRDefault="00B729DB" w:rsidP="00B729DB">
      <w:pPr>
        <w:tabs>
          <w:tab w:val="left" w:pos="1350"/>
        </w:tabs>
        <w:jc w:val="both"/>
        <w:rPr>
          <w:rFonts w:ascii="Arial" w:hAnsi="Arial" w:cs="Arial"/>
          <w:b/>
          <w:bCs/>
        </w:rPr>
      </w:pPr>
    </w:p>
    <w:p w:rsidR="00790569" w:rsidRPr="00A628DF" w:rsidRDefault="00790569" w:rsidP="00B729DB">
      <w:pPr>
        <w:tabs>
          <w:tab w:val="left" w:pos="1350"/>
        </w:tabs>
        <w:jc w:val="both"/>
        <w:rPr>
          <w:rFonts w:ascii="Arial" w:hAnsi="Arial" w:cs="Arial"/>
        </w:rPr>
      </w:pPr>
      <w:r w:rsidRPr="00A628DF">
        <w:rPr>
          <w:rFonts w:ascii="Arial" w:hAnsi="Arial" w:cs="Arial"/>
          <w:b/>
          <w:bCs/>
        </w:rPr>
        <w:t xml:space="preserve">Fig. </w:t>
      </w:r>
      <w:r w:rsidR="00553E6F" w:rsidRPr="00A628DF">
        <w:rPr>
          <w:rFonts w:ascii="Arial" w:hAnsi="Arial" w:cs="Arial"/>
          <w:b/>
          <w:bCs/>
        </w:rPr>
        <w:t>2</w:t>
      </w:r>
      <w:r w:rsidRPr="00A628DF">
        <w:rPr>
          <w:rFonts w:ascii="Arial" w:hAnsi="Arial" w:cs="Arial"/>
          <w:b/>
          <w:bCs/>
        </w:rPr>
        <w:t>. The scavenging potential of various concentrations of AEMA</w:t>
      </w:r>
      <w:r w:rsidR="00B729DB" w:rsidRPr="00A628DF">
        <w:rPr>
          <w:rFonts w:ascii="Arial" w:hAnsi="Arial" w:cs="Arial"/>
          <w:b/>
          <w:bCs/>
        </w:rPr>
        <w:t xml:space="preserve"> &amp; AEVA</w:t>
      </w:r>
      <w:r w:rsidRPr="00A628DF">
        <w:rPr>
          <w:rFonts w:ascii="Arial" w:hAnsi="Arial" w:cs="Arial"/>
          <w:b/>
          <w:bCs/>
        </w:rPr>
        <w:t xml:space="preserve"> in DPPH assay.</w:t>
      </w:r>
    </w:p>
    <w:p w:rsidR="00790569" w:rsidRPr="00A628DF" w:rsidRDefault="00790569" w:rsidP="00790569">
      <w:pPr>
        <w:tabs>
          <w:tab w:val="left" w:pos="1350"/>
        </w:tabs>
        <w:jc w:val="center"/>
        <w:rPr>
          <w:rFonts w:ascii="Arial" w:hAnsi="Arial" w:cs="Arial"/>
        </w:rPr>
      </w:pPr>
    </w:p>
    <w:p w:rsidR="00790569" w:rsidRPr="00A628DF" w:rsidRDefault="00790569" w:rsidP="00790569">
      <w:pPr>
        <w:tabs>
          <w:tab w:val="left" w:pos="1350"/>
        </w:tabs>
        <w:jc w:val="center"/>
        <w:rPr>
          <w:rFonts w:ascii="Arial" w:hAnsi="Arial" w:cs="Arial"/>
        </w:rPr>
      </w:pPr>
    </w:p>
    <w:p w:rsidR="00790569" w:rsidRPr="00A628DF" w:rsidRDefault="00B729DB" w:rsidP="00790569">
      <w:pPr>
        <w:tabs>
          <w:tab w:val="left" w:pos="1350"/>
        </w:tabs>
        <w:jc w:val="center"/>
        <w:rPr>
          <w:rFonts w:ascii="Arial" w:hAnsi="Arial" w:cs="Arial"/>
        </w:rPr>
      </w:pPr>
      <w:r w:rsidRPr="00A628DF">
        <w:rPr>
          <w:rFonts w:ascii="Arial" w:hAnsi="Arial" w:cs="Arial"/>
          <w:b/>
          <w:noProof/>
        </w:rPr>
        <w:lastRenderedPageBreak/>
        <w:drawing>
          <wp:inline distT="0" distB="0" distL="0" distR="0" wp14:anchorId="411EB09C">
            <wp:extent cx="5124450" cy="2933759"/>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210048" cy="2982764"/>
                    </a:xfrm>
                    <a:prstGeom prst="rect">
                      <a:avLst/>
                    </a:prstGeom>
                    <a:noFill/>
                  </pic:spPr>
                </pic:pic>
              </a:graphicData>
            </a:graphic>
          </wp:inline>
        </w:drawing>
      </w:r>
    </w:p>
    <w:p w:rsidR="00790569" w:rsidRPr="00A628DF" w:rsidRDefault="00790569" w:rsidP="00790569">
      <w:pPr>
        <w:tabs>
          <w:tab w:val="left" w:pos="1350"/>
        </w:tabs>
        <w:jc w:val="center"/>
        <w:rPr>
          <w:rFonts w:ascii="Arial" w:hAnsi="Arial" w:cs="Arial"/>
        </w:rPr>
      </w:pPr>
    </w:p>
    <w:p w:rsidR="00790569" w:rsidRPr="00A628DF" w:rsidRDefault="00B729DB" w:rsidP="00B729DB">
      <w:pPr>
        <w:tabs>
          <w:tab w:val="left" w:pos="1350"/>
        </w:tabs>
        <w:jc w:val="both"/>
        <w:rPr>
          <w:rFonts w:ascii="Arial" w:hAnsi="Arial" w:cs="Arial"/>
        </w:rPr>
      </w:pPr>
      <w:r w:rsidRPr="00A628DF">
        <w:rPr>
          <w:rFonts w:ascii="Arial" w:hAnsi="Arial" w:cs="Arial"/>
          <w:b/>
          <w:bCs/>
        </w:rPr>
        <w:t xml:space="preserve">Fig. </w:t>
      </w:r>
      <w:r w:rsidR="00553E6F" w:rsidRPr="00A628DF">
        <w:rPr>
          <w:rFonts w:ascii="Arial" w:hAnsi="Arial" w:cs="Arial"/>
          <w:b/>
          <w:bCs/>
        </w:rPr>
        <w:t>3</w:t>
      </w:r>
      <w:r w:rsidR="00790569" w:rsidRPr="00A628DF">
        <w:rPr>
          <w:rFonts w:ascii="Arial" w:hAnsi="Arial" w:cs="Arial"/>
          <w:b/>
          <w:bCs/>
        </w:rPr>
        <w:t xml:space="preserve">. The scavenging potential of various concentrations of </w:t>
      </w:r>
      <w:r w:rsidRPr="00A628DF">
        <w:rPr>
          <w:rFonts w:ascii="Arial" w:hAnsi="Arial" w:cs="Arial"/>
          <w:b/>
          <w:bCs/>
        </w:rPr>
        <w:t>AEMA &amp; AEVA</w:t>
      </w:r>
      <w:r w:rsidR="00790569" w:rsidRPr="00A628DF">
        <w:rPr>
          <w:rFonts w:ascii="Arial" w:hAnsi="Arial" w:cs="Arial"/>
          <w:b/>
          <w:bCs/>
        </w:rPr>
        <w:t xml:space="preserve"> in ABTS assay.</w:t>
      </w:r>
    </w:p>
    <w:p w:rsidR="00790569" w:rsidRPr="00A628DF" w:rsidRDefault="00790569" w:rsidP="00790569">
      <w:pPr>
        <w:tabs>
          <w:tab w:val="left" w:pos="1350"/>
        </w:tabs>
        <w:jc w:val="center"/>
        <w:rPr>
          <w:rFonts w:ascii="Arial" w:hAnsi="Arial" w:cs="Arial"/>
        </w:rPr>
      </w:pPr>
    </w:p>
    <w:p w:rsidR="005A1ABE" w:rsidRPr="00A628DF" w:rsidRDefault="005A1ABE" w:rsidP="005A1ABE">
      <w:pPr>
        <w:ind w:firstLine="720"/>
        <w:jc w:val="both"/>
        <w:rPr>
          <w:rFonts w:ascii="Arial" w:hAnsi="Arial" w:cs="Arial"/>
        </w:rPr>
      </w:pPr>
      <w:r w:rsidRPr="00A628DF">
        <w:rPr>
          <w:rFonts w:ascii="Arial" w:hAnsi="Arial" w:cs="Arial"/>
        </w:rPr>
        <w:t xml:space="preserve">In superoxide anion radical scavenging assay, </w:t>
      </w:r>
      <w:r w:rsidR="00675F43" w:rsidRPr="00A628DF">
        <w:rPr>
          <w:rFonts w:ascii="Arial" w:hAnsi="Arial" w:cs="Arial"/>
        </w:rPr>
        <w:t>both extracts showed AEMA (84.97</w:t>
      </w:r>
      <w:r w:rsidRPr="00A628DF">
        <w:rPr>
          <w:rFonts w:ascii="Arial" w:hAnsi="Arial" w:cs="Arial"/>
        </w:rPr>
        <w:t xml:space="preserve"> %) showed higher superoxide anion scavenging potential than AEVA (60.82 %) at highest tested concentration</w:t>
      </w:r>
      <w:r w:rsidR="00E11F10" w:rsidRPr="00A628DF">
        <w:rPr>
          <w:rFonts w:ascii="Arial" w:hAnsi="Arial" w:cs="Arial"/>
        </w:rPr>
        <w:t xml:space="preserve"> (F</w:t>
      </w:r>
      <w:r w:rsidR="00553E6F" w:rsidRPr="00A628DF">
        <w:rPr>
          <w:rFonts w:ascii="Arial" w:hAnsi="Arial" w:cs="Arial"/>
        </w:rPr>
        <w:t>ig. 4</w:t>
      </w:r>
      <w:r w:rsidR="00E11F10" w:rsidRPr="00A628DF">
        <w:rPr>
          <w:rFonts w:ascii="Arial" w:hAnsi="Arial" w:cs="Arial"/>
        </w:rPr>
        <w:t>)</w:t>
      </w:r>
      <w:r w:rsidRPr="00A628DF">
        <w:rPr>
          <w:rFonts w:ascii="Arial" w:hAnsi="Arial" w:cs="Arial"/>
        </w:rPr>
        <w:t>. Results demonstrated that extracts scavenged the superoxide anion radicals quite effectively with an IC</w:t>
      </w:r>
      <w:r w:rsidRPr="00A628DF">
        <w:rPr>
          <w:rFonts w:ascii="Arial" w:hAnsi="Arial" w:cs="Arial"/>
          <w:vertAlign w:val="subscript"/>
        </w:rPr>
        <w:t xml:space="preserve">50 </w:t>
      </w:r>
      <w:r w:rsidRPr="00A628DF">
        <w:rPr>
          <w:rFonts w:ascii="Arial" w:hAnsi="Arial" w:cs="Arial"/>
        </w:rPr>
        <w:t xml:space="preserve">of 130.87 and 285.36 </w:t>
      </w:r>
      <w:proofErr w:type="spellStart"/>
      <w:r w:rsidRPr="00A628DF">
        <w:rPr>
          <w:rFonts w:ascii="Arial" w:hAnsi="Arial" w:cs="Arial"/>
        </w:rPr>
        <w:t>μg</w:t>
      </w:r>
      <w:proofErr w:type="spellEnd"/>
      <w:r w:rsidRPr="00A628DF">
        <w:rPr>
          <w:rFonts w:ascii="Arial" w:hAnsi="Arial" w:cs="Arial"/>
        </w:rPr>
        <w:t>/ml respectively</w:t>
      </w:r>
      <w:r w:rsidR="001D6CAF" w:rsidRPr="00A628DF">
        <w:rPr>
          <w:rFonts w:ascii="Arial" w:hAnsi="Arial" w:cs="Arial"/>
        </w:rPr>
        <w:t xml:space="preserve"> (Table 1)</w:t>
      </w:r>
      <w:r w:rsidRPr="00A628DF">
        <w:rPr>
          <w:rFonts w:ascii="Arial" w:hAnsi="Arial" w:cs="Arial"/>
        </w:rPr>
        <w:t xml:space="preserve">.  Both extracts scavenged the radicals in dose depended manner. Kumar et al. (2011) evaluated antioxidant potential of chloroform and ethyl acetate fractions of </w:t>
      </w:r>
      <w:proofErr w:type="spellStart"/>
      <w:r w:rsidRPr="00A628DF">
        <w:rPr>
          <w:rFonts w:ascii="Arial" w:hAnsi="Arial" w:cs="Arial"/>
          <w:i/>
        </w:rPr>
        <w:t>Koelreuteria</w:t>
      </w:r>
      <w:proofErr w:type="spellEnd"/>
      <w:r w:rsidRPr="00A628DF">
        <w:rPr>
          <w:rFonts w:ascii="Arial" w:hAnsi="Arial" w:cs="Arial"/>
          <w:i/>
        </w:rPr>
        <w:t xml:space="preserve"> </w:t>
      </w:r>
      <w:proofErr w:type="spellStart"/>
      <w:r w:rsidRPr="00A628DF">
        <w:rPr>
          <w:rFonts w:ascii="Arial" w:hAnsi="Arial" w:cs="Arial"/>
          <w:i/>
        </w:rPr>
        <w:t>paniculata</w:t>
      </w:r>
      <w:proofErr w:type="spellEnd"/>
      <w:r w:rsidR="0069086E" w:rsidRPr="00A628DF">
        <w:rPr>
          <w:rFonts w:ascii="Arial" w:hAnsi="Arial" w:cs="Arial"/>
        </w:rPr>
        <w:t xml:space="preserve"> </w:t>
      </w:r>
      <w:proofErr w:type="spellStart"/>
      <w:r w:rsidR="0069086E" w:rsidRPr="00A628DF">
        <w:rPr>
          <w:rFonts w:ascii="Arial" w:hAnsi="Arial" w:cs="Arial"/>
        </w:rPr>
        <w:t>Laxm</w:t>
      </w:r>
      <w:proofErr w:type="spellEnd"/>
      <w:r w:rsidR="0069086E" w:rsidRPr="00A628DF">
        <w:rPr>
          <w:rFonts w:ascii="Arial" w:hAnsi="Arial" w:cs="Arial"/>
        </w:rPr>
        <w:t>. It was found that</w:t>
      </w:r>
      <w:r w:rsidRPr="00A628DF">
        <w:rPr>
          <w:rFonts w:ascii="Arial" w:hAnsi="Arial" w:cs="Arial"/>
        </w:rPr>
        <w:t xml:space="preserve"> chloroform and ethyl acetate fractions scavenged the superoxide anions by 19.59% and 67.12% respectively, DPPH radicals by 79.96% and 86.04% respectively;</w:t>
      </w:r>
      <w:r w:rsidR="007F24C5" w:rsidRPr="00A628DF">
        <w:rPr>
          <w:rFonts w:ascii="Arial" w:hAnsi="Arial" w:cs="Arial"/>
        </w:rPr>
        <w:t xml:space="preserve"> ABTS cation radicals by 87.63%</w:t>
      </w:r>
      <w:r w:rsidRPr="00A628DF">
        <w:rPr>
          <w:rFonts w:ascii="Arial" w:hAnsi="Arial" w:cs="Arial"/>
        </w:rPr>
        <w:t xml:space="preserve"> and 94.3% respectively. . Irfan </w:t>
      </w:r>
      <w:r w:rsidRPr="00A628DF">
        <w:rPr>
          <w:rFonts w:ascii="Arial" w:hAnsi="Arial" w:cs="Arial"/>
          <w:i/>
        </w:rPr>
        <w:t>et al.</w:t>
      </w:r>
      <w:r w:rsidRPr="00A628DF">
        <w:rPr>
          <w:rFonts w:ascii="Arial" w:hAnsi="Arial" w:cs="Arial"/>
        </w:rPr>
        <w:t xml:space="preserve"> (2011) evaluated radical scavenging activity of unripe fruits of </w:t>
      </w:r>
      <w:proofErr w:type="spellStart"/>
      <w:r w:rsidRPr="00A628DF">
        <w:rPr>
          <w:rFonts w:ascii="Arial" w:hAnsi="Arial" w:cs="Arial"/>
          <w:i/>
          <w:iCs/>
        </w:rPr>
        <w:t>Ficus</w:t>
      </w:r>
      <w:proofErr w:type="spellEnd"/>
      <w:r w:rsidRPr="00A628DF">
        <w:rPr>
          <w:rFonts w:ascii="Arial" w:hAnsi="Arial" w:cs="Arial"/>
          <w:i/>
          <w:iCs/>
        </w:rPr>
        <w:t xml:space="preserve"> </w:t>
      </w:r>
      <w:proofErr w:type="spellStart"/>
      <w:r w:rsidRPr="00A628DF">
        <w:rPr>
          <w:rFonts w:ascii="Arial" w:hAnsi="Arial" w:cs="Arial"/>
          <w:i/>
          <w:iCs/>
        </w:rPr>
        <w:t>glomerata</w:t>
      </w:r>
      <w:proofErr w:type="spellEnd"/>
      <w:r w:rsidRPr="00A628DF">
        <w:rPr>
          <w:rFonts w:ascii="Arial" w:hAnsi="Arial" w:cs="Arial"/>
          <w:i/>
          <w:iCs/>
        </w:rPr>
        <w:t xml:space="preserve"> </w:t>
      </w:r>
      <w:proofErr w:type="spellStart"/>
      <w:r w:rsidRPr="00A628DF">
        <w:rPr>
          <w:rFonts w:ascii="Arial" w:hAnsi="Arial" w:cs="Arial"/>
        </w:rPr>
        <w:t>Roxb</w:t>
      </w:r>
      <w:proofErr w:type="spellEnd"/>
      <w:r w:rsidRPr="00A628DF">
        <w:rPr>
          <w:rFonts w:ascii="Arial" w:hAnsi="Arial" w:cs="Arial"/>
        </w:rPr>
        <w:t>. Results from the study revealed that 70% ethanolic extract scavenged superoxide anion and hydroxyl radical in dose dependent fashion.</w:t>
      </w:r>
      <w:r w:rsidR="00991426" w:rsidRPr="00A628DF">
        <w:rPr>
          <w:rFonts w:ascii="Arial" w:hAnsi="Arial" w:cs="Arial"/>
        </w:rPr>
        <w:t xml:space="preserve"> </w:t>
      </w:r>
      <w:r w:rsidR="00991426" w:rsidRPr="00A628DF">
        <w:t xml:space="preserve">Sangeetha and Raj (2025) conducted an in vitro antioxidant evaluation of the leaf, stem, and root extracts of </w:t>
      </w:r>
      <w:r w:rsidR="00991426" w:rsidRPr="00A628DF">
        <w:rPr>
          <w:rStyle w:val="Emphasis"/>
        </w:rPr>
        <w:t xml:space="preserve">Plumbago </w:t>
      </w:r>
      <w:proofErr w:type="spellStart"/>
      <w:r w:rsidR="00991426" w:rsidRPr="00A628DF">
        <w:rPr>
          <w:rStyle w:val="Emphasis"/>
        </w:rPr>
        <w:t>zeylanica</w:t>
      </w:r>
      <w:proofErr w:type="spellEnd"/>
      <w:r w:rsidR="00991426" w:rsidRPr="00A628DF">
        <w:t xml:space="preserve"> using assays such as DPPH, superoxide anion scavenging, and nitric oxide scavenging. Their findings revealed that the root extract exhibited the strongest antioxidant potential compared to the leaf and stem extracts.</w:t>
      </w:r>
    </w:p>
    <w:p w:rsidR="001D6CAF" w:rsidRPr="00A628DF" w:rsidRDefault="001D6CAF" w:rsidP="005A1ABE">
      <w:pPr>
        <w:ind w:firstLine="720"/>
        <w:jc w:val="both"/>
        <w:rPr>
          <w:rFonts w:ascii="Arial" w:hAnsi="Arial" w:cs="Arial"/>
        </w:rPr>
      </w:pPr>
    </w:p>
    <w:p w:rsidR="00790569" w:rsidRPr="00A628DF" w:rsidRDefault="00B729DB" w:rsidP="00790569">
      <w:pPr>
        <w:jc w:val="center"/>
        <w:rPr>
          <w:rFonts w:ascii="Arial" w:hAnsi="Arial" w:cs="Arial"/>
        </w:rPr>
      </w:pPr>
      <w:r w:rsidRPr="00A628DF">
        <w:rPr>
          <w:rFonts w:ascii="Arial" w:hAnsi="Arial" w:cs="Arial"/>
          <w:noProof/>
        </w:rPr>
        <w:lastRenderedPageBreak/>
        <w:drawing>
          <wp:inline distT="0" distB="0" distL="0" distR="0" wp14:anchorId="0F7FD81F" wp14:editId="3692E45F">
            <wp:extent cx="5337544" cy="28702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350452" cy="2877141"/>
                    </a:xfrm>
                    <a:prstGeom prst="rect">
                      <a:avLst/>
                    </a:prstGeom>
                    <a:noFill/>
                  </pic:spPr>
                </pic:pic>
              </a:graphicData>
            </a:graphic>
          </wp:inline>
        </w:drawing>
      </w:r>
    </w:p>
    <w:p w:rsidR="00B729DB" w:rsidRPr="00A628DF" w:rsidRDefault="00B729DB" w:rsidP="00790569">
      <w:pPr>
        <w:jc w:val="both"/>
        <w:rPr>
          <w:rFonts w:ascii="Arial" w:hAnsi="Arial" w:cs="Arial"/>
          <w:b/>
          <w:bCs/>
        </w:rPr>
      </w:pPr>
    </w:p>
    <w:p w:rsidR="00790569" w:rsidRPr="00A628DF" w:rsidRDefault="00790569" w:rsidP="00790569">
      <w:pPr>
        <w:jc w:val="both"/>
        <w:rPr>
          <w:rFonts w:ascii="Arial" w:hAnsi="Arial" w:cs="Arial"/>
        </w:rPr>
      </w:pPr>
      <w:r w:rsidRPr="00A628DF">
        <w:rPr>
          <w:rFonts w:ascii="Arial" w:hAnsi="Arial" w:cs="Arial"/>
          <w:b/>
          <w:bCs/>
        </w:rPr>
        <w:t xml:space="preserve">Fig. </w:t>
      </w:r>
      <w:r w:rsidR="00553E6F" w:rsidRPr="00A628DF">
        <w:rPr>
          <w:rFonts w:ascii="Arial" w:hAnsi="Arial" w:cs="Arial"/>
          <w:b/>
          <w:bCs/>
        </w:rPr>
        <w:t>4</w:t>
      </w:r>
      <w:r w:rsidRPr="00A628DF">
        <w:rPr>
          <w:rFonts w:ascii="Arial" w:hAnsi="Arial" w:cs="Arial"/>
          <w:b/>
          <w:bCs/>
        </w:rPr>
        <w:t xml:space="preserve">. The scavenging potential of various concentrations of </w:t>
      </w:r>
      <w:r w:rsidR="00B729DB" w:rsidRPr="00A628DF">
        <w:rPr>
          <w:rFonts w:ascii="Arial" w:hAnsi="Arial" w:cs="Arial"/>
          <w:b/>
          <w:bCs/>
        </w:rPr>
        <w:t>AEMA &amp; AEVA</w:t>
      </w:r>
      <w:r w:rsidRPr="00A628DF">
        <w:rPr>
          <w:rFonts w:ascii="Arial" w:hAnsi="Arial" w:cs="Arial"/>
          <w:b/>
          <w:bCs/>
        </w:rPr>
        <w:t xml:space="preserve"> in Superoxide anion scavenging assay.</w:t>
      </w:r>
    </w:p>
    <w:p w:rsidR="00790569" w:rsidRPr="00A628DF" w:rsidRDefault="00790569" w:rsidP="00790569">
      <w:pPr>
        <w:jc w:val="center"/>
        <w:rPr>
          <w:rFonts w:ascii="Arial" w:hAnsi="Arial" w:cs="Arial"/>
        </w:rPr>
      </w:pPr>
    </w:p>
    <w:p w:rsidR="00790ADA" w:rsidRPr="00A628DF" w:rsidRDefault="00790ADA" w:rsidP="00441B6F">
      <w:pPr>
        <w:pStyle w:val="Body"/>
        <w:spacing w:after="0"/>
        <w:rPr>
          <w:rFonts w:ascii="Arial" w:hAnsi="Arial" w:cs="Arial"/>
        </w:rPr>
      </w:pPr>
    </w:p>
    <w:p w:rsidR="00B01FCD" w:rsidRPr="00A628DF" w:rsidRDefault="00000F8F" w:rsidP="00441B6F">
      <w:pPr>
        <w:pStyle w:val="ConcHead"/>
        <w:spacing w:after="0"/>
        <w:jc w:val="both"/>
        <w:rPr>
          <w:rFonts w:ascii="Arial" w:hAnsi="Arial" w:cs="Arial"/>
        </w:rPr>
      </w:pPr>
      <w:r w:rsidRPr="00A628DF">
        <w:rPr>
          <w:rFonts w:ascii="Arial" w:hAnsi="Arial" w:cs="Arial"/>
        </w:rPr>
        <w:t xml:space="preserve">4. </w:t>
      </w:r>
      <w:r w:rsidR="00B01FCD" w:rsidRPr="00A628DF">
        <w:rPr>
          <w:rFonts w:ascii="Arial" w:hAnsi="Arial" w:cs="Arial"/>
        </w:rPr>
        <w:t>Conclusion</w:t>
      </w:r>
    </w:p>
    <w:p w:rsidR="00790ADA" w:rsidRPr="00A628DF" w:rsidRDefault="00790ADA" w:rsidP="00441B6F">
      <w:pPr>
        <w:pStyle w:val="ConcHead"/>
        <w:spacing w:after="0"/>
        <w:jc w:val="both"/>
        <w:rPr>
          <w:rFonts w:ascii="Arial" w:hAnsi="Arial" w:cs="Arial"/>
        </w:rPr>
      </w:pPr>
    </w:p>
    <w:p w:rsidR="00790ADA" w:rsidRPr="00A628DF" w:rsidRDefault="005A1ABE" w:rsidP="00441B6F">
      <w:pPr>
        <w:pStyle w:val="Body"/>
        <w:spacing w:after="0"/>
        <w:rPr>
          <w:rFonts w:ascii="Arial" w:hAnsi="Arial" w:cs="Arial"/>
        </w:rPr>
      </w:pPr>
      <w:r w:rsidRPr="00A628DF">
        <w:rPr>
          <w:rFonts w:ascii="Arial" w:hAnsi="Arial" w:cs="Arial"/>
        </w:rPr>
        <w:t xml:space="preserve">From the present investigation, it was concluded that in comparison to </w:t>
      </w:r>
      <w:r w:rsidRPr="00A628DF">
        <w:rPr>
          <w:rFonts w:ascii="Arial" w:hAnsi="Arial" w:cs="Arial"/>
          <w:i/>
        </w:rPr>
        <w:t xml:space="preserve">Vernonia </w:t>
      </w:r>
      <w:proofErr w:type="spellStart"/>
      <w:r w:rsidRPr="00A628DF">
        <w:rPr>
          <w:rFonts w:ascii="Arial" w:hAnsi="Arial" w:cs="Arial"/>
          <w:i/>
        </w:rPr>
        <w:t>amygdalina</w:t>
      </w:r>
      <w:proofErr w:type="spellEnd"/>
      <w:r w:rsidRPr="00A628DF">
        <w:rPr>
          <w:rFonts w:ascii="Arial" w:hAnsi="Arial" w:cs="Arial"/>
        </w:rPr>
        <w:t xml:space="preserve"> (AEVA), </w:t>
      </w:r>
      <w:r w:rsidRPr="00A628DF">
        <w:rPr>
          <w:rFonts w:ascii="Arial" w:hAnsi="Arial" w:cs="Arial"/>
          <w:i/>
        </w:rPr>
        <w:t>Melia azedarach</w:t>
      </w:r>
      <w:r w:rsidRPr="00A628DF">
        <w:rPr>
          <w:rFonts w:ascii="Arial" w:hAnsi="Arial" w:cs="Arial"/>
        </w:rPr>
        <w:t xml:space="preserve"> (AEMA) was a more effective radical scavenger. In order to employ these extracts in the food and pharmaceutical sectors, more research is required to determine their in vivo antioxidant activity.</w:t>
      </w:r>
    </w:p>
    <w:p w:rsidR="005A1ABE" w:rsidRPr="00A628DF" w:rsidRDefault="005A1ABE" w:rsidP="00441B6F">
      <w:pPr>
        <w:pStyle w:val="Body"/>
        <w:spacing w:after="0"/>
        <w:rPr>
          <w:rFonts w:ascii="Arial" w:hAnsi="Arial" w:cs="Arial"/>
        </w:rPr>
      </w:pPr>
    </w:p>
    <w:p w:rsidR="00B01FCD" w:rsidRPr="00A628DF" w:rsidRDefault="00B01FCD" w:rsidP="00441B6F">
      <w:pPr>
        <w:pStyle w:val="AcknHead"/>
        <w:spacing w:after="0"/>
        <w:jc w:val="both"/>
        <w:rPr>
          <w:rFonts w:ascii="Arial" w:hAnsi="Arial" w:cs="Arial"/>
        </w:rPr>
      </w:pPr>
      <w:r w:rsidRPr="00A628DF">
        <w:rPr>
          <w:rFonts w:ascii="Arial" w:hAnsi="Arial" w:cs="Arial"/>
        </w:rPr>
        <w:t>Acknowledg</w:t>
      </w:r>
      <w:r w:rsidR="003E2904" w:rsidRPr="00A628DF">
        <w:rPr>
          <w:rFonts w:ascii="Arial" w:hAnsi="Arial" w:cs="Arial"/>
        </w:rPr>
        <w:t>E</w:t>
      </w:r>
      <w:r w:rsidRPr="00A628DF">
        <w:rPr>
          <w:rFonts w:ascii="Arial" w:hAnsi="Arial" w:cs="Arial"/>
        </w:rPr>
        <w:t>ments</w:t>
      </w:r>
    </w:p>
    <w:p w:rsidR="00790ADA" w:rsidRPr="00A628DF" w:rsidRDefault="00790ADA" w:rsidP="00441B6F">
      <w:pPr>
        <w:pStyle w:val="AcknHead"/>
        <w:spacing w:after="0"/>
        <w:jc w:val="both"/>
        <w:rPr>
          <w:rFonts w:ascii="Arial" w:hAnsi="Arial" w:cs="Arial"/>
          <w:sz w:val="20"/>
        </w:rPr>
      </w:pPr>
    </w:p>
    <w:p w:rsidR="00313543" w:rsidRPr="00A628DF" w:rsidRDefault="00313543" w:rsidP="00EF4F04">
      <w:pPr>
        <w:jc w:val="both"/>
        <w:rPr>
          <w:rFonts w:ascii="Arial" w:hAnsi="Arial" w:cs="Arial"/>
        </w:rPr>
      </w:pPr>
      <w:r w:rsidRPr="00A628DF">
        <w:rPr>
          <w:rFonts w:ascii="Arial" w:hAnsi="Arial" w:cs="Arial"/>
        </w:rPr>
        <w:t xml:space="preserve">Authors are thankful to DBT Star College Scheme, Govt. of India </w:t>
      </w:r>
      <w:r w:rsidR="00662537" w:rsidRPr="00A628DF">
        <w:rPr>
          <w:rFonts w:ascii="Arial" w:hAnsi="Arial" w:cs="Arial"/>
        </w:rPr>
        <w:t>for providing financial support</w:t>
      </w:r>
      <w:r w:rsidRPr="00A628DF">
        <w:rPr>
          <w:rFonts w:ascii="Arial" w:hAnsi="Arial" w:cs="Arial"/>
        </w:rPr>
        <w:t>.</w:t>
      </w:r>
    </w:p>
    <w:p w:rsidR="00315186" w:rsidRPr="00A628DF" w:rsidRDefault="00315186" w:rsidP="00441B6F"/>
    <w:p w:rsidR="00860000" w:rsidRPr="00A628DF" w:rsidRDefault="00860000" w:rsidP="00441B6F">
      <w:pPr>
        <w:pStyle w:val="ReferHead"/>
        <w:spacing w:after="0"/>
        <w:jc w:val="both"/>
        <w:rPr>
          <w:rFonts w:ascii="Arial" w:hAnsi="Arial" w:cs="Arial"/>
          <w:bCs/>
        </w:rPr>
      </w:pPr>
      <w:r w:rsidRPr="00A628DF">
        <w:rPr>
          <w:rFonts w:ascii="Arial" w:hAnsi="Arial" w:cs="Arial"/>
          <w:bCs/>
        </w:rPr>
        <w:t>Competing interests</w:t>
      </w:r>
    </w:p>
    <w:p w:rsidR="00860000" w:rsidRPr="00A628DF" w:rsidRDefault="00860000" w:rsidP="00441B6F">
      <w:pPr>
        <w:pStyle w:val="ReferHead"/>
        <w:spacing w:after="0"/>
        <w:jc w:val="both"/>
        <w:rPr>
          <w:rFonts w:ascii="Arial" w:hAnsi="Arial" w:cs="Arial"/>
        </w:rPr>
      </w:pPr>
    </w:p>
    <w:p w:rsidR="00371FB6" w:rsidRPr="00A628DF" w:rsidRDefault="005478EC" w:rsidP="00441B6F">
      <w:pPr>
        <w:pStyle w:val="ReferHead"/>
        <w:spacing w:after="0"/>
        <w:jc w:val="both"/>
        <w:rPr>
          <w:rFonts w:ascii="Arial" w:hAnsi="Arial" w:cs="Arial"/>
          <w:b w:val="0"/>
          <w:caps w:val="0"/>
          <w:sz w:val="20"/>
        </w:rPr>
      </w:pPr>
      <w:r w:rsidRPr="00A628DF">
        <w:rPr>
          <w:rFonts w:ascii="Arial" w:hAnsi="Arial" w:cs="Arial"/>
          <w:b w:val="0"/>
          <w:caps w:val="0"/>
          <w:sz w:val="20"/>
        </w:rPr>
        <w:t>Authors have declared that they have no known competing financial interests OR non-financial interests OR personal relationships that could have appeared to influence the work reported in this paper.</w:t>
      </w:r>
    </w:p>
    <w:p w:rsidR="005478EC" w:rsidRPr="00A628DF" w:rsidRDefault="005478EC" w:rsidP="00441B6F">
      <w:pPr>
        <w:pStyle w:val="ReferHead"/>
        <w:spacing w:after="0"/>
        <w:jc w:val="both"/>
        <w:rPr>
          <w:rFonts w:ascii="Arial" w:hAnsi="Arial" w:cs="Arial"/>
          <w:b w:val="0"/>
          <w:caps w:val="0"/>
          <w:sz w:val="20"/>
        </w:rPr>
      </w:pPr>
    </w:p>
    <w:p w:rsidR="00371FB6" w:rsidRPr="00A628DF" w:rsidRDefault="00371FB6" w:rsidP="00441B6F">
      <w:pPr>
        <w:pStyle w:val="ReferHead"/>
        <w:spacing w:after="0"/>
        <w:jc w:val="both"/>
        <w:rPr>
          <w:rFonts w:ascii="Arial" w:hAnsi="Arial" w:cs="Arial"/>
          <w:bCs/>
        </w:rPr>
      </w:pPr>
      <w:r w:rsidRPr="00A628DF">
        <w:rPr>
          <w:rFonts w:ascii="Arial" w:hAnsi="Arial" w:cs="Arial"/>
          <w:bCs/>
        </w:rPr>
        <w:t>Authors’ Contributions</w:t>
      </w:r>
    </w:p>
    <w:p w:rsidR="00B7493B" w:rsidRPr="00A628DF" w:rsidRDefault="00B7493B" w:rsidP="00441B6F">
      <w:pPr>
        <w:pStyle w:val="ReferHead"/>
        <w:spacing w:after="0"/>
        <w:jc w:val="both"/>
        <w:rPr>
          <w:rFonts w:ascii="Arial" w:hAnsi="Arial" w:cs="Arial"/>
          <w:bCs/>
        </w:rPr>
      </w:pPr>
    </w:p>
    <w:p w:rsidR="00371FB6" w:rsidRPr="00A628DF" w:rsidRDefault="00B7493B" w:rsidP="00441B6F">
      <w:pPr>
        <w:pStyle w:val="ReferHead"/>
        <w:spacing w:after="0"/>
        <w:jc w:val="both"/>
        <w:rPr>
          <w:rFonts w:ascii="Arial" w:hAnsi="Arial" w:cs="Arial"/>
          <w:b w:val="0"/>
          <w:bCs/>
          <w:sz w:val="20"/>
        </w:rPr>
      </w:pPr>
      <w:r w:rsidRPr="00A628DF">
        <w:rPr>
          <w:rFonts w:ascii="Arial" w:hAnsi="Arial" w:cs="Arial"/>
          <w:b w:val="0"/>
          <w:bCs/>
          <w:caps w:val="0"/>
          <w:sz w:val="20"/>
        </w:rPr>
        <w:t xml:space="preserve">Author 1 &amp; 2 designed and carried out experiments, authors 3, 4 &amp; 5 carried out statistical </w:t>
      </w:r>
      <w:proofErr w:type="spellStart"/>
      <w:r w:rsidRPr="00A628DF">
        <w:rPr>
          <w:rFonts w:ascii="Arial" w:hAnsi="Arial" w:cs="Arial"/>
          <w:b w:val="0"/>
          <w:bCs/>
          <w:caps w:val="0"/>
          <w:sz w:val="20"/>
        </w:rPr>
        <w:t>anlaysis</w:t>
      </w:r>
      <w:proofErr w:type="spellEnd"/>
      <w:r w:rsidRPr="00A628DF">
        <w:rPr>
          <w:rFonts w:ascii="Arial" w:hAnsi="Arial" w:cs="Arial"/>
          <w:b w:val="0"/>
          <w:bCs/>
          <w:caps w:val="0"/>
          <w:sz w:val="20"/>
        </w:rPr>
        <w:t xml:space="preserve"> and wrote first draft of manuscript</w:t>
      </w:r>
      <w:r w:rsidRPr="00A628DF">
        <w:rPr>
          <w:rFonts w:ascii="Arial" w:hAnsi="Arial" w:cs="Arial"/>
          <w:b w:val="0"/>
          <w:bCs/>
          <w:sz w:val="20"/>
        </w:rPr>
        <w:t xml:space="preserve">. </w:t>
      </w:r>
      <w:r w:rsidR="00371FB6" w:rsidRPr="00A628DF">
        <w:rPr>
          <w:rFonts w:ascii="Arial" w:hAnsi="Arial" w:cs="Arial"/>
          <w:b w:val="0"/>
          <w:caps w:val="0"/>
          <w:sz w:val="20"/>
        </w:rPr>
        <w:t>All authors read and approved the final manuscript.</w:t>
      </w:r>
    </w:p>
    <w:p w:rsidR="001A29D8" w:rsidRPr="00A628DF" w:rsidRDefault="001A29D8" w:rsidP="00441B6F">
      <w:pPr>
        <w:pStyle w:val="ReferHead"/>
        <w:spacing w:after="0"/>
        <w:jc w:val="both"/>
        <w:rPr>
          <w:rFonts w:ascii="Arial" w:hAnsi="Arial" w:cs="Arial"/>
          <w:caps w:val="0"/>
          <w:sz w:val="20"/>
        </w:rPr>
      </w:pPr>
    </w:p>
    <w:p w:rsidR="005478EC" w:rsidRPr="00A628DF" w:rsidRDefault="005478EC" w:rsidP="001F5B6B">
      <w:pPr>
        <w:jc w:val="both"/>
        <w:rPr>
          <w:rFonts w:ascii="Arial" w:eastAsia="Calibri" w:hAnsi="Arial" w:cs="Arial"/>
          <w:b/>
          <w:kern w:val="2"/>
          <w:highlight w:val="yellow"/>
        </w:rPr>
      </w:pPr>
      <w:bookmarkStart w:id="1" w:name="_Hlk197682619"/>
      <w:bookmarkStart w:id="2" w:name="_Hlk180402183"/>
      <w:bookmarkStart w:id="3" w:name="_Hlk183680988"/>
      <w:r w:rsidRPr="00A628DF">
        <w:rPr>
          <w:rFonts w:ascii="Arial" w:eastAsia="Calibri" w:hAnsi="Arial" w:cs="Arial"/>
          <w:b/>
          <w:kern w:val="2"/>
          <w:highlight w:val="yellow"/>
        </w:rPr>
        <w:t>Disclaimer (Artificial intelligence)</w:t>
      </w:r>
    </w:p>
    <w:p w:rsidR="005478EC" w:rsidRPr="00A628DF" w:rsidRDefault="005478EC" w:rsidP="001F5B6B">
      <w:pPr>
        <w:jc w:val="both"/>
        <w:rPr>
          <w:rFonts w:ascii="Arial" w:eastAsia="Calibri" w:hAnsi="Arial" w:cs="Arial"/>
          <w:kern w:val="2"/>
          <w:highlight w:val="yellow"/>
        </w:rPr>
      </w:pPr>
      <w:r w:rsidRPr="00A628DF">
        <w:rPr>
          <w:rFonts w:ascii="Arial" w:eastAsia="Calibri" w:hAnsi="Arial" w:cs="Arial"/>
          <w:kern w:val="2"/>
          <w:highlight w:val="yellow"/>
        </w:rPr>
        <w:t xml:space="preserve">Author(s) hereby declare that generative AI technologies such as </w:t>
      </w:r>
      <w:proofErr w:type="spellStart"/>
      <w:r w:rsidRPr="00A628DF">
        <w:rPr>
          <w:rFonts w:ascii="Arial" w:eastAsia="Calibri" w:hAnsi="Arial" w:cs="Arial"/>
          <w:kern w:val="2"/>
          <w:highlight w:val="yellow"/>
        </w:rPr>
        <w:t>ChatGPT</w:t>
      </w:r>
      <w:proofErr w:type="spellEnd"/>
      <w:r w:rsidRPr="00A628DF">
        <w:rPr>
          <w:rFonts w:ascii="Arial" w:eastAsia="Calibri" w:hAnsi="Arial" w:cs="Arial"/>
          <w:kern w:val="2"/>
          <w:highlight w:val="yellow"/>
        </w:rPr>
        <w:t xml:space="preserve"> and </w:t>
      </w:r>
      <w:proofErr w:type="spellStart"/>
      <w:r w:rsidRPr="00A628DF">
        <w:rPr>
          <w:rFonts w:ascii="Arial" w:eastAsia="Calibri" w:hAnsi="Arial" w:cs="Arial"/>
          <w:kern w:val="2"/>
          <w:highlight w:val="yellow"/>
        </w:rPr>
        <w:t>quillbot</w:t>
      </w:r>
      <w:proofErr w:type="spellEnd"/>
      <w:r w:rsidRPr="00A628DF">
        <w:rPr>
          <w:rFonts w:ascii="Arial" w:eastAsia="Calibri" w:hAnsi="Arial" w:cs="Arial"/>
          <w:kern w:val="2"/>
          <w:highlight w:val="yellow"/>
        </w:rPr>
        <w:t xml:space="preserve"> have</w:t>
      </w:r>
      <w:r w:rsidR="00EF4F04" w:rsidRPr="00A628DF">
        <w:rPr>
          <w:rFonts w:ascii="Arial" w:eastAsia="Calibri" w:hAnsi="Arial" w:cs="Arial"/>
          <w:kern w:val="2"/>
          <w:highlight w:val="yellow"/>
        </w:rPr>
        <w:t xml:space="preserve"> </w:t>
      </w:r>
      <w:r w:rsidR="00014389" w:rsidRPr="00A628DF">
        <w:rPr>
          <w:rFonts w:ascii="Arial" w:eastAsia="Calibri" w:hAnsi="Arial" w:cs="Arial"/>
          <w:kern w:val="2"/>
          <w:highlight w:val="yellow"/>
        </w:rPr>
        <w:t>been used for editing</w:t>
      </w:r>
      <w:r w:rsidR="001F5B6B" w:rsidRPr="00A628DF">
        <w:rPr>
          <w:rFonts w:ascii="Arial" w:eastAsia="Calibri" w:hAnsi="Arial" w:cs="Arial"/>
          <w:kern w:val="2"/>
          <w:highlight w:val="yellow"/>
        </w:rPr>
        <w:t xml:space="preserve"> </w:t>
      </w:r>
      <w:r w:rsidRPr="00A628DF">
        <w:rPr>
          <w:rFonts w:ascii="Arial" w:eastAsia="Calibri" w:hAnsi="Arial" w:cs="Arial"/>
          <w:kern w:val="2"/>
          <w:highlight w:val="yellow"/>
        </w:rPr>
        <w:t>of manuscript and formatting of references.</w:t>
      </w:r>
    </w:p>
    <w:bookmarkEnd w:id="1"/>
    <w:bookmarkEnd w:id="2"/>
    <w:bookmarkEnd w:id="3"/>
    <w:p w:rsidR="005C784C" w:rsidRPr="00A628DF" w:rsidRDefault="005C784C" w:rsidP="00441B6F">
      <w:pPr>
        <w:pStyle w:val="ReferHead"/>
        <w:spacing w:after="0"/>
        <w:jc w:val="both"/>
        <w:rPr>
          <w:rFonts w:ascii="Arial" w:hAnsi="Arial" w:cs="Arial"/>
          <w:b w:val="0"/>
          <w:caps w:val="0"/>
          <w:sz w:val="20"/>
        </w:rPr>
      </w:pPr>
    </w:p>
    <w:p w:rsidR="00860000" w:rsidRPr="00A628DF" w:rsidRDefault="00860000" w:rsidP="00441B6F">
      <w:pPr>
        <w:pStyle w:val="ReferHead"/>
        <w:spacing w:after="0"/>
        <w:jc w:val="both"/>
        <w:rPr>
          <w:rFonts w:ascii="Arial" w:hAnsi="Arial" w:cs="Arial"/>
        </w:rPr>
      </w:pPr>
    </w:p>
    <w:p w:rsidR="00B01FCD" w:rsidRPr="00A628DF" w:rsidRDefault="00B01FCD" w:rsidP="00441B6F">
      <w:pPr>
        <w:pStyle w:val="ReferHead"/>
        <w:spacing w:after="0"/>
        <w:jc w:val="both"/>
        <w:rPr>
          <w:rFonts w:ascii="Arial" w:hAnsi="Arial" w:cs="Arial"/>
        </w:rPr>
      </w:pPr>
      <w:r w:rsidRPr="00A628DF">
        <w:rPr>
          <w:rFonts w:ascii="Arial" w:hAnsi="Arial" w:cs="Arial"/>
        </w:rPr>
        <w:t>References</w:t>
      </w:r>
    </w:p>
    <w:p w:rsidR="00790ADA" w:rsidRPr="00A628DF" w:rsidRDefault="00790ADA" w:rsidP="00441B6F">
      <w:pPr>
        <w:pStyle w:val="ReferHead"/>
        <w:spacing w:after="0"/>
        <w:jc w:val="both"/>
        <w:rPr>
          <w:rFonts w:ascii="Arial" w:hAnsi="Arial" w:cs="Arial"/>
        </w:rPr>
      </w:pPr>
    </w:p>
    <w:p w:rsidR="002B0E63" w:rsidRPr="00A628DF" w:rsidRDefault="002B0E63" w:rsidP="005422F8"/>
    <w:p w:rsidR="002B0E63" w:rsidRPr="00A628DF" w:rsidRDefault="002B0E63" w:rsidP="00BF6C48">
      <w:pPr>
        <w:pStyle w:val="Body"/>
      </w:pPr>
      <w:proofErr w:type="spellStart"/>
      <w:r w:rsidRPr="00A628DF">
        <w:t>Ahaotu</w:t>
      </w:r>
      <w:proofErr w:type="spellEnd"/>
      <w:r w:rsidRPr="00A628DF">
        <w:t xml:space="preserve">, N.N., </w:t>
      </w:r>
      <w:proofErr w:type="spellStart"/>
      <w:r w:rsidRPr="00A628DF">
        <w:t>Echeta</w:t>
      </w:r>
      <w:proofErr w:type="spellEnd"/>
      <w:r w:rsidRPr="00A628DF">
        <w:t xml:space="preserve">, C.K., Bede, N.E., </w:t>
      </w:r>
      <w:proofErr w:type="spellStart"/>
      <w:r w:rsidRPr="00A628DF">
        <w:t>Awuchi</w:t>
      </w:r>
      <w:proofErr w:type="spellEnd"/>
      <w:r w:rsidRPr="00A628DF">
        <w:t xml:space="preserve">, C.G., </w:t>
      </w:r>
      <w:proofErr w:type="spellStart"/>
      <w:r w:rsidRPr="00A628DF">
        <w:t>Anosike</w:t>
      </w:r>
      <w:proofErr w:type="spellEnd"/>
      <w:r w:rsidRPr="00A628DF">
        <w:t xml:space="preserve">, C.L., </w:t>
      </w:r>
      <w:proofErr w:type="spellStart"/>
      <w:r w:rsidRPr="00A628DF">
        <w:t>Ibeabuchi</w:t>
      </w:r>
      <w:proofErr w:type="spellEnd"/>
      <w:r w:rsidRPr="00A628DF">
        <w:t>, C.J., &amp; Ojukwu, M. (2020). Study on the Nutritional and Chemical Composition of “</w:t>
      </w:r>
      <w:proofErr w:type="spellStart"/>
      <w:r w:rsidRPr="00A628DF">
        <w:t>Ogiri</w:t>
      </w:r>
      <w:proofErr w:type="spellEnd"/>
      <w:r w:rsidRPr="00A628DF">
        <w:t>” Condiment Made from Sandbox Seed (</w:t>
      </w:r>
      <w:proofErr w:type="spellStart"/>
      <w:r w:rsidRPr="00A628DF">
        <w:t>Hura</w:t>
      </w:r>
      <w:proofErr w:type="spellEnd"/>
      <w:r w:rsidRPr="00A628DF">
        <w:t xml:space="preserve"> </w:t>
      </w:r>
      <w:proofErr w:type="spellStart"/>
      <w:r w:rsidRPr="00A628DF">
        <w:t>Crepitans</w:t>
      </w:r>
      <w:proofErr w:type="spellEnd"/>
      <w:r w:rsidRPr="00A628DF">
        <w:t>) as Affected by Fermentation Time. GSC Biological &amp; Pharmaceutical Sciences, 11(2), 105–113.</w:t>
      </w:r>
    </w:p>
    <w:p w:rsidR="002B0E63" w:rsidRPr="00A628DF" w:rsidRDefault="002B0E63" w:rsidP="00BF6C48">
      <w:pPr>
        <w:pStyle w:val="Body"/>
      </w:pPr>
      <w:r w:rsidRPr="00A628DF">
        <w:t xml:space="preserve">Ahmed, Y.C., </w:t>
      </w:r>
      <w:proofErr w:type="spellStart"/>
      <w:r w:rsidRPr="00A628DF">
        <w:t>Rokiah</w:t>
      </w:r>
      <w:proofErr w:type="spellEnd"/>
      <w:r w:rsidRPr="00A628DF">
        <w:t xml:space="preserve">, H., </w:t>
      </w:r>
      <w:proofErr w:type="spellStart"/>
      <w:r w:rsidRPr="00A628DF">
        <w:t>Shaida</w:t>
      </w:r>
      <w:proofErr w:type="spellEnd"/>
      <w:r w:rsidRPr="00A628DF">
        <w:t xml:space="preserve">, F.S., Othman, S., </w:t>
      </w:r>
      <w:proofErr w:type="spellStart"/>
      <w:r w:rsidRPr="00A628DF">
        <w:t>Zpa</w:t>
      </w:r>
      <w:proofErr w:type="spellEnd"/>
      <w:r w:rsidRPr="00A628DF">
        <w:t>, L., &amp;Kheng, L.O.(2014). Bioprospecting Medicinal Plants for Antioxidant Components. Asian Pacific Journal of Tropical Medicine,  7(Suppl 1), 5553–5559</w:t>
      </w:r>
    </w:p>
    <w:p w:rsidR="002B0E63" w:rsidRPr="00A628DF" w:rsidRDefault="002B0E63" w:rsidP="005C7206">
      <w:pPr>
        <w:pStyle w:val="Body"/>
        <w:rPr>
          <w:rFonts w:ascii="Arial" w:hAnsi="Arial" w:cs="Arial"/>
        </w:rPr>
      </w:pPr>
      <w:proofErr w:type="spellStart"/>
      <w:r w:rsidRPr="00A628DF">
        <w:rPr>
          <w:rFonts w:ascii="Arial" w:hAnsi="Arial" w:cs="Arial"/>
        </w:rPr>
        <w:t>Akacha</w:t>
      </w:r>
      <w:proofErr w:type="spellEnd"/>
      <w:r w:rsidRPr="00A628DF">
        <w:rPr>
          <w:rFonts w:ascii="Arial" w:hAnsi="Arial" w:cs="Arial"/>
        </w:rPr>
        <w:t xml:space="preserve">, M., </w:t>
      </w:r>
      <w:proofErr w:type="spellStart"/>
      <w:r w:rsidRPr="00A628DF">
        <w:rPr>
          <w:rFonts w:ascii="Arial" w:hAnsi="Arial" w:cs="Arial"/>
        </w:rPr>
        <w:t>Lahbib</w:t>
      </w:r>
      <w:proofErr w:type="spellEnd"/>
      <w:r w:rsidRPr="00A628DF">
        <w:rPr>
          <w:rFonts w:ascii="Arial" w:hAnsi="Arial" w:cs="Arial"/>
        </w:rPr>
        <w:t xml:space="preserve">, K., </w:t>
      </w:r>
      <w:proofErr w:type="spellStart"/>
      <w:r w:rsidRPr="00A628DF">
        <w:rPr>
          <w:rFonts w:ascii="Arial" w:hAnsi="Arial" w:cs="Arial"/>
        </w:rPr>
        <w:t>Remadi</w:t>
      </w:r>
      <w:proofErr w:type="spellEnd"/>
      <w:r w:rsidRPr="00A628DF">
        <w:rPr>
          <w:rFonts w:ascii="Arial" w:hAnsi="Arial" w:cs="Arial"/>
        </w:rPr>
        <w:t xml:space="preserve">, M.D., &amp; </w:t>
      </w:r>
      <w:proofErr w:type="spellStart"/>
      <w:r w:rsidRPr="00A628DF">
        <w:rPr>
          <w:rFonts w:ascii="Arial" w:hAnsi="Arial" w:cs="Arial"/>
        </w:rPr>
        <w:t>Boughanmi</w:t>
      </w:r>
      <w:proofErr w:type="spellEnd"/>
      <w:r w:rsidRPr="00A628DF">
        <w:rPr>
          <w:rFonts w:ascii="Arial" w:hAnsi="Arial" w:cs="Arial"/>
        </w:rPr>
        <w:t>, N.G. (2016). Antibacterial, antifungal and anti-inflammatory activities of Melia azedarach ethanolic leaf extract. Bangladesh Journal of Pharmacology, 11, 666–674.</w:t>
      </w:r>
    </w:p>
    <w:p w:rsidR="002B0E63" w:rsidRPr="00A628DF" w:rsidRDefault="002B0E63" w:rsidP="005C7206">
      <w:pPr>
        <w:pStyle w:val="NormalWeb"/>
        <w:jc w:val="both"/>
        <w:rPr>
          <w:rFonts w:ascii="Arial" w:hAnsi="Arial" w:cs="Arial"/>
          <w:sz w:val="20"/>
          <w:szCs w:val="20"/>
        </w:rPr>
      </w:pPr>
      <w:proofErr w:type="spellStart"/>
      <w:r w:rsidRPr="00A628DF">
        <w:rPr>
          <w:rStyle w:val="Strong"/>
          <w:rFonts w:ascii="Arial" w:hAnsi="Arial" w:cs="Arial"/>
          <w:b w:val="0"/>
          <w:sz w:val="20"/>
          <w:szCs w:val="20"/>
        </w:rPr>
        <w:t>Akah</w:t>
      </w:r>
      <w:proofErr w:type="spellEnd"/>
      <w:r w:rsidRPr="00A628DF">
        <w:rPr>
          <w:rStyle w:val="Strong"/>
          <w:rFonts w:ascii="Arial" w:hAnsi="Arial" w:cs="Arial"/>
          <w:b w:val="0"/>
          <w:sz w:val="20"/>
          <w:szCs w:val="20"/>
        </w:rPr>
        <w:t xml:space="preserve">, P.A., &amp; </w:t>
      </w:r>
      <w:proofErr w:type="spellStart"/>
      <w:r w:rsidRPr="00A628DF">
        <w:rPr>
          <w:rStyle w:val="Strong"/>
          <w:rFonts w:ascii="Arial" w:hAnsi="Arial" w:cs="Arial"/>
          <w:b w:val="0"/>
          <w:sz w:val="20"/>
          <w:szCs w:val="20"/>
        </w:rPr>
        <w:t>Ekekwe</w:t>
      </w:r>
      <w:proofErr w:type="spellEnd"/>
      <w:r w:rsidRPr="00A628DF">
        <w:rPr>
          <w:rStyle w:val="Strong"/>
          <w:rFonts w:ascii="Arial" w:hAnsi="Arial" w:cs="Arial"/>
          <w:b w:val="0"/>
          <w:sz w:val="20"/>
          <w:szCs w:val="20"/>
        </w:rPr>
        <w:t xml:space="preserve">, R.K. (1995). Ethnopharmacology of some Asteraceae family used in Nigerian traditional medicine. </w:t>
      </w:r>
      <w:proofErr w:type="spellStart"/>
      <w:r w:rsidRPr="00A628DF">
        <w:rPr>
          <w:rStyle w:val="Emphasis"/>
          <w:rFonts w:ascii="Arial" w:hAnsi="Arial" w:cs="Arial"/>
          <w:bCs/>
          <w:sz w:val="20"/>
          <w:szCs w:val="20"/>
        </w:rPr>
        <w:t>Fitoterapia</w:t>
      </w:r>
      <w:proofErr w:type="spellEnd"/>
      <w:r w:rsidRPr="00A628DF">
        <w:rPr>
          <w:rStyle w:val="Emphasis"/>
          <w:rFonts w:ascii="Arial" w:hAnsi="Arial" w:cs="Arial"/>
          <w:bCs/>
          <w:sz w:val="20"/>
          <w:szCs w:val="20"/>
        </w:rPr>
        <w:t>, 66</w:t>
      </w:r>
      <w:r w:rsidRPr="00A628DF">
        <w:rPr>
          <w:rStyle w:val="Strong"/>
          <w:rFonts w:ascii="Arial" w:hAnsi="Arial" w:cs="Arial"/>
          <w:b w:val="0"/>
          <w:sz w:val="20"/>
          <w:szCs w:val="20"/>
        </w:rPr>
        <w:t>(4), 351–355.</w:t>
      </w:r>
    </w:p>
    <w:p w:rsidR="002B0E63" w:rsidRPr="00A628DF" w:rsidRDefault="002B0E63" w:rsidP="005C7206">
      <w:pPr>
        <w:pStyle w:val="Body"/>
        <w:rPr>
          <w:rFonts w:ascii="Arial" w:hAnsi="Arial" w:cs="Arial"/>
        </w:rPr>
      </w:pPr>
      <w:proofErr w:type="spellStart"/>
      <w:r w:rsidRPr="00A628DF">
        <w:rPr>
          <w:rFonts w:ascii="Arial" w:hAnsi="Arial" w:cs="Arial"/>
        </w:rPr>
        <w:t>Alché</w:t>
      </w:r>
      <w:proofErr w:type="spellEnd"/>
      <w:r w:rsidRPr="00A628DF">
        <w:rPr>
          <w:rFonts w:ascii="Arial" w:hAnsi="Arial" w:cs="Arial"/>
        </w:rPr>
        <w:t xml:space="preserve">, L.E., </w:t>
      </w:r>
      <w:proofErr w:type="spellStart"/>
      <w:r w:rsidRPr="00A628DF">
        <w:rPr>
          <w:rFonts w:ascii="Arial" w:hAnsi="Arial" w:cs="Arial"/>
        </w:rPr>
        <w:t>Barquero</w:t>
      </w:r>
      <w:proofErr w:type="spellEnd"/>
      <w:r w:rsidRPr="00A628DF">
        <w:rPr>
          <w:rFonts w:ascii="Arial" w:hAnsi="Arial" w:cs="Arial"/>
        </w:rPr>
        <w:t xml:space="preserve">, A.A., </w:t>
      </w:r>
      <w:proofErr w:type="spellStart"/>
      <w:r w:rsidRPr="00A628DF">
        <w:rPr>
          <w:rFonts w:ascii="Arial" w:hAnsi="Arial" w:cs="Arial"/>
        </w:rPr>
        <w:t>Sanjuan</w:t>
      </w:r>
      <w:proofErr w:type="spellEnd"/>
      <w:r w:rsidRPr="00A628DF">
        <w:rPr>
          <w:rFonts w:ascii="Arial" w:hAnsi="Arial" w:cs="Arial"/>
        </w:rPr>
        <w:t xml:space="preserve">, N.A., &amp; </w:t>
      </w:r>
      <w:proofErr w:type="spellStart"/>
      <w:r w:rsidRPr="00A628DF">
        <w:rPr>
          <w:rFonts w:ascii="Arial" w:hAnsi="Arial" w:cs="Arial"/>
        </w:rPr>
        <w:t>Coto</w:t>
      </w:r>
      <w:proofErr w:type="spellEnd"/>
      <w:r w:rsidRPr="00A628DF">
        <w:rPr>
          <w:rFonts w:ascii="Arial" w:hAnsi="Arial" w:cs="Arial"/>
        </w:rPr>
        <w:t xml:space="preserve">, C.E. (2002). An antiviral principle present in a purified fraction from Melia azedarach L. leaf aqueous extract restrains herpes simplex virus type 1 propagation. </w:t>
      </w:r>
      <w:proofErr w:type="spellStart"/>
      <w:r w:rsidRPr="00A628DF">
        <w:rPr>
          <w:rFonts w:ascii="Arial" w:hAnsi="Arial" w:cs="Arial"/>
        </w:rPr>
        <w:t>Phytotherapy</w:t>
      </w:r>
      <w:proofErr w:type="spellEnd"/>
      <w:r w:rsidRPr="00A628DF">
        <w:rPr>
          <w:rFonts w:ascii="Arial" w:hAnsi="Arial" w:cs="Arial"/>
        </w:rPr>
        <w:t xml:space="preserve"> Research, 16(4), 348–352.</w:t>
      </w:r>
    </w:p>
    <w:p w:rsidR="002B0E63" w:rsidRPr="00A628DF" w:rsidRDefault="002B0E63" w:rsidP="005C7206">
      <w:pPr>
        <w:pStyle w:val="NormalWeb"/>
        <w:jc w:val="both"/>
        <w:rPr>
          <w:rFonts w:ascii="Arial" w:hAnsi="Arial" w:cs="Arial"/>
          <w:sz w:val="20"/>
          <w:szCs w:val="20"/>
        </w:rPr>
      </w:pPr>
      <w:r w:rsidRPr="00A628DF">
        <w:rPr>
          <w:rStyle w:val="Strong"/>
          <w:rFonts w:ascii="Arial" w:hAnsi="Arial" w:cs="Arial"/>
          <w:b w:val="0"/>
          <w:sz w:val="20"/>
          <w:szCs w:val="20"/>
        </w:rPr>
        <w:t xml:space="preserve">Asante, D.B., </w:t>
      </w:r>
      <w:proofErr w:type="spellStart"/>
      <w:r w:rsidRPr="00A628DF">
        <w:rPr>
          <w:rStyle w:val="Strong"/>
          <w:rFonts w:ascii="Arial" w:hAnsi="Arial" w:cs="Arial"/>
          <w:b w:val="0"/>
          <w:sz w:val="20"/>
          <w:szCs w:val="20"/>
        </w:rPr>
        <w:t>Henneh</w:t>
      </w:r>
      <w:proofErr w:type="spellEnd"/>
      <w:r w:rsidRPr="00A628DF">
        <w:rPr>
          <w:rStyle w:val="Strong"/>
          <w:rFonts w:ascii="Arial" w:hAnsi="Arial" w:cs="Arial"/>
          <w:b w:val="0"/>
          <w:sz w:val="20"/>
          <w:szCs w:val="20"/>
        </w:rPr>
        <w:t xml:space="preserve">, I.T., Acheampong, D.O., </w:t>
      </w:r>
      <w:proofErr w:type="spellStart"/>
      <w:r w:rsidRPr="00A628DF">
        <w:rPr>
          <w:rStyle w:val="Strong"/>
          <w:rFonts w:ascii="Arial" w:hAnsi="Arial" w:cs="Arial"/>
          <w:b w:val="0"/>
          <w:sz w:val="20"/>
          <w:szCs w:val="20"/>
        </w:rPr>
        <w:t>Kyei</w:t>
      </w:r>
      <w:proofErr w:type="spellEnd"/>
      <w:r w:rsidRPr="00A628DF">
        <w:rPr>
          <w:rStyle w:val="Strong"/>
          <w:rFonts w:ascii="Arial" w:hAnsi="Arial" w:cs="Arial"/>
          <w:b w:val="0"/>
          <w:sz w:val="20"/>
          <w:szCs w:val="20"/>
        </w:rPr>
        <w:t xml:space="preserve">, F., </w:t>
      </w:r>
      <w:proofErr w:type="spellStart"/>
      <w:r w:rsidRPr="00A628DF">
        <w:rPr>
          <w:rStyle w:val="Strong"/>
          <w:rFonts w:ascii="Arial" w:hAnsi="Arial" w:cs="Arial"/>
          <w:b w:val="0"/>
          <w:sz w:val="20"/>
          <w:szCs w:val="20"/>
        </w:rPr>
        <w:t>Adokoh</w:t>
      </w:r>
      <w:proofErr w:type="spellEnd"/>
      <w:r w:rsidRPr="00A628DF">
        <w:rPr>
          <w:rStyle w:val="Strong"/>
          <w:rFonts w:ascii="Arial" w:hAnsi="Arial" w:cs="Arial"/>
          <w:b w:val="0"/>
          <w:sz w:val="20"/>
          <w:szCs w:val="20"/>
        </w:rPr>
        <w:t xml:space="preserve">, C.K., Ofori, E.G., </w:t>
      </w:r>
      <w:proofErr w:type="spellStart"/>
      <w:r w:rsidRPr="00A628DF">
        <w:rPr>
          <w:rStyle w:val="Strong"/>
          <w:rFonts w:ascii="Arial" w:hAnsi="Arial" w:cs="Arial"/>
          <w:b w:val="0"/>
          <w:sz w:val="20"/>
          <w:szCs w:val="20"/>
        </w:rPr>
        <w:t>Domey</w:t>
      </w:r>
      <w:proofErr w:type="spellEnd"/>
      <w:r w:rsidRPr="00A628DF">
        <w:rPr>
          <w:rStyle w:val="Strong"/>
          <w:rFonts w:ascii="Arial" w:hAnsi="Arial" w:cs="Arial"/>
          <w:b w:val="0"/>
          <w:sz w:val="20"/>
          <w:szCs w:val="20"/>
        </w:rPr>
        <w:t xml:space="preserve">, N.K., </w:t>
      </w:r>
      <w:proofErr w:type="spellStart"/>
      <w:r w:rsidRPr="00A628DF">
        <w:rPr>
          <w:rStyle w:val="Strong"/>
          <w:rFonts w:ascii="Arial" w:hAnsi="Arial" w:cs="Arial"/>
          <w:b w:val="0"/>
          <w:sz w:val="20"/>
          <w:szCs w:val="20"/>
        </w:rPr>
        <w:t>Adakudugu</w:t>
      </w:r>
      <w:proofErr w:type="spellEnd"/>
      <w:r w:rsidRPr="00A628DF">
        <w:rPr>
          <w:rStyle w:val="Strong"/>
          <w:rFonts w:ascii="Arial" w:hAnsi="Arial" w:cs="Arial"/>
          <w:b w:val="0"/>
          <w:sz w:val="20"/>
          <w:szCs w:val="20"/>
        </w:rPr>
        <w:t xml:space="preserve">, E., </w:t>
      </w:r>
      <w:proofErr w:type="spellStart"/>
      <w:r w:rsidRPr="00A628DF">
        <w:rPr>
          <w:rStyle w:val="Strong"/>
          <w:rFonts w:ascii="Arial" w:hAnsi="Arial" w:cs="Arial"/>
          <w:b w:val="0"/>
          <w:sz w:val="20"/>
          <w:szCs w:val="20"/>
        </w:rPr>
        <w:t>Tangella</w:t>
      </w:r>
      <w:proofErr w:type="spellEnd"/>
      <w:r w:rsidRPr="00A628DF">
        <w:rPr>
          <w:rStyle w:val="Strong"/>
          <w:rFonts w:ascii="Arial" w:hAnsi="Arial" w:cs="Arial"/>
          <w:b w:val="0"/>
          <w:sz w:val="20"/>
          <w:szCs w:val="20"/>
        </w:rPr>
        <w:t xml:space="preserve">, L.P., &amp; </w:t>
      </w:r>
      <w:proofErr w:type="spellStart"/>
      <w:r w:rsidRPr="00A628DF">
        <w:rPr>
          <w:rStyle w:val="Strong"/>
          <w:rFonts w:ascii="Arial" w:hAnsi="Arial" w:cs="Arial"/>
          <w:b w:val="0"/>
          <w:sz w:val="20"/>
          <w:szCs w:val="20"/>
        </w:rPr>
        <w:t>Ameyaw</w:t>
      </w:r>
      <w:proofErr w:type="spellEnd"/>
      <w:r w:rsidRPr="00A628DF">
        <w:rPr>
          <w:rStyle w:val="Strong"/>
          <w:rFonts w:ascii="Arial" w:hAnsi="Arial" w:cs="Arial"/>
          <w:b w:val="0"/>
          <w:sz w:val="20"/>
          <w:szCs w:val="20"/>
        </w:rPr>
        <w:t xml:space="preserve">, E.O. (2019). Anti-inflammatory, anti-nociceptive and antipyretic activity of young and old leaves of </w:t>
      </w:r>
      <w:r w:rsidRPr="00A628DF">
        <w:rPr>
          <w:rStyle w:val="Emphasis"/>
          <w:rFonts w:ascii="Arial" w:hAnsi="Arial" w:cs="Arial"/>
          <w:bCs/>
          <w:sz w:val="20"/>
          <w:szCs w:val="20"/>
        </w:rPr>
        <w:t xml:space="preserve">Vernonia </w:t>
      </w:r>
      <w:proofErr w:type="spellStart"/>
      <w:r w:rsidRPr="00A628DF">
        <w:rPr>
          <w:rStyle w:val="Emphasis"/>
          <w:rFonts w:ascii="Arial" w:hAnsi="Arial" w:cs="Arial"/>
          <w:bCs/>
          <w:sz w:val="20"/>
          <w:szCs w:val="20"/>
        </w:rPr>
        <w:t>amygdalina</w:t>
      </w:r>
      <w:proofErr w:type="spellEnd"/>
      <w:r w:rsidRPr="00A628DF">
        <w:rPr>
          <w:rStyle w:val="Strong"/>
          <w:rFonts w:ascii="Arial" w:hAnsi="Arial" w:cs="Arial"/>
          <w:b w:val="0"/>
          <w:sz w:val="20"/>
          <w:szCs w:val="20"/>
        </w:rPr>
        <w:t xml:space="preserve">. </w:t>
      </w:r>
      <w:r w:rsidRPr="00A628DF">
        <w:rPr>
          <w:rStyle w:val="Emphasis"/>
          <w:rFonts w:ascii="Arial" w:hAnsi="Arial" w:cs="Arial"/>
          <w:bCs/>
          <w:sz w:val="20"/>
          <w:szCs w:val="20"/>
        </w:rPr>
        <w:t>Biomedicine &amp; Pharmacotherapy, 111</w:t>
      </w:r>
      <w:r w:rsidRPr="00A628DF">
        <w:rPr>
          <w:rStyle w:val="Strong"/>
          <w:rFonts w:ascii="Arial" w:hAnsi="Arial" w:cs="Arial"/>
          <w:b w:val="0"/>
          <w:sz w:val="20"/>
          <w:szCs w:val="20"/>
        </w:rPr>
        <w:t>, 1187–1203.</w:t>
      </w:r>
    </w:p>
    <w:p w:rsidR="002B0E63" w:rsidRPr="00A628DF" w:rsidRDefault="002B0E63" w:rsidP="005C7206">
      <w:pPr>
        <w:pStyle w:val="NormalWeb"/>
        <w:jc w:val="both"/>
        <w:rPr>
          <w:rFonts w:ascii="Arial" w:hAnsi="Arial" w:cs="Arial"/>
          <w:sz w:val="20"/>
          <w:szCs w:val="20"/>
        </w:rPr>
      </w:pPr>
      <w:proofErr w:type="spellStart"/>
      <w:r w:rsidRPr="00A628DF">
        <w:rPr>
          <w:rStyle w:val="Strong"/>
          <w:rFonts w:ascii="Arial" w:hAnsi="Arial" w:cs="Arial"/>
          <w:b w:val="0"/>
          <w:sz w:val="20"/>
          <w:szCs w:val="20"/>
        </w:rPr>
        <w:t>Atangwho</w:t>
      </w:r>
      <w:proofErr w:type="spellEnd"/>
      <w:r w:rsidRPr="00A628DF">
        <w:rPr>
          <w:rStyle w:val="Strong"/>
          <w:rFonts w:ascii="Arial" w:hAnsi="Arial" w:cs="Arial"/>
          <w:b w:val="0"/>
          <w:sz w:val="20"/>
          <w:szCs w:val="20"/>
        </w:rPr>
        <w:t xml:space="preserve">, I.J., </w:t>
      </w:r>
      <w:proofErr w:type="spellStart"/>
      <w:r w:rsidRPr="00A628DF">
        <w:rPr>
          <w:rStyle w:val="Strong"/>
          <w:rFonts w:ascii="Arial" w:hAnsi="Arial" w:cs="Arial"/>
          <w:b w:val="0"/>
          <w:sz w:val="20"/>
          <w:szCs w:val="20"/>
        </w:rPr>
        <w:t>Edet</w:t>
      </w:r>
      <w:proofErr w:type="spellEnd"/>
      <w:r w:rsidRPr="00A628DF">
        <w:rPr>
          <w:rStyle w:val="Strong"/>
          <w:rFonts w:ascii="Arial" w:hAnsi="Arial" w:cs="Arial"/>
          <w:b w:val="0"/>
          <w:sz w:val="20"/>
          <w:szCs w:val="20"/>
        </w:rPr>
        <w:t xml:space="preserve">, E.E., </w:t>
      </w:r>
      <w:proofErr w:type="spellStart"/>
      <w:r w:rsidRPr="00A628DF">
        <w:rPr>
          <w:rStyle w:val="Strong"/>
          <w:rFonts w:ascii="Arial" w:hAnsi="Arial" w:cs="Arial"/>
          <w:b w:val="0"/>
          <w:sz w:val="20"/>
          <w:szCs w:val="20"/>
        </w:rPr>
        <w:t>Uti</w:t>
      </w:r>
      <w:proofErr w:type="spellEnd"/>
      <w:r w:rsidRPr="00A628DF">
        <w:rPr>
          <w:rStyle w:val="Strong"/>
          <w:rFonts w:ascii="Arial" w:hAnsi="Arial" w:cs="Arial"/>
          <w:b w:val="0"/>
          <w:sz w:val="20"/>
          <w:szCs w:val="20"/>
        </w:rPr>
        <w:t xml:space="preserve">, D.E., Obi, A.U., </w:t>
      </w:r>
      <w:proofErr w:type="spellStart"/>
      <w:r w:rsidRPr="00A628DF">
        <w:rPr>
          <w:rStyle w:val="Strong"/>
          <w:rFonts w:ascii="Arial" w:hAnsi="Arial" w:cs="Arial"/>
          <w:b w:val="0"/>
          <w:sz w:val="20"/>
          <w:szCs w:val="20"/>
        </w:rPr>
        <w:t>Asmawi</w:t>
      </w:r>
      <w:proofErr w:type="spellEnd"/>
      <w:r w:rsidRPr="00A628DF">
        <w:rPr>
          <w:rStyle w:val="Strong"/>
          <w:rFonts w:ascii="Arial" w:hAnsi="Arial" w:cs="Arial"/>
          <w:b w:val="0"/>
          <w:sz w:val="20"/>
          <w:szCs w:val="20"/>
        </w:rPr>
        <w:t xml:space="preserve">, M.Z., &amp; Ahmad, M. (2012). Biochemical and histological impact of </w:t>
      </w:r>
      <w:r w:rsidRPr="00A628DF">
        <w:rPr>
          <w:rStyle w:val="Emphasis"/>
          <w:rFonts w:ascii="Arial" w:hAnsi="Arial" w:cs="Arial"/>
          <w:bCs/>
          <w:sz w:val="20"/>
          <w:szCs w:val="20"/>
        </w:rPr>
        <w:t xml:space="preserve">Vernonia </w:t>
      </w:r>
      <w:proofErr w:type="spellStart"/>
      <w:r w:rsidRPr="00A628DF">
        <w:rPr>
          <w:rStyle w:val="Emphasis"/>
          <w:rFonts w:ascii="Arial" w:hAnsi="Arial" w:cs="Arial"/>
          <w:bCs/>
          <w:sz w:val="20"/>
          <w:szCs w:val="20"/>
        </w:rPr>
        <w:t>amygdalina</w:t>
      </w:r>
      <w:proofErr w:type="spellEnd"/>
      <w:r w:rsidRPr="00A628DF">
        <w:rPr>
          <w:rStyle w:val="Strong"/>
          <w:rFonts w:ascii="Arial" w:hAnsi="Arial" w:cs="Arial"/>
          <w:b w:val="0"/>
          <w:sz w:val="20"/>
          <w:szCs w:val="20"/>
        </w:rPr>
        <w:t xml:space="preserve"> supplemented diet in obese rats. </w:t>
      </w:r>
      <w:r w:rsidRPr="00A628DF">
        <w:rPr>
          <w:rStyle w:val="Emphasis"/>
          <w:rFonts w:ascii="Arial" w:hAnsi="Arial" w:cs="Arial"/>
          <w:bCs/>
          <w:sz w:val="20"/>
          <w:szCs w:val="20"/>
        </w:rPr>
        <w:t>Saudi Journal of Biological Sciences, 19</w:t>
      </w:r>
      <w:r w:rsidRPr="00A628DF">
        <w:rPr>
          <w:rStyle w:val="Strong"/>
          <w:rFonts w:ascii="Arial" w:hAnsi="Arial" w:cs="Arial"/>
          <w:b w:val="0"/>
          <w:sz w:val="20"/>
          <w:szCs w:val="20"/>
        </w:rPr>
        <w:t>(3), 385–392.</w:t>
      </w:r>
    </w:p>
    <w:p w:rsidR="002B0E63" w:rsidRPr="00A628DF" w:rsidRDefault="002B0E63" w:rsidP="00BF6C48">
      <w:pPr>
        <w:pStyle w:val="Body"/>
      </w:pPr>
      <w:proofErr w:type="spellStart"/>
      <w:r w:rsidRPr="00A628DF">
        <w:t>Atia</w:t>
      </w:r>
      <w:proofErr w:type="spellEnd"/>
      <w:r w:rsidRPr="00A628DF">
        <w:t xml:space="preserve">, A.E., &amp; Abdullah, A. (2014).  Modulation of Nrf2/Keap1 Pathway by Dietary Phytochemicals. International Journal of Research in Medical Sciences, 2, 375–381. </w:t>
      </w:r>
    </w:p>
    <w:p w:rsidR="002B0E63" w:rsidRPr="00A628DF" w:rsidRDefault="002B0E63" w:rsidP="00BF6C48">
      <w:pPr>
        <w:pStyle w:val="Body"/>
      </w:pPr>
      <w:r w:rsidRPr="00A628DF">
        <w:t>Blois, M.S. (1958) Antioxidant determinations by the use of a stable free radical. Nature, 29, 1199-200.</w:t>
      </w:r>
    </w:p>
    <w:p w:rsidR="002B0E63" w:rsidRPr="00A628DF" w:rsidRDefault="002B0E63" w:rsidP="005C7206">
      <w:pPr>
        <w:pStyle w:val="Body"/>
        <w:rPr>
          <w:rFonts w:ascii="Arial" w:hAnsi="Arial" w:cs="Arial"/>
        </w:rPr>
      </w:pPr>
      <w:proofErr w:type="spellStart"/>
      <w:r w:rsidRPr="00A628DF">
        <w:rPr>
          <w:rFonts w:ascii="Arial" w:hAnsi="Arial" w:cs="Arial"/>
        </w:rPr>
        <w:t>Carpinella</w:t>
      </w:r>
      <w:proofErr w:type="spellEnd"/>
      <w:r w:rsidRPr="00A628DF">
        <w:rPr>
          <w:rFonts w:ascii="Arial" w:hAnsi="Arial" w:cs="Arial"/>
        </w:rPr>
        <w:t>, M.C., Herrero, G.G., Alonso, R.A., &amp; Palacios, S.M. (2003). Antifeedant and insecticide properties of a limonoid from Melia azedarach (</w:t>
      </w:r>
      <w:proofErr w:type="spellStart"/>
      <w:r w:rsidRPr="00A628DF">
        <w:rPr>
          <w:rFonts w:ascii="Arial" w:hAnsi="Arial" w:cs="Arial"/>
        </w:rPr>
        <w:t>Meliaceae</w:t>
      </w:r>
      <w:proofErr w:type="spellEnd"/>
      <w:r w:rsidRPr="00A628DF">
        <w:rPr>
          <w:rFonts w:ascii="Arial" w:hAnsi="Arial" w:cs="Arial"/>
        </w:rPr>
        <w:t>) with potential use for pest management. Journal of Agricultural and Food Chemistry, 51(2), 369–374.</w:t>
      </w:r>
    </w:p>
    <w:p w:rsidR="002B0E63" w:rsidRPr="00A628DF" w:rsidRDefault="002B0E63" w:rsidP="00BF6C48">
      <w:pPr>
        <w:pStyle w:val="Body"/>
      </w:pPr>
      <w:r w:rsidRPr="00A628DF">
        <w:t xml:space="preserve">Grice, H.P. (1988) Enhanced </w:t>
      </w:r>
      <w:proofErr w:type="spellStart"/>
      <w:r w:rsidRPr="00A628DF">
        <w:t>tumour</w:t>
      </w:r>
      <w:proofErr w:type="spellEnd"/>
      <w:r w:rsidRPr="00A628DF">
        <w:t xml:space="preserve"> development by butylated </w:t>
      </w:r>
      <w:proofErr w:type="spellStart"/>
      <w:r w:rsidRPr="00A628DF">
        <w:t>hydroxyanisole</w:t>
      </w:r>
      <w:proofErr w:type="spellEnd"/>
      <w:r w:rsidRPr="00A628DF">
        <w:t xml:space="preserve"> (BHA) from the prospective of effect on forestomach and </w:t>
      </w:r>
      <w:proofErr w:type="spellStart"/>
      <w:r w:rsidRPr="00A628DF">
        <w:t>oesophageal</w:t>
      </w:r>
      <w:proofErr w:type="spellEnd"/>
      <w:r w:rsidRPr="00A628DF">
        <w:t xml:space="preserve"> squamous epithelium. Food and Chemical </w:t>
      </w:r>
      <w:proofErr w:type="spellStart"/>
      <w:r w:rsidRPr="00A628DF">
        <w:t>Toxicolology</w:t>
      </w:r>
      <w:proofErr w:type="spellEnd"/>
      <w:r w:rsidRPr="00A628DF">
        <w:t>, 26, 717–723</w:t>
      </w:r>
    </w:p>
    <w:p w:rsidR="002B0E63" w:rsidRPr="00A628DF" w:rsidRDefault="002B0E63" w:rsidP="005C7206">
      <w:pPr>
        <w:pStyle w:val="Body"/>
        <w:spacing w:before="240"/>
      </w:pPr>
      <w:r w:rsidRPr="00A628DF">
        <w:t xml:space="preserve">Harman D. (1998). Free radical theory of aging. Current status. </w:t>
      </w:r>
      <w:proofErr w:type="spellStart"/>
      <w:r w:rsidRPr="00A628DF">
        <w:t>Amster</w:t>
      </w:r>
      <w:proofErr w:type="spellEnd"/>
      <w:r w:rsidRPr="00A628DF">
        <w:t>-dam: Elsevier, p. 3-7.</w:t>
      </w:r>
    </w:p>
    <w:p w:rsidR="002B0E63" w:rsidRPr="00A628DF" w:rsidRDefault="002B0E63" w:rsidP="00BF6C48">
      <w:pPr>
        <w:pStyle w:val="Body"/>
      </w:pPr>
      <w:r w:rsidRPr="00A628DF">
        <w:lastRenderedPageBreak/>
        <w:t xml:space="preserve">Irfan, Y., Khan, M.A., &amp; </w:t>
      </w:r>
      <w:proofErr w:type="spellStart"/>
      <w:r w:rsidRPr="00A628DF">
        <w:t>Shivakumar</w:t>
      </w:r>
      <w:proofErr w:type="spellEnd"/>
      <w:r w:rsidRPr="00A628DF">
        <w:t xml:space="preserve">, H. (2011). Study on Anti-oxidant Activity of Unripe Fruit of </w:t>
      </w:r>
      <w:proofErr w:type="spellStart"/>
      <w:r w:rsidRPr="00A628DF">
        <w:t>Ficus</w:t>
      </w:r>
      <w:proofErr w:type="spellEnd"/>
      <w:r w:rsidRPr="00A628DF">
        <w:t xml:space="preserve"> </w:t>
      </w:r>
      <w:proofErr w:type="spellStart"/>
      <w:r w:rsidRPr="00A628DF">
        <w:t>glomerata</w:t>
      </w:r>
      <w:proofErr w:type="spellEnd"/>
      <w:r w:rsidRPr="00A628DF">
        <w:t xml:space="preserve"> (</w:t>
      </w:r>
      <w:proofErr w:type="spellStart"/>
      <w:r w:rsidRPr="00A628DF">
        <w:t>Roxb</w:t>
      </w:r>
      <w:proofErr w:type="spellEnd"/>
      <w:r w:rsidRPr="00A628DF">
        <w:t>.) using In-vitro Models. Free Radicals and Antioxidants, 1, 69-74</w:t>
      </w:r>
    </w:p>
    <w:p w:rsidR="002B0E63" w:rsidRPr="00A628DF" w:rsidRDefault="002B0E63" w:rsidP="00BF6C48">
      <w:pPr>
        <w:pStyle w:val="Body"/>
      </w:pPr>
      <w:proofErr w:type="spellStart"/>
      <w:r w:rsidRPr="00A628DF">
        <w:t>Knekt</w:t>
      </w:r>
      <w:proofErr w:type="spellEnd"/>
      <w:r w:rsidRPr="00A628DF">
        <w:t xml:space="preserve">, P., </w:t>
      </w:r>
      <w:proofErr w:type="spellStart"/>
      <w:r w:rsidRPr="00A628DF">
        <w:t>Jarvinen</w:t>
      </w:r>
      <w:proofErr w:type="spellEnd"/>
      <w:r w:rsidRPr="00A628DF">
        <w:t xml:space="preserve">, R., </w:t>
      </w:r>
      <w:proofErr w:type="spellStart"/>
      <w:r w:rsidRPr="00A628DF">
        <w:t>Reunanen</w:t>
      </w:r>
      <w:proofErr w:type="spellEnd"/>
      <w:r w:rsidRPr="00A628DF">
        <w:t xml:space="preserve">, A. &amp; </w:t>
      </w:r>
      <w:proofErr w:type="spellStart"/>
      <w:r w:rsidRPr="00A628DF">
        <w:t>Maatela</w:t>
      </w:r>
      <w:proofErr w:type="spellEnd"/>
      <w:r w:rsidRPr="00A628DF">
        <w:t>, J. (1996). Flavonoid intake and coronary mortality in Finland: A cohort study. British Medical Journal, 312, 478–481</w:t>
      </w:r>
    </w:p>
    <w:p w:rsidR="002B0E63" w:rsidRPr="00A628DF" w:rsidRDefault="002B0E63" w:rsidP="00BF6C48">
      <w:pPr>
        <w:pStyle w:val="Body"/>
      </w:pPr>
      <w:r w:rsidRPr="00A628DF">
        <w:t xml:space="preserve">Kumar, M., Kumar, S., &amp; Kaur, S. (2011). Investigations on DNA protective and antioxidant potential of chloroform and ethyl acetate fractions of </w:t>
      </w:r>
      <w:proofErr w:type="spellStart"/>
      <w:r w:rsidRPr="00A628DF">
        <w:t>Koelreuteria</w:t>
      </w:r>
      <w:proofErr w:type="spellEnd"/>
      <w:r w:rsidRPr="00A628DF">
        <w:t xml:space="preserve"> </w:t>
      </w:r>
      <w:proofErr w:type="spellStart"/>
      <w:r w:rsidRPr="00A628DF">
        <w:t>paniculata</w:t>
      </w:r>
      <w:proofErr w:type="spellEnd"/>
      <w:r w:rsidRPr="00A628DF">
        <w:t xml:space="preserve"> </w:t>
      </w:r>
      <w:proofErr w:type="spellStart"/>
      <w:r w:rsidRPr="00A628DF">
        <w:t>Laxm</w:t>
      </w:r>
      <w:proofErr w:type="spellEnd"/>
      <w:r w:rsidRPr="00A628DF">
        <w:t>. African Journal of Pharmacy and Pharmacology, 5(3), 421-427.</w:t>
      </w:r>
    </w:p>
    <w:p w:rsidR="00DC55ED" w:rsidRPr="00A628DF" w:rsidRDefault="00DC55ED" w:rsidP="00BF6C48">
      <w:pPr>
        <w:pStyle w:val="Body"/>
      </w:pPr>
      <w:r w:rsidRPr="00A628DF">
        <w:t xml:space="preserve">Kumar, M., </w:t>
      </w:r>
      <w:proofErr w:type="spellStart"/>
      <w:r w:rsidRPr="00A628DF">
        <w:t>Chandel</w:t>
      </w:r>
      <w:proofErr w:type="spellEnd"/>
      <w:r w:rsidRPr="00A628DF">
        <w:t>, M., Kaur, P., Pandit, K., Kaur, V., Kaur, S., &amp; Kaur, S.  (2016). Chemical composition and inhibitory effects of water extract of Henna leaves on reactive oxygen species, DNA scission and proliferation of cancer cells. EXCLI Journal</w:t>
      </w:r>
      <w:r w:rsidR="00AF7053" w:rsidRPr="00A628DF">
        <w:t>,</w:t>
      </w:r>
      <w:r w:rsidRPr="00A628DF">
        <w:t xml:space="preserve"> 2016 Dec 21;15:842-857. </w:t>
      </w:r>
    </w:p>
    <w:p w:rsidR="002B0E63" w:rsidRPr="00A628DF" w:rsidRDefault="002B0E63" w:rsidP="00BF6C48">
      <w:pPr>
        <w:pStyle w:val="Body"/>
      </w:pPr>
      <w:proofErr w:type="spellStart"/>
      <w:r w:rsidRPr="00A628DF">
        <w:t>Kurutas</w:t>
      </w:r>
      <w:proofErr w:type="spellEnd"/>
      <w:r w:rsidRPr="00A628DF">
        <w:t>, E.B. (2015). The importance of antioxidants which play the role in cellular response against oxidative/</w:t>
      </w:r>
      <w:proofErr w:type="spellStart"/>
      <w:r w:rsidRPr="00A628DF">
        <w:t>nitrosative</w:t>
      </w:r>
      <w:proofErr w:type="spellEnd"/>
      <w:r w:rsidRPr="00A628DF">
        <w:t xml:space="preserve"> stress: current state. Nutrition Journal, 15, 71.</w:t>
      </w:r>
    </w:p>
    <w:p w:rsidR="002B0E63" w:rsidRPr="00A628DF" w:rsidRDefault="002B0E63" w:rsidP="00BF6C48">
      <w:pPr>
        <w:pStyle w:val="Body"/>
      </w:pPr>
      <w:r w:rsidRPr="00A628DF">
        <w:t xml:space="preserve">Lawal, B., Shittu, O.K., </w:t>
      </w:r>
      <w:proofErr w:type="spellStart"/>
      <w:r w:rsidRPr="00A628DF">
        <w:t>Obiokpa</w:t>
      </w:r>
      <w:proofErr w:type="spellEnd"/>
      <w:r w:rsidRPr="00A628DF">
        <w:t xml:space="preserve">, F.I., </w:t>
      </w:r>
      <w:proofErr w:type="spellStart"/>
      <w:r w:rsidRPr="00A628DF">
        <w:t>Berinyuy</w:t>
      </w:r>
      <w:proofErr w:type="spellEnd"/>
      <w:r w:rsidRPr="00A628DF">
        <w:t xml:space="preserve">, E.B., &amp;  Mohammed, H.  (2016)African Natural Products with Potential Antioxidants and Hepatoprotectives Properties: A Review. Clinical </w:t>
      </w:r>
      <w:proofErr w:type="spellStart"/>
      <w:r w:rsidRPr="00A628DF">
        <w:t>Phytoscience</w:t>
      </w:r>
      <w:proofErr w:type="spellEnd"/>
      <w:r w:rsidRPr="00A628DF">
        <w:t>, 2016, 2–23.</w:t>
      </w:r>
    </w:p>
    <w:p w:rsidR="002B0E63" w:rsidRPr="00A628DF" w:rsidRDefault="002B0E63" w:rsidP="00BF6C48">
      <w:pPr>
        <w:pStyle w:val="Body"/>
      </w:pPr>
      <w:proofErr w:type="spellStart"/>
      <w:r w:rsidRPr="00A628DF">
        <w:t>Mokoroane</w:t>
      </w:r>
      <w:proofErr w:type="spellEnd"/>
      <w:r w:rsidRPr="00A628DF">
        <w:t xml:space="preserve">, K.T., Pillai, M.K., &amp; </w:t>
      </w:r>
      <w:proofErr w:type="spellStart"/>
      <w:r w:rsidRPr="00A628DF">
        <w:t>Magama</w:t>
      </w:r>
      <w:proofErr w:type="spellEnd"/>
      <w:r w:rsidRPr="00A628DF">
        <w:t xml:space="preserve">, S. (2020). 2,2-Diphenyl-1-picrylhydrazyl (DPPH) radical scavenging activity of extracts from </w:t>
      </w:r>
      <w:proofErr w:type="spellStart"/>
      <w:r w:rsidRPr="00A628DF">
        <w:t>Aloiampelos</w:t>
      </w:r>
      <w:proofErr w:type="spellEnd"/>
      <w:r w:rsidRPr="00A628DF">
        <w:t xml:space="preserve"> </w:t>
      </w:r>
      <w:proofErr w:type="spellStart"/>
      <w:r w:rsidRPr="00A628DF">
        <w:t>striatula</w:t>
      </w:r>
      <w:proofErr w:type="spellEnd"/>
      <w:r w:rsidRPr="00A628DF">
        <w:t>. Food Research, 4 (6): 2062 – 2066.</w:t>
      </w:r>
    </w:p>
    <w:p w:rsidR="002B0E63" w:rsidRPr="00A628DF" w:rsidRDefault="002B0E63" w:rsidP="00BF6C48">
      <w:pPr>
        <w:pStyle w:val="Body"/>
      </w:pPr>
      <w:proofErr w:type="spellStart"/>
      <w:r w:rsidRPr="00A628DF">
        <w:t>Nishikimi</w:t>
      </w:r>
      <w:proofErr w:type="spellEnd"/>
      <w:r w:rsidRPr="00A628DF">
        <w:t xml:space="preserve">, M., </w:t>
      </w:r>
      <w:proofErr w:type="spellStart"/>
      <w:r w:rsidRPr="00A628DF">
        <w:t>Appaji</w:t>
      </w:r>
      <w:proofErr w:type="spellEnd"/>
      <w:r w:rsidRPr="00A628DF">
        <w:t xml:space="preserve">, N., &amp; Yagi K. (1972), The occurrence of superoxide anion in the reaction of reduced phenazine methosulfate and molecular oxygen. </w:t>
      </w:r>
      <w:proofErr w:type="spellStart"/>
      <w:r w:rsidRPr="00A628DF">
        <w:t>Biochem</w:t>
      </w:r>
      <w:proofErr w:type="spellEnd"/>
      <w:r w:rsidRPr="00A628DF">
        <w:t xml:space="preserve"> </w:t>
      </w:r>
      <w:proofErr w:type="spellStart"/>
      <w:r w:rsidRPr="00A628DF">
        <w:t>Biophys</w:t>
      </w:r>
      <w:proofErr w:type="spellEnd"/>
      <w:r w:rsidRPr="00A628DF">
        <w:t xml:space="preserve"> Res </w:t>
      </w:r>
      <w:proofErr w:type="spellStart"/>
      <w:r w:rsidRPr="00A628DF">
        <w:t>Commun</w:t>
      </w:r>
      <w:proofErr w:type="spellEnd"/>
      <w:r w:rsidRPr="00A628DF">
        <w:t>. 46, 849-54.</w:t>
      </w:r>
    </w:p>
    <w:p w:rsidR="002B0E63" w:rsidRPr="00A628DF" w:rsidRDefault="002B0E63" w:rsidP="00BF6C48">
      <w:pPr>
        <w:pStyle w:val="Body"/>
      </w:pPr>
      <w:proofErr w:type="spellStart"/>
      <w:r w:rsidRPr="00A628DF">
        <w:t>Ofoedu</w:t>
      </w:r>
      <w:proofErr w:type="spellEnd"/>
      <w:r w:rsidRPr="00A628DF">
        <w:t xml:space="preserve">, C.E. </w:t>
      </w:r>
      <w:proofErr w:type="spellStart"/>
      <w:r w:rsidRPr="00A628DF">
        <w:t>Ofoedu</w:t>
      </w:r>
      <w:proofErr w:type="spellEnd"/>
      <w:r w:rsidRPr="00A628DF">
        <w:t xml:space="preserve">, E.O. </w:t>
      </w:r>
      <w:proofErr w:type="spellStart"/>
      <w:r w:rsidRPr="00A628DF">
        <w:t>Chacha</w:t>
      </w:r>
      <w:proofErr w:type="spellEnd"/>
      <w:r w:rsidRPr="00A628DF">
        <w:t xml:space="preserve">, J.S. </w:t>
      </w:r>
      <w:proofErr w:type="spellStart"/>
      <w:r w:rsidRPr="00A628DF">
        <w:t>Owuamanam</w:t>
      </w:r>
      <w:proofErr w:type="spellEnd"/>
      <w:r w:rsidRPr="00A628DF">
        <w:t xml:space="preserve">, C.I., </w:t>
      </w:r>
      <w:proofErr w:type="spellStart"/>
      <w:r w:rsidRPr="00A628DF">
        <w:t>Efekalam</w:t>
      </w:r>
      <w:proofErr w:type="spellEnd"/>
      <w:r w:rsidRPr="00A628DF">
        <w:t xml:space="preserve">, I.S. </w:t>
      </w:r>
      <w:proofErr w:type="spellStart"/>
      <w:r w:rsidRPr="00A628DF">
        <w:t>Awuchi</w:t>
      </w:r>
      <w:proofErr w:type="spellEnd"/>
      <w:r w:rsidRPr="00A628DF">
        <w:t xml:space="preserve">, C.G., &amp; </w:t>
      </w:r>
      <w:proofErr w:type="spellStart"/>
      <w:r w:rsidRPr="00A628DF">
        <w:t>Pandiselvam</w:t>
      </w:r>
      <w:proofErr w:type="spellEnd"/>
      <w:r w:rsidRPr="00A628DF">
        <w:t>, R. (2022). Comparative Evaluation of Physicochemical, Antioxidant, and Sensory Properties of Red Wine as Markers of Its Quality and Authenticity. International Journal of Food Science, 2022(8368992), 1–17.</w:t>
      </w:r>
    </w:p>
    <w:p w:rsidR="002B0E63" w:rsidRPr="00A628DF" w:rsidRDefault="002B0E63" w:rsidP="005C7206">
      <w:pPr>
        <w:pStyle w:val="NormalWeb"/>
        <w:jc w:val="both"/>
        <w:rPr>
          <w:rFonts w:ascii="Arial" w:hAnsi="Arial" w:cs="Arial"/>
          <w:sz w:val="20"/>
          <w:szCs w:val="20"/>
        </w:rPr>
      </w:pPr>
      <w:proofErr w:type="spellStart"/>
      <w:r w:rsidRPr="00A628DF">
        <w:rPr>
          <w:rStyle w:val="Strong"/>
          <w:rFonts w:ascii="Arial" w:hAnsi="Arial" w:cs="Arial"/>
          <w:b w:val="0"/>
          <w:sz w:val="20"/>
          <w:szCs w:val="20"/>
        </w:rPr>
        <w:t>Okpe</w:t>
      </w:r>
      <w:proofErr w:type="spellEnd"/>
      <w:r w:rsidRPr="00A628DF">
        <w:rPr>
          <w:rStyle w:val="Strong"/>
          <w:rFonts w:ascii="Arial" w:hAnsi="Arial" w:cs="Arial"/>
          <w:b w:val="0"/>
          <w:sz w:val="20"/>
          <w:szCs w:val="20"/>
        </w:rPr>
        <w:t xml:space="preserve">, O., </w:t>
      </w:r>
      <w:proofErr w:type="spellStart"/>
      <w:r w:rsidRPr="00A628DF">
        <w:rPr>
          <w:rStyle w:val="Strong"/>
          <w:rFonts w:ascii="Arial" w:hAnsi="Arial" w:cs="Arial"/>
          <w:b w:val="0"/>
          <w:sz w:val="20"/>
          <w:szCs w:val="20"/>
        </w:rPr>
        <w:t>Habila</w:t>
      </w:r>
      <w:proofErr w:type="spellEnd"/>
      <w:r w:rsidRPr="00A628DF">
        <w:rPr>
          <w:rStyle w:val="Strong"/>
          <w:rFonts w:ascii="Arial" w:hAnsi="Arial" w:cs="Arial"/>
          <w:b w:val="0"/>
          <w:sz w:val="20"/>
          <w:szCs w:val="20"/>
        </w:rPr>
        <w:t xml:space="preserve">, N., </w:t>
      </w:r>
      <w:proofErr w:type="spellStart"/>
      <w:r w:rsidRPr="00A628DF">
        <w:rPr>
          <w:rStyle w:val="Strong"/>
          <w:rFonts w:ascii="Arial" w:hAnsi="Arial" w:cs="Arial"/>
          <w:b w:val="0"/>
          <w:sz w:val="20"/>
          <w:szCs w:val="20"/>
        </w:rPr>
        <w:t>Ikwebe</w:t>
      </w:r>
      <w:proofErr w:type="spellEnd"/>
      <w:r w:rsidRPr="00A628DF">
        <w:rPr>
          <w:rStyle w:val="Strong"/>
          <w:rFonts w:ascii="Arial" w:hAnsi="Arial" w:cs="Arial"/>
          <w:b w:val="0"/>
          <w:sz w:val="20"/>
          <w:szCs w:val="20"/>
        </w:rPr>
        <w:t xml:space="preserve">, J., </w:t>
      </w:r>
      <w:proofErr w:type="spellStart"/>
      <w:r w:rsidRPr="00A628DF">
        <w:rPr>
          <w:rStyle w:val="Strong"/>
          <w:rFonts w:ascii="Arial" w:hAnsi="Arial" w:cs="Arial"/>
          <w:b w:val="0"/>
          <w:sz w:val="20"/>
          <w:szCs w:val="20"/>
        </w:rPr>
        <w:t>Upev</w:t>
      </w:r>
      <w:proofErr w:type="spellEnd"/>
      <w:r w:rsidRPr="00A628DF">
        <w:rPr>
          <w:rStyle w:val="Strong"/>
          <w:rFonts w:ascii="Arial" w:hAnsi="Arial" w:cs="Arial"/>
          <w:b w:val="0"/>
          <w:sz w:val="20"/>
          <w:szCs w:val="20"/>
        </w:rPr>
        <w:t xml:space="preserve">, V.A., </w:t>
      </w:r>
      <w:proofErr w:type="spellStart"/>
      <w:r w:rsidRPr="00A628DF">
        <w:rPr>
          <w:rStyle w:val="Strong"/>
          <w:rFonts w:ascii="Arial" w:hAnsi="Arial" w:cs="Arial"/>
          <w:b w:val="0"/>
          <w:sz w:val="20"/>
          <w:szCs w:val="20"/>
        </w:rPr>
        <w:t>Okoduwa</w:t>
      </w:r>
      <w:proofErr w:type="spellEnd"/>
      <w:r w:rsidRPr="00A628DF">
        <w:rPr>
          <w:rStyle w:val="Strong"/>
          <w:rFonts w:ascii="Arial" w:hAnsi="Arial" w:cs="Arial"/>
          <w:b w:val="0"/>
          <w:sz w:val="20"/>
          <w:szCs w:val="20"/>
        </w:rPr>
        <w:t xml:space="preserve">, S.I., &amp; Isaac, O.T. (2016). Antimalarial potential of </w:t>
      </w:r>
      <w:proofErr w:type="spellStart"/>
      <w:r w:rsidRPr="00A628DF">
        <w:rPr>
          <w:rStyle w:val="Emphasis"/>
          <w:rFonts w:ascii="Arial" w:hAnsi="Arial" w:cs="Arial"/>
          <w:bCs/>
          <w:sz w:val="20"/>
          <w:szCs w:val="20"/>
        </w:rPr>
        <w:t>Carica</w:t>
      </w:r>
      <w:proofErr w:type="spellEnd"/>
      <w:r w:rsidRPr="00A628DF">
        <w:rPr>
          <w:rStyle w:val="Emphasis"/>
          <w:rFonts w:ascii="Arial" w:hAnsi="Arial" w:cs="Arial"/>
          <w:bCs/>
          <w:sz w:val="20"/>
          <w:szCs w:val="20"/>
        </w:rPr>
        <w:t xml:space="preserve"> papaya</w:t>
      </w:r>
      <w:r w:rsidRPr="00A628DF">
        <w:rPr>
          <w:rStyle w:val="Strong"/>
          <w:rFonts w:ascii="Arial" w:hAnsi="Arial" w:cs="Arial"/>
          <w:b w:val="0"/>
          <w:sz w:val="20"/>
          <w:szCs w:val="20"/>
        </w:rPr>
        <w:t xml:space="preserve"> and </w:t>
      </w:r>
      <w:r w:rsidRPr="00A628DF">
        <w:rPr>
          <w:rStyle w:val="Emphasis"/>
          <w:rFonts w:ascii="Arial" w:hAnsi="Arial" w:cs="Arial"/>
          <w:bCs/>
          <w:sz w:val="20"/>
          <w:szCs w:val="20"/>
        </w:rPr>
        <w:t xml:space="preserve">Vernonia </w:t>
      </w:r>
      <w:proofErr w:type="spellStart"/>
      <w:r w:rsidRPr="00A628DF">
        <w:rPr>
          <w:rStyle w:val="Emphasis"/>
          <w:rFonts w:ascii="Arial" w:hAnsi="Arial" w:cs="Arial"/>
          <w:bCs/>
          <w:sz w:val="20"/>
          <w:szCs w:val="20"/>
        </w:rPr>
        <w:t>amygdalina</w:t>
      </w:r>
      <w:proofErr w:type="spellEnd"/>
      <w:r w:rsidRPr="00A628DF">
        <w:rPr>
          <w:rStyle w:val="Strong"/>
          <w:rFonts w:ascii="Arial" w:hAnsi="Arial" w:cs="Arial"/>
          <w:b w:val="0"/>
          <w:sz w:val="20"/>
          <w:szCs w:val="20"/>
        </w:rPr>
        <w:t xml:space="preserve"> in mice infected with </w:t>
      </w:r>
      <w:r w:rsidRPr="00A628DF">
        <w:rPr>
          <w:rStyle w:val="Emphasis"/>
          <w:rFonts w:ascii="Arial" w:hAnsi="Arial" w:cs="Arial"/>
          <w:bCs/>
          <w:sz w:val="20"/>
          <w:szCs w:val="20"/>
        </w:rPr>
        <w:t xml:space="preserve">Plasmodium </w:t>
      </w:r>
      <w:proofErr w:type="spellStart"/>
      <w:r w:rsidRPr="00A628DF">
        <w:rPr>
          <w:rStyle w:val="Emphasis"/>
          <w:rFonts w:ascii="Arial" w:hAnsi="Arial" w:cs="Arial"/>
          <w:bCs/>
          <w:sz w:val="20"/>
          <w:szCs w:val="20"/>
        </w:rPr>
        <w:t>berghei</w:t>
      </w:r>
      <w:proofErr w:type="spellEnd"/>
      <w:r w:rsidRPr="00A628DF">
        <w:rPr>
          <w:rStyle w:val="Strong"/>
          <w:rFonts w:ascii="Arial" w:hAnsi="Arial" w:cs="Arial"/>
          <w:b w:val="0"/>
          <w:sz w:val="20"/>
          <w:szCs w:val="20"/>
        </w:rPr>
        <w:t xml:space="preserve">. </w:t>
      </w:r>
      <w:r w:rsidRPr="00A628DF">
        <w:rPr>
          <w:rStyle w:val="Emphasis"/>
          <w:rFonts w:ascii="Arial" w:hAnsi="Arial" w:cs="Arial"/>
          <w:bCs/>
          <w:sz w:val="20"/>
          <w:szCs w:val="20"/>
        </w:rPr>
        <w:t>Journal of Tropical Medicine, 2016</w:t>
      </w:r>
      <w:r w:rsidRPr="00A628DF">
        <w:rPr>
          <w:rStyle w:val="Strong"/>
          <w:rFonts w:ascii="Arial" w:hAnsi="Arial" w:cs="Arial"/>
          <w:b w:val="0"/>
          <w:sz w:val="20"/>
          <w:szCs w:val="20"/>
        </w:rPr>
        <w:t>, 8738972.</w:t>
      </w:r>
    </w:p>
    <w:p w:rsidR="002B0E63" w:rsidRPr="00A628DF" w:rsidRDefault="002B0E63" w:rsidP="005C7206">
      <w:pPr>
        <w:pStyle w:val="Body"/>
      </w:pPr>
      <w:proofErr w:type="spellStart"/>
      <w:r w:rsidRPr="00A628DF">
        <w:t>Oraibi</w:t>
      </w:r>
      <w:proofErr w:type="spellEnd"/>
      <w:r w:rsidRPr="00A628DF">
        <w:t xml:space="preserve">, A.I., Dawood, A.H., </w:t>
      </w:r>
      <w:proofErr w:type="spellStart"/>
      <w:r w:rsidRPr="00A628DF">
        <w:t>Trabelsi</w:t>
      </w:r>
      <w:proofErr w:type="spellEnd"/>
      <w:r w:rsidRPr="00A628DF">
        <w:t xml:space="preserve">, G., Mahamat, O.B., </w:t>
      </w:r>
      <w:proofErr w:type="spellStart"/>
      <w:r w:rsidRPr="00A628DF">
        <w:t>Chekir-Ghedira</w:t>
      </w:r>
      <w:proofErr w:type="spellEnd"/>
      <w:r w:rsidRPr="00A628DF">
        <w:t xml:space="preserve">, L., &amp; </w:t>
      </w:r>
      <w:proofErr w:type="spellStart"/>
      <w:r w:rsidRPr="00A628DF">
        <w:t>Kilani</w:t>
      </w:r>
      <w:proofErr w:type="spellEnd"/>
      <w:r w:rsidRPr="00A628DF">
        <w:t xml:space="preserve">-Jaziri, S. (2025). Antioxidant activity and selective cytotoxicity in HCT-116 and WI-38 cell lines of LC-MS/MS profiled extract from </w:t>
      </w:r>
      <w:r w:rsidRPr="00A628DF">
        <w:rPr>
          <w:rStyle w:val="Emphasis"/>
        </w:rPr>
        <w:t>Capparis spinosa</w:t>
      </w:r>
      <w:r w:rsidRPr="00A628DF">
        <w:t xml:space="preserve"> L. </w:t>
      </w:r>
      <w:r w:rsidRPr="00A628DF">
        <w:rPr>
          <w:rStyle w:val="Emphasis"/>
        </w:rPr>
        <w:t>Frontiers in Chemistry, 13</w:t>
      </w:r>
      <w:r w:rsidRPr="00A628DF">
        <w:t>, 1540174.</w:t>
      </w:r>
    </w:p>
    <w:p w:rsidR="002B0E63" w:rsidRPr="00A628DF" w:rsidRDefault="002B0E63" w:rsidP="00BF6C48">
      <w:pPr>
        <w:pStyle w:val="Body"/>
      </w:pPr>
      <w:r w:rsidRPr="00A628DF">
        <w:t xml:space="preserve">Rahim, </w:t>
      </w:r>
      <w:proofErr w:type="spellStart"/>
      <w:r w:rsidRPr="00A628DF">
        <w:t>M.A.,Umar</w:t>
      </w:r>
      <w:proofErr w:type="spellEnd"/>
      <w:r w:rsidRPr="00A628DF">
        <w:t xml:space="preserve">, M., Habib, A., Imran, M., Khalid, W., Lima, C.M.G., </w:t>
      </w:r>
      <w:proofErr w:type="spellStart"/>
      <w:r w:rsidRPr="00A628DF">
        <w:t>Shoukat</w:t>
      </w:r>
      <w:proofErr w:type="spellEnd"/>
      <w:r w:rsidRPr="00A628DF">
        <w:t xml:space="preserve">, A., </w:t>
      </w:r>
      <w:proofErr w:type="spellStart"/>
      <w:r w:rsidRPr="00A628DF">
        <w:t>Itrat</w:t>
      </w:r>
      <w:proofErr w:type="spellEnd"/>
      <w:r w:rsidRPr="00A628DF">
        <w:t>, N., Nazir, A.,  Ejaz, A.,  &amp; et. al. (2022).  Photochemistry, Functional Properties, Food Applications, and Health Prospective of Black Rice. Journal of Chemistry, 2022: 1–21.</w:t>
      </w:r>
    </w:p>
    <w:p w:rsidR="002B0E63" w:rsidRPr="00A628DF" w:rsidRDefault="002B0E63" w:rsidP="00BF6C48">
      <w:pPr>
        <w:pStyle w:val="Body"/>
      </w:pPr>
      <w:proofErr w:type="spellStart"/>
      <w:r w:rsidRPr="00A628DF">
        <w:t>Rajurkar</w:t>
      </w:r>
      <w:proofErr w:type="spellEnd"/>
      <w:r w:rsidRPr="00A628DF">
        <w:t xml:space="preserve">, N.S.,  &amp; </w:t>
      </w:r>
      <w:proofErr w:type="spellStart"/>
      <w:r w:rsidRPr="00A628DF">
        <w:t>Hande</w:t>
      </w:r>
      <w:proofErr w:type="spellEnd"/>
      <w:r w:rsidRPr="00A628DF">
        <w:t>, S.M. (2011). Estimation of phytochemical content and antioxidant activity of some selected traditional Indian medicinal plants. Indian Journal of Pharmaceutical Sciences, 73(2), 146-51.</w:t>
      </w:r>
    </w:p>
    <w:p w:rsidR="002B0E63" w:rsidRPr="00A628DF" w:rsidRDefault="002B0E63" w:rsidP="005422F8">
      <w:r w:rsidRPr="00A628DF">
        <w:lastRenderedPageBreak/>
        <w:t xml:space="preserve">Ramesh, B.S., </w:t>
      </w:r>
      <w:proofErr w:type="spellStart"/>
      <w:r w:rsidRPr="00A628DF">
        <w:t>Tejaswini</w:t>
      </w:r>
      <w:proofErr w:type="spellEnd"/>
      <w:r w:rsidRPr="00A628DF">
        <w:t xml:space="preserve">, A., Malini Shetty, A.G., Sharon, R., Chandana, U., &amp; </w:t>
      </w:r>
      <w:proofErr w:type="spellStart"/>
      <w:r w:rsidRPr="00A628DF">
        <w:t>Thanuja</w:t>
      </w:r>
      <w:proofErr w:type="spellEnd"/>
      <w:r w:rsidRPr="00A628DF">
        <w:t xml:space="preserve">, D.L. (2025). DPPH and ABTS radical scavenging assay and antibacterial efficacy of methanol flower extract of </w:t>
      </w:r>
      <w:proofErr w:type="spellStart"/>
      <w:r w:rsidRPr="00A628DF">
        <w:rPr>
          <w:rStyle w:val="Emphasis"/>
        </w:rPr>
        <w:t>Peltophorum</w:t>
      </w:r>
      <w:proofErr w:type="spellEnd"/>
      <w:r w:rsidRPr="00A628DF">
        <w:rPr>
          <w:rStyle w:val="Emphasis"/>
        </w:rPr>
        <w:t xml:space="preserve"> </w:t>
      </w:r>
      <w:proofErr w:type="spellStart"/>
      <w:r w:rsidRPr="00A628DF">
        <w:rPr>
          <w:rStyle w:val="Emphasis"/>
        </w:rPr>
        <w:t>pterocarpum</w:t>
      </w:r>
      <w:proofErr w:type="spellEnd"/>
      <w:r w:rsidRPr="00A628DF">
        <w:t xml:space="preserve"> (DC.) Backer ex K. </w:t>
      </w:r>
      <w:proofErr w:type="spellStart"/>
      <w:r w:rsidRPr="00A628DF">
        <w:t>Heyne</w:t>
      </w:r>
      <w:proofErr w:type="spellEnd"/>
      <w:r w:rsidRPr="00A628DF">
        <w:t xml:space="preserve">. </w:t>
      </w:r>
      <w:r w:rsidRPr="00A628DF">
        <w:rPr>
          <w:rStyle w:val="Emphasis"/>
        </w:rPr>
        <w:t>Asian Journal of Biology, 21</w:t>
      </w:r>
      <w:r w:rsidRPr="00A628DF">
        <w:t>(8), 39–47.</w:t>
      </w:r>
    </w:p>
    <w:p w:rsidR="002B0E63" w:rsidRPr="00A628DF" w:rsidRDefault="002B0E63" w:rsidP="00BF6C48">
      <w:pPr>
        <w:pStyle w:val="Body"/>
      </w:pPr>
      <w:r w:rsidRPr="00A628DF">
        <w:t xml:space="preserve">Re, R., Pellegrini, N., </w:t>
      </w:r>
      <w:proofErr w:type="spellStart"/>
      <w:r w:rsidRPr="00A628DF">
        <w:t>Proteggente</w:t>
      </w:r>
      <w:proofErr w:type="spellEnd"/>
      <w:r w:rsidRPr="00A628DF">
        <w:t xml:space="preserve">, A., </w:t>
      </w:r>
      <w:proofErr w:type="spellStart"/>
      <w:r w:rsidRPr="00A628DF">
        <w:t>Pannala</w:t>
      </w:r>
      <w:proofErr w:type="spellEnd"/>
      <w:r w:rsidRPr="00A628DF">
        <w:t>, A., Yang, M., &amp; Rice-Evans, C. (1999). Antioxidant activity applying an improved ABTS radical cation decolorization assay. Free Radical Biology &amp; Medicine, 26,1231-7.</w:t>
      </w:r>
    </w:p>
    <w:p w:rsidR="002B0E63" w:rsidRPr="00A628DF" w:rsidRDefault="002B0E63" w:rsidP="00BF6C48">
      <w:pPr>
        <w:pStyle w:val="Body"/>
      </w:pPr>
      <w:r w:rsidRPr="00A628DF">
        <w:t>Reuter, S., Gupta, S. C., Chaturvedi, M. M., &amp; Aggarwal, B.B. (2010). Oxidative stress, inflammation, and cancer: how are they linked? Free Radical Biology and Medicine, 49, 1603–1616.</w:t>
      </w:r>
    </w:p>
    <w:p w:rsidR="002B0E63" w:rsidRPr="00A628DF" w:rsidRDefault="002B0E63" w:rsidP="005C7206">
      <w:pPr>
        <w:pStyle w:val="Body"/>
        <w:rPr>
          <w:rFonts w:ascii="Arial" w:hAnsi="Arial" w:cs="Arial"/>
        </w:rPr>
      </w:pPr>
      <w:r w:rsidRPr="00A628DF">
        <w:t xml:space="preserve">Sangeetha, G., &amp; Raj, N. (2025). Comparative in vitro antioxidant analysis of leaf, stem and root extracts of </w:t>
      </w:r>
      <w:r w:rsidRPr="00A628DF">
        <w:rPr>
          <w:rStyle w:val="Emphasis"/>
        </w:rPr>
        <w:t xml:space="preserve">Plumbago </w:t>
      </w:r>
      <w:proofErr w:type="spellStart"/>
      <w:r w:rsidRPr="00A628DF">
        <w:rPr>
          <w:rStyle w:val="Emphasis"/>
        </w:rPr>
        <w:t>zeylanica</w:t>
      </w:r>
      <w:proofErr w:type="spellEnd"/>
      <w:r w:rsidRPr="00A628DF">
        <w:t xml:space="preserve"> L. (</w:t>
      </w:r>
      <w:proofErr w:type="spellStart"/>
      <w:r w:rsidRPr="00A628DF">
        <w:t>Plumbaginaceae</w:t>
      </w:r>
      <w:proofErr w:type="spellEnd"/>
      <w:r w:rsidRPr="00A628DF">
        <w:t xml:space="preserve">). </w:t>
      </w:r>
      <w:r w:rsidRPr="00A628DF">
        <w:rPr>
          <w:rStyle w:val="Emphasis"/>
        </w:rPr>
        <w:t>Current Botany, 16</w:t>
      </w:r>
      <w:r w:rsidRPr="00A628DF">
        <w:t>, 220–225.</w:t>
      </w:r>
    </w:p>
    <w:p w:rsidR="002B0E63" w:rsidRPr="00A628DF" w:rsidRDefault="002B0E63" w:rsidP="00BF6C48">
      <w:pPr>
        <w:pStyle w:val="Body"/>
      </w:pPr>
      <w:proofErr w:type="spellStart"/>
      <w:r w:rsidRPr="00A628DF">
        <w:t>Sies</w:t>
      </w:r>
      <w:proofErr w:type="spellEnd"/>
      <w:r w:rsidRPr="00A628DF">
        <w:t>, H., (1993) Strategies of antioxidant defense. European Journal of Biochemistry, 215: 213–219</w:t>
      </w:r>
    </w:p>
    <w:p w:rsidR="002B0E63" w:rsidRPr="00A628DF" w:rsidRDefault="002B0E63" w:rsidP="00BF6C48">
      <w:pPr>
        <w:pStyle w:val="Body"/>
      </w:pPr>
      <w:proofErr w:type="spellStart"/>
      <w:r w:rsidRPr="00A628DF">
        <w:t>Škrovánková</w:t>
      </w:r>
      <w:proofErr w:type="spellEnd"/>
      <w:r w:rsidRPr="00A628DF">
        <w:t xml:space="preserve">, S., </w:t>
      </w:r>
      <w:proofErr w:type="spellStart"/>
      <w:r w:rsidRPr="00A628DF">
        <w:t>Mišurcová</w:t>
      </w:r>
      <w:proofErr w:type="spellEnd"/>
      <w:r w:rsidRPr="00A628DF">
        <w:t xml:space="preserve">, L., &amp; </w:t>
      </w:r>
      <w:proofErr w:type="spellStart"/>
      <w:r w:rsidRPr="00A628DF">
        <w:t>Machů</w:t>
      </w:r>
      <w:proofErr w:type="spellEnd"/>
      <w:r w:rsidRPr="00A628DF">
        <w:t>, L. (2012).  Antioxidant activity and protecting health effects of common medicinal plants. Advances in Food and Nutrition Research, 67, 75-139.</w:t>
      </w:r>
    </w:p>
    <w:p w:rsidR="002B0E63" w:rsidRPr="00A628DF" w:rsidRDefault="002B0E63" w:rsidP="005C7206">
      <w:pPr>
        <w:pStyle w:val="NormalWeb"/>
        <w:jc w:val="both"/>
        <w:rPr>
          <w:rFonts w:ascii="Arial" w:hAnsi="Arial" w:cs="Arial"/>
          <w:sz w:val="20"/>
          <w:szCs w:val="20"/>
        </w:rPr>
      </w:pPr>
      <w:proofErr w:type="spellStart"/>
      <w:r w:rsidRPr="00A628DF">
        <w:rPr>
          <w:rStyle w:val="Strong"/>
          <w:rFonts w:ascii="Arial" w:hAnsi="Arial" w:cs="Arial"/>
          <w:b w:val="0"/>
          <w:sz w:val="20"/>
          <w:szCs w:val="20"/>
        </w:rPr>
        <w:t>Toyang</w:t>
      </w:r>
      <w:proofErr w:type="spellEnd"/>
      <w:r w:rsidRPr="00A628DF">
        <w:rPr>
          <w:rStyle w:val="Strong"/>
          <w:rFonts w:ascii="Arial" w:hAnsi="Arial" w:cs="Arial"/>
          <w:b w:val="0"/>
          <w:sz w:val="20"/>
          <w:szCs w:val="20"/>
        </w:rPr>
        <w:t xml:space="preserve">, N.J., &amp; </w:t>
      </w:r>
      <w:proofErr w:type="spellStart"/>
      <w:r w:rsidRPr="00A628DF">
        <w:rPr>
          <w:rStyle w:val="Strong"/>
          <w:rFonts w:ascii="Arial" w:hAnsi="Arial" w:cs="Arial"/>
          <w:b w:val="0"/>
          <w:sz w:val="20"/>
          <w:szCs w:val="20"/>
        </w:rPr>
        <w:t>Verpoorte</w:t>
      </w:r>
      <w:proofErr w:type="spellEnd"/>
      <w:r w:rsidRPr="00A628DF">
        <w:rPr>
          <w:rStyle w:val="Strong"/>
          <w:rFonts w:ascii="Arial" w:hAnsi="Arial" w:cs="Arial"/>
          <w:b w:val="0"/>
          <w:sz w:val="20"/>
          <w:szCs w:val="20"/>
        </w:rPr>
        <w:t xml:space="preserve">, R. (2013). A review of the medicinal potentials of plants of the genus </w:t>
      </w:r>
      <w:r w:rsidRPr="00A628DF">
        <w:rPr>
          <w:rStyle w:val="Emphasis"/>
          <w:rFonts w:ascii="Arial" w:hAnsi="Arial" w:cs="Arial"/>
          <w:bCs/>
          <w:sz w:val="20"/>
          <w:szCs w:val="20"/>
        </w:rPr>
        <w:t>Vernonia</w:t>
      </w:r>
      <w:r w:rsidRPr="00A628DF">
        <w:rPr>
          <w:rStyle w:val="Strong"/>
          <w:rFonts w:ascii="Arial" w:hAnsi="Arial" w:cs="Arial"/>
          <w:b w:val="0"/>
          <w:sz w:val="20"/>
          <w:szCs w:val="20"/>
        </w:rPr>
        <w:t xml:space="preserve"> (Asteraceae). </w:t>
      </w:r>
      <w:r w:rsidRPr="00A628DF">
        <w:rPr>
          <w:rStyle w:val="Emphasis"/>
          <w:rFonts w:ascii="Arial" w:hAnsi="Arial" w:cs="Arial"/>
          <w:bCs/>
          <w:sz w:val="20"/>
          <w:szCs w:val="20"/>
        </w:rPr>
        <w:t>Journal of Ethnopharmacology, 146</w:t>
      </w:r>
      <w:r w:rsidRPr="00A628DF">
        <w:rPr>
          <w:rStyle w:val="Strong"/>
          <w:rFonts w:ascii="Arial" w:hAnsi="Arial" w:cs="Arial"/>
          <w:b w:val="0"/>
          <w:sz w:val="20"/>
          <w:szCs w:val="20"/>
        </w:rPr>
        <w:t>(3), 681–723.</w:t>
      </w:r>
    </w:p>
    <w:p w:rsidR="002B0E63" w:rsidRPr="00A628DF" w:rsidRDefault="002B0E63" w:rsidP="00BF6C48">
      <w:pPr>
        <w:pStyle w:val="Body"/>
      </w:pPr>
      <w:proofErr w:type="spellStart"/>
      <w:r w:rsidRPr="00A628DF">
        <w:t>Valko</w:t>
      </w:r>
      <w:proofErr w:type="spellEnd"/>
      <w:r w:rsidRPr="00A628DF">
        <w:t xml:space="preserve">, M., </w:t>
      </w:r>
      <w:proofErr w:type="spellStart"/>
      <w:r w:rsidRPr="00A628DF">
        <w:t>Leibfritz</w:t>
      </w:r>
      <w:proofErr w:type="spellEnd"/>
      <w:r w:rsidRPr="00A628DF">
        <w:t xml:space="preserve">, D., </w:t>
      </w:r>
      <w:proofErr w:type="spellStart"/>
      <w:r w:rsidRPr="00A628DF">
        <w:t>Moncol</w:t>
      </w:r>
      <w:proofErr w:type="spellEnd"/>
      <w:r w:rsidRPr="00A628DF">
        <w:t xml:space="preserve">, J., Cronin, M.T.D., Mazur, M., &amp; </w:t>
      </w:r>
      <w:proofErr w:type="spellStart"/>
      <w:r w:rsidRPr="00A628DF">
        <w:t>Telser</w:t>
      </w:r>
      <w:proofErr w:type="spellEnd"/>
      <w:r w:rsidRPr="00A628DF">
        <w:t>, J.  (2007)Free radicals and antioxidants in normal physiological functions and human disease. International Journal of Biochemistry &amp; Cell Biology, 39, 44–84</w:t>
      </w:r>
    </w:p>
    <w:p w:rsidR="002B0E63" w:rsidRPr="00A628DF" w:rsidRDefault="002B0E63" w:rsidP="00BF6C48">
      <w:pPr>
        <w:pStyle w:val="Body"/>
      </w:pPr>
      <w:r w:rsidRPr="00A628DF">
        <w:t xml:space="preserve">Waterman, K.C., </w:t>
      </w:r>
      <w:proofErr w:type="spellStart"/>
      <w:r w:rsidRPr="00A628DF">
        <w:t>Adami</w:t>
      </w:r>
      <w:proofErr w:type="spellEnd"/>
      <w:r w:rsidRPr="00A628DF">
        <w:t xml:space="preserve">, R.C., </w:t>
      </w:r>
      <w:proofErr w:type="spellStart"/>
      <w:r w:rsidRPr="00A628DF">
        <w:t>Alsante</w:t>
      </w:r>
      <w:proofErr w:type="spellEnd"/>
      <w:r w:rsidRPr="00A628DF">
        <w:t>, K.M., Hong, J., Landis, M.S., Lombardo, F., &amp; Roberts, C.J. (2002). Stabilization of pharmaceuticals to oxidative degradation. Pharmaceutical Development &amp; Technology, 7, 1–32.</w:t>
      </w:r>
    </w:p>
    <w:p w:rsidR="002B0E63" w:rsidRPr="00A628DF" w:rsidRDefault="002B0E63" w:rsidP="00BF6C48">
      <w:pPr>
        <w:pStyle w:val="Body"/>
      </w:pPr>
      <w:proofErr w:type="spellStart"/>
      <w:r w:rsidRPr="00A628DF">
        <w:t>Wichi</w:t>
      </w:r>
      <w:proofErr w:type="spellEnd"/>
      <w:r w:rsidRPr="00A628DF">
        <w:t xml:space="preserve">, H.C. (1986). Safety evaluation of butylated hydroxytoluene (BHT) in the liver, lung and gastrointestinal tract. Food and Chemical </w:t>
      </w:r>
      <w:proofErr w:type="spellStart"/>
      <w:r w:rsidRPr="00A628DF">
        <w:t>Toxicolology</w:t>
      </w:r>
      <w:proofErr w:type="spellEnd"/>
      <w:r w:rsidRPr="00A628DF">
        <w:t>, 24, 1127–1130</w:t>
      </w:r>
    </w:p>
    <w:p w:rsidR="002B0E63" w:rsidRPr="00A628DF" w:rsidRDefault="002B0E63" w:rsidP="005C7206">
      <w:pPr>
        <w:pStyle w:val="NormalWeb"/>
        <w:jc w:val="both"/>
        <w:rPr>
          <w:rFonts w:ascii="Arial" w:hAnsi="Arial" w:cs="Arial"/>
          <w:sz w:val="20"/>
          <w:szCs w:val="20"/>
        </w:rPr>
      </w:pPr>
      <w:proofErr w:type="spellStart"/>
      <w:r w:rsidRPr="00A628DF">
        <w:rPr>
          <w:rStyle w:val="Strong"/>
          <w:rFonts w:ascii="Arial" w:hAnsi="Arial" w:cs="Arial"/>
          <w:b w:val="0"/>
          <w:sz w:val="20"/>
          <w:szCs w:val="20"/>
        </w:rPr>
        <w:t>Yedjou</w:t>
      </w:r>
      <w:proofErr w:type="spellEnd"/>
      <w:r w:rsidRPr="00A628DF">
        <w:rPr>
          <w:rStyle w:val="Strong"/>
          <w:rFonts w:ascii="Arial" w:hAnsi="Arial" w:cs="Arial"/>
          <w:b w:val="0"/>
          <w:sz w:val="20"/>
          <w:szCs w:val="20"/>
        </w:rPr>
        <w:t xml:space="preserve">, C.G., Sims, J.N., </w:t>
      </w:r>
      <w:proofErr w:type="spellStart"/>
      <w:r w:rsidRPr="00A628DF">
        <w:rPr>
          <w:rStyle w:val="Strong"/>
          <w:rFonts w:ascii="Arial" w:hAnsi="Arial" w:cs="Arial"/>
          <w:b w:val="0"/>
          <w:sz w:val="20"/>
          <w:szCs w:val="20"/>
        </w:rPr>
        <w:t>Njiki</w:t>
      </w:r>
      <w:proofErr w:type="spellEnd"/>
      <w:r w:rsidRPr="00A628DF">
        <w:rPr>
          <w:rStyle w:val="Strong"/>
          <w:rFonts w:ascii="Arial" w:hAnsi="Arial" w:cs="Arial"/>
          <w:b w:val="0"/>
          <w:sz w:val="20"/>
          <w:szCs w:val="20"/>
        </w:rPr>
        <w:t xml:space="preserve">, S., </w:t>
      </w:r>
      <w:proofErr w:type="spellStart"/>
      <w:r w:rsidRPr="00A628DF">
        <w:rPr>
          <w:rStyle w:val="Strong"/>
          <w:rFonts w:ascii="Arial" w:hAnsi="Arial" w:cs="Arial"/>
          <w:b w:val="0"/>
          <w:sz w:val="20"/>
          <w:szCs w:val="20"/>
        </w:rPr>
        <w:t>Tsabang</w:t>
      </w:r>
      <w:proofErr w:type="spellEnd"/>
      <w:r w:rsidRPr="00A628DF">
        <w:rPr>
          <w:rStyle w:val="Strong"/>
          <w:rFonts w:ascii="Arial" w:hAnsi="Arial" w:cs="Arial"/>
          <w:b w:val="0"/>
          <w:sz w:val="20"/>
          <w:szCs w:val="20"/>
        </w:rPr>
        <w:t xml:space="preserve">, N., </w:t>
      </w:r>
      <w:proofErr w:type="spellStart"/>
      <w:r w:rsidRPr="00A628DF">
        <w:rPr>
          <w:rStyle w:val="Strong"/>
          <w:rFonts w:ascii="Arial" w:hAnsi="Arial" w:cs="Arial"/>
          <w:b w:val="0"/>
          <w:sz w:val="20"/>
          <w:szCs w:val="20"/>
        </w:rPr>
        <w:t>Ogungbe</w:t>
      </w:r>
      <w:proofErr w:type="spellEnd"/>
      <w:r w:rsidRPr="00A628DF">
        <w:rPr>
          <w:rStyle w:val="Strong"/>
          <w:rFonts w:ascii="Arial" w:hAnsi="Arial" w:cs="Arial"/>
          <w:b w:val="0"/>
          <w:sz w:val="20"/>
          <w:szCs w:val="20"/>
        </w:rPr>
        <w:t xml:space="preserve">, I.V., &amp; </w:t>
      </w:r>
      <w:proofErr w:type="spellStart"/>
      <w:r w:rsidRPr="00A628DF">
        <w:rPr>
          <w:rStyle w:val="Strong"/>
          <w:rFonts w:ascii="Arial" w:hAnsi="Arial" w:cs="Arial"/>
          <w:b w:val="0"/>
          <w:sz w:val="20"/>
          <w:szCs w:val="20"/>
        </w:rPr>
        <w:t>Tchounwou</w:t>
      </w:r>
      <w:proofErr w:type="spellEnd"/>
      <w:r w:rsidRPr="00A628DF">
        <w:rPr>
          <w:rStyle w:val="Strong"/>
          <w:rFonts w:ascii="Arial" w:hAnsi="Arial" w:cs="Arial"/>
          <w:b w:val="0"/>
          <w:sz w:val="20"/>
          <w:szCs w:val="20"/>
        </w:rPr>
        <w:t xml:space="preserve">, P.B. (2018). </w:t>
      </w:r>
      <w:r w:rsidRPr="00A628DF">
        <w:rPr>
          <w:rStyle w:val="Emphasis"/>
          <w:rFonts w:ascii="Arial" w:hAnsi="Arial" w:cs="Arial"/>
          <w:bCs/>
          <w:sz w:val="20"/>
          <w:szCs w:val="20"/>
        </w:rPr>
        <w:t xml:space="preserve">Vernonia </w:t>
      </w:r>
      <w:proofErr w:type="spellStart"/>
      <w:r w:rsidRPr="00A628DF">
        <w:rPr>
          <w:rStyle w:val="Emphasis"/>
          <w:rFonts w:ascii="Arial" w:hAnsi="Arial" w:cs="Arial"/>
          <w:bCs/>
          <w:sz w:val="20"/>
          <w:szCs w:val="20"/>
        </w:rPr>
        <w:t>amygdalina</w:t>
      </w:r>
      <w:proofErr w:type="spellEnd"/>
      <w:r w:rsidRPr="00A628DF">
        <w:rPr>
          <w:rStyle w:val="Strong"/>
          <w:rFonts w:ascii="Arial" w:hAnsi="Arial" w:cs="Arial"/>
          <w:b w:val="0"/>
          <w:sz w:val="20"/>
          <w:szCs w:val="20"/>
        </w:rPr>
        <w:t xml:space="preserve"> </w:t>
      </w:r>
      <w:proofErr w:type="spellStart"/>
      <w:r w:rsidRPr="00A628DF">
        <w:rPr>
          <w:rStyle w:val="Strong"/>
          <w:rFonts w:ascii="Arial" w:hAnsi="Arial" w:cs="Arial"/>
          <w:b w:val="0"/>
          <w:sz w:val="20"/>
          <w:szCs w:val="20"/>
        </w:rPr>
        <w:t>Delile</w:t>
      </w:r>
      <w:proofErr w:type="spellEnd"/>
      <w:r w:rsidRPr="00A628DF">
        <w:rPr>
          <w:rStyle w:val="Strong"/>
          <w:rFonts w:ascii="Arial" w:hAnsi="Arial" w:cs="Arial"/>
          <w:b w:val="0"/>
          <w:sz w:val="20"/>
          <w:szCs w:val="20"/>
        </w:rPr>
        <w:t xml:space="preserve"> exhibits a potential for the treatment of acute promyelocytic leukemia. </w:t>
      </w:r>
      <w:r w:rsidRPr="00A628DF">
        <w:rPr>
          <w:rStyle w:val="Emphasis"/>
          <w:rFonts w:ascii="Arial" w:hAnsi="Arial" w:cs="Arial"/>
          <w:bCs/>
          <w:sz w:val="20"/>
          <w:szCs w:val="20"/>
        </w:rPr>
        <w:t>Global Journal of Advanced Engineering Technology and Sciences, 5</w:t>
      </w:r>
      <w:r w:rsidRPr="00A628DF">
        <w:rPr>
          <w:rStyle w:val="Strong"/>
          <w:rFonts w:ascii="Arial" w:hAnsi="Arial" w:cs="Arial"/>
          <w:b w:val="0"/>
          <w:sz w:val="20"/>
          <w:szCs w:val="20"/>
        </w:rPr>
        <w:t>(8), 1–9.</w:t>
      </w:r>
    </w:p>
    <w:p w:rsidR="002B0E63" w:rsidRPr="00A628DF" w:rsidRDefault="002B0E63" w:rsidP="00BF6C48">
      <w:pPr>
        <w:pStyle w:val="Body"/>
      </w:pPr>
      <w:r w:rsidRPr="00A628DF">
        <w:t xml:space="preserve">Yomi, F.O., Mohammed I., &amp; </w:t>
      </w:r>
      <w:proofErr w:type="spellStart"/>
      <w:r w:rsidRPr="00A628DF">
        <w:t>Zurmi</w:t>
      </w:r>
      <w:proofErr w:type="spellEnd"/>
      <w:r w:rsidRPr="00A628DF">
        <w:t xml:space="preserve"> S.R.(2014). Ethnomedicinal Survey of Anti-Typhoid Plants in Ijebu Ode Local Government Area of Ogun State, Nigeria. International Journal of Science &amp; Nature, 5:332-336</w:t>
      </w:r>
      <w:bookmarkEnd w:id="0"/>
    </w:p>
    <w:sectPr w:rsidR="002B0E63" w:rsidRPr="00A628DF" w:rsidSect="00293E1C">
      <w:type w:val="continuous"/>
      <w:pgSz w:w="12240" w:h="15840"/>
      <w:pgMar w:top="1440" w:right="2016" w:bottom="2016" w:left="2016" w:header="720" w:footer="1123" w:gutter="0"/>
      <w:lnNumType w:countBy="1" w:restart="continuous"/>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27616" w:rsidRDefault="00527616" w:rsidP="00C37E61">
      <w:r>
        <w:separator/>
      </w:r>
    </w:p>
  </w:endnote>
  <w:endnote w:type="continuationSeparator" w:id="0">
    <w:p w:rsidR="00527616" w:rsidRDefault="00527616"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E048A" w:rsidRDefault="009E048A">
    <w:pPr>
      <w:pStyle w:val="Footer"/>
      <w:rPr>
        <w:rFonts w:ascii="Arial" w:hAnsi="Arial" w:cs="Arial"/>
        <w:sz w:val="16"/>
      </w:rPr>
    </w:pPr>
  </w:p>
  <w:p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rsidR="009E048A" w:rsidRDefault="009E048A">
    <w:pPr>
      <w:pStyle w:val="Footer"/>
      <w:rPr>
        <w:rFonts w:ascii="Arial" w:hAnsi="Arial" w:cs="Arial"/>
        <w:sz w:val="16"/>
      </w:rPr>
    </w:pPr>
  </w:p>
  <w:p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27616" w:rsidRDefault="00527616" w:rsidP="00C37E61">
      <w:r>
        <w:separator/>
      </w:r>
    </w:p>
  </w:footnote>
  <w:footnote w:type="continuationSeparator" w:id="0">
    <w:p w:rsidR="00527616" w:rsidRDefault="00527616"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96529" w:rsidRPr="00296529" w:rsidRDefault="00296529" w:rsidP="00296529">
    <w:pPr>
      <w:ind w:left="2160"/>
      <w:jc w:val="center"/>
      <w:rPr>
        <w:rFonts w:ascii="Times New Roman" w:eastAsia="Calibri" w:hAnsi="Times New Roman"/>
        <w:i/>
        <w:sz w:val="18"/>
        <w:szCs w:val="22"/>
      </w:rPr>
    </w:pPr>
  </w:p>
  <w:p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rsidR="00296529" w:rsidRDefault="00754C9A">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959"/>
    <w:rsid w:val="00000F8F"/>
    <w:rsid w:val="00012DD6"/>
    <w:rsid w:val="00014389"/>
    <w:rsid w:val="00030174"/>
    <w:rsid w:val="0004579C"/>
    <w:rsid w:val="000A47FA"/>
    <w:rsid w:val="000A65D3"/>
    <w:rsid w:val="000B1E33"/>
    <w:rsid w:val="000D689F"/>
    <w:rsid w:val="000E7B7B"/>
    <w:rsid w:val="000E7D62"/>
    <w:rsid w:val="00103357"/>
    <w:rsid w:val="00123C9F"/>
    <w:rsid w:val="00126190"/>
    <w:rsid w:val="00130F17"/>
    <w:rsid w:val="001320BF"/>
    <w:rsid w:val="00163BC4"/>
    <w:rsid w:val="00191062"/>
    <w:rsid w:val="00192B72"/>
    <w:rsid w:val="001A29D8"/>
    <w:rsid w:val="001A4BB6"/>
    <w:rsid w:val="001A5CAA"/>
    <w:rsid w:val="001B0427"/>
    <w:rsid w:val="001B69A4"/>
    <w:rsid w:val="001D3A51"/>
    <w:rsid w:val="001D530B"/>
    <w:rsid w:val="001D6CAF"/>
    <w:rsid w:val="001E10D2"/>
    <w:rsid w:val="001E25B4"/>
    <w:rsid w:val="001E44FE"/>
    <w:rsid w:val="001E51A6"/>
    <w:rsid w:val="001F5B6B"/>
    <w:rsid w:val="00200595"/>
    <w:rsid w:val="00204835"/>
    <w:rsid w:val="00231920"/>
    <w:rsid w:val="0023195C"/>
    <w:rsid w:val="0024282C"/>
    <w:rsid w:val="002460DC"/>
    <w:rsid w:val="00250985"/>
    <w:rsid w:val="002556F6"/>
    <w:rsid w:val="00280609"/>
    <w:rsid w:val="00283105"/>
    <w:rsid w:val="00284C4C"/>
    <w:rsid w:val="00287E68"/>
    <w:rsid w:val="00293E1C"/>
    <w:rsid w:val="00296529"/>
    <w:rsid w:val="002B0E63"/>
    <w:rsid w:val="002B27FB"/>
    <w:rsid w:val="002B685A"/>
    <w:rsid w:val="002C57D2"/>
    <w:rsid w:val="002E0D56"/>
    <w:rsid w:val="002F25DE"/>
    <w:rsid w:val="00313543"/>
    <w:rsid w:val="00315186"/>
    <w:rsid w:val="0033343E"/>
    <w:rsid w:val="003512C2"/>
    <w:rsid w:val="003565AB"/>
    <w:rsid w:val="00371FB6"/>
    <w:rsid w:val="003763C1"/>
    <w:rsid w:val="00376BBE"/>
    <w:rsid w:val="00383BF3"/>
    <w:rsid w:val="00384586"/>
    <w:rsid w:val="0039224F"/>
    <w:rsid w:val="003A43A4"/>
    <w:rsid w:val="003A7E18"/>
    <w:rsid w:val="003C4C86"/>
    <w:rsid w:val="003C6258"/>
    <w:rsid w:val="003E2904"/>
    <w:rsid w:val="00401927"/>
    <w:rsid w:val="0041027F"/>
    <w:rsid w:val="00412475"/>
    <w:rsid w:val="00423789"/>
    <w:rsid w:val="00440F43"/>
    <w:rsid w:val="00441B6F"/>
    <w:rsid w:val="00446221"/>
    <w:rsid w:val="00450E62"/>
    <w:rsid w:val="004539DB"/>
    <w:rsid w:val="00454884"/>
    <w:rsid w:val="00471A80"/>
    <w:rsid w:val="00472F4A"/>
    <w:rsid w:val="004C7825"/>
    <w:rsid w:val="004D305E"/>
    <w:rsid w:val="004D4277"/>
    <w:rsid w:val="00502516"/>
    <w:rsid w:val="00505F06"/>
    <w:rsid w:val="00506828"/>
    <w:rsid w:val="00516E25"/>
    <w:rsid w:val="0052350D"/>
    <w:rsid w:val="00527616"/>
    <w:rsid w:val="0053056E"/>
    <w:rsid w:val="005422F8"/>
    <w:rsid w:val="005478EC"/>
    <w:rsid w:val="00553E6F"/>
    <w:rsid w:val="00554FDA"/>
    <w:rsid w:val="00570DBF"/>
    <w:rsid w:val="00575C3E"/>
    <w:rsid w:val="005973AE"/>
    <w:rsid w:val="005A1ABE"/>
    <w:rsid w:val="005B52ED"/>
    <w:rsid w:val="005C7206"/>
    <w:rsid w:val="005C784C"/>
    <w:rsid w:val="005D17F6"/>
    <w:rsid w:val="005D694B"/>
    <w:rsid w:val="005E5539"/>
    <w:rsid w:val="00602BF5"/>
    <w:rsid w:val="00617FDD"/>
    <w:rsid w:val="00633614"/>
    <w:rsid w:val="00633F68"/>
    <w:rsid w:val="00636EB2"/>
    <w:rsid w:val="006375B8"/>
    <w:rsid w:val="00662537"/>
    <w:rsid w:val="0066510A"/>
    <w:rsid w:val="00673F9F"/>
    <w:rsid w:val="00675223"/>
    <w:rsid w:val="00675F43"/>
    <w:rsid w:val="00686953"/>
    <w:rsid w:val="00687DEA"/>
    <w:rsid w:val="00687E67"/>
    <w:rsid w:val="0069086E"/>
    <w:rsid w:val="00693154"/>
    <w:rsid w:val="006967F7"/>
    <w:rsid w:val="006A250C"/>
    <w:rsid w:val="006A3269"/>
    <w:rsid w:val="006B21D3"/>
    <w:rsid w:val="006B57D0"/>
    <w:rsid w:val="006D30FF"/>
    <w:rsid w:val="006D6940"/>
    <w:rsid w:val="006F11EC"/>
    <w:rsid w:val="0070082C"/>
    <w:rsid w:val="007369E6"/>
    <w:rsid w:val="00746E59"/>
    <w:rsid w:val="00754C9A"/>
    <w:rsid w:val="0075599A"/>
    <w:rsid w:val="00761D52"/>
    <w:rsid w:val="0077749E"/>
    <w:rsid w:val="00790569"/>
    <w:rsid w:val="00790ADA"/>
    <w:rsid w:val="007D2288"/>
    <w:rsid w:val="007E088F"/>
    <w:rsid w:val="007E4CDC"/>
    <w:rsid w:val="007F025B"/>
    <w:rsid w:val="007F24C5"/>
    <w:rsid w:val="007F7B32"/>
    <w:rsid w:val="00804BC2"/>
    <w:rsid w:val="0081431A"/>
    <w:rsid w:val="0082706D"/>
    <w:rsid w:val="0083216F"/>
    <w:rsid w:val="00846182"/>
    <w:rsid w:val="00860000"/>
    <w:rsid w:val="00863BD3"/>
    <w:rsid w:val="008641ED"/>
    <w:rsid w:val="00866D66"/>
    <w:rsid w:val="008671C6"/>
    <w:rsid w:val="00875803"/>
    <w:rsid w:val="008A5239"/>
    <w:rsid w:val="008B459E"/>
    <w:rsid w:val="008E13AE"/>
    <w:rsid w:val="008E1506"/>
    <w:rsid w:val="008E710C"/>
    <w:rsid w:val="008F69D6"/>
    <w:rsid w:val="00902823"/>
    <w:rsid w:val="00915CA6"/>
    <w:rsid w:val="00927834"/>
    <w:rsid w:val="00933B63"/>
    <w:rsid w:val="00943E0C"/>
    <w:rsid w:val="009500A6"/>
    <w:rsid w:val="00957C18"/>
    <w:rsid w:val="009659BA"/>
    <w:rsid w:val="00983040"/>
    <w:rsid w:val="00991426"/>
    <w:rsid w:val="009B3FB9"/>
    <w:rsid w:val="009C2465"/>
    <w:rsid w:val="009D35A0"/>
    <w:rsid w:val="009D7EB7"/>
    <w:rsid w:val="009E048A"/>
    <w:rsid w:val="009E08E9"/>
    <w:rsid w:val="009E3DB9"/>
    <w:rsid w:val="009E6E35"/>
    <w:rsid w:val="009F0EDA"/>
    <w:rsid w:val="00A03B96"/>
    <w:rsid w:val="00A05B19"/>
    <w:rsid w:val="00A1134E"/>
    <w:rsid w:val="00A23E61"/>
    <w:rsid w:val="00A24E7E"/>
    <w:rsid w:val="00A258C3"/>
    <w:rsid w:val="00A31DE6"/>
    <w:rsid w:val="00A347C0"/>
    <w:rsid w:val="00A44C6E"/>
    <w:rsid w:val="00A51431"/>
    <w:rsid w:val="00A539AD"/>
    <w:rsid w:val="00A628DF"/>
    <w:rsid w:val="00A94063"/>
    <w:rsid w:val="00AA6219"/>
    <w:rsid w:val="00AA74E0"/>
    <w:rsid w:val="00AB703F"/>
    <w:rsid w:val="00AC6BB8"/>
    <w:rsid w:val="00AE008F"/>
    <w:rsid w:val="00AF355D"/>
    <w:rsid w:val="00AF7053"/>
    <w:rsid w:val="00B01FCD"/>
    <w:rsid w:val="00B03859"/>
    <w:rsid w:val="00B12A91"/>
    <w:rsid w:val="00B1776C"/>
    <w:rsid w:val="00B344E8"/>
    <w:rsid w:val="00B52583"/>
    <w:rsid w:val="00B52896"/>
    <w:rsid w:val="00B729DB"/>
    <w:rsid w:val="00B7493B"/>
    <w:rsid w:val="00B95236"/>
    <w:rsid w:val="00B96BD9"/>
    <w:rsid w:val="00BA1B01"/>
    <w:rsid w:val="00BA2641"/>
    <w:rsid w:val="00BB37AA"/>
    <w:rsid w:val="00BC53A0"/>
    <w:rsid w:val="00BE62AD"/>
    <w:rsid w:val="00BF121F"/>
    <w:rsid w:val="00BF1F80"/>
    <w:rsid w:val="00BF6C48"/>
    <w:rsid w:val="00C1354A"/>
    <w:rsid w:val="00C166EF"/>
    <w:rsid w:val="00C17EB0"/>
    <w:rsid w:val="00C27F5F"/>
    <w:rsid w:val="00C30A0F"/>
    <w:rsid w:val="00C37E61"/>
    <w:rsid w:val="00C65CF2"/>
    <w:rsid w:val="00C70F1B"/>
    <w:rsid w:val="00C71A47"/>
    <w:rsid w:val="00C7464C"/>
    <w:rsid w:val="00C85588"/>
    <w:rsid w:val="00CB0D58"/>
    <w:rsid w:val="00CD1065"/>
    <w:rsid w:val="00CD14F8"/>
    <w:rsid w:val="00CD6755"/>
    <w:rsid w:val="00CD6856"/>
    <w:rsid w:val="00CE0089"/>
    <w:rsid w:val="00CE793C"/>
    <w:rsid w:val="00CF193C"/>
    <w:rsid w:val="00D173F1"/>
    <w:rsid w:val="00D35DBD"/>
    <w:rsid w:val="00D74CB0"/>
    <w:rsid w:val="00D8295D"/>
    <w:rsid w:val="00DC2A65"/>
    <w:rsid w:val="00DC55ED"/>
    <w:rsid w:val="00DE15F0"/>
    <w:rsid w:val="00DE5663"/>
    <w:rsid w:val="00DE78AA"/>
    <w:rsid w:val="00E053D0"/>
    <w:rsid w:val="00E11F10"/>
    <w:rsid w:val="00E12DC9"/>
    <w:rsid w:val="00E14AEB"/>
    <w:rsid w:val="00E15994"/>
    <w:rsid w:val="00E2096A"/>
    <w:rsid w:val="00E225FF"/>
    <w:rsid w:val="00E24EA8"/>
    <w:rsid w:val="00E3114E"/>
    <w:rsid w:val="00E31A70"/>
    <w:rsid w:val="00E345BA"/>
    <w:rsid w:val="00E35B02"/>
    <w:rsid w:val="00E66496"/>
    <w:rsid w:val="00E66B35"/>
    <w:rsid w:val="00E66E10"/>
    <w:rsid w:val="00E769F6"/>
    <w:rsid w:val="00E8407C"/>
    <w:rsid w:val="00E84F3C"/>
    <w:rsid w:val="00EA012C"/>
    <w:rsid w:val="00EA75AD"/>
    <w:rsid w:val="00EB2E84"/>
    <w:rsid w:val="00EB7C0D"/>
    <w:rsid w:val="00EC3BE4"/>
    <w:rsid w:val="00EC6A55"/>
    <w:rsid w:val="00ED0288"/>
    <w:rsid w:val="00EE5239"/>
    <w:rsid w:val="00EE52CB"/>
    <w:rsid w:val="00EF4F04"/>
    <w:rsid w:val="00EF581D"/>
    <w:rsid w:val="00EF7FD8"/>
    <w:rsid w:val="00F06F59"/>
    <w:rsid w:val="00F17988"/>
    <w:rsid w:val="00F27137"/>
    <w:rsid w:val="00F469F0"/>
    <w:rsid w:val="00F53273"/>
    <w:rsid w:val="00F55A4C"/>
    <w:rsid w:val="00F755E4"/>
    <w:rsid w:val="00F77D02"/>
    <w:rsid w:val="00FB3A86"/>
    <w:rsid w:val="00FC361F"/>
    <w:rsid w:val="00FD36C8"/>
    <w:rsid w:val="00FE320F"/>
    <w:rsid w:val="00FF2A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rules v:ext="edit">
        <o:r id="V:Rule1" type="connector" idref="#_x0000_s1026"/>
      </o:rules>
    </o:shapelayout>
  </w:shapeDefaults>
  <w:decimalSymbol w:val="."/>
  <w:listSeparator w:val=","/>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NormalWeb">
    <w:name w:val="Normal (Web)"/>
    <w:basedOn w:val="Normal"/>
    <w:uiPriority w:val="99"/>
    <w:semiHidden/>
    <w:unhideWhenUsed/>
    <w:rsid w:val="005C7206"/>
    <w:pPr>
      <w:spacing w:before="100" w:beforeAutospacing="1" w:after="100" w:afterAutospacing="1"/>
    </w:pPr>
    <w:rPr>
      <w:rFonts w:ascii="Times New Roman" w:hAnsi="Times New Roman"/>
      <w:sz w:val="24"/>
      <w:szCs w:val="24"/>
    </w:rPr>
  </w:style>
  <w:style w:type="character" w:styleId="Strong">
    <w:name w:val="Strong"/>
    <w:basedOn w:val="DefaultParagraphFont"/>
    <w:uiPriority w:val="22"/>
    <w:qFormat/>
    <w:rsid w:val="005C720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463162074">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1123930">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2087649661">
      <w:bodyDiv w:val="1"/>
      <w:marLeft w:val="0"/>
      <w:marRight w:val="0"/>
      <w:marTop w:val="0"/>
      <w:marBottom w:val="0"/>
      <w:divBdr>
        <w:top w:val="none" w:sz="0" w:space="0" w:color="auto"/>
        <w:left w:val="none" w:sz="0" w:space="0" w:color="auto"/>
        <w:bottom w:val="none" w:sz="0" w:space="0" w:color="auto"/>
        <w:right w:val="none" w:sz="0" w:space="0" w:color="auto"/>
      </w:divBdr>
      <w:divsChild>
        <w:div w:id="210964177">
          <w:marLeft w:val="0"/>
          <w:marRight w:val="0"/>
          <w:marTop w:val="0"/>
          <w:marBottom w:val="0"/>
          <w:divBdr>
            <w:top w:val="none" w:sz="0" w:space="0" w:color="auto"/>
            <w:left w:val="none" w:sz="0" w:space="0" w:color="auto"/>
            <w:bottom w:val="none" w:sz="0" w:space="0" w:color="auto"/>
            <w:right w:val="none" w:sz="0" w:space="0" w:color="auto"/>
          </w:divBdr>
        </w:div>
      </w:divsChild>
    </w:div>
    <w:div w:id="2145659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4.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B47986-CBA8-4AD1-80B0-2178BA81FE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168</TotalTime>
  <Pages>10</Pages>
  <Words>3301</Words>
  <Characters>18819</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22076</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1089</cp:lastModifiedBy>
  <cp:revision>74</cp:revision>
  <cp:lastPrinted>1999-07-06T11:00:00Z</cp:lastPrinted>
  <dcterms:created xsi:type="dcterms:W3CDTF">2014-10-25T14:34:00Z</dcterms:created>
  <dcterms:modified xsi:type="dcterms:W3CDTF">2025-09-15T06:49:00Z</dcterms:modified>
</cp:coreProperties>
</file>