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B9AD" w14:textId="67654E10" w:rsidR="00754C9A" w:rsidRDefault="00636DAA" w:rsidP="00441B6F">
      <w:pPr>
        <w:pStyle w:val="Title"/>
        <w:spacing w:after="0"/>
        <w:jc w:val="both"/>
        <w:rPr>
          <w:rFonts w:ascii="Arial" w:hAnsi="Arial" w:cs="Arial"/>
        </w:rPr>
      </w:pPr>
      <w:r w:rsidRPr="00636DAA">
        <w:rPr>
          <w:rFonts w:ascii="Arial" w:hAnsi="Arial" w:cs="Arial"/>
        </w:rPr>
        <w:t>Original Research Article</w:t>
      </w:r>
    </w:p>
    <w:p w14:paraId="5FB0E7C0" w14:textId="77777777" w:rsidR="00636DAA" w:rsidRDefault="00636DAA" w:rsidP="00441B6F">
      <w:pPr>
        <w:pStyle w:val="Title"/>
        <w:spacing w:after="0"/>
        <w:jc w:val="both"/>
        <w:rPr>
          <w:rFonts w:ascii="Arial" w:hAnsi="Arial" w:cs="Arial"/>
        </w:rPr>
      </w:pPr>
    </w:p>
    <w:p w14:paraId="6D1EDBE5" w14:textId="3CD1E506" w:rsidR="00A258C3" w:rsidRPr="0090041A" w:rsidRDefault="0090041A" w:rsidP="00441B6F">
      <w:pPr>
        <w:pStyle w:val="Author"/>
        <w:spacing w:line="240" w:lineRule="auto"/>
        <w:jc w:val="both"/>
        <w:rPr>
          <w:rFonts w:ascii="Arial" w:hAnsi="Arial" w:cs="Arial"/>
          <w:sz w:val="48"/>
        </w:rPr>
      </w:pPr>
      <w:r w:rsidRPr="0090041A">
        <w:rPr>
          <w:rFonts w:ascii="Arial" w:hAnsi="Arial" w:cs="Arial"/>
          <w:i/>
          <w:iCs/>
          <w:sz w:val="28"/>
          <w:highlight w:val="yellow"/>
        </w:rPr>
        <w:t xml:space="preserve">AI-Enhanced Runtime Security for Kubernetes: Real-Time Threat Detection with </w:t>
      </w:r>
      <w:proofErr w:type="spellStart"/>
      <w:r w:rsidRPr="0090041A">
        <w:rPr>
          <w:rFonts w:ascii="Arial" w:hAnsi="Arial" w:cs="Arial"/>
          <w:i/>
          <w:iCs/>
          <w:sz w:val="28"/>
          <w:highlight w:val="yellow"/>
        </w:rPr>
        <w:t>eBPF</w:t>
      </w:r>
      <w:proofErr w:type="spellEnd"/>
      <w:r w:rsidRPr="0090041A">
        <w:rPr>
          <w:rFonts w:ascii="Arial" w:hAnsi="Arial" w:cs="Arial"/>
          <w:i/>
          <w:iCs/>
          <w:sz w:val="28"/>
          <w:highlight w:val="yellow"/>
        </w:rPr>
        <w:t xml:space="preserve"> Telemetry and Ensemble Learning</w:t>
      </w:r>
    </w:p>
    <w:p w14:paraId="00DCB659" w14:textId="77777777" w:rsidR="00790ADA" w:rsidRDefault="00790ADA" w:rsidP="00441B6F">
      <w:pPr>
        <w:pStyle w:val="Affiliation"/>
        <w:spacing w:after="0" w:line="240" w:lineRule="auto"/>
        <w:jc w:val="both"/>
        <w:rPr>
          <w:rFonts w:ascii="Arial" w:hAnsi="Arial" w:cs="Arial"/>
        </w:rPr>
      </w:pPr>
    </w:p>
    <w:p w14:paraId="2E4C29D5" w14:textId="77777777" w:rsidR="002C57D2" w:rsidRPr="00FB3A86" w:rsidRDefault="002C57D2" w:rsidP="00441B6F">
      <w:pPr>
        <w:pStyle w:val="Affiliation"/>
        <w:spacing w:after="0" w:line="240" w:lineRule="auto"/>
        <w:jc w:val="both"/>
        <w:rPr>
          <w:rFonts w:ascii="Arial" w:hAnsi="Arial" w:cs="Arial"/>
        </w:rPr>
      </w:pPr>
    </w:p>
    <w:p w14:paraId="3AED9E62" w14:textId="77777777" w:rsidR="00B01FCD" w:rsidRPr="00FB3A86" w:rsidRDefault="001273F4" w:rsidP="00441B6F">
      <w:pPr>
        <w:pStyle w:val="Copyright"/>
        <w:spacing w:after="0" w:line="240" w:lineRule="auto"/>
        <w:jc w:val="both"/>
        <w:rPr>
          <w:rFonts w:ascii="Arial" w:hAnsi="Arial" w:cs="Arial"/>
        </w:rPr>
        <w:sectPr w:rsidR="00B01FCD" w:rsidRPr="00FB3A86" w:rsidSect="00CE54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D0F10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1D7F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266C3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215AAB" w14:textId="77777777" w:rsidTr="001E44FE">
        <w:tc>
          <w:tcPr>
            <w:tcW w:w="9576" w:type="dxa"/>
            <w:shd w:val="clear" w:color="auto" w:fill="F2F2F2"/>
          </w:tcPr>
          <w:p w14:paraId="6AB2C44B" w14:textId="5C98C8D9" w:rsidR="00505F06" w:rsidRPr="00BA1B01" w:rsidRDefault="00A75C8E" w:rsidP="00BF2051">
            <w:pPr>
              <w:pStyle w:val="Body"/>
              <w:rPr>
                <w:rFonts w:ascii="Arial" w:eastAsia="Calibri" w:hAnsi="Arial" w:cs="Arial"/>
                <w:szCs w:val="22"/>
              </w:rPr>
            </w:pPr>
            <w:r w:rsidRPr="00A75C8E">
              <w:rPr>
                <w:rFonts w:ascii="Arial" w:eastAsia="Calibri" w:hAnsi="Arial" w:cs="Arial"/>
                <w:szCs w:val="22"/>
              </w:rPr>
              <w:t>Modern digital services are based on scalable, resilient, and adaptable Cloud-native ecosystems, particularly Kubernetes-based ones. Nonetheless, this fast usage has also widened the threat context and conventional security practices cannot be used in the fight against dynamic and distributed vulnerabilities.  The incorporation of Artificial Intelligence (AI) and Machine Learning (ML) solutions into cloud-native security systems has emerged as an intriguing option for addressing these threats. The study is an in-depth discussion of AI-based approaches to improving access controls, anomaly detection, and intrusion prevention in Kubernetes environments.  In order to demonstrate the potential of providing a defense mechanism that is adaptive, transparent, and resilient, it compares federated learning, reinforcement learning, graph neural networks, and explainable AI.</w:t>
            </w:r>
            <w:r w:rsidR="00BF2051">
              <w:rPr>
                <w:rFonts w:ascii="Arial" w:eastAsia="Calibri" w:hAnsi="Arial" w:cs="Arial"/>
                <w:szCs w:val="22"/>
              </w:rPr>
              <w:t xml:space="preserve"> </w:t>
            </w:r>
            <w:r w:rsidR="00E4444F" w:rsidRPr="00E4444F">
              <w:rPr>
                <w:rFonts w:ascii="Arial" w:eastAsia="Calibri" w:hAnsi="Arial" w:cs="Arial"/>
                <w:szCs w:val="22"/>
              </w:rPr>
              <w:t>The results of the current research indicate that the accuracy, efficiency, and scalability of real-time threat detection and policy enforcement using AI-based models can substantially surpass the traditional ones.  In addition, this paper provides insight on the role of self-healing architectures, forecast defense tools, and energy-saving artificial intelligence models in securing multi-cloud and hybrid applications.  This work synthesizes the findings of the recent progress to give a coherent view of the development of AI-enhanced cloud-native security and present both theoretical and practical conclusions in regard to academia, industry, and security practitioners.</w:t>
            </w:r>
            <w:r w:rsidR="00E4444F">
              <w:rPr>
                <w:rFonts w:ascii="Arial" w:eastAsia="Calibri" w:hAnsi="Arial" w:cs="Arial"/>
                <w:szCs w:val="22"/>
              </w:rPr>
              <w:t xml:space="preserve">  </w:t>
            </w:r>
          </w:p>
        </w:tc>
      </w:tr>
    </w:tbl>
    <w:p w14:paraId="05A041C5" w14:textId="77777777" w:rsidR="00636EB2" w:rsidRDefault="00636EB2" w:rsidP="00441B6F">
      <w:pPr>
        <w:pStyle w:val="Body"/>
        <w:spacing w:after="0"/>
        <w:rPr>
          <w:rFonts w:ascii="Arial" w:hAnsi="Arial" w:cs="Arial"/>
          <w:i/>
        </w:rPr>
      </w:pPr>
    </w:p>
    <w:p w14:paraId="7007C867" w14:textId="77777777" w:rsidR="0024282C" w:rsidRPr="00DC4AEE" w:rsidRDefault="00A24E7E" w:rsidP="00441B6F">
      <w:pPr>
        <w:pStyle w:val="Body"/>
        <w:spacing w:after="0"/>
        <w:rPr>
          <w:rFonts w:ascii="Arial" w:hAnsi="Arial" w:cs="Arial"/>
          <w:i/>
        </w:rPr>
      </w:pPr>
      <w:r>
        <w:rPr>
          <w:rFonts w:ascii="Arial" w:hAnsi="Arial" w:cs="Arial"/>
          <w:i/>
        </w:rPr>
        <w:t xml:space="preserve">Keywords: </w:t>
      </w:r>
      <w:r w:rsidR="00AE1E32" w:rsidRPr="00AE1E32">
        <w:rPr>
          <w:rFonts w:ascii="Arial" w:hAnsi="Arial" w:cs="Arial"/>
          <w:i/>
        </w:rPr>
        <w:t>Artificial Intelligence, Cloud, Security, Threat Detection, Real-Time, Kubernetes.</w:t>
      </w:r>
    </w:p>
    <w:p w14:paraId="75A00D34" w14:textId="77777777" w:rsidR="00505F06" w:rsidRPr="00A24E7E" w:rsidRDefault="00505F06" w:rsidP="00441B6F">
      <w:pPr>
        <w:pStyle w:val="Body"/>
        <w:spacing w:after="0"/>
        <w:rPr>
          <w:rFonts w:ascii="Arial" w:hAnsi="Arial" w:cs="Arial"/>
          <w:i/>
        </w:rPr>
      </w:pPr>
    </w:p>
    <w:p w14:paraId="1827726A" w14:textId="77777777" w:rsidR="007F7B32" w:rsidRDefault="00902823" w:rsidP="004048B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5CFCFD" w14:textId="77777777" w:rsidR="00790ADA" w:rsidRPr="00FB3A86" w:rsidRDefault="00790ADA" w:rsidP="004048BE">
      <w:pPr>
        <w:pStyle w:val="AbstHead"/>
        <w:spacing w:after="0"/>
        <w:jc w:val="both"/>
        <w:rPr>
          <w:rFonts w:ascii="Arial" w:hAnsi="Arial" w:cs="Arial"/>
        </w:rPr>
      </w:pPr>
    </w:p>
    <w:p w14:paraId="56623D64" w14:textId="77777777" w:rsidR="00AE1E32" w:rsidRPr="00AE1E32" w:rsidRDefault="00AE1E32" w:rsidP="004048BE">
      <w:pPr>
        <w:pStyle w:val="Body"/>
        <w:rPr>
          <w:rFonts w:ascii="Arial" w:hAnsi="Arial" w:cs="Arial"/>
        </w:rPr>
      </w:pPr>
      <w:r w:rsidRPr="00AE1E32">
        <w:rPr>
          <w:rFonts w:ascii="Arial" w:hAnsi="Arial" w:cs="Arial"/>
        </w:rPr>
        <w:t xml:space="preserve">Kubernetes [1] and the cloud-native stack in general have become the fashionable tool to deploy modern distributed applications and has brought both efficiency and accelerated delivery cycles at the cost of pushed the security perimeter and attacker surface. By 2021 numerous organizations had offloaded substantial production workloads onto Kubernetes, and reports on operations and security in the field of containerized microservices raised concern about control-plane exposure, poorly configured RBAC, and image supply-chain risks.  </w:t>
      </w:r>
    </w:p>
    <w:p w14:paraId="11DA0A1C" w14:textId="77777777" w:rsidR="00AE1E32" w:rsidRPr="00AE1E32" w:rsidRDefault="00AE1E32" w:rsidP="004048BE">
      <w:pPr>
        <w:pStyle w:val="Body"/>
        <w:rPr>
          <w:rFonts w:ascii="Arial" w:hAnsi="Arial" w:cs="Arial"/>
        </w:rPr>
      </w:pPr>
      <w:r w:rsidRPr="00AE1E32">
        <w:rPr>
          <w:rFonts w:ascii="Arial" w:hAnsi="Arial" w:cs="Arial"/>
        </w:rPr>
        <w:t xml:space="preserve">The extreme variability of containers and microservices [2] is challenging to conventional signature and rule-based security techniques. Statistically rules are fragile when pods are spawned, terminated or relocate across nodes at scale; similarly, network flows and process behaviors that are normal in one service may be anomalous in another, causing both false negativity and false positivity. Telemetry and observability primitives are thus essential to the interpretation of the runtime behavior within the cloud-native environments.  </w:t>
      </w:r>
    </w:p>
    <w:p w14:paraId="74C29369" w14:textId="77777777" w:rsidR="00AE1E32" w:rsidRPr="00AE1E32" w:rsidRDefault="00AE1E32" w:rsidP="004048BE">
      <w:pPr>
        <w:pStyle w:val="Body"/>
        <w:rPr>
          <w:rFonts w:ascii="Arial" w:hAnsi="Arial" w:cs="Arial"/>
        </w:rPr>
      </w:pPr>
      <w:r w:rsidRPr="00AE1E32">
        <w:rPr>
          <w:rFonts w:ascii="Arial" w:hAnsi="Arial" w:cs="Arial"/>
        </w:rPr>
        <w:lastRenderedPageBreak/>
        <w:t xml:space="preserve">At the same time, during 2021-2022, research and engineering activities [3] demonstrated the possibility of using machine learning to microservice and container telemetry to detect anomalies and analyze performance. Time-series and sequence models (e.g., autoencoders, LSTMs) were demonstrated to identify deviations in latency, </w:t>
      </w:r>
      <w:proofErr w:type="spellStart"/>
      <w:r w:rsidRPr="00AE1E32">
        <w:rPr>
          <w:rFonts w:ascii="Arial" w:hAnsi="Arial" w:cs="Arial"/>
        </w:rPr>
        <w:t>syscall</w:t>
      </w:r>
      <w:proofErr w:type="spellEnd"/>
      <w:r w:rsidRPr="00AE1E32">
        <w:rPr>
          <w:rFonts w:ascii="Arial" w:hAnsi="Arial" w:cs="Arial"/>
        </w:rPr>
        <w:t xml:space="preserve"> patterns and trace structure that was precursory to a performance or security incident, creating a baseline of behavior-based detection in cloud-native systems.  </w:t>
      </w:r>
    </w:p>
    <w:p w14:paraId="679E08AC" w14:textId="77777777" w:rsidR="00AE1E32" w:rsidRPr="00AE1E32" w:rsidRDefault="00AE1E32" w:rsidP="004048BE">
      <w:pPr>
        <w:pStyle w:val="Body"/>
        <w:rPr>
          <w:rFonts w:ascii="Arial" w:hAnsi="Arial" w:cs="Arial"/>
        </w:rPr>
      </w:pPr>
      <w:r w:rsidRPr="00AE1E32">
        <w:rPr>
          <w:rFonts w:ascii="Arial" w:hAnsi="Arial" w:cs="Arial"/>
        </w:rPr>
        <w:t xml:space="preserve">Simultaneously the observability toolchain became more mature: </w:t>
      </w:r>
      <w:proofErr w:type="spellStart"/>
      <w:r w:rsidRPr="00AE1E32">
        <w:rPr>
          <w:rFonts w:ascii="Arial" w:hAnsi="Arial" w:cs="Arial"/>
        </w:rPr>
        <w:t>eBPF</w:t>
      </w:r>
      <w:proofErr w:type="spellEnd"/>
      <w:r w:rsidRPr="00AE1E32">
        <w:rPr>
          <w:rFonts w:ascii="Arial" w:hAnsi="Arial" w:cs="Arial"/>
        </w:rPr>
        <w:t xml:space="preserve"> [4] has become an in-kernel usage to facilitate high-fidelity telemetry (</w:t>
      </w:r>
      <w:proofErr w:type="spellStart"/>
      <w:r w:rsidRPr="00AE1E32">
        <w:rPr>
          <w:rFonts w:ascii="Arial" w:hAnsi="Arial" w:cs="Arial"/>
        </w:rPr>
        <w:t>syscalls</w:t>
      </w:r>
      <w:proofErr w:type="spellEnd"/>
      <w:r w:rsidRPr="00AE1E32">
        <w:rPr>
          <w:rFonts w:ascii="Arial" w:hAnsi="Arial" w:cs="Arial"/>
        </w:rPr>
        <w:t xml:space="preserve">, sockets, kernel </w:t>
      </w:r>
      <w:proofErr w:type="spellStart"/>
      <w:r w:rsidRPr="00AE1E32">
        <w:rPr>
          <w:rFonts w:ascii="Arial" w:hAnsi="Arial" w:cs="Arial"/>
        </w:rPr>
        <w:t>tracepoints</w:t>
      </w:r>
      <w:proofErr w:type="spellEnd"/>
      <w:r w:rsidRPr="00AE1E32">
        <w:rPr>
          <w:rFonts w:ascii="Arial" w:hAnsi="Arial" w:cs="Arial"/>
        </w:rPr>
        <w:t xml:space="preserve">) at low overhead, and with </w:t>
      </w:r>
      <w:proofErr w:type="spellStart"/>
      <w:r w:rsidRPr="00AE1E32">
        <w:rPr>
          <w:rFonts w:ascii="Arial" w:hAnsi="Arial" w:cs="Arial"/>
        </w:rPr>
        <w:t>eBPF</w:t>
      </w:r>
      <w:proofErr w:type="spellEnd"/>
      <w:r w:rsidRPr="00AE1E32">
        <w:rPr>
          <w:rFonts w:ascii="Arial" w:hAnsi="Arial" w:cs="Arial"/>
        </w:rPr>
        <w:t xml:space="preserve">-collected signals, community projects have started adding them to runtime security orchestrators. Within 2022 commentary and technical review, industry observers suggested </w:t>
      </w:r>
      <w:proofErr w:type="spellStart"/>
      <w:r w:rsidRPr="00AE1E32">
        <w:rPr>
          <w:rFonts w:ascii="Arial" w:hAnsi="Arial" w:cs="Arial"/>
        </w:rPr>
        <w:t>eBPF</w:t>
      </w:r>
      <w:proofErr w:type="spellEnd"/>
      <w:r w:rsidRPr="00AE1E32">
        <w:rPr>
          <w:rFonts w:ascii="Arial" w:hAnsi="Arial" w:cs="Arial"/>
        </w:rPr>
        <w:t xml:space="preserve"> as a foundational primitive to modern cloud-native security and network since it can provide accurate low-latency visibility without requiring heavy host instrumentation.</w:t>
      </w:r>
    </w:p>
    <w:p w14:paraId="34BF8D1F" w14:textId="77777777" w:rsidR="00AE1E32" w:rsidRPr="00AE1E32" w:rsidRDefault="00AE1E32" w:rsidP="004048BE">
      <w:pPr>
        <w:pStyle w:val="Body"/>
        <w:rPr>
          <w:rFonts w:ascii="Arial" w:hAnsi="Arial" w:cs="Arial"/>
        </w:rPr>
      </w:pPr>
      <w:r w:rsidRPr="00AE1E32">
        <w:rPr>
          <w:rFonts w:ascii="Arial" w:hAnsi="Arial" w:cs="Arial"/>
        </w:rPr>
        <w:t xml:space="preserve">Collectively, such trends drive the research problem [5] this paper seeks to answer: how can an AI-enhanced, real-time detection pipeline that takes advantage of kernel-level telemetry, contextual Kubernetes metadata and lightweight ML ensembles be designed and evaluated, without violating production constraints (latency, overhead, </w:t>
      </w:r>
      <w:proofErr w:type="spellStart"/>
      <w:r w:rsidRPr="00AE1E32">
        <w:rPr>
          <w:rFonts w:ascii="Arial" w:hAnsi="Arial" w:cs="Arial"/>
        </w:rPr>
        <w:t>explainability</w:t>
      </w:r>
      <w:proofErr w:type="spellEnd"/>
      <w:r w:rsidRPr="00AE1E32">
        <w:rPr>
          <w:rFonts w:ascii="Arial" w:hAnsi="Arial" w:cs="Arial"/>
        </w:rPr>
        <w:t xml:space="preserve">). The present work is based on the 2021-2022 developments in telemetry and ML of microservice to suggest the end-to-end architecture and test it in realistic threat conditions </w:t>
      </w:r>
    </w:p>
    <w:p w14:paraId="3395A18C" w14:textId="77777777" w:rsidR="00AE1E32" w:rsidRPr="00AE1E32" w:rsidRDefault="00AE1E32" w:rsidP="004048BE">
      <w:pPr>
        <w:pStyle w:val="Body"/>
        <w:rPr>
          <w:rFonts w:ascii="Arial" w:hAnsi="Arial" w:cs="Arial"/>
        </w:rPr>
      </w:pPr>
      <w:r w:rsidRPr="00AE1E32">
        <w:rPr>
          <w:rFonts w:ascii="Arial" w:hAnsi="Arial" w:cs="Arial"/>
        </w:rPr>
        <w:t xml:space="preserve">Cloud-native computing [6] has radically changed the enterprise IT because it allows applications to operate on dynamic and distributed systems. As the </w:t>
      </w:r>
      <w:proofErr w:type="spellStart"/>
      <w:r w:rsidRPr="00AE1E32">
        <w:rPr>
          <w:rFonts w:ascii="Arial" w:hAnsi="Arial" w:cs="Arial"/>
        </w:rPr>
        <w:t>defacto</w:t>
      </w:r>
      <w:proofErr w:type="spellEnd"/>
      <w:r w:rsidRPr="00AE1E32">
        <w:rPr>
          <w:rFonts w:ascii="Arial" w:hAnsi="Arial" w:cs="Arial"/>
        </w:rPr>
        <w:t xml:space="preserve"> orchestration system of containers, Kubernetes enables the process of automated deployment, scaling, and management of applications. Nevertheless, it has complicated architecture, which presents distinctive security issues, including pri</w:t>
      </w:r>
      <w:bookmarkStart w:id="0" w:name="_GoBack"/>
      <w:bookmarkEnd w:id="0"/>
      <w:r w:rsidRPr="00AE1E32">
        <w:rPr>
          <w:rFonts w:ascii="Arial" w:hAnsi="Arial" w:cs="Arial"/>
        </w:rPr>
        <w:t>vilege escalation, container escape, and lateral movement, which can compromise the whole cluster in case they are not detected. Containers are ephemeral and the dynamic scheduling of workloads make traditional perimeter-based defense mechanisms ineffective in such environments.</w:t>
      </w:r>
    </w:p>
    <w:p w14:paraId="0E63560C" w14:textId="77777777" w:rsidR="00AE1E32" w:rsidRPr="00AE1E32" w:rsidRDefault="00AE1E32" w:rsidP="004048BE">
      <w:pPr>
        <w:pStyle w:val="Body"/>
        <w:rPr>
          <w:rFonts w:ascii="Arial" w:hAnsi="Arial" w:cs="Arial"/>
        </w:rPr>
      </w:pPr>
      <w:r w:rsidRPr="00AE1E32">
        <w:rPr>
          <w:rFonts w:ascii="Arial" w:hAnsi="Arial" w:cs="Arial"/>
        </w:rPr>
        <w:t>The growing complexity of online attacks [7] on cloud-based systems also highlights the importance of dynamic security systems. Attackers use the multi-tenancy, distributed APIs, and microservice communications in Kubernetes. This means that the conventional tools based on static signature and deterministic rules cannot match the adversarial techniques. The changing environment demands the next generation of security models that are predictive and proactive and able to self-adapt to the evolving circumstances in real-time.</w:t>
      </w:r>
    </w:p>
    <w:p w14:paraId="13E8CA34" w14:textId="77777777" w:rsidR="00AE1E32" w:rsidRPr="00AE1E32" w:rsidRDefault="00AE1E32" w:rsidP="004048BE">
      <w:pPr>
        <w:pStyle w:val="Body"/>
        <w:rPr>
          <w:rFonts w:ascii="Arial" w:hAnsi="Arial" w:cs="Arial"/>
        </w:rPr>
      </w:pPr>
      <w:r w:rsidRPr="00AE1E32">
        <w:rPr>
          <w:rFonts w:ascii="Arial" w:hAnsi="Arial" w:cs="Arial"/>
        </w:rPr>
        <w:t>Artificial intelligence (AI) [8] and machine learning (ML) introduces a paradigm shift to solving these challenges. In contrast to generic defenses, AI-driven models can detect deviations in workload behavior, anticipate an unusual activity prior to its escalation, and implement a dynamic access control. Examples include reinforcement learning which can be used to optimize the decision of a policy and graph neural networks which can identify anomalous inter-service communications. Such flexibility renders AI an essential element to achieve Kubernetes environments where change is a constant factor and speedy.</w:t>
      </w:r>
    </w:p>
    <w:p w14:paraId="64A1D713" w14:textId="77777777" w:rsidR="00AE1E32" w:rsidRPr="00AE1E32" w:rsidRDefault="00AE1E32" w:rsidP="004048BE">
      <w:pPr>
        <w:pStyle w:val="Body"/>
        <w:rPr>
          <w:rFonts w:ascii="Arial" w:hAnsi="Arial" w:cs="Arial"/>
        </w:rPr>
      </w:pPr>
      <w:r w:rsidRPr="00AE1E32">
        <w:rPr>
          <w:rFonts w:ascii="Arial" w:hAnsi="Arial" w:cs="Arial"/>
        </w:rPr>
        <w:t>Besides, regulatory policies [9] like GDPR, HIPAA, and PCI DSS contain high compliance standards in cloud-native configurations, especially in the sensitive markets of healthcare and finance. The impossibility to ensure ongoing monitoring and proactive mitigation puts organizations at risk in terms of legal and economic aspects. Compliance monitoring can be automated with the help of AI-enhanced security that will minimize human error and will provide not only regulatory compliance but also better resistance to zero-day attacks.</w:t>
      </w:r>
    </w:p>
    <w:p w14:paraId="2FC4D7DC" w14:textId="77777777" w:rsidR="00AE1E32" w:rsidRPr="00AE1E32" w:rsidRDefault="00AE1E32" w:rsidP="004048BE">
      <w:pPr>
        <w:pStyle w:val="Body"/>
        <w:rPr>
          <w:rFonts w:ascii="Arial" w:hAnsi="Arial" w:cs="Arial"/>
        </w:rPr>
      </w:pPr>
      <w:r w:rsidRPr="00AE1E32">
        <w:rPr>
          <w:rFonts w:ascii="Arial" w:hAnsi="Arial" w:cs="Arial"/>
        </w:rPr>
        <w:lastRenderedPageBreak/>
        <w:t>The move to self-healing and autonomous systems [10] where anomalies direct automated remediation without human intervention appears to be recent industry trends as well. AI helps to make this transformation by comparing system telemetry, identifying misconfigurations, and taking corrective measures such as pod isolation, container throttling, or workload migration. This minimizes mean-time-to-detect (MTTD) and mean-time-to-respond (MTTR), which improves the overall security posture.</w:t>
      </w:r>
    </w:p>
    <w:p w14:paraId="2D99D23D" w14:textId="77777777" w:rsidR="00B01FCD" w:rsidRDefault="00AE1E32" w:rsidP="004048BE">
      <w:pPr>
        <w:pStyle w:val="Body"/>
        <w:rPr>
          <w:rFonts w:ascii="Arial" w:hAnsi="Arial" w:cs="Arial"/>
        </w:rPr>
      </w:pPr>
      <w:r w:rsidRPr="00AE1E32">
        <w:rPr>
          <w:rFonts w:ascii="Arial" w:hAnsi="Arial" w:cs="Arial"/>
        </w:rPr>
        <w:t>Last but not the least cloud-native environments are quickly expanding to edge computing and multi-cloud ecosystems which further complicate the security perimeter. AI-optimized solutions provide standard security policies to heterogeneous infrastructures as well as resource optimization. Consequently, the implementation of AI to Kubernetes-native security is not a matter of technological innovation but a strategic demand in the provision of scalability, compliance, and resilien</w:t>
      </w:r>
      <w:r>
        <w:rPr>
          <w:rFonts w:ascii="Arial" w:hAnsi="Arial" w:cs="Arial"/>
        </w:rPr>
        <w:t>ce in the real-world deployment</w:t>
      </w:r>
      <w:r w:rsidR="00DC4AEE" w:rsidRPr="00DC4AEE">
        <w:rPr>
          <w:rFonts w:ascii="Arial" w:hAnsi="Arial" w:cs="Arial"/>
        </w:rPr>
        <w:t>.</w:t>
      </w:r>
    </w:p>
    <w:p w14:paraId="0123344C" w14:textId="77777777" w:rsidR="00DC4AEE" w:rsidRDefault="00DC4AEE" w:rsidP="004048BE">
      <w:pPr>
        <w:pStyle w:val="AbstHead"/>
        <w:spacing w:after="0"/>
        <w:jc w:val="both"/>
        <w:rPr>
          <w:rFonts w:ascii="Arial" w:hAnsi="Arial" w:cs="Arial"/>
        </w:rPr>
      </w:pPr>
      <w:r w:rsidRPr="00DC4AEE">
        <w:rPr>
          <w:rFonts w:ascii="Arial" w:hAnsi="Arial" w:cs="Arial"/>
        </w:rPr>
        <w:t xml:space="preserve">2. </w:t>
      </w:r>
      <w:r>
        <w:rPr>
          <w:rFonts w:ascii="Arial" w:hAnsi="Arial" w:cs="Arial"/>
        </w:rPr>
        <w:t xml:space="preserve">LITERATURE Review </w:t>
      </w:r>
    </w:p>
    <w:p w14:paraId="3E99FBAF" w14:textId="77777777" w:rsidR="00DC4AEE" w:rsidRDefault="00DC4AEE" w:rsidP="004048BE">
      <w:pPr>
        <w:pStyle w:val="Body"/>
        <w:spacing w:after="0"/>
        <w:rPr>
          <w:rFonts w:ascii="Arial" w:hAnsi="Arial" w:cs="Arial"/>
        </w:rPr>
      </w:pPr>
    </w:p>
    <w:p w14:paraId="34594BA2" w14:textId="77777777" w:rsidR="00AE1E32" w:rsidRPr="006E7AF2" w:rsidRDefault="00AE1E32" w:rsidP="004048BE">
      <w:pPr>
        <w:pStyle w:val="Style1"/>
        <w:spacing w:line="240" w:lineRule="auto"/>
      </w:pPr>
      <w:r w:rsidRPr="006E7AF2">
        <w:t xml:space="preserve">In </w:t>
      </w:r>
      <w:r>
        <w:t>paper [11],</w:t>
      </w:r>
      <w:r w:rsidRPr="006E7AF2">
        <w:t xml:space="preserve"> cloud-native runtime security expanded significantly and the focus on integrating both kernel-level observability and </w:t>
      </w:r>
      <w:proofErr w:type="spellStart"/>
      <w:r w:rsidRPr="006E7AF2">
        <w:t>behavioral</w:t>
      </w:r>
      <w:proofErr w:type="spellEnd"/>
      <w:r w:rsidRPr="006E7AF2">
        <w:t xml:space="preserve"> detection grew. Technical writeups and projects recorded real world usage patterns of </w:t>
      </w:r>
      <w:proofErr w:type="spellStart"/>
      <w:r w:rsidRPr="006E7AF2">
        <w:t>eBPF</w:t>
      </w:r>
      <w:proofErr w:type="spellEnd"/>
      <w:r w:rsidRPr="006E7AF2">
        <w:t xml:space="preserve"> to track </w:t>
      </w:r>
      <w:proofErr w:type="spellStart"/>
      <w:r w:rsidRPr="006E7AF2">
        <w:t>syscalls</w:t>
      </w:r>
      <w:proofErr w:type="spellEnd"/>
      <w:r w:rsidRPr="006E7AF2">
        <w:t xml:space="preserve"> and network events and annotate them with container metadata to generate more meaningful alerts; these initiatives noted that low overhead and short observation windows were necessary to drive real time responses. A number of these engineering practices were captured in </w:t>
      </w:r>
      <w:proofErr w:type="spellStart"/>
      <w:r w:rsidRPr="006E7AF2">
        <w:t>falco</w:t>
      </w:r>
      <w:proofErr w:type="spellEnd"/>
      <w:r w:rsidRPr="006E7AF2">
        <w:t xml:space="preserve"> and </w:t>
      </w:r>
      <w:proofErr w:type="spellStart"/>
      <w:r w:rsidRPr="006E7AF2">
        <w:t>eBPF</w:t>
      </w:r>
      <w:proofErr w:type="spellEnd"/>
      <w:r w:rsidRPr="006E7AF2">
        <w:t>-focused blogs and tutorials in 2023</w:t>
      </w:r>
      <w:r>
        <w:t>.</w:t>
      </w:r>
    </w:p>
    <w:p w14:paraId="60B749BC" w14:textId="77777777" w:rsidR="00AE1E32" w:rsidRPr="00A64653" w:rsidRDefault="00AE1E32" w:rsidP="004048BE">
      <w:pPr>
        <w:pStyle w:val="Style1"/>
        <w:spacing w:line="240" w:lineRule="auto"/>
      </w:pPr>
      <w:r w:rsidRPr="006E7AF2">
        <w:t xml:space="preserve">Empirical research </w:t>
      </w:r>
      <w:r>
        <w:t xml:space="preserve">[12] </w:t>
      </w:r>
      <w:r w:rsidRPr="006E7AF2">
        <w:t xml:space="preserve">and vendor reports reported that Kubernetes deployments were still known to pose common misconfigurations and exposures, which reinforced the argument in </w:t>
      </w:r>
      <w:proofErr w:type="spellStart"/>
      <w:r w:rsidRPr="006E7AF2">
        <w:t>favor</w:t>
      </w:r>
      <w:proofErr w:type="spellEnd"/>
      <w:r w:rsidRPr="006E7AF2">
        <w:t xml:space="preserve"> of runtime protection along with static hardening. Widespread insecure defaults and image vulnerability across most clusters was quantified using industry scans and security reports, driving the use of automated detection layers capable of adapting to runtime </w:t>
      </w:r>
      <w:proofErr w:type="spellStart"/>
      <w:r w:rsidRPr="006E7AF2">
        <w:t>behavior</w:t>
      </w:r>
      <w:proofErr w:type="spellEnd"/>
      <w:r w:rsidRPr="006E7AF2">
        <w:t xml:space="preserve"> instead of only using static posture checks. Such reports contributed to the </w:t>
      </w:r>
      <w:proofErr w:type="spellStart"/>
      <w:r w:rsidRPr="006E7AF2">
        <w:t>modeling</w:t>
      </w:r>
      <w:proofErr w:type="spellEnd"/>
      <w:r w:rsidRPr="006E7AF2">
        <w:t xml:space="preserve"> of realistic attacker scenarios that are applied to academic and engineering testing. </w:t>
      </w:r>
      <w:r>
        <w:t xml:space="preserve"> </w:t>
      </w:r>
    </w:p>
    <w:p w14:paraId="7294A0DD" w14:textId="77777777" w:rsidR="00AE1E32" w:rsidRPr="006E7AF2" w:rsidRDefault="00AE1E32" w:rsidP="004048BE">
      <w:pPr>
        <w:pStyle w:val="Style1"/>
        <w:spacing w:line="240" w:lineRule="auto"/>
      </w:pPr>
      <w:r w:rsidRPr="006E7AF2">
        <w:t xml:space="preserve">In </w:t>
      </w:r>
      <w:r>
        <w:t>[13]</w:t>
      </w:r>
      <w:r w:rsidRPr="006E7AF2">
        <w:t xml:space="preserve"> research also examined model architectures appropriate to streaming telemetry: ensembles that include unsupervised baselines (to detect zero-days) with sequence models (to detect </w:t>
      </w:r>
      <w:proofErr w:type="spellStart"/>
      <w:r w:rsidRPr="006E7AF2">
        <w:t>syscall</w:t>
      </w:r>
      <w:proofErr w:type="spellEnd"/>
      <w:r w:rsidRPr="006E7AF2">
        <w:t xml:space="preserve"> patterns) and supervised tree-based classifiers (to detect enriched metadata) started to be seen in the literature. The purpose of these hybrid methods was to trade the sensitivity to new attacks with interpretability and low inference cost - an essential property in production deployment in resource-constrained nodes. A number of conference and preprint papers tested such ensembles using emulated attack traces and synthetic workloads</w:t>
      </w:r>
      <w:r>
        <w:t>.</w:t>
      </w:r>
    </w:p>
    <w:p w14:paraId="4AEC29E2" w14:textId="77777777" w:rsidR="00AE1E32" w:rsidRPr="006E7AF2" w:rsidRDefault="00AE1E32" w:rsidP="004048BE">
      <w:pPr>
        <w:pStyle w:val="Style1"/>
        <w:spacing w:line="240" w:lineRule="auto"/>
      </w:pPr>
      <w:r w:rsidRPr="006E7AF2">
        <w:t xml:space="preserve">With the increase in the use of </w:t>
      </w:r>
      <w:proofErr w:type="spellStart"/>
      <w:r w:rsidRPr="006E7AF2">
        <w:t>eBPF</w:t>
      </w:r>
      <w:proofErr w:type="spellEnd"/>
      <w:r>
        <w:t xml:space="preserve"> [14]</w:t>
      </w:r>
      <w:r w:rsidRPr="006E7AF2">
        <w:t>, studies started to examine the empirical overheads and security consequences of in-kernel observability. In 2023-2024, papers and technical reports systematically quantified CPU and memory overheads, presented feature extraction strategies (</w:t>
      </w:r>
      <w:proofErr w:type="spellStart"/>
      <w:r w:rsidRPr="006E7AF2">
        <w:t>syscall</w:t>
      </w:r>
      <w:proofErr w:type="spellEnd"/>
      <w:r w:rsidRPr="006E7AF2">
        <w:t xml:space="preserve"> n-grams, process lineage hashing, socket fingerprints), and suggested mechanisms to ensure a safe offloading of heavier inference to dedicated nodes. The above contributions demonstrated that feature representations can be compact and </w:t>
      </w:r>
      <w:proofErr w:type="spellStart"/>
      <w:r w:rsidRPr="006E7AF2">
        <w:t>eBPF</w:t>
      </w:r>
      <w:proofErr w:type="spellEnd"/>
      <w:r w:rsidRPr="006E7AF2">
        <w:t xml:space="preserve"> probes having carefully engineered </w:t>
      </w:r>
      <w:proofErr w:type="spellStart"/>
      <w:r w:rsidRPr="006E7AF2">
        <w:t>behavior</w:t>
      </w:r>
      <w:proofErr w:type="spellEnd"/>
      <w:r w:rsidRPr="006E7AF2">
        <w:t xml:space="preserve"> can allow near-real-time inference to be performed without imposing unacceptable weight on the host. </w:t>
      </w:r>
      <w:r>
        <w:t xml:space="preserve"> </w:t>
      </w:r>
    </w:p>
    <w:p w14:paraId="610F96A5" w14:textId="77777777" w:rsidR="00AE1E32" w:rsidRPr="00A64653" w:rsidRDefault="00AE1E32" w:rsidP="004048BE">
      <w:pPr>
        <w:pStyle w:val="Style1"/>
        <w:spacing w:line="240" w:lineRule="auto"/>
      </w:pPr>
      <w:r w:rsidRPr="006E7AF2">
        <w:lastRenderedPageBreak/>
        <w:t xml:space="preserve">Between 2024 and 2025 the literature </w:t>
      </w:r>
      <w:r>
        <w:t xml:space="preserve">[15] </w:t>
      </w:r>
      <w:r w:rsidRPr="006E7AF2">
        <w:t xml:space="preserve">shifted to adversarial sensitivity to ML in runtime security: papers </w:t>
      </w:r>
      <w:proofErr w:type="spellStart"/>
      <w:r w:rsidRPr="006E7AF2">
        <w:t>analyzed</w:t>
      </w:r>
      <w:proofErr w:type="spellEnd"/>
      <w:r w:rsidRPr="006E7AF2">
        <w:t xml:space="preserve"> how attackers could bypass sequence detectors or poison training pipelines and develop </w:t>
      </w:r>
      <w:proofErr w:type="spellStart"/>
      <w:r w:rsidRPr="006E7AF2">
        <w:t>defenses</w:t>
      </w:r>
      <w:proofErr w:type="spellEnd"/>
      <w:r w:rsidRPr="006E7AF2">
        <w:t xml:space="preserve"> like continual learning with analyst feedback, federated updates, and threshold refinement policies. This literature underlined model governance (drift detection, audit trails) as a requirement of operational reliability and regulatory conformity in production settings. Vendor and research blog posts in 2024 echoed these governance priorities. </w:t>
      </w:r>
      <w:r>
        <w:t xml:space="preserve"> </w:t>
      </w:r>
    </w:p>
    <w:p w14:paraId="2E132616" w14:textId="77777777" w:rsidR="00AE1E32" w:rsidRPr="006E7AF2" w:rsidRDefault="00AE1E32" w:rsidP="004048BE">
      <w:pPr>
        <w:pStyle w:val="Style1"/>
        <w:spacing w:line="240" w:lineRule="auto"/>
      </w:pPr>
      <w:r>
        <w:t xml:space="preserve">In paper [16], </w:t>
      </w:r>
      <w:r w:rsidRPr="006E7AF2">
        <w:t xml:space="preserve">discussed the combination of detection and automated response and deception. In addition to the issuance of alerts, research prototypes integrated high-confidence detection with coordinated response - updating </w:t>
      </w:r>
      <w:proofErr w:type="spellStart"/>
      <w:r w:rsidRPr="006E7AF2">
        <w:t>NetworkPolicies</w:t>
      </w:r>
      <w:proofErr w:type="spellEnd"/>
      <w:r w:rsidRPr="006E7AF2">
        <w:t>, evicting pods, and deploying decoy services to slow adversaries and gather forensics. It was demonstrated that graduated, policy-driven automation decreased containment time and dwell time, and also emphasized the importance of conservative staging (alert - isolate - evict) to prevent collateral disturbance in multi-tenant clusters. These investigations give road maps to secure automation</w:t>
      </w:r>
      <w:r>
        <w:t xml:space="preserve"> </w:t>
      </w:r>
    </w:p>
    <w:p w14:paraId="2FA8F448" w14:textId="77777777" w:rsidR="00AE1E32" w:rsidRPr="006E7AF2" w:rsidRDefault="00AE1E32" w:rsidP="004048BE">
      <w:pPr>
        <w:pStyle w:val="Style1"/>
        <w:spacing w:line="240" w:lineRule="auto"/>
      </w:pPr>
      <w:r w:rsidRPr="006E7AF2">
        <w:t xml:space="preserve">The need and operational feasibility of AI-assisted runtime security </w:t>
      </w:r>
      <w:r>
        <w:t xml:space="preserve">[17] </w:t>
      </w:r>
      <w:r w:rsidRPr="006E7AF2">
        <w:t xml:space="preserve">were strengthened through large-scale empirical studies and recent 2024-2025 industry reports. Recent surveys and vendor data suggest continuing use of ML features in cloud-security products, and benchmarked studies in 2024-2025 reported that contextual-metadata ensembles invariably outperform rules alone on stealthy multi-step attacks (lateral movement, exfiltration), though they can </w:t>
      </w:r>
      <w:proofErr w:type="gramStart"/>
      <w:r w:rsidRPr="006E7AF2">
        <w:t>exhibited</w:t>
      </w:r>
      <w:proofErr w:type="gramEnd"/>
      <w:r w:rsidRPr="006E7AF2">
        <w:t xml:space="preserve"> slightly higher FPR without attentive tuning. These findings are in great agreement with the experimental findings this paper reports. </w:t>
      </w:r>
      <w:r>
        <w:t xml:space="preserve"> </w:t>
      </w:r>
    </w:p>
    <w:p w14:paraId="7FB04345" w14:textId="77777777" w:rsidR="00AE1E32" w:rsidRPr="00A64653" w:rsidRDefault="00AE1E32" w:rsidP="004048BE">
      <w:pPr>
        <w:pStyle w:val="Style1"/>
        <w:spacing w:line="240" w:lineRule="auto"/>
      </w:pPr>
      <w:r w:rsidRPr="006E7AF2">
        <w:t xml:space="preserve">Lastly, the latest work </w:t>
      </w:r>
      <w:r>
        <w:t xml:space="preserve">[18] </w:t>
      </w:r>
      <w:r w:rsidRPr="006E7AF2">
        <w:t xml:space="preserve">has begun to include the topics of reproducibility and dataset scarcity, releasing emulation toolsets and synthetic trace datasets intended to evaluate runtime detection systems. These community tools, alongside standardized attack models such as Atomic Red Team and MITRE ATT&amp;CK emulations are reducing the cost of similar tests and permit more effective testing of detection coverage, false positives, and containment effectiveness across systems and infrastructures. This tendency renders it more convenient to authenticate AI-enhanced </w:t>
      </w:r>
      <w:proofErr w:type="spellStart"/>
      <w:r w:rsidRPr="006E7AF2">
        <w:t>defenses</w:t>
      </w:r>
      <w:proofErr w:type="spellEnd"/>
      <w:r w:rsidRPr="006E7AF2">
        <w:t xml:space="preserve"> in res</w:t>
      </w:r>
      <w:r>
        <w:t xml:space="preserve">tricted, </w:t>
      </w:r>
      <w:proofErr w:type="spellStart"/>
      <w:r>
        <w:t>reproduciable</w:t>
      </w:r>
      <w:proofErr w:type="spellEnd"/>
      <w:r>
        <w:t xml:space="preserve"> contexts.</w:t>
      </w:r>
    </w:p>
    <w:p w14:paraId="2811BB75" w14:textId="77777777" w:rsidR="00AE1E32" w:rsidRPr="006E7AF2" w:rsidRDefault="00AE1E32" w:rsidP="004048BE">
      <w:pPr>
        <w:pStyle w:val="Style1"/>
        <w:spacing w:line="240" w:lineRule="auto"/>
      </w:pPr>
      <w:r w:rsidRPr="006E7AF2">
        <w:t xml:space="preserve">The past few years saw the researchers concentrate on federated learning </w:t>
      </w:r>
      <w:r>
        <w:t xml:space="preserve">[19] </w:t>
      </w:r>
      <w:r w:rsidRPr="006E7AF2">
        <w:t>of distributed security in Kubernetes clusters. In federated models, the nodes are able to collaboratively train the intrusion detection systems without the centralization of sensitive telemetry data. In 2023, it was shown that federated anomaly detection has a high accuracy of 90 percent or more, and can maintain data locality, solving privacy and scalability challenges in m</w:t>
      </w:r>
      <w:r>
        <w:t xml:space="preserve">ulti-tenant Kubernetes settings. </w:t>
      </w:r>
      <w:r w:rsidRPr="006E7AF2">
        <w:t>The trend emphasizes the intersection between AI and privacy-conserving computation in cloud-native ecosystems.</w:t>
      </w:r>
    </w:p>
    <w:p w14:paraId="4B51480D" w14:textId="77777777" w:rsidR="00AE1E32" w:rsidRPr="006E7AF2" w:rsidRDefault="00AE1E32" w:rsidP="004048BE">
      <w:pPr>
        <w:pStyle w:val="Style1"/>
        <w:spacing w:line="240" w:lineRule="auto"/>
      </w:pPr>
      <w:r w:rsidRPr="006E7AF2">
        <w:t xml:space="preserve">The other notable </w:t>
      </w:r>
      <w:r>
        <w:t xml:space="preserve">work [20] </w:t>
      </w:r>
      <w:r w:rsidRPr="006E7AF2">
        <w:t xml:space="preserve">is the inclusion of reinforcement learning into the adaptive policy enforcement. As an example, reinforcement learning agents have been used to dynamically access control and pod scheduling, enabling the system to keep on optimizing security rules as it observes </w:t>
      </w:r>
      <w:proofErr w:type="spellStart"/>
      <w:r w:rsidRPr="006E7AF2">
        <w:t>behaviors</w:t>
      </w:r>
      <w:proofErr w:type="spellEnd"/>
      <w:r w:rsidRPr="006E7AF2">
        <w:t>. In 2024, it was found that reinforcement learning minimizes the number of false positives in Kubernetes based IDS/IPS and dynamically a</w:t>
      </w:r>
      <w:r>
        <w:t xml:space="preserve">djusts the detection threshold. </w:t>
      </w:r>
      <w:r w:rsidRPr="006E7AF2">
        <w:t>This flexibility is especially applicable to zero-trust designs.</w:t>
      </w:r>
    </w:p>
    <w:p w14:paraId="0845FEAE" w14:textId="77777777" w:rsidR="00AE1E32" w:rsidRPr="006E7AF2" w:rsidRDefault="00AE1E32" w:rsidP="004048BE">
      <w:pPr>
        <w:pStyle w:val="Style1"/>
        <w:spacing w:line="240" w:lineRule="auto"/>
      </w:pPr>
      <w:r w:rsidRPr="006E7AF2">
        <w:t xml:space="preserve">Graph neural networks (GNNs) </w:t>
      </w:r>
      <w:r>
        <w:t xml:space="preserve">[21] </w:t>
      </w:r>
      <w:r w:rsidRPr="006E7AF2">
        <w:t xml:space="preserve">are also on the rise with regard to workload communication security. Kubernetes workloads typically interact with each other via sophisticated service meshes and traditional linear models do not work effectively in identifying attack paths that are in the shadows. According to 2023 information, GNN-based </w:t>
      </w:r>
      <w:r w:rsidRPr="006E7AF2">
        <w:lastRenderedPageBreak/>
        <w:t>intrusion detection models have exceeded 95 percent in the detection of lateral movement by reviewing the</w:t>
      </w:r>
      <w:r>
        <w:t xml:space="preserve"> inter-service graph structures.</w:t>
      </w:r>
      <w:r w:rsidRPr="006E7AF2">
        <w:t xml:space="preserve"> These results indicate that the use of graph-based learning is essential in detecting relational anomalies in distributed microservice settings.</w:t>
      </w:r>
    </w:p>
    <w:p w14:paraId="00481888" w14:textId="77777777" w:rsidR="00AE1E32" w:rsidRDefault="00AE1E32" w:rsidP="004048BE">
      <w:pPr>
        <w:pStyle w:val="Style1"/>
        <w:spacing w:line="240" w:lineRule="auto"/>
      </w:pPr>
      <w:r w:rsidRPr="006E7AF2">
        <w:t xml:space="preserve">Cloud-native security </w:t>
      </w:r>
      <w:r>
        <w:t xml:space="preserve">[22] </w:t>
      </w:r>
      <w:r w:rsidRPr="006E7AF2">
        <w:t>literature has focused on explainable AI (XAI) as well. Even though AI has exceptionally good detection features, its black-box characteristics raise issues of trust and responsibility. In 2024, interpretable anomaly detection systems were proposed, which offer justifications in the form of human readable explanations in response to an alert. These explainable systems enhanced the level of administrator trust by 40 percent over opaque AI models, and security decisions made more actionable in Kubernetes settings.</w:t>
      </w:r>
    </w:p>
    <w:p w14:paraId="68E1B92C" w14:textId="77777777" w:rsidR="00AE1E32" w:rsidRPr="005448DD" w:rsidRDefault="00AE1E32" w:rsidP="004048BE">
      <w:pPr>
        <w:pStyle w:val="Style1"/>
        <w:spacing w:line="240" w:lineRule="auto"/>
      </w:pPr>
      <w:r w:rsidRPr="005448DD">
        <w:t xml:space="preserve">The recent research also indicates the significance of AI in Kubernetes security </w:t>
      </w:r>
      <w:r>
        <w:t xml:space="preserve">[23] </w:t>
      </w:r>
      <w:r w:rsidRPr="005448DD">
        <w:t>that is energy efficient. With clusters usually being operated at scale, models with high resource demand may cause system performance to suffer. In 2025, an AI-based intrusion detector was created that could be implemented lightweight (cutting CPU load by 35 percent) and still offe</w:t>
      </w:r>
      <w:r>
        <w:t xml:space="preserve">red competitive detection rates. </w:t>
      </w:r>
      <w:r w:rsidRPr="005448DD">
        <w:t>These advancements reflect the need to balance performance and efficiency in security monitoring in real-time.</w:t>
      </w:r>
    </w:p>
    <w:p w14:paraId="3689CDCA" w14:textId="59DDCAE0" w:rsidR="00AE1E32" w:rsidRPr="005448DD" w:rsidRDefault="00AE1E32" w:rsidP="004048BE">
      <w:pPr>
        <w:pStyle w:val="Style1"/>
        <w:spacing w:line="240" w:lineRule="auto"/>
      </w:pPr>
      <w:r w:rsidRPr="005448DD">
        <w:t>Multi-cloud and hybrid Kubernetes</w:t>
      </w:r>
      <w:r>
        <w:t xml:space="preserve"> </w:t>
      </w:r>
      <w:r w:rsidRPr="005448DD">
        <w:t>security has been studied in another stream of research. As organizations roll out workloads to many providers, it is hard to assure the same level of detection of heterogeneous settings. In 2023, AI-based federated IDS models trained on the AWS, Azure and GCP Kubernetes clusters demonstrated strong generalizability and performed bett</w:t>
      </w:r>
      <w:r>
        <w:t xml:space="preserve">er than provider-specific tools. </w:t>
      </w:r>
      <w:r w:rsidRPr="005448DD">
        <w:t>This progress guarantees standardized policy implementation and anomaly detection on a variety of platforms.</w:t>
      </w:r>
    </w:p>
    <w:p w14:paraId="5FA88976" w14:textId="77777777" w:rsidR="00790ADA" w:rsidRPr="00FB3A86" w:rsidRDefault="00AE1E32" w:rsidP="004048BE">
      <w:pPr>
        <w:pStyle w:val="Body"/>
        <w:rPr>
          <w:rFonts w:ascii="Arial" w:hAnsi="Arial" w:cs="Arial"/>
        </w:rPr>
      </w:pPr>
      <w:r w:rsidRPr="005448DD">
        <w:t xml:space="preserve">Lastly, self-healing architectures are recommended as the future of Kubernetes security </w:t>
      </w:r>
      <w:r>
        <w:t xml:space="preserve">[25] </w:t>
      </w:r>
      <w:r w:rsidRPr="005448DD">
        <w:t>by the literature. In 2025, researchers suggested AI-based frameworks in which anomalies would be used to provide automated responses, e.g. container quarantine and workload rescheduling, without the need of manual intervention. These systems showed a reduction of response time by half and reduced sig</w:t>
      </w:r>
      <w:r>
        <w:t xml:space="preserve">nificantly the cost of recovery. </w:t>
      </w:r>
      <w:r w:rsidRPr="005448DD">
        <w:t>These forms of self-healing security are the future of autonomous, resilient, and scalable cloud-native security.</w:t>
      </w:r>
    </w:p>
    <w:p w14:paraId="5FAE4DDB" w14:textId="77777777" w:rsidR="007F7B32" w:rsidRDefault="00DC4AEE" w:rsidP="004048BE">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Pr="00DC4AEE">
        <w:rPr>
          <w:rFonts w:ascii="Arial" w:hAnsi="Arial" w:cs="Arial"/>
        </w:rPr>
        <w:t xml:space="preserve">Methodology </w:t>
      </w:r>
      <w:r>
        <w:rPr>
          <w:rFonts w:ascii="Arial" w:hAnsi="Arial" w:cs="Arial"/>
        </w:rPr>
        <w:t xml:space="preserve"> </w:t>
      </w:r>
    </w:p>
    <w:p w14:paraId="3CEDAA2B" w14:textId="77777777" w:rsidR="00790ADA" w:rsidRPr="00FB3A86" w:rsidRDefault="00790ADA" w:rsidP="004048BE">
      <w:pPr>
        <w:pStyle w:val="AbstHead"/>
        <w:spacing w:after="0"/>
        <w:jc w:val="both"/>
        <w:rPr>
          <w:rFonts w:ascii="Arial" w:hAnsi="Arial" w:cs="Arial"/>
        </w:rPr>
      </w:pPr>
    </w:p>
    <w:p w14:paraId="04A604C6" w14:textId="77777777" w:rsidR="00AE1E32" w:rsidRPr="001A0AC2" w:rsidRDefault="00AE1E32" w:rsidP="004048BE">
      <w:pPr>
        <w:spacing w:before="100" w:beforeAutospacing="1" w:after="100" w:afterAutospacing="1"/>
        <w:jc w:val="both"/>
        <w:outlineLvl w:val="1"/>
        <w:rPr>
          <w:rFonts w:ascii="Arial" w:hAnsi="Arial" w:cs="Arial"/>
          <w:lang w:eastAsia="en-IN"/>
        </w:rPr>
      </w:pPr>
      <w:r w:rsidRPr="001A0AC2">
        <w:rPr>
          <w:rFonts w:ascii="Arial" w:hAnsi="Arial" w:cs="Arial"/>
        </w:rPr>
        <w:t>Figure 1 shows the block diagram of proposed model for AI-enhanced cloud-native security for threat detection in real-</w:t>
      </w:r>
      <w:r w:rsidRPr="001A0AC2">
        <w:rPr>
          <w:rStyle w:val="Style1Char"/>
          <w:rFonts w:eastAsiaTheme="minorHAnsi"/>
        </w:rPr>
        <w:t xml:space="preserve">time </w:t>
      </w:r>
      <w:proofErr w:type="spellStart"/>
      <w:r w:rsidRPr="001A0AC2">
        <w:rPr>
          <w:rStyle w:val="Style1Char"/>
          <w:rFonts w:eastAsiaTheme="minorHAnsi"/>
        </w:rPr>
        <w:t>kubernetes</w:t>
      </w:r>
      <w:proofErr w:type="spellEnd"/>
      <w:r w:rsidRPr="001A0AC2">
        <w:rPr>
          <w:rStyle w:val="Style1Char"/>
          <w:rFonts w:eastAsiaTheme="minorHAnsi"/>
        </w:rPr>
        <w:t xml:space="preserve"> environments. It consists of various modules such as Telemetry &amp; Capture module, Feature Enrichment &amp; Streaming module, Real-time Inference module, Response Orchestrator module, etc these are explained as follows.</w:t>
      </w:r>
    </w:p>
    <w:p w14:paraId="7011C88A" w14:textId="77777777" w:rsidR="00AE1E32" w:rsidRPr="00AE1E32" w:rsidRDefault="00AE1E32" w:rsidP="004048BE">
      <w:pPr>
        <w:pStyle w:val="Body"/>
        <w:rPr>
          <w:rFonts w:ascii="Arial" w:hAnsi="Arial" w:cs="Arial"/>
          <w:b/>
          <w:sz w:val="22"/>
        </w:rPr>
      </w:pPr>
      <w:r w:rsidRPr="00AE1E32">
        <w:rPr>
          <w:rFonts w:ascii="Arial" w:hAnsi="Arial" w:cs="Arial"/>
          <w:b/>
          <w:sz w:val="22"/>
        </w:rPr>
        <w:t>3.1. Telemetry &amp; Capture</w:t>
      </w:r>
    </w:p>
    <w:p w14:paraId="75474134" w14:textId="77777777" w:rsidR="00AE1E32" w:rsidRPr="00AE1E32" w:rsidRDefault="00AE1E32" w:rsidP="004048BE">
      <w:pPr>
        <w:spacing w:before="100" w:beforeAutospacing="1" w:after="100" w:afterAutospacing="1"/>
        <w:jc w:val="both"/>
        <w:outlineLvl w:val="1"/>
        <w:rPr>
          <w:rStyle w:val="Style1Char"/>
          <w:rFonts w:eastAsiaTheme="minorHAnsi"/>
        </w:rPr>
      </w:pPr>
      <w:proofErr w:type="spellStart"/>
      <w:r w:rsidRPr="00AE1E32">
        <w:rPr>
          <w:rStyle w:val="Style1Char"/>
          <w:rFonts w:eastAsiaTheme="minorHAnsi"/>
        </w:rPr>
        <w:t>KubeGuard</w:t>
      </w:r>
      <w:proofErr w:type="spellEnd"/>
      <w:r w:rsidRPr="00AE1E32">
        <w:rPr>
          <w:rStyle w:val="Style1Char"/>
          <w:rFonts w:eastAsiaTheme="minorHAnsi"/>
        </w:rPr>
        <w:t xml:space="preserve">-AI is based on the Telemetry &amp; Capture layer, that gathers raw security-signals based on the Kubernetes runtime and the underlying operating system. This layer captures events that happen on the kernel level, e.g. system calls, process creation, file access and network socket activity, using </w:t>
      </w:r>
      <w:proofErr w:type="spellStart"/>
      <w:r w:rsidRPr="00AE1E32">
        <w:rPr>
          <w:rStyle w:val="Style1Char"/>
          <w:rFonts w:eastAsiaTheme="minorHAnsi"/>
        </w:rPr>
        <w:t>eBPF</w:t>
      </w:r>
      <w:proofErr w:type="spellEnd"/>
      <w:r w:rsidRPr="00AE1E32">
        <w:rPr>
          <w:rStyle w:val="Style1Char"/>
          <w:rFonts w:eastAsiaTheme="minorHAnsi"/>
        </w:rPr>
        <w:t xml:space="preserve"> probes with a very low overhead, because they run inside the Linux kernel itself, so they can be viewed in real-time without impairing node performance. This kernel telemetry is a critical aspect in the detection of stealthy attacks that could not show obvious traces at the Kubernetes control plane.</w:t>
      </w:r>
    </w:p>
    <w:p w14:paraId="499D5775" w14:textId="77777777" w:rsidR="00AE1E32" w:rsidRPr="001A0AC2" w:rsidRDefault="00AE1E32" w:rsidP="004048BE">
      <w:pPr>
        <w:pStyle w:val="Style1"/>
        <w:spacing w:line="240" w:lineRule="auto"/>
        <w:jc w:val="center"/>
      </w:pPr>
      <w:r w:rsidRPr="001A0AC2">
        <w:rPr>
          <w:noProof/>
        </w:rPr>
        <w:lastRenderedPageBreak/>
        <w:drawing>
          <wp:inline distT="0" distB="0" distL="0" distR="0" wp14:anchorId="54BBAD00" wp14:editId="3EE8C4D2">
            <wp:extent cx="4339526" cy="2521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5019" cy="2524442"/>
                    </a:xfrm>
                    <a:prstGeom prst="rect">
                      <a:avLst/>
                    </a:prstGeom>
                    <a:noFill/>
                    <a:ln>
                      <a:noFill/>
                    </a:ln>
                  </pic:spPr>
                </pic:pic>
              </a:graphicData>
            </a:graphic>
          </wp:inline>
        </w:drawing>
      </w:r>
    </w:p>
    <w:p w14:paraId="34310F2D" w14:textId="77777777" w:rsidR="00AE1E32" w:rsidRPr="00AE1E32" w:rsidRDefault="00AE1E32" w:rsidP="004048BE">
      <w:pPr>
        <w:pStyle w:val="Body"/>
        <w:jc w:val="center"/>
        <w:rPr>
          <w:rFonts w:ascii="Arial" w:hAnsi="Arial" w:cs="Arial"/>
          <w:b/>
          <w:bCs/>
          <w:szCs w:val="22"/>
        </w:rPr>
      </w:pPr>
      <w:r>
        <w:rPr>
          <w:rFonts w:ascii="Arial" w:hAnsi="Arial" w:cs="Arial"/>
          <w:b/>
          <w:bCs/>
          <w:szCs w:val="22"/>
        </w:rPr>
        <w:t>Fig.</w:t>
      </w:r>
      <w:r w:rsidRPr="00AE1E32">
        <w:rPr>
          <w:rFonts w:ascii="Arial" w:hAnsi="Arial" w:cs="Arial"/>
          <w:b/>
          <w:bCs/>
          <w:szCs w:val="22"/>
        </w:rPr>
        <w:t xml:space="preserve"> 1. Block diagram of proposed model for AI-enhanced cloud-native security for threat detection in real-time </w:t>
      </w:r>
      <w:proofErr w:type="spellStart"/>
      <w:r w:rsidRPr="00AE1E32">
        <w:rPr>
          <w:rFonts w:ascii="Arial" w:hAnsi="Arial" w:cs="Arial"/>
          <w:b/>
          <w:bCs/>
          <w:szCs w:val="22"/>
        </w:rPr>
        <w:t>kubernetes</w:t>
      </w:r>
      <w:proofErr w:type="spellEnd"/>
      <w:r w:rsidRPr="00AE1E32">
        <w:rPr>
          <w:rFonts w:ascii="Arial" w:hAnsi="Arial" w:cs="Arial"/>
          <w:b/>
          <w:bCs/>
          <w:szCs w:val="22"/>
        </w:rPr>
        <w:t xml:space="preserve"> environments</w:t>
      </w:r>
    </w:p>
    <w:p w14:paraId="59200BDC"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In addition to </w:t>
      </w:r>
      <w:proofErr w:type="spellStart"/>
      <w:r w:rsidRPr="00AE1E32">
        <w:rPr>
          <w:rStyle w:val="Style1Char"/>
          <w:rFonts w:eastAsiaTheme="minorHAnsi"/>
        </w:rPr>
        <w:t>eBPF</w:t>
      </w:r>
      <w:proofErr w:type="spellEnd"/>
      <w:r w:rsidRPr="00AE1E32">
        <w:rPr>
          <w:rStyle w:val="Style1Char"/>
          <w:rFonts w:eastAsiaTheme="minorHAnsi"/>
        </w:rPr>
        <w:t xml:space="preserve"> probes, the system gathers container and Kubernetes-specific-events, such as changes in the lifecycle of pods, API-requests, and service-accounts. Such contextual indications complement the data provided by the telemetry, and it is now possible to trace the low-level process or network </w:t>
      </w:r>
      <w:proofErr w:type="spellStart"/>
      <w:r w:rsidRPr="00AE1E32">
        <w:rPr>
          <w:rStyle w:val="Style1Char"/>
          <w:rFonts w:eastAsiaTheme="minorHAnsi"/>
        </w:rPr>
        <w:t>behavior</w:t>
      </w:r>
      <w:proofErr w:type="spellEnd"/>
      <w:r w:rsidRPr="00AE1E32">
        <w:rPr>
          <w:rStyle w:val="Style1Char"/>
          <w:rFonts w:eastAsiaTheme="minorHAnsi"/>
        </w:rPr>
        <w:t xml:space="preserve"> to the high-level workloads, namespaces or applications. As an illustration, a suspicious outward connection may be tied directly to a particular container, pod, or namespace, significantly increasing forensic precision and effective response.</w:t>
      </w:r>
    </w:p>
    <w:p w14:paraId="3D73E0F2"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This module combines kernel and Kubernetes telemetry to create a full and high-</w:t>
      </w:r>
      <w:proofErr w:type="spellStart"/>
      <w:r w:rsidRPr="00AE1E32">
        <w:rPr>
          <w:rStyle w:val="Style1Char"/>
          <w:rFonts w:eastAsiaTheme="minorHAnsi"/>
        </w:rPr>
        <w:t>fidel</w:t>
      </w:r>
      <w:proofErr w:type="spellEnd"/>
      <w:r w:rsidRPr="00AE1E32">
        <w:rPr>
          <w:rStyle w:val="Style1Char"/>
          <w:rFonts w:eastAsiaTheme="minorHAnsi"/>
        </w:rPr>
        <w:t xml:space="preserve"> event stream. It is able to overcome the weaknesses of rules-only-based surveillance that can often lack context and gives the raw data to use in more advanced machine learning models to detect unusual trends. Basically, this module constitutes the observation layer making it fully visible throughout the host and containerized workloads.</w:t>
      </w:r>
    </w:p>
    <w:p w14:paraId="21897E94" w14:textId="77777777" w:rsidR="00AE1E32" w:rsidRPr="00AE1E32" w:rsidRDefault="00AE1E32" w:rsidP="004048BE">
      <w:pPr>
        <w:pStyle w:val="Body"/>
        <w:rPr>
          <w:rFonts w:ascii="Arial" w:hAnsi="Arial" w:cs="Arial"/>
          <w:b/>
          <w:sz w:val="22"/>
        </w:rPr>
      </w:pPr>
      <w:r w:rsidRPr="00AE1E32">
        <w:rPr>
          <w:rFonts w:ascii="Arial" w:hAnsi="Arial" w:cs="Arial"/>
          <w:b/>
          <w:sz w:val="22"/>
        </w:rPr>
        <w:t>3.2. Feature Enrichment &amp; Streaming</w:t>
      </w:r>
    </w:p>
    <w:p w14:paraId="32C9C55D"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After raw telemetry is received, it is converted into structured, meaningful features that are used in real-time analysis, by the Feature Enrichment and Streaming layer. This includes extraction of features on </w:t>
      </w:r>
      <w:proofErr w:type="spellStart"/>
      <w:r w:rsidRPr="00AE1E32">
        <w:rPr>
          <w:rStyle w:val="Style1Char"/>
          <w:rFonts w:eastAsiaTheme="minorHAnsi"/>
        </w:rPr>
        <w:t>syscall</w:t>
      </w:r>
      <w:proofErr w:type="spellEnd"/>
      <w:r w:rsidRPr="00AE1E32">
        <w:rPr>
          <w:rStyle w:val="Style1Char"/>
          <w:rFonts w:eastAsiaTheme="minorHAnsi"/>
        </w:rPr>
        <w:t xml:space="preserve"> traces, process hierarchies and network flows. Temporal aggregations like </w:t>
      </w:r>
      <w:proofErr w:type="spellStart"/>
      <w:r w:rsidRPr="00AE1E32">
        <w:rPr>
          <w:rStyle w:val="Style1Char"/>
          <w:rFonts w:eastAsiaTheme="minorHAnsi"/>
        </w:rPr>
        <w:t>syscall</w:t>
      </w:r>
      <w:proofErr w:type="spellEnd"/>
      <w:r w:rsidRPr="00AE1E32">
        <w:rPr>
          <w:rStyle w:val="Style1Char"/>
          <w:rFonts w:eastAsiaTheme="minorHAnsi"/>
        </w:rPr>
        <w:t xml:space="preserve"> frequency distributions, resource utilization bursts, sequence windows are computed to reflect </w:t>
      </w:r>
      <w:proofErr w:type="spellStart"/>
      <w:r w:rsidRPr="00AE1E32">
        <w:rPr>
          <w:rStyle w:val="Style1Char"/>
          <w:rFonts w:eastAsiaTheme="minorHAnsi"/>
        </w:rPr>
        <w:t>behavior</w:t>
      </w:r>
      <w:proofErr w:type="spellEnd"/>
      <w:r w:rsidRPr="00AE1E32">
        <w:rPr>
          <w:rStyle w:val="Style1Char"/>
          <w:rFonts w:eastAsiaTheme="minorHAnsi"/>
        </w:rPr>
        <w:t xml:space="preserve"> pattern of workloads. Such changes are fundamental to decode the noisy raw signals into machine readable formats.</w:t>
      </w:r>
    </w:p>
    <w:p w14:paraId="01A55336"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Also, Kubernetes context enrichment is incorporated in this layer. Metadata is attached to each telemetry event, including pod name, namespace, labels, image origin, and service account assigned. This contextual binding gives the assurance that anomalies may be interpreted not only as generic behaviours, but in the environments of particular applications and services. To illustrate this an abrupt file system access can be a normal situation in a logging pod but a very suspicious situation in a network proxy pod. Contextual enrichment minimizes false positives and simplifies the detection to actionable.</w:t>
      </w:r>
    </w:p>
    <w:p w14:paraId="3E75EA9A"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lastRenderedPageBreak/>
        <w:t xml:space="preserve">Lastly, the enriched data is fed via a distributed message bus (e.g., Kafka), and the scaling can be performed to large Kubernetes clusters. The design uses streams of data at real-time and allows detection to run in parallel on several inference engines. Streaming provides resilience as well: data can be buffered and re-read in case of temporary inference failures. In this way, the module acts as the </w:t>
      </w:r>
      <w:proofErr w:type="spellStart"/>
      <w:r w:rsidRPr="00AE1E32">
        <w:rPr>
          <w:rStyle w:val="Style1Char"/>
          <w:rFonts w:eastAsiaTheme="minorHAnsi"/>
        </w:rPr>
        <w:t>preprocessing</w:t>
      </w:r>
      <w:proofErr w:type="spellEnd"/>
      <w:r w:rsidRPr="00AE1E32">
        <w:rPr>
          <w:rStyle w:val="Style1Char"/>
          <w:rFonts w:eastAsiaTheme="minorHAnsi"/>
        </w:rPr>
        <w:t xml:space="preserve"> and delivery backbone of the detection pipeline, allowing machine learning in real time at scale.</w:t>
      </w:r>
    </w:p>
    <w:p w14:paraId="4CB5E153" w14:textId="77777777" w:rsidR="00AE1E32" w:rsidRPr="00AE1E32" w:rsidRDefault="00AE1E32" w:rsidP="004048BE">
      <w:pPr>
        <w:pStyle w:val="Body"/>
        <w:rPr>
          <w:rFonts w:ascii="Arial" w:hAnsi="Arial" w:cs="Arial"/>
          <w:b/>
          <w:sz w:val="22"/>
        </w:rPr>
      </w:pPr>
      <w:r w:rsidRPr="00AE1E32">
        <w:rPr>
          <w:rFonts w:ascii="Arial" w:hAnsi="Arial" w:cs="Arial"/>
          <w:b/>
          <w:sz w:val="22"/>
        </w:rPr>
        <w:t>3.3. Real-time Inference</w:t>
      </w:r>
    </w:p>
    <w:p w14:paraId="7892081D" w14:textId="77777777" w:rsidR="00AE1E32" w:rsidRPr="00AE1E32" w:rsidRDefault="00AE1E32" w:rsidP="004048BE">
      <w:pPr>
        <w:spacing w:before="100" w:beforeAutospacing="1" w:after="100" w:afterAutospacing="1"/>
        <w:jc w:val="both"/>
        <w:outlineLvl w:val="1"/>
        <w:rPr>
          <w:rStyle w:val="Style1Char"/>
          <w:rFonts w:eastAsiaTheme="minorHAnsi"/>
        </w:rPr>
      </w:pPr>
      <w:proofErr w:type="spellStart"/>
      <w:r w:rsidRPr="00AE1E32">
        <w:rPr>
          <w:rStyle w:val="Style1Char"/>
          <w:rFonts w:eastAsiaTheme="minorHAnsi"/>
        </w:rPr>
        <w:t>KubeGuard</w:t>
      </w:r>
      <w:proofErr w:type="spellEnd"/>
      <w:r w:rsidRPr="00AE1E32">
        <w:rPr>
          <w:rStyle w:val="Style1Char"/>
          <w:rFonts w:eastAsiaTheme="minorHAnsi"/>
        </w:rPr>
        <w:t xml:space="preserve">-AI has the Real-time Inference module, which is the intelligence core. To identify threats in streaming Kubernetes telemetry, it uses a collection of machine learning models. The former is an unsupervised anomaly detector (e.g. Isolation Forest or Autoencoder) that creates baselines of ordinary workload </w:t>
      </w:r>
      <w:proofErr w:type="spellStart"/>
      <w:r w:rsidRPr="00AE1E32">
        <w:rPr>
          <w:rStyle w:val="Style1Char"/>
          <w:rFonts w:eastAsiaTheme="minorHAnsi"/>
        </w:rPr>
        <w:t>behavior</w:t>
      </w:r>
      <w:proofErr w:type="spellEnd"/>
      <w:r w:rsidRPr="00AE1E32">
        <w:rPr>
          <w:rStyle w:val="Style1Char"/>
          <w:rFonts w:eastAsiaTheme="minorHAnsi"/>
        </w:rPr>
        <w:t xml:space="preserve"> and indicates deviations that can be viewed as threats. This is guaranteed cover against hitherto unknown or zero-day attack methods that would circumvent fixed rules.</w:t>
      </w:r>
    </w:p>
    <w:p w14:paraId="154E2E02"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An anomaly detector can be complemented with a sequence-aware classifier (e.g., LSTM or lightweight CNN), that takes </w:t>
      </w:r>
      <w:proofErr w:type="spellStart"/>
      <w:r w:rsidRPr="00AE1E32">
        <w:rPr>
          <w:rStyle w:val="Style1Char"/>
          <w:rFonts w:eastAsiaTheme="minorHAnsi"/>
        </w:rPr>
        <w:t>syscall</w:t>
      </w:r>
      <w:proofErr w:type="spellEnd"/>
      <w:r w:rsidRPr="00AE1E32">
        <w:rPr>
          <w:rStyle w:val="Style1Char"/>
          <w:rFonts w:eastAsiaTheme="minorHAnsi"/>
        </w:rPr>
        <w:t xml:space="preserve"> and event sequences as input to detect patterns indicating a specific attack, such as privilege escalation or lateral movement. The sequence models specifically excel in capturing temporal correlations which may not be detected by an individual feature, such as a sequence of </w:t>
      </w:r>
      <w:proofErr w:type="spellStart"/>
      <w:r w:rsidRPr="00AE1E32">
        <w:rPr>
          <w:rStyle w:val="Style1Char"/>
          <w:rFonts w:eastAsiaTheme="minorHAnsi"/>
        </w:rPr>
        <w:t>syscalls</w:t>
      </w:r>
      <w:proofErr w:type="spellEnd"/>
      <w:r w:rsidRPr="00AE1E32">
        <w:rPr>
          <w:rStyle w:val="Style1Char"/>
          <w:rFonts w:eastAsiaTheme="minorHAnsi"/>
        </w:rPr>
        <w:t xml:space="preserve"> to indicate a container escape attempt. These models boost the sensitivity of the system to attacks in multiple stages.</w:t>
      </w:r>
    </w:p>
    <w:p w14:paraId="7347C4BC"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ensemble also contains a tree-based classifier (e.g., </w:t>
      </w:r>
      <w:proofErr w:type="spellStart"/>
      <w:r w:rsidRPr="00AE1E32">
        <w:rPr>
          <w:rStyle w:val="Style1Char"/>
          <w:rFonts w:eastAsiaTheme="minorHAnsi"/>
        </w:rPr>
        <w:t>XGBoost</w:t>
      </w:r>
      <w:proofErr w:type="spellEnd"/>
      <w:r w:rsidRPr="00AE1E32">
        <w:rPr>
          <w:rStyle w:val="Style1Char"/>
          <w:rFonts w:eastAsiaTheme="minorHAnsi"/>
        </w:rPr>
        <w:t xml:space="preserve">, </w:t>
      </w:r>
      <w:proofErr w:type="spellStart"/>
      <w:r w:rsidRPr="00AE1E32">
        <w:rPr>
          <w:rStyle w:val="Style1Char"/>
          <w:rFonts w:eastAsiaTheme="minorHAnsi"/>
        </w:rPr>
        <w:t>LightGBM</w:t>
      </w:r>
      <w:proofErr w:type="spellEnd"/>
      <w:r w:rsidRPr="00AE1E32">
        <w:rPr>
          <w:rStyle w:val="Style1Char"/>
          <w:rFonts w:eastAsiaTheme="minorHAnsi"/>
        </w:rPr>
        <w:t xml:space="preserve">) being trained on enriched features containing Kubernetes metadata. This classifier offers interpretable, structured predictions and computes well on tabular features such as pod identity, image source and aggregate </w:t>
      </w:r>
      <w:proofErr w:type="spellStart"/>
      <w:r w:rsidRPr="00AE1E32">
        <w:rPr>
          <w:rStyle w:val="Style1Char"/>
          <w:rFonts w:eastAsiaTheme="minorHAnsi"/>
        </w:rPr>
        <w:t>syscall</w:t>
      </w:r>
      <w:proofErr w:type="spellEnd"/>
      <w:r w:rsidRPr="00AE1E32">
        <w:rPr>
          <w:rStyle w:val="Style1Char"/>
          <w:rFonts w:eastAsiaTheme="minorHAnsi"/>
        </w:rPr>
        <w:t xml:space="preserve"> metrics. In combination, these three models vote/aggregate scores to provide a high-confidence detection decision and trade-off between anomaly sensitivity and classification accuracy. This stacked ensemble does very well against rules-only baselines in terms of accuracy and recall.</w:t>
      </w:r>
    </w:p>
    <w:p w14:paraId="2353617A" w14:textId="77777777" w:rsidR="00AE1E32" w:rsidRPr="00AE1E32" w:rsidRDefault="00AE1E32" w:rsidP="004048BE">
      <w:pPr>
        <w:pStyle w:val="Body"/>
        <w:rPr>
          <w:rFonts w:ascii="Arial" w:hAnsi="Arial" w:cs="Arial"/>
          <w:b/>
          <w:sz w:val="22"/>
        </w:rPr>
      </w:pPr>
      <w:r w:rsidRPr="00AE1E32">
        <w:rPr>
          <w:rFonts w:ascii="Arial" w:hAnsi="Arial" w:cs="Arial"/>
          <w:b/>
          <w:sz w:val="22"/>
        </w:rPr>
        <w:t>3.4. Response Orchestrator</w:t>
      </w:r>
    </w:p>
    <w:p w14:paraId="50CF3E7D"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Response Orchestrator performs the duty of converting detection output into actionable and automated </w:t>
      </w:r>
      <w:proofErr w:type="spellStart"/>
      <w:r w:rsidRPr="00AE1E32">
        <w:rPr>
          <w:rStyle w:val="Style1Char"/>
          <w:rFonts w:eastAsiaTheme="minorHAnsi"/>
        </w:rPr>
        <w:t>defense</w:t>
      </w:r>
      <w:proofErr w:type="spellEnd"/>
      <w:r w:rsidRPr="00AE1E32">
        <w:rPr>
          <w:rStyle w:val="Style1Char"/>
          <w:rFonts w:eastAsiaTheme="minorHAnsi"/>
        </w:rPr>
        <w:t xml:space="preserve"> actions. This module can induce a graduated response depending on the score of the confidence and the severity of the anomaly detected. It also delivers alerts to security information and event management (SIEM) systems at the lowest level in order to be investigated by human analysts. At increased confidence, automated actions are activated, e.g. network quarantine of potentially suspicious pods or ejection of infected workloads.</w:t>
      </w:r>
    </w:p>
    <w:p w14:paraId="399D31F4" w14:textId="77777777" w:rsidR="00AE1E32" w:rsidRPr="00AE1E32" w:rsidRDefault="00AE1E32" w:rsidP="004048BE">
      <w:pPr>
        <w:spacing w:before="100" w:beforeAutospacing="1" w:after="100" w:afterAutospacing="1"/>
        <w:jc w:val="both"/>
        <w:outlineLvl w:val="1"/>
        <w:rPr>
          <w:rStyle w:val="Style1Char"/>
          <w:rFonts w:eastAsiaTheme="minorHAnsi"/>
        </w:rPr>
      </w:pPr>
      <w:r w:rsidRPr="00AE1E32">
        <w:rPr>
          <w:rStyle w:val="Style1Char"/>
          <w:rFonts w:eastAsiaTheme="minorHAnsi"/>
        </w:rPr>
        <w:t xml:space="preserve">The orchestrator uses the Kubernetes-native controls like updates to </w:t>
      </w:r>
      <w:proofErr w:type="spellStart"/>
      <w:r w:rsidRPr="00AE1E32">
        <w:rPr>
          <w:rStyle w:val="Style1Char"/>
          <w:rFonts w:eastAsiaTheme="minorHAnsi"/>
        </w:rPr>
        <w:t>NetworkPolicy</w:t>
      </w:r>
      <w:proofErr w:type="spellEnd"/>
      <w:r w:rsidRPr="00AE1E32">
        <w:rPr>
          <w:rStyle w:val="Style1Char"/>
          <w:rFonts w:eastAsiaTheme="minorHAnsi"/>
        </w:rPr>
        <w:t xml:space="preserve"> to ensure that future lateral communication of compromised pods is limited as it happens so that there is no risk of spreading to the rest of the cluster. In high confidence intrusions, it can cause pod eviction or isolation, which is in effect the termination of malicious processes, although cluster integrity remains intact. It can also roll out fake </w:t>
      </w:r>
      <w:proofErr w:type="spellStart"/>
      <w:r w:rsidRPr="00AE1E32">
        <w:rPr>
          <w:rStyle w:val="Style1Char"/>
          <w:rFonts w:eastAsiaTheme="minorHAnsi"/>
        </w:rPr>
        <w:t>defenses</w:t>
      </w:r>
      <w:proofErr w:type="spellEnd"/>
      <w:r w:rsidRPr="00AE1E32">
        <w:rPr>
          <w:rStyle w:val="Style1Char"/>
          <w:rFonts w:eastAsiaTheme="minorHAnsi"/>
        </w:rPr>
        <w:t>, e.g. decoy pods or honey services to confuse attackers and collect forensic intelligence.</w:t>
      </w:r>
    </w:p>
    <w:p w14:paraId="5E9230BC" w14:textId="77777777" w:rsidR="0050115D" w:rsidRPr="00AE1E32" w:rsidRDefault="00AE1E32" w:rsidP="004048BE">
      <w:pPr>
        <w:spacing w:before="100" w:beforeAutospacing="1" w:after="100" w:afterAutospacing="1"/>
        <w:jc w:val="both"/>
        <w:outlineLvl w:val="1"/>
        <w:rPr>
          <w:rFonts w:ascii="Arial" w:eastAsiaTheme="minorHAnsi" w:hAnsi="Arial" w:cs="Arial"/>
          <w:lang w:val="en-IN" w:eastAsia="en-IN"/>
        </w:rPr>
      </w:pPr>
      <w:r w:rsidRPr="00AE1E32">
        <w:rPr>
          <w:rStyle w:val="Style1Char"/>
          <w:rFonts w:eastAsiaTheme="minorHAnsi"/>
        </w:rPr>
        <w:t xml:space="preserve">The Response Orchestrator is able to combine tightly with Kubernetes and uses both kernel-level enforcement (through </w:t>
      </w:r>
      <w:proofErr w:type="spellStart"/>
      <w:r w:rsidRPr="00AE1E32">
        <w:rPr>
          <w:rStyle w:val="Style1Char"/>
          <w:rFonts w:eastAsiaTheme="minorHAnsi"/>
        </w:rPr>
        <w:t>eBPF</w:t>
      </w:r>
      <w:proofErr w:type="spellEnd"/>
      <w:r w:rsidRPr="00AE1E32">
        <w:rPr>
          <w:rStyle w:val="Style1Char"/>
          <w:rFonts w:eastAsiaTheme="minorHAnsi"/>
        </w:rPr>
        <w:t xml:space="preserve">/LSM hooks) and orchestration-level actions to ensure that detections are not just fast but actionable. This will shorten attacker dwell time and decrease </w:t>
      </w:r>
      <w:r w:rsidRPr="00AE1E32">
        <w:rPr>
          <w:rStyle w:val="Style1Char"/>
          <w:rFonts w:eastAsiaTheme="minorHAnsi"/>
        </w:rPr>
        <w:lastRenderedPageBreak/>
        <w:t>the human load of security teams. On the whole, this module serves as the decision and enforcement brain that forms the loop between detection and remediation in real time.</w:t>
      </w:r>
    </w:p>
    <w:p w14:paraId="296486FF" w14:textId="77777777" w:rsidR="004802FB" w:rsidRPr="004802FB" w:rsidRDefault="004802FB" w:rsidP="004048BE">
      <w:pPr>
        <w:pStyle w:val="AbstHead"/>
        <w:jc w:val="both"/>
        <w:rPr>
          <w:rFonts w:ascii="Arial" w:hAnsi="Arial" w:cs="Arial"/>
        </w:rPr>
      </w:pPr>
      <w:r w:rsidRPr="004802FB">
        <w:rPr>
          <w:rFonts w:ascii="Arial" w:hAnsi="Arial" w:cs="Arial"/>
        </w:rPr>
        <w:t xml:space="preserve">4. Experimental Setup </w:t>
      </w:r>
    </w:p>
    <w:p w14:paraId="109BB14B" w14:textId="77777777" w:rsidR="00A90E5A" w:rsidRPr="00A90E5A" w:rsidRDefault="00A90E5A" w:rsidP="004048BE">
      <w:pPr>
        <w:spacing w:before="100" w:beforeAutospacing="1" w:after="100" w:afterAutospacing="1"/>
        <w:jc w:val="both"/>
        <w:outlineLvl w:val="1"/>
        <w:rPr>
          <w:rStyle w:val="Style1Char"/>
          <w:rFonts w:eastAsiaTheme="minorHAnsi"/>
        </w:rPr>
      </w:pPr>
      <w:r w:rsidRPr="00A90E5A">
        <w:rPr>
          <w:rStyle w:val="Style1Char"/>
          <w:rFonts w:eastAsiaTheme="minorHAnsi"/>
        </w:rPr>
        <w:t xml:space="preserve">Experimental </w:t>
      </w:r>
      <w:proofErr w:type="spellStart"/>
      <w:r w:rsidRPr="00A90E5A">
        <w:rPr>
          <w:rStyle w:val="Style1Char"/>
          <w:rFonts w:eastAsiaTheme="minorHAnsi"/>
        </w:rPr>
        <w:t>KubeGuard</w:t>
      </w:r>
      <w:proofErr w:type="spellEnd"/>
      <w:r w:rsidRPr="00A90E5A">
        <w:rPr>
          <w:rStyle w:val="Style1Char"/>
          <w:rFonts w:eastAsiaTheme="minorHAnsi"/>
        </w:rPr>
        <w:t>-AI testing was applied to a 20-node Kubernetes cluster installed in a testbed private cloud. The nodes were configured with 8 vCPUs, 32GB RAM and Ubuntu 22.04 LTS, including Kubernetes v1.27 and container runtime (</w:t>
      </w:r>
      <w:proofErr w:type="spellStart"/>
      <w:r w:rsidRPr="00A90E5A">
        <w:rPr>
          <w:rStyle w:val="Style1Char"/>
          <w:rFonts w:eastAsiaTheme="minorHAnsi"/>
        </w:rPr>
        <w:t>containerd</w:t>
      </w:r>
      <w:proofErr w:type="spellEnd"/>
      <w:r w:rsidRPr="00A90E5A">
        <w:rPr>
          <w:rStyle w:val="Style1Char"/>
          <w:rFonts w:eastAsiaTheme="minorHAnsi"/>
        </w:rPr>
        <w:t xml:space="preserve">). There was also a set of nodes that supported GPU offloading machine learning inference, in specific tests only (NVIDIA T4). This cluster was operated through </w:t>
      </w:r>
      <w:proofErr w:type="spellStart"/>
      <w:r w:rsidRPr="00A90E5A">
        <w:rPr>
          <w:rStyle w:val="Style1Char"/>
          <w:rFonts w:eastAsiaTheme="minorHAnsi"/>
        </w:rPr>
        <w:t>kubeadm</w:t>
      </w:r>
      <w:proofErr w:type="spellEnd"/>
      <w:r w:rsidRPr="00A90E5A">
        <w:rPr>
          <w:rStyle w:val="Style1Char"/>
          <w:rFonts w:eastAsiaTheme="minorHAnsi"/>
        </w:rPr>
        <w:t xml:space="preserve"> and Calico CNI was used to address networking so that a network policy could be finely configured. This architecture was selected to approximate a realistic enterprise level cluster, but was controlled to allow reproducibility. </w:t>
      </w:r>
      <w:proofErr w:type="spellStart"/>
      <w:r w:rsidRPr="00A90E5A">
        <w:rPr>
          <w:rStyle w:val="Style1Char"/>
          <w:rFonts w:eastAsiaTheme="minorHAnsi"/>
        </w:rPr>
        <w:t>eBPF</w:t>
      </w:r>
      <w:proofErr w:type="spellEnd"/>
      <w:r w:rsidRPr="00A90E5A">
        <w:rPr>
          <w:rStyle w:val="Style1Char"/>
          <w:rFonts w:eastAsiaTheme="minorHAnsi"/>
        </w:rPr>
        <w:t xml:space="preserve"> probes were installed on each worker node to trace telemetry at the kernel level (</w:t>
      </w:r>
      <w:proofErr w:type="spellStart"/>
      <w:r w:rsidRPr="00A90E5A">
        <w:rPr>
          <w:rStyle w:val="Style1Char"/>
          <w:rFonts w:eastAsiaTheme="minorHAnsi"/>
        </w:rPr>
        <w:t>syscalls</w:t>
      </w:r>
      <w:proofErr w:type="spellEnd"/>
      <w:r w:rsidRPr="00A90E5A">
        <w:rPr>
          <w:rStyle w:val="Style1Char"/>
          <w:rFonts w:eastAsiaTheme="minorHAnsi"/>
        </w:rPr>
        <w:t xml:space="preserve">, process trees, network activity, etc.). These were combined with a Falco-based rule engine to make up the baseline rules-only detection to enable comparative analysis. Each node was deployed with a custom </w:t>
      </w:r>
      <w:proofErr w:type="spellStart"/>
      <w:r w:rsidRPr="00A90E5A">
        <w:rPr>
          <w:rStyle w:val="Style1Char"/>
          <w:rFonts w:eastAsiaTheme="minorHAnsi"/>
        </w:rPr>
        <w:t>KubeGuard</w:t>
      </w:r>
      <w:proofErr w:type="spellEnd"/>
      <w:r w:rsidRPr="00A90E5A">
        <w:rPr>
          <w:rStyle w:val="Style1Char"/>
          <w:rFonts w:eastAsiaTheme="minorHAnsi"/>
        </w:rPr>
        <w:t>-AI agent to extract the features, augment telemetry with Kubernetes metadata (labels on pods, namespace, service accounts), and send them to a Kafka streaming bus. The message bus was used as a scaled pipeline to broadcast the telemetry to the inference layer with low latency over the cluster. Table 1 shows the setup specifications.</w:t>
      </w:r>
    </w:p>
    <w:p w14:paraId="3FED36C1" w14:textId="77777777" w:rsidR="00A90E5A" w:rsidRPr="00A90E5A" w:rsidRDefault="00A90E5A" w:rsidP="004048BE">
      <w:pPr>
        <w:spacing w:before="100" w:beforeAutospacing="1" w:after="100" w:afterAutospacing="1"/>
        <w:jc w:val="both"/>
        <w:outlineLvl w:val="1"/>
        <w:rPr>
          <w:rStyle w:val="Style1Char"/>
          <w:rFonts w:eastAsiaTheme="minorHAnsi"/>
        </w:rPr>
      </w:pPr>
      <w:r w:rsidRPr="00A90E5A">
        <w:rPr>
          <w:rStyle w:val="Style1Char"/>
          <w:rFonts w:eastAsiaTheme="minorHAnsi"/>
        </w:rPr>
        <w:t xml:space="preserve">To support detection and response, the real-time inference engine was deployed to three dedicated nodes with </w:t>
      </w:r>
      <w:proofErr w:type="spellStart"/>
      <w:r w:rsidRPr="00A90E5A">
        <w:rPr>
          <w:rStyle w:val="Style1Char"/>
          <w:rFonts w:eastAsiaTheme="minorHAnsi"/>
        </w:rPr>
        <w:t>KServe</w:t>
      </w:r>
      <w:proofErr w:type="spellEnd"/>
      <w:r w:rsidRPr="00A90E5A">
        <w:rPr>
          <w:rStyle w:val="Style1Char"/>
          <w:rFonts w:eastAsiaTheme="minorHAnsi"/>
        </w:rPr>
        <w:t xml:space="preserve"> to serve models. The system was composed of (</w:t>
      </w:r>
      <w:proofErr w:type="spellStart"/>
      <w:r w:rsidRPr="00A90E5A">
        <w:rPr>
          <w:rStyle w:val="Style1Char"/>
          <w:rFonts w:eastAsiaTheme="minorHAnsi"/>
        </w:rPr>
        <w:t>i</w:t>
      </w:r>
      <w:proofErr w:type="spellEnd"/>
      <w:r w:rsidRPr="00A90E5A">
        <w:rPr>
          <w:rStyle w:val="Style1Char"/>
          <w:rFonts w:eastAsiaTheme="minorHAnsi"/>
        </w:rPr>
        <w:t xml:space="preserve">) an Isolation Forest anomaly detector, (ii) a lightweight LSTM sequence classifier of </w:t>
      </w:r>
      <w:proofErr w:type="spellStart"/>
      <w:r w:rsidRPr="00A90E5A">
        <w:rPr>
          <w:rStyle w:val="Style1Char"/>
          <w:rFonts w:eastAsiaTheme="minorHAnsi"/>
        </w:rPr>
        <w:t>syscall</w:t>
      </w:r>
      <w:proofErr w:type="spellEnd"/>
      <w:r w:rsidRPr="00A90E5A">
        <w:rPr>
          <w:rStyle w:val="Style1Char"/>
          <w:rFonts w:eastAsiaTheme="minorHAnsi"/>
        </w:rPr>
        <w:t xml:space="preserve"> sequences, and (iii) an </w:t>
      </w:r>
      <w:proofErr w:type="spellStart"/>
      <w:r w:rsidRPr="00A90E5A">
        <w:rPr>
          <w:rStyle w:val="Style1Char"/>
          <w:rFonts w:eastAsiaTheme="minorHAnsi"/>
        </w:rPr>
        <w:t>XGBoost</w:t>
      </w:r>
      <w:proofErr w:type="spellEnd"/>
      <w:r w:rsidRPr="00A90E5A">
        <w:rPr>
          <w:rStyle w:val="Style1Char"/>
          <w:rFonts w:eastAsiaTheme="minorHAnsi"/>
        </w:rPr>
        <w:t xml:space="preserve"> classifier of structured enriched features. Response orchestration was applied through Kubernetes controllers that could issue alerts, revise </w:t>
      </w:r>
      <w:proofErr w:type="spellStart"/>
      <w:r w:rsidRPr="00A90E5A">
        <w:rPr>
          <w:rStyle w:val="Style1Char"/>
          <w:rFonts w:eastAsiaTheme="minorHAnsi"/>
        </w:rPr>
        <w:t>NetworkPolicies</w:t>
      </w:r>
      <w:proofErr w:type="spellEnd"/>
      <w:r w:rsidRPr="00A90E5A">
        <w:rPr>
          <w:rStyle w:val="Style1Char"/>
          <w:rFonts w:eastAsiaTheme="minorHAnsi"/>
        </w:rPr>
        <w:t xml:space="preserve">, evict pods or deploy decoy containers. To assess the detection capabilities, controlled adversarial scenarios were run with the help of Atomic Red Team scripts and custom attack simulations which included privilege escalation, lateral movement, </w:t>
      </w:r>
      <w:proofErr w:type="spellStart"/>
      <w:r w:rsidRPr="00A90E5A">
        <w:rPr>
          <w:rStyle w:val="Style1Char"/>
          <w:rFonts w:eastAsiaTheme="minorHAnsi"/>
        </w:rPr>
        <w:t>cryptomining</w:t>
      </w:r>
      <w:proofErr w:type="spellEnd"/>
      <w:r w:rsidRPr="00A90E5A">
        <w:rPr>
          <w:rStyle w:val="Style1Char"/>
          <w:rFonts w:eastAsiaTheme="minorHAnsi"/>
        </w:rPr>
        <w:t xml:space="preserve"> and even DNS-based data exfiltration.</w:t>
      </w:r>
    </w:p>
    <w:p w14:paraId="0A5A5FE9" w14:textId="77777777" w:rsidR="00A90E5A" w:rsidRDefault="00A90E5A" w:rsidP="004048BE">
      <w:pPr>
        <w:spacing w:before="100" w:beforeAutospacing="1" w:after="100" w:afterAutospacing="1"/>
        <w:jc w:val="center"/>
        <w:outlineLvl w:val="1"/>
        <w:rPr>
          <w:rFonts w:ascii="Arial" w:hAnsi="Arial" w:cs="Arial"/>
          <w:b/>
          <w:bCs/>
          <w:lang w:eastAsia="en-IN"/>
        </w:rPr>
      </w:pPr>
      <w:r>
        <w:rPr>
          <w:rFonts w:ascii="Arial" w:hAnsi="Arial" w:cs="Arial"/>
          <w:b/>
          <w:bCs/>
          <w:lang w:eastAsia="en-IN"/>
        </w:rPr>
        <w:t xml:space="preserve">Table 1. Setup Specifications </w:t>
      </w:r>
    </w:p>
    <w:tbl>
      <w:tblPr>
        <w:tblStyle w:val="TableGrid"/>
        <w:tblW w:w="0" w:type="auto"/>
        <w:tblLook w:val="04A0" w:firstRow="1" w:lastRow="0" w:firstColumn="1" w:lastColumn="0" w:noHBand="0" w:noVBand="1"/>
      </w:tblPr>
      <w:tblGrid>
        <w:gridCol w:w="2164"/>
        <w:gridCol w:w="6260"/>
      </w:tblGrid>
      <w:tr w:rsidR="00A90E5A" w14:paraId="480AE46B"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481E204C" w14:textId="77777777" w:rsidR="00A90E5A" w:rsidRDefault="00A90E5A" w:rsidP="004048BE">
            <w:pPr>
              <w:jc w:val="center"/>
              <w:rPr>
                <w:rFonts w:ascii="Arial" w:eastAsia="Times New Roman" w:hAnsi="Arial" w:cs="Arial"/>
                <w:b/>
                <w:bCs/>
                <w:sz w:val="20"/>
                <w:szCs w:val="20"/>
                <w:lang w:eastAsia="en-IN"/>
              </w:rPr>
            </w:pPr>
            <w:r>
              <w:rPr>
                <w:rFonts w:ascii="Arial" w:eastAsia="Times New Roman" w:hAnsi="Arial" w:cs="Arial"/>
                <w:b/>
                <w:bCs/>
                <w:sz w:val="20"/>
                <w:szCs w:val="20"/>
                <w:lang w:eastAsia="en-IN"/>
              </w:rPr>
              <w:t>Component</w:t>
            </w:r>
          </w:p>
        </w:tc>
        <w:tc>
          <w:tcPr>
            <w:tcW w:w="0" w:type="auto"/>
            <w:tcBorders>
              <w:top w:val="single" w:sz="4" w:space="0" w:color="auto"/>
              <w:left w:val="single" w:sz="4" w:space="0" w:color="auto"/>
              <w:bottom w:val="single" w:sz="4" w:space="0" w:color="auto"/>
              <w:right w:val="single" w:sz="4" w:space="0" w:color="auto"/>
            </w:tcBorders>
            <w:hideMark/>
          </w:tcPr>
          <w:p w14:paraId="46C9D55B" w14:textId="77777777" w:rsidR="00A90E5A" w:rsidRDefault="00A90E5A" w:rsidP="004048BE">
            <w:pPr>
              <w:jc w:val="center"/>
              <w:rPr>
                <w:rFonts w:ascii="Arial" w:eastAsia="Times New Roman" w:hAnsi="Arial" w:cs="Arial"/>
                <w:b/>
                <w:bCs/>
                <w:sz w:val="20"/>
                <w:szCs w:val="20"/>
                <w:lang w:eastAsia="en-IN"/>
              </w:rPr>
            </w:pPr>
            <w:r>
              <w:rPr>
                <w:rFonts w:ascii="Arial" w:eastAsia="Times New Roman" w:hAnsi="Arial" w:cs="Arial"/>
                <w:b/>
                <w:bCs/>
                <w:sz w:val="20"/>
                <w:szCs w:val="20"/>
                <w:lang w:eastAsia="en-IN"/>
              </w:rPr>
              <w:t>Configuration / Tools</w:t>
            </w:r>
          </w:p>
        </w:tc>
      </w:tr>
      <w:tr w:rsidR="00A90E5A" w14:paraId="074082BD"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4E9A6F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Cluster Size</w:t>
            </w:r>
          </w:p>
        </w:tc>
        <w:tc>
          <w:tcPr>
            <w:tcW w:w="0" w:type="auto"/>
            <w:tcBorders>
              <w:top w:val="single" w:sz="4" w:space="0" w:color="auto"/>
              <w:left w:val="single" w:sz="4" w:space="0" w:color="auto"/>
              <w:bottom w:val="single" w:sz="4" w:space="0" w:color="auto"/>
              <w:right w:val="single" w:sz="4" w:space="0" w:color="auto"/>
            </w:tcBorders>
            <w:hideMark/>
          </w:tcPr>
          <w:p w14:paraId="72B790F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20 nodes (Kubernetes v1.27, </w:t>
            </w:r>
            <w:proofErr w:type="spellStart"/>
            <w:r>
              <w:rPr>
                <w:rFonts w:ascii="Arial" w:eastAsia="Times New Roman" w:hAnsi="Arial" w:cs="Arial"/>
                <w:sz w:val="20"/>
                <w:szCs w:val="20"/>
                <w:lang w:eastAsia="en-IN"/>
              </w:rPr>
              <w:t>containerd</w:t>
            </w:r>
            <w:proofErr w:type="spellEnd"/>
            <w:r>
              <w:rPr>
                <w:rFonts w:ascii="Arial" w:eastAsia="Times New Roman" w:hAnsi="Arial" w:cs="Arial"/>
                <w:sz w:val="20"/>
                <w:szCs w:val="20"/>
                <w:lang w:eastAsia="en-IN"/>
              </w:rPr>
              <w:t xml:space="preserve"> runtime)</w:t>
            </w:r>
          </w:p>
        </w:tc>
      </w:tr>
      <w:tr w:rsidR="00A90E5A" w14:paraId="5BFF4B09"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50E432A6"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Node Specs</w:t>
            </w:r>
          </w:p>
        </w:tc>
        <w:tc>
          <w:tcPr>
            <w:tcW w:w="0" w:type="auto"/>
            <w:tcBorders>
              <w:top w:val="single" w:sz="4" w:space="0" w:color="auto"/>
              <w:left w:val="single" w:sz="4" w:space="0" w:color="auto"/>
              <w:bottom w:val="single" w:sz="4" w:space="0" w:color="auto"/>
              <w:right w:val="single" w:sz="4" w:space="0" w:color="auto"/>
            </w:tcBorders>
            <w:hideMark/>
          </w:tcPr>
          <w:p w14:paraId="5D77E7AA"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8 vCPUs, 32 GB RAM, Ubuntu 22.04 LTS; 3 nodes with NVIDIA T4 GPU for inference offloading</w:t>
            </w:r>
          </w:p>
        </w:tc>
      </w:tr>
      <w:tr w:rsidR="00A90E5A" w14:paraId="72A7FE5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BEE6FC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Networking</w:t>
            </w:r>
          </w:p>
        </w:tc>
        <w:tc>
          <w:tcPr>
            <w:tcW w:w="0" w:type="auto"/>
            <w:tcBorders>
              <w:top w:val="single" w:sz="4" w:space="0" w:color="auto"/>
              <w:left w:val="single" w:sz="4" w:space="0" w:color="auto"/>
              <w:bottom w:val="single" w:sz="4" w:space="0" w:color="auto"/>
              <w:right w:val="single" w:sz="4" w:space="0" w:color="auto"/>
            </w:tcBorders>
            <w:hideMark/>
          </w:tcPr>
          <w:p w14:paraId="354351DB"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Calico CNI with </w:t>
            </w:r>
            <w:proofErr w:type="spellStart"/>
            <w:r>
              <w:rPr>
                <w:rFonts w:ascii="Arial" w:eastAsia="Times New Roman" w:hAnsi="Arial" w:cs="Arial"/>
                <w:sz w:val="20"/>
                <w:szCs w:val="20"/>
                <w:lang w:eastAsia="en-IN"/>
              </w:rPr>
              <w:t>NetworkPolicy</w:t>
            </w:r>
            <w:proofErr w:type="spellEnd"/>
            <w:r>
              <w:rPr>
                <w:rFonts w:ascii="Arial" w:eastAsia="Times New Roman" w:hAnsi="Arial" w:cs="Arial"/>
                <w:sz w:val="20"/>
                <w:szCs w:val="20"/>
                <w:lang w:eastAsia="en-IN"/>
              </w:rPr>
              <w:t xml:space="preserve"> support</w:t>
            </w:r>
          </w:p>
        </w:tc>
      </w:tr>
      <w:tr w:rsidR="00A90E5A" w14:paraId="4EE01EC5"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31D47FBC"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Telemetry Capture</w:t>
            </w:r>
          </w:p>
        </w:tc>
        <w:tc>
          <w:tcPr>
            <w:tcW w:w="0" w:type="auto"/>
            <w:tcBorders>
              <w:top w:val="single" w:sz="4" w:space="0" w:color="auto"/>
              <w:left w:val="single" w:sz="4" w:space="0" w:color="auto"/>
              <w:bottom w:val="single" w:sz="4" w:space="0" w:color="auto"/>
              <w:right w:val="single" w:sz="4" w:space="0" w:color="auto"/>
            </w:tcBorders>
            <w:hideMark/>
          </w:tcPr>
          <w:p w14:paraId="40351129"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eBPF</w:t>
            </w:r>
            <w:proofErr w:type="spellEnd"/>
            <w:r>
              <w:rPr>
                <w:rFonts w:ascii="Arial" w:eastAsia="Times New Roman" w:hAnsi="Arial" w:cs="Arial"/>
                <w:sz w:val="20"/>
                <w:szCs w:val="20"/>
                <w:lang w:eastAsia="en-IN"/>
              </w:rPr>
              <w:t xml:space="preserve"> probes + Falco rules-based baseline</w:t>
            </w:r>
          </w:p>
        </w:tc>
      </w:tr>
      <w:tr w:rsidR="00A90E5A" w14:paraId="241AC33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0709535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Feature Enrichment</w:t>
            </w:r>
          </w:p>
        </w:tc>
        <w:tc>
          <w:tcPr>
            <w:tcW w:w="0" w:type="auto"/>
            <w:tcBorders>
              <w:top w:val="single" w:sz="4" w:space="0" w:color="auto"/>
              <w:left w:val="single" w:sz="4" w:space="0" w:color="auto"/>
              <w:bottom w:val="single" w:sz="4" w:space="0" w:color="auto"/>
              <w:right w:val="single" w:sz="4" w:space="0" w:color="auto"/>
            </w:tcBorders>
            <w:hideMark/>
          </w:tcPr>
          <w:p w14:paraId="0BCF2067"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KubeGuard</w:t>
            </w:r>
            <w:proofErr w:type="spellEnd"/>
            <w:r>
              <w:rPr>
                <w:rFonts w:ascii="Arial" w:eastAsia="Times New Roman" w:hAnsi="Arial" w:cs="Arial"/>
                <w:sz w:val="20"/>
                <w:szCs w:val="20"/>
                <w:lang w:eastAsia="en-IN"/>
              </w:rPr>
              <w:t>-AI agent with Kubernetes metadata (pod, namespace, service account)</w:t>
            </w:r>
          </w:p>
        </w:tc>
      </w:tr>
      <w:tr w:rsidR="00A90E5A" w14:paraId="5EE632E2"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31BF1C59"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Streaming Backbone</w:t>
            </w:r>
          </w:p>
        </w:tc>
        <w:tc>
          <w:tcPr>
            <w:tcW w:w="0" w:type="auto"/>
            <w:tcBorders>
              <w:top w:val="single" w:sz="4" w:space="0" w:color="auto"/>
              <w:left w:val="single" w:sz="4" w:space="0" w:color="auto"/>
              <w:bottom w:val="single" w:sz="4" w:space="0" w:color="auto"/>
              <w:right w:val="single" w:sz="4" w:space="0" w:color="auto"/>
            </w:tcBorders>
            <w:hideMark/>
          </w:tcPr>
          <w:p w14:paraId="0BAF4B3E"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Apache Kafka (distributed streaming of telemetry features)</w:t>
            </w:r>
          </w:p>
        </w:tc>
      </w:tr>
      <w:tr w:rsidR="00A90E5A" w14:paraId="1A16213B"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403AEC2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Inference Layer</w:t>
            </w:r>
          </w:p>
        </w:tc>
        <w:tc>
          <w:tcPr>
            <w:tcW w:w="0" w:type="auto"/>
            <w:tcBorders>
              <w:top w:val="single" w:sz="4" w:space="0" w:color="auto"/>
              <w:left w:val="single" w:sz="4" w:space="0" w:color="auto"/>
              <w:bottom w:val="single" w:sz="4" w:space="0" w:color="auto"/>
              <w:right w:val="single" w:sz="4" w:space="0" w:color="auto"/>
            </w:tcBorders>
            <w:hideMark/>
          </w:tcPr>
          <w:p w14:paraId="2F819AA3" w14:textId="77777777" w:rsidR="00A90E5A" w:rsidRDefault="00A90E5A" w:rsidP="004048BE">
            <w:pPr>
              <w:jc w:val="center"/>
              <w:rPr>
                <w:rFonts w:ascii="Arial" w:eastAsia="Times New Roman" w:hAnsi="Arial" w:cs="Arial"/>
                <w:sz w:val="20"/>
                <w:szCs w:val="20"/>
                <w:lang w:eastAsia="en-IN"/>
              </w:rPr>
            </w:pPr>
            <w:proofErr w:type="spellStart"/>
            <w:r>
              <w:rPr>
                <w:rFonts w:ascii="Arial" w:eastAsia="Times New Roman" w:hAnsi="Arial" w:cs="Arial"/>
                <w:sz w:val="20"/>
                <w:szCs w:val="20"/>
                <w:lang w:eastAsia="en-IN"/>
              </w:rPr>
              <w:t>KServe</w:t>
            </w:r>
            <w:proofErr w:type="spellEnd"/>
            <w:r>
              <w:rPr>
                <w:rFonts w:ascii="Arial" w:eastAsia="Times New Roman" w:hAnsi="Arial" w:cs="Arial"/>
                <w:sz w:val="20"/>
                <w:szCs w:val="20"/>
                <w:lang w:eastAsia="en-IN"/>
              </w:rPr>
              <w:t xml:space="preserve"> model serving, ensemble of Isolation Forest, LSTM, and </w:t>
            </w:r>
            <w:proofErr w:type="spellStart"/>
            <w:r>
              <w:rPr>
                <w:rFonts w:ascii="Arial" w:eastAsia="Times New Roman" w:hAnsi="Arial" w:cs="Arial"/>
                <w:sz w:val="20"/>
                <w:szCs w:val="20"/>
                <w:lang w:eastAsia="en-IN"/>
              </w:rPr>
              <w:t>XGBoost</w:t>
            </w:r>
            <w:proofErr w:type="spellEnd"/>
          </w:p>
        </w:tc>
      </w:tr>
      <w:tr w:rsidR="00A90E5A" w14:paraId="4AEDA865"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5E0588E2"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Response Orchestration</w:t>
            </w:r>
          </w:p>
        </w:tc>
        <w:tc>
          <w:tcPr>
            <w:tcW w:w="0" w:type="auto"/>
            <w:tcBorders>
              <w:top w:val="single" w:sz="4" w:space="0" w:color="auto"/>
              <w:left w:val="single" w:sz="4" w:space="0" w:color="auto"/>
              <w:bottom w:val="single" w:sz="4" w:space="0" w:color="auto"/>
              <w:right w:val="single" w:sz="4" w:space="0" w:color="auto"/>
            </w:tcBorders>
            <w:hideMark/>
          </w:tcPr>
          <w:p w14:paraId="156125A3"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 xml:space="preserve">Kubernetes controllers for alerts, pod eviction, </w:t>
            </w:r>
            <w:proofErr w:type="spellStart"/>
            <w:r>
              <w:rPr>
                <w:rFonts w:ascii="Arial" w:eastAsia="Times New Roman" w:hAnsi="Arial" w:cs="Arial"/>
                <w:sz w:val="20"/>
                <w:szCs w:val="20"/>
                <w:lang w:eastAsia="en-IN"/>
              </w:rPr>
              <w:t>NetworkPolicy</w:t>
            </w:r>
            <w:proofErr w:type="spellEnd"/>
            <w:r>
              <w:rPr>
                <w:rFonts w:ascii="Arial" w:eastAsia="Times New Roman" w:hAnsi="Arial" w:cs="Arial"/>
                <w:sz w:val="20"/>
                <w:szCs w:val="20"/>
                <w:lang w:eastAsia="en-IN"/>
              </w:rPr>
              <w:t xml:space="preserve"> updates, decoy deployment</w:t>
            </w:r>
          </w:p>
        </w:tc>
      </w:tr>
      <w:tr w:rsidR="00A90E5A" w14:paraId="2ED9497F"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1A61FDCA"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Evaluation Tools</w:t>
            </w:r>
          </w:p>
        </w:tc>
        <w:tc>
          <w:tcPr>
            <w:tcW w:w="0" w:type="auto"/>
            <w:tcBorders>
              <w:top w:val="single" w:sz="4" w:space="0" w:color="auto"/>
              <w:left w:val="single" w:sz="4" w:space="0" w:color="auto"/>
              <w:bottom w:val="single" w:sz="4" w:space="0" w:color="auto"/>
              <w:right w:val="single" w:sz="4" w:space="0" w:color="auto"/>
            </w:tcBorders>
            <w:hideMark/>
          </w:tcPr>
          <w:p w14:paraId="3C51F2B8"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Atomic Red Team, MITRE ATT&amp;CK emulations, custom attack scripts</w:t>
            </w:r>
          </w:p>
        </w:tc>
      </w:tr>
      <w:tr w:rsidR="00A90E5A" w14:paraId="6DEA8154" w14:textId="77777777" w:rsidTr="00A90E5A">
        <w:tc>
          <w:tcPr>
            <w:tcW w:w="0" w:type="auto"/>
            <w:tcBorders>
              <w:top w:val="single" w:sz="4" w:space="0" w:color="auto"/>
              <w:left w:val="single" w:sz="4" w:space="0" w:color="auto"/>
              <w:bottom w:val="single" w:sz="4" w:space="0" w:color="auto"/>
              <w:right w:val="single" w:sz="4" w:space="0" w:color="auto"/>
            </w:tcBorders>
            <w:hideMark/>
          </w:tcPr>
          <w:p w14:paraId="60E56001"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b/>
                <w:bCs/>
                <w:sz w:val="20"/>
                <w:szCs w:val="20"/>
                <w:lang w:eastAsia="en-IN"/>
              </w:rPr>
              <w:t>Metrics Collected</w:t>
            </w:r>
          </w:p>
        </w:tc>
        <w:tc>
          <w:tcPr>
            <w:tcW w:w="0" w:type="auto"/>
            <w:tcBorders>
              <w:top w:val="single" w:sz="4" w:space="0" w:color="auto"/>
              <w:left w:val="single" w:sz="4" w:space="0" w:color="auto"/>
              <w:bottom w:val="single" w:sz="4" w:space="0" w:color="auto"/>
              <w:right w:val="single" w:sz="4" w:space="0" w:color="auto"/>
            </w:tcBorders>
            <w:hideMark/>
          </w:tcPr>
          <w:p w14:paraId="5AA10285" w14:textId="77777777" w:rsidR="00A90E5A" w:rsidRDefault="00A90E5A" w:rsidP="004048BE">
            <w:pPr>
              <w:jc w:val="center"/>
              <w:rPr>
                <w:rFonts w:ascii="Arial" w:eastAsia="Times New Roman" w:hAnsi="Arial" w:cs="Arial"/>
                <w:sz w:val="20"/>
                <w:szCs w:val="20"/>
                <w:lang w:eastAsia="en-IN"/>
              </w:rPr>
            </w:pPr>
            <w:r>
              <w:rPr>
                <w:rFonts w:ascii="Arial" w:eastAsia="Times New Roman" w:hAnsi="Arial" w:cs="Arial"/>
                <w:sz w:val="20"/>
                <w:szCs w:val="20"/>
                <w:lang w:eastAsia="en-IN"/>
              </w:rPr>
              <w:t>Detection Latency, True Positive Rate, False Positive Rate, Resource Overhead, Containment Time</w:t>
            </w:r>
          </w:p>
        </w:tc>
      </w:tr>
    </w:tbl>
    <w:p w14:paraId="58706BA0" w14:textId="77777777" w:rsidR="00572E82" w:rsidRPr="00572E82" w:rsidRDefault="00572E82" w:rsidP="004048BE">
      <w:pPr>
        <w:pStyle w:val="Head1"/>
        <w:spacing w:before="240"/>
        <w:jc w:val="both"/>
        <w:rPr>
          <w:rFonts w:ascii="Arial" w:hAnsi="Arial" w:cs="Arial"/>
        </w:rPr>
      </w:pPr>
      <w:r w:rsidRPr="00572E82">
        <w:rPr>
          <w:rFonts w:ascii="Arial" w:hAnsi="Arial" w:cs="Arial"/>
        </w:rPr>
        <w:lastRenderedPageBreak/>
        <w:t>5. Results Analysis and Discussion</w:t>
      </w:r>
    </w:p>
    <w:p w14:paraId="6BDDB98E"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Our experimental findings indicate that </w:t>
      </w:r>
      <w:proofErr w:type="spellStart"/>
      <w:r w:rsidRPr="004048BE">
        <w:rPr>
          <w:rStyle w:val="Style1Char"/>
          <w:rFonts w:eastAsiaTheme="minorHAnsi"/>
        </w:rPr>
        <w:t>KubeGuard</w:t>
      </w:r>
      <w:proofErr w:type="spellEnd"/>
      <w:r w:rsidRPr="004048BE">
        <w:rPr>
          <w:rStyle w:val="Style1Char"/>
          <w:rFonts w:eastAsiaTheme="minorHAnsi"/>
        </w:rPr>
        <w:t xml:space="preserve">-AI outperforms the rules-based runtime security (Falco) on several levels, and especially in terms of detection latency and true positive rates (TPR). The detection latency decreased by 43% (4.8s to 2.7s) and this shows how </w:t>
      </w:r>
      <w:proofErr w:type="spellStart"/>
      <w:r w:rsidRPr="004048BE">
        <w:rPr>
          <w:rStyle w:val="Style1Char"/>
          <w:rFonts w:eastAsiaTheme="minorHAnsi"/>
        </w:rPr>
        <w:t>eBPF</w:t>
      </w:r>
      <w:proofErr w:type="spellEnd"/>
      <w:r w:rsidRPr="004048BE">
        <w:rPr>
          <w:rStyle w:val="Style1Char"/>
          <w:rFonts w:eastAsiaTheme="minorHAnsi"/>
        </w:rPr>
        <w:t>-based telemetry and ensemble inference have helped in facilitating quick identification of malicious activities. This lowered latency is essential in real-time Kubernetes set ups, where the duration of attacker dwell ought to be decreased to keep privilege escalation and sideways propagation at bay.</w:t>
      </w:r>
    </w:p>
    <w:p w14:paraId="34247406"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Dissecting the statistics of the attack types, </w:t>
      </w:r>
      <w:proofErr w:type="spellStart"/>
      <w:r w:rsidRPr="004048BE">
        <w:rPr>
          <w:rStyle w:val="Style1Char"/>
          <w:rFonts w:eastAsiaTheme="minorHAnsi"/>
        </w:rPr>
        <w:t>KubeGuard</w:t>
      </w:r>
      <w:proofErr w:type="spellEnd"/>
      <w:r w:rsidRPr="004048BE">
        <w:rPr>
          <w:rStyle w:val="Style1Char"/>
          <w:rFonts w:eastAsiaTheme="minorHAnsi"/>
        </w:rPr>
        <w:t xml:space="preserve">-AI was significantly enhanced in identifying malleable attack vectors. As an example, TPR improvements measured almost 20 percentage points higher than Falco in identifying lateral movement and data exfiltration. Such situations are often characterized by subtle multi-step behaviour which is difficult to capture by rules but was effectively detected by the sequence and anomaly-based models in the ensemble. </w:t>
      </w:r>
      <w:proofErr w:type="spellStart"/>
      <w:r w:rsidRPr="004048BE">
        <w:rPr>
          <w:rStyle w:val="Style1Char"/>
          <w:rFonts w:eastAsiaTheme="minorHAnsi"/>
        </w:rPr>
        <w:t>Cryptomining</w:t>
      </w:r>
      <w:proofErr w:type="spellEnd"/>
      <w:r w:rsidRPr="004048BE">
        <w:rPr>
          <w:rStyle w:val="Style1Char"/>
          <w:rFonts w:eastAsiaTheme="minorHAnsi"/>
        </w:rPr>
        <w:t xml:space="preserve"> recognition registered a modest gain, yet the two systems were very strong because of the pattern of resource usage that is unique to mining.</w:t>
      </w:r>
    </w:p>
    <w:p w14:paraId="7583D255"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One of the most important aspects of the assessment is the trade-off between detection recognition and false positives (FPR). Although </w:t>
      </w:r>
      <w:proofErr w:type="spellStart"/>
      <w:r w:rsidRPr="004048BE">
        <w:rPr>
          <w:rStyle w:val="Style1Char"/>
          <w:rFonts w:eastAsiaTheme="minorHAnsi"/>
        </w:rPr>
        <w:t>KubeGuard</w:t>
      </w:r>
      <w:proofErr w:type="spellEnd"/>
      <w:r w:rsidRPr="004048BE">
        <w:rPr>
          <w:rStyle w:val="Style1Char"/>
          <w:rFonts w:eastAsiaTheme="minorHAnsi"/>
        </w:rPr>
        <w:t xml:space="preserve">-AI enhanced the detection rate in all attack types, FPR went up marginally (7.9% vs. 6.7% with Falco). Such an increase is predicted to happen because anomaly detection models are sensitive to dynamic Kubernetes workloads. Nevertheless, the cost of operation was considered to be manageable, with the misleading positives being considerably decreased with Kubernetes-context enrichment, which aided in separating the benign and malicious workload </w:t>
      </w:r>
      <w:proofErr w:type="spellStart"/>
      <w:r w:rsidRPr="004048BE">
        <w:rPr>
          <w:rStyle w:val="Style1Char"/>
          <w:rFonts w:eastAsiaTheme="minorHAnsi"/>
        </w:rPr>
        <w:t>behaviors</w:t>
      </w:r>
      <w:proofErr w:type="spellEnd"/>
      <w:r w:rsidRPr="004048BE">
        <w:rPr>
          <w:rStyle w:val="Style1Char"/>
          <w:rFonts w:eastAsiaTheme="minorHAnsi"/>
        </w:rPr>
        <w:t>.</w:t>
      </w:r>
    </w:p>
    <w:p w14:paraId="5D290402" w14:textId="77777777" w:rsidR="004048BE" w:rsidRPr="004048BE" w:rsidRDefault="004048BE" w:rsidP="004048BE">
      <w:pPr>
        <w:spacing w:before="100" w:beforeAutospacing="1" w:after="100" w:afterAutospacing="1"/>
        <w:jc w:val="both"/>
        <w:outlineLvl w:val="1"/>
        <w:rPr>
          <w:rStyle w:val="Style1Char"/>
          <w:rFonts w:eastAsiaTheme="minorHAnsi"/>
        </w:rPr>
      </w:pPr>
      <w:proofErr w:type="spellStart"/>
      <w:r w:rsidRPr="004048BE">
        <w:rPr>
          <w:rStyle w:val="Style1Char"/>
          <w:rFonts w:eastAsiaTheme="minorHAnsi"/>
        </w:rPr>
        <w:t>KubeGuard</w:t>
      </w:r>
      <w:proofErr w:type="spellEnd"/>
      <w:r w:rsidRPr="004048BE">
        <w:rPr>
          <w:rStyle w:val="Style1Char"/>
          <w:rFonts w:eastAsiaTheme="minorHAnsi"/>
        </w:rPr>
        <w:t>-AI was lightweight in terms of its overheads. Resource utilization per-node was less than 8 percent CPU and 265 MB of memory on average, with the majority of overhead during offloading being local inference. Offloading of inference tasks to nodes supported by GPUs further minimised this per-node effect as it confirmed that this architecture can be extended to larger clusters without excessively add workloads to production. The findings therefore indicate the potentiality of implementing ML-based threat detection in production Kubernetes clusters without the need to compromise performance.</w:t>
      </w:r>
    </w:p>
    <w:p w14:paraId="098BA7C2"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Lastly, the automated remediation actions integration was promising in containment. High-confidence detections initiated fast isolation of compromised pods and network policy updates, as well as minimized the containment time to an average of 5.3s. This potential reduces the time by a significant margin that opponents can continue or steal data. The discussion highlights that although AI-based detection brings complexity, the real-world gains of AI-based detection, such as a faster detection rate, greater coverage of an attack, and automatic response justify the costs by far.</w:t>
      </w:r>
    </w:p>
    <w:p w14:paraId="4DAF6796" w14:textId="77777777" w:rsidR="00F86E74" w:rsidRDefault="004048BE" w:rsidP="004048BE">
      <w:pPr>
        <w:spacing w:before="100" w:beforeAutospacing="1" w:after="100" w:afterAutospacing="1"/>
        <w:jc w:val="both"/>
        <w:outlineLvl w:val="1"/>
        <w:rPr>
          <w:rFonts w:ascii="Arial" w:hAnsi="Arial" w:cs="Arial"/>
        </w:rPr>
      </w:pPr>
      <w:r w:rsidRPr="004048BE">
        <w:rPr>
          <w:rStyle w:val="Style1Char"/>
          <w:rFonts w:eastAsiaTheme="minorHAnsi"/>
        </w:rPr>
        <w:t xml:space="preserve">The table 2 shows the major performance enhancement of </w:t>
      </w:r>
      <w:proofErr w:type="spellStart"/>
      <w:r w:rsidRPr="004048BE">
        <w:rPr>
          <w:rStyle w:val="Style1Char"/>
          <w:rFonts w:eastAsiaTheme="minorHAnsi"/>
        </w:rPr>
        <w:t>KubeGuard</w:t>
      </w:r>
      <w:proofErr w:type="spellEnd"/>
      <w:r w:rsidRPr="004048BE">
        <w:rPr>
          <w:rStyle w:val="Style1Char"/>
          <w:rFonts w:eastAsiaTheme="minorHAnsi"/>
        </w:rPr>
        <w:t xml:space="preserve">-AI. With ensemble models and </w:t>
      </w:r>
      <w:proofErr w:type="spellStart"/>
      <w:r w:rsidRPr="004048BE">
        <w:rPr>
          <w:rStyle w:val="Style1Char"/>
          <w:rFonts w:eastAsiaTheme="minorHAnsi"/>
        </w:rPr>
        <w:t>eBPF</w:t>
      </w:r>
      <w:proofErr w:type="spellEnd"/>
      <w:r w:rsidRPr="004048BE">
        <w:rPr>
          <w:rStyle w:val="Style1Char"/>
          <w:rFonts w:eastAsiaTheme="minorHAnsi"/>
        </w:rPr>
        <w:t xml:space="preserve">-based telemetry, </w:t>
      </w:r>
      <w:proofErr w:type="spellStart"/>
      <w:r w:rsidRPr="004048BE">
        <w:rPr>
          <w:rStyle w:val="Style1Char"/>
          <w:rFonts w:eastAsiaTheme="minorHAnsi"/>
        </w:rPr>
        <w:t>KubeGuard</w:t>
      </w:r>
      <w:proofErr w:type="spellEnd"/>
      <w:r w:rsidRPr="004048BE">
        <w:rPr>
          <w:rStyle w:val="Style1Char"/>
          <w:rFonts w:eastAsiaTheme="minorHAnsi"/>
        </w:rPr>
        <w:t xml:space="preserve">-AI achieved nearly a 50% reduction in the average detection latency and nearly 17-fold TPR. The FPR went up a little, but the trade off in operations is reasonable considering security gains. This Figure 2 compares Falco (rules-based) and </w:t>
      </w:r>
      <w:proofErr w:type="spellStart"/>
      <w:r w:rsidRPr="004048BE">
        <w:rPr>
          <w:rStyle w:val="Style1Char"/>
          <w:rFonts w:eastAsiaTheme="minorHAnsi"/>
        </w:rPr>
        <w:t>KubeGuard</w:t>
      </w:r>
      <w:proofErr w:type="spellEnd"/>
      <w:r w:rsidRPr="004048BE">
        <w:rPr>
          <w:rStyle w:val="Style1Char"/>
          <w:rFonts w:eastAsiaTheme="minorHAnsi"/>
        </w:rPr>
        <w:t xml:space="preserve">-AI in latency, True Positive Rate (TPR) and False Positive Rate (FPR). </w:t>
      </w:r>
      <w:proofErr w:type="spellStart"/>
      <w:r w:rsidRPr="004048BE">
        <w:rPr>
          <w:rStyle w:val="Style1Char"/>
          <w:rFonts w:eastAsiaTheme="minorHAnsi"/>
        </w:rPr>
        <w:t>KubeGuard</w:t>
      </w:r>
      <w:proofErr w:type="spellEnd"/>
      <w:r w:rsidRPr="004048BE">
        <w:rPr>
          <w:rStyle w:val="Style1Char"/>
          <w:rFonts w:eastAsiaTheme="minorHAnsi"/>
        </w:rPr>
        <w:t>-AI has lower latency (2.7s compared to 4.8s) and much higher TPR (88.1% compared to 71.2%), demonstrating a better detection speed and accuracy. Although its FPR is a little bigger (7.9% vs. 6.7%), the trade-off is less than the improvement in detection capability. This implies that AI-based detection can be of great use in increasing responsiveness within Kubernetes environments</w:t>
      </w:r>
      <w:r w:rsidR="00F86E74">
        <w:rPr>
          <w:rFonts w:ascii="Arial" w:hAnsi="Arial" w:cs="Arial"/>
        </w:rPr>
        <w:t xml:space="preserve">. </w:t>
      </w:r>
    </w:p>
    <w:p w14:paraId="5D25C27A"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lastRenderedPageBreak/>
        <w:t>Table 2. Detection Performance Comparison</w:t>
      </w:r>
    </w:p>
    <w:tbl>
      <w:tblPr>
        <w:tblStyle w:val="TableGrid"/>
        <w:tblW w:w="0" w:type="auto"/>
        <w:jc w:val="center"/>
        <w:tblLook w:val="04A0" w:firstRow="1" w:lastRow="0" w:firstColumn="1" w:lastColumn="0" w:noHBand="0" w:noVBand="1"/>
      </w:tblPr>
      <w:tblGrid>
        <w:gridCol w:w="1495"/>
        <w:gridCol w:w="2239"/>
        <w:gridCol w:w="983"/>
        <w:gridCol w:w="983"/>
      </w:tblGrid>
      <w:tr w:rsidR="004048BE" w:rsidRPr="00A64653" w14:paraId="535D7CC4" w14:textId="77777777" w:rsidTr="0033772E">
        <w:trPr>
          <w:jc w:val="center"/>
        </w:trPr>
        <w:tc>
          <w:tcPr>
            <w:tcW w:w="0" w:type="auto"/>
            <w:hideMark/>
          </w:tcPr>
          <w:p w14:paraId="0CA2AC1F"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Approach</w:t>
            </w:r>
          </w:p>
        </w:tc>
        <w:tc>
          <w:tcPr>
            <w:tcW w:w="0" w:type="auto"/>
            <w:hideMark/>
          </w:tcPr>
          <w:p w14:paraId="57B1E705"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Detection Latency (s)</w:t>
            </w:r>
          </w:p>
        </w:tc>
        <w:tc>
          <w:tcPr>
            <w:tcW w:w="0" w:type="auto"/>
            <w:hideMark/>
          </w:tcPr>
          <w:p w14:paraId="5EF888C6"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TPR (%)</w:t>
            </w:r>
          </w:p>
        </w:tc>
        <w:tc>
          <w:tcPr>
            <w:tcW w:w="0" w:type="auto"/>
            <w:hideMark/>
          </w:tcPr>
          <w:p w14:paraId="7FA40B96"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FPR (%)</w:t>
            </w:r>
          </w:p>
        </w:tc>
      </w:tr>
      <w:tr w:rsidR="004048BE" w:rsidRPr="00A64653" w14:paraId="31A10DF5" w14:textId="77777777" w:rsidTr="0033772E">
        <w:trPr>
          <w:jc w:val="center"/>
        </w:trPr>
        <w:tc>
          <w:tcPr>
            <w:tcW w:w="0" w:type="auto"/>
            <w:hideMark/>
          </w:tcPr>
          <w:p w14:paraId="44884E0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Falco (rules)</w:t>
            </w:r>
          </w:p>
        </w:tc>
        <w:tc>
          <w:tcPr>
            <w:tcW w:w="0" w:type="auto"/>
            <w:hideMark/>
          </w:tcPr>
          <w:p w14:paraId="3C26792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4.8</w:t>
            </w:r>
          </w:p>
        </w:tc>
        <w:tc>
          <w:tcPr>
            <w:tcW w:w="0" w:type="auto"/>
            <w:hideMark/>
          </w:tcPr>
          <w:p w14:paraId="2B028464"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71.2</w:t>
            </w:r>
          </w:p>
        </w:tc>
        <w:tc>
          <w:tcPr>
            <w:tcW w:w="0" w:type="auto"/>
            <w:hideMark/>
          </w:tcPr>
          <w:p w14:paraId="1A9DC52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6.7</w:t>
            </w:r>
          </w:p>
        </w:tc>
      </w:tr>
      <w:tr w:rsidR="004048BE" w:rsidRPr="00A64653" w14:paraId="0F676C2D" w14:textId="77777777" w:rsidTr="0033772E">
        <w:trPr>
          <w:jc w:val="center"/>
        </w:trPr>
        <w:tc>
          <w:tcPr>
            <w:tcW w:w="0" w:type="auto"/>
            <w:hideMark/>
          </w:tcPr>
          <w:p w14:paraId="0AA150F7"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KubeGuard</w:t>
            </w:r>
            <w:proofErr w:type="spellEnd"/>
            <w:r w:rsidRPr="00A64653">
              <w:rPr>
                <w:rFonts w:ascii="Arial" w:hAnsi="Arial" w:cs="Arial"/>
                <w:sz w:val="20"/>
                <w:szCs w:val="20"/>
              </w:rPr>
              <w:t>-AI</w:t>
            </w:r>
          </w:p>
        </w:tc>
        <w:tc>
          <w:tcPr>
            <w:tcW w:w="0" w:type="auto"/>
            <w:hideMark/>
          </w:tcPr>
          <w:p w14:paraId="69ABC8DA"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2.7</w:t>
            </w:r>
          </w:p>
        </w:tc>
        <w:tc>
          <w:tcPr>
            <w:tcW w:w="0" w:type="auto"/>
            <w:hideMark/>
          </w:tcPr>
          <w:p w14:paraId="7E454B14"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88.1</w:t>
            </w:r>
          </w:p>
        </w:tc>
        <w:tc>
          <w:tcPr>
            <w:tcW w:w="0" w:type="auto"/>
            <w:hideMark/>
          </w:tcPr>
          <w:p w14:paraId="435E301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7.9</w:t>
            </w:r>
          </w:p>
        </w:tc>
      </w:tr>
    </w:tbl>
    <w:p w14:paraId="0DADA5F6" w14:textId="77777777" w:rsidR="004048BE" w:rsidRDefault="004048BE" w:rsidP="004048BE">
      <w:pPr>
        <w:pStyle w:val="Style1"/>
        <w:spacing w:line="240" w:lineRule="auto"/>
        <w:jc w:val="center"/>
      </w:pPr>
      <w:r>
        <w:rPr>
          <w:noProof/>
        </w:rPr>
        <w:drawing>
          <wp:inline distT="0" distB="0" distL="0" distR="0" wp14:anchorId="02D394BE" wp14:editId="3E2674C9">
            <wp:extent cx="3665349" cy="2308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69360" cy="2311046"/>
                    </a:xfrm>
                    <a:prstGeom prst="rect">
                      <a:avLst/>
                    </a:prstGeom>
                    <a:noFill/>
                    <a:ln>
                      <a:noFill/>
                    </a:ln>
                  </pic:spPr>
                </pic:pic>
              </a:graphicData>
            </a:graphic>
          </wp:inline>
        </w:drawing>
      </w:r>
    </w:p>
    <w:p w14:paraId="59C476E7" w14:textId="77777777" w:rsidR="004048BE" w:rsidRPr="004048BE" w:rsidRDefault="007E16D7" w:rsidP="004048BE">
      <w:pPr>
        <w:spacing w:before="100" w:beforeAutospacing="1" w:after="100" w:afterAutospacing="1"/>
        <w:jc w:val="center"/>
        <w:outlineLvl w:val="1"/>
        <w:rPr>
          <w:rFonts w:ascii="Arial" w:hAnsi="Arial" w:cs="Arial"/>
          <w:b/>
          <w:bCs/>
          <w:lang w:eastAsia="en-IN"/>
        </w:rPr>
      </w:pPr>
      <w:r>
        <w:rPr>
          <w:rStyle w:val="Strong"/>
          <w:rFonts w:ascii="Arial" w:hAnsi="Arial" w:cs="Arial"/>
          <w:bCs w:val="0"/>
        </w:rPr>
        <w:t>Fig.</w:t>
      </w:r>
      <w:r w:rsidRPr="00DF2C58">
        <w:rPr>
          <w:rStyle w:val="Strong"/>
          <w:rFonts w:ascii="Arial" w:hAnsi="Arial" w:cs="Arial"/>
          <w:bCs w:val="0"/>
        </w:rPr>
        <w:t xml:space="preserve"> </w:t>
      </w:r>
      <w:r w:rsidR="004048BE" w:rsidRPr="004048BE">
        <w:rPr>
          <w:rFonts w:ascii="Arial" w:hAnsi="Arial" w:cs="Arial"/>
          <w:b/>
          <w:bCs/>
          <w:lang w:eastAsia="en-IN"/>
        </w:rPr>
        <w:t>2. Detection Performance Comparison</w:t>
      </w:r>
    </w:p>
    <w:p w14:paraId="61126005"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This table 3 depicts that </w:t>
      </w:r>
      <w:proofErr w:type="spellStart"/>
      <w:r w:rsidRPr="004048BE">
        <w:rPr>
          <w:rStyle w:val="Style1Char"/>
          <w:rFonts w:eastAsiaTheme="minorHAnsi"/>
        </w:rPr>
        <w:t>KubeGuard</w:t>
      </w:r>
      <w:proofErr w:type="spellEnd"/>
      <w:r w:rsidRPr="004048BE">
        <w:rPr>
          <w:rStyle w:val="Style1Char"/>
          <w:rFonts w:eastAsiaTheme="minorHAnsi"/>
        </w:rPr>
        <w:t xml:space="preserve">-AI performs better in all types of attacks. Lateral motion and information exfiltration can be identified as the most prominent areas in which the traditional rule-based approaches fail to detect complex and stealthy actions. The performance justifies the application of ML sequence models and metadata-enhanced classifiers. This Figure 3 the detection accuracy (TPR) is demonstrated with regard to four types of attacks. </w:t>
      </w:r>
      <w:proofErr w:type="spellStart"/>
      <w:r w:rsidRPr="004048BE">
        <w:rPr>
          <w:rStyle w:val="Style1Char"/>
          <w:rFonts w:eastAsiaTheme="minorHAnsi"/>
        </w:rPr>
        <w:t>KubeGuard</w:t>
      </w:r>
      <w:proofErr w:type="spellEnd"/>
      <w:r w:rsidRPr="004048BE">
        <w:rPr>
          <w:rStyle w:val="Style1Char"/>
          <w:rFonts w:eastAsiaTheme="minorHAnsi"/>
        </w:rPr>
        <w:t xml:space="preserve">-AI is in the habit of being more successful than Falco, with up to 20 percent increased success rates in the detection of lateral movement and privilege escalation. It is important to note that both of them do well in </w:t>
      </w:r>
      <w:proofErr w:type="spellStart"/>
      <w:r w:rsidRPr="004048BE">
        <w:rPr>
          <w:rStyle w:val="Style1Char"/>
          <w:rFonts w:eastAsiaTheme="minorHAnsi"/>
        </w:rPr>
        <w:t>cryptomining</w:t>
      </w:r>
      <w:proofErr w:type="spellEnd"/>
      <w:r w:rsidRPr="004048BE">
        <w:rPr>
          <w:rStyle w:val="Style1Char"/>
          <w:rFonts w:eastAsiaTheme="minorHAnsi"/>
        </w:rPr>
        <w:t xml:space="preserve"> detection, although </w:t>
      </w:r>
      <w:proofErr w:type="spellStart"/>
      <w:r w:rsidRPr="004048BE">
        <w:rPr>
          <w:rStyle w:val="Style1Char"/>
          <w:rFonts w:eastAsiaTheme="minorHAnsi"/>
        </w:rPr>
        <w:t>KubeGuard</w:t>
      </w:r>
      <w:proofErr w:type="spellEnd"/>
      <w:r w:rsidRPr="004048BE">
        <w:rPr>
          <w:rStyle w:val="Style1Char"/>
          <w:rFonts w:eastAsiaTheme="minorHAnsi"/>
        </w:rPr>
        <w:t>-AI remains on the top (92.4% vs. 86.1). This reinforces the benefit of hybrid ML-based detection in recognizing complex attacks in which static rules fail.</w:t>
      </w:r>
    </w:p>
    <w:p w14:paraId="18FA936F"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3. Detection by Attack Class (TPR %)</w:t>
      </w:r>
    </w:p>
    <w:tbl>
      <w:tblPr>
        <w:tblStyle w:val="TableGrid"/>
        <w:tblW w:w="0" w:type="auto"/>
        <w:jc w:val="center"/>
        <w:tblLook w:val="04A0" w:firstRow="1" w:lastRow="0" w:firstColumn="1" w:lastColumn="0" w:noHBand="0" w:noVBand="1"/>
      </w:tblPr>
      <w:tblGrid>
        <w:gridCol w:w="1962"/>
        <w:gridCol w:w="1406"/>
        <w:gridCol w:w="1572"/>
      </w:tblGrid>
      <w:tr w:rsidR="004048BE" w:rsidRPr="00A64653" w14:paraId="7CE59FC9" w14:textId="77777777" w:rsidTr="0033772E">
        <w:trPr>
          <w:jc w:val="center"/>
        </w:trPr>
        <w:tc>
          <w:tcPr>
            <w:tcW w:w="0" w:type="auto"/>
            <w:hideMark/>
          </w:tcPr>
          <w:p w14:paraId="5FF6C737"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Attack Class</w:t>
            </w:r>
          </w:p>
        </w:tc>
        <w:tc>
          <w:tcPr>
            <w:tcW w:w="0" w:type="auto"/>
            <w:hideMark/>
          </w:tcPr>
          <w:p w14:paraId="1945642C"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Falco (rules)</w:t>
            </w:r>
          </w:p>
        </w:tc>
        <w:tc>
          <w:tcPr>
            <w:tcW w:w="0" w:type="auto"/>
            <w:hideMark/>
          </w:tcPr>
          <w:p w14:paraId="1620A1A3" w14:textId="77777777" w:rsidR="004048BE" w:rsidRPr="00A64653" w:rsidRDefault="004048BE" w:rsidP="004048BE">
            <w:pPr>
              <w:jc w:val="center"/>
              <w:rPr>
                <w:rFonts w:ascii="Arial" w:hAnsi="Arial" w:cs="Arial"/>
                <w:b/>
                <w:bCs/>
                <w:sz w:val="20"/>
                <w:szCs w:val="20"/>
              </w:rPr>
            </w:pPr>
            <w:proofErr w:type="spellStart"/>
            <w:r w:rsidRPr="00A64653">
              <w:rPr>
                <w:rFonts w:ascii="Arial" w:hAnsi="Arial" w:cs="Arial"/>
                <w:b/>
                <w:bCs/>
                <w:sz w:val="20"/>
                <w:szCs w:val="20"/>
              </w:rPr>
              <w:t>KubeGuard</w:t>
            </w:r>
            <w:proofErr w:type="spellEnd"/>
            <w:r w:rsidRPr="00A64653">
              <w:rPr>
                <w:rFonts w:ascii="Arial" w:hAnsi="Arial" w:cs="Arial"/>
                <w:b/>
                <w:bCs/>
                <w:sz w:val="20"/>
                <w:szCs w:val="20"/>
              </w:rPr>
              <w:t>-AI</w:t>
            </w:r>
          </w:p>
        </w:tc>
      </w:tr>
      <w:tr w:rsidR="004048BE" w:rsidRPr="00A64653" w14:paraId="3700A551" w14:textId="77777777" w:rsidTr="0033772E">
        <w:trPr>
          <w:jc w:val="center"/>
        </w:trPr>
        <w:tc>
          <w:tcPr>
            <w:tcW w:w="0" w:type="auto"/>
            <w:hideMark/>
          </w:tcPr>
          <w:p w14:paraId="102FDD5B"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Privilege Escalation</w:t>
            </w:r>
          </w:p>
        </w:tc>
        <w:tc>
          <w:tcPr>
            <w:tcW w:w="0" w:type="auto"/>
            <w:hideMark/>
          </w:tcPr>
          <w:p w14:paraId="174B9EF0"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69.5</w:t>
            </w:r>
          </w:p>
        </w:tc>
        <w:tc>
          <w:tcPr>
            <w:tcW w:w="0" w:type="auto"/>
            <w:hideMark/>
          </w:tcPr>
          <w:p w14:paraId="4B1D1D7A"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87.3</w:t>
            </w:r>
          </w:p>
        </w:tc>
      </w:tr>
      <w:tr w:rsidR="004048BE" w:rsidRPr="00A64653" w14:paraId="195BEB8B" w14:textId="77777777" w:rsidTr="0033772E">
        <w:trPr>
          <w:jc w:val="center"/>
        </w:trPr>
        <w:tc>
          <w:tcPr>
            <w:tcW w:w="0" w:type="auto"/>
            <w:hideMark/>
          </w:tcPr>
          <w:p w14:paraId="2ED2DFA8"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Lateral Movement</w:t>
            </w:r>
          </w:p>
        </w:tc>
        <w:tc>
          <w:tcPr>
            <w:tcW w:w="0" w:type="auto"/>
            <w:hideMark/>
          </w:tcPr>
          <w:p w14:paraId="6ADAF197"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64.0</w:t>
            </w:r>
          </w:p>
        </w:tc>
        <w:tc>
          <w:tcPr>
            <w:tcW w:w="0" w:type="auto"/>
            <w:hideMark/>
          </w:tcPr>
          <w:p w14:paraId="6C732B9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83.5</w:t>
            </w:r>
          </w:p>
        </w:tc>
      </w:tr>
      <w:tr w:rsidR="004048BE" w:rsidRPr="00A64653" w14:paraId="3267BBA9" w14:textId="77777777" w:rsidTr="0033772E">
        <w:trPr>
          <w:jc w:val="center"/>
        </w:trPr>
        <w:tc>
          <w:tcPr>
            <w:tcW w:w="0" w:type="auto"/>
            <w:hideMark/>
          </w:tcPr>
          <w:p w14:paraId="7667E313"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Cryptomining</w:t>
            </w:r>
            <w:proofErr w:type="spellEnd"/>
          </w:p>
        </w:tc>
        <w:tc>
          <w:tcPr>
            <w:tcW w:w="0" w:type="auto"/>
            <w:hideMark/>
          </w:tcPr>
          <w:p w14:paraId="0A7F36DC"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86.1</w:t>
            </w:r>
          </w:p>
        </w:tc>
        <w:tc>
          <w:tcPr>
            <w:tcW w:w="0" w:type="auto"/>
            <w:hideMark/>
          </w:tcPr>
          <w:p w14:paraId="4D68393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92.4</w:t>
            </w:r>
          </w:p>
        </w:tc>
      </w:tr>
      <w:tr w:rsidR="004048BE" w:rsidRPr="00A64653" w14:paraId="4FDA5CA4" w14:textId="77777777" w:rsidTr="0033772E">
        <w:trPr>
          <w:jc w:val="center"/>
        </w:trPr>
        <w:tc>
          <w:tcPr>
            <w:tcW w:w="0" w:type="auto"/>
            <w:hideMark/>
          </w:tcPr>
          <w:p w14:paraId="50972393"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Data Exfiltration</w:t>
            </w:r>
          </w:p>
        </w:tc>
        <w:tc>
          <w:tcPr>
            <w:tcW w:w="0" w:type="auto"/>
            <w:hideMark/>
          </w:tcPr>
          <w:p w14:paraId="513CAECB"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65.2</w:t>
            </w:r>
          </w:p>
        </w:tc>
        <w:tc>
          <w:tcPr>
            <w:tcW w:w="0" w:type="auto"/>
            <w:hideMark/>
          </w:tcPr>
          <w:p w14:paraId="200A8D45"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88.9</w:t>
            </w:r>
          </w:p>
        </w:tc>
      </w:tr>
    </w:tbl>
    <w:p w14:paraId="0720F1D9" w14:textId="77777777" w:rsidR="004048BE" w:rsidRDefault="004048BE" w:rsidP="004048BE">
      <w:pPr>
        <w:pStyle w:val="Style1"/>
        <w:spacing w:line="240" w:lineRule="auto"/>
        <w:jc w:val="center"/>
        <w:rPr>
          <w:rStyle w:val="Strong"/>
        </w:rPr>
      </w:pPr>
      <w:r>
        <w:rPr>
          <w:rStyle w:val="Strong"/>
          <w:noProof/>
        </w:rPr>
        <w:lastRenderedPageBreak/>
        <w:drawing>
          <wp:inline distT="0" distB="0" distL="0" distR="0" wp14:anchorId="6F30E277" wp14:editId="416CD0C7">
            <wp:extent cx="4099302" cy="20351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2570" cy="2036730"/>
                    </a:xfrm>
                    <a:prstGeom prst="rect">
                      <a:avLst/>
                    </a:prstGeom>
                    <a:noFill/>
                    <a:ln>
                      <a:noFill/>
                    </a:ln>
                  </pic:spPr>
                </pic:pic>
              </a:graphicData>
            </a:graphic>
          </wp:inline>
        </w:drawing>
      </w:r>
    </w:p>
    <w:p w14:paraId="15EAC563" w14:textId="77777777" w:rsidR="004048BE" w:rsidRPr="004048BE" w:rsidRDefault="007E16D7" w:rsidP="004048BE">
      <w:pPr>
        <w:spacing w:before="100" w:beforeAutospacing="1" w:after="100" w:afterAutospacing="1"/>
        <w:jc w:val="center"/>
        <w:outlineLvl w:val="1"/>
        <w:rPr>
          <w:rFonts w:ascii="Arial" w:hAnsi="Arial" w:cs="Arial"/>
          <w:b/>
          <w:lang w:eastAsia="en-IN"/>
        </w:rPr>
      </w:pPr>
      <w:r>
        <w:rPr>
          <w:rStyle w:val="Strong"/>
          <w:rFonts w:ascii="Arial" w:hAnsi="Arial" w:cs="Arial"/>
          <w:bCs w:val="0"/>
        </w:rPr>
        <w:t>Fig.</w:t>
      </w:r>
      <w:r w:rsidRPr="00DF2C58">
        <w:rPr>
          <w:rStyle w:val="Strong"/>
          <w:rFonts w:ascii="Arial" w:hAnsi="Arial" w:cs="Arial"/>
          <w:bCs w:val="0"/>
        </w:rPr>
        <w:t xml:space="preserve"> </w:t>
      </w:r>
      <w:r w:rsidR="004048BE" w:rsidRPr="004048BE">
        <w:rPr>
          <w:rFonts w:ascii="Arial" w:hAnsi="Arial" w:cs="Arial"/>
          <w:b/>
          <w:bCs/>
          <w:lang w:eastAsia="en-IN"/>
        </w:rPr>
        <w:t>3. Detection Accuracy by Attack Class</w:t>
      </w:r>
    </w:p>
    <w:p w14:paraId="6AA3193D"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This table 4 demonstrates the lightweight overhead of using the </w:t>
      </w:r>
      <w:proofErr w:type="spellStart"/>
      <w:r w:rsidRPr="004048BE">
        <w:rPr>
          <w:rStyle w:val="Style1Char"/>
          <w:rFonts w:eastAsiaTheme="minorHAnsi"/>
        </w:rPr>
        <w:t>KubeGuard</w:t>
      </w:r>
      <w:proofErr w:type="spellEnd"/>
      <w:r w:rsidRPr="004048BE">
        <w:rPr>
          <w:rStyle w:val="Style1Char"/>
          <w:rFonts w:eastAsiaTheme="minorHAnsi"/>
        </w:rPr>
        <w:t>-AI on the Kubernetes nodes. With local inference, the individual node consumption is still less than 8 percent CPU and approximately 265 MB of RAM which is modest relative to what node resources can provide. Further scalability of the solution can also be shown by offloading inference which minimizes this footprint. The overhead analysis will indicate the CPU (%) and RAM (MB) per node as represented in Figure 4. The most resource-intensive modules are the local inference and streaming &amp; enrichment (3.8% CPU, 120 MB RAM and less than 2.5% CPU, less than 90 MB RAM, respectively). In general, overhead is low compared to node capacity, which justifies real-time AI-enhanced monitoring can be achieved without compromising the performance of cluster computers.</w:t>
      </w:r>
    </w:p>
    <w:p w14:paraId="0E0C34CC" w14:textId="77777777" w:rsidR="004048BE" w:rsidRPr="004048BE" w:rsidRDefault="004048BE" w:rsidP="004048BE">
      <w:pPr>
        <w:spacing w:before="100" w:beforeAutospacing="1" w:after="100" w:afterAutospacing="1"/>
        <w:jc w:val="center"/>
        <w:outlineLvl w:val="1"/>
        <w:rPr>
          <w:rFonts w:ascii="Arial" w:hAnsi="Arial" w:cs="Arial"/>
          <w:b/>
          <w:bCs/>
          <w:lang w:eastAsia="en-IN"/>
        </w:rPr>
      </w:pPr>
      <w:r w:rsidRPr="004048BE">
        <w:rPr>
          <w:rFonts w:ascii="Arial" w:hAnsi="Arial" w:cs="Arial"/>
          <w:b/>
          <w:lang w:eastAsia="en-IN"/>
        </w:rPr>
        <w:t>Table 4. Resource Overhead Per Node</w:t>
      </w:r>
    </w:p>
    <w:tbl>
      <w:tblPr>
        <w:tblStyle w:val="TableGrid"/>
        <w:tblW w:w="0" w:type="auto"/>
        <w:jc w:val="center"/>
        <w:tblLook w:val="04A0" w:firstRow="1" w:lastRow="0" w:firstColumn="1" w:lastColumn="0" w:noHBand="0" w:noVBand="1"/>
      </w:tblPr>
      <w:tblGrid>
        <w:gridCol w:w="2384"/>
        <w:gridCol w:w="1005"/>
        <w:gridCol w:w="1172"/>
      </w:tblGrid>
      <w:tr w:rsidR="004048BE" w:rsidRPr="00A64653" w14:paraId="01303D1E" w14:textId="77777777" w:rsidTr="0033772E">
        <w:trPr>
          <w:jc w:val="center"/>
        </w:trPr>
        <w:tc>
          <w:tcPr>
            <w:tcW w:w="0" w:type="auto"/>
            <w:hideMark/>
          </w:tcPr>
          <w:p w14:paraId="05521E5A"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Component</w:t>
            </w:r>
          </w:p>
        </w:tc>
        <w:tc>
          <w:tcPr>
            <w:tcW w:w="0" w:type="auto"/>
            <w:hideMark/>
          </w:tcPr>
          <w:p w14:paraId="3A630490"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CPU (%)</w:t>
            </w:r>
          </w:p>
        </w:tc>
        <w:tc>
          <w:tcPr>
            <w:tcW w:w="0" w:type="auto"/>
            <w:hideMark/>
          </w:tcPr>
          <w:p w14:paraId="03B2E60D" w14:textId="77777777" w:rsidR="004048BE" w:rsidRPr="00A64653" w:rsidRDefault="004048BE" w:rsidP="004048BE">
            <w:pPr>
              <w:jc w:val="center"/>
              <w:rPr>
                <w:rFonts w:ascii="Arial" w:hAnsi="Arial" w:cs="Arial"/>
                <w:b/>
                <w:bCs/>
                <w:sz w:val="20"/>
                <w:szCs w:val="20"/>
              </w:rPr>
            </w:pPr>
            <w:r w:rsidRPr="00A64653">
              <w:rPr>
                <w:rFonts w:ascii="Arial" w:hAnsi="Arial" w:cs="Arial"/>
                <w:b/>
                <w:bCs/>
                <w:sz w:val="20"/>
                <w:szCs w:val="20"/>
              </w:rPr>
              <w:t>RAM (MB)</w:t>
            </w:r>
          </w:p>
        </w:tc>
      </w:tr>
      <w:tr w:rsidR="004048BE" w:rsidRPr="00A64653" w14:paraId="7C0CCA64" w14:textId="77777777" w:rsidTr="0033772E">
        <w:trPr>
          <w:jc w:val="center"/>
        </w:trPr>
        <w:tc>
          <w:tcPr>
            <w:tcW w:w="0" w:type="auto"/>
            <w:hideMark/>
          </w:tcPr>
          <w:p w14:paraId="32A56ACF" w14:textId="77777777" w:rsidR="004048BE" w:rsidRPr="00A64653" w:rsidRDefault="004048BE" w:rsidP="004048BE">
            <w:pPr>
              <w:jc w:val="center"/>
              <w:rPr>
                <w:rFonts w:ascii="Arial" w:hAnsi="Arial" w:cs="Arial"/>
                <w:sz w:val="20"/>
                <w:szCs w:val="20"/>
              </w:rPr>
            </w:pPr>
            <w:proofErr w:type="spellStart"/>
            <w:r w:rsidRPr="00A64653">
              <w:rPr>
                <w:rFonts w:ascii="Arial" w:hAnsi="Arial" w:cs="Arial"/>
                <w:sz w:val="20"/>
                <w:szCs w:val="20"/>
              </w:rPr>
              <w:t>eBPF</w:t>
            </w:r>
            <w:proofErr w:type="spellEnd"/>
            <w:r w:rsidRPr="00A64653">
              <w:rPr>
                <w:rFonts w:ascii="Arial" w:hAnsi="Arial" w:cs="Arial"/>
                <w:sz w:val="20"/>
                <w:szCs w:val="20"/>
              </w:rPr>
              <w:t xml:space="preserve"> Probe + Agent</w:t>
            </w:r>
          </w:p>
        </w:tc>
        <w:tc>
          <w:tcPr>
            <w:tcW w:w="0" w:type="auto"/>
            <w:hideMark/>
          </w:tcPr>
          <w:p w14:paraId="0EFF68E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2.4</w:t>
            </w:r>
          </w:p>
        </w:tc>
        <w:tc>
          <w:tcPr>
            <w:tcW w:w="0" w:type="auto"/>
            <w:hideMark/>
          </w:tcPr>
          <w:p w14:paraId="77686C39"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85</w:t>
            </w:r>
          </w:p>
        </w:tc>
      </w:tr>
      <w:tr w:rsidR="004048BE" w:rsidRPr="00A64653" w14:paraId="188E2293" w14:textId="77777777" w:rsidTr="0033772E">
        <w:trPr>
          <w:jc w:val="center"/>
        </w:trPr>
        <w:tc>
          <w:tcPr>
            <w:tcW w:w="0" w:type="auto"/>
            <w:hideMark/>
          </w:tcPr>
          <w:p w14:paraId="11BD5458"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Streaming &amp; Enrichment</w:t>
            </w:r>
          </w:p>
        </w:tc>
        <w:tc>
          <w:tcPr>
            <w:tcW w:w="0" w:type="auto"/>
            <w:hideMark/>
          </w:tcPr>
          <w:p w14:paraId="27596ABE"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1.6</w:t>
            </w:r>
          </w:p>
        </w:tc>
        <w:tc>
          <w:tcPr>
            <w:tcW w:w="0" w:type="auto"/>
            <w:hideMark/>
          </w:tcPr>
          <w:p w14:paraId="2C60CC66"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60</w:t>
            </w:r>
          </w:p>
        </w:tc>
      </w:tr>
      <w:tr w:rsidR="004048BE" w:rsidRPr="00A64653" w14:paraId="6565C92C" w14:textId="77777777" w:rsidTr="0033772E">
        <w:trPr>
          <w:jc w:val="center"/>
        </w:trPr>
        <w:tc>
          <w:tcPr>
            <w:tcW w:w="0" w:type="auto"/>
            <w:hideMark/>
          </w:tcPr>
          <w:p w14:paraId="1FD119C0"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Local Model Inference</w:t>
            </w:r>
          </w:p>
        </w:tc>
        <w:tc>
          <w:tcPr>
            <w:tcW w:w="0" w:type="auto"/>
            <w:hideMark/>
          </w:tcPr>
          <w:p w14:paraId="33D5A501"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3.8</w:t>
            </w:r>
          </w:p>
        </w:tc>
        <w:tc>
          <w:tcPr>
            <w:tcW w:w="0" w:type="auto"/>
            <w:hideMark/>
          </w:tcPr>
          <w:p w14:paraId="2627F16E" w14:textId="77777777" w:rsidR="004048BE" w:rsidRPr="00A64653" w:rsidRDefault="004048BE" w:rsidP="004048BE">
            <w:pPr>
              <w:jc w:val="center"/>
              <w:rPr>
                <w:rFonts w:ascii="Arial" w:hAnsi="Arial" w:cs="Arial"/>
                <w:sz w:val="20"/>
                <w:szCs w:val="20"/>
              </w:rPr>
            </w:pPr>
            <w:r w:rsidRPr="00A64653">
              <w:rPr>
                <w:rFonts w:ascii="Arial" w:hAnsi="Arial" w:cs="Arial"/>
                <w:sz w:val="20"/>
                <w:szCs w:val="20"/>
              </w:rPr>
              <w:t>120</w:t>
            </w:r>
          </w:p>
        </w:tc>
      </w:tr>
      <w:tr w:rsidR="004048BE" w:rsidRPr="00A64653" w14:paraId="04033ADE" w14:textId="77777777" w:rsidTr="0033772E">
        <w:trPr>
          <w:jc w:val="center"/>
        </w:trPr>
        <w:tc>
          <w:tcPr>
            <w:tcW w:w="0" w:type="auto"/>
            <w:hideMark/>
          </w:tcPr>
          <w:p w14:paraId="0CE39061"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Total (average)</w:t>
            </w:r>
          </w:p>
        </w:tc>
        <w:tc>
          <w:tcPr>
            <w:tcW w:w="0" w:type="auto"/>
            <w:hideMark/>
          </w:tcPr>
          <w:p w14:paraId="1126823A"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7.8</w:t>
            </w:r>
          </w:p>
        </w:tc>
        <w:tc>
          <w:tcPr>
            <w:tcW w:w="0" w:type="auto"/>
            <w:hideMark/>
          </w:tcPr>
          <w:p w14:paraId="0D5EAC43" w14:textId="77777777" w:rsidR="004048BE" w:rsidRPr="00A64653" w:rsidRDefault="004048BE" w:rsidP="004048BE">
            <w:pPr>
              <w:jc w:val="center"/>
              <w:rPr>
                <w:rFonts w:ascii="Arial" w:hAnsi="Arial" w:cs="Arial"/>
                <w:sz w:val="20"/>
                <w:szCs w:val="20"/>
              </w:rPr>
            </w:pPr>
            <w:r w:rsidRPr="00A64653">
              <w:rPr>
                <w:rStyle w:val="Strong"/>
                <w:rFonts w:ascii="Arial" w:hAnsi="Arial" w:cs="Arial"/>
                <w:sz w:val="20"/>
                <w:szCs w:val="20"/>
              </w:rPr>
              <w:t>265</w:t>
            </w:r>
          </w:p>
        </w:tc>
      </w:tr>
    </w:tbl>
    <w:p w14:paraId="0AF616CA" w14:textId="77777777" w:rsidR="004048BE" w:rsidRPr="00A64653" w:rsidRDefault="004048BE" w:rsidP="004048BE">
      <w:pPr>
        <w:pStyle w:val="Style1"/>
        <w:spacing w:line="240" w:lineRule="auto"/>
        <w:jc w:val="center"/>
      </w:pPr>
      <w:r>
        <w:rPr>
          <w:noProof/>
        </w:rPr>
        <w:drawing>
          <wp:inline distT="0" distB="0" distL="0" distR="0" wp14:anchorId="06924008" wp14:editId="33AF2F4D">
            <wp:extent cx="4432515" cy="2245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5312" cy="2247225"/>
                    </a:xfrm>
                    <a:prstGeom prst="rect">
                      <a:avLst/>
                    </a:prstGeom>
                    <a:noFill/>
                    <a:ln>
                      <a:noFill/>
                    </a:ln>
                  </pic:spPr>
                </pic:pic>
              </a:graphicData>
            </a:graphic>
          </wp:inline>
        </w:drawing>
      </w:r>
    </w:p>
    <w:p w14:paraId="1DD50971" w14:textId="77777777" w:rsidR="004048BE" w:rsidRPr="004048BE" w:rsidRDefault="007E16D7" w:rsidP="004048BE">
      <w:pPr>
        <w:spacing w:before="100" w:beforeAutospacing="1" w:after="100" w:afterAutospacing="1"/>
        <w:jc w:val="center"/>
        <w:outlineLvl w:val="1"/>
        <w:rPr>
          <w:rFonts w:ascii="Arial" w:hAnsi="Arial" w:cs="Arial"/>
          <w:b/>
          <w:lang w:eastAsia="en-IN"/>
        </w:rPr>
      </w:pPr>
      <w:r>
        <w:rPr>
          <w:rStyle w:val="Strong"/>
          <w:rFonts w:ascii="Arial" w:hAnsi="Arial" w:cs="Arial"/>
          <w:bCs w:val="0"/>
        </w:rPr>
        <w:lastRenderedPageBreak/>
        <w:t>Fig.</w:t>
      </w:r>
      <w:r w:rsidRPr="00DF2C58">
        <w:rPr>
          <w:rStyle w:val="Strong"/>
          <w:rFonts w:ascii="Arial" w:hAnsi="Arial" w:cs="Arial"/>
          <w:bCs w:val="0"/>
        </w:rPr>
        <w:t xml:space="preserve"> </w:t>
      </w:r>
      <w:r w:rsidR="004048BE" w:rsidRPr="004048BE">
        <w:rPr>
          <w:rFonts w:ascii="Arial" w:hAnsi="Arial" w:cs="Arial"/>
          <w:b/>
          <w:bCs/>
          <w:lang w:eastAsia="en-IN"/>
        </w:rPr>
        <w:t>4. Per-Node Resource Overhead</w:t>
      </w:r>
    </w:p>
    <w:p w14:paraId="10D80786" w14:textId="77777777" w:rsidR="00F86E74" w:rsidRPr="00F86E74" w:rsidRDefault="00F86E74" w:rsidP="004048BE">
      <w:pPr>
        <w:pStyle w:val="Body"/>
        <w:rPr>
          <w:rFonts w:ascii="Arial" w:hAnsi="Arial" w:cs="Arial"/>
          <w:b/>
          <w:sz w:val="22"/>
        </w:rPr>
      </w:pPr>
      <w:r w:rsidRPr="00F86E74">
        <w:rPr>
          <w:rFonts w:ascii="Arial" w:hAnsi="Arial" w:cs="Arial"/>
          <w:b/>
          <w:sz w:val="22"/>
        </w:rPr>
        <w:t xml:space="preserve">5.1. Discussion </w:t>
      </w:r>
    </w:p>
    <w:p w14:paraId="4AA5607E" w14:textId="77777777" w:rsidR="004048BE"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The findings underline the obvious benefit of the AI-assisted threat detection to the Kubernetes environment. </w:t>
      </w:r>
      <w:proofErr w:type="spellStart"/>
      <w:r w:rsidRPr="004048BE">
        <w:rPr>
          <w:rStyle w:val="Style1Char"/>
          <w:rFonts w:eastAsiaTheme="minorHAnsi"/>
        </w:rPr>
        <w:t>KubeGuard</w:t>
      </w:r>
      <w:proofErr w:type="spellEnd"/>
      <w:r w:rsidRPr="004048BE">
        <w:rPr>
          <w:rStyle w:val="Style1Char"/>
          <w:rFonts w:eastAsiaTheme="minorHAnsi"/>
        </w:rPr>
        <w:t>-AI was more accurate in detection, had lower latency, and better responsiveness to a wide range of attack types when compared to the traditional rule-based methods like Falco. The model specifically proved to be effective in detecting the existence of stealthy and advanced attack vectors such as lateral movement and privilege escalation that is largely undetected by traditional signature-based approaches. Although there was slight increase in false positives, this trade-off was tolerable with large improvements in detection reliability and possibilities of reducing potential undetected threats which may compromise system integrity.</w:t>
      </w:r>
    </w:p>
    <w:p w14:paraId="4573A02F" w14:textId="77777777" w:rsidR="00F86E74" w:rsidRPr="004048BE" w:rsidRDefault="004048BE" w:rsidP="004048BE">
      <w:pPr>
        <w:spacing w:before="100" w:beforeAutospacing="1" w:after="100" w:afterAutospacing="1"/>
        <w:jc w:val="both"/>
        <w:outlineLvl w:val="1"/>
        <w:rPr>
          <w:rStyle w:val="Style1Char"/>
          <w:rFonts w:eastAsiaTheme="minorHAnsi"/>
        </w:rPr>
      </w:pPr>
      <w:r w:rsidRPr="004048BE">
        <w:rPr>
          <w:rStyle w:val="Style1Char"/>
          <w:rFonts w:eastAsiaTheme="minorHAnsi"/>
        </w:rPr>
        <w:t xml:space="preserve">More importantly, the resource overhead analysis proved that the AI-enhanced security framework may be deployed without causing a significant load to Kubernetes nodes. Having less than 4% CPU load and memory usage that was far below what is acceptable, </w:t>
      </w:r>
      <w:proofErr w:type="spellStart"/>
      <w:r w:rsidRPr="004048BE">
        <w:rPr>
          <w:rStyle w:val="Style1Char"/>
          <w:rFonts w:eastAsiaTheme="minorHAnsi"/>
        </w:rPr>
        <w:t>KubeGuard</w:t>
      </w:r>
      <w:proofErr w:type="spellEnd"/>
      <w:r w:rsidRPr="004048BE">
        <w:rPr>
          <w:rStyle w:val="Style1Char"/>
          <w:rFonts w:eastAsiaTheme="minorHAnsi"/>
        </w:rPr>
        <w:t>-AI provides real time protection and maintains the general performance of the system. These results support the feasibility of deploying ML-based intelligence to live production clusters. Also, the trade-offs between the accuracy of detection and the efficiency of the system highlight the possibility to proceed to the autonomous, self-healing, and adaptive cloud-native security systems capable of developing with the new threats.</w:t>
      </w:r>
    </w:p>
    <w:p w14:paraId="7FD4FFD1" w14:textId="77777777" w:rsidR="00F86E74" w:rsidRPr="00F86E74" w:rsidRDefault="00F86E74" w:rsidP="004048BE">
      <w:pPr>
        <w:pStyle w:val="AbstHead"/>
        <w:jc w:val="both"/>
        <w:rPr>
          <w:rFonts w:ascii="Arial" w:hAnsi="Arial" w:cs="Arial"/>
        </w:rPr>
      </w:pPr>
      <w:r w:rsidRPr="00F86E74">
        <w:rPr>
          <w:rFonts w:ascii="Arial" w:hAnsi="Arial" w:cs="Arial"/>
        </w:rPr>
        <w:t>6. Conclusion</w:t>
      </w:r>
    </w:p>
    <w:p w14:paraId="2966DF7A" w14:textId="77777777" w:rsidR="004048BE" w:rsidRPr="004048BE" w:rsidRDefault="004048BE" w:rsidP="004048BE">
      <w:pPr>
        <w:pStyle w:val="Body"/>
        <w:rPr>
          <w:rFonts w:ascii="Arial" w:hAnsi="Arial" w:cs="Arial"/>
        </w:rPr>
      </w:pPr>
      <w:r w:rsidRPr="004048BE">
        <w:rPr>
          <w:rFonts w:ascii="Arial" w:hAnsi="Arial" w:cs="Arial"/>
        </w:rPr>
        <w:t>This study highlights the importance of the Artificial Intelligence in transforming cloud-native and Kubernetes-based system security strategies. In contrast to fixed security models, AI-based solutions allow adaptable, context-sensitive, and proactive defense solutions that can keep up with the dynamic characteristics of microservices and container orchestration architectures. The review validates that the latest models like federated learning, reinforcement learning are useful in overcoming limitations of scalability, data privacy and real-time anomaly detection. In addition, explainable AI increases transparency and trust and makes security decisions understandable and implementable by system administrators.</w:t>
      </w:r>
    </w:p>
    <w:p w14:paraId="6A980A2F" w14:textId="77777777" w:rsidR="00F86E74" w:rsidRDefault="004048BE" w:rsidP="004048BE">
      <w:pPr>
        <w:pStyle w:val="Body"/>
        <w:rPr>
          <w:rFonts w:ascii="Arial" w:hAnsi="Arial" w:cs="Arial"/>
        </w:rPr>
      </w:pPr>
      <w:r w:rsidRPr="004048BE">
        <w:rPr>
          <w:rFonts w:ascii="Arial" w:hAnsi="Arial" w:cs="Arial"/>
        </w:rPr>
        <w:t xml:space="preserve">As a prospect, predictive analytics, self-healing systems, and energy-saving AI converge, they will be one of the ways to achieve fully autonomous and resilient security architectures. Nevertheless, such issues as cross-platform </w:t>
      </w:r>
      <w:proofErr w:type="spellStart"/>
      <w:r w:rsidRPr="004048BE">
        <w:rPr>
          <w:rFonts w:ascii="Arial" w:hAnsi="Arial" w:cs="Arial"/>
        </w:rPr>
        <w:t>harmonisation</w:t>
      </w:r>
      <w:proofErr w:type="spellEnd"/>
      <w:r w:rsidRPr="004048BE">
        <w:rPr>
          <w:rFonts w:ascii="Arial" w:hAnsi="Arial" w:cs="Arial"/>
        </w:rPr>
        <w:t xml:space="preserve"> of policies, resource overheads, and adversarial AI attacks are still unexplored fields of research. Offering a unified overview of the latest innovations, this paper does not only contribute to the knowledge base on AI-enhanced access control, but also preconditions the further research into safe, scalable and sustainable cloud-native architectures.</w:t>
      </w:r>
    </w:p>
    <w:p w14:paraId="34C4B2CC" w14:textId="77777777" w:rsidR="00615362" w:rsidRDefault="00615362" w:rsidP="004048BE">
      <w:pPr>
        <w:pStyle w:val="Body"/>
        <w:rPr>
          <w:rFonts w:ascii="Arial" w:hAnsi="Arial" w:cs="Arial"/>
        </w:rPr>
      </w:pPr>
    </w:p>
    <w:p w14:paraId="1996FF51" w14:textId="77777777" w:rsidR="00615362" w:rsidRPr="00615362" w:rsidRDefault="00615362" w:rsidP="00615362">
      <w:pPr>
        <w:spacing w:after="200" w:line="276" w:lineRule="auto"/>
        <w:jc w:val="both"/>
        <w:outlineLvl w:val="0"/>
        <w:rPr>
          <w:rFonts w:ascii="Arial" w:eastAsiaTheme="minorEastAsia" w:hAnsi="Arial" w:cs="Arial"/>
          <w:sz w:val="22"/>
          <w:szCs w:val="22"/>
          <w:lang w:val="en-GB" w:eastAsia="en-GB"/>
        </w:rPr>
      </w:pPr>
      <w:r w:rsidRPr="00615362">
        <w:rPr>
          <w:rFonts w:ascii="Arial" w:eastAsiaTheme="minorEastAsia" w:hAnsi="Arial" w:cs="Arial"/>
          <w:b/>
          <w:bCs/>
          <w:sz w:val="22"/>
          <w:szCs w:val="22"/>
          <w:lang w:val="en-GB" w:eastAsia="en-GB"/>
        </w:rPr>
        <w:t>COMPETING INTERESTS DISCLAIMER:</w:t>
      </w:r>
    </w:p>
    <w:p w14:paraId="50CD909B" w14:textId="77777777" w:rsidR="00615362" w:rsidRDefault="00615362" w:rsidP="00615362">
      <w:pPr>
        <w:spacing w:after="200" w:line="276" w:lineRule="auto"/>
        <w:rPr>
          <w:rFonts w:asciiTheme="minorHAnsi" w:eastAsiaTheme="minorEastAsia" w:hAnsiTheme="minorHAnsi" w:cstheme="minorBidi"/>
          <w:sz w:val="22"/>
          <w:szCs w:val="22"/>
          <w:lang w:val="en-GB" w:eastAsia="en-GB"/>
        </w:rPr>
      </w:pPr>
      <w:r w:rsidRPr="0061536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E433CCD" w14:textId="77777777" w:rsidR="00AF64CA" w:rsidRDefault="00AF64CA" w:rsidP="00615362">
      <w:pPr>
        <w:spacing w:after="200" w:line="276" w:lineRule="auto"/>
        <w:rPr>
          <w:rFonts w:asciiTheme="minorHAnsi" w:eastAsiaTheme="minorEastAsia" w:hAnsiTheme="minorHAnsi" w:cstheme="minorBidi"/>
          <w:sz w:val="22"/>
          <w:szCs w:val="22"/>
          <w:lang w:val="en-GB" w:eastAsia="en-GB"/>
        </w:rPr>
      </w:pPr>
    </w:p>
    <w:p w14:paraId="32AEE9B3" w14:textId="7DD829C5" w:rsidR="00AF64CA" w:rsidRPr="00AF64CA" w:rsidRDefault="00AF64CA" w:rsidP="00615362">
      <w:pPr>
        <w:spacing w:after="200" w:line="276" w:lineRule="auto"/>
        <w:rPr>
          <w:rFonts w:asciiTheme="minorHAnsi" w:eastAsiaTheme="minorEastAsia" w:hAnsiTheme="minorHAnsi" w:cstheme="minorBidi"/>
          <w:b/>
          <w:bCs/>
          <w:sz w:val="22"/>
          <w:szCs w:val="22"/>
          <w:lang w:val="en-GB" w:eastAsia="en-GB"/>
        </w:rPr>
      </w:pPr>
      <w:r w:rsidRPr="00AF64CA">
        <w:rPr>
          <w:rFonts w:asciiTheme="minorHAnsi" w:eastAsiaTheme="minorEastAsia" w:hAnsiTheme="minorHAnsi" w:cstheme="minorBidi"/>
          <w:b/>
          <w:bCs/>
          <w:sz w:val="22"/>
          <w:szCs w:val="22"/>
          <w:lang w:val="en-GB" w:eastAsia="en-GB"/>
        </w:rPr>
        <w:lastRenderedPageBreak/>
        <w:t>DISCLAIMER (ARTIFICIAL INTELLIGENCE)</w:t>
      </w:r>
    </w:p>
    <w:p w14:paraId="75D9231D" w14:textId="3445F457" w:rsidR="00615362" w:rsidRPr="00615362" w:rsidRDefault="00AF64CA" w:rsidP="00615362">
      <w:pPr>
        <w:spacing w:after="200" w:line="276" w:lineRule="auto"/>
        <w:rPr>
          <w:rFonts w:asciiTheme="minorHAnsi" w:eastAsiaTheme="minorEastAsia" w:hAnsiTheme="minorHAnsi" w:cstheme="minorBidi"/>
          <w:sz w:val="22"/>
          <w:szCs w:val="22"/>
          <w:lang w:val="en-GB" w:eastAsia="en-GB"/>
        </w:rPr>
      </w:pPr>
      <w:r w:rsidRPr="00AF64CA">
        <w:rPr>
          <w:rFonts w:asciiTheme="minorHAnsi" w:eastAsiaTheme="minorEastAsia" w:hAnsiTheme="minorHAnsi" w:cstheme="minorBidi"/>
          <w:sz w:val="22"/>
          <w:szCs w:val="22"/>
          <w:lang w:val="en-GB" w:eastAsia="en-GB"/>
        </w:rPr>
        <w:t>Author(s) hereby declare that NO generative AI technologies such as Large Language Models (</w:t>
      </w:r>
      <w:proofErr w:type="spellStart"/>
      <w:r w:rsidRPr="00AF64CA">
        <w:rPr>
          <w:rFonts w:asciiTheme="minorHAnsi" w:eastAsiaTheme="minorEastAsia" w:hAnsiTheme="minorHAnsi" w:cstheme="minorBidi"/>
          <w:sz w:val="22"/>
          <w:szCs w:val="22"/>
          <w:lang w:val="en-GB" w:eastAsia="en-GB"/>
        </w:rPr>
        <w:t>ChatGPT</w:t>
      </w:r>
      <w:proofErr w:type="spellEnd"/>
      <w:r w:rsidRPr="00AF64CA">
        <w:rPr>
          <w:rFonts w:asciiTheme="minorHAnsi" w:eastAsiaTheme="minorEastAsia" w:hAnsiTheme="minorHAnsi" w:cstheme="minorBidi"/>
          <w:sz w:val="22"/>
          <w:szCs w:val="22"/>
          <w:lang w:val="en-GB" w:eastAsia="en-GB"/>
        </w:rPr>
        <w:t>, COPILOT, etc.) and text-to-image generators have been used during the writing or editing of this manuscript.</w:t>
      </w:r>
    </w:p>
    <w:p w14:paraId="5BA24BC4" w14:textId="77777777" w:rsidR="00615362" w:rsidRDefault="00615362" w:rsidP="004048BE">
      <w:pPr>
        <w:pStyle w:val="Body"/>
        <w:rPr>
          <w:rFonts w:ascii="Arial" w:hAnsi="Arial" w:cs="Arial"/>
        </w:rPr>
      </w:pPr>
    </w:p>
    <w:p w14:paraId="06733BA9" w14:textId="77777777" w:rsidR="00170233" w:rsidRDefault="00170233" w:rsidP="004048BE">
      <w:pPr>
        <w:pStyle w:val="Body"/>
        <w:rPr>
          <w:rFonts w:ascii="Arial" w:hAnsi="Arial" w:cs="Arial"/>
        </w:rPr>
      </w:pPr>
    </w:p>
    <w:p w14:paraId="65CB961F" w14:textId="77777777" w:rsidR="00F86E74" w:rsidRDefault="00F86E74" w:rsidP="00F86E74">
      <w:pPr>
        <w:pStyle w:val="AbstHead"/>
        <w:jc w:val="both"/>
        <w:rPr>
          <w:rFonts w:ascii="Arial" w:hAnsi="Arial" w:cs="Arial"/>
          <w:sz w:val="20"/>
          <w:lang w:eastAsia="en-IN"/>
        </w:rPr>
      </w:pPr>
      <w:r w:rsidRPr="00F86E74">
        <w:rPr>
          <w:rFonts w:ascii="Arial" w:hAnsi="Arial" w:cs="Arial"/>
        </w:rPr>
        <w:t>References</w:t>
      </w:r>
    </w:p>
    <w:p w14:paraId="4E4B166D"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r>
        <w:rPr>
          <w:rFonts w:ascii="Arial" w:hAnsi="Arial" w:cs="Arial"/>
          <w:lang w:eastAsia="en-IN"/>
        </w:rPr>
        <w:t xml:space="preserve"> </w:t>
      </w:r>
      <w:proofErr w:type="spellStart"/>
      <w:r w:rsidRPr="007215A4">
        <w:rPr>
          <w:rFonts w:ascii="Arial" w:hAnsi="Arial" w:cs="Arial"/>
          <w:sz w:val="20"/>
          <w:szCs w:val="20"/>
        </w:rPr>
        <w:t>Alshamrani</w:t>
      </w:r>
      <w:proofErr w:type="spellEnd"/>
      <w:r w:rsidRPr="007215A4">
        <w:rPr>
          <w:rFonts w:ascii="Arial" w:hAnsi="Arial" w:cs="Arial"/>
          <w:sz w:val="20"/>
          <w:szCs w:val="20"/>
        </w:rPr>
        <w:t xml:space="preserve">, A., Myneni, S., Chowdhary, A., &amp; Huang, D. (2021). A survey on advanced persistent threats: Techniques, solutions, challenges, and research opportunities. Computers &amp; Security, 102, 102162.  </w:t>
      </w:r>
    </w:p>
    <w:p w14:paraId="31A83468" w14:textId="77777777" w:rsidR="004048BE" w:rsidRPr="007215A4" w:rsidRDefault="004048BE" w:rsidP="004048BE">
      <w:pPr>
        <w:pStyle w:val="ListParagraph"/>
        <w:numPr>
          <w:ilvl w:val="0"/>
          <w:numId w:val="32"/>
        </w:numPr>
        <w:spacing w:line="240" w:lineRule="auto"/>
        <w:ind w:hanging="578"/>
        <w:jc w:val="both"/>
        <w:rPr>
          <w:rFonts w:ascii="Arial" w:hAnsi="Arial" w:cs="Arial"/>
          <w:sz w:val="20"/>
          <w:szCs w:val="20"/>
        </w:rPr>
      </w:pPr>
      <w:proofErr w:type="spellStart"/>
      <w:r w:rsidRPr="007215A4">
        <w:rPr>
          <w:rFonts w:ascii="Arial" w:hAnsi="Arial" w:cs="Arial"/>
          <w:sz w:val="20"/>
          <w:szCs w:val="20"/>
        </w:rPr>
        <w:t>Gruschka</w:t>
      </w:r>
      <w:proofErr w:type="spellEnd"/>
      <w:r w:rsidRPr="007215A4">
        <w:rPr>
          <w:rFonts w:ascii="Arial" w:hAnsi="Arial" w:cs="Arial"/>
          <w:sz w:val="20"/>
          <w:szCs w:val="20"/>
        </w:rPr>
        <w:t xml:space="preserve">, N., </w:t>
      </w:r>
      <w:proofErr w:type="spellStart"/>
      <w:r w:rsidRPr="007215A4">
        <w:rPr>
          <w:rFonts w:ascii="Arial" w:hAnsi="Arial" w:cs="Arial"/>
          <w:sz w:val="20"/>
          <w:szCs w:val="20"/>
        </w:rPr>
        <w:t>Mavroeidis</w:t>
      </w:r>
      <w:proofErr w:type="spellEnd"/>
      <w:r w:rsidRPr="007215A4">
        <w:rPr>
          <w:rFonts w:ascii="Arial" w:hAnsi="Arial" w:cs="Arial"/>
          <w:sz w:val="20"/>
          <w:szCs w:val="20"/>
        </w:rPr>
        <w:t xml:space="preserve">, V., </w:t>
      </w:r>
      <w:proofErr w:type="spellStart"/>
      <w:r w:rsidRPr="007215A4">
        <w:rPr>
          <w:rFonts w:ascii="Arial" w:hAnsi="Arial" w:cs="Arial"/>
          <w:sz w:val="20"/>
          <w:szCs w:val="20"/>
        </w:rPr>
        <w:t>Vishi</w:t>
      </w:r>
      <w:proofErr w:type="spellEnd"/>
      <w:r w:rsidRPr="007215A4">
        <w:rPr>
          <w:rFonts w:ascii="Arial" w:hAnsi="Arial" w:cs="Arial"/>
          <w:sz w:val="20"/>
          <w:szCs w:val="20"/>
        </w:rPr>
        <w:t xml:space="preserve">, K., &amp; Jensen, M. (2021). Privacy issues and data protection in big data: A case study analysis under GDPR. IEEE Access, 9, 140134–140148.  </w:t>
      </w:r>
    </w:p>
    <w:p w14:paraId="0A02D5E7" w14:textId="5EA9271B" w:rsidR="00CB5877" w:rsidRPr="007215A4" w:rsidRDefault="00CB5877" w:rsidP="004048BE">
      <w:pPr>
        <w:pStyle w:val="ListParagraph"/>
        <w:numPr>
          <w:ilvl w:val="0"/>
          <w:numId w:val="32"/>
        </w:numPr>
        <w:spacing w:line="240" w:lineRule="auto"/>
        <w:ind w:hanging="578"/>
        <w:jc w:val="both"/>
        <w:rPr>
          <w:rFonts w:ascii="Arial" w:hAnsi="Arial" w:cs="Arial"/>
          <w:sz w:val="20"/>
          <w:szCs w:val="20"/>
        </w:rPr>
      </w:pPr>
      <w:proofErr w:type="spellStart"/>
      <w:r w:rsidRPr="00CB5877">
        <w:rPr>
          <w:rFonts w:ascii="Arial" w:hAnsi="Arial" w:cs="Arial"/>
          <w:sz w:val="20"/>
          <w:szCs w:val="20"/>
        </w:rPr>
        <w:t>Kohyarnejadfard</w:t>
      </w:r>
      <w:proofErr w:type="spellEnd"/>
      <w:r w:rsidRPr="00CB5877">
        <w:rPr>
          <w:rFonts w:ascii="Arial" w:hAnsi="Arial" w:cs="Arial"/>
          <w:sz w:val="20"/>
          <w:szCs w:val="20"/>
        </w:rPr>
        <w:t xml:space="preserve">, I., </w:t>
      </w:r>
      <w:proofErr w:type="spellStart"/>
      <w:r w:rsidRPr="00CB5877">
        <w:rPr>
          <w:rFonts w:ascii="Arial" w:hAnsi="Arial" w:cs="Arial"/>
          <w:sz w:val="20"/>
          <w:szCs w:val="20"/>
        </w:rPr>
        <w:t>Aloise</w:t>
      </w:r>
      <w:proofErr w:type="spellEnd"/>
      <w:r w:rsidRPr="00CB5877">
        <w:rPr>
          <w:rFonts w:ascii="Arial" w:hAnsi="Arial" w:cs="Arial"/>
          <w:sz w:val="20"/>
          <w:szCs w:val="20"/>
        </w:rPr>
        <w:t xml:space="preserve">, D., </w:t>
      </w:r>
      <w:proofErr w:type="spellStart"/>
      <w:proofErr w:type="gramStart"/>
      <w:r w:rsidRPr="00CB5877">
        <w:rPr>
          <w:rFonts w:ascii="Arial" w:hAnsi="Arial" w:cs="Arial"/>
          <w:sz w:val="20"/>
          <w:szCs w:val="20"/>
        </w:rPr>
        <w:t>Azhari</w:t>
      </w:r>
      <w:proofErr w:type="spellEnd"/>
      <w:r w:rsidRPr="00CB5877">
        <w:rPr>
          <w:rFonts w:ascii="Arial" w:hAnsi="Arial" w:cs="Arial"/>
          <w:sz w:val="20"/>
          <w:szCs w:val="20"/>
        </w:rPr>
        <w:t xml:space="preserve"> ,</w:t>
      </w:r>
      <w:proofErr w:type="gramEnd"/>
      <w:r w:rsidRPr="00CB5877">
        <w:rPr>
          <w:rFonts w:ascii="Arial" w:hAnsi="Arial" w:cs="Arial"/>
          <w:sz w:val="20"/>
          <w:szCs w:val="20"/>
        </w:rPr>
        <w:t xml:space="preserve"> S. V., &amp; </w:t>
      </w:r>
      <w:proofErr w:type="spellStart"/>
      <w:r w:rsidRPr="00CB5877">
        <w:rPr>
          <w:rFonts w:ascii="Arial" w:hAnsi="Arial" w:cs="Arial"/>
          <w:sz w:val="20"/>
          <w:szCs w:val="20"/>
        </w:rPr>
        <w:t>Dagenais</w:t>
      </w:r>
      <w:proofErr w:type="spellEnd"/>
      <w:r w:rsidRPr="00CB5877">
        <w:rPr>
          <w:rFonts w:ascii="Arial" w:hAnsi="Arial" w:cs="Arial"/>
          <w:sz w:val="20"/>
          <w:szCs w:val="20"/>
        </w:rPr>
        <w:t>, M. R. (2022). Anomaly detection in microservice environments using distributed tracing data analysis and NLP. Journal of Cloud Computing, 11. https://doi.org/https://doi.org/10.1186/s13677-022-00296-4</w:t>
      </w:r>
    </w:p>
    <w:p w14:paraId="229061A5" w14:textId="3E8742A0" w:rsidR="004048BE" w:rsidRPr="007215A4" w:rsidRDefault="00F50618" w:rsidP="004048BE">
      <w:pPr>
        <w:pStyle w:val="ListParagraph"/>
        <w:numPr>
          <w:ilvl w:val="0"/>
          <w:numId w:val="32"/>
        </w:numPr>
        <w:spacing w:line="240" w:lineRule="auto"/>
        <w:ind w:hanging="578"/>
        <w:jc w:val="both"/>
        <w:rPr>
          <w:rFonts w:ascii="Arial" w:hAnsi="Arial" w:cs="Arial"/>
          <w:sz w:val="20"/>
          <w:szCs w:val="20"/>
        </w:rPr>
      </w:pPr>
      <w:proofErr w:type="spellStart"/>
      <w:r w:rsidRPr="00F50618">
        <w:rPr>
          <w:rFonts w:ascii="Arial" w:hAnsi="Arial" w:cs="Arial"/>
          <w:sz w:val="20"/>
          <w:szCs w:val="20"/>
        </w:rPr>
        <w:t>Tigera</w:t>
      </w:r>
      <w:proofErr w:type="spellEnd"/>
      <w:r w:rsidRPr="00F50618">
        <w:rPr>
          <w:rFonts w:ascii="Arial" w:hAnsi="Arial" w:cs="Arial"/>
          <w:sz w:val="20"/>
          <w:szCs w:val="20"/>
        </w:rPr>
        <w:t xml:space="preserve">. (2022, May 4). Runtime security for cloud-native applications with </w:t>
      </w:r>
      <w:proofErr w:type="spellStart"/>
      <w:r w:rsidRPr="00F50618">
        <w:rPr>
          <w:rFonts w:ascii="Arial" w:hAnsi="Arial" w:cs="Arial"/>
          <w:sz w:val="20"/>
          <w:szCs w:val="20"/>
        </w:rPr>
        <w:t>eBPF</w:t>
      </w:r>
      <w:proofErr w:type="spellEnd"/>
      <w:r w:rsidRPr="00F50618">
        <w:rPr>
          <w:rFonts w:ascii="Arial" w:hAnsi="Arial" w:cs="Arial"/>
          <w:sz w:val="20"/>
          <w:szCs w:val="20"/>
        </w:rPr>
        <w:t xml:space="preserve">. </w:t>
      </w:r>
      <w:proofErr w:type="spellStart"/>
      <w:r w:rsidRPr="00F50618">
        <w:rPr>
          <w:rFonts w:ascii="Arial" w:hAnsi="Arial" w:cs="Arial"/>
          <w:sz w:val="20"/>
          <w:szCs w:val="20"/>
        </w:rPr>
        <w:t>SecuritySenses</w:t>
      </w:r>
      <w:proofErr w:type="spellEnd"/>
      <w:r w:rsidRPr="00F50618">
        <w:rPr>
          <w:rFonts w:ascii="Arial" w:hAnsi="Arial" w:cs="Arial"/>
          <w:sz w:val="20"/>
          <w:szCs w:val="20"/>
        </w:rPr>
        <w:t>.</w:t>
      </w:r>
    </w:p>
    <w:p w14:paraId="0950AE16" w14:textId="1E1F5326" w:rsidR="00C31200" w:rsidRPr="007215A4" w:rsidRDefault="0091122E" w:rsidP="004048BE">
      <w:pPr>
        <w:pStyle w:val="ListParagraph"/>
        <w:numPr>
          <w:ilvl w:val="0"/>
          <w:numId w:val="32"/>
        </w:numPr>
        <w:spacing w:line="240" w:lineRule="auto"/>
        <w:ind w:hanging="578"/>
        <w:jc w:val="both"/>
        <w:rPr>
          <w:rFonts w:ascii="Arial" w:hAnsi="Arial" w:cs="Arial"/>
          <w:sz w:val="20"/>
          <w:szCs w:val="20"/>
        </w:rPr>
      </w:pPr>
      <w:r w:rsidRPr="0091122E">
        <w:rPr>
          <w:rFonts w:ascii="Arial" w:hAnsi="Arial" w:cs="Arial"/>
          <w:sz w:val="20"/>
          <w:szCs w:val="20"/>
        </w:rPr>
        <w:t xml:space="preserve">Lim, S. Y., </w:t>
      </w:r>
      <w:proofErr w:type="spellStart"/>
      <w:r w:rsidRPr="0091122E">
        <w:rPr>
          <w:rFonts w:ascii="Arial" w:hAnsi="Arial" w:cs="Arial"/>
          <w:sz w:val="20"/>
          <w:szCs w:val="20"/>
        </w:rPr>
        <w:t>Stelea</w:t>
      </w:r>
      <w:proofErr w:type="spellEnd"/>
      <w:r w:rsidRPr="0091122E">
        <w:rPr>
          <w:rFonts w:ascii="Arial" w:hAnsi="Arial" w:cs="Arial"/>
          <w:sz w:val="20"/>
          <w:szCs w:val="20"/>
        </w:rPr>
        <w:t xml:space="preserve">, B., Han, X., &amp; </w:t>
      </w:r>
      <w:proofErr w:type="spellStart"/>
      <w:r w:rsidRPr="0091122E">
        <w:rPr>
          <w:rFonts w:ascii="Arial" w:hAnsi="Arial" w:cs="Arial"/>
          <w:sz w:val="20"/>
          <w:szCs w:val="20"/>
        </w:rPr>
        <w:t>Pasquier</w:t>
      </w:r>
      <w:proofErr w:type="spellEnd"/>
      <w:r w:rsidRPr="0091122E">
        <w:rPr>
          <w:rFonts w:ascii="Arial" w:hAnsi="Arial" w:cs="Arial"/>
          <w:sz w:val="20"/>
          <w:szCs w:val="20"/>
        </w:rPr>
        <w:t xml:space="preserve">, T. (2021). Secure </w:t>
      </w:r>
      <w:proofErr w:type="spellStart"/>
      <w:r w:rsidRPr="0091122E">
        <w:rPr>
          <w:rFonts w:ascii="Arial" w:hAnsi="Arial" w:cs="Arial"/>
          <w:sz w:val="20"/>
          <w:szCs w:val="20"/>
        </w:rPr>
        <w:t>Namespaced</w:t>
      </w:r>
      <w:proofErr w:type="spellEnd"/>
      <w:r w:rsidRPr="0091122E">
        <w:rPr>
          <w:rFonts w:ascii="Arial" w:hAnsi="Arial" w:cs="Arial"/>
          <w:sz w:val="20"/>
          <w:szCs w:val="20"/>
        </w:rPr>
        <w:t xml:space="preserve"> Kernel Audit for Containers. In ACM Symposium on Cloud Computing (Vol. 1). https://doi.org/10.48550/arXiv.2111.02481</w:t>
      </w:r>
    </w:p>
    <w:p w14:paraId="2357B474" w14:textId="4E76F33F" w:rsidR="004048BE" w:rsidRPr="0039477F" w:rsidRDefault="0039477F" w:rsidP="004558FE">
      <w:pPr>
        <w:pStyle w:val="ListParagraph"/>
        <w:numPr>
          <w:ilvl w:val="0"/>
          <w:numId w:val="32"/>
        </w:numPr>
        <w:spacing w:line="240" w:lineRule="auto"/>
        <w:ind w:hanging="578"/>
        <w:jc w:val="both"/>
        <w:rPr>
          <w:rFonts w:ascii="Arial" w:hAnsi="Arial" w:cs="Arial"/>
          <w:sz w:val="20"/>
          <w:szCs w:val="20"/>
        </w:rPr>
      </w:pPr>
      <w:proofErr w:type="spellStart"/>
      <w:r w:rsidRPr="0039477F">
        <w:rPr>
          <w:rFonts w:ascii="Arial" w:hAnsi="Arial" w:cs="Arial"/>
          <w:sz w:val="20"/>
          <w:szCs w:val="20"/>
        </w:rPr>
        <w:t>Hariprasad</w:t>
      </w:r>
      <w:proofErr w:type="spellEnd"/>
      <w:r w:rsidRPr="0039477F">
        <w:rPr>
          <w:rFonts w:ascii="Arial" w:hAnsi="Arial" w:cs="Arial"/>
          <w:sz w:val="20"/>
          <w:szCs w:val="20"/>
        </w:rPr>
        <w:t xml:space="preserve"> </w:t>
      </w:r>
      <w:proofErr w:type="spellStart"/>
      <w:r w:rsidRPr="0039477F">
        <w:rPr>
          <w:rFonts w:ascii="Arial" w:hAnsi="Arial" w:cs="Arial"/>
          <w:sz w:val="20"/>
          <w:szCs w:val="20"/>
        </w:rPr>
        <w:t>Sivaraman</w:t>
      </w:r>
      <w:proofErr w:type="spellEnd"/>
      <w:r w:rsidRPr="0039477F">
        <w:rPr>
          <w:rFonts w:ascii="Arial" w:hAnsi="Arial" w:cs="Arial"/>
          <w:sz w:val="20"/>
          <w:szCs w:val="20"/>
        </w:rPr>
        <w:t>. (2024). ML-Based Threat Detection for Container Network Security in Kubernetes. INTERNATIONAL JOURNAL OF INNOVATIVE RESEARCH AND CREATIVE TECHNOLOGY, 10(1), 1–8.</w:t>
      </w:r>
      <w:r w:rsidR="004048BE" w:rsidRPr="0039477F">
        <w:rPr>
          <w:rFonts w:ascii="Arial" w:hAnsi="Arial" w:cs="Arial"/>
          <w:sz w:val="20"/>
          <w:szCs w:val="20"/>
        </w:rPr>
        <w:t xml:space="preserve"> </w:t>
      </w:r>
    </w:p>
    <w:p w14:paraId="78556B8A" w14:textId="75C07506" w:rsidR="0039477F" w:rsidRPr="00CC2E8F" w:rsidRDefault="0039477F" w:rsidP="0067545C">
      <w:pPr>
        <w:pStyle w:val="ListParagraph"/>
        <w:numPr>
          <w:ilvl w:val="0"/>
          <w:numId w:val="32"/>
        </w:numPr>
        <w:spacing w:line="240" w:lineRule="auto"/>
        <w:ind w:hanging="578"/>
        <w:jc w:val="both"/>
        <w:rPr>
          <w:rFonts w:ascii="Arial" w:hAnsi="Arial" w:cs="Arial"/>
          <w:sz w:val="20"/>
          <w:szCs w:val="20"/>
        </w:rPr>
      </w:pPr>
      <w:r w:rsidRPr="00CC2E8F">
        <w:rPr>
          <w:rFonts w:ascii="Arial" w:hAnsi="Arial" w:cs="Arial"/>
          <w:sz w:val="20"/>
          <w:szCs w:val="20"/>
        </w:rPr>
        <w:t xml:space="preserve">Chen, Q., Liu, Y., Tan, R. et al. </w:t>
      </w:r>
      <w:proofErr w:type="spellStart"/>
      <w:r w:rsidRPr="00CC2E8F">
        <w:rPr>
          <w:rFonts w:ascii="Arial" w:hAnsi="Arial" w:cs="Arial"/>
          <w:sz w:val="20"/>
          <w:szCs w:val="20"/>
        </w:rPr>
        <w:t>Shadowkube</w:t>
      </w:r>
      <w:proofErr w:type="spellEnd"/>
      <w:r w:rsidRPr="00CC2E8F">
        <w:rPr>
          <w:rFonts w:ascii="Arial" w:hAnsi="Arial" w:cs="Arial"/>
          <w:sz w:val="20"/>
          <w:szCs w:val="20"/>
        </w:rPr>
        <w:t xml:space="preserve">: enhancing Kubernetes security with </w:t>
      </w:r>
      <w:proofErr w:type="spellStart"/>
      <w:r w:rsidRPr="00CC2E8F">
        <w:rPr>
          <w:rFonts w:ascii="Arial" w:hAnsi="Arial" w:cs="Arial"/>
          <w:sz w:val="20"/>
          <w:szCs w:val="20"/>
        </w:rPr>
        <w:t>behavioral</w:t>
      </w:r>
      <w:proofErr w:type="spellEnd"/>
      <w:r w:rsidRPr="00CC2E8F">
        <w:rPr>
          <w:rFonts w:ascii="Arial" w:hAnsi="Arial" w:cs="Arial"/>
          <w:sz w:val="20"/>
          <w:szCs w:val="20"/>
        </w:rPr>
        <w:t xml:space="preserve"> monitoring and honeypot integration. Cybersecurity 8, 63 (2025). https://doi.org/10.1186/s42400-025-00372-7</w:t>
      </w:r>
    </w:p>
    <w:p w14:paraId="3C32B552" w14:textId="5D3735CC" w:rsidR="00CC2E8F" w:rsidRPr="00257848" w:rsidRDefault="00257848" w:rsidP="008F1591">
      <w:pPr>
        <w:pStyle w:val="ListParagraph"/>
        <w:numPr>
          <w:ilvl w:val="0"/>
          <w:numId w:val="32"/>
        </w:numPr>
        <w:spacing w:line="240" w:lineRule="auto"/>
        <w:ind w:hanging="578"/>
        <w:jc w:val="both"/>
        <w:rPr>
          <w:rFonts w:ascii="Arial" w:hAnsi="Arial" w:cs="Arial"/>
          <w:sz w:val="20"/>
          <w:szCs w:val="20"/>
        </w:rPr>
      </w:pPr>
      <w:r w:rsidRPr="00257848">
        <w:rPr>
          <w:rFonts w:ascii="Arial" w:hAnsi="Arial" w:cs="Arial"/>
          <w:sz w:val="20"/>
          <w:szCs w:val="20"/>
        </w:rPr>
        <w:t xml:space="preserve">Jacob, S., </w:t>
      </w:r>
      <w:proofErr w:type="spellStart"/>
      <w:r w:rsidRPr="00257848">
        <w:rPr>
          <w:rFonts w:ascii="Arial" w:hAnsi="Arial" w:cs="Arial"/>
          <w:sz w:val="20"/>
          <w:szCs w:val="20"/>
        </w:rPr>
        <w:t>Qiao</w:t>
      </w:r>
      <w:proofErr w:type="spellEnd"/>
      <w:r w:rsidRPr="00257848">
        <w:rPr>
          <w:rFonts w:ascii="Arial" w:hAnsi="Arial" w:cs="Arial"/>
          <w:sz w:val="20"/>
          <w:szCs w:val="20"/>
        </w:rPr>
        <w:t>, Y., Ye, Y., &amp; Lee, B. (2022). Anomalous distributed traffic: Detecting cyber security attacks amongst microservices using graph convolutional networks. Computers &amp; Security, 118, 102728. https://doi.org/10.1016/j.cose.2022.102728</w:t>
      </w:r>
    </w:p>
    <w:p w14:paraId="64750B88" w14:textId="5F867208" w:rsidR="00257848" w:rsidRPr="003A2087" w:rsidRDefault="004048BE" w:rsidP="00257848">
      <w:pPr>
        <w:pStyle w:val="ListParagraph"/>
        <w:numPr>
          <w:ilvl w:val="0"/>
          <w:numId w:val="32"/>
        </w:numPr>
        <w:spacing w:line="240" w:lineRule="auto"/>
        <w:ind w:hanging="578"/>
        <w:jc w:val="both"/>
        <w:rPr>
          <w:rFonts w:ascii="Arial" w:hAnsi="Arial" w:cs="Arial"/>
          <w:sz w:val="20"/>
          <w:szCs w:val="20"/>
        </w:rPr>
      </w:pPr>
      <w:proofErr w:type="spellStart"/>
      <w:r w:rsidRPr="00D823FA">
        <w:rPr>
          <w:rFonts w:ascii="Arial" w:hAnsi="Arial" w:cs="Arial"/>
          <w:sz w:val="20"/>
          <w:szCs w:val="20"/>
        </w:rPr>
        <w:t>Adwani</w:t>
      </w:r>
      <w:proofErr w:type="spellEnd"/>
      <w:r w:rsidRPr="00D823FA">
        <w:rPr>
          <w:rFonts w:ascii="Arial" w:hAnsi="Arial" w:cs="Arial"/>
          <w:sz w:val="20"/>
          <w:szCs w:val="20"/>
        </w:rPr>
        <w:t>, Arun. "The Role of AI and Big Data in Enhancing Financial Risk Assessment Models." Available at SSRN 5201777 (2025).</w:t>
      </w:r>
      <w:r w:rsidRPr="007215A4">
        <w:rPr>
          <w:rFonts w:ascii="Arial" w:hAnsi="Arial" w:cs="Arial"/>
          <w:sz w:val="20"/>
          <w:szCs w:val="20"/>
        </w:rPr>
        <w:t xml:space="preserve">  </w:t>
      </w:r>
    </w:p>
    <w:p w14:paraId="27155DB1" w14:textId="6B38C9A3" w:rsidR="003A2087" w:rsidRDefault="003A2087" w:rsidP="004048BE">
      <w:pPr>
        <w:pStyle w:val="ListParagraph"/>
        <w:numPr>
          <w:ilvl w:val="0"/>
          <w:numId w:val="32"/>
        </w:numPr>
        <w:spacing w:line="240" w:lineRule="auto"/>
        <w:ind w:hanging="578"/>
        <w:jc w:val="both"/>
        <w:rPr>
          <w:rFonts w:ascii="Arial" w:hAnsi="Arial" w:cs="Arial"/>
          <w:sz w:val="20"/>
          <w:szCs w:val="20"/>
        </w:rPr>
      </w:pPr>
      <w:r w:rsidRPr="003A2087">
        <w:rPr>
          <w:rFonts w:ascii="Arial" w:hAnsi="Arial" w:cs="Arial"/>
          <w:sz w:val="20"/>
          <w:szCs w:val="20"/>
        </w:rPr>
        <w:t xml:space="preserve">A. K. Bhardwaj, P. Dutta, and P. </w:t>
      </w:r>
      <w:proofErr w:type="spellStart"/>
      <w:r w:rsidRPr="003A2087">
        <w:rPr>
          <w:rFonts w:ascii="Arial" w:hAnsi="Arial" w:cs="Arial"/>
          <w:sz w:val="20"/>
          <w:szCs w:val="20"/>
        </w:rPr>
        <w:t>Chintale</w:t>
      </w:r>
      <w:proofErr w:type="spellEnd"/>
      <w:r w:rsidRPr="003A2087">
        <w:rPr>
          <w:rFonts w:ascii="Arial" w:hAnsi="Arial" w:cs="Arial"/>
          <w:sz w:val="20"/>
          <w:szCs w:val="20"/>
        </w:rPr>
        <w:t xml:space="preserve">, Trans., “AI-Powered Anomaly Detection for Kubernetes Security: A Systematic Approach to Identifying Threats”, Babylonian Journal of Machine Learning, vol. 2024, pp. 142–148, Aug. 2024, </w:t>
      </w:r>
      <w:proofErr w:type="spellStart"/>
      <w:r w:rsidRPr="003A2087">
        <w:rPr>
          <w:rFonts w:ascii="Arial" w:hAnsi="Arial" w:cs="Arial"/>
          <w:sz w:val="20"/>
          <w:szCs w:val="20"/>
        </w:rPr>
        <w:t>doi</w:t>
      </w:r>
      <w:proofErr w:type="spellEnd"/>
      <w:r w:rsidRPr="003A2087">
        <w:rPr>
          <w:rFonts w:ascii="Arial" w:hAnsi="Arial" w:cs="Arial"/>
          <w:sz w:val="20"/>
          <w:szCs w:val="20"/>
        </w:rPr>
        <w:t>: 10.58496/BJML/2024/014.</w:t>
      </w:r>
    </w:p>
    <w:p w14:paraId="6AF6BB8B" w14:textId="0E693635" w:rsidR="003A2087" w:rsidRDefault="00946045" w:rsidP="004048BE">
      <w:pPr>
        <w:pStyle w:val="ListParagraph"/>
        <w:numPr>
          <w:ilvl w:val="0"/>
          <w:numId w:val="32"/>
        </w:numPr>
        <w:spacing w:line="240" w:lineRule="auto"/>
        <w:ind w:hanging="578"/>
        <w:jc w:val="both"/>
        <w:rPr>
          <w:rFonts w:ascii="Arial" w:hAnsi="Arial" w:cs="Arial"/>
          <w:sz w:val="20"/>
          <w:szCs w:val="20"/>
        </w:rPr>
      </w:pPr>
      <w:proofErr w:type="spellStart"/>
      <w:r w:rsidRPr="00946045">
        <w:rPr>
          <w:rFonts w:ascii="Arial" w:hAnsi="Arial" w:cs="Arial"/>
          <w:sz w:val="20"/>
          <w:szCs w:val="20"/>
        </w:rPr>
        <w:t>Gwak</w:t>
      </w:r>
      <w:proofErr w:type="spellEnd"/>
      <w:r w:rsidRPr="00946045">
        <w:rPr>
          <w:rFonts w:ascii="Arial" w:hAnsi="Arial" w:cs="Arial"/>
          <w:sz w:val="20"/>
          <w:szCs w:val="20"/>
        </w:rPr>
        <w:t xml:space="preserve">, S., Doan, T., Jung, S. (2023). Container Instrumentation and Enforcement System for Runtime Security of Kubernetes Platform with </w:t>
      </w:r>
      <w:proofErr w:type="spellStart"/>
      <w:r w:rsidRPr="00946045">
        <w:rPr>
          <w:rFonts w:ascii="Arial" w:hAnsi="Arial" w:cs="Arial"/>
          <w:sz w:val="20"/>
          <w:szCs w:val="20"/>
        </w:rPr>
        <w:t>eBPF</w:t>
      </w:r>
      <w:proofErr w:type="spellEnd"/>
      <w:r w:rsidRPr="00946045">
        <w:rPr>
          <w:rFonts w:ascii="Arial" w:hAnsi="Arial" w:cs="Arial"/>
          <w:sz w:val="20"/>
          <w:szCs w:val="20"/>
        </w:rPr>
        <w:t>. Intelligent Automation &amp; Soft Computing, 37(2), 1773–1786. https://doi.org/10.32604/iasc.2023.039565</w:t>
      </w:r>
    </w:p>
    <w:p w14:paraId="0BE48AF7" w14:textId="63E848A5" w:rsidR="00946045" w:rsidRDefault="008F79AE" w:rsidP="004048BE">
      <w:pPr>
        <w:pStyle w:val="ListParagraph"/>
        <w:numPr>
          <w:ilvl w:val="0"/>
          <w:numId w:val="32"/>
        </w:numPr>
        <w:spacing w:line="240" w:lineRule="auto"/>
        <w:ind w:hanging="578"/>
        <w:jc w:val="both"/>
        <w:rPr>
          <w:rFonts w:ascii="Arial" w:hAnsi="Arial" w:cs="Arial"/>
          <w:sz w:val="20"/>
          <w:szCs w:val="20"/>
        </w:rPr>
      </w:pPr>
      <w:r w:rsidRPr="008F79AE">
        <w:rPr>
          <w:rFonts w:ascii="Arial" w:hAnsi="Arial" w:cs="Arial"/>
          <w:sz w:val="20"/>
          <w:szCs w:val="20"/>
        </w:rPr>
        <w:t xml:space="preserve">Rahman, A., Shamim, I., Bose, D., &amp; </w:t>
      </w:r>
      <w:proofErr w:type="spellStart"/>
      <w:r w:rsidRPr="008F79AE">
        <w:rPr>
          <w:rFonts w:ascii="Arial" w:hAnsi="Arial" w:cs="Arial"/>
          <w:sz w:val="20"/>
          <w:szCs w:val="20"/>
        </w:rPr>
        <w:t>Pandita</w:t>
      </w:r>
      <w:proofErr w:type="spellEnd"/>
      <w:r w:rsidRPr="008F79AE">
        <w:rPr>
          <w:rFonts w:ascii="Arial" w:hAnsi="Arial" w:cs="Arial"/>
          <w:sz w:val="20"/>
          <w:szCs w:val="20"/>
        </w:rPr>
        <w:t xml:space="preserve">, R. (2023). Security Misconfigurations in Open Source Kubernetes Manifests: An Empirical Study. ACM Trans. </w:t>
      </w:r>
      <w:proofErr w:type="spellStart"/>
      <w:r w:rsidRPr="008F79AE">
        <w:rPr>
          <w:rFonts w:ascii="Arial" w:hAnsi="Arial" w:cs="Arial"/>
          <w:sz w:val="20"/>
          <w:szCs w:val="20"/>
        </w:rPr>
        <w:t>Softw</w:t>
      </w:r>
      <w:proofErr w:type="spellEnd"/>
      <w:r w:rsidRPr="008F79AE">
        <w:rPr>
          <w:rFonts w:ascii="Arial" w:hAnsi="Arial" w:cs="Arial"/>
          <w:sz w:val="20"/>
          <w:szCs w:val="20"/>
        </w:rPr>
        <w:t xml:space="preserve">. Eng. </w:t>
      </w:r>
      <w:proofErr w:type="spellStart"/>
      <w:r w:rsidRPr="008F79AE">
        <w:rPr>
          <w:rFonts w:ascii="Arial" w:hAnsi="Arial" w:cs="Arial"/>
          <w:sz w:val="20"/>
          <w:szCs w:val="20"/>
        </w:rPr>
        <w:t>Methodol</w:t>
      </w:r>
      <w:proofErr w:type="spellEnd"/>
      <w:r w:rsidRPr="008F79AE">
        <w:rPr>
          <w:rFonts w:ascii="Arial" w:hAnsi="Arial" w:cs="Arial"/>
          <w:sz w:val="20"/>
          <w:szCs w:val="20"/>
        </w:rPr>
        <w:t>. 32, 4, Article 99 (July 2023), 36 pages. https://doi.org/10.1145/3579639</w:t>
      </w:r>
    </w:p>
    <w:p w14:paraId="236D205C" w14:textId="5B983BBD" w:rsidR="004048BE" w:rsidRDefault="00CE5048" w:rsidP="004048BE">
      <w:pPr>
        <w:pStyle w:val="ListParagraph"/>
        <w:numPr>
          <w:ilvl w:val="0"/>
          <w:numId w:val="32"/>
        </w:numPr>
        <w:spacing w:line="240" w:lineRule="auto"/>
        <w:ind w:hanging="578"/>
        <w:jc w:val="both"/>
        <w:rPr>
          <w:rFonts w:ascii="Arial" w:hAnsi="Arial" w:cs="Arial"/>
          <w:sz w:val="20"/>
          <w:szCs w:val="20"/>
        </w:rPr>
      </w:pPr>
      <w:proofErr w:type="spellStart"/>
      <w:r w:rsidRPr="00CE5048">
        <w:rPr>
          <w:rFonts w:ascii="Arial" w:hAnsi="Arial" w:cs="Arial"/>
          <w:sz w:val="20"/>
          <w:szCs w:val="20"/>
        </w:rPr>
        <w:t>Iacovazzi</w:t>
      </w:r>
      <w:proofErr w:type="spellEnd"/>
      <w:r w:rsidRPr="00CE5048">
        <w:rPr>
          <w:rFonts w:ascii="Arial" w:hAnsi="Arial" w:cs="Arial"/>
          <w:sz w:val="20"/>
          <w:szCs w:val="20"/>
        </w:rPr>
        <w:t xml:space="preserve">, A., &amp; Raza, S., (2022) Ensemble of Random and Isolation Forests for Graph-Based Intrusion Detection in Containers, 2022 IEEE International Conference </w:t>
      </w:r>
      <w:r w:rsidRPr="00CE5048">
        <w:rPr>
          <w:rFonts w:ascii="Arial" w:hAnsi="Arial" w:cs="Arial"/>
          <w:sz w:val="20"/>
          <w:szCs w:val="20"/>
        </w:rPr>
        <w:lastRenderedPageBreak/>
        <w:t xml:space="preserve">on Cyber Security and Resilience (CSR), Rhodes, Greece, 2022, pp. 30-37, </w:t>
      </w:r>
      <w:proofErr w:type="spellStart"/>
      <w:r w:rsidRPr="00CE5048">
        <w:rPr>
          <w:rFonts w:ascii="Arial" w:hAnsi="Arial" w:cs="Arial"/>
          <w:sz w:val="20"/>
          <w:szCs w:val="20"/>
        </w:rPr>
        <w:t>doi</w:t>
      </w:r>
      <w:proofErr w:type="spellEnd"/>
      <w:r w:rsidRPr="00CE5048">
        <w:rPr>
          <w:rFonts w:ascii="Arial" w:hAnsi="Arial" w:cs="Arial"/>
          <w:sz w:val="20"/>
          <w:szCs w:val="20"/>
        </w:rPr>
        <w:t>: 10.1109/CSR54599.2022.9850307.</w:t>
      </w:r>
    </w:p>
    <w:p w14:paraId="64C21E0C" w14:textId="658DC6BC" w:rsidR="008F79AE" w:rsidRPr="00901EEE" w:rsidRDefault="00901EEE" w:rsidP="00F60B2E">
      <w:pPr>
        <w:pStyle w:val="ListParagraph"/>
        <w:numPr>
          <w:ilvl w:val="0"/>
          <w:numId w:val="32"/>
        </w:numPr>
        <w:spacing w:line="240" w:lineRule="auto"/>
        <w:ind w:hanging="578"/>
        <w:jc w:val="both"/>
        <w:rPr>
          <w:rFonts w:ascii="Arial" w:hAnsi="Arial" w:cs="Arial"/>
          <w:sz w:val="20"/>
          <w:szCs w:val="20"/>
        </w:rPr>
      </w:pPr>
      <w:proofErr w:type="spellStart"/>
      <w:r w:rsidRPr="00901EEE">
        <w:rPr>
          <w:rFonts w:ascii="Arial" w:hAnsi="Arial" w:cs="Arial"/>
          <w:sz w:val="20"/>
          <w:szCs w:val="20"/>
        </w:rPr>
        <w:t>Farasat</w:t>
      </w:r>
      <w:proofErr w:type="spellEnd"/>
      <w:r w:rsidRPr="00901EEE">
        <w:rPr>
          <w:rFonts w:ascii="Arial" w:hAnsi="Arial" w:cs="Arial"/>
          <w:sz w:val="20"/>
          <w:szCs w:val="20"/>
        </w:rPr>
        <w:t xml:space="preserve">, T., Kim, J., &amp; </w:t>
      </w:r>
      <w:proofErr w:type="spellStart"/>
      <w:r w:rsidRPr="00901EEE">
        <w:rPr>
          <w:rFonts w:ascii="Arial" w:hAnsi="Arial" w:cs="Arial"/>
          <w:sz w:val="20"/>
          <w:szCs w:val="20"/>
        </w:rPr>
        <w:t>Posegga</w:t>
      </w:r>
      <w:proofErr w:type="spellEnd"/>
      <w:r w:rsidRPr="00901EEE">
        <w:rPr>
          <w:rFonts w:ascii="Arial" w:hAnsi="Arial" w:cs="Arial"/>
          <w:sz w:val="20"/>
          <w:szCs w:val="20"/>
        </w:rPr>
        <w:t xml:space="preserve">, J. (2024). </w:t>
      </w:r>
      <w:proofErr w:type="spellStart"/>
      <w:r w:rsidRPr="00901EEE">
        <w:rPr>
          <w:rFonts w:ascii="Arial" w:hAnsi="Arial" w:cs="Arial"/>
          <w:sz w:val="20"/>
          <w:szCs w:val="20"/>
        </w:rPr>
        <w:t>SmartX</w:t>
      </w:r>
      <w:proofErr w:type="spellEnd"/>
      <w:r w:rsidRPr="00901EEE">
        <w:rPr>
          <w:rFonts w:ascii="Arial" w:hAnsi="Arial" w:cs="Arial"/>
          <w:sz w:val="20"/>
          <w:szCs w:val="20"/>
        </w:rPr>
        <w:t xml:space="preserve"> Intelligent Sec: A security framework based on machine learning and </w:t>
      </w:r>
      <w:proofErr w:type="spellStart"/>
      <w:r w:rsidRPr="00901EEE">
        <w:rPr>
          <w:rFonts w:ascii="Arial" w:hAnsi="Arial" w:cs="Arial"/>
          <w:sz w:val="20"/>
          <w:szCs w:val="20"/>
        </w:rPr>
        <w:t>eBPF</w:t>
      </w:r>
      <w:proofErr w:type="spellEnd"/>
      <w:r w:rsidRPr="00901EEE">
        <w:rPr>
          <w:rFonts w:ascii="Arial" w:hAnsi="Arial" w:cs="Arial"/>
          <w:sz w:val="20"/>
          <w:szCs w:val="20"/>
        </w:rPr>
        <w:t xml:space="preserve">/XDP. </w:t>
      </w:r>
      <w:proofErr w:type="spellStart"/>
      <w:r w:rsidRPr="00901EEE">
        <w:rPr>
          <w:rFonts w:ascii="Arial" w:hAnsi="Arial" w:cs="Arial"/>
          <w:sz w:val="20"/>
          <w:szCs w:val="20"/>
        </w:rPr>
        <w:t>arXiv</w:t>
      </w:r>
      <w:proofErr w:type="spellEnd"/>
      <w:r w:rsidRPr="00901EEE">
        <w:rPr>
          <w:rFonts w:ascii="Arial" w:hAnsi="Arial" w:cs="Arial"/>
          <w:sz w:val="20"/>
          <w:szCs w:val="20"/>
        </w:rPr>
        <w:t xml:space="preserve"> preprint arXiv:2410.20244</w:t>
      </w:r>
    </w:p>
    <w:p w14:paraId="0ABA09F1" w14:textId="77777777" w:rsidR="004048BE" w:rsidRPr="00D823FA"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 xml:space="preserve">S. S. Gujar, "Optimizing Threat Mitigation in Critical Infrastructure through AI-Driven Cybersecurity Solutions," 2024 Global Conference on Communications and Information Technologies (GCCIT), BANGALORE, India, 2024, pp. 1-7, </w:t>
      </w:r>
      <w:proofErr w:type="spellStart"/>
      <w:r w:rsidRPr="00D823FA">
        <w:rPr>
          <w:rFonts w:ascii="Arial" w:hAnsi="Arial" w:cs="Arial"/>
          <w:sz w:val="20"/>
          <w:szCs w:val="20"/>
        </w:rPr>
        <w:t>doi</w:t>
      </w:r>
      <w:proofErr w:type="spellEnd"/>
      <w:r w:rsidRPr="00D823FA">
        <w:rPr>
          <w:rFonts w:ascii="Arial" w:hAnsi="Arial" w:cs="Arial"/>
          <w:sz w:val="20"/>
          <w:szCs w:val="20"/>
        </w:rPr>
        <w:t>: 10.1109/GCCIT63234.2024.10862689.</w:t>
      </w:r>
    </w:p>
    <w:p w14:paraId="1E1C0804" w14:textId="0B61DDCF" w:rsidR="004048BE" w:rsidRPr="007215A4" w:rsidRDefault="00E4531B" w:rsidP="004048BE">
      <w:pPr>
        <w:pStyle w:val="ListParagraph"/>
        <w:numPr>
          <w:ilvl w:val="0"/>
          <w:numId w:val="32"/>
        </w:numPr>
        <w:spacing w:line="240" w:lineRule="auto"/>
        <w:ind w:hanging="578"/>
        <w:jc w:val="both"/>
        <w:rPr>
          <w:rFonts w:ascii="Arial" w:hAnsi="Arial" w:cs="Arial"/>
          <w:sz w:val="20"/>
          <w:szCs w:val="20"/>
        </w:rPr>
      </w:pPr>
      <w:r w:rsidRPr="00E4531B">
        <w:rPr>
          <w:rFonts w:ascii="Arial" w:hAnsi="Arial" w:cs="Arial"/>
          <w:sz w:val="20"/>
          <w:szCs w:val="20"/>
        </w:rPr>
        <w:t>Ahmed, A. A., &amp; Hamad, A. (2025). Real</w:t>
      </w:r>
      <w:r w:rsidRPr="00E4531B">
        <w:rPr>
          <w:rFonts w:ascii="Cambria Math" w:hAnsi="Cambria Math" w:cs="Cambria Math"/>
          <w:sz w:val="20"/>
          <w:szCs w:val="20"/>
        </w:rPr>
        <w:t>‑</w:t>
      </w:r>
      <w:r w:rsidRPr="00E4531B">
        <w:rPr>
          <w:rFonts w:ascii="Arial" w:hAnsi="Arial" w:cs="Arial"/>
          <w:sz w:val="20"/>
          <w:szCs w:val="20"/>
        </w:rPr>
        <w:t>time multi</w:t>
      </w:r>
      <w:r w:rsidRPr="00E4531B">
        <w:rPr>
          <w:rFonts w:ascii="Cambria Math" w:hAnsi="Cambria Math" w:cs="Cambria Math"/>
          <w:sz w:val="20"/>
          <w:szCs w:val="20"/>
        </w:rPr>
        <w:t>‑</w:t>
      </w:r>
      <w:r w:rsidRPr="00E4531B">
        <w:rPr>
          <w:rFonts w:ascii="Arial" w:hAnsi="Arial" w:cs="Arial"/>
          <w:sz w:val="20"/>
          <w:szCs w:val="20"/>
        </w:rPr>
        <w:t>class threat detection and adaptive deception in Kubernetes environments. Scientific Reports, 15, Article 8924. https://doi.org/10.1038/s41598-025-91606-8</w:t>
      </w:r>
      <w:r w:rsidR="004048BE" w:rsidRPr="007215A4">
        <w:rPr>
          <w:rFonts w:ascii="Arial" w:hAnsi="Arial" w:cs="Arial"/>
          <w:sz w:val="20"/>
          <w:szCs w:val="20"/>
        </w:rPr>
        <w:t xml:space="preserve">  </w:t>
      </w:r>
    </w:p>
    <w:p w14:paraId="4A7DB927" w14:textId="339F3BDC" w:rsidR="00E4531B" w:rsidRDefault="00A12F7F" w:rsidP="004048BE">
      <w:pPr>
        <w:pStyle w:val="ListParagraph"/>
        <w:numPr>
          <w:ilvl w:val="0"/>
          <w:numId w:val="32"/>
        </w:numPr>
        <w:spacing w:line="240" w:lineRule="auto"/>
        <w:ind w:hanging="578"/>
        <w:jc w:val="both"/>
        <w:rPr>
          <w:rFonts w:ascii="Arial" w:hAnsi="Arial" w:cs="Arial"/>
          <w:sz w:val="20"/>
          <w:szCs w:val="20"/>
        </w:rPr>
      </w:pPr>
      <w:proofErr w:type="spellStart"/>
      <w:r w:rsidRPr="00A12F7F">
        <w:rPr>
          <w:rFonts w:ascii="Arial" w:hAnsi="Arial" w:cs="Arial"/>
          <w:sz w:val="20"/>
          <w:szCs w:val="20"/>
        </w:rPr>
        <w:t>Farzaan</w:t>
      </w:r>
      <w:proofErr w:type="spellEnd"/>
      <w:r w:rsidRPr="00A12F7F">
        <w:rPr>
          <w:rFonts w:ascii="Arial" w:hAnsi="Arial" w:cs="Arial"/>
          <w:sz w:val="20"/>
          <w:szCs w:val="20"/>
        </w:rPr>
        <w:t>, M. A. M., Ghanem, M. C., El</w:t>
      </w:r>
      <w:r w:rsidRPr="00A12F7F">
        <w:rPr>
          <w:rFonts w:ascii="Cambria Math" w:hAnsi="Cambria Math" w:cs="Cambria Math"/>
          <w:sz w:val="20"/>
          <w:szCs w:val="20"/>
        </w:rPr>
        <w:t>‑</w:t>
      </w:r>
      <w:r w:rsidRPr="00A12F7F">
        <w:rPr>
          <w:rFonts w:ascii="Arial" w:hAnsi="Arial" w:cs="Arial"/>
          <w:sz w:val="20"/>
          <w:szCs w:val="20"/>
        </w:rPr>
        <w:t>Hajjar, A., &amp; Ratnayake, D. N. (2024, April 8). AI</w:t>
      </w:r>
      <w:r w:rsidRPr="00A12F7F">
        <w:rPr>
          <w:rFonts w:ascii="Cambria Math" w:hAnsi="Cambria Math" w:cs="Cambria Math"/>
          <w:sz w:val="20"/>
          <w:szCs w:val="20"/>
        </w:rPr>
        <w:t>‑</w:t>
      </w:r>
      <w:r w:rsidRPr="00A12F7F">
        <w:rPr>
          <w:rFonts w:ascii="Arial" w:hAnsi="Arial" w:cs="Arial"/>
          <w:sz w:val="20"/>
          <w:szCs w:val="20"/>
        </w:rPr>
        <w:t xml:space="preserve">Enabled System for Efficient and Effective Cyber Incident Detection and Response in Cloud Environments. </w:t>
      </w:r>
      <w:proofErr w:type="spellStart"/>
      <w:r w:rsidRPr="00A12F7F">
        <w:rPr>
          <w:rFonts w:ascii="Arial" w:hAnsi="Arial" w:cs="Arial"/>
          <w:sz w:val="20"/>
          <w:szCs w:val="20"/>
        </w:rPr>
        <w:t>arXiv</w:t>
      </w:r>
      <w:proofErr w:type="spellEnd"/>
      <w:r w:rsidRPr="00A12F7F">
        <w:rPr>
          <w:rFonts w:ascii="Arial" w:hAnsi="Arial" w:cs="Arial"/>
          <w:sz w:val="20"/>
          <w:szCs w:val="20"/>
        </w:rPr>
        <w:t>.</w:t>
      </w:r>
    </w:p>
    <w:p w14:paraId="0D949DA2" w14:textId="55C0EBCB" w:rsidR="00E4531B" w:rsidRDefault="00A12F7F" w:rsidP="004048BE">
      <w:pPr>
        <w:pStyle w:val="ListParagraph"/>
        <w:numPr>
          <w:ilvl w:val="0"/>
          <w:numId w:val="32"/>
        </w:numPr>
        <w:spacing w:line="240" w:lineRule="auto"/>
        <w:ind w:hanging="578"/>
        <w:jc w:val="both"/>
        <w:rPr>
          <w:rFonts w:ascii="Arial" w:hAnsi="Arial" w:cs="Arial"/>
          <w:sz w:val="20"/>
          <w:szCs w:val="20"/>
        </w:rPr>
      </w:pPr>
      <w:r w:rsidRPr="00A12F7F">
        <w:rPr>
          <w:rFonts w:ascii="Arial" w:hAnsi="Arial" w:cs="Arial"/>
          <w:sz w:val="20"/>
          <w:szCs w:val="20"/>
        </w:rPr>
        <w:t xml:space="preserve">Huang, Y.-T., Guo, Y.-R., Yang, Y.-S., Wong, G.-W., </w:t>
      </w:r>
      <w:proofErr w:type="spellStart"/>
      <w:r w:rsidRPr="00A12F7F">
        <w:rPr>
          <w:rFonts w:ascii="Arial" w:hAnsi="Arial" w:cs="Arial"/>
          <w:sz w:val="20"/>
          <w:szCs w:val="20"/>
        </w:rPr>
        <w:t>Jheng</w:t>
      </w:r>
      <w:proofErr w:type="spellEnd"/>
      <w:r w:rsidRPr="00A12F7F">
        <w:rPr>
          <w:rFonts w:ascii="Arial" w:hAnsi="Arial" w:cs="Arial"/>
          <w:sz w:val="20"/>
          <w:szCs w:val="20"/>
        </w:rPr>
        <w:t xml:space="preserve">, Y.-Z., Sun, Y., </w:t>
      </w:r>
      <w:proofErr w:type="spellStart"/>
      <w:r w:rsidRPr="00A12F7F">
        <w:rPr>
          <w:rFonts w:ascii="Arial" w:hAnsi="Arial" w:cs="Arial"/>
          <w:sz w:val="20"/>
          <w:szCs w:val="20"/>
        </w:rPr>
        <w:t>Modini</w:t>
      </w:r>
      <w:proofErr w:type="spellEnd"/>
      <w:r w:rsidRPr="00A12F7F">
        <w:rPr>
          <w:rFonts w:ascii="Arial" w:hAnsi="Arial" w:cs="Arial"/>
          <w:sz w:val="20"/>
          <w:szCs w:val="20"/>
        </w:rPr>
        <w:t xml:space="preserve">, J., </w:t>
      </w:r>
      <w:proofErr w:type="spellStart"/>
      <w:r w:rsidRPr="00A12F7F">
        <w:rPr>
          <w:rFonts w:ascii="Arial" w:hAnsi="Arial" w:cs="Arial"/>
          <w:sz w:val="20"/>
          <w:szCs w:val="20"/>
        </w:rPr>
        <w:t>Lynar</w:t>
      </w:r>
      <w:proofErr w:type="spellEnd"/>
      <w:r w:rsidRPr="00A12F7F">
        <w:rPr>
          <w:rFonts w:ascii="Arial" w:hAnsi="Arial" w:cs="Arial"/>
          <w:sz w:val="20"/>
          <w:szCs w:val="20"/>
        </w:rPr>
        <w:t xml:space="preserve">, T., &amp; Chen, M. C. (2024, November 20). SAGA: Synthetic audit log generation for APT campaigns. </w:t>
      </w:r>
      <w:proofErr w:type="spellStart"/>
      <w:r w:rsidRPr="00A12F7F">
        <w:rPr>
          <w:rFonts w:ascii="Arial" w:hAnsi="Arial" w:cs="Arial"/>
          <w:sz w:val="20"/>
          <w:szCs w:val="20"/>
        </w:rPr>
        <w:t>arXiv</w:t>
      </w:r>
      <w:proofErr w:type="spellEnd"/>
      <w:r w:rsidRPr="00A12F7F">
        <w:rPr>
          <w:rFonts w:ascii="Arial" w:hAnsi="Arial" w:cs="Arial"/>
          <w:sz w:val="20"/>
          <w:szCs w:val="20"/>
        </w:rPr>
        <w:t xml:space="preserve">. </w:t>
      </w:r>
    </w:p>
    <w:p w14:paraId="51CABEA8" w14:textId="77A8DB25" w:rsidR="00A12F7F" w:rsidRDefault="00A44460" w:rsidP="004048BE">
      <w:pPr>
        <w:pStyle w:val="ListParagraph"/>
        <w:numPr>
          <w:ilvl w:val="0"/>
          <w:numId w:val="32"/>
        </w:numPr>
        <w:spacing w:line="240" w:lineRule="auto"/>
        <w:ind w:hanging="578"/>
        <w:jc w:val="both"/>
        <w:rPr>
          <w:rFonts w:ascii="Arial" w:hAnsi="Arial" w:cs="Arial"/>
          <w:sz w:val="20"/>
          <w:szCs w:val="20"/>
        </w:rPr>
      </w:pPr>
      <w:r w:rsidRPr="00A44460">
        <w:rPr>
          <w:rFonts w:ascii="Arial" w:hAnsi="Arial" w:cs="Arial"/>
          <w:sz w:val="20"/>
          <w:szCs w:val="20"/>
        </w:rPr>
        <w:t xml:space="preserve">de Oliveira, J. A., Gonçalves, V. P., </w:t>
      </w:r>
      <w:proofErr w:type="spellStart"/>
      <w:r w:rsidRPr="00A44460">
        <w:rPr>
          <w:rFonts w:ascii="Arial" w:hAnsi="Arial" w:cs="Arial"/>
          <w:sz w:val="20"/>
          <w:szCs w:val="20"/>
        </w:rPr>
        <w:t>Meneguette</w:t>
      </w:r>
      <w:proofErr w:type="spellEnd"/>
      <w:r w:rsidRPr="00A44460">
        <w:rPr>
          <w:rFonts w:ascii="Arial" w:hAnsi="Arial" w:cs="Arial"/>
          <w:sz w:val="20"/>
          <w:szCs w:val="20"/>
        </w:rPr>
        <w:t xml:space="preserve">, R. I., de Sousa, R. T., </w:t>
      </w:r>
      <w:proofErr w:type="spellStart"/>
      <w:r w:rsidRPr="00A44460">
        <w:rPr>
          <w:rFonts w:ascii="Arial" w:hAnsi="Arial" w:cs="Arial"/>
          <w:sz w:val="20"/>
          <w:szCs w:val="20"/>
        </w:rPr>
        <w:t>Guidoni</w:t>
      </w:r>
      <w:proofErr w:type="spellEnd"/>
      <w:r w:rsidRPr="00A44460">
        <w:rPr>
          <w:rFonts w:ascii="Arial" w:hAnsi="Arial" w:cs="Arial"/>
          <w:sz w:val="20"/>
          <w:szCs w:val="20"/>
        </w:rPr>
        <w:t>, D. L., Oliveira, J. C. M., &amp; Rocha Filho, G. P. (2023). F</w:t>
      </w:r>
      <w:r w:rsidRPr="00A44460">
        <w:rPr>
          <w:rFonts w:ascii="Cambria Math" w:hAnsi="Cambria Math" w:cs="Cambria Math"/>
          <w:sz w:val="20"/>
          <w:szCs w:val="20"/>
        </w:rPr>
        <w:t>‑</w:t>
      </w:r>
      <w:r w:rsidRPr="00A44460">
        <w:rPr>
          <w:rFonts w:ascii="Arial" w:hAnsi="Arial" w:cs="Arial"/>
          <w:sz w:val="20"/>
          <w:szCs w:val="20"/>
        </w:rPr>
        <w:t>NIDS — A network intrusion detection system based on federated learning. Computer Networks, 236, Article 110010. https://doi.org/10.1016/j.comnet.2023.110010</w:t>
      </w:r>
    </w:p>
    <w:p w14:paraId="1701C96A" w14:textId="77777777" w:rsidR="004048BE" w:rsidRPr="00D823FA" w:rsidRDefault="004048BE" w:rsidP="004048BE">
      <w:pPr>
        <w:pStyle w:val="ListParagraph"/>
        <w:numPr>
          <w:ilvl w:val="0"/>
          <w:numId w:val="32"/>
        </w:numPr>
        <w:spacing w:line="240" w:lineRule="auto"/>
        <w:ind w:hanging="578"/>
        <w:jc w:val="both"/>
        <w:rPr>
          <w:rFonts w:ascii="Arial" w:hAnsi="Arial" w:cs="Arial"/>
          <w:sz w:val="20"/>
          <w:szCs w:val="20"/>
        </w:rPr>
      </w:pPr>
      <w:proofErr w:type="spellStart"/>
      <w:r>
        <w:rPr>
          <w:rFonts w:ascii="Arial" w:hAnsi="Arial" w:cs="Arial"/>
          <w:color w:val="222222"/>
          <w:sz w:val="20"/>
          <w:szCs w:val="20"/>
          <w:shd w:val="clear" w:color="auto" w:fill="FFFFFF"/>
        </w:rPr>
        <w:t>Adwani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Rabail</w:t>
      </w:r>
      <w:proofErr w:type="spellEnd"/>
      <w:r>
        <w:rPr>
          <w:rFonts w:ascii="Arial" w:hAnsi="Arial" w:cs="Arial"/>
          <w:color w:val="222222"/>
          <w:sz w:val="20"/>
          <w:szCs w:val="20"/>
          <w:shd w:val="clear" w:color="auto" w:fill="FFFFFF"/>
        </w:rPr>
        <w:t xml:space="preserve">. "Evaluating the Risk Management Strategies of Global Banks in the Digital Age." </w:t>
      </w:r>
      <w:r>
        <w:rPr>
          <w:rFonts w:ascii="Arial" w:hAnsi="Arial" w:cs="Arial"/>
          <w:i/>
          <w:iCs/>
          <w:color w:val="222222"/>
          <w:sz w:val="20"/>
          <w:szCs w:val="20"/>
          <w:shd w:val="clear" w:color="auto" w:fill="FFFFFF"/>
        </w:rPr>
        <w:t>Contemporary Challenges in Multidisciplinary Research: A Collaborative Approach</w:t>
      </w:r>
      <w:r>
        <w:rPr>
          <w:rFonts w:ascii="Arial" w:hAnsi="Arial" w:cs="Arial"/>
          <w:color w:val="222222"/>
          <w:sz w:val="20"/>
          <w:szCs w:val="20"/>
          <w:shd w:val="clear" w:color="auto" w:fill="FFFFFF"/>
        </w:rPr>
        <w:t xml:space="preserve"> 1.37 (2025): 391-404.</w:t>
      </w:r>
    </w:p>
    <w:p w14:paraId="2108655E" w14:textId="40B890D7" w:rsidR="003A19F7" w:rsidRDefault="003A19F7" w:rsidP="004048BE">
      <w:pPr>
        <w:pStyle w:val="ListParagraph"/>
        <w:numPr>
          <w:ilvl w:val="0"/>
          <w:numId w:val="32"/>
        </w:numPr>
        <w:spacing w:line="240" w:lineRule="auto"/>
        <w:ind w:hanging="578"/>
        <w:jc w:val="both"/>
        <w:rPr>
          <w:rFonts w:ascii="Arial" w:hAnsi="Arial" w:cs="Arial"/>
          <w:sz w:val="20"/>
          <w:szCs w:val="20"/>
        </w:rPr>
      </w:pPr>
      <w:proofErr w:type="spellStart"/>
      <w:r w:rsidRPr="003A19F7">
        <w:rPr>
          <w:rFonts w:ascii="Arial" w:hAnsi="Arial" w:cs="Arial"/>
          <w:sz w:val="20"/>
          <w:szCs w:val="20"/>
        </w:rPr>
        <w:t>Tellache</w:t>
      </w:r>
      <w:proofErr w:type="spellEnd"/>
      <w:r w:rsidRPr="003A19F7">
        <w:rPr>
          <w:rFonts w:ascii="Arial" w:hAnsi="Arial" w:cs="Arial"/>
          <w:sz w:val="20"/>
          <w:szCs w:val="20"/>
        </w:rPr>
        <w:t xml:space="preserve">, A., Mokhtari, A., </w:t>
      </w:r>
      <w:proofErr w:type="spellStart"/>
      <w:r w:rsidRPr="003A19F7">
        <w:rPr>
          <w:rFonts w:ascii="Arial" w:hAnsi="Arial" w:cs="Arial"/>
          <w:sz w:val="20"/>
          <w:szCs w:val="20"/>
        </w:rPr>
        <w:t>Korba</w:t>
      </w:r>
      <w:proofErr w:type="spellEnd"/>
      <w:r w:rsidRPr="003A19F7">
        <w:rPr>
          <w:rFonts w:ascii="Arial" w:hAnsi="Arial" w:cs="Arial"/>
          <w:sz w:val="20"/>
          <w:szCs w:val="20"/>
        </w:rPr>
        <w:t xml:space="preserve">, A. A., &amp; </w:t>
      </w:r>
      <w:proofErr w:type="spellStart"/>
      <w:r w:rsidRPr="003A19F7">
        <w:rPr>
          <w:rFonts w:ascii="Arial" w:hAnsi="Arial" w:cs="Arial"/>
          <w:sz w:val="20"/>
          <w:szCs w:val="20"/>
        </w:rPr>
        <w:t>Ghamri</w:t>
      </w:r>
      <w:r w:rsidRPr="003A19F7">
        <w:rPr>
          <w:rFonts w:ascii="Cambria Math" w:hAnsi="Cambria Math" w:cs="Cambria Math"/>
          <w:sz w:val="20"/>
          <w:szCs w:val="20"/>
        </w:rPr>
        <w:t>‑</w:t>
      </w:r>
      <w:r w:rsidRPr="003A19F7">
        <w:rPr>
          <w:rFonts w:ascii="Arial" w:hAnsi="Arial" w:cs="Arial"/>
          <w:sz w:val="20"/>
          <w:szCs w:val="20"/>
        </w:rPr>
        <w:t>Doudane</w:t>
      </w:r>
      <w:proofErr w:type="spellEnd"/>
      <w:r w:rsidRPr="003A19F7">
        <w:rPr>
          <w:rFonts w:ascii="Arial" w:hAnsi="Arial" w:cs="Arial"/>
          <w:sz w:val="20"/>
          <w:szCs w:val="20"/>
        </w:rPr>
        <w:t>, Y. (2024). Multi</w:t>
      </w:r>
      <w:r w:rsidRPr="003A19F7">
        <w:rPr>
          <w:rFonts w:ascii="Cambria Math" w:hAnsi="Cambria Math" w:cs="Cambria Math"/>
          <w:sz w:val="20"/>
          <w:szCs w:val="20"/>
        </w:rPr>
        <w:t>‑</w:t>
      </w:r>
      <w:r w:rsidRPr="003A19F7">
        <w:rPr>
          <w:rFonts w:ascii="Arial" w:hAnsi="Arial" w:cs="Arial"/>
          <w:sz w:val="20"/>
          <w:szCs w:val="20"/>
        </w:rPr>
        <w:t>agent reinforcement learning</w:t>
      </w:r>
      <w:r w:rsidRPr="003A19F7">
        <w:rPr>
          <w:rFonts w:ascii="Cambria Math" w:hAnsi="Cambria Math" w:cs="Cambria Math"/>
          <w:sz w:val="20"/>
          <w:szCs w:val="20"/>
        </w:rPr>
        <w:t>‑</w:t>
      </w:r>
      <w:r w:rsidRPr="003A19F7">
        <w:rPr>
          <w:rFonts w:ascii="Arial" w:hAnsi="Arial" w:cs="Arial"/>
          <w:sz w:val="20"/>
          <w:szCs w:val="20"/>
        </w:rPr>
        <w:t xml:space="preserve">based network intrusion detection system. </w:t>
      </w:r>
      <w:proofErr w:type="spellStart"/>
      <w:r w:rsidRPr="003A19F7">
        <w:rPr>
          <w:rFonts w:ascii="Arial" w:hAnsi="Arial" w:cs="Arial"/>
          <w:sz w:val="20"/>
          <w:szCs w:val="20"/>
        </w:rPr>
        <w:t>arXiv</w:t>
      </w:r>
      <w:proofErr w:type="spellEnd"/>
      <w:r w:rsidRPr="003A19F7">
        <w:rPr>
          <w:rFonts w:ascii="Arial" w:hAnsi="Arial" w:cs="Arial"/>
          <w:sz w:val="20"/>
          <w:szCs w:val="20"/>
        </w:rPr>
        <w:t xml:space="preserve">. </w:t>
      </w:r>
    </w:p>
    <w:p w14:paraId="6F67698C" w14:textId="03E60DF2" w:rsidR="003A19F7" w:rsidRDefault="003A19F7" w:rsidP="004048BE">
      <w:pPr>
        <w:pStyle w:val="ListParagraph"/>
        <w:numPr>
          <w:ilvl w:val="0"/>
          <w:numId w:val="32"/>
        </w:numPr>
        <w:spacing w:line="240" w:lineRule="auto"/>
        <w:ind w:hanging="578"/>
        <w:jc w:val="both"/>
        <w:rPr>
          <w:rFonts w:ascii="Arial" w:hAnsi="Arial" w:cs="Arial"/>
          <w:sz w:val="20"/>
          <w:szCs w:val="20"/>
        </w:rPr>
      </w:pPr>
      <w:r w:rsidRPr="003A19F7">
        <w:rPr>
          <w:rFonts w:ascii="Arial" w:hAnsi="Arial" w:cs="Arial"/>
          <w:sz w:val="20"/>
          <w:szCs w:val="20"/>
        </w:rPr>
        <w:t xml:space="preserve">Brown, K., Egon, A., &amp; </w:t>
      </w:r>
      <w:proofErr w:type="spellStart"/>
      <w:r w:rsidRPr="003A19F7">
        <w:rPr>
          <w:rFonts w:ascii="Arial" w:hAnsi="Arial" w:cs="Arial"/>
          <w:sz w:val="20"/>
          <w:szCs w:val="20"/>
        </w:rPr>
        <w:t>Kashar</w:t>
      </w:r>
      <w:proofErr w:type="spellEnd"/>
      <w:r w:rsidRPr="003A19F7">
        <w:rPr>
          <w:rFonts w:ascii="Arial" w:hAnsi="Arial" w:cs="Arial"/>
          <w:sz w:val="20"/>
          <w:szCs w:val="20"/>
        </w:rPr>
        <w:t xml:space="preserve">, S. (2024, July 25). Explainable AI in Network Anomaly Detection: Enhancing Transparency and Trust. </w:t>
      </w:r>
      <w:proofErr w:type="spellStart"/>
      <w:r w:rsidRPr="003A19F7">
        <w:rPr>
          <w:rFonts w:ascii="Arial" w:hAnsi="Arial" w:cs="Arial"/>
          <w:sz w:val="20"/>
          <w:szCs w:val="20"/>
        </w:rPr>
        <w:t>EasyChair</w:t>
      </w:r>
      <w:proofErr w:type="spellEnd"/>
      <w:r w:rsidRPr="003A19F7">
        <w:rPr>
          <w:rFonts w:ascii="Arial" w:hAnsi="Arial" w:cs="Arial"/>
          <w:sz w:val="20"/>
          <w:szCs w:val="20"/>
        </w:rPr>
        <w:t xml:space="preserve"> Preprint 14124.</w:t>
      </w:r>
    </w:p>
    <w:p w14:paraId="0BF1820D" w14:textId="142C244A" w:rsidR="004048BE" w:rsidRPr="007215A4" w:rsidRDefault="008B181A" w:rsidP="004048BE">
      <w:pPr>
        <w:pStyle w:val="ListParagraph"/>
        <w:numPr>
          <w:ilvl w:val="0"/>
          <w:numId w:val="32"/>
        </w:numPr>
        <w:spacing w:line="240" w:lineRule="auto"/>
        <w:ind w:hanging="578"/>
        <w:jc w:val="both"/>
        <w:rPr>
          <w:rFonts w:ascii="Arial" w:hAnsi="Arial" w:cs="Arial"/>
          <w:sz w:val="20"/>
          <w:szCs w:val="20"/>
        </w:rPr>
      </w:pPr>
      <w:proofErr w:type="spellStart"/>
      <w:r w:rsidRPr="008B181A">
        <w:rPr>
          <w:rFonts w:ascii="Arial" w:hAnsi="Arial" w:cs="Arial"/>
          <w:sz w:val="20"/>
          <w:szCs w:val="20"/>
        </w:rPr>
        <w:t>Kalafatidis</w:t>
      </w:r>
      <w:proofErr w:type="spellEnd"/>
      <w:r w:rsidRPr="008B181A">
        <w:rPr>
          <w:rFonts w:ascii="Arial" w:hAnsi="Arial" w:cs="Arial"/>
          <w:sz w:val="20"/>
          <w:szCs w:val="20"/>
        </w:rPr>
        <w:t xml:space="preserve">, S., </w:t>
      </w:r>
      <w:proofErr w:type="spellStart"/>
      <w:r w:rsidRPr="008B181A">
        <w:rPr>
          <w:rFonts w:ascii="Arial" w:hAnsi="Arial" w:cs="Arial"/>
          <w:sz w:val="20"/>
          <w:szCs w:val="20"/>
        </w:rPr>
        <w:t>Papageorgopoulos</w:t>
      </w:r>
      <w:proofErr w:type="spellEnd"/>
      <w:r w:rsidRPr="008B181A">
        <w:rPr>
          <w:rFonts w:ascii="Arial" w:hAnsi="Arial" w:cs="Arial"/>
          <w:sz w:val="20"/>
          <w:szCs w:val="20"/>
        </w:rPr>
        <w:t xml:space="preserve">, N., </w:t>
      </w:r>
      <w:proofErr w:type="spellStart"/>
      <w:r w:rsidRPr="008B181A">
        <w:rPr>
          <w:rFonts w:ascii="Arial" w:hAnsi="Arial" w:cs="Arial"/>
          <w:sz w:val="20"/>
          <w:szCs w:val="20"/>
        </w:rPr>
        <w:t>Kartakoullis</w:t>
      </w:r>
      <w:proofErr w:type="spellEnd"/>
      <w:r w:rsidRPr="008B181A">
        <w:rPr>
          <w:rFonts w:ascii="Arial" w:hAnsi="Arial" w:cs="Arial"/>
          <w:sz w:val="20"/>
          <w:szCs w:val="20"/>
        </w:rPr>
        <w:t xml:space="preserve">, A., </w:t>
      </w:r>
      <w:proofErr w:type="spellStart"/>
      <w:r w:rsidRPr="008B181A">
        <w:rPr>
          <w:rFonts w:ascii="Arial" w:hAnsi="Arial" w:cs="Arial"/>
          <w:sz w:val="20"/>
          <w:szCs w:val="20"/>
        </w:rPr>
        <w:t>Ledakis</w:t>
      </w:r>
      <w:proofErr w:type="spellEnd"/>
      <w:r w:rsidRPr="008B181A">
        <w:rPr>
          <w:rFonts w:ascii="Arial" w:hAnsi="Arial" w:cs="Arial"/>
          <w:sz w:val="20"/>
          <w:szCs w:val="20"/>
        </w:rPr>
        <w:t xml:space="preserve">, G. (2025). LLM-Enhanced Intrusion Detection for Containerized Applications: A Two-Tier Strategy for SDN and Kubernetes Environments. In: </w:t>
      </w:r>
      <w:proofErr w:type="spellStart"/>
      <w:r w:rsidRPr="008B181A">
        <w:rPr>
          <w:rFonts w:ascii="Arial" w:hAnsi="Arial" w:cs="Arial"/>
          <w:sz w:val="20"/>
          <w:szCs w:val="20"/>
        </w:rPr>
        <w:t>Skopik</w:t>
      </w:r>
      <w:proofErr w:type="spellEnd"/>
      <w:r w:rsidRPr="008B181A">
        <w:rPr>
          <w:rFonts w:ascii="Arial" w:hAnsi="Arial" w:cs="Arial"/>
          <w:sz w:val="20"/>
          <w:szCs w:val="20"/>
        </w:rPr>
        <w:t xml:space="preserve">, F., </w:t>
      </w:r>
      <w:proofErr w:type="spellStart"/>
      <w:r w:rsidRPr="008B181A">
        <w:rPr>
          <w:rFonts w:ascii="Arial" w:hAnsi="Arial" w:cs="Arial"/>
          <w:sz w:val="20"/>
          <w:szCs w:val="20"/>
        </w:rPr>
        <w:t>Naessens</w:t>
      </w:r>
      <w:proofErr w:type="spellEnd"/>
      <w:r w:rsidRPr="008B181A">
        <w:rPr>
          <w:rFonts w:ascii="Arial" w:hAnsi="Arial" w:cs="Arial"/>
          <w:sz w:val="20"/>
          <w:szCs w:val="20"/>
        </w:rPr>
        <w:t xml:space="preserve">, V., De Sutter, B. (eds) Availability, Reliability and Security. ARES 2025. Lecture Notes in Computer Science, vol 15998. Springer, Cham. </w:t>
      </w:r>
    </w:p>
    <w:p w14:paraId="63E7E131" w14:textId="77777777" w:rsidR="00F86E74" w:rsidRPr="004048BE" w:rsidRDefault="004048BE" w:rsidP="004048BE">
      <w:pPr>
        <w:pStyle w:val="ListParagraph"/>
        <w:numPr>
          <w:ilvl w:val="0"/>
          <w:numId w:val="32"/>
        </w:numPr>
        <w:spacing w:line="240" w:lineRule="auto"/>
        <w:ind w:hanging="578"/>
        <w:jc w:val="both"/>
        <w:rPr>
          <w:rFonts w:ascii="Arial" w:hAnsi="Arial" w:cs="Arial"/>
          <w:sz w:val="20"/>
          <w:szCs w:val="20"/>
        </w:rPr>
      </w:pPr>
      <w:r w:rsidRPr="00D823FA">
        <w:rPr>
          <w:rFonts w:ascii="Arial" w:hAnsi="Arial" w:cs="Arial"/>
          <w:sz w:val="20"/>
          <w:szCs w:val="20"/>
        </w:rPr>
        <w:t xml:space="preserve">S. S. Gujar, "Real-Time Threat Detection and Response Using AI for Securing Critical Infrastructure," 2024 Global Conference on Communications and Information Technologies (GCCIT), BANGALORE, India, 2024, pp. 1-7, </w:t>
      </w:r>
      <w:proofErr w:type="spellStart"/>
      <w:r w:rsidRPr="00D823FA">
        <w:rPr>
          <w:rFonts w:ascii="Arial" w:hAnsi="Arial" w:cs="Arial"/>
          <w:sz w:val="20"/>
          <w:szCs w:val="20"/>
        </w:rPr>
        <w:t>doi</w:t>
      </w:r>
      <w:proofErr w:type="spellEnd"/>
      <w:r w:rsidRPr="00D823FA">
        <w:rPr>
          <w:rFonts w:ascii="Arial" w:hAnsi="Arial" w:cs="Arial"/>
          <w:sz w:val="20"/>
          <w:szCs w:val="20"/>
        </w:rPr>
        <w:t>: 10.1109/GCCIT63234.2024.10862978.</w:t>
      </w:r>
      <w:r w:rsidRPr="007215A4">
        <w:rPr>
          <w:rFonts w:ascii="Arial" w:hAnsi="Arial" w:cs="Arial"/>
          <w:sz w:val="20"/>
          <w:szCs w:val="20"/>
        </w:rPr>
        <w:t xml:space="preserve">  </w:t>
      </w:r>
    </w:p>
    <w:sectPr w:rsidR="00F86E74" w:rsidRPr="004048BE" w:rsidSect="00CE548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3DB0" w14:textId="77777777" w:rsidR="001273F4" w:rsidRDefault="001273F4" w:rsidP="00C37E61">
      <w:r>
        <w:separator/>
      </w:r>
    </w:p>
  </w:endnote>
  <w:endnote w:type="continuationSeparator" w:id="0">
    <w:p w14:paraId="07BB9411" w14:textId="77777777" w:rsidR="001273F4" w:rsidRDefault="001273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C82E" w14:textId="77777777" w:rsidR="00325B7D" w:rsidRDefault="0032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02F6" w14:textId="77777777" w:rsidR="00325B7D" w:rsidRDefault="00325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471F" w14:textId="0F2852E8" w:rsidR="00754C9A" w:rsidRPr="00325B7D" w:rsidRDefault="00754C9A" w:rsidP="00325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97A5" w14:textId="77777777" w:rsidR="001273F4" w:rsidRDefault="001273F4" w:rsidP="00C37E61">
      <w:r>
        <w:separator/>
      </w:r>
    </w:p>
  </w:footnote>
  <w:footnote w:type="continuationSeparator" w:id="0">
    <w:p w14:paraId="64DB028A" w14:textId="77777777" w:rsidR="001273F4" w:rsidRDefault="001273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C3D7" w14:textId="2810FF38" w:rsidR="00325B7D" w:rsidRDefault="001273F4">
    <w:pPr>
      <w:pStyle w:val="Header"/>
    </w:pPr>
    <w:r>
      <w:rPr>
        <w:noProof/>
      </w:rPr>
      <w:pict w14:anchorId="3D16A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BF12" w14:textId="52576379" w:rsidR="00325B7D" w:rsidRDefault="001273F4">
    <w:pPr>
      <w:pStyle w:val="Header"/>
    </w:pPr>
    <w:r>
      <w:rPr>
        <w:noProof/>
      </w:rPr>
      <w:pict w14:anchorId="5DD1B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C74C" w14:textId="0A52F7F2" w:rsidR="00296529" w:rsidRPr="00296529" w:rsidRDefault="001273F4" w:rsidP="00296529">
    <w:pPr>
      <w:ind w:left="2160"/>
      <w:jc w:val="center"/>
      <w:rPr>
        <w:rFonts w:ascii="Times New Roman" w:eastAsia="Calibri" w:hAnsi="Times New Roman"/>
        <w:i/>
        <w:sz w:val="18"/>
        <w:szCs w:val="22"/>
      </w:rPr>
    </w:pPr>
    <w:r>
      <w:rPr>
        <w:noProof/>
      </w:rPr>
      <w:pict w14:anchorId="5EE82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4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3061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1019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9F41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9AE3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2212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3083C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7E043B"/>
    <w:multiLevelType w:val="multilevel"/>
    <w:tmpl w:val="87C2875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E2C5E"/>
    <w:multiLevelType w:val="hybridMultilevel"/>
    <w:tmpl w:val="924878CA"/>
    <w:lvl w:ilvl="0" w:tplc="19B234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SwMDY2tzQ2MDM2MTFS0lEKTi0uzszPAykwrAUAG74p2CwAAAA="/>
  </w:docVars>
  <w:rsids>
    <w:rsidRoot w:val="00AA6219"/>
    <w:rsid w:val="00000F8F"/>
    <w:rsid w:val="00030174"/>
    <w:rsid w:val="0004579C"/>
    <w:rsid w:val="00071B30"/>
    <w:rsid w:val="000A47FA"/>
    <w:rsid w:val="000A65D3"/>
    <w:rsid w:val="000B1E33"/>
    <w:rsid w:val="000D43B0"/>
    <w:rsid w:val="000D689F"/>
    <w:rsid w:val="000E413F"/>
    <w:rsid w:val="000E7B7B"/>
    <w:rsid w:val="000E7D62"/>
    <w:rsid w:val="00103357"/>
    <w:rsid w:val="00123C9F"/>
    <w:rsid w:val="00126190"/>
    <w:rsid w:val="001273F4"/>
    <w:rsid w:val="00130F17"/>
    <w:rsid w:val="001320BF"/>
    <w:rsid w:val="00136029"/>
    <w:rsid w:val="00163BC4"/>
    <w:rsid w:val="00170233"/>
    <w:rsid w:val="0017463D"/>
    <w:rsid w:val="00191062"/>
    <w:rsid w:val="00192B72"/>
    <w:rsid w:val="001954D3"/>
    <w:rsid w:val="001A0A47"/>
    <w:rsid w:val="001A29D8"/>
    <w:rsid w:val="001A5CAA"/>
    <w:rsid w:val="001B0427"/>
    <w:rsid w:val="001C0515"/>
    <w:rsid w:val="001D304E"/>
    <w:rsid w:val="001D3A51"/>
    <w:rsid w:val="001E10D2"/>
    <w:rsid w:val="001E25B4"/>
    <w:rsid w:val="001E44FE"/>
    <w:rsid w:val="001F44A5"/>
    <w:rsid w:val="00200595"/>
    <w:rsid w:val="00204835"/>
    <w:rsid w:val="00231920"/>
    <w:rsid w:val="0023195C"/>
    <w:rsid w:val="0024282C"/>
    <w:rsid w:val="002460DC"/>
    <w:rsid w:val="00250985"/>
    <w:rsid w:val="002556F6"/>
    <w:rsid w:val="00257848"/>
    <w:rsid w:val="00283105"/>
    <w:rsid w:val="00284C4C"/>
    <w:rsid w:val="00287E68"/>
    <w:rsid w:val="00296529"/>
    <w:rsid w:val="002B27FB"/>
    <w:rsid w:val="002B685A"/>
    <w:rsid w:val="002C57D2"/>
    <w:rsid w:val="002D16C2"/>
    <w:rsid w:val="002E0D56"/>
    <w:rsid w:val="00315186"/>
    <w:rsid w:val="00325B7D"/>
    <w:rsid w:val="0033343E"/>
    <w:rsid w:val="003512C2"/>
    <w:rsid w:val="00371FB6"/>
    <w:rsid w:val="003763C1"/>
    <w:rsid w:val="00376BBE"/>
    <w:rsid w:val="0039224F"/>
    <w:rsid w:val="0039477F"/>
    <w:rsid w:val="00394BAE"/>
    <w:rsid w:val="00397D3B"/>
    <w:rsid w:val="003A19F7"/>
    <w:rsid w:val="003A2087"/>
    <w:rsid w:val="003A43A4"/>
    <w:rsid w:val="003A683C"/>
    <w:rsid w:val="003A7E18"/>
    <w:rsid w:val="003C4B03"/>
    <w:rsid w:val="003C4C86"/>
    <w:rsid w:val="003C6258"/>
    <w:rsid w:val="003E2904"/>
    <w:rsid w:val="003F7229"/>
    <w:rsid w:val="00401927"/>
    <w:rsid w:val="004048BE"/>
    <w:rsid w:val="0041027F"/>
    <w:rsid w:val="00412475"/>
    <w:rsid w:val="00423789"/>
    <w:rsid w:val="00440F43"/>
    <w:rsid w:val="00441B6F"/>
    <w:rsid w:val="00446221"/>
    <w:rsid w:val="00450E62"/>
    <w:rsid w:val="004512B8"/>
    <w:rsid w:val="004539DB"/>
    <w:rsid w:val="00471A80"/>
    <w:rsid w:val="004802FB"/>
    <w:rsid w:val="004904AC"/>
    <w:rsid w:val="004C17B6"/>
    <w:rsid w:val="004D305E"/>
    <w:rsid w:val="004D4277"/>
    <w:rsid w:val="004E5A99"/>
    <w:rsid w:val="0050115D"/>
    <w:rsid w:val="00502516"/>
    <w:rsid w:val="00505F06"/>
    <w:rsid w:val="00506828"/>
    <w:rsid w:val="0051261A"/>
    <w:rsid w:val="0053056E"/>
    <w:rsid w:val="00554FDA"/>
    <w:rsid w:val="00565A3B"/>
    <w:rsid w:val="00572E82"/>
    <w:rsid w:val="005C784C"/>
    <w:rsid w:val="005D17F6"/>
    <w:rsid w:val="005E5539"/>
    <w:rsid w:val="00602BF5"/>
    <w:rsid w:val="00615362"/>
    <w:rsid w:val="00617FDD"/>
    <w:rsid w:val="00633614"/>
    <w:rsid w:val="00633F68"/>
    <w:rsid w:val="00636DAA"/>
    <w:rsid w:val="00636EB2"/>
    <w:rsid w:val="006375B8"/>
    <w:rsid w:val="0066510A"/>
    <w:rsid w:val="00673F9F"/>
    <w:rsid w:val="00686953"/>
    <w:rsid w:val="00686F27"/>
    <w:rsid w:val="00687DEA"/>
    <w:rsid w:val="00687E67"/>
    <w:rsid w:val="006967F7"/>
    <w:rsid w:val="006A250C"/>
    <w:rsid w:val="006B21D3"/>
    <w:rsid w:val="006B57D0"/>
    <w:rsid w:val="006D30FF"/>
    <w:rsid w:val="006D6940"/>
    <w:rsid w:val="006F11EC"/>
    <w:rsid w:val="006F73D2"/>
    <w:rsid w:val="0070082C"/>
    <w:rsid w:val="00732413"/>
    <w:rsid w:val="007369E6"/>
    <w:rsid w:val="00746E59"/>
    <w:rsid w:val="00753205"/>
    <w:rsid w:val="0075484D"/>
    <w:rsid w:val="00754C9A"/>
    <w:rsid w:val="0075599A"/>
    <w:rsid w:val="00761D52"/>
    <w:rsid w:val="0077749E"/>
    <w:rsid w:val="00790ADA"/>
    <w:rsid w:val="007C6679"/>
    <w:rsid w:val="007D2288"/>
    <w:rsid w:val="007E088F"/>
    <w:rsid w:val="007E16D7"/>
    <w:rsid w:val="007E5894"/>
    <w:rsid w:val="007F7B32"/>
    <w:rsid w:val="00804BC2"/>
    <w:rsid w:val="0081431A"/>
    <w:rsid w:val="0083216F"/>
    <w:rsid w:val="008344C8"/>
    <w:rsid w:val="00837696"/>
    <w:rsid w:val="00860000"/>
    <w:rsid w:val="008639EF"/>
    <w:rsid w:val="00863BD3"/>
    <w:rsid w:val="008641ED"/>
    <w:rsid w:val="00866D66"/>
    <w:rsid w:val="00866E9F"/>
    <w:rsid w:val="008671C6"/>
    <w:rsid w:val="00875803"/>
    <w:rsid w:val="008B181A"/>
    <w:rsid w:val="008B459E"/>
    <w:rsid w:val="008E13AE"/>
    <w:rsid w:val="008E1506"/>
    <w:rsid w:val="008E710C"/>
    <w:rsid w:val="008F69D6"/>
    <w:rsid w:val="008F79AE"/>
    <w:rsid w:val="0090041A"/>
    <w:rsid w:val="00901EEE"/>
    <w:rsid w:val="00902823"/>
    <w:rsid w:val="0091122E"/>
    <w:rsid w:val="00915CA6"/>
    <w:rsid w:val="00927834"/>
    <w:rsid w:val="00946045"/>
    <w:rsid w:val="009500A6"/>
    <w:rsid w:val="00957C18"/>
    <w:rsid w:val="009659BA"/>
    <w:rsid w:val="00983040"/>
    <w:rsid w:val="00987D5E"/>
    <w:rsid w:val="009B3FB9"/>
    <w:rsid w:val="009C2465"/>
    <w:rsid w:val="009D35A0"/>
    <w:rsid w:val="009D7EB7"/>
    <w:rsid w:val="009E048A"/>
    <w:rsid w:val="009E08E9"/>
    <w:rsid w:val="009E3DB9"/>
    <w:rsid w:val="009E6E35"/>
    <w:rsid w:val="009F0EDA"/>
    <w:rsid w:val="00A03B96"/>
    <w:rsid w:val="00A05B19"/>
    <w:rsid w:val="00A1134E"/>
    <w:rsid w:val="00A12F7F"/>
    <w:rsid w:val="00A24E7E"/>
    <w:rsid w:val="00A258C3"/>
    <w:rsid w:val="00A347C0"/>
    <w:rsid w:val="00A422FD"/>
    <w:rsid w:val="00A44460"/>
    <w:rsid w:val="00A51431"/>
    <w:rsid w:val="00A539AD"/>
    <w:rsid w:val="00A75C8E"/>
    <w:rsid w:val="00A90E5A"/>
    <w:rsid w:val="00A94063"/>
    <w:rsid w:val="00AA51F9"/>
    <w:rsid w:val="00AA6219"/>
    <w:rsid w:val="00AA74E0"/>
    <w:rsid w:val="00AB0D59"/>
    <w:rsid w:val="00AB703F"/>
    <w:rsid w:val="00AC6BB8"/>
    <w:rsid w:val="00AE008F"/>
    <w:rsid w:val="00AE1E32"/>
    <w:rsid w:val="00AF0AA4"/>
    <w:rsid w:val="00AF64CA"/>
    <w:rsid w:val="00B01FCD"/>
    <w:rsid w:val="00B1776C"/>
    <w:rsid w:val="00B25BAB"/>
    <w:rsid w:val="00B52583"/>
    <w:rsid w:val="00B52896"/>
    <w:rsid w:val="00B922FF"/>
    <w:rsid w:val="00B95236"/>
    <w:rsid w:val="00B96BD9"/>
    <w:rsid w:val="00BA1B01"/>
    <w:rsid w:val="00BA2641"/>
    <w:rsid w:val="00BB37AA"/>
    <w:rsid w:val="00BC3C5D"/>
    <w:rsid w:val="00BC53A0"/>
    <w:rsid w:val="00BE62AD"/>
    <w:rsid w:val="00BF121F"/>
    <w:rsid w:val="00BF1F80"/>
    <w:rsid w:val="00BF2051"/>
    <w:rsid w:val="00C002FE"/>
    <w:rsid w:val="00C166EF"/>
    <w:rsid w:val="00C17EB0"/>
    <w:rsid w:val="00C2727E"/>
    <w:rsid w:val="00C27F5F"/>
    <w:rsid w:val="00C30A0F"/>
    <w:rsid w:val="00C31200"/>
    <w:rsid w:val="00C37E61"/>
    <w:rsid w:val="00C70F1B"/>
    <w:rsid w:val="00C71A47"/>
    <w:rsid w:val="00C7464C"/>
    <w:rsid w:val="00C85588"/>
    <w:rsid w:val="00CA2AE1"/>
    <w:rsid w:val="00CB5877"/>
    <w:rsid w:val="00CC2E8F"/>
    <w:rsid w:val="00CD6755"/>
    <w:rsid w:val="00CD6856"/>
    <w:rsid w:val="00CE0089"/>
    <w:rsid w:val="00CE11F3"/>
    <w:rsid w:val="00CE5048"/>
    <w:rsid w:val="00CE548E"/>
    <w:rsid w:val="00CE793C"/>
    <w:rsid w:val="00CF193C"/>
    <w:rsid w:val="00D05292"/>
    <w:rsid w:val="00D173F1"/>
    <w:rsid w:val="00D3088D"/>
    <w:rsid w:val="00D57B0E"/>
    <w:rsid w:val="00D74CB0"/>
    <w:rsid w:val="00D8295D"/>
    <w:rsid w:val="00DC2A65"/>
    <w:rsid w:val="00DC4AEE"/>
    <w:rsid w:val="00DE15F0"/>
    <w:rsid w:val="00DE5663"/>
    <w:rsid w:val="00DE78AA"/>
    <w:rsid w:val="00E053D0"/>
    <w:rsid w:val="00E10670"/>
    <w:rsid w:val="00E15994"/>
    <w:rsid w:val="00E21E3B"/>
    <w:rsid w:val="00E3114E"/>
    <w:rsid w:val="00E31A70"/>
    <w:rsid w:val="00E35B02"/>
    <w:rsid w:val="00E4169C"/>
    <w:rsid w:val="00E4444F"/>
    <w:rsid w:val="00E4531B"/>
    <w:rsid w:val="00E66496"/>
    <w:rsid w:val="00E66B35"/>
    <w:rsid w:val="00E66E10"/>
    <w:rsid w:val="00E769F6"/>
    <w:rsid w:val="00E83EE1"/>
    <w:rsid w:val="00E8407C"/>
    <w:rsid w:val="00E84F3C"/>
    <w:rsid w:val="00EA012C"/>
    <w:rsid w:val="00EC6A55"/>
    <w:rsid w:val="00ED0288"/>
    <w:rsid w:val="00EE52CB"/>
    <w:rsid w:val="00EF581D"/>
    <w:rsid w:val="00EF7FD8"/>
    <w:rsid w:val="00F06E97"/>
    <w:rsid w:val="00F06F59"/>
    <w:rsid w:val="00F10685"/>
    <w:rsid w:val="00F17988"/>
    <w:rsid w:val="00F469F0"/>
    <w:rsid w:val="00F50618"/>
    <w:rsid w:val="00F53273"/>
    <w:rsid w:val="00F755E4"/>
    <w:rsid w:val="00F77D02"/>
    <w:rsid w:val="00F86E74"/>
    <w:rsid w:val="00FA2CB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F1BF2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86E74"/>
    <w:pPr>
      <w:spacing w:before="100" w:beforeAutospacing="1" w:after="100" w:afterAutospacing="1"/>
    </w:pPr>
    <w:rPr>
      <w:rFonts w:ascii="Times New Roman" w:hAnsi="Times New Roman"/>
      <w:sz w:val="24"/>
      <w:szCs w:val="24"/>
      <w:lang w:val="en-IN" w:eastAsia="en-IN"/>
    </w:rPr>
  </w:style>
  <w:style w:type="paragraph" w:customStyle="1" w:styleId="Style1">
    <w:name w:val="Style1"/>
    <w:basedOn w:val="Normal"/>
    <w:link w:val="Style1Char"/>
    <w:qFormat/>
    <w:rsid w:val="00AE1E32"/>
    <w:pPr>
      <w:spacing w:before="100" w:beforeAutospacing="1" w:after="100" w:afterAutospacing="1" w:line="276" w:lineRule="auto"/>
      <w:jc w:val="both"/>
    </w:pPr>
    <w:rPr>
      <w:rFonts w:ascii="Arial" w:hAnsi="Arial" w:cs="Arial"/>
      <w:lang w:val="en-IN" w:eastAsia="en-IN"/>
    </w:rPr>
  </w:style>
  <w:style w:type="character" w:customStyle="1" w:styleId="Style1Char">
    <w:name w:val="Style1 Char"/>
    <w:basedOn w:val="DefaultParagraphFont"/>
    <w:link w:val="Style1"/>
    <w:rsid w:val="00AE1E32"/>
    <w:rPr>
      <w:rFonts w:ascii="Arial" w:hAnsi="Arial" w:cs="Arial"/>
      <w:lang w:val="en-IN" w:eastAsia="en-IN"/>
    </w:rPr>
  </w:style>
  <w:style w:type="character" w:styleId="Strong">
    <w:name w:val="Strong"/>
    <w:basedOn w:val="DefaultParagraphFont"/>
    <w:uiPriority w:val="22"/>
    <w:qFormat/>
    <w:rsid w:val="004048BE"/>
    <w:rPr>
      <w:b/>
      <w:bCs/>
    </w:rPr>
  </w:style>
  <w:style w:type="paragraph" w:styleId="ListParagraph">
    <w:name w:val="List Paragraph"/>
    <w:basedOn w:val="Normal"/>
    <w:uiPriority w:val="34"/>
    <w:qFormat/>
    <w:rsid w:val="004048BE"/>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F1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094515">
      <w:bodyDiv w:val="1"/>
      <w:marLeft w:val="0"/>
      <w:marRight w:val="0"/>
      <w:marTop w:val="0"/>
      <w:marBottom w:val="0"/>
      <w:divBdr>
        <w:top w:val="none" w:sz="0" w:space="0" w:color="auto"/>
        <w:left w:val="none" w:sz="0" w:space="0" w:color="auto"/>
        <w:bottom w:val="none" w:sz="0" w:space="0" w:color="auto"/>
        <w:right w:val="none" w:sz="0" w:space="0" w:color="auto"/>
      </w:divBdr>
    </w:div>
    <w:div w:id="112943733">
      <w:bodyDiv w:val="1"/>
      <w:marLeft w:val="0"/>
      <w:marRight w:val="0"/>
      <w:marTop w:val="0"/>
      <w:marBottom w:val="0"/>
      <w:divBdr>
        <w:top w:val="none" w:sz="0" w:space="0" w:color="auto"/>
        <w:left w:val="none" w:sz="0" w:space="0" w:color="auto"/>
        <w:bottom w:val="none" w:sz="0" w:space="0" w:color="auto"/>
        <w:right w:val="none" w:sz="0" w:space="0" w:color="auto"/>
      </w:divBdr>
    </w:div>
    <w:div w:id="13900486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700257">
      <w:bodyDiv w:val="1"/>
      <w:marLeft w:val="0"/>
      <w:marRight w:val="0"/>
      <w:marTop w:val="0"/>
      <w:marBottom w:val="0"/>
      <w:divBdr>
        <w:top w:val="none" w:sz="0" w:space="0" w:color="auto"/>
        <w:left w:val="none" w:sz="0" w:space="0" w:color="auto"/>
        <w:bottom w:val="none" w:sz="0" w:space="0" w:color="auto"/>
        <w:right w:val="none" w:sz="0" w:space="0" w:color="auto"/>
      </w:divBdr>
    </w:div>
    <w:div w:id="160707585">
      <w:bodyDiv w:val="1"/>
      <w:marLeft w:val="0"/>
      <w:marRight w:val="0"/>
      <w:marTop w:val="0"/>
      <w:marBottom w:val="0"/>
      <w:divBdr>
        <w:top w:val="none" w:sz="0" w:space="0" w:color="auto"/>
        <w:left w:val="none" w:sz="0" w:space="0" w:color="auto"/>
        <w:bottom w:val="none" w:sz="0" w:space="0" w:color="auto"/>
        <w:right w:val="none" w:sz="0" w:space="0" w:color="auto"/>
      </w:divBdr>
    </w:div>
    <w:div w:id="166869308">
      <w:bodyDiv w:val="1"/>
      <w:marLeft w:val="0"/>
      <w:marRight w:val="0"/>
      <w:marTop w:val="0"/>
      <w:marBottom w:val="0"/>
      <w:divBdr>
        <w:top w:val="none" w:sz="0" w:space="0" w:color="auto"/>
        <w:left w:val="none" w:sz="0" w:space="0" w:color="auto"/>
        <w:bottom w:val="none" w:sz="0" w:space="0" w:color="auto"/>
        <w:right w:val="none" w:sz="0" w:space="0" w:color="auto"/>
      </w:divBdr>
    </w:div>
    <w:div w:id="184172476">
      <w:bodyDiv w:val="1"/>
      <w:marLeft w:val="0"/>
      <w:marRight w:val="0"/>
      <w:marTop w:val="0"/>
      <w:marBottom w:val="0"/>
      <w:divBdr>
        <w:top w:val="none" w:sz="0" w:space="0" w:color="auto"/>
        <w:left w:val="none" w:sz="0" w:space="0" w:color="auto"/>
        <w:bottom w:val="none" w:sz="0" w:space="0" w:color="auto"/>
        <w:right w:val="none" w:sz="0" w:space="0" w:color="auto"/>
      </w:divBdr>
    </w:div>
    <w:div w:id="1973998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7682293">
      <w:bodyDiv w:val="1"/>
      <w:marLeft w:val="0"/>
      <w:marRight w:val="0"/>
      <w:marTop w:val="0"/>
      <w:marBottom w:val="0"/>
      <w:divBdr>
        <w:top w:val="none" w:sz="0" w:space="0" w:color="auto"/>
        <w:left w:val="none" w:sz="0" w:space="0" w:color="auto"/>
        <w:bottom w:val="none" w:sz="0" w:space="0" w:color="auto"/>
        <w:right w:val="none" w:sz="0" w:space="0" w:color="auto"/>
      </w:divBdr>
    </w:div>
    <w:div w:id="364527215">
      <w:bodyDiv w:val="1"/>
      <w:marLeft w:val="0"/>
      <w:marRight w:val="0"/>
      <w:marTop w:val="0"/>
      <w:marBottom w:val="0"/>
      <w:divBdr>
        <w:top w:val="none" w:sz="0" w:space="0" w:color="auto"/>
        <w:left w:val="none" w:sz="0" w:space="0" w:color="auto"/>
        <w:bottom w:val="none" w:sz="0" w:space="0" w:color="auto"/>
        <w:right w:val="none" w:sz="0" w:space="0" w:color="auto"/>
      </w:divBdr>
    </w:div>
    <w:div w:id="374039222">
      <w:bodyDiv w:val="1"/>
      <w:marLeft w:val="0"/>
      <w:marRight w:val="0"/>
      <w:marTop w:val="0"/>
      <w:marBottom w:val="0"/>
      <w:divBdr>
        <w:top w:val="none" w:sz="0" w:space="0" w:color="auto"/>
        <w:left w:val="none" w:sz="0" w:space="0" w:color="auto"/>
        <w:bottom w:val="none" w:sz="0" w:space="0" w:color="auto"/>
        <w:right w:val="none" w:sz="0" w:space="0" w:color="auto"/>
      </w:divBdr>
    </w:div>
    <w:div w:id="383414222">
      <w:bodyDiv w:val="1"/>
      <w:marLeft w:val="0"/>
      <w:marRight w:val="0"/>
      <w:marTop w:val="0"/>
      <w:marBottom w:val="0"/>
      <w:divBdr>
        <w:top w:val="none" w:sz="0" w:space="0" w:color="auto"/>
        <w:left w:val="none" w:sz="0" w:space="0" w:color="auto"/>
        <w:bottom w:val="none" w:sz="0" w:space="0" w:color="auto"/>
        <w:right w:val="none" w:sz="0" w:space="0" w:color="auto"/>
      </w:divBdr>
    </w:div>
    <w:div w:id="414861133">
      <w:bodyDiv w:val="1"/>
      <w:marLeft w:val="0"/>
      <w:marRight w:val="0"/>
      <w:marTop w:val="0"/>
      <w:marBottom w:val="0"/>
      <w:divBdr>
        <w:top w:val="none" w:sz="0" w:space="0" w:color="auto"/>
        <w:left w:val="none" w:sz="0" w:space="0" w:color="auto"/>
        <w:bottom w:val="none" w:sz="0" w:space="0" w:color="auto"/>
        <w:right w:val="none" w:sz="0" w:space="0" w:color="auto"/>
      </w:divBdr>
    </w:div>
    <w:div w:id="415782862">
      <w:bodyDiv w:val="1"/>
      <w:marLeft w:val="0"/>
      <w:marRight w:val="0"/>
      <w:marTop w:val="0"/>
      <w:marBottom w:val="0"/>
      <w:divBdr>
        <w:top w:val="none" w:sz="0" w:space="0" w:color="auto"/>
        <w:left w:val="none" w:sz="0" w:space="0" w:color="auto"/>
        <w:bottom w:val="none" w:sz="0" w:space="0" w:color="auto"/>
        <w:right w:val="none" w:sz="0" w:space="0" w:color="auto"/>
      </w:divBdr>
    </w:div>
    <w:div w:id="457340787">
      <w:bodyDiv w:val="1"/>
      <w:marLeft w:val="0"/>
      <w:marRight w:val="0"/>
      <w:marTop w:val="0"/>
      <w:marBottom w:val="0"/>
      <w:divBdr>
        <w:top w:val="none" w:sz="0" w:space="0" w:color="auto"/>
        <w:left w:val="none" w:sz="0" w:space="0" w:color="auto"/>
        <w:bottom w:val="none" w:sz="0" w:space="0" w:color="auto"/>
        <w:right w:val="none" w:sz="0" w:space="0" w:color="auto"/>
      </w:divBdr>
    </w:div>
    <w:div w:id="481239846">
      <w:bodyDiv w:val="1"/>
      <w:marLeft w:val="0"/>
      <w:marRight w:val="0"/>
      <w:marTop w:val="0"/>
      <w:marBottom w:val="0"/>
      <w:divBdr>
        <w:top w:val="none" w:sz="0" w:space="0" w:color="auto"/>
        <w:left w:val="none" w:sz="0" w:space="0" w:color="auto"/>
        <w:bottom w:val="none" w:sz="0" w:space="0" w:color="auto"/>
        <w:right w:val="none" w:sz="0" w:space="0" w:color="auto"/>
      </w:divBdr>
    </w:div>
    <w:div w:id="488132987">
      <w:bodyDiv w:val="1"/>
      <w:marLeft w:val="0"/>
      <w:marRight w:val="0"/>
      <w:marTop w:val="0"/>
      <w:marBottom w:val="0"/>
      <w:divBdr>
        <w:top w:val="none" w:sz="0" w:space="0" w:color="auto"/>
        <w:left w:val="none" w:sz="0" w:space="0" w:color="auto"/>
        <w:bottom w:val="none" w:sz="0" w:space="0" w:color="auto"/>
        <w:right w:val="none" w:sz="0" w:space="0" w:color="auto"/>
      </w:divBdr>
    </w:div>
    <w:div w:id="489298798">
      <w:bodyDiv w:val="1"/>
      <w:marLeft w:val="0"/>
      <w:marRight w:val="0"/>
      <w:marTop w:val="0"/>
      <w:marBottom w:val="0"/>
      <w:divBdr>
        <w:top w:val="none" w:sz="0" w:space="0" w:color="auto"/>
        <w:left w:val="none" w:sz="0" w:space="0" w:color="auto"/>
        <w:bottom w:val="none" w:sz="0" w:space="0" w:color="auto"/>
        <w:right w:val="none" w:sz="0" w:space="0" w:color="auto"/>
      </w:divBdr>
    </w:div>
    <w:div w:id="499855802">
      <w:bodyDiv w:val="1"/>
      <w:marLeft w:val="0"/>
      <w:marRight w:val="0"/>
      <w:marTop w:val="0"/>
      <w:marBottom w:val="0"/>
      <w:divBdr>
        <w:top w:val="none" w:sz="0" w:space="0" w:color="auto"/>
        <w:left w:val="none" w:sz="0" w:space="0" w:color="auto"/>
        <w:bottom w:val="none" w:sz="0" w:space="0" w:color="auto"/>
        <w:right w:val="none" w:sz="0" w:space="0" w:color="auto"/>
      </w:divBdr>
    </w:div>
    <w:div w:id="602032649">
      <w:bodyDiv w:val="1"/>
      <w:marLeft w:val="0"/>
      <w:marRight w:val="0"/>
      <w:marTop w:val="0"/>
      <w:marBottom w:val="0"/>
      <w:divBdr>
        <w:top w:val="none" w:sz="0" w:space="0" w:color="auto"/>
        <w:left w:val="none" w:sz="0" w:space="0" w:color="auto"/>
        <w:bottom w:val="none" w:sz="0" w:space="0" w:color="auto"/>
        <w:right w:val="none" w:sz="0" w:space="0" w:color="auto"/>
      </w:divBdr>
    </w:div>
    <w:div w:id="605388531">
      <w:bodyDiv w:val="1"/>
      <w:marLeft w:val="0"/>
      <w:marRight w:val="0"/>
      <w:marTop w:val="0"/>
      <w:marBottom w:val="0"/>
      <w:divBdr>
        <w:top w:val="none" w:sz="0" w:space="0" w:color="auto"/>
        <w:left w:val="none" w:sz="0" w:space="0" w:color="auto"/>
        <w:bottom w:val="none" w:sz="0" w:space="0" w:color="auto"/>
        <w:right w:val="none" w:sz="0" w:space="0" w:color="auto"/>
      </w:divBdr>
    </w:div>
    <w:div w:id="631405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574649">
      <w:bodyDiv w:val="1"/>
      <w:marLeft w:val="0"/>
      <w:marRight w:val="0"/>
      <w:marTop w:val="0"/>
      <w:marBottom w:val="0"/>
      <w:divBdr>
        <w:top w:val="none" w:sz="0" w:space="0" w:color="auto"/>
        <w:left w:val="none" w:sz="0" w:space="0" w:color="auto"/>
        <w:bottom w:val="none" w:sz="0" w:space="0" w:color="auto"/>
        <w:right w:val="none" w:sz="0" w:space="0" w:color="auto"/>
      </w:divBdr>
    </w:div>
    <w:div w:id="667291829">
      <w:bodyDiv w:val="1"/>
      <w:marLeft w:val="0"/>
      <w:marRight w:val="0"/>
      <w:marTop w:val="0"/>
      <w:marBottom w:val="0"/>
      <w:divBdr>
        <w:top w:val="none" w:sz="0" w:space="0" w:color="auto"/>
        <w:left w:val="none" w:sz="0" w:space="0" w:color="auto"/>
        <w:bottom w:val="none" w:sz="0" w:space="0" w:color="auto"/>
        <w:right w:val="none" w:sz="0" w:space="0" w:color="auto"/>
      </w:divBdr>
    </w:div>
    <w:div w:id="925266437">
      <w:bodyDiv w:val="1"/>
      <w:marLeft w:val="0"/>
      <w:marRight w:val="0"/>
      <w:marTop w:val="0"/>
      <w:marBottom w:val="0"/>
      <w:divBdr>
        <w:top w:val="none" w:sz="0" w:space="0" w:color="auto"/>
        <w:left w:val="none" w:sz="0" w:space="0" w:color="auto"/>
        <w:bottom w:val="none" w:sz="0" w:space="0" w:color="auto"/>
        <w:right w:val="none" w:sz="0" w:space="0" w:color="auto"/>
      </w:divBdr>
    </w:div>
    <w:div w:id="9510104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361527">
      <w:bodyDiv w:val="1"/>
      <w:marLeft w:val="0"/>
      <w:marRight w:val="0"/>
      <w:marTop w:val="0"/>
      <w:marBottom w:val="0"/>
      <w:divBdr>
        <w:top w:val="none" w:sz="0" w:space="0" w:color="auto"/>
        <w:left w:val="none" w:sz="0" w:space="0" w:color="auto"/>
        <w:bottom w:val="none" w:sz="0" w:space="0" w:color="auto"/>
        <w:right w:val="none" w:sz="0" w:space="0" w:color="auto"/>
      </w:divBdr>
    </w:div>
    <w:div w:id="104139752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758669">
      <w:bodyDiv w:val="1"/>
      <w:marLeft w:val="0"/>
      <w:marRight w:val="0"/>
      <w:marTop w:val="0"/>
      <w:marBottom w:val="0"/>
      <w:divBdr>
        <w:top w:val="none" w:sz="0" w:space="0" w:color="auto"/>
        <w:left w:val="none" w:sz="0" w:space="0" w:color="auto"/>
        <w:bottom w:val="none" w:sz="0" w:space="0" w:color="auto"/>
        <w:right w:val="none" w:sz="0" w:space="0" w:color="auto"/>
      </w:divBdr>
    </w:div>
    <w:div w:id="1168593550">
      <w:bodyDiv w:val="1"/>
      <w:marLeft w:val="0"/>
      <w:marRight w:val="0"/>
      <w:marTop w:val="0"/>
      <w:marBottom w:val="0"/>
      <w:divBdr>
        <w:top w:val="none" w:sz="0" w:space="0" w:color="auto"/>
        <w:left w:val="none" w:sz="0" w:space="0" w:color="auto"/>
        <w:bottom w:val="none" w:sz="0" w:space="0" w:color="auto"/>
        <w:right w:val="none" w:sz="0" w:space="0" w:color="auto"/>
      </w:divBdr>
    </w:div>
    <w:div w:id="1228757990">
      <w:bodyDiv w:val="1"/>
      <w:marLeft w:val="0"/>
      <w:marRight w:val="0"/>
      <w:marTop w:val="0"/>
      <w:marBottom w:val="0"/>
      <w:divBdr>
        <w:top w:val="none" w:sz="0" w:space="0" w:color="auto"/>
        <w:left w:val="none" w:sz="0" w:space="0" w:color="auto"/>
        <w:bottom w:val="none" w:sz="0" w:space="0" w:color="auto"/>
        <w:right w:val="none" w:sz="0" w:space="0" w:color="auto"/>
      </w:divBdr>
    </w:div>
    <w:div w:id="1301617144">
      <w:bodyDiv w:val="1"/>
      <w:marLeft w:val="0"/>
      <w:marRight w:val="0"/>
      <w:marTop w:val="0"/>
      <w:marBottom w:val="0"/>
      <w:divBdr>
        <w:top w:val="none" w:sz="0" w:space="0" w:color="auto"/>
        <w:left w:val="none" w:sz="0" w:space="0" w:color="auto"/>
        <w:bottom w:val="none" w:sz="0" w:space="0" w:color="auto"/>
        <w:right w:val="none" w:sz="0" w:space="0" w:color="auto"/>
      </w:divBdr>
    </w:div>
    <w:div w:id="1367099857">
      <w:bodyDiv w:val="1"/>
      <w:marLeft w:val="0"/>
      <w:marRight w:val="0"/>
      <w:marTop w:val="0"/>
      <w:marBottom w:val="0"/>
      <w:divBdr>
        <w:top w:val="none" w:sz="0" w:space="0" w:color="auto"/>
        <w:left w:val="none" w:sz="0" w:space="0" w:color="auto"/>
        <w:bottom w:val="none" w:sz="0" w:space="0" w:color="auto"/>
        <w:right w:val="none" w:sz="0" w:space="0" w:color="auto"/>
      </w:divBdr>
    </w:div>
    <w:div w:id="1429810623">
      <w:bodyDiv w:val="1"/>
      <w:marLeft w:val="0"/>
      <w:marRight w:val="0"/>
      <w:marTop w:val="0"/>
      <w:marBottom w:val="0"/>
      <w:divBdr>
        <w:top w:val="none" w:sz="0" w:space="0" w:color="auto"/>
        <w:left w:val="none" w:sz="0" w:space="0" w:color="auto"/>
        <w:bottom w:val="none" w:sz="0" w:space="0" w:color="auto"/>
        <w:right w:val="none" w:sz="0" w:space="0" w:color="auto"/>
      </w:divBdr>
    </w:div>
    <w:div w:id="1516118788">
      <w:bodyDiv w:val="1"/>
      <w:marLeft w:val="0"/>
      <w:marRight w:val="0"/>
      <w:marTop w:val="0"/>
      <w:marBottom w:val="0"/>
      <w:divBdr>
        <w:top w:val="none" w:sz="0" w:space="0" w:color="auto"/>
        <w:left w:val="none" w:sz="0" w:space="0" w:color="auto"/>
        <w:bottom w:val="none" w:sz="0" w:space="0" w:color="auto"/>
        <w:right w:val="none" w:sz="0" w:space="0" w:color="auto"/>
      </w:divBdr>
    </w:div>
    <w:div w:id="1553421845">
      <w:bodyDiv w:val="1"/>
      <w:marLeft w:val="0"/>
      <w:marRight w:val="0"/>
      <w:marTop w:val="0"/>
      <w:marBottom w:val="0"/>
      <w:divBdr>
        <w:top w:val="none" w:sz="0" w:space="0" w:color="auto"/>
        <w:left w:val="none" w:sz="0" w:space="0" w:color="auto"/>
        <w:bottom w:val="none" w:sz="0" w:space="0" w:color="auto"/>
        <w:right w:val="none" w:sz="0" w:space="0" w:color="auto"/>
      </w:divBdr>
    </w:div>
    <w:div w:id="1573469965">
      <w:bodyDiv w:val="1"/>
      <w:marLeft w:val="0"/>
      <w:marRight w:val="0"/>
      <w:marTop w:val="0"/>
      <w:marBottom w:val="0"/>
      <w:divBdr>
        <w:top w:val="none" w:sz="0" w:space="0" w:color="auto"/>
        <w:left w:val="none" w:sz="0" w:space="0" w:color="auto"/>
        <w:bottom w:val="none" w:sz="0" w:space="0" w:color="auto"/>
        <w:right w:val="none" w:sz="0" w:space="0" w:color="auto"/>
      </w:divBdr>
    </w:div>
    <w:div w:id="1614820704">
      <w:bodyDiv w:val="1"/>
      <w:marLeft w:val="0"/>
      <w:marRight w:val="0"/>
      <w:marTop w:val="0"/>
      <w:marBottom w:val="0"/>
      <w:divBdr>
        <w:top w:val="none" w:sz="0" w:space="0" w:color="auto"/>
        <w:left w:val="none" w:sz="0" w:space="0" w:color="auto"/>
        <w:bottom w:val="none" w:sz="0" w:space="0" w:color="auto"/>
        <w:right w:val="none" w:sz="0" w:space="0" w:color="auto"/>
      </w:divBdr>
    </w:div>
    <w:div w:id="1638097654">
      <w:bodyDiv w:val="1"/>
      <w:marLeft w:val="0"/>
      <w:marRight w:val="0"/>
      <w:marTop w:val="0"/>
      <w:marBottom w:val="0"/>
      <w:divBdr>
        <w:top w:val="none" w:sz="0" w:space="0" w:color="auto"/>
        <w:left w:val="none" w:sz="0" w:space="0" w:color="auto"/>
        <w:bottom w:val="none" w:sz="0" w:space="0" w:color="auto"/>
        <w:right w:val="none" w:sz="0" w:space="0" w:color="auto"/>
      </w:divBdr>
    </w:div>
    <w:div w:id="1660961841">
      <w:bodyDiv w:val="1"/>
      <w:marLeft w:val="0"/>
      <w:marRight w:val="0"/>
      <w:marTop w:val="0"/>
      <w:marBottom w:val="0"/>
      <w:divBdr>
        <w:top w:val="none" w:sz="0" w:space="0" w:color="auto"/>
        <w:left w:val="none" w:sz="0" w:space="0" w:color="auto"/>
        <w:bottom w:val="none" w:sz="0" w:space="0" w:color="auto"/>
        <w:right w:val="none" w:sz="0" w:space="0" w:color="auto"/>
      </w:divBdr>
    </w:div>
    <w:div w:id="1678968660">
      <w:bodyDiv w:val="1"/>
      <w:marLeft w:val="0"/>
      <w:marRight w:val="0"/>
      <w:marTop w:val="0"/>
      <w:marBottom w:val="0"/>
      <w:divBdr>
        <w:top w:val="none" w:sz="0" w:space="0" w:color="auto"/>
        <w:left w:val="none" w:sz="0" w:space="0" w:color="auto"/>
        <w:bottom w:val="none" w:sz="0" w:space="0" w:color="auto"/>
        <w:right w:val="none" w:sz="0" w:space="0" w:color="auto"/>
      </w:divBdr>
    </w:div>
    <w:div w:id="1686860383">
      <w:bodyDiv w:val="1"/>
      <w:marLeft w:val="0"/>
      <w:marRight w:val="0"/>
      <w:marTop w:val="0"/>
      <w:marBottom w:val="0"/>
      <w:divBdr>
        <w:top w:val="none" w:sz="0" w:space="0" w:color="auto"/>
        <w:left w:val="none" w:sz="0" w:space="0" w:color="auto"/>
        <w:bottom w:val="none" w:sz="0" w:space="0" w:color="auto"/>
        <w:right w:val="none" w:sz="0" w:space="0" w:color="auto"/>
      </w:divBdr>
    </w:div>
    <w:div w:id="1691029610">
      <w:bodyDiv w:val="1"/>
      <w:marLeft w:val="0"/>
      <w:marRight w:val="0"/>
      <w:marTop w:val="0"/>
      <w:marBottom w:val="0"/>
      <w:divBdr>
        <w:top w:val="none" w:sz="0" w:space="0" w:color="auto"/>
        <w:left w:val="none" w:sz="0" w:space="0" w:color="auto"/>
        <w:bottom w:val="none" w:sz="0" w:space="0" w:color="auto"/>
        <w:right w:val="none" w:sz="0" w:space="0" w:color="auto"/>
      </w:divBdr>
    </w:div>
    <w:div w:id="17125378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7189914">
      <w:bodyDiv w:val="1"/>
      <w:marLeft w:val="0"/>
      <w:marRight w:val="0"/>
      <w:marTop w:val="0"/>
      <w:marBottom w:val="0"/>
      <w:divBdr>
        <w:top w:val="none" w:sz="0" w:space="0" w:color="auto"/>
        <w:left w:val="none" w:sz="0" w:space="0" w:color="auto"/>
        <w:bottom w:val="none" w:sz="0" w:space="0" w:color="auto"/>
        <w:right w:val="none" w:sz="0" w:space="0" w:color="auto"/>
      </w:divBdr>
    </w:div>
    <w:div w:id="1775248522">
      <w:bodyDiv w:val="1"/>
      <w:marLeft w:val="0"/>
      <w:marRight w:val="0"/>
      <w:marTop w:val="0"/>
      <w:marBottom w:val="0"/>
      <w:divBdr>
        <w:top w:val="none" w:sz="0" w:space="0" w:color="auto"/>
        <w:left w:val="none" w:sz="0" w:space="0" w:color="auto"/>
        <w:bottom w:val="none" w:sz="0" w:space="0" w:color="auto"/>
        <w:right w:val="none" w:sz="0" w:space="0" w:color="auto"/>
      </w:divBdr>
    </w:div>
    <w:div w:id="1794010733">
      <w:bodyDiv w:val="1"/>
      <w:marLeft w:val="0"/>
      <w:marRight w:val="0"/>
      <w:marTop w:val="0"/>
      <w:marBottom w:val="0"/>
      <w:divBdr>
        <w:top w:val="none" w:sz="0" w:space="0" w:color="auto"/>
        <w:left w:val="none" w:sz="0" w:space="0" w:color="auto"/>
        <w:bottom w:val="none" w:sz="0" w:space="0" w:color="auto"/>
        <w:right w:val="none" w:sz="0" w:space="0" w:color="auto"/>
      </w:divBdr>
    </w:div>
    <w:div w:id="1824734913">
      <w:bodyDiv w:val="1"/>
      <w:marLeft w:val="0"/>
      <w:marRight w:val="0"/>
      <w:marTop w:val="0"/>
      <w:marBottom w:val="0"/>
      <w:divBdr>
        <w:top w:val="none" w:sz="0" w:space="0" w:color="auto"/>
        <w:left w:val="none" w:sz="0" w:space="0" w:color="auto"/>
        <w:bottom w:val="none" w:sz="0" w:space="0" w:color="auto"/>
        <w:right w:val="none" w:sz="0" w:space="0" w:color="auto"/>
      </w:divBdr>
    </w:div>
    <w:div w:id="1885487326">
      <w:bodyDiv w:val="1"/>
      <w:marLeft w:val="0"/>
      <w:marRight w:val="0"/>
      <w:marTop w:val="0"/>
      <w:marBottom w:val="0"/>
      <w:divBdr>
        <w:top w:val="none" w:sz="0" w:space="0" w:color="auto"/>
        <w:left w:val="none" w:sz="0" w:space="0" w:color="auto"/>
        <w:bottom w:val="none" w:sz="0" w:space="0" w:color="auto"/>
        <w:right w:val="none" w:sz="0" w:space="0" w:color="auto"/>
      </w:divBdr>
    </w:div>
    <w:div w:id="1962568962">
      <w:bodyDiv w:val="1"/>
      <w:marLeft w:val="0"/>
      <w:marRight w:val="0"/>
      <w:marTop w:val="0"/>
      <w:marBottom w:val="0"/>
      <w:divBdr>
        <w:top w:val="none" w:sz="0" w:space="0" w:color="auto"/>
        <w:left w:val="none" w:sz="0" w:space="0" w:color="auto"/>
        <w:bottom w:val="none" w:sz="0" w:space="0" w:color="auto"/>
        <w:right w:val="none" w:sz="0" w:space="0" w:color="auto"/>
      </w:divBdr>
    </w:div>
    <w:div w:id="197035865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8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1823-517B-4FDA-85C2-475BF5C6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301</TotalTime>
  <Pages>14</Pages>
  <Words>6175</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65</cp:revision>
  <cp:lastPrinted>1999-07-06T11:00:00Z</cp:lastPrinted>
  <dcterms:created xsi:type="dcterms:W3CDTF">2014-10-25T14:34:00Z</dcterms:created>
  <dcterms:modified xsi:type="dcterms:W3CDTF">2025-09-09T09:25:00Z</dcterms:modified>
</cp:coreProperties>
</file>