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36223" w14:textId="77777777" w:rsidR="007573C7" w:rsidRPr="00605CE8" w:rsidRDefault="007573C7" w:rsidP="008D6E9E">
      <w:pPr>
        <w:pBdr>
          <w:top w:val="nil"/>
          <w:left w:val="nil"/>
          <w:bottom w:val="nil"/>
          <w:right w:val="nil"/>
          <w:between w:val="nil"/>
        </w:pBdr>
        <w:spacing w:line="360" w:lineRule="auto"/>
        <w:jc w:val="both"/>
        <w:rPr>
          <w:b/>
          <w:bCs/>
          <w:color w:val="000000" w:themeColor="text1"/>
          <w:sz w:val="32"/>
        </w:rPr>
      </w:pPr>
      <w:r w:rsidRPr="00605CE8">
        <w:rPr>
          <w:b/>
          <w:bCs/>
          <w:color w:val="000000" w:themeColor="text1"/>
          <w:sz w:val="32"/>
        </w:rPr>
        <w:t xml:space="preserve">When to Start Antiplatelet Therapy in Patients with </w:t>
      </w:r>
      <w:proofErr w:type="spellStart"/>
      <w:r w:rsidRPr="00605CE8">
        <w:rPr>
          <w:b/>
          <w:bCs/>
          <w:color w:val="000000" w:themeColor="text1"/>
          <w:sz w:val="32"/>
        </w:rPr>
        <w:t>Hemorrhagic</w:t>
      </w:r>
      <w:proofErr w:type="spellEnd"/>
      <w:r w:rsidRPr="00605CE8">
        <w:rPr>
          <w:b/>
          <w:bCs/>
          <w:color w:val="000000" w:themeColor="text1"/>
          <w:sz w:val="32"/>
        </w:rPr>
        <w:t xml:space="preserve"> Stroke and Prior Percutaneous Coronary Intervention: A Clinical Challenge</w:t>
      </w:r>
    </w:p>
    <w:p w14:paraId="42FBCCFF" w14:textId="77777777" w:rsidR="00032766" w:rsidRPr="003A73E6" w:rsidRDefault="00032766" w:rsidP="008D6E9E">
      <w:pPr>
        <w:pBdr>
          <w:top w:val="nil"/>
          <w:left w:val="nil"/>
          <w:bottom w:val="nil"/>
          <w:right w:val="nil"/>
          <w:between w:val="nil"/>
        </w:pBdr>
        <w:spacing w:line="360" w:lineRule="auto"/>
        <w:jc w:val="both"/>
        <w:rPr>
          <w:rFonts w:eastAsia="Google Sans"/>
          <w:b/>
          <w:bCs/>
          <w:color w:val="000000" w:themeColor="text1"/>
        </w:rPr>
      </w:pPr>
    </w:p>
    <w:p w14:paraId="4EF332A2" w14:textId="24FB287E" w:rsidR="00873156" w:rsidRPr="003A73E6" w:rsidRDefault="008F349C" w:rsidP="003A73E6">
      <w:pPr>
        <w:spacing w:line="360" w:lineRule="auto"/>
        <w:jc w:val="both"/>
        <w:rPr>
          <w:b/>
          <w:bCs/>
        </w:rPr>
      </w:pPr>
      <w:r w:rsidRPr="003A73E6">
        <w:rPr>
          <w:b/>
          <w:bCs/>
        </w:rPr>
        <w:t>Abstrac</w:t>
      </w:r>
      <w:r w:rsidR="001D03AF" w:rsidRPr="003A73E6">
        <w:rPr>
          <w:b/>
          <w:bCs/>
        </w:rPr>
        <w:t>t</w:t>
      </w:r>
    </w:p>
    <w:p w14:paraId="51C1BD37" w14:textId="77777777" w:rsidR="00EA03BB" w:rsidRPr="003A73E6" w:rsidRDefault="00EA03BB" w:rsidP="003A73E6">
      <w:pPr>
        <w:spacing w:line="360" w:lineRule="auto"/>
        <w:jc w:val="both"/>
      </w:pPr>
    </w:p>
    <w:p w14:paraId="390CF6A0" w14:textId="4B22599C" w:rsidR="001D03AF" w:rsidRPr="003A73E6" w:rsidRDefault="008F349C" w:rsidP="003A73E6">
      <w:pPr>
        <w:spacing w:line="360" w:lineRule="auto"/>
        <w:jc w:val="both"/>
        <w:rPr>
          <w:b/>
          <w:bCs/>
          <w:color w:val="000000"/>
        </w:rPr>
      </w:pPr>
      <w:r w:rsidRPr="003A73E6">
        <w:rPr>
          <w:b/>
          <w:bCs/>
        </w:rPr>
        <w:t>Aim</w:t>
      </w:r>
      <w:r w:rsidR="001D03AF" w:rsidRPr="003A73E6">
        <w:rPr>
          <w:b/>
          <w:bCs/>
        </w:rPr>
        <w:t>s</w:t>
      </w:r>
      <w:r w:rsidR="007752FA" w:rsidRPr="003A73E6">
        <w:rPr>
          <w:b/>
          <w:bCs/>
        </w:rPr>
        <w:t xml:space="preserve">: </w:t>
      </w:r>
      <w:r w:rsidR="004E1546" w:rsidRPr="003A73E6">
        <w:rPr>
          <w:bCs/>
          <w:color w:val="000000"/>
        </w:rPr>
        <w:t>This case demonstrates the challenges and complexities of managing antiplatelet therapy in the setting of ICH prior to elective PCI. The determination of when to restart antiplatelet therapy and which to use can be more difficult given the absence of clear guidelines due to lack of evidence.</w:t>
      </w:r>
    </w:p>
    <w:p w14:paraId="1DE94CBF" w14:textId="77777777" w:rsidR="004E1546" w:rsidRPr="003A73E6" w:rsidRDefault="004E1546" w:rsidP="003A73E6">
      <w:pPr>
        <w:spacing w:line="360" w:lineRule="auto"/>
        <w:jc w:val="both"/>
      </w:pPr>
    </w:p>
    <w:p w14:paraId="23F4549D" w14:textId="764839A1" w:rsidR="003C2017" w:rsidRPr="003A73E6" w:rsidRDefault="008F349C" w:rsidP="003A73E6">
      <w:pPr>
        <w:spacing w:line="360" w:lineRule="auto"/>
        <w:jc w:val="both"/>
        <w:rPr>
          <w:bCs/>
          <w:lang w:val="en-US"/>
        </w:rPr>
      </w:pPr>
      <w:r w:rsidRPr="003A73E6">
        <w:rPr>
          <w:b/>
          <w:bCs/>
        </w:rPr>
        <w:t>Presentation of Case</w:t>
      </w:r>
      <w:r w:rsidR="007752FA" w:rsidRPr="003A73E6">
        <w:rPr>
          <w:b/>
          <w:bCs/>
        </w:rPr>
        <w:t>:</w:t>
      </w:r>
      <w:r w:rsidR="007752FA" w:rsidRPr="003A73E6">
        <w:t xml:space="preserve"> </w:t>
      </w:r>
      <w:r w:rsidR="00675FB2" w:rsidRPr="003A73E6">
        <w:rPr>
          <w:bCs/>
          <w:lang w:val="en-US"/>
        </w:rPr>
        <w:t>A 45-year-old man developed ICH one week after PCI. He had a history of single-vessel coronary artery disease in the left anterior descending artery, which necessitated the implantation of a drug eluting stent.</w:t>
      </w:r>
      <w:r w:rsidR="00B6768B" w:rsidRPr="003A73E6">
        <w:rPr>
          <w:bCs/>
          <w:lang w:val="en-US"/>
        </w:rPr>
        <w:t xml:space="preserve"> Imaging showed a small hemorrhage in the right lentiform nucleus and a chronic subdural hematoma. The patient, with a history of hypertension, was on dual antiplatelet therapy (DAPT) with aspirin and ticagrelor. Due to life-threatening bleeding, DAPT was temporarily stopped. After discharge, fear of stroke recurrence led to poor follow-up and medication noncompliance. Three months later, he presented with seizures, slurred speech, and weakness. Cardiac assessment showed no acute ischemia, and he was advised to resume DAPT and referred for stroke rehabilitation.</w:t>
      </w:r>
    </w:p>
    <w:p w14:paraId="1E00FC2F" w14:textId="77777777" w:rsidR="00873156" w:rsidRPr="003A73E6" w:rsidRDefault="00873156" w:rsidP="003A73E6">
      <w:pPr>
        <w:spacing w:line="360" w:lineRule="auto"/>
        <w:jc w:val="both"/>
        <w:rPr>
          <w:rFonts w:eastAsia="Google Sans Text"/>
          <w:vertAlign w:val="superscript"/>
        </w:rPr>
      </w:pPr>
    </w:p>
    <w:p w14:paraId="63A08EB7" w14:textId="337482F4" w:rsidR="001D03AF" w:rsidRPr="003A73E6" w:rsidRDefault="008F349C" w:rsidP="003A73E6">
      <w:pPr>
        <w:spacing w:line="360" w:lineRule="auto"/>
        <w:jc w:val="both"/>
        <w:rPr>
          <w:b/>
          <w:bCs/>
        </w:rPr>
      </w:pPr>
      <w:r w:rsidRPr="003A73E6">
        <w:rPr>
          <w:b/>
          <w:bCs/>
        </w:rPr>
        <w:t>Discussion</w:t>
      </w:r>
      <w:r w:rsidR="007752FA" w:rsidRPr="003A73E6">
        <w:rPr>
          <w:b/>
          <w:bCs/>
        </w:rPr>
        <w:t>:</w:t>
      </w:r>
      <w:r w:rsidR="007752FA" w:rsidRPr="003A73E6">
        <w:t xml:space="preserve"> </w:t>
      </w:r>
      <w:r w:rsidR="004E1546" w:rsidRPr="003A73E6">
        <w:rPr>
          <w:bCs/>
          <w:lang w:val="en-US"/>
        </w:rPr>
        <w:t>This case highlights that management is not limited to acute hemorrhage but also includes the potential emotional consequences that can contribute to difficulties with adherence. Failure to comply with DAPT results in a very high thrombotic risk. Nevertheless, recent meta-analyses show that early reinitiation of antithrombotic drugs post-ICH decreases the risk of rebleeding with no increased incidence of ischemic events. A careful, multidisciplinary assessment is required to manage patient apprehensions and to plan reinitiation of therapy.</w:t>
      </w:r>
    </w:p>
    <w:p w14:paraId="4B6AE592" w14:textId="77777777" w:rsidR="00B6768B" w:rsidRPr="003A73E6" w:rsidRDefault="00B6768B" w:rsidP="003A73E6">
      <w:pPr>
        <w:spacing w:line="360" w:lineRule="auto"/>
        <w:jc w:val="both"/>
        <w:rPr>
          <w:rFonts w:eastAsia="Google Sans Text"/>
          <w:vertAlign w:val="superscript"/>
        </w:rPr>
      </w:pPr>
    </w:p>
    <w:p w14:paraId="069029C4" w14:textId="793882A3" w:rsidR="00B6768B" w:rsidRPr="003A73E6" w:rsidRDefault="008F349C" w:rsidP="003A73E6">
      <w:pPr>
        <w:spacing w:line="360" w:lineRule="auto"/>
        <w:jc w:val="both"/>
        <w:rPr>
          <w:b/>
          <w:bCs/>
          <w:lang w:val="en-US"/>
        </w:rPr>
      </w:pPr>
      <w:r w:rsidRPr="003A73E6">
        <w:rPr>
          <w:b/>
          <w:bCs/>
        </w:rPr>
        <w:t>Conclusion</w:t>
      </w:r>
      <w:r w:rsidR="007752FA" w:rsidRPr="003A73E6">
        <w:rPr>
          <w:b/>
          <w:bCs/>
        </w:rPr>
        <w:t>:</w:t>
      </w:r>
      <w:r w:rsidR="007752FA" w:rsidRPr="003A73E6">
        <w:t xml:space="preserve"> </w:t>
      </w:r>
      <w:r w:rsidR="00366965" w:rsidRPr="003A73E6">
        <w:rPr>
          <w:bCs/>
          <w:lang w:val="en-US"/>
        </w:rPr>
        <w:t>A lack of established guidelines for restarting antiplatelet therapy after PCI ICH drives home the need for teamwork and patient instruction. The round, well-considered re-challenge setting is important for preventing poor adherence and backward outcomes. The present case illustrates the need for evidence-based constructs to guide clinical practice based on research.</w:t>
      </w:r>
    </w:p>
    <w:p w14:paraId="6F05C401" w14:textId="77777777" w:rsidR="00366965" w:rsidRPr="003A73E6" w:rsidRDefault="00366965" w:rsidP="003A73E6">
      <w:pPr>
        <w:spacing w:line="360" w:lineRule="auto"/>
        <w:jc w:val="both"/>
        <w:rPr>
          <w:lang w:val="en-US"/>
        </w:rPr>
      </w:pPr>
    </w:p>
    <w:p w14:paraId="73F32B4F" w14:textId="080B0BBA" w:rsidR="000E1ACF" w:rsidRPr="003A73E6" w:rsidRDefault="000E1ACF" w:rsidP="003A73E6">
      <w:pPr>
        <w:spacing w:line="360" w:lineRule="auto"/>
        <w:jc w:val="both"/>
      </w:pPr>
      <w:r w:rsidRPr="003A73E6">
        <w:rPr>
          <w:b/>
          <w:bCs/>
        </w:rPr>
        <w:t>Keyword:</w:t>
      </w:r>
      <w:r w:rsidRPr="003A73E6">
        <w:rPr>
          <w:i/>
          <w:iCs/>
          <w:shd w:val="clear" w:color="auto" w:fill="FFFFFF"/>
        </w:rPr>
        <w:t xml:space="preserve"> </w:t>
      </w:r>
      <w:r w:rsidR="00675FB2" w:rsidRPr="003A73E6">
        <w:rPr>
          <w:i/>
          <w:iCs/>
        </w:rPr>
        <w:t>Intrac</w:t>
      </w:r>
      <w:r w:rsidR="00B87AAA" w:rsidRPr="003A73E6">
        <w:rPr>
          <w:i/>
          <w:iCs/>
        </w:rPr>
        <w:t>erebral</w:t>
      </w:r>
      <w:r w:rsidR="00675FB2" w:rsidRPr="003A73E6">
        <w:rPr>
          <w:i/>
          <w:iCs/>
        </w:rPr>
        <w:t xml:space="preserve"> </w:t>
      </w:r>
      <w:proofErr w:type="spellStart"/>
      <w:r w:rsidR="00675FB2" w:rsidRPr="003A73E6">
        <w:rPr>
          <w:i/>
          <w:iCs/>
        </w:rPr>
        <w:t>Hemorrhage</w:t>
      </w:r>
      <w:proofErr w:type="spellEnd"/>
      <w:r w:rsidRPr="003A73E6">
        <w:rPr>
          <w:i/>
          <w:iCs/>
        </w:rPr>
        <w:t xml:space="preserve">, Dual Anti Platelet Therapy, Percutaneous Coronary Intervention </w:t>
      </w:r>
    </w:p>
    <w:p w14:paraId="4E60D5B4" w14:textId="77777777" w:rsidR="000E1ACF" w:rsidRPr="003A73E6" w:rsidRDefault="000E1ACF" w:rsidP="008D6E9E">
      <w:pPr>
        <w:pBdr>
          <w:top w:val="nil"/>
          <w:left w:val="nil"/>
          <w:bottom w:val="nil"/>
          <w:right w:val="nil"/>
          <w:between w:val="nil"/>
        </w:pBdr>
        <w:spacing w:line="360" w:lineRule="auto"/>
        <w:jc w:val="both"/>
        <w:rPr>
          <w:color w:val="000000" w:themeColor="text1"/>
          <w:spacing w:val="1"/>
        </w:rPr>
      </w:pPr>
    </w:p>
    <w:p w14:paraId="7168FF95" w14:textId="77777777" w:rsidR="000E1ACF" w:rsidRPr="003A73E6" w:rsidRDefault="000E1ACF" w:rsidP="008D6E9E">
      <w:pPr>
        <w:pBdr>
          <w:top w:val="nil"/>
          <w:left w:val="nil"/>
          <w:bottom w:val="nil"/>
          <w:right w:val="nil"/>
          <w:between w:val="nil"/>
        </w:pBdr>
        <w:spacing w:line="360" w:lineRule="auto"/>
        <w:jc w:val="both"/>
        <w:rPr>
          <w:rFonts w:eastAsia="Google Sans Text"/>
          <w:color w:val="000000" w:themeColor="text1"/>
          <w:vertAlign w:val="superscript"/>
        </w:rPr>
      </w:pPr>
    </w:p>
    <w:p w14:paraId="3043216E" w14:textId="77777777" w:rsidR="006D2A0F" w:rsidRPr="003A73E6" w:rsidRDefault="006D2A0F" w:rsidP="008D6E9E">
      <w:pPr>
        <w:pBdr>
          <w:top w:val="nil"/>
          <w:left w:val="nil"/>
          <w:bottom w:val="nil"/>
          <w:right w:val="nil"/>
          <w:between w:val="nil"/>
        </w:pBdr>
        <w:spacing w:line="360" w:lineRule="auto"/>
        <w:jc w:val="both"/>
        <w:rPr>
          <w:rFonts w:eastAsia="Google Sans Text"/>
          <w:color w:val="000000" w:themeColor="text1"/>
          <w:vertAlign w:val="superscript"/>
        </w:rPr>
      </w:pPr>
    </w:p>
    <w:p w14:paraId="62B431F2" w14:textId="77777777" w:rsidR="006D2A0F" w:rsidRPr="003A73E6" w:rsidRDefault="006D2A0F" w:rsidP="008D6E9E">
      <w:pPr>
        <w:pBdr>
          <w:top w:val="nil"/>
          <w:left w:val="nil"/>
          <w:bottom w:val="nil"/>
          <w:right w:val="nil"/>
          <w:between w:val="nil"/>
        </w:pBdr>
        <w:spacing w:line="360" w:lineRule="auto"/>
        <w:jc w:val="both"/>
        <w:rPr>
          <w:rFonts w:eastAsia="Google Sans Text"/>
          <w:color w:val="000000" w:themeColor="text1"/>
          <w:vertAlign w:val="superscript"/>
        </w:rPr>
      </w:pPr>
    </w:p>
    <w:p w14:paraId="340E7D1D" w14:textId="77777777" w:rsidR="006D2A0F" w:rsidRPr="003A73E6" w:rsidRDefault="006D2A0F" w:rsidP="008D6E9E">
      <w:pPr>
        <w:pBdr>
          <w:top w:val="nil"/>
          <w:left w:val="nil"/>
          <w:bottom w:val="nil"/>
          <w:right w:val="nil"/>
          <w:between w:val="nil"/>
        </w:pBdr>
        <w:spacing w:line="360" w:lineRule="auto"/>
        <w:jc w:val="both"/>
        <w:rPr>
          <w:rFonts w:eastAsia="Google Sans Text"/>
          <w:color w:val="000000" w:themeColor="text1"/>
          <w:vertAlign w:val="superscript"/>
        </w:rPr>
      </w:pPr>
    </w:p>
    <w:p w14:paraId="394CC3CE" w14:textId="77777777" w:rsidR="007752FA" w:rsidRPr="003A73E6" w:rsidRDefault="007752FA" w:rsidP="008D6E9E">
      <w:pPr>
        <w:pBdr>
          <w:top w:val="nil"/>
          <w:left w:val="nil"/>
          <w:bottom w:val="nil"/>
          <w:right w:val="nil"/>
          <w:between w:val="nil"/>
        </w:pBdr>
        <w:spacing w:line="360" w:lineRule="auto"/>
        <w:jc w:val="both"/>
        <w:rPr>
          <w:rFonts w:eastAsia="Google Sans Text"/>
          <w:color w:val="000000" w:themeColor="text1"/>
          <w:vertAlign w:val="superscript"/>
        </w:rPr>
      </w:pPr>
    </w:p>
    <w:p w14:paraId="1AA0B389" w14:textId="77777777" w:rsidR="007752FA" w:rsidRPr="003A73E6" w:rsidRDefault="007752FA" w:rsidP="008D6E9E">
      <w:pPr>
        <w:pBdr>
          <w:top w:val="nil"/>
          <w:left w:val="nil"/>
          <w:bottom w:val="nil"/>
          <w:right w:val="nil"/>
          <w:between w:val="nil"/>
        </w:pBdr>
        <w:spacing w:line="360" w:lineRule="auto"/>
        <w:jc w:val="both"/>
        <w:rPr>
          <w:rFonts w:eastAsia="Google Sans Text"/>
          <w:color w:val="000000" w:themeColor="text1"/>
          <w:vertAlign w:val="superscript"/>
        </w:rPr>
      </w:pPr>
    </w:p>
    <w:p w14:paraId="7F9FCCA6" w14:textId="77777777" w:rsidR="007752FA" w:rsidRPr="003A73E6" w:rsidRDefault="007752FA" w:rsidP="008D6E9E">
      <w:pPr>
        <w:pBdr>
          <w:top w:val="nil"/>
          <w:left w:val="nil"/>
          <w:bottom w:val="nil"/>
          <w:right w:val="nil"/>
          <w:between w:val="nil"/>
        </w:pBdr>
        <w:spacing w:line="360" w:lineRule="auto"/>
        <w:jc w:val="both"/>
        <w:rPr>
          <w:rFonts w:eastAsia="Google Sans Text"/>
          <w:color w:val="000000" w:themeColor="text1"/>
          <w:vertAlign w:val="superscript"/>
        </w:rPr>
      </w:pPr>
    </w:p>
    <w:p w14:paraId="1A52F4D4" w14:textId="77777777" w:rsidR="00B6768B" w:rsidRPr="003A73E6" w:rsidRDefault="00B6768B" w:rsidP="008D6E9E">
      <w:pPr>
        <w:pBdr>
          <w:top w:val="nil"/>
          <w:left w:val="nil"/>
          <w:bottom w:val="nil"/>
          <w:right w:val="nil"/>
          <w:between w:val="nil"/>
        </w:pBdr>
        <w:spacing w:line="360" w:lineRule="auto"/>
        <w:jc w:val="both"/>
        <w:rPr>
          <w:rFonts w:eastAsia="Google Sans Text"/>
          <w:color w:val="000000" w:themeColor="text1"/>
          <w:vertAlign w:val="superscript"/>
        </w:rPr>
      </w:pPr>
    </w:p>
    <w:p w14:paraId="385099A8" w14:textId="2DD5794A" w:rsidR="00873156" w:rsidRPr="003A73E6" w:rsidRDefault="008F349C" w:rsidP="008D6E9E">
      <w:pPr>
        <w:pStyle w:val="Heading2"/>
        <w:numPr>
          <w:ilvl w:val="0"/>
          <w:numId w:val="4"/>
        </w:numPr>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Introduction</w:t>
      </w:r>
    </w:p>
    <w:p w14:paraId="4EC28997" w14:textId="77777777" w:rsidR="00366965" w:rsidRPr="003A73E6" w:rsidRDefault="00366965" w:rsidP="00366965">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Cardiovascular disease (CVD) and cerebrovascular disease (</w:t>
      </w:r>
      <w:proofErr w:type="spellStart"/>
      <w:r w:rsidRPr="003A73E6">
        <w:rPr>
          <w:rFonts w:eastAsia="Google Sans Text"/>
          <w:color w:val="000000" w:themeColor="text1"/>
        </w:rPr>
        <w:t>CeVD</w:t>
      </w:r>
      <w:proofErr w:type="spellEnd"/>
      <w:r w:rsidRPr="003A73E6">
        <w:rPr>
          <w:rFonts w:eastAsia="Google Sans Text"/>
          <w:color w:val="000000" w:themeColor="text1"/>
        </w:rPr>
        <w:t xml:space="preserve">) are the two leading causes of morbidity and mortality. They both have well-established vascular risk factors, such as hypertension, smoking history, and atherosclerotic disease.[1] </w:t>
      </w:r>
    </w:p>
    <w:p w14:paraId="00701752" w14:textId="32F3D1C0" w:rsidR="00366965" w:rsidRPr="003A73E6" w:rsidRDefault="00366965" w:rsidP="00366965">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 xml:space="preserve">Percutaneous coronary intervention (PCI) is a very common minimally invasive procedure used to supply blood to the heart muscle and alleviate symptoms in patients with coronary artery disease. [2] Dual anti-platelet therapy (DAPT), a combination of aspirin and a P2Y12 inhibitor, is essential in post-PCI management with the goal of minimizing stent thrombosis.[3] Nevertheless, the antithrombotic effects of these drugs are accompanied by a significant bleeding risk. [3.4] </w:t>
      </w:r>
    </w:p>
    <w:p w14:paraId="21FAE583" w14:textId="77777777" w:rsidR="00EE1537" w:rsidRPr="003A73E6" w:rsidRDefault="00EE1537" w:rsidP="00366965">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Fortunately</w:t>
      </w:r>
      <w:r w:rsidR="00366965" w:rsidRPr="003A73E6">
        <w:rPr>
          <w:rFonts w:eastAsia="Google Sans Text"/>
          <w:color w:val="000000" w:themeColor="text1"/>
        </w:rPr>
        <w:t xml:space="preserve">, post-PCI stroke is a rare event, and its reported incidence varies from 0.2% to 0.5%; however, it is a catastrophic complication with increased short- and long-term mortality and morbidity.[5] For major </w:t>
      </w:r>
      <w:proofErr w:type="spellStart"/>
      <w:r w:rsidR="00366965" w:rsidRPr="003A73E6">
        <w:rPr>
          <w:rFonts w:eastAsia="Google Sans Text"/>
          <w:color w:val="000000" w:themeColor="text1"/>
        </w:rPr>
        <w:t>hemorrhagic</w:t>
      </w:r>
      <w:proofErr w:type="spellEnd"/>
      <w:r w:rsidR="00366965" w:rsidRPr="003A73E6">
        <w:rPr>
          <w:rFonts w:eastAsia="Google Sans Text"/>
          <w:color w:val="000000" w:themeColor="text1"/>
        </w:rPr>
        <w:t xml:space="preserve"> stroke, incidence was 14.3% in the triple therapy group vs. 3% in the dual therapy group (adjusted OR 9.0, 95% CI 3.1–26.1).[23] </w:t>
      </w:r>
    </w:p>
    <w:p w14:paraId="6DD7E6D3" w14:textId="071924BD" w:rsidR="00873156" w:rsidRPr="003A73E6" w:rsidRDefault="00366965" w:rsidP="00366965">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 xml:space="preserve">The therapeutic paradox results from the collision of two mandatory therapeutic concepts: that central and early intervention is necessary to salvage the jeopardized </w:t>
      </w:r>
      <w:proofErr w:type="spellStart"/>
      <w:r w:rsidRPr="003A73E6">
        <w:rPr>
          <w:rFonts w:eastAsia="Google Sans Text"/>
          <w:color w:val="000000" w:themeColor="text1"/>
        </w:rPr>
        <w:t>infarcting</w:t>
      </w:r>
      <w:proofErr w:type="spellEnd"/>
      <w:r w:rsidRPr="003A73E6">
        <w:rPr>
          <w:rFonts w:eastAsia="Google Sans Text"/>
          <w:color w:val="000000" w:themeColor="text1"/>
        </w:rPr>
        <w:t xml:space="preserve"> myocardium, yet that strategy, once implemented, is associated with a quantifiable risk of a second, catastrophic cerebral event.[6]</w:t>
      </w:r>
      <w:r w:rsidR="00EE1537" w:rsidRPr="003A73E6">
        <w:rPr>
          <w:rFonts w:eastAsia="Google Sans Text"/>
          <w:color w:val="000000" w:themeColor="text1"/>
        </w:rPr>
        <w:t xml:space="preserve"> </w:t>
      </w:r>
      <w:r w:rsidRPr="003A73E6">
        <w:rPr>
          <w:rFonts w:eastAsia="Google Sans Text"/>
          <w:color w:val="000000" w:themeColor="text1"/>
        </w:rPr>
        <w:t xml:space="preserve">Moreover, it is not a fortuitous incidence; this occurs as an anticipated fallout in a population of patients with both thrombotic and </w:t>
      </w:r>
      <w:proofErr w:type="spellStart"/>
      <w:r w:rsidRPr="003A73E6">
        <w:rPr>
          <w:rFonts w:eastAsia="Google Sans Text"/>
          <w:color w:val="000000" w:themeColor="text1"/>
        </w:rPr>
        <w:t>hemorrhagic</w:t>
      </w:r>
      <w:proofErr w:type="spellEnd"/>
      <w:r w:rsidRPr="003A73E6">
        <w:rPr>
          <w:rFonts w:eastAsia="Google Sans Text"/>
          <w:color w:val="000000" w:themeColor="text1"/>
        </w:rPr>
        <w:t xml:space="preserve"> risk factors, based on their disease burden and common risk factors. We set forth to call attention to this dilemma using a dramatic case and perform a literature review of available data, level of evidence, sparse guidelines, and practical decision-making in this difficult clinical situation.</w:t>
      </w:r>
    </w:p>
    <w:p w14:paraId="05227FAB" w14:textId="77777777" w:rsidR="00366965" w:rsidRPr="003A73E6" w:rsidRDefault="00366965" w:rsidP="00366965">
      <w:pPr>
        <w:pBdr>
          <w:top w:val="nil"/>
          <w:left w:val="nil"/>
          <w:bottom w:val="nil"/>
          <w:right w:val="nil"/>
          <w:between w:val="nil"/>
        </w:pBdr>
        <w:spacing w:line="360" w:lineRule="auto"/>
        <w:jc w:val="both"/>
        <w:rPr>
          <w:rFonts w:eastAsia="Google Sans Text"/>
          <w:color w:val="000000" w:themeColor="text1"/>
        </w:rPr>
      </w:pPr>
    </w:p>
    <w:p w14:paraId="56E3A268" w14:textId="2023AD31" w:rsidR="00873156" w:rsidRPr="003A73E6" w:rsidRDefault="008F349C" w:rsidP="008D6E9E">
      <w:pPr>
        <w:pStyle w:val="Heading2"/>
        <w:numPr>
          <w:ilvl w:val="0"/>
          <w:numId w:val="4"/>
        </w:numPr>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Presentation of Case</w:t>
      </w:r>
    </w:p>
    <w:p w14:paraId="3D1EA2C8" w14:textId="6CEB436B" w:rsidR="00EB6AD8" w:rsidRPr="003A73E6" w:rsidRDefault="008F349C" w:rsidP="008D6E9E">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A 45-year-old male with a history of hypertension was admitted for an elective PCI to treat one-vessel coronary artery disease. Coronary angiography</w:t>
      </w:r>
      <w:r w:rsidR="00DE6EB4" w:rsidRPr="003A73E6">
        <w:rPr>
          <w:rFonts w:eastAsia="Google Sans Text"/>
          <w:color w:val="000000" w:themeColor="text1"/>
        </w:rPr>
        <w:t xml:space="preserve"> (CAG)</w:t>
      </w:r>
      <w:r w:rsidRPr="003A73E6">
        <w:rPr>
          <w:rFonts w:eastAsia="Google Sans Text"/>
          <w:color w:val="000000" w:themeColor="text1"/>
        </w:rPr>
        <w:t xml:space="preserve"> revealed a single lesion, and a DES EVROSURE 3.5 x 54 mm was successfully implanted in the proximal-mid left anterior descending (LAD) artery. Cineangiography evaluation confirmed TIMI Flow 3 with no residual stenosis. He was prescribed DAPT with aspirin (</w:t>
      </w:r>
      <w:proofErr w:type="spellStart"/>
      <w:r w:rsidRPr="003A73E6">
        <w:rPr>
          <w:rFonts w:eastAsia="Google Sans Text"/>
          <w:color w:val="000000" w:themeColor="text1"/>
        </w:rPr>
        <w:t>Aspilet</w:t>
      </w:r>
      <w:proofErr w:type="spellEnd"/>
      <w:r w:rsidRPr="003A73E6">
        <w:rPr>
          <w:rFonts w:eastAsia="Google Sans Text"/>
          <w:color w:val="000000" w:themeColor="text1"/>
        </w:rPr>
        <w:t>) and ticagrelor for his long-term post-PCI care.</w:t>
      </w:r>
    </w:p>
    <w:p w14:paraId="55483D18" w14:textId="77777777" w:rsidR="003A54A0" w:rsidRPr="003A73E6" w:rsidRDefault="003A54A0" w:rsidP="008D6E9E">
      <w:pPr>
        <w:pBdr>
          <w:top w:val="nil"/>
          <w:left w:val="nil"/>
          <w:bottom w:val="nil"/>
          <w:right w:val="nil"/>
          <w:between w:val="nil"/>
        </w:pBdr>
        <w:spacing w:line="360" w:lineRule="auto"/>
        <w:jc w:val="both"/>
        <w:rPr>
          <w:rFonts w:eastAsia="Google Sans Text"/>
          <w:color w:val="000000" w:themeColor="text1"/>
        </w:rPr>
      </w:pPr>
    </w:p>
    <w:p w14:paraId="3291430A" w14:textId="42AA4F14" w:rsidR="003A54A0" w:rsidRPr="003A73E6" w:rsidRDefault="00DE6EB4" w:rsidP="008D6E9E">
      <w:pPr>
        <w:pBdr>
          <w:top w:val="nil"/>
          <w:left w:val="nil"/>
          <w:bottom w:val="nil"/>
          <w:right w:val="nil"/>
          <w:between w:val="nil"/>
        </w:pBdr>
        <w:spacing w:line="360" w:lineRule="auto"/>
        <w:rPr>
          <w:rFonts w:eastAsia="Google Sans Text"/>
          <w:color w:val="000000" w:themeColor="text1"/>
        </w:rPr>
      </w:pPr>
      <w:r w:rsidRPr="003A73E6">
        <w:rPr>
          <w:rFonts w:eastAsia="Google Sans Text"/>
          <w:noProof/>
          <w:color w:val="000000" w:themeColor="text1"/>
        </w:rPr>
        <w:drawing>
          <wp:inline distT="0" distB="0" distL="0" distR="0" wp14:anchorId="1AA88D28" wp14:editId="74602A36">
            <wp:extent cx="5943600" cy="3046095"/>
            <wp:effectExtent l="0" t="0" r="0" b="1905"/>
            <wp:docPr id="1234137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37385" name="Picture 12341373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14:paraId="0047DAAA" w14:textId="553F80C6" w:rsidR="00DE6EB4" w:rsidRPr="003A73E6" w:rsidRDefault="00DE6EB4" w:rsidP="008D6E9E">
      <w:pPr>
        <w:pBdr>
          <w:top w:val="nil"/>
          <w:left w:val="nil"/>
          <w:bottom w:val="nil"/>
          <w:right w:val="nil"/>
          <w:between w:val="nil"/>
        </w:pBdr>
        <w:spacing w:line="360" w:lineRule="auto"/>
        <w:jc w:val="center"/>
        <w:rPr>
          <w:rFonts w:eastAsia="Google Sans Text"/>
          <w:b/>
          <w:bCs/>
          <w:color w:val="000000" w:themeColor="text1"/>
        </w:rPr>
      </w:pPr>
      <w:r w:rsidRPr="003A73E6">
        <w:rPr>
          <w:rFonts w:eastAsia="Google Sans Text"/>
          <w:b/>
          <w:bCs/>
          <w:color w:val="000000" w:themeColor="text1"/>
        </w:rPr>
        <w:t>Figure 1.</w:t>
      </w:r>
    </w:p>
    <w:p w14:paraId="08C42987" w14:textId="18865463" w:rsidR="00DE6EB4" w:rsidRPr="003A73E6" w:rsidRDefault="00DE6EB4" w:rsidP="008D6E9E">
      <w:pPr>
        <w:pStyle w:val="Heading1"/>
        <w:spacing w:before="0" w:after="0" w:line="360" w:lineRule="auto"/>
        <w:jc w:val="center"/>
        <w:rPr>
          <w:b w:val="0"/>
          <w:bCs/>
          <w:color w:val="111111"/>
          <w:sz w:val="22"/>
          <w:szCs w:val="22"/>
        </w:rPr>
      </w:pPr>
      <w:r w:rsidRPr="003A73E6">
        <w:rPr>
          <w:b w:val="0"/>
          <w:bCs/>
          <w:color w:val="111111"/>
          <w:sz w:val="22"/>
          <w:szCs w:val="22"/>
        </w:rPr>
        <w:t xml:space="preserve">[A.] CAG reveals occlusion of the proximal left anterior descending artery. [B.] Post PCI, the </w:t>
      </w:r>
      <w:r w:rsidRPr="003A73E6">
        <w:rPr>
          <w:b w:val="0"/>
          <w:bCs/>
          <w:color w:val="111111"/>
          <w:sz w:val="22"/>
          <w:szCs w:val="22"/>
        </w:rPr>
        <w:lastRenderedPageBreak/>
        <w:t>CAG shows TIMI Flow 3 at left anterior descending artery without residual stenosis.</w:t>
      </w:r>
    </w:p>
    <w:p w14:paraId="4128765C" w14:textId="6879E786" w:rsidR="00DE6EB4" w:rsidRPr="003A73E6" w:rsidRDefault="00DE6EB4" w:rsidP="008D6E9E">
      <w:pPr>
        <w:pStyle w:val="Heading1"/>
        <w:spacing w:before="0" w:after="0" w:line="360" w:lineRule="auto"/>
        <w:rPr>
          <w:b w:val="0"/>
          <w:color w:val="111111"/>
          <w:sz w:val="22"/>
          <w:szCs w:val="22"/>
        </w:rPr>
      </w:pPr>
    </w:p>
    <w:p w14:paraId="27750C14" w14:textId="308A5D0E" w:rsidR="00DE6EB4" w:rsidRPr="003A73E6" w:rsidRDefault="00DE6EB4" w:rsidP="008D6E9E">
      <w:pPr>
        <w:pBdr>
          <w:top w:val="nil"/>
          <w:left w:val="nil"/>
          <w:bottom w:val="nil"/>
          <w:right w:val="nil"/>
          <w:between w:val="nil"/>
        </w:pBdr>
        <w:spacing w:line="360" w:lineRule="auto"/>
        <w:rPr>
          <w:rFonts w:eastAsia="Google Sans Text"/>
          <w:b/>
          <w:bCs/>
          <w:color w:val="000000" w:themeColor="text1"/>
        </w:rPr>
      </w:pPr>
    </w:p>
    <w:p w14:paraId="7ED691B9" w14:textId="77777777" w:rsidR="003A54A0" w:rsidRPr="003A73E6" w:rsidRDefault="003A54A0" w:rsidP="008D6E9E">
      <w:pPr>
        <w:pBdr>
          <w:top w:val="nil"/>
          <w:left w:val="nil"/>
          <w:bottom w:val="nil"/>
          <w:right w:val="nil"/>
          <w:between w:val="nil"/>
        </w:pBdr>
        <w:spacing w:line="360" w:lineRule="auto"/>
        <w:jc w:val="both"/>
        <w:rPr>
          <w:rFonts w:eastAsia="Google Sans Text"/>
          <w:color w:val="000000" w:themeColor="text1"/>
          <w:vertAlign w:val="superscript"/>
        </w:rPr>
      </w:pPr>
    </w:p>
    <w:p w14:paraId="4AB4D648" w14:textId="77777777" w:rsidR="004A7ABB" w:rsidRPr="003A73E6" w:rsidRDefault="008F349C" w:rsidP="008D6E9E">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One week after the elective procedure, the patient developed a new onset of neurological symptoms, and a brain CT scan revealed a punctate ICH at the</w:t>
      </w:r>
      <w:r w:rsidR="004A7ABB" w:rsidRPr="003A73E6">
        <w:rPr>
          <w:rFonts w:eastAsia="Google Sans Text"/>
          <w:color w:val="000000" w:themeColor="text1"/>
        </w:rPr>
        <w:t xml:space="preserve"> right</w:t>
      </w:r>
      <w:r w:rsidRPr="003A73E6">
        <w:rPr>
          <w:rFonts w:eastAsia="Google Sans Text"/>
          <w:color w:val="000000" w:themeColor="text1"/>
        </w:rPr>
        <w:t xml:space="preserve"> lentiform nucleus. </w:t>
      </w:r>
    </w:p>
    <w:p w14:paraId="49B01CE7" w14:textId="77777777" w:rsidR="004A7ABB" w:rsidRPr="003A73E6" w:rsidRDefault="004A7ABB" w:rsidP="008D6E9E">
      <w:pPr>
        <w:pBdr>
          <w:top w:val="nil"/>
          <w:left w:val="nil"/>
          <w:bottom w:val="nil"/>
          <w:right w:val="nil"/>
          <w:between w:val="nil"/>
        </w:pBdr>
        <w:spacing w:line="360" w:lineRule="auto"/>
        <w:jc w:val="both"/>
        <w:rPr>
          <w:rFonts w:eastAsia="Google Sans Text"/>
          <w:color w:val="000000" w:themeColor="text1"/>
        </w:rPr>
      </w:pPr>
    </w:p>
    <w:p w14:paraId="4B0CBAC3" w14:textId="3A41D054" w:rsidR="004A7ABB" w:rsidRPr="003A73E6" w:rsidRDefault="004A7ABB" w:rsidP="008D6E9E">
      <w:pPr>
        <w:pBdr>
          <w:top w:val="nil"/>
          <w:left w:val="nil"/>
          <w:bottom w:val="nil"/>
          <w:right w:val="nil"/>
          <w:between w:val="nil"/>
        </w:pBdr>
        <w:spacing w:line="360" w:lineRule="auto"/>
        <w:jc w:val="center"/>
        <w:rPr>
          <w:rFonts w:eastAsia="Google Sans Text"/>
          <w:color w:val="000000" w:themeColor="text1"/>
        </w:rPr>
      </w:pPr>
      <w:r w:rsidRPr="003A73E6">
        <w:rPr>
          <w:rFonts w:eastAsia="Google Sans Text"/>
          <w:noProof/>
          <w:color w:val="000000" w:themeColor="text1"/>
        </w:rPr>
        <w:drawing>
          <wp:inline distT="0" distB="0" distL="0" distR="0" wp14:anchorId="09E1E6A8" wp14:editId="33B88976">
            <wp:extent cx="4419600" cy="2609264"/>
            <wp:effectExtent l="0" t="0" r="0" b="0"/>
            <wp:docPr id="177331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17101" name="Picture 17733171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8907" cy="2626566"/>
                    </a:xfrm>
                    <a:prstGeom prst="rect">
                      <a:avLst/>
                    </a:prstGeom>
                  </pic:spPr>
                </pic:pic>
              </a:graphicData>
            </a:graphic>
          </wp:inline>
        </w:drawing>
      </w:r>
    </w:p>
    <w:p w14:paraId="3347BACC" w14:textId="4DB89A25" w:rsidR="004A7ABB" w:rsidRPr="003A73E6" w:rsidRDefault="004A7ABB" w:rsidP="008D6E9E">
      <w:pPr>
        <w:pBdr>
          <w:top w:val="nil"/>
          <w:left w:val="nil"/>
          <w:bottom w:val="nil"/>
          <w:right w:val="nil"/>
          <w:between w:val="nil"/>
        </w:pBdr>
        <w:spacing w:line="360" w:lineRule="auto"/>
        <w:jc w:val="center"/>
        <w:rPr>
          <w:rFonts w:eastAsia="Google Sans Text"/>
          <w:b/>
          <w:bCs/>
          <w:color w:val="000000" w:themeColor="text1"/>
        </w:rPr>
      </w:pPr>
      <w:r w:rsidRPr="003A73E6">
        <w:rPr>
          <w:rFonts w:eastAsia="Google Sans Text"/>
          <w:b/>
          <w:bCs/>
          <w:color w:val="000000" w:themeColor="text1"/>
        </w:rPr>
        <w:t>Figure 2.</w:t>
      </w:r>
    </w:p>
    <w:p w14:paraId="63B47C50" w14:textId="0DAC083C" w:rsidR="004A7ABB" w:rsidRPr="003A73E6" w:rsidRDefault="004A7ABB" w:rsidP="008D6E9E">
      <w:pPr>
        <w:pBdr>
          <w:top w:val="nil"/>
          <w:left w:val="nil"/>
          <w:bottom w:val="nil"/>
          <w:right w:val="nil"/>
          <w:between w:val="nil"/>
        </w:pBdr>
        <w:spacing w:line="360" w:lineRule="auto"/>
        <w:jc w:val="center"/>
        <w:rPr>
          <w:rFonts w:eastAsia="Google Sans Text"/>
          <w:color w:val="000000" w:themeColor="text1"/>
        </w:rPr>
      </w:pPr>
      <w:r w:rsidRPr="003A73E6">
        <w:rPr>
          <w:color w:val="000000"/>
        </w:rPr>
        <w:t>A punctate hyperdense lesion, measuring approximately 66 Hounsfield units (HU), is identified in the right lentiform nucleus.</w:t>
      </w:r>
    </w:p>
    <w:p w14:paraId="4E7FEEFF" w14:textId="77777777" w:rsidR="004A7ABB" w:rsidRPr="003A73E6" w:rsidRDefault="004A7ABB" w:rsidP="008D6E9E">
      <w:pPr>
        <w:pBdr>
          <w:top w:val="nil"/>
          <w:left w:val="nil"/>
          <w:bottom w:val="nil"/>
          <w:right w:val="nil"/>
          <w:between w:val="nil"/>
        </w:pBdr>
        <w:spacing w:line="360" w:lineRule="auto"/>
        <w:jc w:val="both"/>
        <w:rPr>
          <w:rFonts w:eastAsia="Google Sans Text"/>
          <w:color w:val="000000" w:themeColor="text1"/>
        </w:rPr>
      </w:pPr>
    </w:p>
    <w:p w14:paraId="6F7202B8" w14:textId="570D490E" w:rsidR="00873156" w:rsidRPr="003A73E6" w:rsidRDefault="008F349C" w:rsidP="008D6E9E">
      <w:pPr>
        <w:pBdr>
          <w:top w:val="nil"/>
          <w:left w:val="nil"/>
          <w:bottom w:val="nil"/>
          <w:right w:val="nil"/>
          <w:between w:val="nil"/>
        </w:pBdr>
        <w:spacing w:line="360" w:lineRule="auto"/>
        <w:jc w:val="both"/>
        <w:rPr>
          <w:rFonts w:eastAsia="Google Sans Text"/>
          <w:color w:val="000000" w:themeColor="text1"/>
          <w:vertAlign w:val="superscript"/>
        </w:rPr>
      </w:pPr>
      <w:r w:rsidRPr="003A73E6">
        <w:rPr>
          <w:rFonts w:eastAsia="Google Sans Text"/>
          <w:color w:val="000000" w:themeColor="text1"/>
        </w:rPr>
        <w:t xml:space="preserve">The patient’s DAPT was immediately postponed due to the life-threatening bleeding. </w:t>
      </w:r>
      <w:r w:rsidR="00EB6AD8" w:rsidRPr="003A73E6">
        <w:rPr>
          <w:rFonts w:eastAsia="Google Sans Text"/>
          <w:color w:val="000000" w:themeColor="text1"/>
        </w:rPr>
        <w:t xml:space="preserve">He </w:t>
      </w:r>
      <w:r w:rsidRPr="003A73E6">
        <w:rPr>
          <w:rFonts w:eastAsia="Google Sans Text"/>
          <w:color w:val="000000" w:themeColor="text1"/>
        </w:rPr>
        <w:t>was discharged from the hospital after his condition stabilized.</w:t>
      </w:r>
      <w:r w:rsidR="00EB6AD8" w:rsidRPr="003A73E6">
        <w:rPr>
          <w:rFonts w:eastAsia="Google Sans Text"/>
          <w:color w:val="000000" w:themeColor="text1"/>
          <w:vertAlign w:val="superscript"/>
        </w:rPr>
        <w:t xml:space="preserve"> </w:t>
      </w:r>
      <w:r w:rsidRPr="003A73E6">
        <w:rPr>
          <w:rFonts w:eastAsia="Google Sans Text"/>
          <w:color w:val="000000" w:themeColor="text1"/>
        </w:rPr>
        <w:t xml:space="preserve">However, after being discharged, </w:t>
      </w:r>
      <w:r w:rsidR="00675FB2" w:rsidRPr="003A73E6">
        <w:t>He was afraid of recurrent stroke</w:t>
      </w:r>
      <w:r w:rsidRPr="003A73E6">
        <w:rPr>
          <w:rFonts w:eastAsia="Google Sans Text"/>
          <w:color w:val="000000" w:themeColor="text1"/>
        </w:rPr>
        <w:t xml:space="preserve">, became non-compliant with his cardiovascular medications and did not return for follow-up </w:t>
      </w:r>
      <w:r w:rsidR="00EB6AD8" w:rsidRPr="003A73E6">
        <w:rPr>
          <w:rFonts w:eastAsia="Google Sans Text"/>
          <w:color w:val="000000" w:themeColor="text1"/>
        </w:rPr>
        <w:t>to the</w:t>
      </w:r>
      <w:r w:rsidRPr="003A73E6">
        <w:rPr>
          <w:rFonts w:eastAsia="Google Sans Text"/>
          <w:color w:val="000000" w:themeColor="text1"/>
        </w:rPr>
        <w:t xml:space="preserve"> </w:t>
      </w:r>
      <w:r w:rsidR="00EB6AD8" w:rsidRPr="003A73E6">
        <w:rPr>
          <w:rFonts w:eastAsia="Google Sans Text"/>
          <w:color w:val="000000" w:themeColor="text1"/>
        </w:rPr>
        <w:t>c</w:t>
      </w:r>
      <w:r w:rsidRPr="003A73E6">
        <w:rPr>
          <w:rFonts w:eastAsia="Google Sans Text"/>
          <w:color w:val="000000" w:themeColor="text1"/>
        </w:rPr>
        <w:t xml:space="preserve">ardiologist. </w:t>
      </w:r>
      <w:r w:rsidR="00675FB2" w:rsidRPr="003A73E6">
        <w:t>Three months later, he was re-hospitalized due to seizures, slurred speech, and weakness</w:t>
      </w:r>
      <w:r w:rsidR="00675FB2" w:rsidRPr="003A73E6">
        <w:rPr>
          <w:rFonts w:eastAsia="Google Sans Text"/>
          <w:color w:val="000000" w:themeColor="text1"/>
        </w:rPr>
        <w:t xml:space="preserve"> </w:t>
      </w:r>
      <w:r w:rsidRPr="003A73E6">
        <w:rPr>
          <w:rFonts w:eastAsia="Google Sans Text"/>
          <w:color w:val="000000" w:themeColor="text1"/>
        </w:rPr>
        <w:t xml:space="preserve">but with no signs of chest pain or shortness of breath. Cardiac enzyme levels remained within the normal range. </w:t>
      </w:r>
      <w:r w:rsidR="00EB6AD8" w:rsidRPr="003A73E6">
        <w:rPr>
          <w:color w:val="000000" w:themeColor="text1"/>
        </w:rPr>
        <w:t>In response to the patient's non-compliance, the clinical team educated him on the necessity of resuming his medications, particularly DAPT, and began co-management with the neurology department</w:t>
      </w:r>
      <w:r w:rsidR="004A7ABB" w:rsidRPr="003A73E6">
        <w:rPr>
          <w:color w:val="000000" w:themeColor="text1"/>
        </w:rPr>
        <w:t>.</w:t>
      </w:r>
    </w:p>
    <w:p w14:paraId="02E12D60" w14:textId="77777777" w:rsidR="00873156" w:rsidRPr="003A73E6" w:rsidRDefault="00873156" w:rsidP="008D6E9E">
      <w:pPr>
        <w:pBdr>
          <w:top w:val="nil"/>
          <w:left w:val="nil"/>
          <w:bottom w:val="nil"/>
          <w:right w:val="nil"/>
          <w:between w:val="nil"/>
        </w:pBdr>
        <w:spacing w:line="360" w:lineRule="auto"/>
        <w:jc w:val="both"/>
        <w:rPr>
          <w:rFonts w:eastAsia="Google Sans Text"/>
          <w:color w:val="000000" w:themeColor="text1"/>
        </w:rPr>
      </w:pPr>
    </w:p>
    <w:p w14:paraId="6C8A1ADF" w14:textId="2604D4C9" w:rsidR="00873156" w:rsidRPr="003A73E6" w:rsidRDefault="008F349C" w:rsidP="008D6E9E">
      <w:pPr>
        <w:pStyle w:val="Heading2"/>
        <w:numPr>
          <w:ilvl w:val="0"/>
          <w:numId w:val="4"/>
        </w:numPr>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Discussio</w:t>
      </w:r>
      <w:r w:rsidR="00E4158A" w:rsidRPr="003A73E6">
        <w:rPr>
          <w:rFonts w:eastAsia="Google Sans"/>
          <w:color w:val="000000" w:themeColor="text1"/>
          <w:sz w:val="22"/>
          <w:szCs w:val="22"/>
        </w:rPr>
        <w:t>n</w:t>
      </w:r>
    </w:p>
    <w:p w14:paraId="7291176E" w14:textId="0F31B7B3" w:rsidR="00873156" w:rsidRPr="003A73E6" w:rsidRDefault="00B6768B" w:rsidP="006425BE">
      <w:pPr>
        <w:pStyle w:val="Heading3"/>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3.1 The Pathophysiological Imperative: Balancing Risks Beyond the Hospital Stay</w:t>
      </w:r>
    </w:p>
    <w:p w14:paraId="72B5CE25" w14:textId="50B4FB3E" w:rsidR="009F16B5" w:rsidRPr="003A73E6" w:rsidRDefault="009F16B5" w:rsidP="003A73E6">
      <w:pPr>
        <w:spacing w:line="360" w:lineRule="auto"/>
        <w:jc w:val="both"/>
      </w:pPr>
      <w:r w:rsidRPr="003A73E6">
        <w:t>The 45-year-old male patient presents an important dilemma in cardiovascular and cerebrovascular medicine beyond the early post-PCI period. Although our patient did not experience acute stent thrombosis, his subsequent non-adherence because of recurrent bleeding anxiety illustrates a distinct but equally important clinical dilemma. The occurrence rate of ICH during PCI is very low, but it is a fatal complication that causes patients to bear enormous psychological stress.</w:t>
      </w:r>
      <w:r w:rsidR="006425BE" w:rsidRPr="003A73E6">
        <w:t>[7]</w:t>
      </w:r>
      <w:r w:rsidRPr="003A73E6">
        <w:t xml:space="preserve">  As demonstrated in our case, this fear can result in inadequate chronic medication adherence, making the individual highly susceptible to future thrombotic events such as </w:t>
      </w:r>
      <w:r w:rsidR="006425BE" w:rsidRPr="003A73E6">
        <w:t>myocardial infarction or ischemic stroke.[8]</w:t>
      </w:r>
    </w:p>
    <w:p w14:paraId="10A41199" w14:textId="74F42126" w:rsidR="00873156" w:rsidRPr="003A73E6" w:rsidRDefault="008F349C" w:rsidP="003A73E6">
      <w:pPr>
        <w:spacing w:line="360" w:lineRule="auto"/>
        <w:jc w:val="both"/>
        <w:rPr>
          <w:vertAlign w:val="superscript"/>
        </w:rPr>
      </w:pPr>
      <w:r w:rsidRPr="003A73E6">
        <w:t>The primary goal of DAPT after PCI is to prevent stent thrombosis, a complication that can lead to death or recurrent myocardial infarction</w:t>
      </w:r>
      <w:r w:rsidR="0036058B" w:rsidRPr="003A73E6">
        <w:t>/ [9,10]</w:t>
      </w:r>
      <w:r w:rsidRPr="003A73E6">
        <w:t xml:space="preserve"> Stent thrombosis is particularly likely to occur with the premature discontinuation of DAPT, especially in the first 30 days post-procedure.</w:t>
      </w:r>
      <w:r w:rsidR="0036058B" w:rsidRPr="003A73E6">
        <w:t>[11]</w:t>
      </w:r>
      <w:r w:rsidRPr="003A73E6">
        <w:t xml:space="preserve"> The PARIS registry demonstrates that patients who stop DAPT due to bleeding or non-</w:t>
      </w:r>
      <w:r w:rsidRPr="003A73E6">
        <w:lastRenderedPageBreak/>
        <w:t>compliance face a sevenfold increased risk of stent thrombosis in the first week after cessation</w:t>
      </w:r>
      <w:r w:rsidR="0036058B" w:rsidRPr="003A73E6">
        <w:t>.[12,13]</w:t>
      </w:r>
    </w:p>
    <w:p w14:paraId="6754B720" w14:textId="02CCB001" w:rsidR="006425BE" w:rsidRPr="003A73E6" w:rsidRDefault="008F349C" w:rsidP="003A73E6">
      <w:pPr>
        <w:spacing w:line="360" w:lineRule="auto"/>
        <w:jc w:val="both"/>
      </w:pPr>
      <w:r w:rsidRPr="003A73E6">
        <w:t>Conversely, the use of antiplatelet therapy directly increases the risk of ICH, particularly in patients with pre-existing risk factors.</w:t>
      </w:r>
      <w:r w:rsidR="0036058B" w:rsidRPr="003A73E6">
        <w:t>[14]</w:t>
      </w:r>
      <w:r w:rsidR="0036058B" w:rsidRPr="003A73E6">
        <w:rPr>
          <w:vertAlign w:val="superscript"/>
        </w:rPr>
        <w:t xml:space="preserve"> </w:t>
      </w:r>
      <w:r w:rsidRPr="003A73E6">
        <w:t>DAPT has been shown to increase the risk of ICH by approximately 40% compared to aspirin monotherapy.</w:t>
      </w:r>
      <w:r w:rsidR="0036058B" w:rsidRPr="003A73E6">
        <w:t>[15]</w:t>
      </w:r>
      <w:r w:rsidR="0036058B" w:rsidRPr="003A73E6">
        <w:rPr>
          <w:vertAlign w:val="superscript"/>
        </w:rPr>
        <w:t xml:space="preserve"> </w:t>
      </w:r>
      <w:r w:rsidRPr="003A73E6">
        <w:t xml:space="preserve"> The pathophysiology of ICH involves the rupture of a blood vessel and the subsequent expansion of the hematoma, which compresses surrounding brain tissue and raises intracranial pressure.</w:t>
      </w:r>
      <w:r w:rsidR="006425BE" w:rsidRPr="003A73E6">
        <w:t xml:space="preserve"> [16] Antiplatelet therapy can aggravate such </w:t>
      </w:r>
      <w:proofErr w:type="spellStart"/>
      <w:r w:rsidR="006425BE" w:rsidRPr="003A73E6">
        <w:t>hemorrhage</w:t>
      </w:r>
      <w:proofErr w:type="spellEnd"/>
      <w:r w:rsidR="006425BE" w:rsidRPr="003A73E6">
        <w:t xml:space="preserve">, thereby increasing hematoma volume and the severity of the clinical condition.[17] The clinical conundrum here is not only how to manage acutely a bleeding event, but the long-term, psychological and </w:t>
      </w:r>
      <w:proofErr w:type="spellStart"/>
      <w:r w:rsidR="006425BE" w:rsidRPr="003A73E6">
        <w:t>behavioral</w:t>
      </w:r>
      <w:proofErr w:type="spellEnd"/>
      <w:r w:rsidR="006425BE" w:rsidRPr="003A73E6">
        <w:t xml:space="preserve"> sequelae of that event. Although understandable, the patient’s apprehension of re-bleeding resulted in non-adherence, placing him at risk for another, and perhaps fatal, ischemic episode. </w:t>
      </w:r>
    </w:p>
    <w:p w14:paraId="2E9B1712" w14:textId="7F8B12CC" w:rsidR="00873156" w:rsidRPr="003A73E6" w:rsidRDefault="006425BE" w:rsidP="003A73E6">
      <w:pPr>
        <w:spacing w:line="360" w:lineRule="auto"/>
        <w:jc w:val="both"/>
      </w:pPr>
      <w:r w:rsidRPr="003A73E6">
        <w:t>An important consideration in the management of such patients is a multidisciplinary team that includes interventional cardiology and stroke neurology, which can result in a risk assessment for bleeding and thrombosis. [15]</w:t>
      </w:r>
    </w:p>
    <w:p w14:paraId="305617C3" w14:textId="77777777" w:rsidR="006425BE" w:rsidRPr="003A73E6" w:rsidRDefault="006425BE" w:rsidP="006425BE">
      <w:pPr>
        <w:pBdr>
          <w:top w:val="nil"/>
          <w:left w:val="nil"/>
          <w:bottom w:val="nil"/>
          <w:right w:val="nil"/>
          <w:between w:val="nil"/>
        </w:pBdr>
        <w:spacing w:line="360" w:lineRule="auto"/>
        <w:jc w:val="both"/>
        <w:rPr>
          <w:rFonts w:eastAsia="Google Sans Text"/>
          <w:color w:val="000000" w:themeColor="text1"/>
        </w:rPr>
      </w:pPr>
    </w:p>
    <w:p w14:paraId="7D1A2F10" w14:textId="65AD2602" w:rsidR="00873156" w:rsidRPr="003A73E6" w:rsidRDefault="00B6768B" w:rsidP="006425BE">
      <w:pPr>
        <w:pStyle w:val="Heading3"/>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3.2 The Evolving Evidence and the Absence of Guidelines</w:t>
      </w:r>
    </w:p>
    <w:p w14:paraId="2B356B48" w14:textId="77777777" w:rsidR="00032766" w:rsidRPr="003A73E6" w:rsidRDefault="008F349C" w:rsidP="003A73E6">
      <w:pPr>
        <w:spacing w:line="360" w:lineRule="auto"/>
        <w:jc w:val="both"/>
        <w:rPr>
          <w:vertAlign w:val="superscript"/>
        </w:rPr>
      </w:pPr>
      <w:r w:rsidRPr="003A73E6">
        <w:t>A significant challenge in managing this clinical scenario is the lack of a clear, evidence-based consensus or guidelines from major cardiology and neurology societies. The conventional approach has been to delay the re-initiation of antiplatelet therapy</w:t>
      </w:r>
      <w:r w:rsidR="00032766" w:rsidRPr="003A73E6">
        <w:t xml:space="preserve">. </w:t>
      </w:r>
      <w:r w:rsidR="00032766" w:rsidRPr="003A73E6">
        <w:rPr>
          <w:color w:val="000000"/>
        </w:rPr>
        <w:t xml:space="preserve">The RESTART trial, which randomized patients who had intracerebral </w:t>
      </w:r>
      <w:proofErr w:type="spellStart"/>
      <w:r w:rsidR="00032766" w:rsidRPr="003A73E6">
        <w:rPr>
          <w:color w:val="000000"/>
        </w:rPr>
        <w:t>hemorrhage</w:t>
      </w:r>
      <w:proofErr w:type="spellEnd"/>
      <w:r w:rsidR="00032766" w:rsidRPr="003A73E6">
        <w:rPr>
          <w:color w:val="000000"/>
        </w:rPr>
        <w:t xml:space="preserve"> while on antithrombotic treatment, assigned them either to restart or to avoid antiplatelet therapy. On average, patients resumed single antiplatelet therapy (SAPT) about 2.5 months after their initial intracerebral </w:t>
      </w:r>
      <w:proofErr w:type="spellStart"/>
      <w:r w:rsidR="00032766" w:rsidRPr="003A73E6">
        <w:rPr>
          <w:color w:val="000000"/>
        </w:rPr>
        <w:t>hemorrhage</w:t>
      </w:r>
      <w:proofErr w:type="spellEnd"/>
      <w:r w:rsidR="00032766" w:rsidRPr="003A73E6">
        <w:rPr>
          <w:color w:val="000000"/>
        </w:rPr>
        <w:t xml:space="preserve">.[15] </w:t>
      </w:r>
    </w:p>
    <w:p w14:paraId="547D9905" w14:textId="2CF892A6" w:rsidR="00873156" w:rsidRPr="003A73E6" w:rsidRDefault="0069063E" w:rsidP="003A73E6">
      <w:pPr>
        <w:spacing w:line="360" w:lineRule="auto"/>
        <w:jc w:val="both"/>
        <w:rPr>
          <w:vertAlign w:val="superscript"/>
        </w:rPr>
      </w:pPr>
      <w:r w:rsidRPr="003A73E6">
        <w:rPr>
          <w:spacing w:val="8"/>
          <w:shd w:val="clear" w:color="auto" w:fill="FFFFFF"/>
        </w:rPr>
        <w:t xml:space="preserve">A subsequent meta-analysis demonstrated a 46% reduction in recurrence of </w:t>
      </w:r>
      <w:proofErr w:type="spellStart"/>
      <w:r w:rsidRPr="003A73E6">
        <w:rPr>
          <w:spacing w:val="8"/>
          <w:shd w:val="clear" w:color="auto" w:fill="FFFFFF"/>
        </w:rPr>
        <w:t>hemorrhagic</w:t>
      </w:r>
      <w:proofErr w:type="spellEnd"/>
      <w:r w:rsidRPr="003A73E6">
        <w:rPr>
          <w:spacing w:val="8"/>
          <w:shd w:val="clear" w:color="auto" w:fill="FFFFFF"/>
        </w:rPr>
        <w:t xml:space="preserve"> events without an increased major ischemic rate if antiplatelet therapy was initiated within the first 30 days after the onset of ICH</w:t>
      </w:r>
      <w:r w:rsidR="0036058B" w:rsidRPr="003A73E6">
        <w:t xml:space="preserve">.[19] </w:t>
      </w:r>
      <w:r w:rsidRPr="003A73E6">
        <w:rPr>
          <w:spacing w:val="8"/>
          <w:shd w:val="clear" w:color="auto" w:fill="FFFFFF"/>
        </w:rPr>
        <w:t>The present study supports the concept that confounds the long-standing dogma that antiplatelet therapy causes re-bleeding. It implies that the selective, tailor-made re-approval of DAPT might not be that hazardous at all, as has been assumed so far, despite the acutely high risk of stent thrombosis</w:t>
      </w:r>
      <w:r w:rsidR="0036058B" w:rsidRPr="003A73E6">
        <w:t>.[15]</w:t>
      </w:r>
    </w:p>
    <w:p w14:paraId="71642AC2" w14:textId="77777777" w:rsidR="00873156" w:rsidRPr="003A73E6" w:rsidRDefault="00873156" w:rsidP="006425BE">
      <w:pPr>
        <w:pBdr>
          <w:top w:val="nil"/>
          <w:left w:val="nil"/>
          <w:bottom w:val="nil"/>
          <w:right w:val="nil"/>
          <w:between w:val="nil"/>
        </w:pBdr>
        <w:spacing w:line="360" w:lineRule="auto"/>
        <w:jc w:val="both"/>
        <w:rPr>
          <w:rFonts w:eastAsia="Google Sans Text"/>
          <w:color w:val="000000" w:themeColor="text1"/>
          <w:vertAlign w:val="superscript"/>
        </w:rPr>
      </w:pPr>
    </w:p>
    <w:p w14:paraId="04F9B478" w14:textId="35403236" w:rsidR="00873156" w:rsidRPr="003A73E6" w:rsidRDefault="00B6768B" w:rsidP="006425BE">
      <w:pPr>
        <w:pStyle w:val="Heading3"/>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3.3 Navigating the Dilemma: Patient Education and Shared Decision-Making</w:t>
      </w:r>
    </w:p>
    <w:p w14:paraId="08CFBEBA" w14:textId="3F24B495" w:rsidR="0069063E" w:rsidRPr="003A73E6" w:rsidRDefault="0069063E" w:rsidP="0069063E">
      <w:pPr>
        <w:spacing w:line="360" w:lineRule="auto"/>
        <w:jc w:val="both"/>
      </w:pPr>
      <w:r w:rsidRPr="003A73E6">
        <w:t>Without clear data from a large, randomized trial, the provider's role in the use of ASC for the management of FS becomes one of a model of shared decision-making, patient education, and collaboration in a multidisciplinary setting.[20] This case presentation demonstrates the importance of patient education in addition to the pharmacologic treatment. The fear of having another stroke, perhaps worsened by a memory of the first, causes poor adherence to drugs and can result in poor outcomes. The conversation with the patient and the family must be candid about the risk and benefit, and it has to acknowledge the patient’s fears upfront.</w:t>
      </w:r>
    </w:p>
    <w:p w14:paraId="013341A0" w14:textId="49E8A880" w:rsidR="0069063E" w:rsidRPr="003A73E6" w:rsidRDefault="0069063E" w:rsidP="0069063E">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Safe re-initiation of antiplatelet therapy should be based on meticulous patient observation and an assessment of risk/benefit. For patients with prior ICH, quantitative consideration of the risks of thrombosis versus bleeding is required to determine the optimal time to restart antiplatelet therapy to prevent underlying ischemia.</w:t>
      </w:r>
    </w:p>
    <w:p w14:paraId="26694907" w14:textId="77777777" w:rsidR="0069063E" w:rsidRPr="003A73E6" w:rsidRDefault="0069063E" w:rsidP="0069063E">
      <w:pPr>
        <w:pBdr>
          <w:top w:val="nil"/>
          <w:left w:val="nil"/>
          <w:bottom w:val="nil"/>
          <w:right w:val="nil"/>
          <w:between w:val="nil"/>
        </w:pBdr>
        <w:spacing w:line="360" w:lineRule="auto"/>
        <w:jc w:val="both"/>
        <w:rPr>
          <w:rFonts w:eastAsia="Google Sans Text"/>
          <w:color w:val="000000" w:themeColor="text1"/>
        </w:rPr>
      </w:pPr>
    </w:p>
    <w:p w14:paraId="12C8EF7B" w14:textId="30236A56" w:rsidR="00873156" w:rsidRPr="003A73E6" w:rsidRDefault="0069063E" w:rsidP="0069063E">
      <w:pPr>
        <w:pBdr>
          <w:top w:val="nil"/>
          <w:left w:val="nil"/>
          <w:bottom w:val="nil"/>
          <w:right w:val="nil"/>
          <w:between w:val="nil"/>
        </w:pBdr>
        <w:spacing w:line="360" w:lineRule="auto"/>
        <w:jc w:val="both"/>
        <w:rPr>
          <w:rFonts w:eastAsia="Google Sans Text"/>
          <w:color w:val="000000" w:themeColor="text1"/>
        </w:rPr>
      </w:pPr>
      <w:r w:rsidRPr="003A73E6">
        <w:rPr>
          <w:rFonts w:eastAsia="Google Sans Text"/>
          <w:color w:val="000000" w:themeColor="text1"/>
        </w:rPr>
        <w:t xml:space="preserve">Something like the PRECISE-DAPT score (based on age, creatinine clearance, </w:t>
      </w:r>
      <w:proofErr w:type="spellStart"/>
      <w:r w:rsidRPr="003A73E6">
        <w:rPr>
          <w:rFonts w:eastAsia="Google Sans Text"/>
          <w:color w:val="000000" w:themeColor="text1"/>
        </w:rPr>
        <w:t>hemoglobin</w:t>
      </w:r>
      <w:proofErr w:type="spellEnd"/>
      <w:r w:rsidRPr="003A73E6">
        <w:rPr>
          <w:rFonts w:eastAsia="Google Sans Text"/>
          <w:color w:val="000000" w:themeColor="text1"/>
        </w:rPr>
        <w:t xml:space="preserve">, </w:t>
      </w:r>
      <w:r w:rsidRPr="003A73E6">
        <w:rPr>
          <w:rFonts w:eastAsia="Google Sans Text"/>
          <w:color w:val="000000" w:themeColor="text1"/>
        </w:rPr>
        <w:lastRenderedPageBreak/>
        <w:t>white blood cell count, and previous bleeding) and the DAPT score can assist with this risk stratification.[18]</w:t>
      </w:r>
    </w:p>
    <w:p w14:paraId="717A9EA8" w14:textId="77777777" w:rsidR="0069063E" w:rsidRPr="003A73E6" w:rsidRDefault="0069063E" w:rsidP="0069063E">
      <w:pPr>
        <w:pBdr>
          <w:top w:val="nil"/>
          <w:left w:val="nil"/>
          <w:bottom w:val="nil"/>
          <w:right w:val="nil"/>
          <w:between w:val="nil"/>
        </w:pBdr>
        <w:spacing w:line="360" w:lineRule="auto"/>
        <w:jc w:val="both"/>
        <w:rPr>
          <w:rFonts w:eastAsia="Google Sans Text"/>
          <w:color w:val="000000" w:themeColor="text1"/>
          <w:vertAlign w:val="superscript"/>
        </w:rPr>
      </w:pPr>
    </w:p>
    <w:p w14:paraId="7CA52313" w14:textId="2E0D1B15" w:rsidR="00873156" w:rsidRPr="003A73E6" w:rsidRDefault="008F349C" w:rsidP="003A73E6">
      <w:pPr>
        <w:pStyle w:val="Heading2"/>
        <w:numPr>
          <w:ilvl w:val="0"/>
          <w:numId w:val="4"/>
        </w:numPr>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Conclusion</w:t>
      </w:r>
    </w:p>
    <w:p w14:paraId="79631827" w14:textId="415B1FED" w:rsidR="003A73E6" w:rsidRPr="003A73E6" w:rsidRDefault="003A73E6" w:rsidP="003A73E6">
      <w:pPr>
        <w:spacing w:line="360" w:lineRule="auto"/>
        <w:jc w:val="both"/>
      </w:pPr>
      <w:r w:rsidRPr="003A73E6">
        <w:t xml:space="preserve">Antiplatelet therapy management in patients experiencing PCI-induced </w:t>
      </w:r>
      <w:proofErr w:type="spellStart"/>
      <w:r w:rsidRPr="003A73E6">
        <w:t>hemorrhagic</w:t>
      </w:r>
      <w:proofErr w:type="spellEnd"/>
      <w:r w:rsidRPr="003A73E6">
        <w:t xml:space="preserve"> stroke is a challenging clinical problem for which no consensus or absolute guideline has been established regarding the optimal care.[21] The patient provided here well illustrates the thin line between high-stakes competing risks of preventing life-threatening stent thrombosis and reducing catastrophic hematoma expansion.</w:t>
      </w:r>
    </w:p>
    <w:p w14:paraId="2A25A0A1" w14:textId="0B5740F5" w:rsidR="003A73E6" w:rsidRPr="003A73E6" w:rsidRDefault="003A73E6" w:rsidP="003A73E6">
      <w:pPr>
        <w:spacing w:line="360" w:lineRule="auto"/>
        <w:jc w:val="both"/>
      </w:pPr>
      <w:r w:rsidRPr="003A73E6">
        <w:t xml:space="preserve">The therapeutic dilemma we face in the above case scenario is not restricted simply to controlling the acute bleeding episode but also to establishing the patient's long-term compliance and addressing the fear of recurrent bleeding and the struggle with an impending catastrophic thrombotic </w:t>
      </w:r>
      <w:proofErr w:type="spellStart"/>
      <w:r w:rsidRPr="003A73E6">
        <w:t>event.The</w:t>
      </w:r>
      <w:proofErr w:type="spellEnd"/>
      <w:r w:rsidRPr="003A73E6">
        <w:t xml:space="preserve"> choice to cease DAPT after an ICH, though intuitive, may have the opposite effect of non-adherence, as was the case in the patient. The approach should be individualized and maintained through a shared multidisciplinary discussion with a complete patient risk stratification. It is a zero-sum game, and only those who think numerically and provide good, sympathetic patient education are likely to avoid suboptimal long-term outcomes.</w:t>
      </w:r>
    </w:p>
    <w:p w14:paraId="6FF4A1D5" w14:textId="438ACBBE" w:rsidR="003A73E6" w:rsidRPr="003A73E6" w:rsidRDefault="003A73E6" w:rsidP="003A73E6">
      <w:pPr>
        <w:spacing w:line="360" w:lineRule="auto"/>
        <w:jc w:val="both"/>
      </w:pPr>
      <w:r w:rsidRPr="003A73E6">
        <w:t>Last, but certainly not least, the absence of solid evidence-based recommendations in this critically important area confirms the desperate need for such large-scale RCTs in the future.[22] Such studies should address the appropriate timing and duration of antiplatelet therapy, the selection of agents, and the utility of newer pharmacologic or mechanical approaches in this difficult clinical setting. Improving the care of this complex, vulnerable population is only possible if unambiguous evidence is available to guide clinicians in refining and individualizing therapy.</w:t>
      </w:r>
    </w:p>
    <w:p w14:paraId="119F4CAA" w14:textId="77777777" w:rsidR="003A73E6" w:rsidRPr="003A73E6" w:rsidRDefault="003A73E6" w:rsidP="003A73E6">
      <w:pPr>
        <w:pStyle w:val="w7sjnrxzl6krnffuzhqe"/>
        <w:spacing w:before="0" w:beforeAutospacing="0" w:after="150" w:afterAutospacing="0"/>
        <w:textAlignment w:val="baseline"/>
        <w:rPr>
          <w:rFonts w:ascii="Arial" w:hAnsi="Arial" w:cs="Arial"/>
          <w:spacing w:val="8"/>
          <w:sz w:val="23"/>
          <w:szCs w:val="23"/>
        </w:rPr>
      </w:pPr>
    </w:p>
    <w:p w14:paraId="75B680A0" w14:textId="77777777" w:rsidR="00873156" w:rsidRPr="003A73E6" w:rsidRDefault="00873156" w:rsidP="008D6E9E">
      <w:pPr>
        <w:pBdr>
          <w:top w:val="nil"/>
          <w:left w:val="nil"/>
          <w:bottom w:val="nil"/>
          <w:right w:val="nil"/>
          <w:between w:val="nil"/>
        </w:pBdr>
        <w:spacing w:line="360" w:lineRule="auto"/>
        <w:jc w:val="both"/>
        <w:rPr>
          <w:rFonts w:eastAsia="Google Sans"/>
          <w:color w:val="000000" w:themeColor="text1"/>
        </w:rPr>
      </w:pPr>
    </w:p>
    <w:p w14:paraId="6D2BB85F" w14:textId="48184F45" w:rsidR="00386397" w:rsidRPr="00386397" w:rsidRDefault="00386397" w:rsidP="00386397">
      <w:pPr>
        <w:spacing w:line="360" w:lineRule="auto"/>
        <w:jc w:val="both"/>
        <w:rPr>
          <w:rFonts w:eastAsia="Google Sans"/>
          <w:b/>
          <w:color w:val="000000" w:themeColor="text1"/>
        </w:rPr>
      </w:pPr>
      <w:r w:rsidRPr="00386397">
        <w:rPr>
          <w:rFonts w:eastAsia="Google Sans"/>
          <w:b/>
          <w:color w:val="000000" w:themeColor="text1"/>
        </w:rPr>
        <w:t>Ethical Approval:</w:t>
      </w:r>
      <w:bookmarkStart w:id="0" w:name="_GoBack"/>
      <w:bookmarkEnd w:id="0"/>
    </w:p>
    <w:p w14:paraId="0D9332B2" w14:textId="40B6D521" w:rsidR="00386397" w:rsidRDefault="00386397" w:rsidP="00386397">
      <w:pPr>
        <w:spacing w:line="360" w:lineRule="auto"/>
        <w:jc w:val="both"/>
        <w:rPr>
          <w:rFonts w:eastAsia="Google Sans"/>
          <w:color w:val="000000" w:themeColor="text1"/>
        </w:rPr>
      </w:pPr>
      <w:r w:rsidRPr="00386397">
        <w:rPr>
          <w:rFonts w:eastAsia="Google Sans"/>
          <w:color w:val="000000" w:themeColor="text1"/>
        </w:rPr>
        <w:t>As per international standards or university standards written ethical approval has been collected and preserved by the author(s).</w:t>
      </w:r>
    </w:p>
    <w:p w14:paraId="411B1C45" w14:textId="77777777" w:rsidR="00386397" w:rsidRPr="00386397" w:rsidRDefault="00386397" w:rsidP="00386397">
      <w:pPr>
        <w:spacing w:line="360" w:lineRule="auto"/>
        <w:jc w:val="both"/>
        <w:rPr>
          <w:rFonts w:eastAsia="Calibri"/>
          <w:color w:val="000000" w:themeColor="text1"/>
          <w:highlight w:val="yellow"/>
          <w:lang w:val="en-US"/>
        </w:rPr>
      </w:pPr>
    </w:p>
    <w:p w14:paraId="4E443840" w14:textId="77777777" w:rsidR="00386397" w:rsidRPr="00386397" w:rsidRDefault="00386397" w:rsidP="00386397">
      <w:pPr>
        <w:spacing w:line="360" w:lineRule="auto"/>
        <w:jc w:val="both"/>
        <w:rPr>
          <w:rFonts w:eastAsia="Calibri"/>
          <w:b/>
          <w:color w:val="000000" w:themeColor="text1"/>
          <w:lang w:val="en-US"/>
        </w:rPr>
      </w:pPr>
      <w:r w:rsidRPr="00386397">
        <w:rPr>
          <w:rFonts w:eastAsia="Calibri"/>
          <w:b/>
          <w:color w:val="000000" w:themeColor="text1"/>
          <w:lang w:val="en-US"/>
        </w:rPr>
        <w:t xml:space="preserve">Consent </w:t>
      </w:r>
    </w:p>
    <w:p w14:paraId="731C58BF" w14:textId="2A2EC738" w:rsidR="00386397" w:rsidRPr="003A73E6" w:rsidRDefault="00386397" w:rsidP="00386397">
      <w:pPr>
        <w:spacing w:line="360" w:lineRule="auto"/>
        <w:jc w:val="both"/>
        <w:rPr>
          <w:rFonts w:eastAsia="Calibri"/>
          <w:color w:val="000000" w:themeColor="text1"/>
          <w:highlight w:val="yellow"/>
          <w:lang w:val="en-US"/>
        </w:rPr>
      </w:pPr>
      <w:r w:rsidRPr="00386397">
        <w:rPr>
          <w:rFonts w:eastAsia="Calibri"/>
          <w:color w:val="000000" w:themeColor="text1"/>
          <w:lang w:val="en-US"/>
        </w:rPr>
        <w:t>As per international standards or university standards, patient(s) written consent has been collected and preserved by the author(s).</w:t>
      </w:r>
    </w:p>
    <w:p w14:paraId="5C0E554A" w14:textId="77777777" w:rsidR="00873156" w:rsidRPr="003A73E6" w:rsidRDefault="00873156" w:rsidP="008D6E9E">
      <w:pPr>
        <w:pBdr>
          <w:top w:val="nil"/>
          <w:left w:val="nil"/>
          <w:bottom w:val="nil"/>
          <w:right w:val="nil"/>
          <w:between w:val="nil"/>
        </w:pBdr>
        <w:spacing w:line="360" w:lineRule="auto"/>
        <w:jc w:val="both"/>
        <w:rPr>
          <w:rFonts w:eastAsia="Google Sans"/>
          <w:color w:val="000000" w:themeColor="text1"/>
        </w:rPr>
      </w:pPr>
    </w:p>
    <w:p w14:paraId="68D70887" w14:textId="77777777" w:rsidR="00FE4C66" w:rsidRPr="003A73E6" w:rsidRDefault="00FE4C66" w:rsidP="008D6E9E">
      <w:pPr>
        <w:spacing w:line="360" w:lineRule="auto"/>
        <w:rPr>
          <w:rFonts w:eastAsia="Calibri"/>
          <w:b/>
          <w:bCs/>
          <w:kern w:val="2"/>
          <w:lang w:val="en-US"/>
        </w:rPr>
      </w:pPr>
      <w:bookmarkStart w:id="1" w:name="_Hlk201835975"/>
      <w:bookmarkStart w:id="2" w:name="_Hlk193540946"/>
      <w:bookmarkStart w:id="3" w:name="_Hlk180402183"/>
      <w:bookmarkStart w:id="4" w:name="_Hlk183680988"/>
      <w:bookmarkStart w:id="5" w:name="_Hlk197173371"/>
      <w:r w:rsidRPr="003A73E6">
        <w:rPr>
          <w:rFonts w:eastAsia="Calibri"/>
          <w:b/>
          <w:bCs/>
          <w:kern w:val="2"/>
          <w:lang w:val="en-US"/>
        </w:rPr>
        <w:t>Disclaimer (Artificial intelligence)</w:t>
      </w:r>
    </w:p>
    <w:bookmarkEnd w:id="1"/>
    <w:bookmarkEnd w:id="2"/>
    <w:bookmarkEnd w:id="3"/>
    <w:bookmarkEnd w:id="4"/>
    <w:bookmarkEnd w:id="5"/>
    <w:p w14:paraId="42FF54A5" w14:textId="7A9FE29B" w:rsidR="00632C55" w:rsidRDefault="00605CE8" w:rsidP="008D6E9E">
      <w:pPr>
        <w:pBdr>
          <w:top w:val="nil"/>
          <w:left w:val="nil"/>
          <w:bottom w:val="nil"/>
          <w:right w:val="nil"/>
          <w:between w:val="nil"/>
        </w:pBdr>
        <w:spacing w:line="360" w:lineRule="auto"/>
        <w:jc w:val="both"/>
        <w:rPr>
          <w:rFonts w:eastAsia="Calibri"/>
          <w:kern w:val="2"/>
          <w:lang w:val="en-US"/>
        </w:rPr>
      </w:pPr>
      <w:r w:rsidRPr="00605CE8">
        <w:rPr>
          <w:rFonts w:eastAsia="Calibri"/>
          <w:kern w:val="2"/>
          <w:lang w:val="en-US"/>
        </w:rPr>
        <w:t>Author(s) hereby declare that NO generative AI technologies such as Large Language Models (</w:t>
      </w:r>
      <w:proofErr w:type="spellStart"/>
      <w:r w:rsidRPr="00605CE8">
        <w:rPr>
          <w:rFonts w:eastAsia="Calibri"/>
          <w:kern w:val="2"/>
          <w:lang w:val="en-US"/>
        </w:rPr>
        <w:t>ChatGPT</w:t>
      </w:r>
      <w:proofErr w:type="spellEnd"/>
      <w:r w:rsidRPr="00605CE8">
        <w:rPr>
          <w:rFonts w:eastAsia="Calibri"/>
          <w:kern w:val="2"/>
          <w:lang w:val="en-US"/>
        </w:rPr>
        <w:t>, COPILOT, etc.) and text-to-image generators have been used during the writing or editing of this manuscript.</w:t>
      </w:r>
    </w:p>
    <w:p w14:paraId="62C54693" w14:textId="77777777" w:rsidR="00605CE8" w:rsidRPr="003A73E6" w:rsidRDefault="00605CE8" w:rsidP="008D6E9E">
      <w:pPr>
        <w:pBdr>
          <w:top w:val="nil"/>
          <w:left w:val="nil"/>
          <w:bottom w:val="nil"/>
          <w:right w:val="nil"/>
          <w:between w:val="nil"/>
        </w:pBdr>
        <w:spacing w:line="360" w:lineRule="auto"/>
        <w:jc w:val="both"/>
        <w:rPr>
          <w:rFonts w:eastAsia="Google Sans"/>
          <w:color w:val="000000" w:themeColor="text1"/>
        </w:rPr>
      </w:pPr>
    </w:p>
    <w:p w14:paraId="2CEAE548" w14:textId="77777777" w:rsidR="00873156" w:rsidRPr="003A73E6" w:rsidRDefault="008F349C" w:rsidP="008D6E9E">
      <w:pPr>
        <w:pStyle w:val="Heading2"/>
        <w:spacing w:before="0" w:after="0" w:line="360" w:lineRule="auto"/>
        <w:jc w:val="both"/>
        <w:rPr>
          <w:rFonts w:eastAsia="Google Sans"/>
          <w:color w:val="000000" w:themeColor="text1"/>
          <w:sz w:val="22"/>
          <w:szCs w:val="22"/>
        </w:rPr>
      </w:pPr>
      <w:r w:rsidRPr="003A73E6">
        <w:rPr>
          <w:rFonts w:eastAsia="Google Sans"/>
          <w:color w:val="000000" w:themeColor="text1"/>
          <w:sz w:val="22"/>
          <w:szCs w:val="22"/>
        </w:rPr>
        <w:t>References</w:t>
      </w:r>
    </w:p>
    <w:p w14:paraId="4A6AB620" w14:textId="77777777" w:rsidR="00873156" w:rsidRPr="003A73E6" w:rsidRDefault="00873156" w:rsidP="008D6E9E">
      <w:pPr>
        <w:pBdr>
          <w:top w:val="nil"/>
          <w:left w:val="nil"/>
          <w:bottom w:val="nil"/>
          <w:right w:val="nil"/>
          <w:between w:val="nil"/>
        </w:pBdr>
        <w:spacing w:line="360" w:lineRule="auto"/>
        <w:jc w:val="both"/>
        <w:rPr>
          <w:rFonts w:eastAsia="Google Sans"/>
          <w:color w:val="000000" w:themeColor="text1"/>
        </w:rPr>
      </w:pPr>
    </w:p>
    <w:p w14:paraId="2F629043" w14:textId="3E1F61D7"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spacing w:val="1"/>
        </w:rPr>
        <w:t xml:space="preserve">[1]. </w:t>
      </w:r>
      <w:r w:rsidR="009E6467" w:rsidRPr="003A73E6">
        <w:rPr>
          <w:color w:val="000000" w:themeColor="text1"/>
          <w:spacing w:val="1"/>
        </w:rPr>
        <w:t xml:space="preserve">Brown, J.C., </w:t>
      </w:r>
      <w:r w:rsidR="00632C55" w:rsidRPr="003A73E6">
        <w:rPr>
          <w:color w:val="000000" w:themeColor="text1"/>
          <w:spacing w:val="1"/>
        </w:rPr>
        <w:t>(</w:t>
      </w:r>
      <w:r w:rsidR="009E6467" w:rsidRPr="003A73E6">
        <w:rPr>
          <w:color w:val="000000" w:themeColor="text1"/>
          <w:spacing w:val="1"/>
        </w:rPr>
        <w:t>2023</w:t>
      </w:r>
      <w:r w:rsidR="00632C55" w:rsidRPr="003A73E6">
        <w:rPr>
          <w:color w:val="000000" w:themeColor="text1"/>
          <w:spacing w:val="1"/>
        </w:rPr>
        <w:t>)</w:t>
      </w:r>
      <w:r w:rsidR="009E6467" w:rsidRPr="003A73E6">
        <w:rPr>
          <w:color w:val="000000" w:themeColor="text1"/>
          <w:spacing w:val="1"/>
        </w:rPr>
        <w:t xml:space="preserve">. Risk Factors for Coronary Artery Disease. </w:t>
      </w:r>
      <w:proofErr w:type="spellStart"/>
      <w:r w:rsidR="009E6467" w:rsidRPr="003A73E6">
        <w:rPr>
          <w:color w:val="000000" w:themeColor="text1"/>
          <w:spacing w:val="1"/>
        </w:rPr>
        <w:t>StatPearls</w:t>
      </w:r>
      <w:proofErr w:type="spellEnd"/>
      <w:r w:rsidR="009E6467" w:rsidRPr="003A73E6">
        <w:rPr>
          <w:color w:val="000000" w:themeColor="text1"/>
          <w:spacing w:val="1"/>
        </w:rPr>
        <w:t xml:space="preserve"> Publishing. Available at:</w:t>
      </w:r>
      <w:r w:rsidR="009E6467" w:rsidRPr="003A73E6">
        <w:rPr>
          <w:rStyle w:val="apple-converted-space"/>
          <w:color w:val="000000" w:themeColor="text1"/>
          <w:spacing w:val="1"/>
        </w:rPr>
        <w:t> </w:t>
      </w:r>
      <w:hyperlink r:id="rId9" w:tgtFrame="_blank" w:history="1">
        <w:r w:rsidR="009E6467" w:rsidRPr="003A73E6">
          <w:rPr>
            <w:rStyle w:val="Hyperlink"/>
            <w:color w:val="000000" w:themeColor="text1"/>
            <w:spacing w:val="1"/>
            <w:bdr w:val="single" w:sz="2" w:space="0" w:color="auto" w:frame="1"/>
          </w:rPr>
          <w:t>https://www.ncbi.nlm.nih.gov/books/NBK554410/</w:t>
        </w:r>
      </w:hyperlink>
      <w:r w:rsidR="009E6467" w:rsidRPr="003A73E6">
        <w:rPr>
          <w:rStyle w:val="apple-converted-space"/>
          <w:color w:val="000000" w:themeColor="text1"/>
          <w:spacing w:val="1"/>
        </w:rPr>
        <w:t> </w:t>
      </w:r>
    </w:p>
    <w:p w14:paraId="26BE169E" w14:textId="7D08780E" w:rsidR="00B6768B"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[2]. </w:t>
      </w:r>
      <w:r w:rsidR="009E6467" w:rsidRPr="003A73E6">
        <w:rPr>
          <w:color w:val="000000" w:themeColor="text1"/>
          <w:spacing w:val="1"/>
        </w:rPr>
        <w:t>El-</w:t>
      </w:r>
      <w:proofErr w:type="spellStart"/>
      <w:r w:rsidR="009E6467" w:rsidRPr="003A73E6">
        <w:rPr>
          <w:color w:val="000000" w:themeColor="text1"/>
          <w:spacing w:val="1"/>
        </w:rPr>
        <w:t>Menyar</w:t>
      </w:r>
      <w:proofErr w:type="spellEnd"/>
      <w:r w:rsidR="009E6467" w:rsidRPr="003A73E6">
        <w:rPr>
          <w:color w:val="000000" w:themeColor="text1"/>
          <w:spacing w:val="1"/>
        </w:rPr>
        <w:t xml:space="preserve">, A. et al., </w:t>
      </w:r>
      <w:r w:rsidR="00632C55" w:rsidRPr="003A73E6">
        <w:rPr>
          <w:color w:val="000000" w:themeColor="text1"/>
          <w:spacing w:val="1"/>
        </w:rPr>
        <w:t>(</w:t>
      </w:r>
      <w:r w:rsidR="009E6467" w:rsidRPr="003A73E6">
        <w:rPr>
          <w:color w:val="000000" w:themeColor="text1"/>
          <w:spacing w:val="1"/>
        </w:rPr>
        <w:t>2023</w:t>
      </w:r>
      <w:r w:rsidR="00632C55" w:rsidRPr="003A73E6">
        <w:rPr>
          <w:color w:val="000000" w:themeColor="text1"/>
          <w:spacing w:val="1"/>
        </w:rPr>
        <w:t>)</w:t>
      </w:r>
      <w:r w:rsidR="009E6467" w:rsidRPr="003A73E6">
        <w:rPr>
          <w:color w:val="000000" w:themeColor="text1"/>
          <w:spacing w:val="1"/>
        </w:rPr>
        <w:t xml:space="preserve">. Percutaneous Coronary Intervention. </w:t>
      </w:r>
      <w:proofErr w:type="spellStart"/>
      <w:r w:rsidR="009E6467" w:rsidRPr="003A73E6">
        <w:rPr>
          <w:color w:val="000000" w:themeColor="text1"/>
          <w:spacing w:val="1"/>
        </w:rPr>
        <w:t>StatPearls</w:t>
      </w:r>
      <w:proofErr w:type="spellEnd"/>
      <w:r w:rsidR="009E6467" w:rsidRPr="003A73E6">
        <w:rPr>
          <w:color w:val="000000" w:themeColor="text1"/>
          <w:spacing w:val="1"/>
        </w:rPr>
        <w:t xml:space="preserve"> Publishing. Available at:</w:t>
      </w:r>
      <w:r w:rsidR="009E6467" w:rsidRPr="003A73E6">
        <w:rPr>
          <w:rStyle w:val="apple-converted-space"/>
          <w:color w:val="000000" w:themeColor="text1"/>
          <w:spacing w:val="1"/>
        </w:rPr>
        <w:t> </w:t>
      </w:r>
      <w:hyperlink r:id="rId10" w:tgtFrame="_blank" w:history="1">
        <w:r w:rsidR="009E6467" w:rsidRPr="003A73E6">
          <w:rPr>
            <w:rStyle w:val="Hyperlink"/>
            <w:color w:val="000000" w:themeColor="text1"/>
            <w:spacing w:val="1"/>
            <w:bdr w:val="single" w:sz="2" w:space="0" w:color="auto" w:frame="1"/>
          </w:rPr>
          <w:t>https://www.ncbi.nlm.nih.gov/books/NBK556123/</w:t>
        </w:r>
      </w:hyperlink>
    </w:p>
    <w:p w14:paraId="0D655767" w14:textId="71881E54"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rPr>
        <w:t xml:space="preserve">[3]. </w:t>
      </w:r>
      <w:r w:rsidR="009E6467" w:rsidRPr="003A73E6">
        <w:rPr>
          <w:color w:val="000000" w:themeColor="text1"/>
          <w:spacing w:val="1"/>
        </w:rPr>
        <w:t xml:space="preserve">Neumann, F.J., </w:t>
      </w:r>
      <w:r w:rsidR="00632C55" w:rsidRPr="003A73E6">
        <w:rPr>
          <w:color w:val="000000" w:themeColor="text1"/>
          <w:spacing w:val="1"/>
        </w:rPr>
        <w:t>(</w:t>
      </w:r>
      <w:r w:rsidR="009E6467" w:rsidRPr="003A73E6">
        <w:rPr>
          <w:color w:val="000000" w:themeColor="text1"/>
          <w:spacing w:val="1"/>
        </w:rPr>
        <w:t>2023</w:t>
      </w:r>
      <w:r w:rsidR="00632C55" w:rsidRPr="003A73E6">
        <w:rPr>
          <w:color w:val="000000" w:themeColor="text1"/>
          <w:spacing w:val="1"/>
        </w:rPr>
        <w:t>)</w:t>
      </w:r>
      <w:r w:rsidR="009E6467" w:rsidRPr="003A73E6">
        <w:rPr>
          <w:color w:val="000000" w:themeColor="text1"/>
          <w:spacing w:val="1"/>
        </w:rPr>
        <w:t xml:space="preserve">. Dual Antiplatelet Therapy for the General Cardiologist: Recent </w:t>
      </w:r>
      <w:r w:rsidR="009E6467" w:rsidRPr="003A73E6">
        <w:rPr>
          <w:color w:val="000000" w:themeColor="text1"/>
          <w:spacing w:val="1"/>
        </w:rPr>
        <w:lastRenderedPageBreak/>
        <w:t>Evidence Balancing Ischemic and Bleeding Risks. European Society of Cardiology. Available at:</w:t>
      </w:r>
      <w:r w:rsidR="009E6467" w:rsidRPr="003A73E6">
        <w:rPr>
          <w:rStyle w:val="apple-converted-space"/>
          <w:color w:val="000000" w:themeColor="text1"/>
          <w:spacing w:val="1"/>
        </w:rPr>
        <w:t> </w:t>
      </w:r>
      <w:hyperlink r:id="rId11" w:tgtFrame="_blank" w:history="1">
        <w:r w:rsidR="008D6E9E" w:rsidRPr="003A73E6">
          <w:rPr>
            <w:rStyle w:val="Hyperlink"/>
            <w:spacing w:val="1"/>
          </w:rPr>
          <w:t>https://www.escardio.org/Councils/Council-for-Cardiology-Practice-(CCP)</w:t>
        </w:r>
      </w:hyperlink>
    </w:p>
    <w:p w14:paraId="4CB293E0" w14:textId="603ED669"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rStyle w:val="apple-converted-space"/>
          <w:color w:val="000000" w:themeColor="text1"/>
        </w:rPr>
        <w:t xml:space="preserve">[4]. </w:t>
      </w:r>
      <w:r w:rsidR="009E6467" w:rsidRPr="003A73E6">
        <w:rPr>
          <w:color w:val="000000" w:themeColor="text1"/>
          <w:spacing w:val="1"/>
        </w:rPr>
        <w:t xml:space="preserve">Joo, H.J. et al., </w:t>
      </w:r>
      <w:r w:rsidR="00632C55" w:rsidRPr="003A73E6">
        <w:rPr>
          <w:color w:val="000000" w:themeColor="text1"/>
          <w:spacing w:val="1"/>
        </w:rPr>
        <w:t>(</w:t>
      </w:r>
      <w:r w:rsidR="009E6467" w:rsidRPr="003A73E6">
        <w:rPr>
          <w:color w:val="000000" w:themeColor="text1"/>
          <w:spacing w:val="1"/>
        </w:rPr>
        <w:t>2023</w:t>
      </w:r>
      <w:r w:rsidR="00632C55" w:rsidRPr="003A73E6">
        <w:rPr>
          <w:color w:val="000000" w:themeColor="text1"/>
          <w:spacing w:val="1"/>
        </w:rPr>
        <w:t>)</w:t>
      </w:r>
      <w:r w:rsidR="009E6467" w:rsidRPr="003A73E6">
        <w:rPr>
          <w:color w:val="000000" w:themeColor="text1"/>
          <w:spacing w:val="1"/>
        </w:rPr>
        <w:t xml:space="preserve">. P2Y12 Inhibitor vs Aspirin Monotherapy Following Dual Antiplatelet Therapy Discontinuation After PCI: A Meta-Analysis of Outcomes. </w:t>
      </w:r>
      <w:r w:rsidR="0036058B" w:rsidRPr="003A73E6">
        <w:rPr>
          <w:color w:val="000000" w:themeColor="text1"/>
          <w:spacing w:val="1"/>
        </w:rPr>
        <w:t>IMR Press</w:t>
      </w:r>
      <w:r w:rsidR="009E6467" w:rsidRPr="003A73E6">
        <w:rPr>
          <w:color w:val="000000" w:themeColor="text1"/>
          <w:spacing w:val="1"/>
        </w:rPr>
        <w:t xml:space="preserve">. </w:t>
      </w:r>
      <w:proofErr w:type="spellStart"/>
      <w:r w:rsidR="0036058B" w:rsidRPr="003A73E6">
        <w:rPr>
          <w:color w:val="000000" w:themeColor="text1"/>
          <w:shd w:val="clear" w:color="auto" w:fill="FFFFFF"/>
        </w:rPr>
        <w:t>doi</w:t>
      </w:r>
      <w:proofErr w:type="spellEnd"/>
      <w:r w:rsidR="0036058B" w:rsidRPr="003A73E6">
        <w:rPr>
          <w:color w:val="000000" w:themeColor="text1"/>
          <w:shd w:val="clear" w:color="auto" w:fill="FFFFFF"/>
        </w:rPr>
        <w:t>:</w:t>
      </w:r>
      <w:r w:rsidR="0036058B" w:rsidRPr="003A73E6">
        <w:rPr>
          <w:rStyle w:val="apple-converted-space"/>
          <w:color w:val="000000" w:themeColor="text1"/>
          <w:shd w:val="clear" w:color="auto" w:fill="FFFFFF"/>
        </w:rPr>
        <w:t> </w:t>
      </w:r>
      <w:hyperlink r:id="rId12" w:tgtFrame="_blank" w:history="1">
        <w:r w:rsidR="0036058B" w:rsidRPr="003A73E6">
          <w:rPr>
            <w:rStyle w:val="Hyperlink"/>
            <w:color w:val="000000" w:themeColor="text1"/>
          </w:rPr>
          <w:t>10.31083/j.rcm2410284</w:t>
        </w:r>
      </w:hyperlink>
    </w:p>
    <w:p w14:paraId="48EFAED8" w14:textId="3ACD289A"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rStyle w:val="apple-converted-space"/>
          <w:color w:val="000000" w:themeColor="text1"/>
        </w:rPr>
        <w:t xml:space="preserve">[5]. </w:t>
      </w:r>
      <w:r w:rsidR="00013F82" w:rsidRPr="003A73E6">
        <w:rPr>
          <w:color w:val="000000" w:themeColor="text1"/>
          <w:spacing w:val="1"/>
        </w:rPr>
        <w:t xml:space="preserve">Chandiramani, R., </w:t>
      </w:r>
      <w:r w:rsidR="00632C55" w:rsidRPr="003A73E6">
        <w:rPr>
          <w:color w:val="000000" w:themeColor="text1"/>
          <w:spacing w:val="1"/>
        </w:rPr>
        <w:t>(</w:t>
      </w:r>
      <w:r w:rsidR="00013F82" w:rsidRPr="003A73E6">
        <w:rPr>
          <w:color w:val="000000" w:themeColor="text1"/>
          <w:spacing w:val="1"/>
        </w:rPr>
        <w:t>2025</w:t>
      </w:r>
      <w:r w:rsidR="00632C55" w:rsidRPr="003A73E6">
        <w:rPr>
          <w:color w:val="000000" w:themeColor="text1"/>
          <w:spacing w:val="1"/>
        </w:rPr>
        <w:t>)</w:t>
      </w:r>
      <w:r w:rsidR="00013F82" w:rsidRPr="003A73E6">
        <w:rPr>
          <w:color w:val="000000" w:themeColor="text1"/>
          <w:spacing w:val="1"/>
        </w:rPr>
        <w:t xml:space="preserve">. Determinants of stroke following percutaneous coronary intervention: A systematic review and meta-analysis. </w:t>
      </w:r>
      <w:r w:rsidR="0036058B" w:rsidRPr="003A73E6">
        <w:rPr>
          <w:color w:val="000000" w:themeColor="text1"/>
          <w:spacing w:val="1"/>
        </w:rPr>
        <w:t>Annals of medicine</w:t>
      </w:r>
      <w:r w:rsidR="00013F82" w:rsidRPr="003A73E6">
        <w:rPr>
          <w:color w:val="000000" w:themeColor="text1"/>
          <w:spacing w:val="1"/>
        </w:rPr>
        <w:t xml:space="preserve">. </w:t>
      </w:r>
      <w:proofErr w:type="spellStart"/>
      <w:r w:rsidR="0036058B" w:rsidRPr="003A73E6">
        <w:rPr>
          <w:color w:val="000000" w:themeColor="text1"/>
          <w:shd w:val="clear" w:color="auto" w:fill="FFFFFF"/>
        </w:rPr>
        <w:t>doi</w:t>
      </w:r>
      <w:proofErr w:type="spellEnd"/>
      <w:r w:rsidR="0036058B" w:rsidRPr="003A73E6">
        <w:rPr>
          <w:color w:val="000000" w:themeColor="text1"/>
          <w:shd w:val="clear" w:color="auto" w:fill="FFFFFF"/>
        </w:rPr>
        <w:t>:</w:t>
      </w:r>
      <w:r w:rsidR="0036058B" w:rsidRPr="003A73E6">
        <w:rPr>
          <w:rStyle w:val="apple-converted-space"/>
          <w:color w:val="000000" w:themeColor="text1"/>
          <w:shd w:val="clear" w:color="auto" w:fill="FFFFFF"/>
        </w:rPr>
        <w:t> </w:t>
      </w:r>
      <w:hyperlink r:id="rId13" w:tgtFrame="_blank" w:history="1">
        <w:r w:rsidR="0036058B" w:rsidRPr="003A73E6">
          <w:rPr>
            <w:rStyle w:val="Hyperlink"/>
            <w:color w:val="000000" w:themeColor="text1"/>
          </w:rPr>
          <w:t>10.1080/07853890.2025.2506481</w:t>
        </w:r>
      </w:hyperlink>
    </w:p>
    <w:p w14:paraId="76FDA37F" w14:textId="2AB537A2" w:rsidR="00B6768B"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[6]. </w:t>
      </w:r>
      <w:r w:rsidR="00013F82" w:rsidRPr="003A73E6">
        <w:rPr>
          <w:color w:val="000000" w:themeColor="text1"/>
          <w:spacing w:val="1"/>
        </w:rPr>
        <w:t xml:space="preserve">Sumiyoshi, T. et al., </w:t>
      </w:r>
      <w:r w:rsidR="00632C55" w:rsidRPr="003A73E6">
        <w:rPr>
          <w:color w:val="000000" w:themeColor="text1"/>
          <w:spacing w:val="1"/>
        </w:rPr>
        <w:t>(</w:t>
      </w:r>
      <w:r w:rsidR="00013F82" w:rsidRPr="003A73E6">
        <w:rPr>
          <w:color w:val="000000" w:themeColor="text1"/>
          <w:spacing w:val="1"/>
        </w:rPr>
        <w:t>2022</w:t>
      </w:r>
      <w:r w:rsidR="00632C55" w:rsidRPr="003A73E6">
        <w:rPr>
          <w:color w:val="000000" w:themeColor="text1"/>
          <w:spacing w:val="1"/>
        </w:rPr>
        <w:t>)</w:t>
      </w:r>
      <w:r w:rsidR="00013F82" w:rsidRPr="003A73E6">
        <w:rPr>
          <w:color w:val="000000" w:themeColor="text1"/>
          <w:spacing w:val="1"/>
        </w:rPr>
        <w:t>. Optimal Antithrombotic Therapy in Patients Undergoing Percutaneous Coronary Intervention with High Bleeding Risk. Journal</w:t>
      </w:r>
      <w:r w:rsidR="0036058B" w:rsidRPr="003A73E6">
        <w:rPr>
          <w:color w:val="000000" w:themeColor="text1"/>
          <w:spacing w:val="1"/>
        </w:rPr>
        <w:t xml:space="preserve"> of atherosclerosis and thrombosis. </w:t>
      </w:r>
      <w:proofErr w:type="spellStart"/>
      <w:r w:rsidR="0036058B" w:rsidRPr="003A73E6">
        <w:rPr>
          <w:color w:val="000000" w:themeColor="text1"/>
          <w:shd w:val="clear" w:color="auto" w:fill="FFFFFF"/>
        </w:rPr>
        <w:t>doi</w:t>
      </w:r>
      <w:proofErr w:type="spellEnd"/>
      <w:r w:rsidR="0036058B" w:rsidRPr="003A73E6">
        <w:rPr>
          <w:color w:val="000000" w:themeColor="text1"/>
          <w:shd w:val="clear" w:color="auto" w:fill="FFFFFF"/>
        </w:rPr>
        <w:t>:</w:t>
      </w:r>
      <w:r w:rsidR="0036058B" w:rsidRPr="003A73E6">
        <w:rPr>
          <w:rStyle w:val="apple-converted-space"/>
          <w:color w:val="000000" w:themeColor="text1"/>
          <w:shd w:val="clear" w:color="auto" w:fill="FFFFFF"/>
        </w:rPr>
        <w:t> </w:t>
      </w:r>
      <w:hyperlink r:id="rId14" w:tgtFrame="_blank" w:history="1">
        <w:r w:rsidR="0036058B" w:rsidRPr="003A73E6">
          <w:rPr>
            <w:rStyle w:val="Hyperlink"/>
            <w:color w:val="000000" w:themeColor="text1"/>
          </w:rPr>
          <w:t>10.5551/jat.RV17066</w:t>
        </w:r>
      </w:hyperlink>
    </w:p>
    <w:p w14:paraId="134E356B" w14:textId="77777777" w:rsidR="0036058B" w:rsidRPr="003A73E6" w:rsidRDefault="00B6768B" w:rsidP="008D6E9E">
      <w:pPr>
        <w:pBdr>
          <w:top w:val="nil"/>
          <w:left w:val="nil"/>
          <w:bottom w:val="nil"/>
          <w:right w:val="nil"/>
          <w:between w:val="nil"/>
        </w:pBdr>
        <w:spacing w:line="360" w:lineRule="auto"/>
        <w:jc w:val="both"/>
        <w:rPr>
          <w:color w:val="000000" w:themeColor="text1"/>
        </w:rPr>
      </w:pPr>
      <w:r w:rsidRPr="003A73E6">
        <w:rPr>
          <w:color w:val="000000" w:themeColor="text1"/>
        </w:rPr>
        <w:t xml:space="preserve">[7]. </w:t>
      </w:r>
      <w:r w:rsidR="00EB6AD8" w:rsidRPr="003A73E6">
        <w:rPr>
          <w:color w:val="000000" w:themeColor="text1"/>
          <w:spacing w:val="1"/>
        </w:rPr>
        <w:t xml:space="preserve">Nagai, T. et al., </w:t>
      </w:r>
      <w:r w:rsidR="00632C55" w:rsidRPr="003A73E6">
        <w:rPr>
          <w:color w:val="000000" w:themeColor="text1"/>
          <w:spacing w:val="1"/>
        </w:rPr>
        <w:t>(</w:t>
      </w:r>
      <w:r w:rsidR="00EB6AD8" w:rsidRPr="003A73E6">
        <w:rPr>
          <w:color w:val="000000" w:themeColor="text1"/>
          <w:spacing w:val="1"/>
        </w:rPr>
        <w:t>2021</w:t>
      </w:r>
      <w:r w:rsidR="00632C55" w:rsidRPr="003A73E6">
        <w:rPr>
          <w:color w:val="000000" w:themeColor="text1"/>
          <w:spacing w:val="1"/>
        </w:rPr>
        <w:t>)</w:t>
      </w:r>
      <w:r w:rsidR="00EB6AD8" w:rsidRPr="003A73E6">
        <w:rPr>
          <w:color w:val="000000" w:themeColor="text1"/>
          <w:spacing w:val="1"/>
        </w:rPr>
        <w:t xml:space="preserve">. Intracranial Bleeding After Percutaneous Coronary Intervention. Journal of the American Heart Association. </w:t>
      </w:r>
      <w:proofErr w:type="spellStart"/>
      <w:r w:rsidR="0036058B" w:rsidRPr="003A73E6">
        <w:rPr>
          <w:color w:val="000000" w:themeColor="text1"/>
          <w:shd w:val="clear" w:color="auto" w:fill="FFFFFF"/>
        </w:rPr>
        <w:t>doi</w:t>
      </w:r>
      <w:proofErr w:type="spellEnd"/>
      <w:r w:rsidR="0036058B" w:rsidRPr="003A73E6">
        <w:rPr>
          <w:color w:val="000000" w:themeColor="text1"/>
          <w:shd w:val="clear" w:color="auto" w:fill="FFFFFF"/>
        </w:rPr>
        <w:t>:</w:t>
      </w:r>
      <w:r w:rsidR="0036058B" w:rsidRPr="003A73E6">
        <w:rPr>
          <w:rStyle w:val="apple-converted-space"/>
          <w:color w:val="000000" w:themeColor="text1"/>
          <w:shd w:val="clear" w:color="auto" w:fill="FFFFFF"/>
        </w:rPr>
        <w:t> </w:t>
      </w:r>
      <w:hyperlink r:id="rId15" w:tgtFrame="_blank" w:history="1">
        <w:r w:rsidR="0036058B" w:rsidRPr="003A73E6">
          <w:rPr>
            <w:rStyle w:val="Hyperlink"/>
            <w:color w:val="000000" w:themeColor="text1"/>
          </w:rPr>
          <w:t>10.1161/JAHA.120.019637</w:t>
        </w:r>
      </w:hyperlink>
      <w:r w:rsidR="0036058B" w:rsidRPr="003A73E6">
        <w:rPr>
          <w:color w:val="000000" w:themeColor="text1"/>
        </w:rPr>
        <w:t xml:space="preserve"> </w:t>
      </w:r>
    </w:p>
    <w:p w14:paraId="32FAA751" w14:textId="4C527B3A" w:rsidR="0036058B" w:rsidRPr="003A73E6" w:rsidRDefault="00B6768B" w:rsidP="008D6E9E">
      <w:pPr>
        <w:pBdr>
          <w:top w:val="nil"/>
          <w:left w:val="nil"/>
          <w:bottom w:val="nil"/>
          <w:right w:val="nil"/>
          <w:between w:val="nil"/>
        </w:pBdr>
        <w:spacing w:line="360" w:lineRule="auto"/>
        <w:jc w:val="both"/>
        <w:rPr>
          <w:color w:val="000000" w:themeColor="text1"/>
        </w:rPr>
      </w:pPr>
      <w:r w:rsidRPr="003A73E6">
        <w:rPr>
          <w:color w:val="000000" w:themeColor="text1"/>
        </w:rPr>
        <w:t xml:space="preserve">[8]. </w:t>
      </w:r>
      <w:r w:rsidR="00EB6AD8" w:rsidRPr="003A73E6">
        <w:rPr>
          <w:color w:val="000000" w:themeColor="text1"/>
          <w:spacing w:val="1"/>
        </w:rPr>
        <w:t xml:space="preserve">Yang, C. et al., </w:t>
      </w:r>
      <w:r w:rsidR="00632C55" w:rsidRPr="003A73E6">
        <w:rPr>
          <w:color w:val="000000" w:themeColor="text1"/>
          <w:spacing w:val="1"/>
        </w:rPr>
        <w:t>(</w:t>
      </w:r>
      <w:r w:rsidR="00EB6AD8" w:rsidRPr="003A73E6">
        <w:rPr>
          <w:color w:val="000000" w:themeColor="text1"/>
          <w:spacing w:val="1"/>
        </w:rPr>
        <w:t>2023</w:t>
      </w:r>
      <w:r w:rsidR="00632C55" w:rsidRPr="003A73E6">
        <w:rPr>
          <w:color w:val="000000" w:themeColor="text1"/>
          <w:spacing w:val="1"/>
        </w:rPr>
        <w:t>)</w:t>
      </w:r>
      <w:r w:rsidR="00EB6AD8" w:rsidRPr="003A73E6">
        <w:rPr>
          <w:color w:val="000000" w:themeColor="text1"/>
          <w:spacing w:val="1"/>
        </w:rPr>
        <w:t xml:space="preserve">. Intracranial </w:t>
      </w:r>
      <w:proofErr w:type="spellStart"/>
      <w:r w:rsidR="00EB6AD8" w:rsidRPr="003A73E6">
        <w:rPr>
          <w:color w:val="000000" w:themeColor="text1"/>
          <w:spacing w:val="1"/>
        </w:rPr>
        <w:t>Hemorrhage</w:t>
      </w:r>
      <w:proofErr w:type="spellEnd"/>
      <w:r w:rsidR="00EB6AD8" w:rsidRPr="003A73E6">
        <w:rPr>
          <w:color w:val="000000" w:themeColor="text1"/>
          <w:spacing w:val="1"/>
        </w:rPr>
        <w:t xml:space="preserve"> in Hospitalized Patients Following Percutaneous Coronary Intervention. </w:t>
      </w:r>
      <w:r w:rsidR="0036058B" w:rsidRPr="003A73E6">
        <w:rPr>
          <w:color w:val="000000" w:themeColor="text1"/>
          <w:spacing w:val="1"/>
        </w:rPr>
        <w:t>Diagnostics</w:t>
      </w:r>
      <w:r w:rsidR="00EB6AD8" w:rsidRPr="003A73E6">
        <w:rPr>
          <w:color w:val="000000" w:themeColor="text1"/>
          <w:spacing w:val="1"/>
        </w:rPr>
        <w:t xml:space="preserve">. </w:t>
      </w:r>
      <w:proofErr w:type="spellStart"/>
      <w:r w:rsidR="0036058B" w:rsidRPr="003A73E6">
        <w:rPr>
          <w:color w:val="000000" w:themeColor="text1"/>
          <w:shd w:val="clear" w:color="auto" w:fill="FFFFFF"/>
        </w:rPr>
        <w:t>doi</w:t>
      </w:r>
      <w:proofErr w:type="spellEnd"/>
      <w:r w:rsidR="0036058B" w:rsidRPr="003A73E6">
        <w:rPr>
          <w:color w:val="000000" w:themeColor="text1"/>
          <w:shd w:val="clear" w:color="auto" w:fill="FFFFFF"/>
        </w:rPr>
        <w:t>:</w:t>
      </w:r>
      <w:r w:rsidR="0036058B" w:rsidRPr="003A73E6">
        <w:rPr>
          <w:rStyle w:val="apple-converted-space"/>
          <w:color w:val="000000" w:themeColor="text1"/>
          <w:shd w:val="clear" w:color="auto" w:fill="FFFFFF"/>
        </w:rPr>
        <w:t> </w:t>
      </w:r>
      <w:hyperlink r:id="rId16" w:tgtFrame="_blank" w:history="1">
        <w:r w:rsidR="0036058B" w:rsidRPr="003A73E6">
          <w:rPr>
            <w:rStyle w:val="Hyperlink"/>
            <w:color w:val="000000" w:themeColor="text1"/>
          </w:rPr>
          <w:t>10.3390/diagnostics13142422</w:t>
        </w:r>
      </w:hyperlink>
      <w:r w:rsidR="0036058B" w:rsidRPr="003A73E6">
        <w:rPr>
          <w:color w:val="000000" w:themeColor="text1"/>
        </w:rPr>
        <w:t xml:space="preserve"> </w:t>
      </w:r>
    </w:p>
    <w:p w14:paraId="1A25513B" w14:textId="4AB8EA20"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rPr>
        <w:t xml:space="preserve">[9]. </w:t>
      </w:r>
      <w:r w:rsidR="00EB6AD8" w:rsidRPr="003A73E6">
        <w:rPr>
          <w:color w:val="000000" w:themeColor="text1"/>
          <w:spacing w:val="1"/>
        </w:rPr>
        <w:t xml:space="preserve">Levine, G.N. et al., </w:t>
      </w:r>
      <w:r w:rsidR="00632C55" w:rsidRPr="003A73E6">
        <w:rPr>
          <w:color w:val="000000" w:themeColor="text1"/>
          <w:spacing w:val="1"/>
        </w:rPr>
        <w:t>(</w:t>
      </w:r>
      <w:r w:rsidR="00EB6AD8" w:rsidRPr="003A73E6">
        <w:rPr>
          <w:color w:val="000000" w:themeColor="text1"/>
          <w:spacing w:val="1"/>
        </w:rPr>
        <w:t>2015</w:t>
      </w:r>
      <w:r w:rsidR="00632C55" w:rsidRPr="003A73E6">
        <w:rPr>
          <w:color w:val="000000" w:themeColor="text1"/>
          <w:spacing w:val="1"/>
        </w:rPr>
        <w:t>)</w:t>
      </w:r>
      <w:r w:rsidR="00EB6AD8" w:rsidRPr="003A73E6">
        <w:rPr>
          <w:color w:val="000000" w:themeColor="text1"/>
          <w:spacing w:val="1"/>
        </w:rPr>
        <w:t>. Executive Summary - Dual Antiplatelet Therapy Following PCI: A Science Advisory of the American Heart Association. Circulation. Available at:</w:t>
      </w:r>
      <w:r w:rsidR="00EB6AD8" w:rsidRPr="003A73E6">
        <w:rPr>
          <w:rStyle w:val="apple-converted-space"/>
          <w:color w:val="000000" w:themeColor="text1"/>
          <w:spacing w:val="1"/>
        </w:rPr>
        <w:t> </w:t>
      </w:r>
      <w:hyperlink r:id="rId17" w:tgtFrame="_blank" w:history="1">
        <w:r w:rsidR="00EB6AD8" w:rsidRPr="003A73E6">
          <w:rPr>
            <w:rStyle w:val="Hyperlink"/>
            <w:color w:val="000000" w:themeColor="text1"/>
            <w:spacing w:val="1"/>
            <w:bdr w:val="single" w:sz="2" w:space="0" w:color="auto" w:frame="1"/>
          </w:rPr>
          <w:t>https://www.ncbi.nlm.nih.gov/books/NBK531622/</w:t>
        </w:r>
      </w:hyperlink>
      <w:r w:rsidR="00EB6AD8" w:rsidRPr="003A73E6">
        <w:rPr>
          <w:rStyle w:val="apple-converted-space"/>
          <w:color w:val="000000" w:themeColor="text1"/>
          <w:spacing w:val="1"/>
        </w:rPr>
        <w:t> </w:t>
      </w:r>
    </w:p>
    <w:p w14:paraId="56EFCC79" w14:textId="24945B41" w:rsidR="00F7386C"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[10]. </w:t>
      </w:r>
      <w:r w:rsidR="00EB6AD8" w:rsidRPr="003A73E6">
        <w:rPr>
          <w:color w:val="000000" w:themeColor="text1"/>
          <w:spacing w:val="1"/>
        </w:rPr>
        <w:t xml:space="preserve">Thomas, A., </w:t>
      </w:r>
      <w:r w:rsidR="00632C55" w:rsidRPr="003A73E6">
        <w:rPr>
          <w:color w:val="000000" w:themeColor="text1"/>
          <w:spacing w:val="1"/>
        </w:rPr>
        <w:t>(</w:t>
      </w:r>
      <w:r w:rsidR="00EB6AD8" w:rsidRPr="003A73E6">
        <w:rPr>
          <w:color w:val="000000" w:themeColor="text1"/>
          <w:spacing w:val="1"/>
        </w:rPr>
        <w:t>2023</w:t>
      </w:r>
      <w:r w:rsidR="00632C55" w:rsidRPr="003A73E6">
        <w:rPr>
          <w:color w:val="000000" w:themeColor="text1"/>
          <w:spacing w:val="1"/>
        </w:rPr>
        <w:t>)</w:t>
      </w:r>
      <w:r w:rsidR="00EB6AD8" w:rsidRPr="003A73E6">
        <w:rPr>
          <w:color w:val="000000" w:themeColor="text1"/>
          <w:spacing w:val="1"/>
        </w:rPr>
        <w:t xml:space="preserve">. Antiplatelet Strategies Following PCI: A Review of Trials Informing Clinical Practice. </w:t>
      </w:r>
      <w:r w:rsidR="0036058B" w:rsidRPr="003A73E6">
        <w:rPr>
          <w:color w:val="000000" w:themeColor="text1"/>
          <w:spacing w:val="1"/>
        </w:rPr>
        <w:t>JSCAI</w:t>
      </w:r>
      <w:r w:rsidR="00EB6AD8" w:rsidRPr="003A73E6">
        <w:rPr>
          <w:color w:val="000000" w:themeColor="text1"/>
          <w:spacing w:val="1"/>
        </w:rPr>
        <w:t xml:space="preserve">. </w:t>
      </w:r>
      <w:hyperlink r:id="rId18" w:tgtFrame="_blank" w:tooltip="Persistent link using digital object identifier" w:history="1">
        <w:r w:rsidR="0036058B" w:rsidRPr="003A73E6">
          <w:rPr>
            <w:rStyle w:val="anchor-text"/>
            <w:color w:val="000000" w:themeColor="text1"/>
          </w:rPr>
          <w:t>https://doi.org/10.1016/j.jscai.2023.100607</w:t>
        </w:r>
      </w:hyperlink>
      <w:r w:rsidR="0036058B" w:rsidRPr="003A73E6">
        <w:rPr>
          <w:rStyle w:val="apple-converted-space"/>
          <w:color w:val="000000" w:themeColor="text1"/>
        </w:rPr>
        <w:t xml:space="preserve"> </w:t>
      </w:r>
      <w:r w:rsidRPr="003A73E6">
        <w:rPr>
          <w:rStyle w:val="apple-converted-space"/>
          <w:color w:val="000000" w:themeColor="text1"/>
        </w:rPr>
        <w:t xml:space="preserve">[11]. </w:t>
      </w:r>
      <w:r w:rsidR="008C1401" w:rsidRPr="003A73E6">
        <w:rPr>
          <w:color w:val="000000" w:themeColor="text1"/>
          <w:spacing w:val="1"/>
        </w:rPr>
        <w:t xml:space="preserve">De Luca, G. et al., </w:t>
      </w:r>
      <w:r w:rsidR="00632C55" w:rsidRPr="003A73E6">
        <w:rPr>
          <w:color w:val="000000" w:themeColor="text1"/>
          <w:spacing w:val="1"/>
        </w:rPr>
        <w:t>(</w:t>
      </w:r>
      <w:r w:rsidR="008C1401" w:rsidRPr="003A73E6">
        <w:rPr>
          <w:color w:val="000000" w:themeColor="text1"/>
          <w:spacing w:val="1"/>
        </w:rPr>
        <w:t>2020</w:t>
      </w:r>
      <w:r w:rsidR="00632C55" w:rsidRPr="003A73E6">
        <w:rPr>
          <w:color w:val="000000" w:themeColor="text1"/>
          <w:spacing w:val="1"/>
        </w:rPr>
        <w:t>)</w:t>
      </w:r>
      <w:r w:rsidR="008C1401" w:rsidRPr="003A73E6">
        <w:rPr>
          <w:color w:val="000000" w:themeColor="text1"/>
          <w:spacing w:val="1"/>
        </w:rPr>
        <w:t xml:space="preserve">. Coronary Stent Thrombosis—Predictors and Prevention. </w:t>
      </w:r>
      <w:proofErr w:type="spellStart"/>
      <w:r w:rsidR="00F7386C" w:rsidRPr="003A73E6">
        <w:rPr>
          <w:color w:val="000000" w:themeColor="text1"/>
        </w:rPr>
        <w:t>Deutsches</w:t>
      </w:r>
      <w:proofErr w:type="spellEnd"/>
      <w:r w:rsidR="00F7386C" w:rsidRPr="003A73E6">
        <w:rPr>
          <w:color w:val="000000" w:themeColor="text1"/>
        </w:rPr>
        <w:t xml:space="preserve"> </w:t>
      </w:r>
      <w:proofErr w:type="spellStart"/>
      <w:r w:rsidR="00F7386C" w:rsidRPr="003A73E6">
        <w:rPr>
          <w:color w:val="000000" w:themeColor="text1"/>
        </w:rPr>
        <w:t>Ärzteblatt</w:t>
      </w:r>
      <w:proofErr w:type="spellEnd"/>
      <w:r w:rsidR="00F7386C" w:rsidRPr="003A73E6">
        <w:rPr>
          <w:color w:val="000000" w:themeColor="text1"/>
        </w:rPr>
        <w:t xml:space="preserve"> International.</w:t>
      </w:r>
      <w:r w:rsidR="008C1401" w:rsidRPr="003A73E6">
        <w:rPr>
          <w:color w:val="000000" w:themeColor="text1"/>
          <w:spacing w:val="1"/>
        </w:rPr>
        <w:t xml:space="preserve"> </w:t>
      </w:r>
      <w:proofErr w:type="spellStart"/>
      <w:r w:rsidR="00F7386C" w:rsidRPr="003A73E6">
        <w:rPr>
          <w:color w:val="000000" w:themeColor="text1"/>
          <w:shd w:val="clear" w:color="auto" w:fill="FFFFFF"/>
        </w:rPr>
        <w:t>doi</w:t>
      </w:r>
      <w:proofErr w:type="spellEnd"/>
      <w:r w:rsidR="00F7386C" w:rsidRPr="003A73E6">
        <w:rPr>
          <w:color w:val="000000" w:themeColor="text1"/>
          <w:shd w:val="clear" w:color="auto" w:fill="FFFFFF"/>
        </w:rPr>
        <w:t>:</w:t>
      </w:r>
      <w:r w:rsidR="00F7386C" w:rsidRPr="003A73E6">
        <w:rPr>
          <w:rStyle w:val="apple-converted-space"/>
          <w:color w:val="000000" w:themeColor="text1"/>
          <w:shd w:val="clear" w:color="auto" w:fill="FFFFFF"/>
        </w:rPr>
        <w:t> </w:t>
      </w:r>
      <w:hyperlink r:id="rId19" w:tgtFrame="_blank" w:history="1">
        <w:r w:rsidR="00F7386C" w:rsidRPr="003A73E6">
          <w:rPr>
            <w:rStyle w:val="Hyperlink"/>
            <w:color w:val="000000" w:themeColor="text1"/>
          </w:rPr>
          <w:t>10.3238/arztebl.2020.0320</w:t>
        </w:r>
      </w:hyperlink>
      <w:r w:rsidR="00F7386C" w:rsidRPr="003A73E6">
        <w:rPr>
          <w:color w:val="000000" w:themeColor="text1"/>
        </w:rPr>
        <w:t xml:space="preserve"> </w:t>
      </w:r>
    </w:p>
    <w:p w14:paraId="2C06BCCD" w14:textId="441E3BFA"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rPr>
        <w:t xml:space="preserve">[12]. </w:t>
      </w:r>
      <w:r w:rsidR="008C1401" w:rsidRPr="003A73E6">
        <w:rPr>
          <w:color w:val="000000" w:themeColor="text1"/>
          <w:spacing w:val="1"/>
        </w:rPr>
        <w:t xml:space="preserve">Mehran, R. et al., </w:t>
      </w:r>
      <w:r w:rsidR="00632C55" w:rsidRPr="003A73E6">
        <w:rPr>
          <w:color w:val="000000" w:themeColor="text1"/>
          <w:spacing w:val="1"/>
        </w:rPr>
        <w:t>(</w:t>
      </w:r>
      <w:r w:rsidR="008C1401" w:rsidRPr="003A73E6">
        <w:rPr>
          <w:color w:val="000000" w:themeColor="text1"/>
          <w:spacing w:val="1"/>
        </w:rPr>
        <w:t>2022</w:t>
      </w:r>
      <w:r w:rsidR="00632C55" w:rsidRPr="003A73E6">
        <w:rPr>
          <w:color w:val="000000" w:themeColor="text1"/>
          <w:spacing w:val="1"/>
        </w:rPr>
        <w:t>)</w:t>
      </w:r>
      <w:r w:rsidR="008C1401" w:rsidRPr="003A73E6">
        <w:rPr>
          <w:color w:val="000000" w:themeColor="text1"/>
          <w:spacing w:val="1"/>
        </w:rPr>
        <w:t xml:space="preserve">. Patterns and Outcomes of Dual Antiplatelet Therapy Cessation and Disruption in Patients With Coronary Stents: Insights From the PARIS Registry. Journal of the American College of Cardiology: Cardiovascular Interventions. </w:t>
      </w:r>
      <w:r w:rsidR="00F7386C" w:rsidRPr="003A73E6">
        <w:rPr>
          <w:color w:val="000000" w:themeColor="text1"/>
          <w:spacing w:val="1"/>
        </w:rPr>
        <w:t>https://doi.org/10.1016/j.jcin.2022.02.048</w:t>
      </w:r>
    </w:p>
    <w:p w14:paraId="5D88677A" w14:textId="70D4E9E4" w:rsidR="00F7386C"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[13]. </w:t>
      </w:r>
      <w:r w:rsidR="008C1401" w:rsidRPr="003A73E6">
        <w:rPr>
          <w:color w:val="000000" w:themeColor="text1"/>
          <w:spacing w:val="1"/>
        </w:rPr>
        <w:t xml:space="preserve">Sorrentino, S. et al., </w:t>
      </w:r>
      <w:r w:rsidR="00632C55" w:rsidRPr="003A73E6">
        <w:rPr>
          <w:color w:val="000000" w:themeColor="text1"/>
          <w:spacing w:val="1"/>
        </w:rPr>
        <w:t>(</w:t>
      </w:r>
      <w:r w:rsidR="008C1401" w:rsidRPr="003A73E6">
        <w:rPr>
          <w:color w:val="000000" w:themeColor="text1"/>
          <w:spacing w:val="1"/>
        </w:rPr>
        <w:t>2020</w:t>
      </w:r>
      <w:r w:rsidR="00632C55" w:rsidRPr="003A73E6">
        <w:rPr>
          <w:color w:val="000000" w:themeColor="text1"/>
          <w:spacing w:val="1"/>
        </w:rPr>
        <w:t>)</w:t>
      </w:r>
      <w:r w:rsidR="008C1401" w:rsidRPr="003A73E6">
        <w:rPr>
          <w:color w:val="000000" w:themeColor="text1"/>
          <w:spacing w:val="1"/>
        </w:rPr>
        <w:t>. Bleeding Risk, Dual Antiplatelet Therapy Cessation, and Cardiovascular Outcomes: Insights From the PARIS Registry. Circulation.</w:t>
      </w:r>
      <w:r w:rsidR="0036058B" w:rsidRPr="003A73E6">
        <w:rPr>
          <w:color w:val="000000" w:themeColor="text1"/>
          <w:spacing w:val="1"/>
        </w:rPr>
        <w:t xml:space="preserve"> </w:t>
      </w:r>
      <w:proofErr w:type="spellStart"/>
      <w:r w:rsidR="00F7386C" w:rsidRPr="003A73E6">
        <w:rPr>
          <w:color w:val="000000" w:themeColor="text1"/>
          <w:shd w:val="clear" w:color="auto" w:fill="FFFFFF"/>
        </w:rPr>
        <w:t>doi</w:t>
      </w:r>
      <w:proofErr w:type="spellEnd"/>
      <w:r w:rsidR="00F7386C" w:rsidRPr="003A73E6">
        <w:rPr>
          <w:color w:val="000000" w:themeColor="text1"/>
          <w:shd w:val="clear" w:color="auto" w:fill="FFFFFF"/>
        </w:rPr>
        <w:t>: 10.1161/CIRCINTERVENTIONS.119.008226</w:t>
      </w:r>
      <w:r w:rsidR="00F7386C" w:rsidRPr="003A73E6">
        <w:rPr>
          <w:color w:val="000000" w:themeColor="text1"/>
        </w:rPr>
        <w:t xml:space="preserve"> </w:t>
      </w:r>
    </w:p>
    <w:p w14:paraId="7B72D247" w14:textId="7F50E5AF" w:rsidR="00F7386C" w:rsidRPr="003A73E6" w:rsidRDefault="00B6768B" w:rsidP="008D6E9E">
      <w:pPr>
        <w:pBdr>
          <w:top w:val="nil"/>
          <w:left w:val="nil"/>
          <w:bottom w:val="nil"/>
          <w:right w:val="nil"/>
          <w:between w:val="nil"/>
        </w:pBdr>
        <w:spacing w:line="360" w:lineRule="auto"/>
        <w:jc w:val="both"/>
        <w:rPr>
          <w:color w:val="000000" w:themeColor="text1"/>
        </w:rPr>
      </w:pPr>
      <w:r w:rsidRPr="003A73E6">
        <w:rPr>
          <w:color w:val="000000" w:themeColor="text1"/>
        </w:rPr>
        <w:t xml:space="preserve">[14]. </w:t>
      </w:r>
      <w:r w:rsidR="008C1401" w:rsidRPr="003A73E6">
        <w:rPr>
          <w:color w:val="000000" w:themeColor="text1"/>
          <w:spacing w:val="1"/>
        </w:rPr>
        <w:t xml:space="preserve">Li, Y. et al., </w:t>
      </w:r>
      <w:r w:rsidR="00632C55" w:rsidRPr="003A73E6">
        <w:rPr>
          <w:color w:val="000000" w:themeColor="text1"/>
          <w:spacing w:val="1"/>
        </w:rPr>
        <w:t>(</w:t>
      </w:r>
      <w:r w:rsidR="008C1401" w:rsidRPr="003A73E6">
        <w:rPr>
          <w:color w:val="000000" w:themeColor="text1"/>
          <w:spacing w:val="1"/>
        </w:rPr>
        <w:t>2023</w:t>
      </w:r>
      <w:r w:rsidR="00632C55" w:rsidRPr="003A73E6">
        <w:rPr>
          <w:color w:val="000000" w:themeColor="text1"/>
          <w:spacing w:val="1"/>
        </w:rPr>
        <w:t>)</w:t>
      </w:r>
      <w:r w:rsidR="008C1401" w:rsidRPr="003A73E6">
        <w:rPr>
          <w:color w:val="000000" w:themeColor="text1"/>
          <w:spacing w:val="1"/>
        </w:rPr>
        <w:t xml:space="preserve">. Effect of Antiplatelet Therapy on the Incidence, Prognosis, and Rebleeding of Intracerebral </w:t>
      </w:r>
      <w:proofErr w:type="spellStart"/>
      <w:r w:rsidR="008C1401" w:rsidRPr="003A73E6">
        <w:rPr>
          <w:color w:val="000000" w:themeColor="text1"/>
          <w:spacing w:val="1"/>
        </w:rPr>
        <w:t>Hemorrhage</w:t>
      </w:r>
      <w:proofErr w:type="spellEnd"/>
      <w:r w:rsidR="008C1401" w:rsidRPr="003A73E6">
        <w:rPr>
          <w:color w:val="000000" w:themeColor="text1"/>
          <w:spacing w:val="1"/>
        </w:rPr>
        <w:t xml:space="preserve">. </w:t>
      </w:r>
      <w:r w:rsidR="00F7386C" w:rsidRPr="003A73E6">
        <w:rPr>
          <w:color w:val="000000" w:themeColor="text1"/>
          <w:spacing w:val="1"/>
        </w:rPr>
        <w:t>CNS Neuroscience and Therapeutic</w:t>
      </w:r>
      <w:r w:rsidR="008C1401" w:rsidRPr="003A73E6">
        <w:rPr>
          <w:color w:val="000000" w:themeColor="text1"/>
          <w:spacing w:val="1"/>
        </w:rPr>
        <w:t xml:space="preserve">. </w:t>
      </w:r>
      <w:proofErr w:type="spellStart"/>
      <w:r w:rsidR="00F7386C" w:rsidRPr="003A73E6">
        <w:rPr>
          <w:color w:val="000000" w:themeColor="text1"/>
          <w:shd w:val="clear" w:color="auto" w:fill="FFFFFF"/>
        </w:rPr>
        <w:t>doi</w:t>
      </w:r>
      <w:proofErr w:type="spellEnd"/>
      <w:r w:rsidR="00F7386C" w:rsidRPr="003A73E6">
        <w:rPr>
          <w:color w:val="000000" w:themeColor="text1"/>
          <w:shd w:val="clear" w:color="auto" w:fill="FFFFFF"/>
        </w:rPr>
        <w:t>:</w:t>
      </w:r>
      <w:r w:rsidR="00F7386C" w:rsidRPr="003A73E6">
        <w:rPr>
          <w:rStyle w:val="apple-converted-space"/>
          <w:color w:val="000000" w:themeColor="text1"/>
          <w:shd w:val="clear" w:color="auto" w:fill="FFFFFF"/>
        </w:rPr>
        <w:t> </w:t>
      </w:r>
      <w:hyperlink r:id="rId20" w:tgtFrame="_blank" w:history="1">
        <w:r w:rsidR="00F7386C" w:rsidRPr="003A73E6">
          <w:rPr>
            <w:rStyle w:val="Hyperlink"/>
            <w:color w:val="000000" w:themeColor="text1"/>
          </w:rPr>
          <w:t>10.1111/cns.14175</w:t>
        </w:r>
      </w:hyperlink>
      <w:r w:rsidR="00F7386C" w:rsidRPr="003A73E6">
        <w:rPr>
          <w:color w:val="000000" w:themeColor="text1"/>
        </w:rPr>
        <w:t xml:space="preserve"> </w:t>
      </w:r>
    </w:p>
    <w:p w14:paraId="7D71E7D5" w14:textId="1A2E40A6" w:rsidR="00F7386C" w:rsidRPr="003A73E6" w:rsidRDefault="00B6768B" w:rsidP="008D6E9E">
      <w:pPr>
        <w:pBdr>
          <w:top w:val="nil"/>
          <w:left w:val="nil"/>
          <w:bottom w:val="nil"/>
          <w:right w:val="nil"/>
          <w:between w:val="nil"/>
        </w:pBdr>
        <w:spacing w:line="360" w:lineRule="auto"/>
        <w:jc w:val="both"/>
        <w:rPr>
          <w:color w:val="000000" w:themeColor="text1"/>
          <w:spacing w:val="1"/>
        </w:rPr>
      </w:pPr>
      <w:r w:rsidRPr="003A73E6">
        <w:rPr>
          <w:color w:val="000000" w:themeColor="text1"/>
        </w:rPr>
        <w:t xml:space="preserve">[15]. </w:t>
      </w:r>
      <w:r w:rsidR="008C1401" w:rsidRPr="003A73E6">
        <w:rPr>
          <w:color w:val="000000" w:themeColor="text1"/>
          <w:spacing w:val="1"/>
        </w:rPr>
        <w:t xml:space="preserve">Ha, A.C.T. et al., </w:t>
      </w:r>
      <w:r w:rsidR="00632C55" w:rsidRPr="003A73E6">
        <w:rPr>
          <w:color w:val="000000" w:themeColor="text1"/>
          <w:spacing w:val="1"/>
        </w:rPr>
        <w:t>(</w:t>
      </w:r>
      <w:r w:rsidR="008C1401" w:rsidRPr="003A73E6">
        <w:rPr>
          <w:color w:val="000000" w:themeColor="text1"/>
          <w:spacing w:val="1"/>
        </w:rPr>
        <w:t>2021</w:t>
      </w:r>
      <w:r w:rsidR="00632C55" w:rsidRPr="003A73E6">
        <w:rPr>
          <w:color w:val="000000" w:themeColor="text1"/>
          <w:spacing w:val="1"/>
        </w:rPr>
        <w:t>)</w:t>
      </w:r>
      <w:r w:rsidR="008C1401" w:rsidRPr="003A73E6">
        <w:rPr>
          <w:color w:val="000000" w:themeColor="text1"/>
          <w:spacing w:val="1"/>
        </w:rPr>
        <w:t xml:space="preserve">. Intracranial </w:t>
      </w:r>
      <w:proofErr w:type="spellStart"/>
      <w:r w:rsidR="008C1401" w:rsidRPr="003A73E6">
        <w:rPr>
          <w:color w:val="000000" w:themeColor="text1"/>
          <w:spacing w:val="1"/>
        </w:rPr>
        <w:t>Hemorrhage</w:t>
      </w:r>
      <w:proofErr w:type="spellEnd"/>
      <w:r w:rsidR="008C1401" w:rsidRPr="003A73E6">
        <w:rPr>
          <w:color w:val="000000" w:themeColor="text1"/>
          <w:spacing w:val="1"/>
        </w:rPr>
        <w:t xml:space="preserve"> During Dual Antiplatelet Therapy. Journal of the American College of Cardiology. </w:t>
      </w:r>
      <w:r w:rsidR="00F7386C" w:rsidRPr="003A73E6">
        <w:rPr>
          <w:color w:val="000000" w:themeColor="text1"/>
          <w:spacing w:val="1"/>
        </w:rPr>
        <w:t xml:space="preserve">https://doi.org/10.1016/j.jacc.2021.07.048 </w:t>
      </w:r>
    </w:p>
    <w:p w14:paraId="62D2DD74" w14:textId="2C4F68BD"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rPr>
        <w:t xml:space="preserve">[16]. </w:t>
      </w:r>
      <w:r w:rsidR="008C1401" w:rsidRPr="003A73E6">
        <w:rPr>
          <w:color w:val="000000" w:themeColor="text1"/>
          <w:spacing w:val="1"/>
        </w:rPr>
        <w:t xml:space="preserve">Kamel, H. and </w:t>
      </w:r>
      <w:proofErr w:type="spellStart"/>
      <w:r w:rsidR="008C1401" w:rsidRPr="003A73E6">
        <w:rPr>
          <w:color w:val="000000" w:themeColor="text1"/>
          <w:spacing w:val="1"/>
        </w:rPr>
        <w:t>Iadecola</w:t>
      </w:r>
      <w:proofErr w:type="spellEnd"/>
      <w:r w:rsidR="008C1401" w:rsidRPr="003A73E6">
        <w:rPr>
          <w:color w:val="000000" w:themeColor="text1"/>
          <w:spacing w:val="1"/>
        </w:rPr>
        <w:t xml:space="preserve">, C., </w:t>
      </w:r>
      <w:r w:rsidR="00632C55" w:rsidRPr="003A73E6">
        <w:rPr>
          <w:color w:val="000000" w:themeColor="text1"/>
          <w:spacing w:val="1"/>
        </w:rPr>
        <w:t>(</w:t>
      </w:r>
      <w:r w:rsidR="008C1401" w:rsidRPr="003A73E6">
        <w:rPr>
          <w:color w:val="000000" w:themeColor="text1"/>
          <w:spacing w:val="1"/>
        </w:rPr>
        <w:t>2024</w:t>
      </w:r>
      <w:r w:rsidR="00632C55" w:rsidRPr="003A73E6">
        <w:rPr>
          <w:color w:val="000000" w:themeColor="text1"/>
          <w:spacing w:val="1"/>
        </w:rPr>
        <w:t>)</w:t>
      </w:r>
      <w:r w:rsidR="008C1401" w:rsidRPr="003A73E6">
        <w:rPr>
          <w:color w:val="000000" w:themeColor="text1"/>
          <w:spacing w:val="1"/>
        </w:rPr>
        <w:t xml:space="preserve">. Intracranial </w:t>
      </w:r>
      <w:proofErr w:type="spellStart"/>
      <w:r w:rsidR="008C1401" w:rsidRPr="003A73E6">
        <w:rPr>
          <w:color w:val="000000" w:themeColor="text1"/>
          <w:spacing w:val="1"/>
        </w:rPr>
        <w:t>Hemorrhage</w:t>
      </w:r>
      <w:proofErr w:type="spellEnd"/>
      <w:r w:rsidR="008C1401" w:rsidRPr="003A73E6">
        <w:rPr>
          <w:color w:val="000000" w:themeColor="text1"/>
          <w:spacing w:val="1"/>
        </w:rPr>
        <w:t xml:space="preserve">. In: </w:t>
      </w:r>
      <w:proofErr w:type="spellStart"/>
      <w:r w:rsidR="008C1401" w:rsidRPr="003A73E6">
        <w:rPr>
          <w:color w:val="000000" w:themeColor="text1"/>
          <w:spacing w:val="1"/>
        </w:rPr>
        <w:t>StatPearls</w:t>
      </w:r>
      <w:proofErr w:type="spellEnd"/>
      <w:r w:rsidR="008C1401" w:rsidRPr="003A73E6">
        <w:rPr>
          <w:color w:val="000000" w:themeColor="text1"/>
          <w:spacing w:val="1"/>
        </w:rPr>
        <w:t>. Available at:</w:t>
      </w:r>
      <w:r w:rsidR="008C1401" w:rsidRPr="003A73E6">
        <w:rPr>
          <w:rStyle w:val="apple-converted-space"/>
          <w:color w:val="000000" w:themeColor="text1"/>
          <w:spacing w:val="1"/>
        </w:rPr>
        <w:t> </w:t>
      </w:r>
      <w:hyperlink r:id="rId21" w:tgtFrame="_blank" w:history="1">
        <w:r w:rsidR="008C1401" w:rsidRPr="003A73E6">
          <w:rPr>
            <w:rStyle w:val="Hyperlink"/>
            <w:color w:val="000000" w:themeColor="text1"/>
            <w:spacing w:val="1"/>
            <w:bdr w:val="single" w:sz="2" w:space="0" w:color="auto" w:frame="1"/>
          </w:rPr>
          <w:t>https://www.ncbi.nlm.nih.gov/books/NBK559173/</w:t>
        </w:r>
      </w:hyperlink>
      <w:r w:rsidR="008C1401" w:rsidRPr="003A73E6">
        <w:rPr>
          <w:rStyle w:val="apple-converted-space"/>
          <w:color w:val="000000" w:themeColor="text1"/>
          <w:spacing w:val="1"/>
        </w:rPr>
        <w:t> </w:t>
      </w:r>
    </w:p>
    <w:p w14:paraId="7C66EFAD" w14:textId="0740DD37" w:rsidR="00B6768B" w:rsidRPr="003A73E6" w:rsidRDefault="00B6768B" w:rsidP="008D6E9E">
      <w:pPr>
        <w:spacing w:line="360" w:lineRule="auto"/>
        <w:textAlignment w:val="baseline"/>
        <w:rPr>
          <w:rStyle w:val="apple-converted-space"/>
          <w:color w:val="000000" w:themeColor="text1"/>
        </w:rPr>
      </w:pPr>
      <w:r w:rsidRPr="003A73E6">
        <w:rPr>
          <w:rStyle w:val="apple-converted-space"/>
          <w:color w:val="000000" w:themeColor="text1"/>
        </w:rPr>
        <w:t xml:space="preserve">[17]. </w:t>
      </w:r>
      <w:r w:rsidR="008C1401" w:rsidRPr="003A73E6">
        <w:rPr>
          <w:color w:val="000000" w:themeColor="text1"/>
          <w:spacing w:val="1"/>
        </w:rPr>
        <w:t xml:space="preserve">Martínez-Camacho, M. et al., </w:t>
      </w:r>
      <w:r w:rsidR="00632C55" w:rsidRPr="003A73E6">
        <w:rPr>
          <w:color w:val="000000" w:themeColor="text1"/>
          <w:spacing w:val="1"/>
        </w:rPr>
        <w:t>(</w:t>
      </w:r>
      <w:r w:rsidR="008C1401" w:rsidRPr="003A73E6">
        <w:rPr>
          <w:color w:val="000000" w:themeColor="text1"/>
          <w:spacing w:val="1"/>
        </w:rPr>
        <w:t>2012</w:t>
      </w:r>
      <w:r w:rsidR="00632C55" w:rsidRPr="003A73E6">
        <w:rPr>
          <w:color w:val="000000" w:themeColor="text1"/>
          <w:spacing w:val="1"/>
        </w:rPr>
        <w:t>)</w:t>
      </w:r>
      <w:r w:rsidR="008C1401" w:rsidRPr="003A73E6">
        <w:rPr>
          <w:color w:val="000000" w:themeColor="text1"/>
          <w:spacing w:val="1"/>
        </w:rPr>
        <w:t xml:space="preserve">. Antiplatelet therapies are associated with hematoma enlargement and higher mortality in patients with intracerebral </w:t>
      </w:r>
      <w:proofErr w:type="spellStart"/>
      <w:r w:rsidR="008C1401" w:rsidRPr="003A73E6">
        <w:rPr>
          <w:color w:val="000000" w:themeColor="text1"/>
          <w:spacing w:val="1"/>
        </w:rPr>
        <w:t>hemorrhage</w:t>
      </w:r>
      <w:proofErr w:type="spellEnd"/>
      <w:r w:rsidR="008C1401" w:rsidRPr="003A73E6">
        <w:rPr>
          <w:color w:val="000000" w:themeColor="text1"/>
          <w:spacing w:val="1"/>
        </w:rPr>
        <w:t xml:space="preserve">: a prospective study. </w:t>
      </w:r>
      <w:proofErr w:type="spellStart"/>
      <w:r w:rsidR="008C1401" w:rsidRPr="003A73E6">
        <w:rPr>
          <w:color w:val="000000" w:themeColor="text1"/>
          <w:spacing w:val="1"/>
        </w:rPr>
        <w:t>Medicina</w:t>
      </w:r>
      <w:proofErr w:type="spellEnd"/>
      <w:r w:rsidR="008C1401" w:rsidRPr="003A73E6">
        <w:rPr>
          <w:color w:val="000000" w:themeColor="text1"/>
          <w:spacing w:val="1"/>
        </w:rPr>
        <w:t xml:space="preserve"> </w:t>
      </w:r>
      <w:proofErr w:type="spellStart"/>
      <w:r w:rsidR="008C1401" w:rsidRPr="003A73E6">
        <w:rPr>
          <w:color w:val="000000" w:themeColor="text1"/>
          <w:spacing w:val="1"/>
        </w:rPr>
        <w:t>Intensiva</w:t>
      </w:r>
      <w:proofErr w:type="spellEnd"/>
      <w:r w:rsidR="008C1401" w:rsidRPr="003A73E6">
        <w:rPr>
          <w:color w:val="000000" w:themeColor="text1"/>
          <w:spacing w:val="1"/>
        </w:rPr>
        <w:t xml:space="preserve">. </w:t>
      </w:r>
      <w:r w:rsidR="00F7386C" w:rsidRPr="003A73E6">
        <w:rPr>
          <w:color w:val="000000" w:themeColor="text1"/>
        </w:rPr>
        <w:t>DOI:</w:t>
      </w:r>
      <w:r w:rsidR="00F7386C" w:rsidRPr="003A73E6">
        <w:rPr>
          <w:rStyle w:val="apple-converted-space"/>
          <w:color w:val="000000" w:themeColor="text1"/>
        </w:rPr>
        <w:t> </w:t>
      </w:r>
      <w:hyperlink r:id="rId22" w:history="1">
        <w:r w:rsidR="00F7386C" w:rsidRPr="003A73E6">
          <w:rPr>
            <w:rStyle w:val="Hyperlink"/>
            <w:color w:val="000000" w:themeColor="text1"/>
            <w:bdr w:val="none" w:sz="0" w:space="0" w:color="auto" w:frame="1"/>
          </w:rPr>
          <w:t>10.1016/j.medine.2012.10.010</w:t>
        </w:r>
      </w:hyperlink>
    </w:p>
    <w:p w14:paraId="4948C84E" w14:textId="31B09E6A"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rStyle w:val="apple-converted-space"/>
          <w:color w:val="000000" w:themeColor="text1"/>
        </w:rPr>
        <w:t xml:space="preserve">[18]. </w:t>
      </w:r>
      <w:r w:rsidR="00457689" w:rsidRPr="003A73E6">
        <w:rPr>
          <w:color w:val="000000" w:themeColor="text1"/>
          <w:spacing w:val="1"/>
        </w:rPr>
        <w:t xml:space="preserve">Angiolillo, D.J., </w:t>
      </w:r>
      <w:r w:rsidR="00632C55" w:rsidRPr="003A73E6">
        <w:rPr>
          <w:color w:val="000000" w:themeColor="text1"/>
          <w:spacing w:val="1"/>
        </w:rPr>
        <w:t>(</w:t>
      </w:r>
      <w:r w:rsidR="00457689" w:rsidRPr="003A73E6">
        <w:rPr>
          <w:color w:val="000000" w:themeColor="text1"/>
          <w:spacing w:val="1"/>
        </w:rPr>
        <w:t>2022</w:t>
      </w:r>
      <w:r w:rsidR="00632C55" w:rsidRPr="003A73E6">
        <w:rPr>
          <w:color w:val="000000" w:themeColor="text1"/>
          <w:spacing w:val="1"/>
        </w:rPr>
        <w:t>)</w:t>
      </w:r>
      <w:r w:rsidR="00457689" w:rsidRPr="003A73E6">
        <w:rPr>
          <w:color w:val="000000" w:themeColor="text1"/>
          <w:spacing w:val="1"/>
        </w:rPr>
        <w:t xml:space="preserve">. Antiplatelet therapy after percutaneous coronary intervention: Special scenarios and current recommendations. European Heart Journal Supplements. </w:t>
      </w:r>
      <w:hyperlink r:id="rId23" w:history="1">
        <w:r w:rsidR="00F7386C" w:rsidRPr="003A73E6">
          <w:rPr>
            <w:rStyle w:val="Hyperlink"/>
            <w:color w:val="000000" w:themeColor="text1"/>
          </w:rPr>
          <w:t>doi.org/10.3390/jcm7040074</w:t>
        </w:r>
      </w:hyperlink>
    </w:p>
    <w:p w14:paraId="6817B736" w14:textId="75A410BA" w:rsidR="00B6768B"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[19]. </w:t>
      </w:r>
      <w:r w:rsidR="00457689" w:rsidRPr="003A73E6">
        <w:rPr>
          <w:color w:val="000000" w:themeColor="text1"/>
          <w:spacing w:val="1"/>
        </w:rPr>
        <w:t xml:space="preserve">Salman, R.A.S. et al., </w:t>
      </w:r>
      <w:r w:rsidR="00632C55" w:rsidRPr="003A73E6">
        <w:rPr>
          <w:color w:val="000000" w:themeColor="text1"/>
          <w:spacing w:val="1"/>
        </w:rPr>
        <w:t>(</w:t>
      </w:r>
      <w:r w:rsidR="00457689" w:rsidRPr="003A73E6">
        <w:rPr>
          <w:color w:val="000000" w:themeColor="text1"/>
          <w:spacing w:val="1"/>
        </w:rPr>
        <w:t>2025</w:t>
      </w:r>
      <w:r w:rsidR="00632C55" w:rsidRPr="003A73E6">
        <w:rPr>
          <w:color w:val="000000" w:themeColor="text1"/>
          <w:spacing w:val="1"/>
        </w:rPr>
        <w:t>)</w:t>
      </w:r>
      <w:r w:rsidR="00457689" w:rsidRPr="003A73E6">
        <w:rPr>
          <w:color w:val="000000" w:themeColor="text1"/>
          <w:spacing w:val="1"/>
        </w:rPr>
        <w:t xml:space="preserve">. Antiplatelet Resumption After Intracerebral </w:t>
      </w:r>
      <w:proofErr w:type="spellStart"/>
      <w:r w:rsidR="00457689" w:rsidRPr="003A73E6">
        <w:rPr>
          <w:color w:val="000000" w:themeColor="text1"/>
          <w:spacing w:val="1"/>
        </w:rPr>
        <w:t>Hemorrhage</w:t>
      </w:r>
      <w:proofErr w:type="spellEnd"/>
      <w:r w:rsidR="00457689" w:rsidRPr="003A73E6">
        <w:rPr>
          <w:color w:val="000000" w:themeColor="text1"/>
          <w:spacing w:val="1"/>
        </w:rPr>
        <w:t xml:space="preserve">: A Meta-Analysis of Safety and Efficacy. </w:t>
      </w:r>
      <w:r w:rsidR="00632C55" w:rsidRPr="003A73E6">
        <w:rPr>
          <w:color w:val="000000" w:themeColor="text1"/>
          <w:spacing w:val="1"/>
        </w:rPr>
        <w:t>Diagnostics</w:t>
      </w:r>
      <w:r w:rsidR="00457689" w:rsidRPr="003A73E6">
        <w:rPr>
          <w:color w:val="000000" w:themeColor="text1"/>
          <w:spacing w:val="1"/>
        </w:rPr>
        <w:t xml:space="preserve">. </w:t>
      </w:r>
      <w:proofErr w:type="spellStart"/>
      <w:r w:rsidR="00632C55" w:rsidRPr="003A73E6">
        <w:rPr>
          <w:color w:val="000000" w:themeColor="text1"/>
          <w:shd w:val="clear" w:color="auto" w:fill="FFFFFF"/>
        </w:rPr>
        <w:t>doi</w:t>
      </w:r>
      <w:proofErr w:type="spellEnd"/>
      <w:r w:rsidR="00632C55" w:rsidRPr="003A73E6">
        <w:rPr>
          <w:color w:val="000000" w:themeColor="text1"/>
          <w:shd w:val="clear" w:color="auto" w:fill="FFFFFF"/>
        </w:rPr>
        <w:t>: </w:t>
      </w:r>
      <w:hyperlink r:id="rId24" w:tgtFrame="_blank" w:history="1">
        <w:r w:rsidR="00632C55" w:rsidRPr="003A73E6">
          <w:rPr>
            <w:color w:val="000000" w:themeColor="text1"/>
            <w:u w:val="single"/>
          </w:rPr>
          <w:t>10.3390/diagnostics15141780</w:t>
        </w:r>
      </w:hyperlink>
    </w:p>
    <w:p w14:paraId="3C3104BF" w14:textId="79F572CF" w:rsidR="00B6768B" w:rsidRPr="003A73E6" w:rsidRDefault="00B6768B" w:rsidP="008D6E9E">
      <w:pPr>
        <w:pBdr>
          <w:top w:val="nil"/>
          <w:left w:val="nil"/>
          <w:bottom w:val="nil"/>
          <w:right w:val="nil"/>
          <w:between w:val="nil"/>
        </w:pBdr>
        <w:spacing w:line="360" w:lineRule="auto"/>
        <w:jc w:val="both"/>
        <w:rPr>
          <w:rStyle w:val="apple-converted-space"/>
          <w:color w:val="000000" w:themeColor="text1"/>
        </w:rPr>
      </w:pPr>
      <w:r w:rsidRPr="003A73E6">
        <w:rPr>
          <w:color w:val="000000" w:themeColor="text1"/>
        </w:rPr>
        <w:t xml:space="preserve">[20]. </w:t>
      </w:r>
      <w:r w:rsidR="00C26F19" w:rsidRPr="003A73E6">
        <w:rPr>
          <w:color w:val="000000" w:themeColor="text1"/>
          <w:spacing w:val="1"/>
        </w:rPr>
        <w:t xml:space="preserve">De Marzo, L.S., </w:t>
      </w:r>
      <w:r w:rsidR="00632C55" w:rsidRPr="003A73E6">
        <w:rPr>
          <w:color w:val="000000" w:themeColor="text1"/>
          <w:spacing w:val="1"/>
        </w:rPr>
        <w:t>(</w:t>
      </w:r>
      <w:r w:rsidR="00C26F19" w:rsidRPr="003A73E6">
        <w:rPr>
          <w:color w:val="000000" w:themeColor="text1"/>
          <w:spacing w:val="1"/>
        </w:rPr>
        <w:t>2023</w:t>
      </w:r>
      <w:r w:rsidR="00632C55" w:rsidRPr="003A73E6">
        <w:rPr>
          <w:color w:val="000000" w:themeColor="text1"/>
          <w:spacing w:val="1"/>
        </w:rPr>
        <w:t>)</w:t>
      </w:r>
      <w:r w:rsidR="00C26F19" w:rsidRPr="003A73E6">
        <w:rPr>
          <w:color w:val="000000" w:themeColor="text1"/>
          <w:spacing w:val="1"/>
        </w:rPr>
        <w:t xml:space="preserve">. Management of oral anticoagulant therapy after intracranial </w:t>
      </w:r>
      <w:proofErr w:type="spellStart"/>
      <w:r w:rsidR="00C26F19" w:rsidRPr="003A73E6">
        <w:rPr>
          <w:color w:val="000000" w:themeColor="text1"/>
          <w:spacing w:val="1"/>
        </w:rPr>
        <w:lastRenderedPageBreak/>
        <w:t>hemorrhage</w:t>
      </w:r>
      <w:proofErr w:type="spellEnd"/>
      <w:r w:rsidR="00C26F19" w:rsidRPr="003A73E6">
        <w:rPr>
          <w:color w:val="000000" w:themeColor="text1"/>
          <w:spacing w:val="1"/>
        </w:rPr>
        <w:t xml:space="preserve">: A multidisciplinary stroke team approach. </w:t>
      </w:r>
      <w:r w:rsidR="00632C55" w:rsidRPr="003A73E6">
        <w:rPr>
          <w:color w:val="000000" w:themeColor="text1"/>
          <w:spacing w:val="1"/>
        </w:rPr>
        <w:t>Frontiers</w:t>
      </w:r>
      <w:r w:rsidR="00C26F19" w:rsidRPr="003A73E6">
        <w:rPr>
          <w:color w:val="000000" w:themeColor="text1"/>
          <w:spacing w:val="1"/>
        </w:rPr>
        <w:t xml:space="preserve"> Journal. </w:t>
      </w:r>
      <w:proofErr w:type="spellStart"/>
      <w:r w:rsidR="00632C55" w:rsidRPr="003A73E6">
        <w:rPr>
          <w:color w:val="000000" w:themeColor="text1"/>
          <w:shd w:val="clear" w:color="auto" w:fill="FFFFFF"/>
        </w:rPr>
        <w:t>doi</w:t>
      </w:r>
      <w:proofErr w:type="spellEnd"/>
      <w:r w:rsidR="00632C55" w:rsidRPr="003A73E6">
        <w:rPr>
          <w:color w:val="000000" w:themeColor="text1"/>
          <w:shd w:val="clear" w:color="auto" w:fill="FFFFFF"/>
        </w:rPr>
        <w:t>: </w:t>
      </w:r>
      <w:hyperlink r:id="rId25" w:tgtFrame="_blank" w:history="1">
        <w:r w:rsidR="00632C55" w:rsidRPr="003A73E6">
          <w:rPr>
            <w:color w:val="000000" w:themeColor="text1"/>
            <w:u w:val="single"/>
          </w:rPr>
          <w:t>10.3389/fcvm.2023.1061618</w:t>
        </w:r>
      </w:hyperlink>
      <w:r w:rsidR="00C26F19" w:rsidRPr="003A73E6">
        <w:rPr>
          <w:rStyle w:val="apple-converted-space"/>
          <w:color w:val="000000" w:themeColor="text1"/>
          <w:spacing w:val="1"/>
        </w:rPr>
        <w:t> </w:t>
      </w:r>
    </w:p>
    <w:p w14:paraId="7FAFCFF6" w14:textId="395B8B74" w:rsidR="00B6768B" w:rsidRPr="003A73E6" w:rsidRDefault="00B6768B"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rPr>
        <w:t xml:space="preserve">[21]. </w:t>
      </w:r>
      <w:r w:rsidR="00C26F19" w:rsidRPr="003A73E6">
        <w:rPr>
          <w:color w:val="000000" w:themeColor="text1"/>
          <w:spacing w:val="1"/>
        </w:rPr>
        <w:t>Shah, Z.</w:t>
      </w:r>
      <w:r w:rsidR="003A54A0" w:rsidRPr="003A73E6">
        <w:rPr>
          <w:color w:val="000000" w:themeColor="text1"/>
          <w:spacing w:val="1"/>
        </w:rPr>
        <w:t>, et al.,</w:t>
      </w:r>
      <w:r w:rsidR="00C26F19" w:rsidRPr="003A73E6">
        <w:rPr>
          <w:color w:val="000000" w:themeColor="text1"/>
          <w:spacing w:val="1"/>
        </w:rPr>
        <w:t xml:space="preserve"> </w:t>
      </w:r>
      <w:r w:rsidR="00632C55" w:rsidRPr="003A73E6">
        <w:rPr>
          <w:color w:val="000000" w:themeColor="text1"/>
          <w:spacing w:val="1"/>
        </w:rPr>
        <w:t>(</w:t>
      </w:r>
      <w:r w:rsidR="00C26F19" w:rsidRPr="003A73E6">
        <w:rPr>
          <w:color w:val="000000" w:themeColor="text1"/>
          <w:spacing w:val="1"/>
        </w:rPr>
        <w:t>2015</w:t>
      </w:r>
      <w:r w:rsidR="00632C55" w:rsidRPr="003A73E6">
        <w:rPr>
          <w:color w:val="000000" w:themeColor="text1"/>
          <w:spacing w:val="1"/>
        </w:rPr>
        <w:t>)</w:t>
      </w:r>
      <w:r w:rsidR="00C26F19" w:rsidRPr="003A73E6">
        <w:rPr>
          <w:color w:val="000000" w:themeColor="text1"/>
          <w:spacing w:val="1"/>
        </w:rPr>
        <w:t xml:space="preserve">. Managing Antiplatelet Therapy and Anticoagulants in Complex Cardiovascular Patients: Balancing Ischemic and Bleeding Risks. </w:t>
      </w:r>
      <w:r w:rsidR="00F7386C" w:rsidRPr="003A73E6">
        <w:rPr>
          <w:color w:val="000000" w:themeColor="text1"/>
          <w:spacing w:val="1"/>
        </w:rPr>
        <w:t>JAVIB</w:t>
      </w:r>
      <w:r w:rsidR="00C26F19" w:rsidRPr="003A73E6">
        <w:rPr>
          <w:color w:val="000000" w:themeColor="text1"/>
          <w:spacing w:val="1"/>
        </w:rPr>
        <w:t xml:space="preserve">. </w:t>
      </w:r>
      <w:proofErr w:type="spellStart"/>
      <w:r w:rsidR="00632C55" w:rsidRPr="003A73E6">
        <w:rPr>
          <w:color w:val="000000" w:themeColor="text1"/>
          <w:shd w:val="clear" w:color="auto" w:fill="FFFFFF"/>
        </w:rPr>
        <w:t>doi</w:t>
      </w:r>
      <w:proofErr w:type="spellEnd"/>
      <w:r w:rsidR="00632C55" w:rsidRPr="003A73E6">
        <w:rPr>
          <w:color w:val="000000" w:themeColor="text1"/>
          <w:shd w:val="clear" w:color="auto" w:fill="FFFFFF"/>
        </w:rPr>
        <w:t>:</w:t>
      </w:r>
      <w:r w:rsidR="00632C55" w:rsidRPr="003A73E6">
        <w:rPr>
          <w:rStyle w:val="apple-converted-space"/>
          <w:color w:val="000000" w:themeColor="text1"/>
          <w:shd w:val="clear" w:color="auto" w:fill="FFFFFF"/>
        </w:rPr>
        <w:t> </w:t>
      </w:r>
      <w:hyperlink r:id="rId26" w:tgtFrame="_blank" w:history="1">
        <w:r w:rsidR="00632C55" w:rsidRPr="003A73E6">
          <w:rPr>
            <w:rStyle w:val="Hyperlink"/>
            <w:color w:val="000000" w:themeColor="text1"/>
          </w:rPr>
          <w:t>10.4022/jafib.1318</w:t>
        </w:r>
      </w:hyperlink>
    </w:p>
    <w:p w14:paraId="07D0E573" w14:textId="5FD118C0" w:rsidR="00632C55" w:rsidRPr="003A73E6" w:rsidRDefault="00B6768B" w:rsidP="008D6E9E">
      <w:pPr>
        <w:pStyle w:val="p1"/>
        <w:spacing w:line="360" w:lineRule="auto"/>
        <w:rPr>
          <w:rFonts w:ascii="Arial" w:hAnsi="Arial" w:cs="Arial"/>
          <w:sz w:val="22"/>
          <w:szCs w:val="22"/>
        </w:rPr>
      </w:pPr>
      <w:r w:rsidRPr="003A73E6">
        <w:rPr>
          <w:rFonts w:ascii="Arial" w:hAnsi="Arial" w:cs="Arial"/>
          <w:color w:val="000000" w:themeColor="text1"/>
          <w:sz w:val="22"/>
          <w:szCs w:val="22"/>
        </w:rPr>
        <w:t xml:space="preserve">[22]. </w:t>
      </w:r>
      <w:proofErr w:type="spellStart"/>
      <w:r w:rsidR="00C26F19" w:rsidRPr="003A73E6">
        <w:rPr>
          <w:rFonts w:ascii="Arial" w:hAnsi="Arial" w:cs="Arial"/>
          <w:color w:val="000000" w:themeColor="text1"/>
          <w:spacing w:val="1"/>
          <w:sz w:val="22"/>
          <w:szCs w:val="22"/>
        </w:rPr>
        <w:t>Chaturvedula</w:t>
      </w:r>
      <w:proofErr w:type="spellEnd"/>
      <w:r w:rsidR="00C26F19" w:rsidRPr="003A73E6">
        <w:rPr>
          <w:rFonts w:ascii="Arial" w:hAnsi="Arial" w:cs="Arial"/>
          <w:color w:val="000000" w:themeColor="text1"/>
          <w:spacing w:val="1"/>
          <w:sz w:val="22"/>
          <w:szCs w:val="22"/>
        </w:rPr>
        <w:t xml:space="preserve">, S., </w:t>
      </w:r>
      <w:r w:rsidR="00632C55" w:rsidRPr="003A73E6">
        <w:rPr>
          <w:rFonts w:ascii="Arial" w:hAnsi="Arial" w:cs="Arial"/>
          <w:color w:val="000000" w:themeColor="text1"/>
          <w:spacing w:val="1"/>
          <w:sz w:val="22"/>
          <w:szCs w:val="22"/>
        </w:rPr>
        <w:t>(</w:t>
      </w:r>
      <w:r w:rsidR="00C26F19" w:rsidRPr="003A73E6">
        <w:rPr>
          <w:rFonts w:ascii="Arial" w:hAnsi="Arial" w:cs="Arial"/>
          <w:color w:val="000000" w:themeColor="text1"/>
          <w:spacing w:val="1"/>
          <w:sz w:val="22"/>
          <w:szCs w:val="22"/>
        </w:rPr>
        <w:t>2018</w:t>
      </w:r>
      <w:r w:rsidR="00632C55" w:rsidRPr="003A73E6">
        <w:rPr>
          <w:rFonts w:ascii="Arial" w:hAnsi="Arial" w:cs="Arial"/>
          <w:color w:val="000000" w:themeColor="text1"/>
          <w:spacing w:val="1"/>
          <w:sz w:val="22"/>
          <w:szCs w:val="22"/>
        </w:rPr>
        <w:t>)</w:t>
      </w:r>
      <w:r w:rsidR="00C26F19" w:rsidRPr="003A73E6">
        <w:rPr>
          <w:rFonts w:ascii="Arial" w:hAnsi="Arial" w:cs="Arial"/>
          <w:color w:val="000000" w:themeColor="text1"/>
          <w:spacing w:val="1"/>
          <w:sz w:val="22"/>
          <w:szCs w:val="22"/>
        </w:rPr>
        <w:t xml:space="preserve">. Antiplatelet Therapy in Coronary Artery Disease: Comprehensive Review of Current Practices and Challenges. </w:t>
      </w:r>
      <w:r w:rsidR="00F7386C" w:rsidRPr="003A73E6">
        <w:rPr>
          <w:rFonts w:ascii="Arial" w:hAnsi="Arial" w:cs="Arial"/>
          <w:color w:val="000000" w:themeColor="text1"/>
          <w:spacing w:val="1"/>
          <w:sz w:val="22"/>
          <w:szCs w:val="22"/>
        </w:rPr>
        <w:t>Journal of Clinical Medicine</w:t>
      </w:r>
      <w:r w:rsidR="00C26F19" w:rsidRPr="003A73E6">
        <w:rPr>
          <w:rFonts w:ascii="Arial" w:hAnsi="Arial" w:cs="Arial"/>
          <w:color w:val="000000" w:themeColor="text1"/>
          <w:spacing w:val="1"/>
          <w:sz w:val="22"/>
          <w:szCs w:val="22"/>
        </w:rPr>
        <w:t>.</w:t>
      </w:r>
      <w:r w:rsidR="00632C55" w:rsidRPr="003A73E6">
        <w:rPr>
          <w:rFonts w:ascii="Arial" w:hAnsi="Arial" w:cs="Arial"/>
          <w:color w:val="000000" w:themeColor="text1"/>
          <w:spacing w:val="1"/>
          <w:sz w:val="22"/>
          <w:szCs w:val="22"/>
        </w:rPr>
        <w:t xml:space="preserve"> </w:t>
      </w:r>
      <w:proofErr w:type="spellStart"/>
      <w:r w:rsidR="00632C55" w:rsidRPr="003A73E6">
        <w:rPr>
          <w:rFonts w:ascii="Arial" w:hAnsi="Arial" w:cs="Arial"/>
          <w:color w:val="000000" w:themeColor="text1"/>
          <w:spacing w:val="1"/>
          <w:sz w:val="22"/>
          <w:szCs w:val="22"/>
        </w:rPr>
        <w:t>d</w:t>
      </w:r>
      <w:r w:rsidR="00632C55" w:rsidRPr="003A73E6">
        <w:rPr>
          <w:rFonts w:ascii="Arial" w:hAnsi="Arial" w:cs="Arial"/>
          <w:color w:val="000000" w:themeColor="text1"/>
          <w:sz w:val="22"/>
          <w:szCs w:val="22"/>
          <w:shd w:val="clear" w:color="auto" w:fill="FFFFFF"/>
        </w:rPr>
        <w:t>oi</w:t>
      </w:r>
      <w:proofErr w:type="spellEnd"/>
      <w:r w:rsidR="00632C55" w:rsidRPr="003A73E6">
        <w:rPr>
          <w:rFonts w:ascii="Arial" w:hAnsi="Arial" w:cs="Arial"/>
          <w:color w:val="000000" w:themeColor="text1"/>
          <w:sz w:val="22"/>
          <w:szCs w:val="22"/>
          <w:shd w:val="clear" w:color="auto" w:fill="FFFFFF"/>
        </w:rPr>
        <w:t>:</w:t>
      </w:r>
      <w:r w:rsidR="00632C55" w:rsidRPr="003A73E6">
        <w:rPr>
          <w:rStyle w:val="apple-converted-space"/>
          <w:rFonts w:ascii="Arial" w:hAnsi="Arial" w:cs="Arial"/>
          <w:color w:val="000000" w:themeColor="text1"/>
          <w:sz w:val="22"/>
          <w:szCs w:val="22"/>
          <w:shd w:val="clear" w:color="auto" w:fill="FFFFFF"/>
        </w:rPr>
        <w:t> </w:t>
      </w:r>
      <w:hyperlink r:id="rId27" w:tgtFrame="_blank" w:history="1">
        <w:r w:rsidR="00632C55" w:rsidRPr="003A73E6">
          <w:rPr>
            <w:rStyle w:val="Hyperlink"/>
            <w:rFonts w:ascii="Arial" w:hAnsi="Arial" w:cs="Arial"/>
            <w:color w:val="000000" w:themeColor="text1"/>
            <w:sz w:val="22"/>
            <w:szCs w:val="22"/>
          </w:rPr>
          <w:t>10.3390/jcm7040074</w:t>
        </w:r>
      </w:hyperlink>
    </w:p>
    <w:p w14:paraId="16D69A95" w14:textId="7C733832" w:rsidR="003A54A0" w:rsidRPr="003A73E6" w:rsidRDefault="003A54A0" w:rsidP="008D6E9E">
      <w:pPr>
        <w:spacing w:line="360" w:lineRule="auto"/>
        <w:jc w:val="both"/>
        <w:rPr>
          <w:lang w:val="en-IN"/>
        </w:rPr>
      </w:pPr>
      <w:r w:rsidRPr="003A73E6">
        <w:t xml:space="preserve">[23] Olson, K. L, et al.,  (2010). Incidence of </w:t>
      </w:r>
      <w:proofErr w:type="spellStart"/>
      <w:r w:rsidRPr="003A73E6">
        <w:t>hemorrhage</w:t>
      </w:r>
      <w:proofErr w:type="spellEnd"/>
      <w:r w:rsidRPr="003A73E6">
        <w:t xml:space="preserve"> among anticoagulated patients receiving antiplatelet therapy after percutaneous coronary intervention. </w:t>
      </w:r>
      <w:r w:rsidRPr="003A73E6">
        <w:rPr>
          <w:i/>
          <w:iCs/>
        </w:rPr>
        <w:t>Journal of thrombosis and thrombolysis</w:t>
      </w:r>
      <w:r w:rsidRPr="003A73E6">
        <w:t>, </w:t>
      </w:r>
      <w:r w:rsidRPr="003A73E6">
        <w:rPr>
          <w:i/>
          <w:iCs/>
        </w:rPr>
        <w:t>29</w:t>
      </w:r>
      <w:r w:rsidRPr="003A73E6">
        <w:t>(3), 316-321.</w:t>
      </w:r>
      <w:r w:rsidRPr="003A73E6">
        <w:rPr>
          <w:lang w:val="en-IN"/>
        </w:rPr>
        <w:t xml:space="preserve"> </w:t>
      </w:r>
      <w:hyperlink r:id="rId28" w:history="1">
        <w:r w:rsidRPr="003A73E6">
          <w:rPr>
            <w:rStyle w:val="Hyperlink"/>
            <w:lang w:val="en-GB"/>
          </w:rPr>
          <w:t>https://link.springer.com/article/10.1007/s11239-009-0343-1</w:t>
        </w:r>
      </w:hyperlink>
    </w:p>
    <w:p w14:paraId="1A906E57" w14:textId="41F5128E" w:rsidR="003A54A0" w:rsidRPr="003A73E6" w:rsidRDefault="003A54A0" w:rsidP="008D6E9E">
      <w:pPr>
        <w:pStyle w:val="p1"/>
        <w:spacing w:line="360" w:lineRule="auto"/>
        <w:rPr>
          <w:rFonts w:ascii="Arial" w:hAnsi="Arial" w:cs="Arial"/>
          <w:color w:val="000000" w:themeColor="text1"/>
          <w:sz w:val="22"/>
          <w:szCs w:val="22"/>
        </w:rPr>
      </w:pPr>
    </w:p>
    <w:p w14:paraId="5AF5831D" w14:textId="70DBA67E" w:rsidR="00C26F19" w:rsidRPr="003A73E6" w:rsidRDefault="00C26F19" w:rsidP="008D6E9E">
      <w:pPr>
        <w:pBdr>
          <w:top w:val="nil"/>
          <w:left w:val="nil"/>
          <w:bottom w:val="nil"/>
          <w:right w:val="nil"/>
          <w:between w:val="nil"/>
        </w:pBdr>
        <w:spacing w:line="360" w:lineRule="auto"/>
        <w:jc w:val="both"/>
        <w:rPr>
          <w:color w:val="000000" w:themeColor="text1"/>
        </w:rPr>
      </w:pPr>
      <w:r w:rsidRPr="003A73E6">
        <w:rPr>
          <w:rStyle w:val="apple-converted-space"/>
          <w:color w:val="000000" w:themeColor="text1"/>
          <w:spacing w:val="1"/>
        </w:rPr>
        <w:t> </w:t>
      </w:r>
    </w:p>
    <w:sectPr w:rsidR="00C26F19" w:rsidRPr="003A73E6" w:rsidSect="00B6768B">
      <w:headerReference w:type="even" r:id="rId29"/>
      <w:headerReference w:type="default" r:id="rId30"/>
      <w:footerReference w:type="even" r:id="rId31"/>
      <w:footerReference w:type="default" r:id="rId32"/>
      <w:headerReference w:type="first" r:id="rId33"/>
      <w:footerReference w:type="first" r:id="rId34"/>
      <w:pgSz w:w="12240" w:h="2016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1A924" w14:textId="77777777" w:rsidR="00202577" w:rsidRDefault="00202577" w:rsidP="00952849">
      <w:r>
        <w:separator/>
      </w:r>
    </w:p>
  </w:endnote>
  <w:endnote w:type="continuationSeparator" w:id="0">
    <w:p w14:paraId="34B29A2B" w14:textId="77777777" w:rsidR="00202577" w:rsidRDefault="00202577" w:rsidP="0095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D65E480-1073-48E8-9011-1F7C664FF210}"/>
    <w:embedItalic r:id="rId2" w:fontKey="{C1832AD6-4B5C-4502-9147-0F95D145EC4E}"/>
  </w:font>
  <w:font w:name="Cambria">
    <w:panose1 w:val="02040503050406030204"/>
    <w:charset w:val="00"/>
    <w:family w:val="roman"/>
    <w:pitch w:val="variable"/>
    <w:sig w:usb0="E00006FF" w:usb1="420024FF" w:usb2="02000000" w:usb3="00000000" w:csb0="0000019F" w:csb1="00000000"/>
    <w:embedRegular r:id="rId3" w:fontKey="{D6B2ACD2-5174-48FD-9B5F-D6AB8EFA222F}"/>
  </w:font>
  <w:font w:name="Helvetica">
    <w:panose1 w:val="020B0604020202020204"/>
    <w:charset w:val="00"/>
    <w:family w:val="swiss"/>
    <w:pitch w:val="variable"/>
    <w:sig w:usb0="E0002EFF" w:usb1="C000785B" w:usb2="00000009" w:usb3="00000000" w:csb0="000001FF" w:csb1="00000000"/>
    <w:embedRegular r:id="rId4" w:fontKey="{6E3EB0C1-CB84-47FA-B2A0-6F8AAAE63377}"/>
  </w:font>
  <w:font w:name="Google Sans">
    <w:altName w:val="Calibri"/>
    <w:charset w:val="00"/>
    <w:family w:val="auto"/>
    <w:pitch w:val="default"/>
    <w:embedRegular r:id="rId5" w:fontKey="{CDF1E9E3-AF0D-4C7F-AA1B-97AB7C200E70}"/>
    <w:embedBold r:id="rId6" w:fontKey="{EC17E302-A58F-4C2B-98D1-FA868747D857}"/>
  </w:font>
  <w:font w:name="Google Sans Text">
    <w:altName w:val="Calibri"/>
    <w:charset w:val="00"/>
    <w:family w:val="auto"/>
    <w:pitch w:val="default"/>
    <w:embedRegular r:id="rId7" w:fontKey="{1B80EA2D-EC05-4A70-B071-4ECB082DBB57}"/>
    <w:embedBold r:id="rId8" w:fontKey="{2D016287-D07F-49AE-8B8F-2BE9AE6812A8}"/>
  </w:font>
  <w:font w:name="Calibri">
    <w:panose1 w:val="020F0502020204030204"/>
    <w:charset w:val="00"/>
    <w:family w:val="swiss"/>
    <w:pitch w:val="variable"/>
    <w:sig w:usb0="E00002FF" w:usb1="4000ACFF" w:usb2="00000001" w:usb3="00000000" w:csb0="0000019F" w:csb1="00000000"/>
    <w:embedRegular r:id="rId9" w:fontKey="{390DAF8D-F352-4B6B-A638-0CBCA1FBFBA4}"/>
    <w:embedBold r:id="rId10" w:fontKey="{F60749C5-FABD-4F81-8ABF-4B087299E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50F2" w14:textId="77777777" w:rsidR="00952849" w:rsidRDefault="0095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330B5" w14:textId="77777777" w:rsidR="00952849" w:rsidRDefault="009528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B3528" w14:textId="77777777" w:rsidR="00952849" w:rsidRDefault="00952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67470" w14:textId="77777777" w:rsidR="00202577" w:rsidRDefault="00202577" w:rsidP="00952849">
      <w:r>
        <w:separator/>
      </w:r>
    </w:p>
  </w:footnote>
  <w:footnote w:type="continuationSeparator" w:id="0">
    <w:p w14:paraId="2EE2136F" w14:textId="77777777" w:rsidR="00202577" w:rsidRDefault="00202577" w:rsidP="0095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DDD9" w14:textId="1839575C" w:rsidR="00952849" w:rsidRDefault="00202577">
    <w:pPr>
      <w:pStyle w:val="Header"/>
    </w:pPr>
    <w:r>
      <w:rPr>
        <w:noProof/>
      </w:rPr>
      <w:pict w14:anchorId="3CF82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60" o:spid="_x0000_s2051"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E3CD" w14:textId="7E1AA2DA" w:rsidR="00952849" w:rsidRDefault="00202577">
    <w:pPr>
      <w:pStyle w:val="Header"/>
    </w:pPr>
    <w:r>
      <w:rPr>
        <w:noProof/>
      </w:rPr>
      <w:pict w14:anchorId="4714A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61" o:spid="_x0000_s2050"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A1E6" w14:textId="7B4E11F5" w:rsidR="00952849" w:rsidRDefault="00202577">
    <w:pPr>
      <w:pStyle w:val="Header"/>
    </w:pPr>
    <w:r>
      <w:rPr>
        <w:noProof/>
      </w:rPr>
      <w:pict w14:anchorId="387F0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963859" o:spid="_x0000_s2049"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753F7"/>
    <w:multiLevelType w:val="hybridMultilevel"/>
    <w:tmpl w:val="97CE5BBC"/>
    <w:lvl w:ilvl="0" w:tplc="0E1ED9E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1C6342"/>
    <w:multiLevelType w:val="hybridMultilevel"/>
    <w:tmpl w:val="DC428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CC503C"/>
    <w:multiLevelType w:val="hybridMultilevel"/>
    <w:tmpl w:val="843442B0"/>
    <w:lvl w:ilvl="0" w:tplc="DD906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331F2"/>
    <w:multiLevelType w:val="multilevel"/>
    <w:tmpl w:val="B6FC6FC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6A354FDF"/>
    <w:multiLevelType w:val="multilevel"/>
    <w:tmpl w:val="1B68CEDA"/>
    <w:lvl w:ilvl="0">
      <w:start w:val="1"/>
      <w:numFmt w:val="none"/>
      <w:lvlText w:val="[1]"/>
      <w:lvlJc w:val="left"/>
      <w:pPr>
        <w:ind w:left="360" w:hanging="360"/>
      </w:pPr>
      <w:rPr>
        <w:rFont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7BBB18CF"/>
    <w:multiLevelType w:val="hybridMultilevel"/>
    <w:tmpl w:val="58D8F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156"/>
    <w:rsid w:val="00013F82"/>
    <w:rsid w:val="00032766"/>
    <w:rsid w:val="000E1ACF"/>
    <w:rsid w:val="000F20E5"/>
    <w:rsid w:val="001D03AF"/>
    <w:rsid w:val="001D1BE3"/>
    <w:rsid w:val="001F155E"/>
    <w:rsid w:val="00202577"/>
    <w:rsid w:val="00292C6E"/>
    <w:rsid w:val="0036058B"/>
    <w:rsid w:val="00366965"/>
    <w:rsid w:val="0037760F"/>
    <w:rsid w:val="00386397"/>
    <w:rsid w:val="003A54A0"/>
    <w:rsid w:val="003A73E6"/>
    <w:rsid w:val="003C2017"/>
    <w:rsid w:val="00457689"/>
    <w:rsid w:val="00496524"/>
    <w:rsid w:val="004A7ABB"/>
    <w:rsid w:val="004E1546"/>
    <w:rsid w:val="00605CE8"/>
    <w:rsid w:val="00606B46"/>
    <w:rsid w:val="00632C55"/>
    <w:rsid w:val="006425BE"/>
    <w:rsid w:val="00675FB2"/>
    <w:rsid w:val="00682EE6"/>
    <w:rsid w:val="0069063E"/>
    <w:rsid w:val="00695F94"/>
    <w:rsid w:val="006D2A0F"/>
    <w:rsid w:val="007573C7"/>
    <w:rsid w:val="007752FA"/>
    <w:rsid w:val="00873156"/>
    <w:rsid w:val="008C1401"/>
    <w:rsid w:val="008D6E9E"/>
    <w:rsid w:val="008F349C"/>
    <w:rsid w:val="009009C7"/>
    <w:rsid w:val="00952849"/>
    <w:rsid w:val="009E6467"/>
    <w:rsid w:val="009F16B5"/>
    <w:rsid w:val="00A02D14"/>
    <w:rsid w:val="00A425DA"/>
    <w:rsid w:val="00AB3702"/>
    <w:rsid w:val="00AF01C8"/>
    <w:rsid w:val="00B56421"/>
    <w:rsid w:val="00B6768B"/>
    <w:rsid w:val="00B87AAA"/>
    <w:rsid w:val="00BF1585"/>
    <w:rsid w:val="00C26F19"/>
    <w:rsid w:val="00CB7BFA"/>
    <w:rsid w:val="00DE6EB4"/>
    <w:rsid w:val="00E4158A"/>
    <w:rsid w:val="00EA03BB"/>
    <w:rsid w:val="00EB6AD8"/>
    <w:rsid w:val="00ED49A9"/>
    <w:rsid w:val="00EE1537"/>
    <w:rsid w:val="00F7386C"/>
    <w:rsid w:val="00FD7FDF"/>
    <w:rsid w:val="00FE4C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5A422"/>
  <w15:docId w15:val="{880C2B16-4F20-EA4B-B26F-A717C187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D"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1D03AF"/>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customStyle="1" w:styleId="apple-converted-space">
    <w:name w:val="apple-converted-space"/>
    <w:basedOn w:val="DefaultParagraphFont"/>
    <w:rsid w:val="009E6467"/>
  </w:style>
  <w:style w:type="character" w:styleId="Hyperlink">
    <w:name w:val="Hyperlink"/>
    <w:basedOn w:val="DefaultParagraphFont"/>
    <w:uiPriority w:val="99"/>
    <w:unhideWhenUsed/>
    <w:rsid w:val="009E6467"/>
    <w:rPr>
      <w:color w:val="0000FF"/>
      <w:u w:val="single"/>
    </w:rPr>
  </w:style>
  <w:style w:type="paragraph" w:customStyle="1" w:styleId="my-2">
    <w:name w:val="my-2"/>
    <w:basedOn w:val="Normal"/>
    <w:rsid w:val="00B6768B"/>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32C55"/>
    <w:rPr>
      <w:color w:val="800080" w:themeColor="followedHyperlink"/>
      <w:u w:val="single"/>
    </w:rPr>
  </w:style>
  <w:style w:type="paragraph" w:customStyle="1" w:styleId="p1">
    <w:name w:val="p1"/>
    <w:basedOn w:val="Normal"/>
    <w:rsid w:val="00632C55"/>
    <w:pPr>
      <w:widowControl/>
    </w:pPr>
    <w:rPr>
      <w:rFonts w:ascii="Helvetica" w:eastAsia="Times New Roman" w:hAnsi="Helvetica" w:cs="Times New Roman"/>
      <w:color w:val="000000"/>
      <w:sz w:val="12"/>
      <w:szCs w:val="12"/>
    </w:rPr>
  </w:style>
  <w:style w:type="character" w:customStyle="1" w:styleId="anchor-text">
    <w:name w:val="anchor-text"/>
    <w:basedOn w:val="DefaultParagraphFont"/>
    <w:rsid w:val="0036058B"/>
  </w:style>
  <w:style w:type="character" w:styleId="UnresolvedMention">
    <w:name w:val="Unresolved Mention"/>
    <w:basedOn w:val="DefaultParagraphFont"/>
    <w:uiPriority w:val="99"/>
    <w:semiHidden/>
    <w:unhideWhenUsed/>
    <w:rsid w:val="001D1BE3"/>
    <w:rPr>
      <w:color w:val="605E5C"/>
      <w:shd w:val="clear" w:color="auto" w:fill="E1DFDD"/>
    </w:rPr>
  </w:style>
  <w:style w:type="paragraph" w:styleId="Header">
    <w:name w:val="header"/>
    <w:basedOn w:val="Normal"/>
    <w:link w:val="HeaderChar"/>
    <w:uiPriority w:val="99"/>
    <w:unhideWhenUsed/>
    <w:rsid w:val="00952849"/>
    <w:pPr>
      <w:tabs>
        <w:tab w:val="center" w:pos="4680"/>
        <w:tab w:val="right" w:pos="9360"/>
      </w:tabs>
    </w:pPr>
  </w:style>
  <w:style w:type="character" w:customStyle="1" w:styleId="HeaderChar">
    <w:name w:val="Header Char"/>
    <w:basedOn w:val="DefaultParagraphFont"/>
    <w:link w:val="Header"/>
    <w:uiPriority w:val="99"/>
    <w:rsid w:val="00952849"/>
  </w:style>
  <w:style w:type="paragraph" w:styleId="Footer">
    <w:name w:val="footer"/>
    <w:basedOn w:val="Normal"/>
    <w:link w:val="FooterChar"/>
    <w:uiPriority w:val="99"/>
    <w:unhideWhenUsed/>
    <w:rsid w:val="00952849"/>
    <w:pPr>
      <w:tabs>
        <w:tab w:val="center" w:pos="4680"/>
        <w:tab w:val="right" w:pos="9360"/>
      </w:tabs>
    </w:pPr>
  </w:style>
  <w:style w:type="character" w:customStyle="1" w:styleId="FooterChar">
    <w:name w:val="Footer Char"/>
    <w:basedOn w:val="DefaultParagraphFont"/>
    <w:link w:val="Footer"/>
    <w:uiPriority w:val="99"/>
    <w:rsid w:val="00952849"/>
  </w:style>
  <w:style w:type="paragraph" w:customStyle="1" w:styleId="w7sjnrxzl6krnffuzhqe">
    <w:name w:val="w7sjnrxzl6krnffuzhqe"/>
    <w:basedOn w:val="Normal"/>
    <w:rsid w:val="003C2017"/>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80/07853890.2025.2506481" TargetMode="External"/><Relationship Id="rId18" Type="http://schemas.openxmlformats.org/officeDocument/2006/relationships/hyperlink" Target="https://doi.org/10.1016/j.jscai.2023.100607" TargetMode="External"/><Relationship Id="rId26" Type="http://schemas.openxmlformats.org/officeDocument/2006/relationships/hyperlink" Target="https://doi.org/10.4022/jafib.1318" TargetMode="External"/><Relationship Id="rId3" Type="http://schemas.openxmlformats.org/officeDocument/2006/relationships/settings" Target="settings.xml"/><Relationship Id="rId21" Type="http://schemas.openxmlformats.org/officeDocument/2006/relationships/hyperlink" Target="https://www.ncbi.nlm.nih.gov/books/NBK559173/"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31083/j.rcm2410284" TargetMode="External"/><Relationship Id="rId17" Type="http://schemas.openxmlformats.org/officeDocument/2006/relationships/hyperlink" Target="https://www.ncbi.nlm.nih.gov/books/NBK531622/" TargetMode="External"/><Relationship Id="rId25" Type="http://schemas.openxmlformats.org/officeDocument/2006/relationships/hyperlink" Target="https://doi.org/10.3389/fcvm.2023.1061618"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diagnostics13142422" TargetMode="External"/><Relationship Id="rId20" Type="http://schemas.openxmlformats.org/officeDocument/2006/relationships/hyperlink" Target="https://doi.org/10.1111/cns.1417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cardio.org/Councils/Council-for-Cardiology-Practice-(CCP)/Cardiopractice/dual-antiplatelet-therapy-for-the-general-cardiologist-recent-evidence-balanci" TargetMode="External"/><Relationship Id="rId24" Type="http://schemas.openxmlformats.org/officeDocument/2006/relationships/hyperlink" Target="https://doi.org/10.3390/diagnostics1514178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61/JAHA.120.019637" TargetMode="External"/><Relationship Id="rId23" Type="http://schemas.openxmlformats.org/officeDocument/2006/relationships/hyperlink" Target="https://doi.org/10.3390/jcm7040074" TargetMode="External"/><Relationship Id="rId28" Type="http://schemas.openxmlformats.org/officeDocument/2006/relationships/hyperlink" Target="https://link.springer.com/article/10.1007/s11239-009-0343-1" TargetMode="External"/><Relationship Id="rId36" Type="http://schemas.openxmlformats.org/officeDocument/2006/relationships/theme" Target="theme/theme1.xml"/><Relationship Id="rId10" Type="http://schemas.openxmlformats.org/officeDocument/2006/relationships/hyperlink" Target="https://www.ncbi.nlm.nih.gov/books/NBK556123/" TargetMode="External"/><Relationship Id="rId19" Type="http://schemas.openxmlformats.org/officeDocument/2006/relationships/hyperlink" Target="https://doi.org/10.3238/arztebl.2020.032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cbi.nlm.nih.gov/books/NBK554410/" TargetMode="External"/><Relationship Id="rId14" Type="http://schemas.openxmlformats.org/officeDocument/2006/relationships/hyperlink" Target="https://doi.org/10.5551/jat.RV17066" TargetMode="External"/><Relationship Id="rId22" Type="http://schemas.openxmlformats.org/officeDocument/2006/relationships/hyperlink" Target="https://www.medintensiva.org/en-antiplatelet-therapies-are-associated-with-articulo-S2173572712001361" TargetMode="External"/><Relationship Id="rId27" Type="http://schemas.openxmlformats.org/officeDocument/2006/relationships/hyperlink" Target="https://doi.org/10.3390/jcm7040074"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2853</Words>
  <Characters>16265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7</cp:revision>
  <dcterms:created xsi:type="dcterms:W3CDTF">2025-09-10T06:40:00Z</dcterms:created>
  <dcterms:modified xsi:type="dcterms:W3CDTF">2025-09-15T11:21:00Z</dcterms:modified>
</cp:coreProperties>
</file>