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C2668" w14:textId="39742955" w:rsidR="006A6225" w:rsidRDefault="004C6BA2" w:rsidP="006A6225">
      <w:pPr>
        <w:jc w:val="both"/>
        <w:rPr>
          <w:rFonts w:ascii="Times New Roman" w:hAnsi="Times New Roman" w:cs="Times New Roman"/>
          <w:b/>
          <w:bCs/>
          <w:sz w:val="24"/>
          <w:szCs w:val="24"/>
        </w:rPr>
      </w:pPr>
      <w:r w:rsidRPr="004C6BA2">
        <w:rPr>
          <w:rFonts w:ascii="Times New Roman" w:hAnsi="Times New Roman" w:cs="Times New Roman"/>
          <w:b/>
          <w:bCs/>
          <w:sz w:val="24"/>
          <w:szCs w:val="24"/>
        </w:rPr>
        <w:t xml:space="preserve">Nutritional, Phytochemical, and Antioxidant Profiling of </w:t>
      </w:r>
      <w:r w:rsidRPr="004C6BA2">
        <w:rPr>
          <w:rFonts w:ascii="Times New Roman" w:hAnsi="Times New Roman" w:cs="Times New Roman"/>
          <w:b/>
          <w:bCs/>
          <w:i/>
          <w:iCs/>
          <w:sz w:val="24"/>
          <w:szCs w:val="24"/>
        </w:rPr>
        <w:t>Chenopodium ambrosioides</w:t>
      </w:r>
      <w:r w:rsidRPr="004C6BA2">
        <w:rPr>
          <w:rFonts w:ascii="Times New Roman" w:hAnsi="Times New Roman" w:cs="Times New Roman"/>
          <w:b/>
          <w:bCs/>
          <w:sz w:val="24"/>
          <w:szCs w:val="24"/>
        </w:rPr>
        <w:t xml:space="preserve"> Leaves from Different Locations of Kangra Valley, Himachal Pradesh</w:t>
      </w:r>
    </w:p>
    <w:p w14:paraId="160EDBF0" w14:textId="77777777" w:rsidR="003666E0" w:rsidRPr="00A92FE1" w:rsidRDefault="003666E0" w:rsidP="006A6225">
      <w:pPr>
        <w:jc w:val="both"/>
        <w:rPr>
          <w:rFonts w:ascii="Times New Roman" w:hAnsi="Times New Roman" w:cs="Times New Roman"/>
          <w:b/>
          <w:bCs/>
          <w:sz w:val="24"/>
          <w:szCs w:val="24"/>
        </w:rPr>
      </w:pPr>
    </w:p>
    <w:p w14:paraId="486442A1" w14:textId="77777777" w:rsidR="00AA3CDB" w:rsidRPr="00A92FE1" w:rsidRDefault="00AA3CDB" w:rsidP="00AC64B7">
      <w:pPr>
        <w:tabs>
          <w:tab w:val="left" w:pos="-3420"/>
        </w:tabs>
        <w:spacing w:line="360" w:lineRule="auto"/>
        <w:rPr>
          <w:rFonts w:ascii="Times New Roman" w:hAnsi="Times New Roman" w:cs="Times New Roman"/>
          <w:b/>
          <w:sz w:val="24"/>
          <w:szCs w:val="24"/>
        </w:rPr>
      </w:pPr>
      <w:r w:rsidRPr="00A92FE1">
        <w:rPr>
          <w:rFonts w:ascii="Times New Roman" w:hAnsi="Times New Roman" w:cs="Times New Roman"/>
          <w:b/>
          <w:sz w:val="24"/>
          <w:szCs w:val="24"/>
        </w:rPr>
        <w:t>ABSTRACT</w:t>
      </w:r>
    </w:p>
    <w:p w14:paraId="71F4A830" w14:textId="77777777" w:rsidR="000D2C3F" w:rsidRDefault="000D2C3F" w:rsidP="00AC64B7">
      <w:pPr>
        <w:tabs>
          <w:tab w:val="left" w:pos="-3420"/>
        </w:tabs>
        <w:spacing w:line="360" w:lineRule="auto"/>
        <w:jc w:val="both"/>
        <w:rPr>
          <w:rFonts w:ascii="Times New Roman" w:hAnsi="Times New Roman" w:cs="Times New Roman"/>
          <w:bCs/>
          <w:sz w:val="24"/>
          <w:szCs w:val="24"/>
        </w:rPr>
      </w:pPr>
      <w:r w:rsidRPr="000D2C3F">
        <w:rPr>
          <w:rFonts w:ascii="Times New Roman" w:hAnsi="Times New Roman" w:cs="Times New Roman"/>
          <w:bCs/>
          <w:sz w:val="24"/>
          <w:szCs w:val="24"/>
        </w:rPr>
        <w:t xml:space="preserve">Medicinal plants have gained considerable attention in recent years due to their therapeutic potential and nutritional benefits. In this study, the proximate composition, mineral content, phytochemical profile, and antioxidant activity of </w:t>
      </w:r>
      <w:r w:rsidRPr="0069640F">
        <w:rPr>
          <w:rFonts w:ascii="Times New Roman" w:hAnsi="Times New Roman" w:cs="Times New Roman"/>
          <w:bCs/>
          <w:i/>
          <w:iCs/>
          <w:sz w:val="24"/>
          <w:szCs w:val="24"/>
        </w:rPr>
        <w:t xml:space="preserve">Chenopodium </w:t>
      </w:r>
      <w:proofErr w:type="spellStart"/>
      <w:r w:rsidRPr="0069640F">
        <w:rPr>
          <w:rFonts w:ascii="Times New Roman" w:hAnsi="Times New Roman" w:cs="Times New Roman"/>
          <w:bCs/>
          <w:i/>
          <w:iCs/>
          <w:sz w:val="24"/>
          <w:szCs w:val="24"/>
        </w:rPr>
        <w:t>ambrosioides</w:t>
      </w:r>
      <w:proofErr w:type="spellEnd"/>
      <w:r w:rsidRPr="000D2C3F">
        <w:rPr>
          <w:rFonts w:ascii="Times New Roman" w:hAnsi="Times New Roman" w:cs="Times New Roman"/>
          <w:bCs/>
          <w:sz w:val="24"/>
          <w:szCs w:val="24"/>
        </w:rPr>
        <w:t xml:space="preserve"> leaves were </w:t>
      </w:r>
      <w:proofErr w:type="spellStart"/>
      <w:r w:rsidRPr="000D2C3F">
        <w:rPr>
          <w:rFonts w:ascii="Times New Roman" w:hAnsi="Times New Roman" w:cs="Times New Roman"/>
          <w:bCs/>
          <w:sz w:val="24"/>
          <w:szCs w:val="24"/>
        </w:rPr>
        <w:t>analyzed</w:t>
      </w:r>
      <w:proofErr w:type="spellEnd"/>
      <w:r w:rsidRPr="000D2C3F">
        <w:rPr>
          <w:rFonts w:ascii="Times New Roman" w:hAnsi="Times New Roman" w:cs="Times New Roman"/>
          <w:bCs/>
          <w:sz w:val="24"/>
          <w:szCs w:val="24"/>
        </w:rPr>
        <w:t xml:space="preserve"> from twelve locations across the Kangra Valley, Himachal Pradesh, India. Considerable variation was observed in nutritional traits (moisture 26–37%, protein 23–31%, fat 3–7%, fibre 9–11%, carbohydrates 5–14%) and mineral concentrations (sodium 228–315 mg/100 g, calcium 913–1025 mg/100 g, potassium 983–1087 mg/100 g). Bioactive compounds also differed notably, including phenolics, tannins, chlorophyll, carotenoids, and vitamin C, alongside antioxidant activity. Collections such as Dehra, </w:t>
      </w:r>
      <w:proofErr w:type="spellStart"/>
      <w:r w:rsidRPr="000D2C3F">
        <w:rPr>
          <w:rFonts w:ascii="Times New Roman" w:hAnsi="Times New Roman" w:cs="Times New Roman"/>
          <w:bCs/>
          <w:sz w:val="24"/>
          <w:szCs w:val="24"/>
        </w:rPr>
        <w:t>Harchkiyan</w:t>
      </w:r>
      <w:proofErr w:type="spellEnd"/>
      <w:r w:rsidRPr="000D2C3F">
        <w:rPr>
          <w:rFonts w:ascii="Times New Roman" w:hAnsi="Times New Roman" w:cs="Times New Roman"/>
          <w:bCs/>
          <w:sz w:val="24"/>
          <w:szCs w:val="24"/>
        </w:rPr>
        <w:t xml:space="preserve">, </w:t>
      </w:r>
      <w:proofErr w:type="spellStart"/>
      <w:r w:rsidRPr="000D2C3F">
        <w:rPr>
          <w:rFonts w:ascii="Times New Roman" w:hAnsi="Times New Roman" w:cs="Times New Roman"/>
          <w:bCs/>
          <w:sz w:val="24"/>
          <w:szCs w:val="24"/>
        </w:rPr>
        <w:t>Jaswan</w:t>
      </w:r>
      <w:proofErr w:type="spellEnd"/>
      <w:r w:rsidRPr="000D2C3F">
        <w:rPr>
          <w:rFonts w:ascii="Times New Roman" w:hAnsi="Times New Roman" w:cs="Times New Roman"/>
          <w:bCs/>
          <w:sz w:val="24"/>
          <w:szCs w:val="24"/>
        </w:rPr>
        <w:t xml:space="preserve">, Palampur, </w:t>
      </w:r>
      <w:proofErr w:type="spellStart"/>
      <w:r w:rsidRPr="000D2C3F">
        <w:rPr>
          <w:rFonts w:ascii="Times New Roman" w:hAnsi="Times New Roman" w:cs="Times New Roman"/>
          <w:bCs/>
          <w:sz w:val="24"/>
          <w:szCs w:val="24"/>
        </w:rPr>
        <w:t>Daroh</w:t>
      </w:r>
      <w:proofErr w:type="spellEnd"/>
      <w:r w:rsidRPr="000D2C3F">
        <w:rPr>
          <w:rFonts w:ascii="Times New Roman" w:hAnsi="Times New Roman" w:cs="Times New Roman"/>
          <w:bCs/>
          <w:sz w:val="24"/>
          <w:szCs w:val="24"/>
        </w:rPr>
        <w:t xml:space="preserve">, and </w:t>
      </w:r>
      <w:proofErr w:type="spellStart"/>
      <w:r w:rsidRPr="000D2C3F">
        <w:rPr>
          <w:rFonts w:ascii="Times New Roman" w:hAnsi="Times New Roman" w:cs="Times New Roman"/>
          <w:bCs/>
          <w:sz w:val="24"/>
          <w:szCs w:val="24"/>
        </w:rPr>
        <w:t>Thural</w:t>
      </w:r>
      <w:proofErr w:type="spellEnd"/>
      <w:r w:rsidRPr="000D2C3F">
        <w:rPr>
          <w:rFonts w:ascii="Times New Roman" w:hAnsi="Times New Roman" w:cs="Times New Roman"/>
          <w:bCs/>
          <w:sz w:val="24"/>
          <w:szCs w:val="24"/>
        </w:rPr>
        <w:t xml:space="preserve"> demonstrated superior nutritional and phytochemical attributes. This work represents the first comparative profiling of </w:t>
      </w:r>
      <w:r w:rsidRPr="0069640F">
        <w:rPr>
          <w:rFonts w:ascii="Times New Roman" w:hAnsi="Times New Roman" w:cs="Times New Roman"/>
          <w:bCs/>
          <w:i/>
          <w:iCs/>
          <w:sz w:val="24"/>
          <w:szCs w:val="24"/>
        </w:rPr>
        <w:t>C. ambrosioides</w:t>
      </w:r>
      <w:r w:rsidRPr="000D2C3F">
        <w:rPr>
          <w:rFonts w:ascii="Times New Roman" w:hAnsi="Times New Roman" w:cs="Times New Roman"/>
          <w:bCs/>
          <w:sz w:val="24"/>
          <w:szCs w:val="24"/>
        </w:rPr>
        <w:t xml:space="preserve"> from different locations of Kangra Valley and underscores its potential as a nutritionally dense, antioxidant-rich species with promising applications in functional foods, nutraceuticals, and herbal formulations.</w:t>
      </w:r>
    </w:p>
    <w:p w14:paraId="0B68A9C6" w14:textId="3C0A4B39" w:rsidR="00AC64B7" w:rsidRPr="00A92FE1" w:rsidRDefault="00AC64B7" w:rsidP="00AC64B7">
      <w:pPr>
        <w:tabs>
          <w:tab w:val="left" w:pos="-3420"/>
        </w:tabs>
        <w:spacing w:line="360" w:lineRule="auto"/>
        <w:jc w:val="both"/>
        <w:rPr>
          <w:rFonts w:ascii="Times New Roman" w:hAnsi="Times New Roman" w:cs="Times New Roman"/>
          <w:sz w:val="24"/>
          <w:szCs w:val="24"/>
        </w:rPr>
      </w:pPr>
      <w:r w:rsidRPr="00A92FE1">
        <w:rPr>
          <w:rFonts w:ascii="Times New Roman" w:hAnsi="Times New Roman" w:cs="Times New Roman"/>
          <w:b/>
          <w:sz w:val="24"/>
          <w:szCs w:val="24"/>
        </w:rPr>
        <w:t xml:space="preserve">Keywords: </w:t>
      </w:r>
      <w:r w:rsidRPr="00A92FE1">
        <w:rPr>
          <w:rFonts w:ascii="Times New Roman" w:hAnsi="Times New Roman" w:cs="Times New Roman"/>
          <w:i/>
          <w:sz w:val="24"/>
          <w:szCs w:val="24"/>
        </w:rPr>
        <w:t>Chenopodium ambrosioides</w:t>
      </w:r>
      <w:r w:rsidRPr="00A92FE1">
        <w:rPr>
          <w:rFonts w:ascii="Times New Roman" w:hAnsi="Times New Roman" w:cs="Times New Roman"/>
          <w:sz w:val="24"/>
          <w:szCs w:val="24"/>
        </w:rPr>
        <w:t>, proximate composition, phytochemical, antioxidant activity</w:t>
      </w:r>
    </w:p>
    <w:p w14:paraId="4F852AAF" w14:textId="44A5966F" w:rsidR="00AC64B7" w:rsidRPr="0062002F" w:rsidRDefault="00AC64B7" w:rsidP="0062002F">
      <w:pPr>
        <w:pStyle w:val="ListParagraph"/>
        <w:numPr>
          <w:ilvl w:val="0"/>
          <w:numId w:val="4"/>
        </w:numPr>
        <w:tabs>
          <w:tab w:val="left" w:pos="-3420"/>
        </w:tabs>
        <w:spacing w:after="0" w:line="360" w:lineRule="auto"/>
        <w:ind w:left="0" w:firstLine="0"/>
        <w:jc w:val="both"/>
        <w:rPr>
          <w:rFonts w:ascii="Times New Roman" w:eastAsia="Times New Roman" w:hAnsi="Times New Roman" w:cs="Times New Roman"/>
          <w:b/>
          <w:bCs/>
          <w:iCs/>
          <w:sz w:val="24"/>
          <w:szCs w:val="24"/>
        </w:rPr>
      </w:pPr>
      <w:r w:rsidRPr="0062002F">
        <w:rPr>
          <w:rFonts w:ascii="Times New Roman" w:eastAsia="Times New Roman" w:hAnsi="Times New Roman" w:cs="Times New Roman"/>
          <w:b/>
          <w:bCs/>
          <w:iCs/>
          <w:sz w:val="24"/>
          <w:szCs w:val="24"/>
        </w:rPr>
        <w:t>INTRODUCTION</w:t>
      </w:r>
    </w:p>
    <w:p w14:paraId="04237557" w14:textId="77777777" w:rsidR="00B078BD" w:rsidRPr="00B078BD" w:rsidRDefault="00B078BD" w:rsidP="00B078BD">
      <w:pPr>
        <w:widowControl w:val="0"/>
        <w:spacing w:line="360" w:lineRule="auto"/>
        <w:ind w:firstLine="720"/>
        <w:jc w:val="both"/>
        <w:rPr>
          <w:rFonts w:ascii="Times New Roman" w:hAnsi="Times New Roman" w:cs="Times New Roman"/>
          <w:sz w:val="24"/>
          <w:szCs w:val="24"/>
        </w:rPr>
      </w:pPr>
      <w:r w:rsidRPr="00B078BD">
        <w:rPr>
          <w:rFonts w:ascii="Times New Roman" w:hAnsi="Times New Roman" w:cs="Times New Roman"/>
          <w:i/>
          <w:iCs/>
          <w:sz w:val="24"/>
          <w:szCs w:val="24"/>
        </w:rPr>
        <w:t>Chenopodium ambrosioides</w:t>
      </w:r>
      <w:r w:rsidRPr="00B078BD">
        <w:rPr>
          <w:rFonts w:ascii="Times New Roman" w:hAnsi="Times New Roman" w:cs="Times New Roman"/>
          <w:sz w:val="24"/>
          <w:szCs w:val="24"/>
        </w:rPr>
        <w:t xml:space="preserve"> is widely reported as a medicinal plant in both scientific and folkloric literature. It is also known by several common names, including epazote, wormseed, Mexican tea, smelly grass, and hookworm grass, and belongs to the family Chenopodiaceae (</w:t>
      </w:r>
      <w:proofErr w:type="spellStart"/>
      <w:r w:rsidRPr="00B078BD">
        <w:rPr>
          <w:rFonts w:ascii="Times New Roman" w:hAnsi="Times New Roman" w:cs="Times New Roman"/>
          <w:sz w:val="24"/>
          <w:szCs w:val="24"/>
        </w:rPr>
        <w:t>Ehiabhi</w:t>
      </w:r>
      <w:proofErr w:type="spellEnd"/>
      <w:r w:rsidRPr="00B078BD">
        <w:rPr>
          <w:rFonts w:ascii="Times New Roman" w:hAnsi="Times New Roman" w:cs="Times New Roman"/>
          <w:sz w:val="24"/>
          <w:szCs w:val="24"/>
        </w:rPr>
        <w:t xml:space="preserve"> et al., 2012; da Silva et al., 2021). It is considered one of the most extensively used traditional medicinal plants worldwide. The genus Chenopodium comprises about 120 species, of which more than 45 occur across India, many with reported therapeutic properties (Gupta et al., 2002). </w:t>
      </w:r>
      <w:r w:rsidRPr="00B078BD">
        <w:rPr>
          <w:rFonts w:ascii="Times New Roman" w:hAnsi="Times New Roman" w:cs="Times New Roman"/>
          <w:i/>
          <w:iCs/>
          <w:sz w:val="24"/>
          <w:szCs w:val="24"/>
        </w:rPr>
        <w:t>C. ambrosioides</w:t>
      </w:r>
      <w:r w:rsidRPr="00B078BD">
        <w:rPr>
          <w:rFonts w:ascii="Times New Roman" w:hAnsi="Times New Roman" w:cs="Times New Roman"/>
          <w:sz w:val="24"/>
          <w:szCs w:val="24"/>
        </w:rPr>
        <w:t xml:space="preserve"> is native to South and Central America and Southern Mexico, but is now cultivated globally. Morphologically, it is an erect herb up to 1.2 m in height, irregularly branched, and bears small green flowers in branched panicles at the stem apex. The leaves are elliptic to lanceolate, while the seeds are usually horizontal to slightly slanted and brown in </w:t>
      </w:r>
      <w:proofErr w:type="spellStart"/>
      <w:r w:rsidRPr="00B078BD">
        <w:rPr>
          <w:rFonts w:ascii="Times New Roman" w:hAnsi="Times New Roman" w:cs="Times New Roman"/>
          <w:sz w:val="24"/>
          <w:szCs w:val="24"/>
        </w:rPr>
        <w:t>color</w:t>
      </w:r>
      <w:proofErr w:type="spellEnd"/>
      <w:r w:rsidRPr="00B078BD">
        <w:rPr>
          <w:rFonts w:ascii="Times New Roman" w:hAnsi="Times New Roman" w:cs="Times New Roman"/>
          <w:sz w:val="24"/>
          <w:szCs w:val="24"/>
        </w:rPr>
        <w:t xml:space="preserve"> (Carrillo-Lopez et al., 2016). When bruised, the plant emits a strong, pungent </w:t>
      </w:r>
      <w:proofErr w:type="spellStart"/>
      <w:r w:rsidRPr="00B078BD">
        <w:rPr>
          <w:rFonts w:ascii="Times New Roman" w:hAnsi="Times New Roman" w:cs="Times New Roman"/>
          <w:sz w:val="24"/>
          <w:szCs w:val="24"/>
        </w:rPr>
        <w:t>odor</w:t>
      </w:r>
      <w:proofErr w:type="spellEnd"/>
      <w:r w:rsidRPr="00B078BD">
        <w:rPr>
          <w:rFonts w:ascii="Times New Roman" w:hAnsi="Times New Roman" w:cs="Times New Roman"/>
          <w:sz w:val="24"/>
          <w:szCs w:val="24"/>
        </w:rPr>
        <w:t xml:space="preserve"> (</w:t>
      </w:r>
      <w:proofErr w:type="spellStart"/>
      <w:r w:rsidRPr="00B078BD">
        <w:rPr>
          <w:rFonts w:ascii="Times New Roman" w:hAnsi="Times New Roman" w:cs="Times New Roman"/>
          <w:sz w:val="24"/>
          <w:szCs w:val="24"/>
        </w:rPr>
        <w:t>Nyasvisvo</w:t>
      </w:r>
      <w:proofErr w:type="spellEnd"/>
      <w:r w:rsidRPr="00B078BD">
        <w:rPr>
          <w:rFonts w:ascii="Times New Roman" w:hAnsi="Times New Roman" w:cs="Times New Roman"/>
          <w:sz w:val="24"/>
          <w:szCs w:val="24"/>
        </w:rPr>
        <w:t xml:space="preserve"> et al., 2024). Ethnomedicinally, the leaves and aerial parts are widely </w:t>
      </w:r>
      <w:r w:rsidRPr="00B078BD">
        <w:rPr>
          <w:rFonts w:ascii="Times New Roman" w:hAnsi="Times New Roman" w:cs="Times New Roman"/>
          <w:sz w:val="24"/>
          <w:szCs w:val="24"/>
        </w:rPr>
        <w:lastRenderedPageBreak/>
        <w:t xml:space="preserve">used as anthelmintic, antifungal, and remedies for digestive disorders, muscle pain, and bone fractures. Decoctions of fresh or dried aerial parts are consumed as digestives, </w:t>
      </w:r>
      <w:proofErr w:type="spellStart"/>
      <w:r w:rsidRPr="00B078BD">
        <w:rPr>
          <w:rFonts w:ascii="Times New Roman" w:hAnsi="Times New Roman" w:cs="Times New Roman"/>
          <w:sz w:val="24"/>
          <w:szCs w:val="24"/>
        </w:rPr>
        <w:t>stomachics</w:t>
      </w:r>
      <w:proofErr w:type="spellEnd"/>
      <w:r w:rsidRPr="00B078BD">
        <w:rPr>
          <w:rFonts w:ascii="Times New Roman" w:hAnsi="Times New Roman" w:cs="Times New Roman"/>
          <w:sz w:val="24"/>
          <w:szCs w:val="24"/>
        </w:rPr>
        <w:t>, haemostatics, stimulants, laxatives, and anti-</w:t>
      </w:r>
      <w:proofErr w:type="spellStart"/>
      <w:r w:rsidRPr="00B078BD">
        <w:rPr>
          <w:rFonts w:ascii="Times New Roman" w:hAnsi="Times New Roman" w:cs="Times New Roman"/>
          <w:sz w:val="24"/>
          <w:szCs w:val="24"/>
        </w:rPr>
        <w:t>diarrheics</w:t>
      </w:r>
      <w:proofErr w:type="spellEnd"/>
      <w:r w:rsidRPr="00B078BD">
        <w:rPr>
          <w:rFonts w:ascii="Times New Roman" w:hAnsi="Times New Roman" w:cs="Times New Roman"/>
          <w:sz w:val="24"/>
          <w:szCs w:val="24"/>
        </w:rPr>
        <w:t>. The plant has also been employed to manage high blood pressure, colds, and fibroids (</w:t>
      </w:r>
      <w:proofErr w:type="spellStart"/>
      <w:r w:rsidRPr="00B078BD">
        <w:rPr>
          <w:rFonts w:ascii="Times New Roman" w:hAnsi="Times New Roman" w:cs="Times New Roman"/>
          <w:sz w:val="24"/>
          <w:szCs w:val="24"/>
        </w:rPr>
        <w:t>Ehiabhi</w:t>
      </w:r>
      <w:proofErr w:type="spellEnd"/>
      <w:r w:rsidRPr="00B078BD">
        <w:rPr>
          <w:rFonts w:ascii="Times New Roman" w:hAnsi="Times New Roman" w:cs="Times New Roman"/>
          <w:sz w:val="24"/>
          <w:szCs w:val="24"/>
        </w:rPr>
        <w:t xml:space="preserve"> et al., 2012). In Pakistan, it is considered an important ethnobotanical resource, locally called “Gandi Buti,” and is used for treating wounds, constipation, and intestinal parasites (Ajaib et al., 2016).</w:t>
      </w:r>
    </w:p>
    <w:p w14:paraId="7D36C2BB" w14:textId="77777777" w:rsidR="00B078BD" w:rsidRPr="00B078BD" w:rsidRDefault="00B078BD" w:rsidP="00B078BD">
      <w:pPr>
        <w:widowControl w:val="0"/>
        <w:spacing w:line="360" w:lineRule="auto"/>
        <w:ind w:firstLine="720"/>
        <w:jc w:val="both"/>
        <w:rPr>
          <w:rFonts w:ascii="Times New Roman" w:hAnsi="Times New Roman" w:cs="Times New Roman"/>
          <w:sz w:val="24"/>
          <w:szCs w:val="24"/>
        </w:rPr>
      </w:pPr>
      <w:r w:rsidRPr="00B078BD">
        <w:rPr>
          <w:rFonts w:ascii="Times New Roman" w:hAnsi="Times New Roman" w:cs="Times New Roman"/>
          <w:sz w:val="24"/>
          <w:szCs w:val="24"/>
        </w:rPr>
        <w:t xml:space="preserve">The therapeutic properties of </w:t>
      </w:r>
      <w:r w:rsidRPr="00B078BD">
        <w:rPr>
          <w:rFonts w:ascii="Times New Roman" w:hAnsi="Times New Roman" w:cs="Times New Roman"/>
          <w:i/>
          <w:iCs/>
          <w:sz w:val="24"/>
          <w:szCs w:val="24"/>
        </w:rPr>
        <w:t>C. ambrosioides</w:t>
      </w:r>
      <w:r w:rsidRPr="00B078BD">
        <w:rPr>
          <w:rFonts w:ascii="Times New Roman" w:hAnsi="Times New Roman" w:cs="Times New Roman"/>
          <w:sz w:val="24"/>
          <w:szCs w:val="24"/>
        </w:rPr>
        <w:t xml:space="preserve"> are largely attributed to its rich content of bioactive compounds. It contains proteins, enzymes, essential minerals, and an array of secondary metabolites such as phenolics, carotenoids, flavonoids, and anthocyanins (</w:t>
      </w:r>
      <w:proofErr w:type="spellStart"/>
      <w:r w:rsidRPr="00B078BD">
        <w:rPr>
          <w:rFonts w:ascii="Times New Roman" w:hAnsi="Times New Roman" w:cs="Times New Roman"/>
          <w:sz w:val="24"/>
          <w:szCs w:val="24"/>
        </w:rPr>
        <w:t>Drioua</w:t>
      </w:r>
      <w:proofErr w:type="spellEnd"/>
      <w:r w:rsidRPr="00B078BD">
        <w:rPr>
          <w:rFonts w:ascii="Times New Roman" w:hAnsi="Times New Roman" w:cs="Times New Roman"/>
          <w:sz w:val="24"/>
          <w:szCs w:val="24"/>
        </w:rPr>
        <w:t xml:space="preserve"> et al., 2024). These constituents are known to exhibit antioxidant, antimicrobial, and other pharmacologically relevant activities, underscoring the species’ therapeutic significance (Kasali et al., 2021). Several illnesses, including cancer and cardiac diseases, are believed to be alleviated by its antioxidant-rich profile. However, toxicological concerns have been reported, particularly due to the abundance of monoterpenes and ascaridole, which may induce adverse effects (</w:t>
      </w:r>
      <w:proofErr w:type="spellStart"/>
      <w:r w:rsidRPr="00B078BD">
        <w:rPr>
          <w:rFonts w:ascii="Times New Roman" w:hAnsi="Times New Roman" w:cs="Times New Roman"/>
          <w:sz w:val="24"/>
          <w:szCs w:val="24"/>
        </w:rPr>
        <w:t>Aborisade</w:t>
      </w:r>
      <w:proofErr w:type="spellEnd"/>
      <w:r w:rsidRPr="00B078BD">
        <w:rPr>
          <w:rFonts w:ascii="Times New Roman" w:hAnsi="Times New Roman" w:cs="Times New Roman"/>
          <w:sz w:val="24"/>
          <w:szCs w:val="24"/>
        </w:rPr>
        <w:t xml:space="preserve"> et al., 2017). The essential oil of </w:t>
      </w:r>
      <w:r w:rsidRPr="00B078BD">
        <w:rPr>
          <w:rFonts w:ascii="Times New Roman" w:hAnsi="Times New Roman" w:cs="Times New Roman"/>
          <w:i/>
          <w:iCs/>
          <w:sz w:val="24"/>
          <w:szCs w:val="24"/>
        </w:rPr>
        <w:t>C. ambrosioides</w:t>
      </w:r>
      <w:r w:rsidRPr="00B078BD">
        <w:rPr>
          <w:rFonts w:ascii="Times New Roman" w:hAnsi="Times New Roman" w:cs="Times New Roman"/>
          <w:sz w:val="24"/>
          <w:szCs w:val="24"/>
        </w:rPr>
        <w:t xml:space="preserve"> has been found effective against parasitic worms in animals, including roundworms and hookworms in dogs, and ascarids in swine, cats, and horses (Monteiro et al., 2017). Furthermore, excessive consumption of Chenopodium species has been associated with health risks, although supplementation with external antioxidants from minerals or dietary sources may mitigate such effects (Ghareeb et al., 2016).</w:t>
      </w:r>
    </w:p>
    <w:p w14:paraId="7AEAAE59" w14:textId="10C0A24D" w:rsidR="00DE545C" w:rsidRPr="00751564" w:rsidRDefault="00B078BD" w:rsidP="00B078BD">
      <w:pPr>
        <w:widowControl w:val="0"/>
        <w:spacing w:line="360" w:lineRule="auto"/>
        <w:ind w:firstLine="720"/>
        <w:jc w:val="both"/>
        <w:rPr>
          <w:rFonts w:ascii="Times New Roman" w:hAnsi="Times New Roman" w:cs="Times New Roman"/>
          <w:sz w:val="24"/>
          <w:szCs w:val="24"/>
        </w:rPr>
      </w:pPr>
      <w:r w:rsidRPr="00B078BD">
        <w:rPr>
          <w:rFonts w:ascii="Times New Roman" w:hAnsi="Times New Roman" w:cs="Times New Roman"/>
          <w:sz w:val="24"/>
          <w:szCs w:val="24"/>
        </w:rPr>
        <w:t xml:space="preserve">Despite extensive ethnobotanical and pharmacological documentation, limited information is available on the nutritional composition, mineral content, and antioxidant potential of </w:t>
      </w:r>
      <w:r w:rsidRPr="00B078BD">
        <w:rPr>
          <w:rFonts w:ascii="Times New Roman" w:hAnsi="Times New Roman" w:cs="Times New Roman"/>
          <w:i/>
          <w:iCs/>
          <w:sz w:val="24"/>
          <w:szCs w:val="24"/>
        </w:rPr>
        <w:t>C. ambrosioides</w:t>
      </w:r>
      <w:r w:rsidRPr="00B078BD">
        <w:rPr>
          <w:rFonts w:ascii="Times New Roman" w:hAnsi="Times New Roman" w:cs="Times New Roman"/>
          <w:sz w:val="24"/>
          <w:szCs w:val="24"/>
        </w:rPr>
        <w:t xml:space="preserve">, particularly with respect to regional variation. The Kangra Valley of Himachal Pradesh, characterized by diverse microclimatic conditions, provides an ideal setting for comparative evaluation of this species. However, systematic studies integrating proximate composition, mineral profiling, phytochemical quantification, and antioxidant assessment across multiple locations are scarce. Therefore, the present study was undertaken to assess the variability in nutritional and phytochemical traits of </w:t>
      </w:r>
      <w:r w:rsidRPr="00B078BD">
        <w:rPr>
          <w:rFonts w:ascii="Times New Roman" w:hAnsi="Times New Roman" w:cs="Times New Roman"/>
          <w:i/>
          <w:iCs/>
          <w:sz w:val="24"/>
          <w:szCs w:val="24"/>
        </w:rPr>
        <w:t>C. ambrosioides</w:t>
      </w:r>
      <w:r w:rsidRPr="00B078BD">
        <w:rPr>
          <w:rFonts w:ascii="Times New Roman" w:hAnsi="Times New Roman" w:cs="Times New Roman"/>
          <w:sz w:val="24"/>
          <w:szCs w:val="24"/>
        </w:rPr>
        <w:t xml:space="preserve"> leaves collected from different locations of the Kangra Valley, with the aim of identifying superior accessions for potential applications in functional foods, nutraceuticals, and herbal formulations</w:t>
      </w:r>
      <w:r w:rsidR="00DE545C" w:rsidRPr="00751564">
        <w:rPr>
          <w:rFonts w:ascii="Times New Roman" w:hAnsi="Times New Roman" w:cs="Times New Roman"/>
          <w:sz w:val="24"/>
          <w:szCs w:val="24"/>
        </w:rPr>
        <w:t>.</w:t>
      </w:r>
    </w:p>
    <w:p w14:paraId="0F617E0C" w14:textId="7B89018A" w:rsidR="004730B3" w:rsidRPr="0062002F" w:rsidRDefault="004730B3" w:rsidP="0062002F">
      <w:pPr>
        <w:pStyle w:val="ListParagraph"/>
        <w:numPr>
          <w:ilvl w:val="0"/>
          <w:numId w:val="4"/>
        </w:numPr>
        <w:spacing w:after="0" w:line="360" w:lineRule="auto"/>
        <w:ind w:left="0" w:firstLine="0"/>
        <w:jc w:val="both"/>
        <w:rPr>
          <w:rFonts w:ascii="Times New Roman" w:hAnsi="Times New Roman" w:cs="Times New Roman"/>
          <w:b/>
          <w:sz w:val="24"/>
          <w:szCs w:val="24"/>
        </w:rPr>
      </w:pPr>
      <w:r w:rsidRPr="0062002F">
        <w:rPr>
          <w:rFonts w:ascii="Times New Roman" w:hAnsi="Times New Roman" w:cs="Times New Roman"/>
          <w:b/>
          <w:sz w:val="24"/>
          <w:szCs w:val="24"/>
        </w:rPr>
        <w:t>MATERIAL AND METHODS</w:t>
      </w:r>
    </w:p>
    <w:p w14:paraId="1DE51817" w14:textId="2845BFFD" w:rsidR="004730B3" w:rsidRPr="00A92FE1" w:rsidRDefault="004730B3" w:rsidP="0062002F">
      <w:pPr>
        <w:spacing w:after="0" w:line="360" w:lineRule="auto"/>
        <w:jc w:val="both"/>
        <w:rPr>
          <w:rFonts w:ascii="Times New Roman" w:hAnsi="Times New Roman" w:cs="Times New Roman"/>
          <w:b/>
          <w:sz w:val="24"/>
          <w:szCs w:val="24"/>
        </w:rPr>
      </w:pPr>
      <w:r w:rsidRPr="00A92FE1">
        <w:rPr>
          <w:rFonts w:ascii="Times New Roman" w:hAnsi="Times New Roman" w:cs="Times New Roman"/>
          <w:b/>
          <w:sz w:val="24"/>
          <w:szCs w:val="24"/>
        </w:rPr>
        <w:lastRenderedPageBreak/>
        <w:t>2.1</w:t>
      </w:r>
      <w:r w:rsidR="0062002F">
        <w:rPr>
          <w:rFonts w:ascii="Times New Roman" w:hAnsi="Times New Roman" w:cs="Times New Roman"/>
          <w:b/>
          <w:sz w:val="24"/>
          <w:szCs w:val="24"/>
        </w:rPr>
        <w:tab/>
      </w:r>
      <w:r w:rsidRPr="00A92FE1">
        <w:rPr>
          <w:rFonts w:ascii="Times New Roman" w:hAnsi="Times New Roman" w:cs="Times New Roman"/>
          <w:b/>
          <w:sz w:val="24"/>
          <w:szCs w:val="24"/>
        </w:rPr>
        <w:t>Plant sampling</w:t>
      </w:r>
    </w:p>
    <w:p w14:paraId="78D9E6F8" w14:textId="6F4C9FD4" w:rsidR="004730B3" w:rsidRPr="00A92FE1" w:rsidRDefault="004730B3" w:rsidP="0062002F">
      <w:pPr>
        <w:widowControl w:val="0"/>
        <w:spacing w:after="0" w:line="360" w:lineRule="auto"/>
        <w:ind w:firstLine="720"/>
        <w:jc w:val="both"/>
        <w:rPr>
          <w:rFonts w:ascii="Times New Roman" w:hAnsi="Times New Roman" w:cs="Times New Roman"/>
          <w:sz w:val="24"/>
          <w:szCs w:val="24"/>
        </w:rPr>
      </w:pPr>
      <w:r w:rsidRPr="00A92FE1">
        <w:rPr>
          <w:rFonts w:ascii="Times New Roman" w:hAnsi="Times New Roman" w:cs="Times New Roman"/>
          <w:sz w:val="24"/>
          <w:szCs w:val="24"/>
        </w:rPr>
        <w:t xml:space="preserve">The present study was carried out on the </w:t>
      </w:r>
      <w:r w:rsidRPr="00A92FE1">
        <w:rPr>
          <w:rFonts w:ascii="Times New Roman" w:hAnsi="Times New Roman" w:cs="Times New Roman"/>
          <w:i/>
          <w:sz w:val="24"/>
          <w:szCs w:val="24"/>
        </w:rPr>
        <w:t>C</w:t>
      </w:r>
      <w:r w:rsidR="009E52AB" w:rsidRPr="00A92FE1">
        <w:rPr>
          <w:rFonts w:ascii="Times New Roman" w:hAnsi="Times New Roman" w:cs="Times New Roman"/>
          <w:i/>
          <w:sz w:val="24"/>
          <w:szCs w:val="24"/>
        </w:rPr>
        <w:t>.</w:t>
      </w:r>
      <w:r w:rsidRPr="00A92FE1">
        <w:rPr>
          <w:rFonts w:ascii="Times New Roman" w:hAnsi="Times New Roman" w:cs="Times New Roman"/>
          <w:i/>
          <w:sz w:val="24"/>
          <w:szCs w:val="24"/>
        </w:rPr>
        <w:t xml:space="preserve"> ambrosioides</w:t>
      </w:r>
      <w:r w:rsidRPr="00A92FE1">
        <w:rPr>
          <w:rFonts w:ascii="Times New Roman" w:hAnsi="Times New Roman" w:cs="Times New Roman"/>
          <w:sz w:val="24"/>
          <w:szCs w:val="24"/>
        </w:rPr>
        <w:t xml:space="preserve"> leaves which were collected from twelve different regions (Tehsil) of Kangra District of Himachal Pradesh. Approximately 200 g of fresh leaves were collected from each location. Samples of fresh </w:t>
      </w:r>
      <w:r w:rsidRPr="00A92FE1">
        <w:rPr>
          <w:rFonts w:ascii="Times New Roman" w:hAnsi="Times New Roman" w:cs="Times New Roman"/>
          <w:i/>
          <w:sz w:val="24"/>
          <w:szCs w:val="24"/>
        </w:rPr>
        <w:t>C</w:t>
      </w:r>
      <w:r w:rsidR="009E52AB" w:rsidRPr="00A92FE1">
        <w:rPr>
          <w:rFonts w:ascii="Times New Roman" w:hAnsi="Times New Roman" w:cs="Times New Roman"/>
          <w:i/>
          <w:sz w:val="24"/>
          <w:szCs w:val="24"/>
        </w:rPr>
        <w:t>.</w:t>
      </w:r>
      <w:r w:rsidRPr="00A92FE1">
        <w:rPr>
          <w:rFonts w:ascii="Times New Roman" w:hAnsi="Times New Roman" w:cs="Times New Roman"/>
          <w:i/>
          <w:sz w:val="24"/>
          <w:szCs w:val="24"/>
        </w:rPr>
        <w:t xml:space="preserve"> ambrosioides </w:t>
      </w:r>
      <w:r w:rsidRPr="00A92FE1">
        <w:rPr>
          <w:rFonts w:ascii="Times New Roman" w:hAnsi="Times New Roman" w:cs="Times New Roman"/>
          <w:sz w:val="24"/>
          <w:szCs w:val="24"/>
        </w:rPr>
        <w:t xml:space="preserve">leaves were collected in the aluminium foil and </w:t>
      </w:r>
      <w:r w:rsidR="00A70A59" w:rsidRPr="00A70A59">
        <w:rPr>
          <w:rFonts w:ascii="Times New Roman" w:hAnsi="Times New Roman" w:cs="Times New Roman"/>
          <w:sz w:val="24"/>
          <w:szCs w:val="24"/>
        </w:rPr>
        <w:t>subsequently</w:t>
      </w:r>
      <w:r w:rsidRPr="00A92FE1">
        <w:rPr>
          <w:rFonts w:ascii="Times New Roman" w:hAnsi="Times New Roman" w:cs="Times New Roman"/>
          <w:sz w:val="24"/>
          <w:szCs w:val="24"/>
        </w:rPr>
        <w:t xml:space="preserve"> stored in the freezer till further biochemical analysis. For sample preparation of fresh leaves (without any contaminants) were dried overnight in a hot air oven at 45°C ± 5°C for further analysis</w:t>
      </w:r>
      <w:r w:rsidR="009E52AB" w:rsidRPr="00A92FE1">
        <w:rPr>
          <w:rFonts w:ascii="Times New Roman" w:hAnsi="Times New Roman" w:cs="Times New Roman"/>
          <w:sz w:val="24"/>
          <w:szCs w:val="24"/>
        </w:rPr>
        <w:t xml:space="preserve"> (Figure 1)</w:t>
      </w:r>
      <w:r w:rsidRPr="00A92FE1">
        <w:rPr>
          <w:rFonts w:ascii="Times New Roman" w:hAnsi="Times New Roman" w:cs="Times New Roman"/>
          <w:sz w:val="24"/>
          <w:szCs w:val="24"/>
        </w:rPr>
        <w:t>.</w:t>
      </w:r>
    </w:p>
    <w:p w14:paraId="1389C24A" w14:textId="77777777" w:rsidR="0062002F" w:rsidRDefault="00E0736E" w:rsidP="0062002F">
      <w:pPr>
        <w:keepNext/>
        <w:widowControl w:val="0"/>
        <w:spacing w:before="120" w:after="120" w:line="360" w:lineRule="auto"/>
        <w:jc w:val="both"/>
      </w:pPr>
      <w:r w:rsidRPr="00A92FE1">
        <w:rPr>
          <w:rFonts w:ascii="Times New Roman" w:hAnsi="Times New Roman" w:cs="Times New Roman"/>
          <w:sz w:val="24"/>
          <w:szCs w:val="24"/>
        </w:rPr>
        <w:tab/>
      </w:r>
      <w:r w:rsidRPr="00A92FE1">
        <w:rPr>
          <w:rFonts w:ascii="Times New Roman" w:hAnsi="Times New Roman" w:cs="Times New Roman"/>
          <w:sz w:val="24"/>
          <w:szCs w:val="24"/>
        </w:rPr>
        <w:tab/>
      </w:r>
      <w:r w:rsidRPr="00A92FE1">
        <w:rPr>
          <w:rFonts w:ascii="Times New Roman" w:hAnsi="Times New Roman" w:cs="Times New Roman"/>
          <w:sz w:val="24"/>
          <w:szCs w:val="24"/>
        </w:rPr>
        <w:tab/>
      </w:r>
      <w:r w:rsidRPr="00A92FE1">
        <w:rPr>
          <w:rFonts w:ascii="Times New Roman" w:hAnsi="Times New Roman" w:cs="Times New Roman"/>
          <w:b/>
          <w:noProof/>
          <w:sz w:val="24"/>
          <w:szCs w:val="24"/>
        </w:rPr>
        <w:drawing>
          <wp:inline distT="0" distB="0" distL="0" distR="0" wp14:anchorId="4F142C54" wp14:editId="53F58528">
            <wp:extent cx="2827667" cy="2165231"/>
            <wp:effectExtent l="19050" t="0" r="0" b="0"/>
            <wp:docPr id="60" name="Picture 11" descr="C:\Users\Shivani Sharma\Desktop\RESEARCH\Sample Collection\Nagro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hivani Sharma\Desktop\RESEARCH\Sample Collection\Nagrota.jpg"/>
                    <pic:cNvPicPr>
                      <a:picLocks noChangeAspect="1" noChangeArrowheads="1"/>
                    </pic:cNvPicPr>
                  </pic:nvPicPr>
                  <pic:blipFill>
                    <a:blip r:embed="rId7" cstate="print"/>
                    <a:srcRect/>
                    <a:stretch>
                      <a:fillRect/>
                    </a:stretch>
                  </pic:blipFill>
                  <pic:spPr bwMode="auto">
                    <a:xfrm>
                      <a:off x="0" y="0"/>
                      <a:ext cx="2828262" cy="2165686"/>
                    </a:xfrm>
                    <a:prstGeom prst="rect">
                      <a:avLst/>
                    </a:prstGeom>
                    <a:noFill/>
                    <a:ln w="9525">
                      <a:noFill/>
                      <a:miter lim="800000"/>
                      <a:headEnd/>
                      <a:tailEnd/>
                    </a:ln>
                  </pic:spPr>
                </pic:pic>
              </a:graphicData>
            </a:graphic>
          </wp:inline>
        </w:drawing>
      </w:r>
    </w:p>
    <w:p w14:paraId="14C1B4A5" w14:textId="6A376D83" w:rsidR="00E0736E" w:rsidRPr="0062002F" w:rsidRDefault="0062002F" w:rsidP="0062002F">
      <w:pPr>
        <w:pStyle w:val="Caption"/>
        <w:jc w:val="center"/>
        <w:rPr>
          <w:rFonts w:ascii="Times New Roman" w:hAnsi="Times New Roman" w:cs="Times New Roman"/>
          <w:i w:val="0"/>
          <w:iCs w:val="0"/>
          <w:sz w:val="36"/>
          <w:szCs w:val="36"/>
        </w:rPr>
      </w:pPr>
      <w:r w:rsidRPr="0062002F">
        <w:rPr>
          <w:rFonts w:ascii="Times New Roman" w:hAnsi="Times New Roman" w:cs="Times New Roman"/>
          <w:b/>
          <w:bCs/>
          <w:i w:val="0"/>
          <w:iCs w:val="0"/>
          <w:sz w:val="24"/>
          <w:szCs w:val="24"/>
        </w:rPr>
        <w:t>Figure 1</w:t>
      </w:r>
      <w:r w:rsidRPr="0062002F">
        <w:rPr>
          <w:rFonts w:ascii="Times New Roman" w:hAnsi="Times New Roman" w:cs="Times New Roman"/>
          <w:i w:val="0"/>
          <w:iCs w:val="0"/>
          <w:sz w:val="24"/>
          <w:szCs w:val="24"/>
        </w:rPr>
        <w:t xml:space="preserve"> Overview of </w:t>
      </w:r>
      <w:r w:rsidRPr="0053493D">
        <w:rPr>
          <w:rFonts w:ascii="Times New Roman" w:hAnsi="Times New Roman" w:cs="Times New Roman"/>
          <w:sz w:val="24"/>
          <w:szCs w:val="24"/>
        </w:rPr>
        <w:t>Chenopodium ambrosioides</w:t>
      </w:r>
      <w:r w:rsidRPr="0062002F">
        <w:rPr>
          <w:rFonts w:ascii="Times New Roman" w:hAnsi="Times New Roman" w:cs="Times New Roman"/>
          <w:i w:val="0"/>
          <w:iCs w:val="0"/>
          <w:sz w:val="24"/>
          <w:szCs w:val="24"/>
        </w:rPr>
        <w:t xml:space="preserve"> plant</w:t>
      </w:r>
    </w:p>
    <w:p w14:paraId="3ACFAF8F" w14:textId="77777777" w:rsidR="0062002F" w:rsidRDefault="002B27E1" w:rsidP="0053493D">
      <w:pPr>
        <w:widowControl w:val="0"/>
        <w:spacing w:after="0" w:line="360" w:lineRule="auto"/>
        <w:jc w:val="both"/>
        <w:rPr>
          <w:rFonts w:ascii="Times New Roman" w:hAnsi="Times New Roman" w:cs="Times New Roman"/>
          <w:sz w:val="24"/>
          <w:szCs w:val="24"/>
        </w:rPr>
      </w:pPr>
      <w:r w:rsidRPr="00A92FE1">
        <w:rPr>
          <w:rFonts w:ascii="Times New Roman" w:hAnsi="Times New Roman" w:cs="Times New Roman"/>
          <w:sz w:val="24"/>
          <w:szCs w:val="24"/>
        </w:rPr>
        <w:tab/>
      </w:r>
      <w:r w:rsidRPr="00A92FE1">
        <w:rPr>
          <w:rFonts w:ascii="Times New Roman" w:hAnsi="Times New Roman" w:cs="Times New Roman"/>
          <w:sz w:val="24"/>
          <w:szCs w:val="24"/>
        </w:rPr>
        <w:tab/>
      </w:r>
    </w:p>
    <w:p w14:paraId="196EE277" w14:textId="0903781E" w:rsidR="004730B3" w:rsidRPr="00A92FE1" w:rsidRDefault="0062002F" w:rsidP="0053493D">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4730B3" w:rsidRPr="00A92FE1">
        <w:rPr>
          <w:rFonts w:ascii="Times New Roman" w:hAnsi="Times New Roman" w:cs="Times New Roman"/>
          <w:b/>
          <w:sz w:val="24"/>
          <w:szCs w:val="24"/>
        </w:rPr>
        <w:t>Proximate composition</w:t>
      </w:r>
    </w:p>
    <w:p w14:paraId="7ED4B87F" w14:textId="43377281" w:rsidR="0072267A" w:rsidRPr="00A92FE1" w:rsidRDefault="0072267A" w:rsidP="0053493D">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A92FE1">
        <w:rPr>
          <w:rFonts w:ascii="Times New Roman" w:eastAsia="Times New Roman" w:hAnsi="Times New Roman" w:cs="Times New Roman"/>
          <w:kern w:val="0"/>
          <w:sz w:val="24"/>
          <w:szCs w:val="24"/>
          <w:lang w:eastAsia="en-IN"/>
          <w14:ligatures w14:val="none"/>
        </w:rPr>
        <w:t xml:space="preserve">The proximate composition of </w:t>
      </w:r>
      <w:r w:rsidRPr="00A92FE1">
        <w:rPr>
          <w:rFonts w:ascii="Times New Roman" w:eastAsia="Times New Roman" w:hAnsi="Times New Roman" w:cs="Times New Roman"/>
          <w:i/>
          <w:iCs/>
          <w:kern w:val="0"/>
          <w:sz w:val="24"/>
          <w:szCs w:val="24"/>
          <w:lang w:eastAsia="en-IN"/>
          <w14:ligatures w14:val="none"/>
        </w:rPr>
        <w:t>C</w:t>
      </w:r>
      <w:r w:rsidR="009E52AB" w:rsidRPr="00A92FE1">
        <w:rPr>
          <w:rFonts w:ascii="Times New Roman" w:eastAsia="Times New Roman" w:hAnsi="Times New Roman" w:cs="Times New Roman"/>
          <w:i/>
          <w:iCs/>
          <w:kern w:val="0"/>
          <w:sz w:val="24"/>
          <w:szCs w:val="24"/>
          <w:lang w:eastAsia="en-IN"/>
          <w14:ligatures w14:val="none"/>
        </w:rPr>
        <w:t>.</w:t>
      </w:r>
      <w:r w:rsidRPr="00A92FE1">
        <w:rPr>
          <w:rFonts w:ascii="Times New Roman" w:eastAsia="Times New Roman" w:hAnsi="Times New Roman" w:cs="Times New Roman"/>
          <w:i/>
          <w:iCs/>
          <w:kern w:val="0"/>
          <w:sz w:val="24"/>
          <w:szCs w:val="24"/>
          <w:lang w:eastAsia="en-IN"/>
          <w14:ligatures w14:val="none"/>
        </w:rPr>
        <w:t xml:space="preserve"> ambrosioides</w:t>
      </w:r>
      <w:r w:rsidRPr="00A92FE1">
        <w:rPr>
          <w:rFonts w:ascii="Times New Roman" w:eastAsia="Times New Roman" w:hAnsi="Times New Roman" w:cs="Times New Roman"/>
          <w:kern w:val="0"/>
          <w:sz w:val="24"/>
          <w:szCs w:val="24"/>
          <w:lang w:eastAsia="en-IN"/>
          <w14:ligatures w14:val="none"/>
        </w:rPr>
        <w:t xml:space="preserve"> leaves, including moisture, total ash, crude </w:t>
      </w:r>
      <w:r w:rsidR="0062002F" w:rsidRPr="00A92FE1">
        <w:rPr>
          <w:rFonts w:ascii="Times New Roman" w:eastAsia="Times New Roman" w:hAnsi="Times New Roman" w:cs="Times New Roman"/>
          <w:kern w:val="0"/>
          <w:sz w:val="24"/>
          <w:szCs w:val="24"/>
          <w:lang w:eastAsia="en-IN"/>
          <w14:ligatures w14:val="none"/>
        </w:rPr>
        <w:t>fibre</w:t>
      </w:r>
      <w:r w:rsidRPr="00A92FE1">
        <w:rPr>
          <w:rFonts w:ascii="Times New Roman" w:eastAsia="Times New Roman" w:hAnsi="Times New Roman" w:cs="Times New Roman"/>
          <w:kern w:val="0"/>
          <w:sz w:val="24"/>
          <w:szCs w:val="24"/>
          <w:lang w:eastAsia="en-IN"/>
          <w14:ligatures w14:val="none"/>
        </w:rPr>
        <w:t xml:space="preserve">, crude fat, and crude protein was determined using standard methods recommended </w:t>
      </w:r>
      <w:r w:rsidRPr="00A92FE1">
        <w:rPr>
          <w:rFonts w:ascii="Times New Roman" w:eastAsia="Times New Roman" w:hAnsi="Times New Roman" w:cs="Times New Roman"/>
          <w:color w:val="000000" w:themeColor="text1"/>
          <w:kern w:val="0"/>
          <w:sz w:val="24"/>
          <w:szCs w:val="24"/>
          <w:lang w:eastAsia="en-IN"/>
          <w14:ligatures w14:val="none"/>
        </w:rPr>
        <w:t xml:space="preserve">by AOAC (2010). </w:t>
      </w:r>
      <w:r w:rsidRPr="00A92FE1">
        <w:rPr>
          <w:rFonts w:ascii="Times New Roman" w:eastAsia="Times New Roman" w:hAnsi="Times New Roman" w:cs="Times New Roman"/>
          <w:kern w:val="0"/>
          <w:sz w:val="24"/>
          <w:szCs w:val="24"/>
          <w:lang w:eastAsia="en-IN"/>
          <w14:ligatures w14:val="none"/>
        </w:rPr>
        <w:t xml:space="preserve">Moisture content was estimated by drying fresh samples in a hot-air oven at </w:t>
      </w:r>
      <w:r w:rsidR="00D50491" w:rsidRPr="00A92FE1">
        <w:rPr>
          <w:rFonts w:ascii="Times New Roman" w:eastAsia="Times New Roman" w:hAnsi="Times New Roman" w:cs="Times New Roman"/>
          <w:kern w:val="0"/>
          <w:sz w:val="24"/>
          <w:szCs w:val="24"/>
          <w:lang w:eastAsia="en-IN"/>
          <w14:ligatures w14:val="none"/>
        </w:rPr>
        <w:t xml:space="preserve">65°C for 8 hrs </w:t>
      </w:r>
      <w:r w:rsidRPr="00A92FE1">
        <w:rPr>
          <w:rFonts w:ascii="Times New Roman" w:eastAsia="Times New Roman" w:hAnsi="Times New Roman" w:cs="Times New Roman"/>
          <w:kern w:val="0"/>
          <w:sz w:val="24"/>
          <w:szCs w:val="24"/>
          <w:lang w:eastAsia="en-IN"/>
          <w14:ligatures w14:val="none"/>
        </w:rPr>
        <w:t xml:space="preserve">until a constant weight was achieved. Total ash content was obtained by incinerating the dried material in a muffle furnace at </w:t>
      </w:r>
      <w:r w:rsidR="00D50491" w:rsidRPr="00A92FE1">
        <w:rPr>
          <w:rFonts w:ascii="Times New Roman" w:eastAsia="Times New Roman" w:hAnsi="Times New Roman" w:cs="Times New Roman"/>
          <w:kern w:val="0"/>
          <w:sz w:val="24"/>
          <w:szCs w:val="24"/>
          <w:lang w:eastAsia="en-IN"/>
          <w14:ligatures w14:val="none"/>
        </w:rPr>
        <w:t xml:space="preserve">550 ± 25°C for 5-6 hrs </w:t>
      </w:r>
      <w:r w:rsidRPr="00A92FE1">
        <w:rPr>
          <w:rFonts w:ascii="Times New Roman" w:eastAsia="Times New Roman" w:hAnsi="Times New Roman" w:cs="Times New Roman"/>
          <w:kern w:val="0"/>
          <w:sz w:val="24"/>
          <w:szCs w:val="24"/>
          <w:lang w:eastAsia="en-IN"/>
          <w14:ligatures w14:val="none"/>
        </w:rPr>
        <w:t>until white ash residue appeared. Crude fat was quantified using a Soxhlet extraction unit with petroleum ether as the solvent, while crude fib</w:t>
      </w:r>
      <w:r w:rsidR="00CA74E1" w:rsidRPr="00A92FE1">
        <w:rPr>
          <w:rFonts w:ascii="Times New Roman" w:eastAsia="Times New Roman" w:hAnsi="Times New Roman" w:cs="Times New Roman"/>
          <w:kern w:val="0"/>
          <w:sz w:val="24"/>
          <w:szCs w:val="24"/>
          <w:lang w:eastAsia="en-IN"/>
          <w14:ligatures w14:val="none"/>
        </w:rPr>
        <w:t>re</w:t>
      </w:r>
      <w:r w:rsidRPr="00A92FE1">
        <w:rPr>
          <w:rFonts w:ascii="Times New Roman" w:eastAsia="Times New Roman" w:hAnsi="Times New Roman" w:cs="Times New Roman"/>
          <w:kern w:val="0"/>
          <w:sz w:val="24"/>
          <w:szCs w:val="24"/>
          <w:lang w:eastAsia="en-IN"/>
          <w14:ligatures w14:val="none"/>
        </w:rPr>
        <w:t xml:space="preserve"> was determined through sequential acid and alkali digestion after defatting the samples.</w:t>
      </w:r>
    </w:p>
    <w:p w14:paraId="5CA9A35D" w14:textId="02E19B23" w:rsidR="000C155C" w:rsidRPr="00A92FE1" w:rsidRDefault="0072267A" w:rsidP="0053493D">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A92FE1">
        <w:rPr>
          <w:rFonts w:ascii="Times New Roman" w:eastAsia="Times New Roman" w:hAnsi="Times New Roman" w:cs="Times New Roman"/>
          <w:kern w:val="0"/>
          <w:sz w:val="24"/>
          <w:szCs w:val="24"/>
          <w:lang w:eastAsia="en-IN"/>
          <w14:ligatures w14:val="none"/>
        </w:rPr>
        <w:t>Protein estimation was performed using the micro-Kjeldahl method. Briefly, powdered samples were digested in concentrated sulfuric acid (H</w:t>
      </w:r>
      <w:r w:rsidR="0062002F" w:rsidRPr="0062002F">
        <w:rPr>
          <w:rFonts w:ascii="Times New Roman" w:eastAsia="Times New Roman" w:hAnsi="Times New Roman" w:cs="Times New Roman"/>
          <w:kern w:val="0"/>
          <w:sz w:val="24"/>
          <w:szCs w:val="24"/>
          <w:vertAlign w:val="subscript"/>
          <w:lang w:eastAsia="en-IN"/>
          <w14:ligatures w14:val="none"/>
        </w:rPr>
        <w:t>2</w:t>
      </w:r>
      <w:r w:rsidRPr="00A92FE1">
        <w:rPr>
          <w:rFonts w:ascii="Times New Roman" w:eastAsia="Times New Roman" w:hAnsi="Times New Roman" w:cs="Times New Roman"/>
          <w:kern w:val="0"/>
          <w:sz w:val="24"/>
          <w:szCs w:val="24"/>
          <w:lang w:eastAsia="en-IN"/>
          <w14:ligatures w14:val="none"/>
        </w:rPr>
        <w:t>SO</w:t>
      </w:r>
      <w:r w:rsidR="0062002F" w:rsidRPr="0062002F">
        <w:rPr>
          <w:rFonts w:ascii="Times New Roman" w:eastAsia="Times New Roman" w:hAnsi="Times New Roman" w:cs="Times New Roman"/>
          <w:kern w:val="0"/>
          <w:sz w:val="24"/>
          <w:szCs w:val="24"/>
          <w:vertAlign w:val="subscript"/>
          <w:lang w:eastAsia="en-IN"/>
          <w14:ligatures w14:val="none"/>
        </w:rPr>
        <w:t>4</w:t>
      </w:r>
      <w:r w:rsidRPr="00A92FE1">
        <w:rPr>
          <w:rFonts w:ascii="Times New Roman" w:eastAsia="Times New Roman" w:hAnsi="Times New Roman" w:cs="Times New Roman"/>
          <w:kern w:val="0"/>
          <w:sz w:val="24"/>
          <w:szCs w:val="24"/>
          <w:lang w:eastAsia="en-IN"/>
          <w14:ligatures w14:val="none"/>
        </w:rPr>
        <w:t xml:space="preserve">) with a catalyst mixture, followed by distillation and titration to determine total nitrogen content. Crude protein </w:t>
      </w:r>
      <w:r w:rsidR="0053493D">
        <w:rPr>
          <w:rFonts w:ascii="Times New Roman" w:eastAsia="Times New Roman" w:hAnsi="Times New Roman" w:cs="Times New Roman"/>
          <w:kern w:val="0"/>
          <w:sz w:val="24"/>
          <w:szCs w:val="24"/>
          <w:lang w:eastAsia="en-IN"/>
          <w14:ligatures w14:val="none"/>
        </w:rPr>
        <w:t>percent</w:t>
      </w:r>
      <w:r w:rsidRPr="00A92FE1">
        <w:rPr>
          <w:rFonts w:ascii="Times New Roman" w:eastAsia="Times New Roman" w:hAnsi="Times New Roman" w:cs="Times New Roman"/>
          <w:kern w:val="0"/>
          <w:sz w:val="24"/>
          <w:szCs w:val="24"/>
          <w:lang w:eastAsia="en-IN"/>
          <w14:ligatures w14:val="none"/>
        </w:rPr>
        <w:t xml:space="preserve">age was calculated by multiplying the nitrogen value by a conversion factor of 6.25. Total carbohydrate content was assessed using the </w:t>
      </w:r>
      <w:proofErr w:type="spellStart"/>
      <w:r w:rsidRPr="00A92FE1">
        <w:rPr>
          <w:rFonts w:ascii="Times New Roman" w:eastAsia="Times New Roman" w:hAnsi="Times New Roman" w:cs="Times New Roman"/>
          <w:kern w:val="0"/>
          <w:sz w:val="24"/>
          <w:szCs w:val="24"/>
          <w:lang w:eastAsia="en-IN"/>
          <w14:ligatures w14:val="none"/>
        </w:rPr>
        <w:t>anthrone</w:t>
      </w:r>
      <w:proofErr w:type="spellEnd"/>
      <w:r w:rsidRPr="00A92FE1">
        <w:rPr>
          <w:rFonts w:ascii="Times New Roman" w:eastAsia="Times New Roman" w:hAnsi="Times New Roman" w:cs="Times New Roman"/>
          <w:kern w:val="0"/>
          <w:sz w:val="24"/>
          <w:szCs w:val="24"/>
          <w:lang w:eastAsia="en-IN"/>
          <w14:ligatures w14:val="none"/>
        </w:rPr>
        <w:t xml:space="preserve"> method (</w:t>
      </w:r>
      <w:proofErr w:type="spellStart"/>
      <w:r w:rsidRPr="00A92FE1">
        <w:rPr>
          <w:rFonts w:ascii="Times New Roman" w:eastAsia="Times New Roman" w:hAnsi="Times New Roman" w:cs="Times New Roman"/>
          <w:color w:val="000000" w:themeColor="text1"/>
          <w:kern w:val="0"/>
          <w:sz w:val="24"/>
          <w:szCs w:val="24"/>
          <w:lang w:eastAsia="en-IN"/>
          <w14:ligatures w14:val="none"/>
        </w:rPr>
        <w:t>Yemm</w:t>
      </w:r>
      <w:proofErr w:type="spellEnd"/>
      <w:r w:rsidRPr="00A92FE1">
        <w:rPr>
          <w:rFonts w:ascii="Times New Roman" w:eastAsia="Times New Roman" w:hAnsi="Times New Roman" w:cs="Times New Roman"/>
          <w:color w:val="000000" w:themeColor="text1"/>
          <w:kern w:val="0"/>
          <w:sz w:val="24"/>
          <w:szCs w:val="24"/>
          <w:lang w:eastAsia="en-IN"/>
          <w14:ligatures w14:val="none"/>
        </w:rPr>
        <w:t xml:space="preserve"> and Wills, 1954), </w:t>
      </w:r>
      <w:r w:rsidRPr="00A92FE1">
        <w:rPr>
          <w:rFonts w:ascii="Times New Roman" w:eastAsia="Times New Roman" w:hAnsi="Times New Roman" w:cs="Times New Roman"/>
          <w:kern w:val="0"/>
          <w:sz w:val="24"/>
          <w:szCs w:val="24"/>
          <w:lang w:eastAsia="en-IN"/>
          <w14:ligatures w14:val="none"/>
        </w:rPr>
        <w:t>where the colo</w:t>
      </w:r>
      <w:r w:rsidR="0053493D">
        <w:rPr>
          <w:rFonts w:ascii="Times New Roman" w:eastAsia="Times New Roman" w:hAnsi="Times New Roman" w:cs="Times New Roman"/>
          <w:kern w:val="0"/>
          <w:sz w:val="24"/>
          <w:szCs w:val="24"/>
          <w:lang w:eastAsia="en-IN"/>
          <w14:ligatures w14:val="none"/>
        </w:rPr>
        <w:t>u</w:t>
      </w:r>
      <w:r w:rsidRPr="00A92FE1">
        <w:rPr>
          <w:rFonts w:ascii="Times New Roman" w:eastAsia="Times New Roman" w:hAnsi="Times New Roman" w:cs="Times New Roman"/>
          <w:kern w:val="0"/>
          <w:sz w:val="24"/>
          <w:szCs w:val="24"/>
          <w:lang w:eastAsia="en-IN"/>
          <w14:ligatures w14:val="none"/>
        </w:rPr>
        <w:t xml:space="preserve">r </w:t>
      </w:r>
      <w:r w:rsidRPr="00A92FE1">
        <w:rPr>
          <w:rFonts w:ascii="Times New Roman" w:eastAsia="Times New Roman" w:hAnsi="Times New Roman" w:cs="Times New Roman"/>
          <w:kern w:val="0"/>
          <w:sz w:val="24"/>
          <w:szCs w:val="24"/>
          <w:lang w:eastAsia="en-IN"/>
          <w14:ligatures w14:val="none"/>
        </w:rPr>
        <w:lastRenderedPageBreak/>
        <w:t>developed by the reaction was measured spectrophotometrically, and results were expressed as</w:t>
      </w:r>
      <w:r w:rsidR="00563955">
        <w:rPr>
          <w:rFonts w:ascii="Times New Roman" w:eastAsia="Times New Roman" w:hAnsi="Times New Roman" w:cs="Times New Roman"/>
          <w:kern w:val="0"/>
          <w:sz w:val="24"/>
          <w:szCs w:val="24"/>
          <w:lang w:eastAsia="en-IN"/>
          <w14:ligatures w14:val="none"/>
        </w:rPr>
        <w:t xml:space="preserve"> a</w:t>
      </w:r>
      <w:r w:rsidRPr="00A92FE1">
        <w:rPr>
          <w:rFonts w:ascii="Times New Roman" w:eastAsia="Times New Roman" w:hAnsi="Times New Roman" w:cs="Times New Roman"/>
          <w:kern w:val="0"/>
          <w:sz w:val="24"/>
          <w:szCs w:val="24"/>
          <w:lang w:eastAsia="en-IN"/>
          <w14:ligatures w14:val="none"/>
        </w:rPr>
        <w:t xml:space="preserve"> </w:t>
      </w:r>
      <w:r w:rsidR="0053493D">
        <w:rPr>
          <w:rFonts w:ascii="Times New Roman" w:eastAsia="Times New Roman" w:hAnsi="Times New Roman" w:cs="Times New Roman"/>
          <w:kern w:val="0"/>
          <w:sz w:val="24"/>
          <w:szCs w:val="24"/>
          <w:lang w:eastAsia="en-IN"/>
          <w14:ligatures w14:val="none"/>
        </w:rPr>
        <w:t>percent</w:t>
      </w:r>
      <w:r w:rsidRPr="00A92FE1">
        <w:rPr>
          <w:rFonts w:ascii="Times New Roman" w:eastAsia="Times New Roman" w:hAnsi="Times New Roman" w:cs="Times New Roman"/>
          <w:kern w:val="0"/>
          <w:sz w:val="24"/>
          <w:szCs w:val="24"/>
          <w:lang w:eastAsia="en-IN"/>
          <w14:ligatures w14:val="none"/>
        </w:rPr>
        <w:t>age</w:t>
      </w:r>
      <w:r w:rsidR="00B66B7A">
        <w:rPr>
          <w:rFonts w:ascii="Times New Roman" w:eastAsia="Times New Roman" w:hAnsi="Times New Roman" w:cs="Times New Roman"/>
          <w:kern w:val="0"/>
          <w:sz w:val="24"/>
          <w:szCs w:val="24"/>
          <w:lang w:eastAsia="en-IN"/>
          <w14:ligatures w14:val="none"/>
        </w:rPr>
        <w:t xml:space="preserve"> (DW)</w:t>
      </w:r>
      <w:r w:rsidRPr="00A92FE1">
        <w:rPr>
          <w:rFonts w:ascii="Times New Roman" w:eastAsia="Times New Roman" w:hAnsi="Times New Roman" w:cs="Times New Roman"/>
          <w:kern w:val="0"/>
          <w:sz w:val="24"/>
          <w:szCs w:val="24"/>
          <w:lang w:eastAsia="en-IN"/>
          <w14:ligatures w14:val="none"/>
        </w:rPr>
        <w:t>.</w:t>
      </w:r>
    </w:p>
    <w:p w14:paraId="724EC640" w14:textId="11AB7F19" w:rsidR="000C155C" w:rsidRPr="00A92FE1" w:rsidRDefault="000C155C" w:rsidP="0053493D">
      <w:pPr>
        <w:spacing w:after="0" w:line="360" w:lineRule="auto"/>
        <w:jc w:val="both"/>
        <w:rPr>
          <w:rFonts w:ascii="Times New Roman" w:eastAsia="Times New Roman" w:hAnsi="Times New Roman" w:cs="Times New Roman"/>
          <w:b/>
          <w:bCs/>
          <w:kern w:val="0"/>
          <w:sz w:val="24"/>
          <w:szCs w:val="24"/>
          <w:lang w:eastAsia="en-IN"/>
          <w14:ligatures w14:val="none"/>
        </w:rPr>
      </w:pPr>
      <w:r w:rsidRPr="00A92FE1">
        <w:rPr>
          <w:rFonts w:ascii="Times New Roman" w:eastAsia="Times New Roman" w:hAnsi="Times New Roman" w:cs="Times New Roman"/>
          <w:b/>
          <w:bCs/>
          <w:kern w:val="0"/>
          <w:sz w:val="24"/>
          <w:szCs w:val="24"/>
          <w:lang w:eastAsia="en-IN"/>
          <w14:ligatures w14:val="none"/>
        </w:rPr>
        <w:t>2.3</w:t>
      </w:r>
      <w:r w:rsidR="0053493D">
        <w:rPr>
          <w:rFonts w:ascii="Times New Roman" w:eastAsia="Times New Roman" w:hAnsi="Times New Roman" w:cs="Times New Roman"/>
          <w:b/>
          <w:bCs/>
          <w:kern w:val="0"/>
          <w:sz w:val="24"/>
          <w:szCs w:val="24"/>
          <w:lang w:eastAsia="en-IN"/>
          <w14:ligatures w14:val="none"/>
        </w:rPr>
        <w:tab/>
      </w:r>
      <w:r w:rsidRPr="00A92FE1">
        <w:rPr>
          <w:rFonts w:ascii="Times New Roman" w:eastAsia="Times New Roman" w:hAnsi="Times New Roman" w:cs="Times New Roman"/>
          <w:b/>
          <w:bCs/>
          <w:kern w:val="0"/>
          <w:sz w:val="24"/>
          <w:szCs w:val="24"/>
          <w:lang w:eastAsia="en-IN"/>
          <w14:ligatures w14:val="none"/>
        </w:rPr>
        <w:t>Elemental analysis</w:t>
      </w:r>
    </w:p>
    <w:p w14:paraId="4AA960D2" w14:textId="28D9A637" w:rsidR="000C155C" w:rsidRPr="00A76E39" w:rsidRDefault="000C155C" w:rsidP="0053493D">
      <w:pPr>
        <w:spacing w:after="0" w:line="360" w:lineRule="auto"/>
        <w:ind w:right="180" w:firstLine="720"/>
        <w:jc w:val="both"/>
        <w:rPr>
          <w:rFonts w:ascii="Times New Roman" w:hAnsi="Times New Roman" w:cs="Times New Roman"/>
          <w:color w:val="000000" w:themeColor="text1"/>
          <w:sz w:val="24"/>
          <w:szCs w:val="24"/>
        </w:rPr>
      </w:pPr>
      <w:r w:rsidRPr="00A92FE1">
        <w:rPr>
          <w:rFonts w:ascii="Times New Roman" w:hAnsi="Times New Roman" w:cs="Times New Roman"/>
          <w:sz w:val="24"/>
          <w:szCs w:val="24"/>
        </w:rPr>
        <w:t xml:space="preserve">The </w:t>
      </w:r>
      <w:r w:rsidRPr="00A92FE1">
        <w:rPr>
          <w:rFonts w:ascii="Times New Roman" w:hAnsi="Times New Roman" w:cs="Times New Roman"/>
          <w:color w:val="000000" w:themeColor="text1"/>
          <w:sz w:val="24"/>
          <w:szCs w:val="24"/>
        </w:rPr>
        <w:t>chemical nature of elements as well as their balanced concentration is different within plant species (Minson</w:t>
      </w:r>
      <w:r w:rsidR="009E52AB"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1982). The leaf samples were analysed for minerals by the method of (Piper</w:t>
      </w:r>
      <w:r w:rsidR="009E52AB"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1966). Nitric acid and perchloric acid (3:1) were used for the digestion of the dried sample. The aliquots were then used for the estimation of mineral nutrients. The three mineral elements such as potassium, sodium, and calcium were determined with the help of </w:t>
      </w:r>
      <w:proofErr w:type="spellStart"/>
      <w:r w:rsidRPr="00A92FE1">
        <w:rPr>
          <w:rFonts w:ascii="Times New Roman" w:hAnsi="Times New Roman" w:cs="Times New Roman"/>
          <w:color w:val="000000" w:themeColor="text1"/>
          <w:sz w:val="24"/>
          <w:szCs w:val="24"/>
        </w:rPr>
        <w:t>Systronics</w:t>
      </w:r>
      <w:proofErr w:type="spellEnd"/>
      <w:r w:rsidRPr="00A92FE1">
        <w:rPr>
          <w:rFonts w:ascii="Times New Roman" w:hAnsi="Times New Roman" w:cs="Times New Roman"/>
          <w:color w:val="000000" w:themeColor="text1"/>
          <w:sz w:val="24"/>
          <w:szCs w:val="24"/>
        </w:rPr>
        <w:t xml:space="preserve"> Flame photometer 128, whereas an atomic absorption spectrometer (AAS 4129) was used for estimating copper, iron, zinc, and manganese at different wavelengths of 324 nm, 248 nm, 213 nm, and 279 nm, respectively.</w:t>
      </w:r>
      <w:r w:rsidR="00A76E39" w:rsidRPr="00A76E39">
        <w:t xml:space="preserve"> </w:t>
      </w:r>
      <w:r w:rsidR="00A76E39" w:rsidRPr="00A76E39">
        <w:rPr>
          <w:rFonts w:ascii="Times New Roman" w:hAnsi="Times New Roman" w:cs="Times New Roman"/>
          <w:color w:val="000000" w:themeColor="text1"/>
          <w:sz w:val="24"/>
          <w:szCs w:val="24"/>
        </w:rPr>
        <w:t>Results were expressed as mg/100 g DW.</w:t>
      </w:r>
    </w:p>
    <w:p w14:paraId="696D8A40" w14:textId="25716E8B" w:rsidR="003F4E3A" w:rsidRPr="00A92FE1" w:rsidRDefault="003F4E3A" w:rsidP="0053493D">
      <w:pPr>
        <w:spacing w:after="0" w:line="360" w:lineRule="auto"/>
        <w:jc w:val="both"/>
        <w:rPr>
          <w:rFonts w:ascii="Times New Roman" w:eastAsia="Times New Roman" w:hAnsi="Times New Roman" w:cs="Times New Roman"/>
          <w:b/>
          <w:bCs/>
          <w:color w:val="000000" w:themeColor="text1"/>
          <w:kern w:val="0"/>
          <w:sz w:val="24"/>
          <w:szCs w:val="24"/>
          <w:lang w:eastAsia="en-IN"/>
          <w14:ligatures w14:val="none"/>
        </w:rPr>
      </w:pPr>
      <w:r w:rsidRPr="00A92FE1">
        <w:rPr>
          <w:rFonts w:ascii="Times New Roman" w:eastAsia="Times New Roman" w:hAnsi="Times New Roman" w:cs="Times New Roman"/>
          <w:b/>
          <w:bCs/>
          <w:color w:val="000000" w:themeColor="text1"/>
          <w:kern w:val="0"/>
          <w:sz w:val="24"/>
          <w:szCs w:val="24"/>
          <w:lang w:eastAsia="en-IN"/>
          <w14:ligatures w14:val="none"/>
        </w:rPr>
        <w:t>2.4</w:t>
      </w:r>
      <w:r w:rsidR="0053493D">
        <w:rPr>
          <w:rFonts w:ascii="Times New Roman" w:eastAsia="Times New Roman" w:hAnsi="Times New Roman" w:cs="Times New Roman"/>
          <w:b/>
          <w:bCs/>
          <w:color w:val="000000" w:themeColor="text1"/>
          <w:kern w:val="0"/>
          <w:sz w:val="24"/>
          <w:szCs w:val="24"/>
          <w:lang w:eastAsia="en-IN"/>
          <w14:ligatures w14:val="none"/>
        </w:rPr>
        <w:tab/>
      </w:r>
      <w:r w:rsidRPr="00A92FE1">
        <w:rPr>
          <w:rFonts w:ascii="Times New Roman" w:eastAsia="Times New Roman" w:hAnsi="Times New Roman" w:cs="Times New Roman"/>
          <w:b/>
          <w:bCs/>
          <w:color w:val="000000" w:themeColor="text1"/>
          <w:kern w:val="0"/>
          <w:sz w:val="24"/>
          <w:szCs w:val="24"/>
          <w:lang w:eastAsia="en-IN"/>
          <w14:ligatures w14:val="none"/>
        </w:rPr>
        <w:t>Determination of Total Phenols and Tannins</w:t>
      </w:r>
    </w:p>
    <w:p w14:paraId="1DADA69C" w14:textId="1F500D86" w:rsidR="000C155C" w:rsidRPr="00A92FE1" w:rsidRDefault="003F4E3A" w:rsidP="0053493D">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A92FE1">
        <w:rPr>
          <w:rFonts w:ascii="Times New Roman" w:eastAsia="Times New Roman" w:hAnsi="Times New Roman" w:cs="Times New Roman"/>
          <w:color w:val="000000" w:themeColor="text1"/>
          <w:kern w:val="0"/>
          <w:sz w:val="24"/>
          <w:szCs w:val="24"/>
          <w:lang w:eastAsia="en-IN"/>
          <w14:ligatures w14:val="none"/>
        </w:rPr>
        <w:t xml:space="preserve">Total phenolics, simple phenols, and tannins were quantified following the procedure described by Makkar et al. (1993). </w:t>
      </w:r>
      <w:r w:rsidRPr="00A92FE1">
        <w:rPr>
          <w:rFonts w:ascii="Times New Roman" w:eastAsia="Times New Roman" w:hAnsi="Times New Roman" w:cs="Times New Roman"/>
          <w:kern w:val="0"/>
          <w:sz w:val="24"/>
          <w:szCs w:val="24"/>
          <w:lang w:eastAsia="en-IN"/>
          <w14:ligatures w14:val="none"/>
        </w:rPr>
        <w:t xml:space="preserve">The estimation was carried out using the </w:t>
      </w:r>
      <w:proofErr w:type="spellStart"/>
      <w:r w:rsidRPr="00A92FE1">
        <w:rPr>
          <w:rFonts w:ascii="Times New Roman" w:eastAsia="Times New Roman" w:hAnsi="Times New Roman" w:cs="Times New Roman"/>
          <w:kern w:val="0"/>
          <w:sz w:val="24"/>
          <w:szCs w:val="24"/>
          <w:lang w:eastAsia="en-IN"/>
          <w14:ligatures w14:val="none"/>
        </w:rPr>
        <w:t>Folin</w:t>
      </w:r>
      <w:r w:rsidR="00551415" w:rsidRPr="00A92FE1">
        <w:rPr>
          <w:rFonts w:ascii="Times New Roman" w:eastAsia="Times New Roman" w:hAnsi="Times New Roman" w:cs="Times New Roman"/>
          <w:kern w:val="0"/>
          <w:sz w:val="24"/>
          <w:szCs w:val="24"/>
          <w:lang w:eastAsia="en-IN"/>
          <w14:ligatures w14:val="none"/>
        </w:rPr>
        <w:t>-</w:t>
      </w:r>
      <w:r w:rsidRPr="00A92FE1">
        <w:rPr>
          <w:rFonts w:ascii="Times New Roman" w:eastAsia="Times New Roman" w:hAnsi="Times New Roman" w:cs="Times New Roman"/>
          <w:kern w:val="0"/>
          <w:sz w:val="24"/>
          <w:szCs w:val="24"/>
          <w:lang w:eastAsia="en-IN"/>
          <w14:ligatures w14:val="none"/>
        </w:rPr>
        <w:t>Ciocalteu</w:t>
      </w:r>
      <w:proofErr w:type="spellEnd"/>
      <w:r w:rsidRPr="00A92FE1">
        <w:rPr>
          <w:rFonts w:ascii="Times New Roman" w:eastAsia="Times New Roman" w:hAnsi="Times New Roman" w:cs="Times New Roman"/>
          <w:kern w:val="0"/>
          <w:sz w:val="24"/>
          <w:szCs w:val="24"/>
          <w:lang w:eastAsia="en-IN"/>
          <w14:ligatures w14:val="none"/>
        </w:rPr>
        <w:t xml:space="preserve"> (FC) reagent, and absorbance was recorded at 725 nm. Tannic acid was used for constructing the standard calibration curve. The tannin content was calculated by subtracting the value of simple phenols from the total phenolic content.</w:t>
      </w:r>
      <w:r w:rsidR="0059620F">
        <w:rPr>
          <w:rFonts w:ascii="Times New Roman" w:eastAsia="Times New Roman" w:hAnsi="Times New Roman" w:cs="Times New Roman"/>
          <w:kern w:val="0"/>
          <w:sz w:val="24"/>
          <w:szCs w:val="24"/>
          <w:lang w:eastAsia="en-IN"/>
          <w14:ligatures w14:val="none"/>
        </w:rPr>
        <w:t xml:space="preserve"> </w:t>
      </w:r>
      <w:r w:rsidR="0059620F" w:rsidRPr="0059620F">
        <w:rPr>
          <w:rFonts w:ascii="Times New Roman" w:eastAsia="Times New Roman" w:hAnsi="Times New Roman" w:cs="Times New Roman"/>
          <w:kern w:val="0"/>
          <w:sz w:val="24"/>
          <w:szCs w:val="24"/>
          <w:lang w:eastAsia="en-IN"/>
          <w14:ligatures w14:val="none"/>
        </w:rPr>
        <w:t>Results were expressed as mg/100 g DW.</w:t>
      </w:r>
    </w:p>
    <w:p w14:paraId="6313B723" w14:textId="29502CDE" w:rsidR="003F4E3A" w:rsidRPr="00A92FE1" w:rsidRDefault="003F4E3A" w:rsidP="0053493D">
      <w:pPr>
        <w:spacing w:after="0" w:line="360" w:lineRule="auto"/>
        <w:jc w:val="both"/>
        <w:rPr>
          <w:rFonts w:ascii="Times New Roman" w:eastAsia="Times New Roman" w:hAnsi="Times New Roman" w:cs="Times New Roman"/>
          <w:b/>
          <w:bCs/>
          <w:kern w:val="0"/>
          <w:sz w:val="24"/>
          <w:szCs w:val="24"/>
          <w:lang w:eastAsia="en-IN"/>
          <w14:ligatures w14:val="none"/>
        </w:rPr>
      </w:pPr>
      <w:r w:rsidRPr="00A92FE1">
        <w:rPr>
          <w:rFonts w:ascii="Times New Roman" w:eastAsia="Times New Roman" w:hAnsi="Times New Roman" w:cs="Times New Roman"/>
          <w:b/>
          <w:bCs/>
          <w:kern w:val="0"/>
          <w:sz w:val="24"/>
          <w:szCs w:val="24"/>
          <w:lang w:eastAsia="en-IN"/>
          <w14:ligatures w14:val="none"/>
        </w:rPr>
        <w:t>2.5</w:t>
      </w:r>
      <w:r w:rsidR="0053493D">
        <w:rPr>
          <w:rFonts w:ascii="Times New Roman" w:eastAsia="Times New Roman" w:hAnsi="Times New Roman" w:cs="Times New Roman"/>
          <w:b/>
          <w:bCs/>
          <w:kern w:val="0"/>
          <w:sz w:val="24"/>
          <w:szCs w:val="24"/>
          <w:lang w:eastAsia="en-IN"/>
          <w14:ligatures w14:val="none"/>
        </w:rPr>
        <w:tab/>
      </w:r>
      <w:r w:rsidRPr="00A92FE1">
        <w:rPr>
          <w:rFonts w:ascii="Times New Roman" w:eastAsia="Times New Roman" w:hAnsi="Times New Roman" w:cs="Times New Roman"/>
          <w:b/>
          <w:bCs/>
          <w:kern w:val="0"/>
          <w:sz w:val="24"/>
          <w:szCs w:val="24"/>
          <w:lang w:val="en-US" w:eastAsia="en-IN"/>
          <w14:ligatures w14:val="none"/>
        </w:rPr>
        <w:t>Determination of Total Chlorophyll and Carotenoid</w:t>
      </w:r>
    </w:p>
    <w:p w14:paraId="0EAF5B60" w14:textId="459B1226" w:rsidR="003F4E3A" w:rsidRPr="00A92FE1" w:rsidRDefault="00041FC9" w:rsidP="0053493D">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A92FE1">
        <w:rPr>
          <w:rFonts w:ascii="Times New Roman" w:eastAsia="Times New Roman" w:hAnsi="Times New Roman" w:cs="Times New Roman"/>
          <w:kern w:val="0"/>
          <w:sz w:val="24"/>
          <w:szCs w:val="24"/>
          <w:lang w:eastAsia="en-IN"/>
          <w14:ligatures w14:val="none"/>
        </w:rPr>
        <w:t xml:space="preserve">Chlorophyll and carotenoid contents were estimated from fresh leaves following the method described by </w:t>
      </w:r>
      <w:r w:rsidRPr="00A92FE1">
        <w:rPr>
          <w:rFonts w:ascii="Times New Roman" w:eastAsia="Times New Roman" w:hAnsi="Times New Roman" w:cs="Times New Roman"/>
          <w:color w:val="000000" w:themeColor="text1"/>
          <w:kern w:val="0"/>
          <w:sz w:val="24"/>
          <w:szCs w:val="24"/>
          <w:lang w:eastAsia="en-IN"/>
          <w14:ligatures w14:val="none"/>
        </w:rPr>
        <w:t xml:space="preserve">Jayaraman (1981) and Davies (1976). Leaf </w:t>
      </w:r>
      <w:r w:rsidRPr="00A92FE1">
        <w:rPr>
          <w:rFonts w:ascii="Times New Roman" w:eastAsia="Times New Roman" w:hAnsi="Times New Roman" w:cs="Times New Roman"/>
          <w:kern w:val="0"/>
          <w:sz w:val="24"/>
          <w:szCs w:val="24"/>
          <w:lang w:eastAsia="en-IN"/>
          <w14:ligatures w14:val="none"/>
        </w:rPr>
        <w:t xml:space="preserve">tissues were extracted with 80% acetone, and the absorbance of the extract was measured at 663 nm, 645 nm, and 480 nm using a spectrophotometer (Merck </w:t>
      </w:r>
      <w:proofErr w:type="spellStart"/>
      <w:r w:rsidRPr="00A92FE1">
        <w:rPr>
          <w:rFonts w:ascii="Times New Roman" w:eastAsia="Times New Roman" w:hAnsi="Times New Roman" w:cs="Times New Roman"/>
          <w:kern w:val="0"/>
          <w:sz w:val="24"/>
          <w:szCs w:val="24"/>
          <w:lang w:eastAsia="en-IN"/>
          <w14:ligatures w14:val="none"/>
        </w:rPr>
        <w:t>Spectroquant</w:t>
      </w:r>
      <w:proofErr w:type="spellEnd"/>
      <w:r w:rsidRPr="00A92FE1">
        <w:rPr>
          <w:rFonts w:ascii="Times New Roman" w:eastAsia="Times New Roman" w:hAnsi="Times New Roman" w:cs="Times New Roman"/>
          <w:kern w:val="0"/>
          <w:sz w:val="24"/>
          <w:szCs w:val="24"/>
          <w:lang w:eastAsia="en-IN"/>
          <w14:ligatures w14:val="none"/>
        </w:rPr>
        <w:t xml:space="preserve"> </w:t>
      </w:r>
      <w:proofErr w:type="spellStart"/>
      <w:r w:rsidRPr="00A92FE1">
        <w:rPr>
          <w:rFonts w:ascii="Times New Roman" w:eastAsia="Times New Roman" w:hAnsi="Times New Roman" w:cs="Times New Roman"/>
          <w:kern w:val="0"/>
          <w:sz w:val="24"/>
          <w:szCs w:val="24"/>
          <w:lang w:eastAsia="en-IN"/>
          <w14:ligatures w14:val="none"/>
        </w:rPr>
        <w:t>Pharo</w:t>
      </w:r>
      <w:proofErr w:type="spellEnd"/>
      <w:r w:rsidRPr="00A92FE1">
        <w:rPr>
          <w:rFonts w:ascii="Times New Roman" w:eastAsia="Times New Roman" w:hAnsi="Times New Roman" w:cs="Times New Roman"/>
          <w:kern w:val="0"/>
          <w:sz w:val="24"/>
          <w:szCs w:val="24"/>
          <w:lang w:eastAsia="en-IN"/>
          <w14:ligatures w14:val="none"/>
        </w:rPr>
        <w:t xml:space="preserve"> 100). The concentrations of total chlorophyll and carotenoids were calculated using the following equations and expressed as mg/g and µg/g of fresh weight, respectively:</w:t>
      </w:r>
    </w:p>
    <w:p w14:paraId="59B52DA5" w14:textId="77777777" w:rsidR="00563955" w:rsidRPr="00563955" w:rsidRDefault="00563955" w:rsidP="00775A91">
      <w:pPr>
        <w:spacing w:after="0" w:line="360" w:lineRule="auto"/>
        <w:jc w:val="both"/>
        <w:rPr>
          <w:rFonts w:ascii="Times New Roman" w:eastAsia="Times New Roman" w:hAnsi="Times New Roman" w:cs="Times New Roman"/>
          <w:kern w:val="0"/>
          <w:sz w:val="24"/>
          <w:szCs w:val="24"/>
          <w:lang w:eastAsia="en-IN"/>
          <w14:ligatures w14:val="none"/>
        </w:rPr>
      </w:pPr>
      <w:r w:rsidRPr="00563955">
        <w:rPr>
          <w:rFonts w:ascii="Times New Roman" w:eastAsia="Times New Roman" w:hAnsi="Times New Roman" w:cs="Times New Roman"/>
          <w:kern w:val="0"/>
          <w:sz w:val="24"/>
          <w:szCs w:val="24"/>
          <w:lang w:eastAsia="en-IN"/>
          <w14:ligatures w14:val="none"/>
        </w:rPr>
        <w:t>Total chlorophyll (mg g⁻¹) = ((20.2 × A₆₄₅) + (8.02 × A₆₆₃)) × V / (1000 × W)</w:t>
      </w:r>
    </w:p>
    <w:p w14:paraId="570C5CAD" w14:textId="77777777" w:rsidR="00563955" w:rsidRPr="00563955" w:rsidRDefault="00563955" w:rsidP="0053493D">
      <w:pPr>
        <w:widowControl w:val="0"/>
        <w:spacing w:after="0" w:line="360" w:lineRule="auto"/>
        <w:jc w:val="both"/>
        <w:rPr>
          <w:rFonts w:ascii="Times New Roman" w:eastAsia="Times New Roman" w:hAnsi="Times New Roman" w:cs="Times New Roman"/>
          <w:kern w:val="0"/>
          <w:sz w:val="24"/>
          <w:szCs w:val="24"/>
          <w:lang w:eastAsia="en-IN"/>
          <w14:ligatures w14:val="none"/>
        </w:rPr>
      </w:pPr>
      <w:r w:rsidRPr="00563955">
        <w:rPr>
          <w:rFonts w:ascii="Times New Roman" w:eastAsia="Times New Roman" w:hAnsi="Times New Roman" w:cs="Times New Roman"/>
          <w:kern w:val="0"/>
          <w:sz w:val="24"/>
          <w:szCs w:val="24"/>
          <w:lang w:eastAsia="en-IN"/>
          <w14:ligatures w14:val="none"/>
        </w:rPr>
        <w:t>Carotenoids (µg g⁻¹) = ((7.6 × A₄₈₀) − (1.49 × A₅₁₀)) × V / (1000 × W)</w:t>
      </w:r>
    </w:p>
    <w:p w14:paraId="36AA561B" w14:textId="5DD888FE" w:rsidR="001B6254" w:rsidRPr="00A92FE1" w:rsidRDefault="001B6254" w:rsidP="0053493D">
      <w:pPr>
        <w:widowControl w:val="0"/>
        <w:spacing w:after="0" w:line="360" w:lineRule="auto"/>
        <w:jc w:val="both"/>
        <w:rPr>
          <w:rFonts w:ascii="Times New Roman" w:hAnsi="Times New Roman" w:cs="Times New Roman"/>
          <w:sz w:val="24"/>
          <w:szCs w:val="24"/>
        </w:rPr>
      </w:pPr>
      <w:r w:rsidRPr="00A92FE1">
        <w:rPr>
          <w:rFonts w:ascii="Times New Roman" w:hAnsi="Times New Roman" w:cs="Times New Roman"/>
          <w:sz w:val="24"/>
          <w:szCs w:val="24"/>
        </w:rPr>
        <w:t>Where:</w:t>
      </w:r>
    </w:p>
    <w:p w14:paraId="3FB61A0F" w14:textId="6387F5D1" w:rsidR="001B6254" w:rsidRPr="00A92FE1" w:rsidRDefault="001B6254" w:rsidP="0053493D">
      <w:pPr>
        <w:widowControl w:val="0"/>
        <w:numPr>
          <w:ilvl w:val="0"/>
          <w:numId w:val="2"/>
        </w:numPr>
        <w:spacing w:after="0" w:line="360" w:lineRule="auto"/>
        <w:jc w:val="both"/>
        <w:rPr>
          <w:rFonts w:ascii="Times New Roman" w:hAnsi="Times New Roman" w:cs="Times New Roman"/>
          <w:sz w:val="24"/>
          <w:szCs w:val="24"/>
        </w:rPr>
      </w:pPr>
      <w:r w:rsidRPr="00A92FE1">
        <w:rPr>
          <w:rFonts w:ascii="Times New Roman" w:hAnsi="Times New Roman" w:cs="Times New Roman"/>
          <w:sz w:val="24"/>
          <w:szCs w:val="24"/>
        </w:rPr>
        <w:t>A</w:t>
      </w:r>
      <w:r w:rsidRPr="00A92FE1">
        <w:rPr>
          <w:rFonts w:ascii="Times New Roman" w:hAnsi="Times New Roman" w:cs="Times New Roman"/>
          <w:sz w:val="24"/>
          <w:szCs w:val="24"/>
          <w:vertAlign w:val="subscript"/>
        </w:rPr>
        <w:t>663</w:t>
      </w:r>
      <w:r w:rsidRPr="00A92FE1">
        <w:rPr>
          <w:rFonts w:ascii="Times New Roman" w:hAnsi="Times New Roman" w:cs="Times New Roman"/>
          <w:sz w:val="24"/>
          <w:szCs w:val="24"/>
        </w:rPr>
        <w:t>​, A</w:t>
      </w:r>
      <w:r w:rsidRPr="00A92FE1">
        <w:rPr>
          <w:rFonts w:ascii="Times New Roman" w:hAnsi="Times New Roman" w:cs="Times New Roman"/>
          <w:sz w:val="24"/>
          <w:szCs w:val="24"/>
          <w:vertAlign w:val="subscript"/>
        </w:rPr>
        <w:t>645</w:t>
      </w:r>
      <w:r w:rsidRPr="00A92FE1">
        <w:rPr>
          <w:rFonts w:ascii="Times New Roman" w:hAnsi="Times New Roman" w:cs="Times New Roman"/>
          <w:sz w:val="24"/>
          <w:szCs w:val="24"/>
        </w:rPr>
        <w:t>​, and A</w:t>
      </w:r>
      <w:r w:rsidRPr="00A92FE1">
        <w:rPr>
          <w:rFonts w:ascii="Times New Roman" w:hAnsi="Times New Roman" w:cs="Times New Roman"/>
          <w:sz w:val="24"/>
          <w:szCs w:val="24"/>
          <w:vertAlign w:val="subscript"/>
        </w:rPr>
        <w:t>480</w:t>
      </w:r>
      <w:r w:rsidRPr="00A92FE1">
        <w:rPr>
          <w:rFonts w:ascii="Times New Roman" w:hAnsi="Times New Roman" w:cs="Times New Roman"/>
          <w:sz w:val="24"/>
          <w:szCs w:val="24"/>
        </w:rPr>
        <w:t>​ represent absorbance at respective wavelengths</w:t>
      </w:r>
    </w:p>
    <w:p w14:paraId="48127988" w14:textId="38B57125" w:rsidR="001B6254" w:rsidRPr="00A92FE1" w:rsidRDefault="001B6254" w:rsidP="0053493D">
      <w:pPr>
        <w:widowControl w:val="0"/>
        <w:numPr>
          <w:ilvl w:val="0"/>
          <w:numId w:val="2"/>
        </w:numPr>
        <w:spacing w:after="0" w:line="360" w:lineRule="auto"/>
        <w:jc w:val="both"/>
        <w:rPr>
          <w:rFonts w:ascii="Times New Roman" w:hAnsi="Times New Roman" w:cs="Times New Roman"/>
          <w:sz w:val="24"/>
          <w:szCs w:val="24"/>
        </w:rPr>
      </w:pPr>
      <w:r w:rsidRPr="00A92FE1">
        <w:rPr>
          <w:rFonts w:ascii="Times New Roman" w:hAnsi="Times New Roman" w:cs="Times New Roman"/>
          <w:sz w:val="24"/>
          <w:szCs w:val="24"/>
        </w:rPr>
        <w:t>V= volume of extract (m</w:t>
      </w:r>
      <w:r w:rsidR="0053493D">
        <w:rPr>
          <w:rFonts w:ascii="Times New Roman" w:hAnsi="Times New Roman" w:cs="Times New Roman"/>
          <w:sz w:val="24"/>
          <w:szCs w:val="24"/>
        </w:rPr>
        <w:t>l</w:t>
      </w:r>
      <w:r w:rsidRPr="00A92FE1">
        <w:rPr>
          <w:rFonts w:ascii="Times New Roman" w:hAnsi="Times New Roman" w:cs="Times New Roman"/>
          <w:sz w:val="24"/>
          <w:szCs w:val="24"/>
        </w:rPr>
        <w:t>)</w:t>
      </w:r>
    </w:p>
    <w:p w14:paraId="07CD2635" w14:textId="0170F7EC" w:rsidR="001B6254" w:rsidRPr="00A92FE1" w:rsidRDefault="001B6254" w:rsidP="0053493D">
      <w:pPr>
        <w:widowControl w:val="0"/>
        <w:numPr>
          <w:ilvl w:val="0"/>
          <w:numId w:val="2"/>
        </w:numPr>
        <w:spacing w:after="0" w:line="360" w:lineRule="auto"/>
        <w:jc w:val="both"/>
        <w:rPr>
          <w:rFonts w:ascii="Times New Roman" w:hAnsi="Times New Roman" w:cs="Times New Roman"/>
          <w:sz w:val="24"/>
          <w:szCs w:val="24"/>
        </w:rPr>
      </w:pPr>
      <w:r w:rsidRPr="00A92FE1">
        <w:rPr>
          <w:rFonts w:ascii="Times New Roman" w:hAnsi="Times New Roman" w:cs="Times New Roman"/>
          <w:sz w:val="24"/>
          <w:szCs w:val="24"/>
        </w:rPr>
        <w:t>W = weight of fresh tissue (g).</w:t>
      </w:r>
    </w:p>
    <w:p w14:paraId="3170E6A4" w14:textId="7CCB99C5" w:rsidR="004730B3" w:rsidRPr="00A92FE1" w:rsidRDefault="004021BC" w:rsidP="0053493D">
      <w:pPr>
        <w:widowControl w:val="0"/>
        <w:spacing w:after="0" w:line="360" w:lineRule="auto"/>
        <w:jc w:val="both"/>
        <w:rPr>
          <w:rFonts w:ascii="Times New Roman" w:hAnsi="Times New Roman" w:cs="Times New Roman"/>
          <w:b/>
          <w:bCs/>
          <w:sz w:val="24"/>
          <w:szCs w:val="24"/>
          <w:lang w:val="en-US"/>
        </w:rPr>
      </w:pPr>
      <w:r w:rsidRPr="00A92FE1">
        <w:rPr>
          <w:rFonts w:ascii="Times New Roman" w:hAnsi="Times New Roman" w:cs="Times New Roman"/>
          <w:b/>
          <w:bCs/>
          <w:sz w:val="24"/>
          <w:szCs w:val="24"/>
        </w:rPr>
        <w:t>2.6</w:t>
      </w:r>
      <w:r w:rsidR="0053493D">
        <w:rPr>
          <w:rFonts w:ascii="Times New Roman" w:hAnsi="Times New Roman" w:cs="Times New Roman"/>
          <w:b/>
          <w:bCs/>
          <w:sz w:val="24"/>
          <w:szCs w:val="24"/>
        </w:rPr>
        <w:tab/>
      </w:r>
      <w:r w:rsidRPr="00A92FE1">
        <w:rPr>
          <w:rFonts w:ascii="Times New Roman" w:hAnsi="Times New Roman" w:cs="Times New Roman"/>
          <w:b/>
          <w:bCs/>
          <w:sz w:val="24"/>
          <w:szCs w:val="24"/>
          <w:lang w:val="en-US"/>
        </w:rPr>
        <w:t>Estimation of Vitamin C (Ascorbic acid)</w:t>
      </w:r>
    </w:p>
    <w:p w14:paraId="55A120E8" w14:textId="1473862D" w:rsidR="004021BC" w:rsidRPr="00A92FE1" w:rsidRDefault="004021BC" w:rsidP="0053493D">
      <w:pPr>
        <w:widowControl w:val="0"/>
        <w:spacing w:after="0" w:line="360" w:lineRule="auto"/>
        <w:ind w:firstLine="720"/>
        <w:jc w:val="both"/>
        <w:rPr>
          <w:rFonts w:ascii="Times New Roman" w:hAnsi="Times New Roman" w:cs="Times New Roman"/>
          <w:color w:val="000000" w:themeColor="text1"/>
          <w:sz w:val="24"/>
          <w:szCs w:val="24"/>
          <w:lang w:val="en-US"/>
        </w:rPr>
      </w:pPr>
      <w:r w:rsidRPr="00A92FE1">
        <w:rPr>
          <w:rFonts w:ascii="Times New Roman" w:hAnsi="Times New Roman" w:cs="Times New Roman"/>
          <w:sz w:val="24"/>
          <w:szCs w:val="24"/>
          <w:lang w:val="en-US"/>
        </w:rPr>
        <w:t xml:space="preserve">The estimation of ascorbic acid was conducted by the method of dye reduction. In this method, the content of ascorbic acid in the sample was titrated with 2, 6-dichlorophenol indophenols dye as defined </w:t>
      </w:r>
      <w:r w:rsidRPr="00A92FE1">
        <w:rPr>
          <w:rFonts w:ascii="Times New Roman" w:hAnsi="Times New Roman" w:cs="Times New Roman"/>
          <w:color w:val="000000" w:themeColor="text1"/>
          <w:sz w:val="24"/>
          <w:szCs w:val="24"/>
          <w:lang w:val="en-US"/>
        </w:rPr>
        <w:t>in (AOAC</w:t>
      </w:r>
      <w:r w:rsidR="009E52AB" w:rsidRPr="00A92FE1">
        <w:rPr>
          <w:rFonts w:ascii="Times New Roman" w:hAnsi="Times New Roman" w:cs="Times New Roman"/>
          <w:color w:val="000000" w:themeColor="text1"/>
          <w:sz w:val="24"/>
          <w:szCs w:val="24"/>
          <w:lang w:val="en-US"/>
        </w:rPr>
        <w:t>,</w:t>
      </w:r>
      <w:r w:rsidRPr="00A92FE1">
        <w:rPr>
          <w:rFonts w:ascii="Times New Roman" w:hAnsi="Times New Roman" w:cs="Times New Roman"/>
          <w:color w:val="000000" w:themeColor="text1"/>
          <w:sz w:val="24"/>
          <w:szCs w:val="24"/>
          <w:lang w:val="en-US"/>
        </w:rPr>
        <w:t xml:space="preserve"> 2010). The L-ascorbic acid was used as </w:t>
      </w:r>
      <w:r w:rsidR="005F6344">
        <w:rPr>
          <w:rFonts w:ascii="Times New Roman" w:hAnsi="Times New Roman" w:cs="Times New Roman"/>
          <w:color w:val="000000" w:themeColor="text1"/>
          <w:sz w:val="24"/>
          <w:szCs w:val="24"/>
          <w:lang w:val="en-US"/>
        </w:rPr>
        <w:t xml:space="preserve">a </w:t>
      </w:r>
      <w:r w:rsidRPr="00A92FE1">
        <w:rPr>
          <w:rFonts w:ascii="Times New Roman" w:hAnsi="Times New Roman" w:cs="Times New Roman"/>
          <w:color w:val="000000" w:themeColor="text1"/>
          <w:sz w:val="24"/>
          <w:szCs w:val="24"/>
          <w:lang w:val="en-US"/>
        </w:rPr>
        <w:t xml:space="preserve">standard </w:t>
      </w:r>
      <w:r w:rsidRPr="00A92FE1">
        <w:rPr>
          <w:rFonts w:ascii="Times New Roman" w:hAnsi="Times New Roman" w:cs="Times New Roman"/>
          <w:color w:val="000000" w:themeColor="text1"/>
          <w:sz w:val="24"/>
          <w:szCs w:val="24"/>
          <w:lang w:val="en-US"/>
        </w:rPr>
        <w:lastRenderedPageBreak/>
        <w:t xml:space="preserve">prepared by dissolving it into 500 ml of 1.0 </w:t>
      </w:r>
      <w:r w:rsidR="005078DE" w:rsidRPr="00A92FE1">
        <w:rPr>
          <w:rFonts w:ascii="Times New Roman" w:hAnsi="Times New Roman" w:cs="Times New Roman"/>
          <w:color w:val="000000" w:themeColor="text1"/>
          <w:sz w:val="24"/>
          <w:szCs w:val="24"/>
          <w:lang w:val="en-US"/>
        </w:rPr>
        <w:t>%</w:t>
      </w:r>
      <w:r w:rsidRPr="00A92FE1">
        <w:rPr>
          <w:rFonts w:ascii="Times New Roman" w:hAnsi="Times New Roman" w:cs="Times New Roman"/>
          <w:color w:val="000000" w:themeColor="text1"/>
          <w:sz w:val="24"/>
          <w:szCs w:val="24"/>
          <w:lang w:val="en-US"/>
        </w:rPr>
        <w:t xml:space="preserve"> oxalic acid. The vitamin C content in the samples is represented as mg/100g</w:t>
      </w:r>
      <w:r w:rsidR="00C24723">
        <w:rPr>
          <w:rFonts w:ascii="Times New Roman" w:hAnsi="Times New Roman" w:cs="Times New Roman"/>
          <w:color w:val="000000" w:themeColor="text1"/>
          <w:sz w:val="24"/>
          <w:szCs w:val="24"/>
          <w:lang w:val="en-US"/>
        </w:rPr>
        <w:t xml:space="preserve"> FW</w:t>
      </w:r>
      <w:r w:rsidRPr="00A92FE1">
        <w:rPr>
          <w:rFonts w:ascii="Times New Roman" w:hAnsi="Times New Roman" w:cs="Times New Roman"/>
          <w:color w:val="000000" w:themeColor="text1"/>
          <w:sz w:val="24"/>
          <w:szCs w:val="24"/>
          <w:lang w:val="en-US"/>
        </w:rPr>
        <w:t>.</w:t>
      </w:r>
    </w:p>
    <w:p w14:paraId="5255DC32" w14:textId="771F94E2" w:rsidR="00790050" w:rsidRPr="00A92FE1" w:rsidRDefault="00790050" w:rsidP="0053493D">
      <w:pPr>
        <w:widowControl w:val="0"/>
        <w:spacing w:after="0" w:line="360" w:lineRule="auto"/>
        <w:jc w:val="both"/>
        <w:rPr>
          <w:rFonts w:ascii="Times New Roman" w:hAnsi="Times New Roman" w:cs="Times New Roman"/>
          <w:b/>
          <w:bCs/>
          <w:color w:val="000000" w:themeColor="text1"/>
          <w:sz w:val="24"/>
          <w:szCs w:val="24"/>
          <w:lang w:val="en-US"/>
        </w:rPr>
      </w:pPr>
      <w:r w:rsidRPr="00A92FE1">
        <w:rPr>
          <w:rFonts w:ascii="Times New Roman" w:hAnsi="Times New Roman" w:cs="Times New Roman"/>
          <w:b/>
          <w:bCs/>
          <w:color w:val="000000" w:themeColor="text1"/>
          <w:sz w:val="24"/>
          <w:szCs w:val="24"/>
          <w:lang w:val="en-US"/>
        </w:rPr>
        <w:t>2.7</w:t>
      </w:r>
      <w:r w:rsidR="0053493D">
        <w:rPr>
          <w:rFonts w:ascii="Times New Roman" w:hAnsi="Times New Roman" w:cs="Times New Roman"/>
          <w:b/>
          <w:bCs/>
          <w:color w:val="000000" w:themeColor="text1"/>
          <w:sz w:val="24"/>
          <w:szCs w:val="24"/>
          <w:lang w:val="en-US"/>
        </w:rPr>
        <w:tab/>
      </w:r>
      <w:r w:rsidRPr="00A92FE1">
        <w:rPr>
          <w:rFonts w:ascii="Times New Roman" w:hAnsi="Times New Roman" w:cs="Times New Roman"/>
          <w:b/>
          <w:bCs/>
          <w:color w:val="000000" w:themeColor="text1"/>
          <w:sz w:val="24"/>
          <w:szCs w:val="24"/>
          <w:lang w:val="en-US"/>
        </w:rPr>
        <w:t>Estimation of PPO</w:t>
      </w:r>
    </w:p>
    <w:p w14:paraId="2148DC7C" w14:textId="64598F62" w:rsidR="00775A91" w:rsidRPr="00A92FE1" w:rsidRDefault="004072FF" w:rsidP="0053493D">
      <w:pPr>
        <w:widowControl w:val="0"/>
        <w:spacing w:after="0" w:line="360" w:lineRule="auto"/>
        <w:ind w:firstLine="720"/>
        <w:jc w:val="both"/>
        <w:rPr>
          <w:rFonts w:ascii="Times New Roman" w:hAnsi="Times New Roman" w:cs="Times New Roman"/>
          <w:sz w:val="24"/>
          <w:szCs w:val="24"/>
        </w:rPr>
      </w:pPr>
      <w:r w:rsidRPr="00A92FE1">
        <w:rPr>
          <w:rFonts w:ascii="Times New Roman" w:hAnsi="Times New Roman" w:cs="Times New Roman"/>
          <w:color w:val="000000" w:themeColor="text1"/>
          <w:sz w:val="24"/>
          <w:szCs w:val="24"/>
        </w:rPr>
        <w:t xml:space="preserve">Polyphenol oxidase (PPO) activity was determined from fresh leaves using the method described by Singh and Ravindranath (1994), with measurement conditions as per Farkas and Király (1962). Acetone powder was prepared from fresh leaves </w:t>
      </w:r>
      <w:r w:rsidRPr="00A92FE1">
        <w:rPr>
          <w:rFonts w:ascii="Times New Roman" w:hAnsi="Times New Roman" w:cs="Times New Roman"/>
          <w:sz w:val="24"/>
          <w:szCs w:val="24"/>
        </w:rPr>
        <w:t xml:space="preserve">and used as the enzyme source. For the assay, 2 mL of enzyme extract was mixed with 0.2 mL of phosphate buffer (0.2 M, pH 6.0) and 0.5 mL of 1% pyrogallol solution (E. Merck, India). The reaction mixture was incubated, and the change in absorbance was recorded at 410 nm at 30-sec intervals for 3 minutes using a spectrophotometer (Merck </w:t>
      </w:r>
      <w:proofErr w:type="spellStart"/>
      <w:r w:rsidRPr="00A92FE1">
        <w:rPr>
          <w:rFonts w:ascii="Times New Roman" w:hAnsi="Times New Roman" w:cs="Times New Roman"/>
          <w:sz w:val="24"/>
          <w:szCs w:val="24"/>
        </w:rPr>
        <w:t>Spectroquant</w:t>
      </w:r>
      <w:proofErr w:type="spellEnd"/>
      <w:r w:rsidRPr="00A92FE1">
        <w:rPr>
          <w:rFonts w:ascii="Times New Roman" w:hAnsi="Times New Roman" w:cs="Times New Roman"/>
          <w:sz w:val="24"/>
          <w:szCs w:val="24"/>
        </w:rPr>
        <w:t xml:space="preserve"> </w:t>
      </w:r>
      <w:proofErr w:type="spellStart"/>
      <w:r w:rsidRPr="00A92FE1">
        <w:rPr>
          <w:rFonts w:ascii="Times New Roman" w:hAnsi="Times New Roman" w:cs="Times New Roman"/>
          <w:sz w:val="24"/>
          <w:szCs w:val="24"/>
        </w:rPr>
        <w:t>Pharo</w:t>
      </w:r>
      <w:proofErr w:type="spellEnd"/>
      <w:r w:rsidRPr="00A92FE1">
        <w:rPr>
          <w:rFonts w:ascii="Times New Roman" w:hAnsi="Times New Roman" w:cs="Times New Roman"/>
          <w:sz w:val="24"/>
          <w:szCs w:val="24"/>
        </w:rPr>
        <w:t xml:space="preserve"> 100). PPO activity was expressed as the change in optical density per minute (ΔOD min⁻¹</w:t>
      </w:r>
      <w:r w:rsidR="00C24723">
        <w:rPr>
          <w:rFonts w:ascii="Times New Roman" w:hAnsi="Times New Roman" w:cs="Times New Roman"/>
          <w:sz w:val="24"/>
          <w:szCs w:val="24"/>
        </w:rPr>
        <w:t xml:space="preserve"> FW</w:t>
      </w:r>
      <w:r w:rsidRPr="00A92FE1">
        <w:rPr>
          <w:rFonts w:ascii="Times New Roman" w:hAnsi="Times New Roman" w:cs="Times New Roman"/>
          <w:sz w:val="24"/>
          <w:szCs w:val="24"/>
        </w:rPr>
        <w:t>).</w:t>
      </w:r>
    </w:p>
    <w:p w14:paraId="5E2CA3DB" w14:textId="33A6C192" w:rsidR="001B6254" w:rsidRPr="00A92FE1" w:rsidRDefault="001B6254" w:rsidP="0053493D">
      <w:pPr>
        <w:widowControl w:val="0"/>
        <w:spacing w:after="0" w:line="360" w:lineRule="auto"/>
        <w:jc w:val="both"/>
        <w:rPr>
          <w:rFonts w:ascii="Times New Roman" w:hAnsi="Times New Roman" w:cs="Times New Roman"/>
          <w:b/>
          <w:bCs/>
          <w:sz w:val="24"/>
          <w:szCs w:val="24"/>
          <w:lang w:val="en-US"/>
        </w:rPr>
      </w:pPr>
      <w:r w:rsidRPr="00A92FE1">
        <w:rPr>
          <w:rFonts w:ascii="Times New Roman" w:hAnsi="Times New Roman" w:cs="Times New Roman"/>
          <w:b/>
          <w:bCs/>
          <w:sz w:val="24"/>
          <w:szCs w:val="24"/>
        </w:rPr>
        <w:t>2.8</w:t>
      </w:r>
      <w:r w:rsidR="0053493D">
        <w:rPr>
          <w:rFonts w:ascii="Times New Roman" w:hAnsi="Times New Roman" w:cs="Times New Roman"/>
          <w:b/>
          <w:bCs/>
          <w:sz w:val="24"/>
          <w:szCs w:val="24"/>
        </w:rPr>
        <w:tab/>
      </w:r>
      <w:r w:rsidRPr="00A92FE1">
        <w:rPr>
          <w:rFonts w:ascii="Times New Roman" w:hAnsi="Times New Roman" w:cs="Times New Roman"/>
          <w:b/>
          <w:bCs/>
          <w:sz w:val="24"/>
          <w:szCs w:val="24"/>
          <w:lang w:val="en-US"/>
        </w:rPr>
        <w:t>Determination of antioxidant activity</w:t>
      </w:r>
    </w:p>
    <w:p w14:paraId="620F31CA" w14:textId="751776F3" w:rsidR="001B6254" w:rsidRPr="00A92FE1" w:rsidRDefault="00A90AAF" w:rsidP="0053493D">
      <w:pPr>
        <w:widowControl w:val="0"/>
        <w:spacing w:after="0" w:line="360" w:lineRule="auto"/>
        <w:ind w:firstLine="720"/>
        <w:jc w:val="both"/>
        <w:rPr>
          <w:rFonts w:ascii="Times New Roman" w:hAnsi="Times New Roman" w:cs="Times New Roman"/>
          <w:sz w:val="24"/>
          <w:szCs w:val="24"/>
        </w:rPr>
      </w:pPr>
      <w:r w:rsidRPr="00A92FE1">
        <w:rPr>
          <w:rFonts w:ascii="Times New Roman" w:hAnsi="Times New Roman" w:cs="Times New Roman"/>
          <w:sz w:val="24"/>
          <w:szCs w:val="24"/>
        </w:rPr>
        <w:t xml:space="preserve">The antioxidant activity of the samples was evaluated using the DPPH (2,2-diphenyl-1-picrylhydrazyl) radical scavenging assay as described by </w:t>
      </w:r>
      <w:r w:rsidRPr="00A92FE1">
        <w:rPr>
          <w:rFonts w:ascii="Times New Roman" w:hAnsi="Times New Roman" w:cs="Times New Roman"/>
          <w:color w:val="000000" w:themeColor="text1"/>
          <w:sz w:val="24"/>
          <w:szCs w:val="24"/>
        </w:rPr>
        <w:t xml:space="preserve">Sharma and Bhatt (2009), </w:t>
      </w:r>
      <w:r w:rsidRPr="00A92FE1">
        <w:rPr>
          <w:rFonts w:ascii="Times New Roman" w:hAnsi="Times New Roman" w:cs="Times New Roman"/>
          <w:sz w:val="24"/>
          <w:szCs w:val="24"/>
        </w:rPr>
        <w:t xml:space="preserve">with slight modifications. A stock solution of DPPH was prepared by dissolving 3.9 mg of DPPH in 50 mL of methanol, ensuring the solution was freshly prepared and stored in the dark at room temperature to prevent degradation. For the assay, an aliquot of sample extract was mixed with the DPPH solution, and the reaction mixture was incubated in the dark to allow the reaction to occur. The decrease in absorbance, indicating DPPH radical scavenging, was recorded at 517 nm using a spectrophotometer (Merck </w:t>
      </w:r>
      <w:proofErr w:type="spellStart"/>
      <w:r w:rsidRPr="00A92FE1">
        <w:rPr>
          <w:rFonts w:ascii="Times New Roman" w:hAnsi="Times New Roman" w:cs="Times New Roman"/>
          <w:sz w:val="24"/>
          <w:szCs w:val="24"/>
        </w:rPr>
        <w:t>Spectroquant</w:t>
      </w:r>
      <w:proofErr w:type="spellEnd"/>
      <w:r w:rsidRPr="00A92FE1">
        <w:rPr>
          <w:rFonts w:ascii="Times New Roman" w:hAnsi="Times New Roman" w:cs="Times New Roman"/>
          <w:sz w:val="24"/>
          <w:szCs w:val="24"/>
        </w:rPr>
        <w:t xml:space="preserve"> </w:t>
      </w:r>
      <w:proofErr w:type="spellStart"/>
      <w:r w:rsidRPr="00A92FE1">
        <w:rPr>
          <w:rFonts w:ascii="Times New Roman" w:hAnsi="Times New Roman" w:cs="Times New Roman"/>
          <w:sz w:val="24"/>
          <w:szCs w:val="24"/>
        </w:rPr>
        <w:t>Pharo</w:t>
      </w:r>
      <w:proofErr w:type="spellEnd"/>
      <w:r w:rsidRPr="00A92FE1">
        <w:rPr>
          <w:rFonts w:ascii="Times New Roman" w:hAnsi="Times New Roman" w:cs="Times New Roman"/>
          <w:sz w:val="24"/>
          <w:szCs w:val="24"/>
        </w:rPr>
        <w:t xml:space="preserve"> 100).</w:t>
      </w:r>
    </w:p>
    <w:p w14:paraId="4A45BAB2" w14:textId="77777777" w:rsidR="00A90AAF" w:rsidRPr="00A92FE1" w:rsidRDefault="00A90AAF" w:rsidP="0053493D">
      <w:pPr>
        <w:spacing w:after="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The scavenging activity was calculated using the following equation:</w:t>
      </w:r>
    </w:p>
    <w:p w14:paraId="4590DE68" w14:textId="77777777" w:rsidR="0053493D" w:rsidRDefault="0053493D" w:rsidP="00A90AAF">
      <w:pPr>
        <w:spacing w:after="0" w:line="276" w:lineRule="auto"/>
        <w:jc w:val="both"/>
        <w:rPr>
          <w:rFonts w:ascii="Times New Roman" w:hAnsi="Times New Roman" w:cs="Times New Roman"/>
          <w:bCs/>
          <w:sz w:val="24"/>
          <w:szCs w:val="24"/>
        </w:rPr>
      </w:pPr>
    </w:p>
    <w:p w14:paraId="2E4D4E6A" w14:textId="187E6740" w:rsidR="005F6344" w:rsidRDefault="005F6344" w:rsidP="00C6754B">
      <w:pPr>
        <w:pStyle w:val="NoSpacing"/>
        <w:spacing w:after="240"/>
        <w:rPr>
          <w:rFonts w:ascii="Times New Roman" w:hAnsi="Times New Roman" w:cs="Times New Roman"/>
          <w:sz w:val="24"/>
          <w:szCs w:val="24"/>
        </w:rPr>
      </w:pPr>
      <w:r w:rsidRPr="005F6344">
        <w:rPr>
          <w:rFonts w:ascii="Times New Roman" w:hAnsi="Times New Roman" w:cs="Times New Roman"/>
          <w:sz w:val="24"/>
          <w:szCs w:val="24"/>
        </w:rPr>
        <w:t>DPPH scavenging activity (%)</w:t>
      </w:r>
      <w:r>
        <w:rPr>
          <w:rFonts w:ascii="Times New Roman" w:hAnsi="Times New Roman" w:cs="Times New Roman"/>
          <w:sz w:val="24"/>
          <w:szCs w:val="24"/>
        </w:rPr>
        <w:t xml:space="preserve"> </w:t>
      </w:r>
      <w:r w:rsidRPr="005F6344">
        <w:rPr>
          <w:rFonts w:ascii="Times New Roman" w:hAnsi="Times New Roman" w:cs="Times New Roman"/>
          <w:sz w:val="24"/>
          <w:szCs w:val="24"/>
        </w:rPr>
        <w:t>=Ac</w:t>
      </w:r>
      <w:r>
        <w:rPr>
          <w:rFonts w:ascii="Times New Roman" w:hAnsi="Times New Roman" w:cs="Times New Roman"/>
          <w:sz w:val="24"/>
          <w:szCs w:val="24"/>
        </w:rPr>
        <w:t xml:space="preserve"> </w:t>
      </w:r>
      <w:r w:rsidRPr="005F6344">
        <w:rPr>
          <w:rFonts w:ascii="Times New Roman" w:hAnsi="Times New Roman" w:cs="Times New Roman"/>
          <w:sz w:val="24"/>
          <w:szCs w:val="24"/>
        </w:rPr>
        <w:t>​(Ac​−As​)​×100</w:t>
      </w:r>
    </w:p>
    <w:p w14:paraId="73E0EBAF" w14:textId="0C72E1CE" w:rsidR="00400DB5" w:rsidRPr="00A92FE1" w:rsidRDefault="00400DB5" w:rsidP="00C6754B">
      <w:pPr>
        <w:pStyle w:val="NoSpacing"/>
        <w:spacing w:after="240"/>
        <w:rPr>
          <w:rFonts w:ascii="Times New Roman" w:hAnsi="Times New Roman" w:cs="Times New Roman"/>
          <w:sz w:val="24"/>
          <w:szCs w:val="24"/>
        </w:rPr>
      </w:pPr>
      <w:r w:rsidRPr="00A92FE1">
        <w:rPr>
          <w:rFonts w:ascii="Times New Roman" w:hAnsi="Times New Roman" w:cs="Times New Roman"/>
          <w:sz w:val="24"/>
          <w:szCs w:val="24"/>
        </w:rPr>
        <w:t>Where:</w:t>
      </w:r>
      <w:r w:rsidRPr="00A92FE1">
        <w:rPr>
          <w:rFonts w:ascii="Times New Roman" w:hAnsi="Times New Roman" w:cs="Times New Roman"/>
          <w:sz w:val="24"/>
          <w:szCs w:val="24"/>
        </w:rPr>
        <w:br/>
        <w:t>Ac​ = Absorbance of control (DPPH without sample)</w:t>
      </w:r>
      <w:r w:rsidRPr="00A92FE1">
        <w:rPr>
          <w:rFonts w:ascii="Times New Roman" w:hAnsi="Times New Roman" w:cs="Times New Roman"/>
          <w:sz w:val="24"/>
          <w:szCs w:val="24"/>
        </w:rPr>
        <w:br/>
        <w:t>As​ = Absorbance of sample</w:t>
      </w:r>
    </w:p>
    <w:p w14:paraId="7A41DD88" w14:textId="5F2D423D" w:rsidR="00C6754B" w:rsidRPr="00A92FE1" w:rsidRDefault="00C6754B" w:rsidP="0053493D">
      <w:pPr>
        <w:widowControl w:val="0"/>
        <w:spacing w:after="0" w:line="360" w:lineRule="auto"/>
        <w:jc w:val="both"/>
        <w:rPr>
          <w:rFonts w:ascii="Times New Roman" w:hAnsi="Times New Roman" w:cs="Times New Roman"/>
          <w:b/>
          <w:bCs/>
          <w:sz w:val="24"/>
          <w:szCs w:val="24"/>
          <w:lang w:val="en-US"/>
        </w:rPr>
      </w:pPr>
      <w:r w:rsidRPr="00A92FE1">
        <w:rPr>
          <w:rFonts w:ascii="Times New Roman" w:hAnsi="Times New Roman" w:cs="Times New Roman"/>
          <w:b/>
          <w:bCs/>
          <w:sz w:val="24"/>
          <w:szCs w:val="24"/>
        </w:rPr>
        <w:t>2.9</w:t>
      </w:r>
      <w:r w:rsidR="0053493D">
        <w:rPr>
          <w:rFonts w:ascii="Times New Roman" w:hAnsi="Times New Roman" w:cs="Times New Roman"/>
          <w:b/>
          <w:bCs/>
          <w:sz w:val="24"/>
          <w:szCs w:val="24"/>
        </w:rPr>
        <w:tab/>
      </w:r>
      <w:r w:rsidRPr="00A92FE1">
        <w:rPr>
          <w:rFonts w:ascii="Times New Roman" w:hAnsi="Times New Roman" w:cs="Times New Roman"/>
          <w:b/>
          <w:bCs/>
          <w:sz w:val="24"/>
          <w:szCs w:val="24"/>
          <w:lang w:val="en-US"/>
        </w:rPr>
        <w:t>Statistical Analysis</w:t>
      </w:r>
    </w:p>
    <w:p w14:paraId="7A2CEE3E" w14:textId="4BA79A9B" w:rsidR="00C6754B" w:rsidRPr="00A92FE1" w:rsidRDefault="00C6754B" w:rsidP="0053493D">
      <w:pPr>
        <w:widowControl w:val="0"/>
        <w:spacing w:line="360" w:lineRule="auto"/>
        <w:ind w:firstLine="720"/>
        <w:jc w:val="both"/>
        <w:rPr>
          <w:rFonts w:ascii="Times New Roman" w:hAnsi="Times New Roman" w:cs="Times New Roman"/>
          <w:color w:val="000000" w:themeColor="text1"/>
          <w:sz w:val="24"/>
          <w:szCs w:val="24"/>
        </w:rPr>
      </w:pPr>
      <w:r w:rsidRPr="00A92FE1">
        <w:rPr>
          <w:rFonts w:ascii="Times New Roman" w:hAnsi="Times New Roman" w:cs="Times New Roman"/>
          <w:sz w:val="24"/>
          <w:szCs w:val="24"/>
        </w:rPr>
        <w:t xml:space="preserve">All estimations were carried out in triplicate using biological replicates to minimize experimental error. The data obtained were statistically analyzed using Analysis of Variance (ANOVA) under a Completely Randomized Design (CRD) as described </w:t>
      </w:r>
      <w:r w:rsidRPr="00A92FE1">
        <w:rPr>
          <w:rFonts w:ascii="Times New Roman" w:hAnsi="Times New Roman" w:cs="Times New Roman"/>
          <w:color w:val="000000" w:themeColor="text1"/>
          <w:sz w:val="24"/>
          <w:szCs w:val="24"/>
        </w:rPr>
        <w:t xml:space="preserve">by </w:t>
      </w:r>
      <w:proofErr w:type="spellStart"/>
      <w:r w:rsidRPr="00A92FE1">
        <w:rPr>
          <w:rFonts w:ascii="Times New Roman" w:hAnsi="Times New Roman" w:cs="Times New Roman"/>
          <w:color w:val="000000" w:themeColor="text1"/>
          <w:sz w:val="24"/>
          <w:szCs w:val="24"/>
        </w:rPr>
        <w:t>Panse</w:t>
      </w:r>
      <w:proofErr w:type="spellEnd"/>
      <w:r w:rsidRPr="00A92FE1">
        <w:rPr>
          <w:rFonts w:ascii="Times New Roman" w:hAnsi="Times New Roman" w:cs="Times New Roman"/>
          <w:color w:val="000000" w:themeColor="text1"/>
          <w:sz w:val="24"/>
          <w:szCs w:val="24"/>
        </w:rPr>
        <w:t xml:space="preserve"> and </w:t>
      </w:r>
      <w:proofErr w:type="spellStart"/>
      <w:r w:rsidRPr="00A92FE1">
        <w:rPr>
          <w:rFonts w:ascii="Times New Roman" w:hAnsi="Times New Roman" w:cs="Times New Roman"/>
          <w:color w:val="000000" w:themeColor="text1"/>
          <w:sz w:val="24"/>
          <w:szCs w:val="24"/>
        </w:rPr>
        <w:t>Sukhatme</w:t>
      </w:r>
      <w:proofErr w:type="spellEnd"/>
      <w:r w:rsidRPr="00A92FE1">
        <w:rPr>
          <w:rFonts w:ascii="Times New Roman" w:hAnsi="Times New Roman" w:cs="Times New Roman"/>
          <w:color w:val="000000" w:themeColor="text1"/>
          <w:sz w:val="24"/>
          <w:szCs w:val="24"/>
        </w:rPr>
        <w:t xml:space="preserve"> (1984).</w:t>
      </w:r>
    </w:p>
    <w:p w14:paraId="7D2E9922" w14:textId="47E05775" w:rsidR="009F1F99" w:rsidRPr="0053493D" w:rsidRDefault="009F1F99" w:rsidP="0053493D">
      <w:pPr>
        <w:pStyle w:val="ListParagraph"/>
        <w:numPr>
          <w:ilvl w:val="0"/>
          <w:numId w:val="4"/>
        </w:numPr>
        <w:autoSpaceDE w:val="0"/>
        <w:autoSpaceDN w:val="0"/>
        <w:adjustRightInd w:val="0"/>
        <w:spacing w:after="0" w:line="360" w:lineRule="auto"/>
        <w:ind w:left="0" w:firstLine="0"/>
        <w:jc w:val="both"/>
        <w:rPr>
          <w:rFonts w:ascii="Times New Roman" w:hAnsi="Times New Roman" w:cs="Times New Roman"/>
          <w:b/>
          <w:sz w:val="24"/>
          <w:szCs w:val="24"/>
        </w:rPr>
      </w:pPr>
      <w:r w:rsidRPr="0053493D">
        <w:rPr>
          <w:rFonts w:ascii="Times New Roman" w:hAnsi="Times New Roman" w:cs="Times New Roman"/>
          <w:b/>
          <w:sz w:val="24"/>
          <w:szCs w:val="24"/>
        </w:rPr>
        <w:t>RESULTS AND DISCUSSION</w:t>
      </w:r>
    </w:p>
    <w:p w14:paraId="28A2A766" w14:textId="02AFEC6C" w:rsidR="009F1F99" w:rsidRPr="00A92FE1" w:rsidRDefault="009F1F99" w:rsidP="0053493D">
      <w:pPr>
        <w:autoSpaceDE w:val="0"/>
        <w:autoSpaceDN w:val="0"/>
        <w:adjustRightInd w:val="0"/>
        <w:spacing w:after="0" w:line="360" w:lineRule="auto"/>
        <w:jc w:val="both"/>
        <w:rPr>
          <w:rFonts w:ascii="Times New Roman" w:hAnsi="Times New Roman" w:cs="Times New Roman"/>
          <w:b/>
          <w:sz w:val="24"/>
          <w:szCs w:val="24"/>
        </w:rPr>
      </w:pPr>
      <w:r w:rsidRPr="00A92FE1">
        <w:rPr>
          <w:rFonts w:ascii="Times New Roman" w:hAnsi="Times New Roman" w:cs="Times New Roman"/>
          <w:b/>
          <w:sz w:val="24"/>
          <w:szCs w:val="24"/>
        </w:rPr>
        <w:t>3.1</w:t>
      </w:r>
      <w:r w:rsidR="0053493D">
        <w:rPr>
          <w:rFonts w:ascii="Times New Roman" w:hAnsi="Times New Roman" w:cs="Times New Roman"/>
          <w:b/>
          <w:sz w:val="24"/>
          <w:szCs w:val="24"/>
        </w:rPr>
        <w:tab/>
      </w:r>
      <w:r w:rsidRPr="00A92FE1">
        <w:rPr>
          <w:rFonts w:ascii="Times New Roman" w:hAnsi="Times New Roman" w:cs="Times New Roman"/>
          <w:b/>
          <w:sz w:val="24"/>
          <w:szCs w:val="24"/>
        </w:rPr>
        <w:t>Proximate composition</w:t>
      </w:r>
    </w:p>
    <w:p w14:paraId="41F8B591" w14:textId="4F3514F9" w:rsidR="009556B4" w:rsidRPr="00A92FE1" w:rsidRDefault="009556B4" w:rsidP="0053493D">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92FE1">
        <w:rPr>
          <w:rFonts w:ascii="Times New Roman" w:hAnsi="Times New Roman" w:cs="Times New Roman"/>
          <w:bCs/>
          <w:sz w:val="24"/>
          <w:szCs w:val="24"/>
        </w:rPr>
        <w:lastRenderedPageBreak/>
        <w:t xml:space="preserve">The proximate composition of dried </w:t>
      </w:r>
      <w:r w:rsidRPr="00A92FE1">
        <w:rPr>
          <w:rFonts w:ascii="Times New Roman" w:hAnsi="Times New Roman" w:cs="Times New Roman"/>
          <w:bCs/>
          <w:i/>
          <w:iCs/>
          <w:sz w:val="24"/>
          <w:szCs w:val="24"/>
        </w:rPr>
        <w:t>C</w:t>
      </w:r>
      <w:r w:rsidR="004126A8" w:rsidRPr="00A92FE1">
        <w:rPr>
          <w:rFonts w:ascii="Times New Roman" w:hAnsi="Times New Roman" w:cs="Times New Roman"/>
          <w:bCs/>
          <w:i/>
          <w:iCs/>
          <w:sz w:val="24"/>
          <w:szCs w:val="24"/>
        </w:rPr>
        <w:t>.</w:t>
      </w:r>
      <w:r w:rsidRPr="00A92FE1">
        <w:rPr>
          <w:rFonts w:ascii="Times New Roman" w:hAnsi="Times New Roman" w:cs="Times New Roman"/>
          <w:bCs/>
          <w:i/>
          <w:iCs/>
          <w:sz w:val="24"/>
          <w:szCs w:val="24"/>
        </w:rPr>
        <w:t xml:space="preserve"> ambrosioides</w:t>
      </w:r>
      <w:r w:rsidRPr="00A92FE1">
        <w:rPr>
          <w:rFonts w:ascii="Times New Roman" w:hAnsi="Times New Roman" w:cs="Times New Roman"/>
          <w:bCs/>
          <w:sz w:val="24"/>
          <w:szCs w:val="24"/>
        </w:rPr>
        <w:t xml:space="preserve"> leaves collected from different locations is presented in Figure </w:t>
      </w:r>
      <w:r w:rsidR="00B6303E" w:rsidRPr="00A92FE1">
        <w:rPr>
          <w:rFonts w:ascii="Times New Roman" w:hAnsi="Times New Roman" w:cs="Times New Roman"/>
          <w:bCs/>
          <w:sz w:val="24"/>
          <w:szCs w:val="24"/>
        </w:rPr>
        <w:t>2</w:t>
      </w:r>
      <w:r w:rsidRPr="00A92FE1">
        <w:rPr>
          <w:rFonts w:ascii="Times New Roman" w:hAnsi="Times New Roman" w:cs="Times New Roman"/>
          <w:bCs/>
          <w:sz w:val="24"/>
          <w:szCs w:val="24"/>
        </w:rPr>
        <w:t xml:space="preserve">. The moisture content ranged from 26.01% in Palampur to 36.64% in Kangra. The ash content varied between 15.01% in </w:t>
      </w:r>
      <w:proofErr w:type="spellStart"/>
      <w:r w:rsidRPr="00A92FE1">
        <w:rPr>
          <w:rFonts w:ascii="Times New Roman" w:hAnsi="Times New Roman" w:cs="Times New Roman"/>
          <w:bCs/>
          <w:sz w:val="24"/>
          <w:szCs w:val="24"/>
        </w:rPr>
        <w:t>Nurpur</w:t>
      </w:r>
      <w:proofErr w:type="spellEnd"/>
      <w:r w:rsidRPr="00A92FE1">
        <w:rPr>
          <w:rFonts w:ascii="Times New Roman" w:hAnsi="Times New Roman" w:cs="Times New Roman"/>
          <w:bCs/>
          <w:sz w:val="24"/>
          <w:szCs w:val="24"/>
        </w:rPr>
        <w:t xml:space="preserve"> and 19.15% in Shahpur. These findings are in agreement with previous reports, where </w:t>
      </w:r>
      <w:proofErr w:type="spellStart"/>
      <w:r w:rsidRPr="00A92FE1">
        <w:rPr>
          <w:rFonts w:ascii="Times New Roman" w:hAnsi="Times New Roman" w:cs="Times New Roman"/>
          <w:bCs/>
          <w:sz w:val="24"/>
          <w:szCs w:val="24"/>
        </w:rPr>
        <w:t>Lohdip</w:t>
      </w:r>
      <w:proofErr w:type="spellEnd"/>
      <w:r w:rsidRPr="00A92FE1">
        <w:rPr>
          <w:rFonts w:ascii="Times New Roman" w:hAnsi="Times New Roman" w:cs="Times New Roman"/>
          <w:bCs/>
          <w:sz w:val="24"/>
          <w:szCs w:val="24"/>
        </w:rPr>
        <w:t xml:space="preserve"> et al.</w:t>
      </w:r>
      <w:r w:rsidR="004126A8" w:rsidRPr="00A92FE1">
        <w:rPr>
          <w:rFonts w:ascii="Times New Roman" w:hAnsi="Times New Roman" w:cs="Times New Roman"/>
          <w:bCs/>
          <w:sz w:val="24"/>
          <w:szCs w:val="24"/>
        </w:rPr>
        <w:t>,</w:t>
      </w:r>
      <w:r w:rsidRPr="00A92FE1">
        <w:rPr>
          <w:rFonts w:ascii="Times New Roman" w:hAnsi="Times New Roman" w:cs="Times New Roman"/>
          <w:bCs/>
          <w:sz w:val="24"/>
          <w:szCs w:val="24"/>
        </w:rPr>
        <w:t xml:space="preserve"> (2015) reported 19.01%, </w:t>
      </w:r>
      <w:r w:rsidRPr="00A92FE1">
        <w:rPr>
          <w:rFonts w:ascii="Times New Roman" w:hAnsi="Times New Roman" w:cs="Times New Roman"/>
          <w:bCs/>
          <w:color w:val="000000" w:themeColor="text1"/>
          <w:sz w:val="24"/>
          <w:szCs w:val="24"/>
        </w:rPr>
        <w:t xml:space="preserve">and </w:t>
      </w:r>
      <w:proofErr w:type="spellStart"/>
      <w:r w:rsidRPr="00A92FE1">
        <w:rPr>
          <w:rFonts w:ascii="Times New Roman" w:hAnsi="Times New Roman" w:cs="Times New Roman"/>
          <w:bCs/>
          <w:color w:val="000000" w:themeColor="text1"/>
          <w:sz w:val="24"/>
          <w:szCs w:val="24"/>
        </w:rPr>
        <w:t>Aborisade</w:t>
      </w:r>
      <w:proofErr w:type="spellEnd"/>
      <w:r w:rsidRPr="00A92FE1">
        <w:rPr>
          <w:rFonts w:ascii="Times New Roman" w:hAnsi="Times New Roman" w:cs="Times New Roman"/>
          <w:bCs/>
          <w:color w:val="000000" w:themeColor="text1"/>
          <w:sz w:val="24"/>
          <w:szCs w:val="24"/>
        </w:rPr>
        <w:t xml:space="preserve">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(2017) observed 17.30% ash content in </w:t>
      </w:r>
      <w:r w:rsidRPr="00A92FE1">
        <w:rPr>
          <w:rFonts w:ascii="Times New Roman" w:hAnsi="Times New Roman" w:cs="Times New Roman"/>
          <w:bCs/>
          <w:i/>
          <w:iCs/>
          <w:color w:val="000000" w:themeColor="text1"/>
          <w:sz w:val="24"/>
          <w:szCs w:val="24"/>
        </w:rPr>
        <w:t>C</w:t>
      </w:r>
      <w:r w:rsidR="00B6303E" w:rsidRPr="00A92FE1">
        <w:rPr>
          <w:rFonts w:ascii="Times New Roman" w:hAnsi="Times New Roman" w:cs="Times New Roman"/>
          <w:bCs/>
          <w:i/>
          <w:iCs/>
          <w:color w:val="000000" w:themeColor="text1"/>
          <w:sz w:val="24"/>
          <w:szCs w:val="24"/>
        </w:rPr>
        <w:t xml:space="preserve">. </w:t>
      </w:r>
      <w:r w:rsidRPr="00A92FE1">
        <w:rPr>
          <w:rFonts w:ascii="Times New Roman" w:hAnsi="Times New Roman" w:cs="Times New Roman"/>
          <w:bCs/>
          <w:i/>
          <w:iCs/>
          <w:color w:val="000000" w:themeColor="text1"/>
          <w:sz w:val="24"/>
          <w:szCs w:val="24"/>
        </w:rPr>
        <w:t>ambrosioides</w:t>
      </w:r>
      <w:r w:rsidRPr="00A92FE1">
        <w:rPr>
          <w:rFonts w:ascii="Times New Roman" w:hAnsi="Times New Roman" w:cs="Times New Roman"/>
          <w:bCs/>
          <w:color w:val="000000" w:themeColor="text1"/>
          <w:sz w:val="24"/>
          <w:szCs w:val="24"/>
        </w:rPr>
        <w:t xml:space="preserve"> leaves. The crude protein content ranged from 23.18% in </w:t>
      </w:r>
      <w:proofErr w:type="spellStart"/>
      <w:r w:rsidRPr="00A92FE1">
        <w:rPr>
          <w:rFonts w:ascii="Times New Roman" w:hAnsi="Times New Roman" w:cs="Times New Roman"/>
          <w:bCs/>
          <w:color w:val="000000" w:themeColor="text1"/>
          <w:sz w:val="24"/>
          <w:szCs w:val="24"/>
        </w:rPr>
        <w:t>Nurpur</w:t>
      </w:r>
      <w:proofErr w:type="spellEnd"/>
      <w:r w:rsidRPr="00A92FE1">
        <w:rPr>
          <w:rFonts w:ascii="Times New Roman" w:hAnsi="Times New Roman" w:cs="Times New Roman"/>
          <w:bCs/>
          <w:color w:val="000000" w:themeColor="text1"/>
          <w:sz w:val="24"/>
          <w:szCs w:val="24"/>
        </w:rPr>
        <w:t xml:space="preserve"> to 31.20% in </w:t>
      </w:r>
      <w:proofErr w:type="spellStart"/>
      <w:r w:rsidRPr="00A92FE1">
        <w:rPr>
          <w:rFonts w:ascii="Times New Roman" w:hAnsi="Times New Roman" w:cs="Times New Roman"/>
          <w:bCs/>
          <w:color w:val="000000" w:themeColor="text1"/>
          <w:sz w:val="24"/>
          <w:szCs w:val="24"/>
        </w:rPr>
        <w:t>Daroh</w:t>
      </w:r>
      <w:proofErr w:type="spellEnd"/>
      <w:r w:rsidRPr="00A92FE1">
        <w:rPr>
          <w:rFonts w:ascii="Times New Roman" w:hAnsi="Times New Roman" w:cs="Times New Roman"/>
          <w:bCs/>
          <w:color w:val="000000" w:themeColor="text1"/>
          <w:sz w:val="24"/>
          <w:szCs w:val="24"/>
        </w:rPr>
        <w:t xml:space="preserve"> collections. </w:t>
      </w:r>
      <w:proofErr w:type="spellStart"/>
      <w:r w:rsidR="00CA0F37">
        <w:rPr>
          <w:rFonts w:ascii="Times New Roman" w:hAnsi="Times New Roman" w:cs="Times New Roman"/>
          <w:bCs/>
          <w:color w:val="000000" w:themeColor="text1"/>
          <w:sz w:val="24"/>
          <w:szCs w:val="24"/>
        </w:rPr>
        <w:t>D</w:t>
      </w:r>
      <w:r w:rsidR="00CA0F37" w:rsidRPr="00CA0F37">
        <w:rPr>
          <w:rFonts w:ascii="Times New Roman" w:hAnsi="Times New Roman" w:cs="Times New Roman"/>
          <w:bCs/>
          <w:color w:val="000000" w:themeColor="text1"/>
          <w:sz w:val="24"/>
          <w:szCs w:val="24"/>
        </w:rPr>
        <w:t>aroh</w:t>
      </w:r>
      <w:proofErr w:type="spellEnd"/>
      <w:r w:rsidR="00CA0F37" w:rsidRPr="00CA0F37">
        <w:rPr>
          <w:rFonts w:ascii="Times New Roman" w:hAnsi="Times New Roman" w:cs="Times New Roman"/>
          <w:bCs/>
          <w:color w:val="000000" w:themeColor="text1"/>
          <w:sz w:val="24"/>
          <w:szCs w:val="24"/>
        </w:rPr>
        <w:t xml:space="preserve"> protein content was significantly higher (p &lt; 0.05) than </w:t>
      </w:r>
      <w:proofErr w:type="spellStart"/>
      <w:r w:rsidR="00CA0F37">
        <w:rPr>
          <w:rFonts w:ascii="Times New Roman" w:hAnsi="Times New Roman" w:cs="Times New Roman"/>
          <w:bCs/>
          <w:color w:val="000000" w:themeColor="text1"/>
          <w:sz w:val="24"/>
          <w:szCs w:val="24"/>
        </w:rPr>
        <w:t>N</w:t>
      </w:r>
      <w:r w:rsidR="00CA0F37" w:rsidRPr="00CA0F37">
        <w:rPr>
          <w:rFonts w:ascii="Times New Roman" w:hAnsi="Times New Roman" w:cs="Times New Roman"/>
          <w:bCs/>
          <w:color w:val="000000" w:themeColor="text1"/>
          <w:sz w:val="24"/>
          <w:szCs w:val="24"/>
        </w:rPr>
        <w:t>urpur</w:t>
      </w:r>
      <w:proofErr w:type="spellEnd"/>
      <w:r w:rsidR="00CA0F37" w:rsidRPr="00CA0F37">
        <w:rPr>
          <w:rFonts w:ascii="Times New Roman" w:hAnsi="Times New Roman" w:cs="Times New Roman"/>
          <w:bCs/>
          <w:color w:val="000000" w:themeColor="text1"/>
          <w:sz w:val="24"/>
          <w:szCs w:val="24"/>
        </w:rPr>
        <w:t>, indicating genotypic or environmental advantages.</w:t>
      </w:r>
      <w:r w:rsidR="00CA0F37">
        <w:rPr>
          <w:rFonts w:ascii="Times New Roman" w:hAnsi="Times New Roman" w:cs="Times New Roman"/>
          <w:bCs/>
          <w:color w:val="000000" w:themeColor="text1"/>
          <w:sz w:val="24"/>
          <w:szCs w:val="24"/>
        </w:rPr>
        <w:t xml:space="preserve"> </w:t>
      </w:r>
      <w:r w:rsidRPr="00A92FE1">
        <w:rPr>
          <w:rFonts w:ascii="Times New Roman" w:hAnsi="Times New Roman" w:cs="Times New Roman"/>
          <w:bCs/>
          <w:color w:val="000000" w:themeColor="text1"/>
          <w:sz w:val="24"/>
          <w:szCs w:val="24"/>
        </w:rPr>
        <w:t>Mushtaq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(2012) recorded 21.92% crude protein in the aerial parts of this species, while </w:t>
      </w:r>
      <w:proofErr w:type="spellStart"/>
      <w:r w:rsidRPr="00A92FE1">
        <w:rPr>
          <w:rFonts w:ascii="Times New Roman" w:hAnsi="Times New Roman" w:cs="Times New Roman"/>
          <w:bCs/>
          <w:color w:val="000000" w:themeColor="text1"/>
          <w:sz w:val="24"/>
          <w:szCs w:val="24"/>
        </w:rPr>
        <w:t>Aborisade</w:t>
      </w:r>
      <w:proofErr w:type="spellEnd"/>
      <w:r w:rsidRPr="00A92FE1">
        <w:rPr>
          <w:rFonts w:ascii="Times New Roman" w:hAnsi="Times New Roman" w:cs="Times New Roman"/>
          <w:bCs/>
          <w:color w:val="000000" w:themeColor="text1"/>
          <w:sz w:val="24"/>
          <w:szCs w:val="24"/>
        </w:rPr>
        <w:t xml:space="preserve">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(2017) reported 30.00%, which aligns well with the present findings. For crude fat, the highest value was noted at Jaswan (6.89%), whereas the lowest was found at </w:t>
      </w:r>
      <w:proofErr w:type="spellStart"/>
      <w:r w:rsidRPr="00A92FE1">
        <w:rPr>
          <w:rFonts w:ascii="Times New Roman" w:hAnsi="Times New Roman" w:cs="Times New Roman"/>
          <w:bCs/>
          <w:color w:val="000000" w:themeColor="text1"/>
          <w:sz w:val="24"/>
          <w:szCs w:val="24"/>
        </w:rPr>
        <w:t>Nurpur</w:t>
      </w:r>
      <w:proofErr w:type="spellEnd"/>
      <w:r w:rsidRPr="00A92FE1">
        <w:rPr>
          <w:rFonts w:ascii="Times New Roman" w:hAnsi="Times New Roman" w:cs="Times New Roman"/>
          <w:bCs/>
          <w:color w:val="000000" w:themeColor="text1"/>
          <w:sz w:val="24"/>
          <w:szCs w:val="24"/>
        </w:rPr>
        <w:t xml:space="preserve"> (2.73%). </w:t>
      </w:r>
      <w:r w:rsidR="00E35769">
        <w:rPr>
          <w:rFonts w:ascii="Times New Roman" w:hAnsi="Times New Roman" w:cs="Times New Roman"/>
          <w:bCs/>
          <w:color w:val="000000" w:themeColor="text1"/>
          <w:sz w:val="24"/>
          <w:szCs w:val="24"/>
        </w:rPr>
        <w:t>T</w:t>
      </w:r>
      <w:r w:rsidR="00E35769" w:rsidRPr="00E35769">
        <w:rPr>
          <w:rFonts w:ascii="Times New Roman" w:hAnsi="Times New Roman" w:cs="Times New Roman"/>
          <w:bCs/>
          <w:color w:val="000000" w:themeColor="text1"/>
          <w:sz w:val="24"/>
          <w:szCs w:val="24"/>
        </w:rPr>
        <w:t xml:space="preserve">he fat content at </w:t>
      </w:r>
      <w:r w:rsidR="00E35769">
        <w:rPr>
          <w:rFonts w:ascii="Times New Roman" w:hAnsi="Times New Roman" w:cs="Times New Roman"/>
          <w:bCs/>
          <w:color w:val="000000" w:themeColor="text1"/>
          <w:sz w:val="24"/>
          <w:szCs w:val="24"/>
        </w:rPr>
        <w:t>J</w:t>
      </w:r>
      <w:r w:rsidR="00E35769" w:rsidRPr="00E35769">
        <w:rPr>
          <w:rFonts w:ascii="Times New Roman" w:hAnsi="Times New Roman" w:cs="Times New Roman"/>
          <w:bCs/>
          <w:color w:val="000000" w:themeColor="text1"/>
          <w:sz w:val="24"/>
          <w:szCs w:val="24"/>
        </w:rPr>
        <w:t xml:space="preserve">aswan was significantly higher (p &lt; 0.05) than </w:t>
      </w:r>
      <w:proofErr w:type="spellStart"/>
      <w:r w:rsidR="00E35769">
        <w:rPr>
          <w:rFonts w:ascii="Times New Roman" w:hAnsi="Times New Roman" w:cs="Times New Roman"/>
          <w:bCs/>
          <w:color w:val="000000" w:themeColor="text1"/>
          <w:sz w:val="24"/>
          <w:szCs w:val="24"/>
        </w:rPr>
        <w:t>N</w:t>
      </w:r>
      <w:r w:rsidR="00E35769" w:rsidRPr="00E35769">
        <w:rPr>
          <w:rFonts w:ascii="Times New Roman" w:hAnsi="Times New Roman" w:cs="Times New Roman"/>
          <w:bCs/>
          <w:color w:val="000000" w:themeColor="text1"/>
          <w:sz w:val="24"/>
          <w:szCs w:val="24"/>
        </w:rPr>
        <w:t>urpur</w:t>
      </w:r>
      <w:proofErr w:type="spellEnd"/>
      <w:r w:rsidR="00E35769" w:rsidRPr="00E35769">
        <w:rPr>
          <w:rFonts w:ascii="Times New Roman" w:hAnsi="Times New Roman" w:cs="Times New Roman"/>
          <w:bCs/>
          <w:color w:val="000000" w:themeColor="text1"/>
          <w:sz w:val="24"/>
          <w:szCs w:val="24"/>
        </w:rPr>
        <w:t>.</w:t>
      </w:r>
      <w:r w:rsidR="00E35769">
        <w:rPr>
          <w:rFonts w:ascii="Times New Roman" w:hAnsi="Times New Roman" w:cs="Times New Roman"/>
          <w:bCs/>
          <w:color w:val="000000" w:themeColor="text1"/>
          <w:sz w:val="24"/>
          <w:szCs w:val="24"/>
        </w:rPr>
        <w:t xml:space="preserve"> </w:t>
      </w:r>
      <w:r w:rsidRPr="00A92FE1">
        <w:rPr>
          <w:rFonts w:ascii="Times New Roman" w:hAnsi="Times New Roman" w:cs="Times New Roman"/>
          <w:bCs/>
          <w:color w:val="000000" w:themeColor="text1"/>
          <w:sz w:val="24"/>
          <w:szCs w:val="24"/>
        </w:rPr>
        <w:t>The variation observed is comparable to the findings of Mushtaq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(2012), who reported 4.32% crude fat in the aerial parts of </w:t>
      </w:r>
      <w:r w:rsidRPr="00A92FE1">
        <w:rPr>
          <w:rFonts w:ascii="Times New Roman" w:hAnsi="Times New Roman" w:cs="Times New Roman"/>
          <w:bCs/>
          <w:i/>
          <w:iCs/>
          <w:color w:val="000000" w:themeColor="text1"/>
          <w:sz w:val="24"/>
          <w:szCs w:val="24"/>
        </w:rPr>
        <w:t>C. ambrosioides</w:t>
      </w:r>
      <w:r w:rsidRPr="00A92FE1">
        <w:rPr>
          <w:rFonts w:ascii="Times New Roman" w:hAnsi="Times New Roman" w:cs="Times New Roman"/>
          <w:bCs/>
          <w:color w:val="000000" w:themeColor="text1"/>
          <w:sz w:val="24"/>
          <w:szCs w:val="24"/>
        </w:rPr>
        <w:t xml:space="preserve">. The crude fibre content ranged from 9.01% in Kangra to 10.69% in Dehra, which is slightly lower than the value reported by </w:t>
      </w:r>
      <w:proofErr w:type="spellStart"/>
      <w:r w:rsidRPr="00A92FE1">
        <w:rPr>
          <w:rFonts w:ascii="Times New Roman" w:hAnsi="Times New Roman" w:cs="Times New Roman"/>
          <w:bCs/>
          <w:color w:val="000000" w:themeColor="text1"/>
          <w:sz w:val="24"/>
          <w:szCs w:val="24"/>
        </w:rPr>
        <w:t>Aborisade</w:t>
      </w:r>
      <w:proofErr w:type="spellEnd"/>
      <w:r w:rsidRPr="00A92FE1">
        <w:rPr>
          <w:rFonts w:ascii="Times New Roman" w:hAnsi="Times New Roman" w:cs="Times New Roman"/>
          <w:bCs/>
          <w:color w:val="000000" w:themeColor="text1"/>
          <w:sz w:val="24"/>
          <w:szCs w:val="24"/>
        </w:rPr>
        <w:t xml:space="preserve">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(2017) at 13.04%. </w:t>
      </w:r>
      <w:r w:rsidR="003B6A47">
        <w:rPr>
          <w:rFonts w:ascii="Times New Roman" w:hAnsi="Times New Roman" w:cs="Times New Roman"/>
          <w:bCs/>
          <w:color w:val="000000" w:themeColor="text1"/>
          <w:sz w:val="24"/>
          <w:szCs w:val="24"/>
        </w:rPr>
        <w:t>T</w:t>
      </w:r>
      <w:r w:rsidR="003B6A47" w:rsidRPr="003B6A47">
        <w:rPr>
          <w:rFonts w:ascii="Times New Roman" w:hAnsi="Times New Roman" w:cs="Times New Roman"/>
          <w:bCs/>
          <w:color w:val="000000" w:themeColor="text1"/>
          <w:sz w:val="24"/>
          <w:szCs w:val="24"/>
        </w:rPr>
        <w:t xml:space="preserve">he difference between </w:t>
      </w:r>
      <w:r w:rsidR="003B6A47">
        <w:rPr>
          <w:rFonts w:ascii="Times New Roman" w:hAnsi="Times New Roman" w:cs="Times New Roman"/>
          <w:bCs/>
          <w:color w:val="000000" w:themeColor="text1"/>
          <w:sz w:val="24"/>
          <w:szCs w:val="24"/>
        </w:rPr>
        <w:t>D</w:t>
      </w:r>
      <w:r w:rsidR="003B6A47" w:rsidRPr="003B6A47">
        <w:rPr>
          <w:rFonts w:ascii="Times New Roman" w:hAnsi="Times New Roman" w:cs="Times New Roman"/>
          <w:bCs/>
          <w:color w:val="000000" w:themeColor="text1"/>
          <w:sz w:val="24"/>
          <w:szCs w:val="24"/>
        </w:rPr>
        <w:t xml:space="preserve">ehra and </w:t>
      </w:r>
      <w:r w:rsidR="003B6A47">
        <w:rPr>
          <w:rFonts w:ascii="Times New Roman" w:hAnsi="Times New Roman" w:cs="Times New Roman"/>
          <w:bCs/>
          <w:color w:val="000000" w:themeColor="text1"/>
          <w:sz w:val="24"/>
          <w:szCs w:val="24"/>
        </w:rPr>
        <w:t>K</w:t>
      </w:r>
      <w:r w:rsidR="003B6A47" w:rsidRPr="003B6A47">
        <w:rPr>
          <w:rFonts w:ascii="Times New Roman" w:hAnsi="Times New Roman" w:cs="Times New Roman"/>
          <w:bCs/>
          <w:color w:val="000000" w:themeColor="text1"/>
          <w:sz w:val="24"/>
          <w:szCs w:val="24"/>
        </w:rPr>
        <w:t>angra was statistically significant (p &lt; 0.05).</w:t>
      </w:r>
      <w:r w:rsidR="003B6A47">
        <w:rPr>
          <w:rFonts w:ascii="Times New Roman" w:hAnsi="Times New Roman" w:cs="Times New Roman"/>
          <w:bCs/>
          <w:color w:val="000000" w:themeColor="text1"/>
          <w:sz w:val="24"/>
          <w:szCs w:val="24"/>
        </w:rPr>
        <w:t xml:space="preserve"> </w:t>
      </w:r>
      <w:r w:rsidRPr="00A92FE1">
        <w:rPr>
          <w:rFonts w:ascii="Times New Roman" w:hAnsi="Times New Roman" w:cs="Times New Roman"/>
          <w:bCs/>
          <w:color w:val="000000" w:themeColor="text1"/>
          <w:sz w:val="24"/>
          <w:szCs w:val="24"/>
        </w:rPr>
        <w:t xml:space="preserve">Similarly, the total carbohydrate content varied between 4.95% in Jaswan and 13.68% in </w:t>
      </w:r>
      <w:proofErr w:type="spellStart"/>
      <w:r w:rsidRPr="00A92FE1">
        <w:rPr>
          <w:rFonts w:ascii="Times New Roman" w:hAnsi="Times New Roman" w:cs="Times New Roman"/>
          <w:bCs/>
          <w:color w:val="000000" w:themeColor="text1"/>
          <w:sz w:val="24"/>
          <w:szCs w:val="24"/>
        </w:rPr>
        <w:t>Nurpur</w:t>
      </w:r>
      <w:proofErr w:type="spellEnd"/>
      <w:r w:rsidRPr="00A92FE1">
        <w:rPr>
          <w:rFonts w:ascii="Times New Roman" w:hAnsi="Times New Roman" w:cs="Times New Roman"/>
          <w:bCs/>
          <w:color w:val="000000" w:themeColor="text1"/>
          <w:sz w:val="24"/>
          <w:szCs w:val="24"/>
        </w:rPr>
        <w:t xml:space="preserve"> collections. </w:t>
      </w:r>
      <w:r w:rsidR="00B5110C">
        <w:rPr>
          <w:rFonts w:ascii="Times New Roman" w:hAnsi="Times New Roman" w:cs="Times New Roman"/>
          <w:color w:val="000000" w:themeColor="text1"/>
          <w:sz w:val="24"/>
          <w:szCs w:val="24"/>
        </w:rPr>
        <w:t>T</w:t>
      </w:r>
      <w:r w:rsidR="00B5110C" w:rsidRPr="00B5110C">
        <w:rPr>
          <w:rFonts w:ascii="Times New Roman" w:hAnsi="Times New Roman" w:cs="Times New Roman"/>
          <w:color w:val="000000" w:themeColor="text1"/>
          <w:sz w:val="24"/>
          <w:szCs w:val="24"/>
        </w:rPr>
        <w:t xml:space="preserve">he higher carbohydrate content in </w:t>
      </w:r>
      <w:proofErr w:type="spellStart"/>
      <w:r w:rsidR="00B5110C">
        <w:rPr>
          <w:rFonts w:ascii="Times New Roman" w:hAnsi="Times New Roman" w:cs="Times New Roman"/>
          <w:color w:val="000000" w:themeColor="text1"/>
          <w:sz w:val="24"/>
          <w:szCs w:val="24"/>
        </w:rPr>
        <w:t>N</w:t>
      </w:r>
      <w:r w:rsidR="00B5110C" w:rsidRPr="00B5110C">
        <w:rPr>
          <w:rFonts w:ascii="Times New Roman" w:hAnsi="Times New Roman" w:cs="Times New Roman"/>
          <w:color w:val="000000" w:themeColor="text1"/>
          <w:sz w:val="24"/>
          <w:szCs w:val="24"/>
        </w:rPr>
        <w:t>urpur</w:t>
      </w:r>
      <w:proofErr w:type="spellEnd"/>
      <w:r w:rsidR="00B5110C" w:rsidRPr="00B5110C">
        <w:rPr>
          <w:rFonts w:ascii="Times New Roman" w:hAnsi="Times New Roman" w:cs="Times New Roman"/>
          <w:color w:val="000000" w:themeColor="text1"/>
          <w:sz w:val="24"/>
          <w:szCs w:val="24"/>
        </w:rPr>
        <w:t xml:space="preserve"> was significantly greater (p &lt; 0.05) than </w:t>
      </w:r>
      <w:r w:rsidR="00B5110C">
        <w:rPr>
          <w:rFonts w:ascii="Times New Roman" w:hAnsi="Times New Roman" w:cs="Times New Roman"/>
          <w:color w:val="000000" w:themeColor="text1"/>
          <w:sz w:val="24"/>
          <w:szCs w:val="24"/>
        </w:rPr>
        <w:t>J</w:t>
      </w:r>
      <w:r w:rsidR="00B5110C" w:rsidRPr="00B5110C">
        <w:rPr>
          <w:rFonts w:ascii="Times New Roman" w:hAnsi="Times New Roman" w:cs="Times New Roman"/>
          <w:color w:val="000000" w:themeColor="text1"/>
          <w:sz w:val="24"/>
          <w:szCs w:val="24"/>
        </w:rPr>
        <w:t xml:space="preserve">aswan. </w:t>
      </w:r>
      <w:r w:rsidRPr="00B5110C">
        <w:rPr>
          <w:rFonts w:ascii="Times New Roman" w:hAnsi="Times New Roman" w:cs="Times New Roman"/>
          <w:color w:val="000000" w:themeColor="text1"/>
          <w:sz w:val="24"/>
          <w:szCs w:val="24"/>
        </w:rPr>
        <w:t>Overall, the variations observed across different locations are in close confo</w:t>
      </w:r>
      <w:r w:rsidRPr="00A92FE1">
        <w:rPr>
          <w:rFonts w:ascii="Times New Roman" w:hAnsi="Times New Roman" w:cs="Times New Roman"/>
          <w:bCs/>
          <w:color w:val="000000" w:themeColor="text1"/>
          <w:sz w:val="24"/>
          <w:szCs w:val="24"/>
        </w:rPr>
        <w:t>rmity with earlier reports on this species.</w:t>
      </w:r>
    </w:p>
    <w:p w14:paraId="6D5CF7F4" w14:textId="77777777" w:rsidR="008F774E" w:rsidRDefault="00B6303E" w:rsidP="00FB4CC2">
      <w:pPr>
        <w:keepNext/>
        <w:autoSpaceDE w:val="0"/>
        <w:autoSpaceDN w:val="0"/>
        <w:adjustRightInd w:val="0"/>
        <w:spacing w:after="0" w:line="360" w:lineRule="auto"/>
        <w:jc w:val="center"/>
      </w:pPr>
      <w:r w:rsidRPr="00A92FE1">
        <w:rPr>
          <w:rFonts w:ascii="Times New Roman" w:eastAsia="Calibri" w:hAnsi="Times New Roman" w:cs="Times New Roman"/>
          <w:noProof/>
          <w:color w:val="000000" w:themeColor="text1"/>
          <w:sz w:val="24"/>
          <w:szCs w:val="24"/>
          <w:lang w:eastAsia="en-IN"/>
        </w:rPr>
        <w:drawing>
          <wp:inline distT="0" distB="0" distL="0" distR="0" wp14:anchorId="31E6A928" wp14:editId="59F98D5E">
            <wp:extent cx="5081905" cy="2943225"/>
            <wp:effectExtent l="0" t="0" r="444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AB6F16" w14:textId="358BCCF3" w:rsidR="00B6303E" w:rsidRDefault="008F774E" w:rsidP="008F774E">
      <w:pPr>
        <w:pStyle w:val="Caption"/>
        <w:spacing w:after="0" w:line="360" w:lineRule="auto"/>
        <w:jc w:val="center"/>
        <w:rPr>
          <w:rFonts w:ascii="Times New Roman" w:hAnsi="Times New Roman" w:cs="Times New Roman"/>
          <w:i w:val="0"/>
          <w:iCs w:val="0"/>
          <w:sz w:val="24"/>
          <w:szCs w:val="24"/>
        </w:rPr>
      </w:pPr>
      <w:r w:rsidRPr="008F774E">
        <w:rPr>
          <w:rFonts w:ascii="Times New Roman" w:hAnsi="Times New Roman" w:cs="Times New Roman"/>
          <w:b/>
          <w:bCs/>
          <w:i w:val="0"/>
          <w:iCs w:val="0"/>
          <w:sz w:val="24"/>
          <w:szCs w:val="24"/>
        </w:rPr>
        <w:t>Figure 2</w:t>
      </w:r>
      <w:r w:rsidRPr="008F774E">
        <w:rPr>
          <w:rFonts w:ascii="Times New Roman" w:hAnsi="Times New Roman" w:cs="Times New Roman"/>
          <w:i w:val="0"/>
          <w:iCs w:val="0"/>
          <w:sz w:val="24"/>
          <w:szCs w:val="24"/>
        </w:rPr>
        <w:t xml:space="preserve"> Variation in proximate composition of </w:t>
      </w:r>
      <w:r w:rsidRPr="00464139">
        <w:rPr>
          <w:rFonts w:ascii="Times New Roman" w:hAnsi="Times New Roman" w:cs="Times New Roman"/>
          <w:sz w:val="24"/>
          <w:szCs w:val="24"/>
        </w:rPr>
        <w:t>Chenopodium ambrosioides</w:t>
      </w:r>
      <w:r w:rsidRPr="008F774E">
        <w:rPr>
          <w:rFonts w:ascii="Times New Roman" w:hAnsi="Times New Roman" w:cs="Times New Roman"/>
          <w:i w:val="0"/>
          <w:iCs w:val="0"/>
          <w:sz w:val="24"/>
          <w:szCs w:val="24"/>
        </w:rPr>
        <w:t xml:space="preserve"> collections</w:t>
      </w:r>
      <w:r w:rsidR="00AD6A56">
        <w:rPr>
          <w:rFonts w:ascii="Times New Roman" w:hAnsi="Times New Roman" w:cs="Times New Roman"/>
          <w:i w:val="0"/>
          <w:iCs w:val="0"/>
          <w:sz w:val="24"/>
          <w:szCs w:val="24"/>
        </w:rPr>
        <w:t xml:space="preserve">. </w:t>
      </w:r>
    </w:p>
    <w:p w14:paraId="45B891D0" w14:textId="77777777" w:rsidR="008F774E" w:rsidRDefault="008F774E" w:rsidP="008F774E"/>
    <w:p w14:paraId="108D93F7" w14:textId="30E920F2" w:rsidR="00B6303E" w:rsidRPr="00A92FE1" w:rsidRDefault="00B6303E" w:rsidP="008F774E">
      <w:pPr>
        <w:spacing w:after="0" w:line="360" w:lineRule="auto"/>
        <w:jc w:val="both"/>
        <w:rPr>
          <w:rFonts w:ascii="Times New Roman" w:hAnsi="Times New Roman" w:cs="Times New Roman"/>
          <w:b/>
          <w:bCs/>
          <w:sz w:val="24"/>
          <w:szCs w:val="24"/>
        </w:rPr>
      </w:pPr>
      <w:r w:rsidRPr="00A92FE1">
        <w:rPr>
          <w:rFonts w:ascii="Times New Roman" w:hAnsi="Times New Roman" w:cs="Times New Roman"/>
          <w:b/>
          <w:bCs/>
          <w:sz w:val="24"/>
          <w:szCs w:val="24"/>
        </w:rPr>
        <w:t>3.2</w:t>
      </w:r>
      <w:r w:rsidR="008F774E">
        <w:rPr>
          <w:rFonts w:ascii="Times New Roman" w:hAnsi="Times New Roman" w:cs="Times New Roman"/>
          <w:b/>
          <w:bCs/>
          <w:sz w:val="24"/>
          <w:szCs w:val="24"/>
        </w:rPr>
        <w:tab/>
      </w:r>
      <w:r w:rsidRPr="00A92FE1">
        <w:rPr>
          <w:rFonts w:ascii="Times New Roman" w:hAnsi="Times New Roman" w:cs="Times New Roman"/>
          <w:b/>
          <w:bCs/>
          <w:sz w:val="24"/>
          <w:szCs w:val="24"/>
        </w:rPr>
        <w:t>Elemental analysis</w:t>
      </w:r>
    </w:p>
    <w:p w14:paraId="360C72A0" w14:textId="4B4D6206" w:rsidR="00B6303E" w:rsidRPr="00A92FE1" w:rsidRDefault="00B6303E" w:rsidP="008F774E">
      <w:pPr>
        <w:spacing w:after="0" w:line="360" w:lineRule="auto"/>
        <w:ind w:firstLine="720"/>
        <w:jc w:val="both"/>
        <w:rPr>
          <w:rFonts w:ascii="Times New Roman" w:hAnsi="Times New Roman" w:cs="Times New Roman"/>
          <w:sz w:val="24"/>
          <w:szCs w:val="24"/>
        </w:rPr>
      </w:pPr>
      <w:r w:rsidRPr="00A92FE1">
        <w:rPr>
          <w:rFonts w:ascii="Times New Roman" w:hAnsi="Times New Roman" w:cs="Times New Roman"/>
          <w:sz w:val="24"/>
          <w:szCs w:val="24"/>
        </w:rPr>
        <w:lastRenderedPageBreak/>
        <w:t xml:space="preserve">Minerals play a crucial role in the structure and functioning of living organisms. The mineral composition of </w:t>
      </w:r>
      <w:r w:rsidRPr="00A92FE1">
        <w:rPr>
          <w:rFonts w:ascii="Times New Roman" w:hAnsi="Times New Roman" w:cs="Times New Roman"/>
          <w:i/>
          <w:iCs/>
          <w:sz w:val="24"/>
          <w:szCs w:val="24"/>
        </w:rPr>
        <w:t>C</w:t>
      </w:r>
      <w:r w:rsidR="004126A8" w:rsidRPr="00A92FE1">
        <w:rPr>
          <w:rFonts w:ascii="Times New Roman" w:hAnsi="Times New Roman" w:cs="Times New Roman"/>
          <w:i/>
          <w:iCs/>
          <w:sz w:val="24"/>
          <w:szCs w:val="24"/>
        </w:rPr>
        <w:t>.</w:t>
      </w:r>
      <w:r w:rsidRPr="00A92FE1">
        <w:rPr>
          <w:rFonts w:ascii="Times New Roman" w:hAnsi="Times New Roman" w:cs="Times New Roman"/>
          <w:i/>
          <w:iCs/>
          <w:sz w:val="24"/>
          <w:szCs w:val="24"/>
        </w:rPr>
        <w:t xml:space="preserve"> ambrosioides</w:t>
      </w:r>
      <w:r w:rsidRPr="00A92FE1">
        <w:rPr>
          <w:rFonts w:ascii="Times New Roman" w:hAnsi="Times New Roman" w:cs="Times New Roman"/>
          <w:sz w:val="24"/>
          <w:szCs w:val="24"/>
        </w:rPr>
        <w:t xml:space="preserve"> leaves collected from different locations is summarized </w:t>
      </w:r>
      <w:r w:rsidRPr="00A92FE1">
        <w:rPr>
          <w:rFonts w:ascii="Times New Roman" w:hAnsi="Times New Roman" w:cs="Times New Roman"/>
          <w:color w:val="000000" w:themeColor="text1"/>
          <w:sz w:val="24"/>
          <w:szCs w:val="24"/>
        </w:rPr>
        <w:t xml:space="preserve">in Table 1. Sodium content ranged from 227.50 mg/100 g in </w:t>
      </w:r>
      <w:proofErr w:type="spellStart"/>
      <w:r w:rsidRPr="00A92FE1">
        <w:rPr>
          <w:rFonts w:ascii="Times New Roman" w:hAnsi="Times New Roman" w:cs="Times New Roman"/>
          <w:color w:val="000000" w:themeColor="text1"/>
          <w:sz w:val="24"/>
          <w:szCs w:val="24"/>
        </w:rPr>
        <w:t>Daroh</w:t>
      </w:r>
      <w:proofErr w:type="spellEnd"/>
      <w:r w:rsidRPr="00A92FE1">
        <w:rPr>
          <w:rFonts w:ascii="Times New Roman" w:hAnsi="Times New Roman" w:cs="Times New Roman"/>
          <w:color w:val="000000" w:themeColor="text1"/>
          <w:sz w:val="24"/>
          <w:szCs w:val="24"/>
        </w:rPr>
        <w:t xml:space="preserve"> to 315.00 mg/100 g in </w:t>
      </w:r>
      <w:proofErr w:type="spellStart"/>
      <w:r w:rsidRPr="00A92FE1">
        <w:rPr>
          <w:rFonts w:ascii="Times New Roman" w:hAnsi="Times New Roman" w:cs="Times New Roman"/>
          <w:color w:val="000000" w:themeColor="text1"/>
          <w:sz w:val="24"/>
          <w:szCs w:val="24"/>
        </w:rPr>
        <w:t>Baroh</w:t>
      </w:r>
      <w:proofErr w:type="spellEnd"/>
      <w:r w:rsidRPr="00A92FE1">
        <w:rPr>
          <w:rFonts w:ascii="Times New Roman" w:hAnsi="Times New Roman" w:cs="Times New Roman"/>
          <w:color w:val="000000" w:themeColor="text1"/>
          <w:sz w:val="24"/>
          <w:szCs w:val="24"/>
        </w:rPr>
        <w:t xml:space="preserve"> collections. </w:t>
      </w:r>
      <w:r w:rsidR="001F56D5">
        <w:rPr>
          <w:rFonts w:ascii="Times New Roman" w:hAnsi="Times New Roman" w:cs="Times New Roman"/>
          <w:color w:val="000000" w:themeColor="text1"/>
          <w:sz w:val="24"/>
          <w:szCs w:val="24"/>
        </w:rPr>
        <w:t>T</w:t>
      </w:r>
      <w:r w:rsidR="001F56D5" w:rsidRPr="001F56D5">
        <w:rPr>
          <w:rFonts w:ascii="Times New Roman" w:hAnsi="Times New Roman" w:cs="Times New Roman"/>
          <w:color w:val="000000" w:themeColor="text1"/>
          <w:sz w:val="24"/>
          <w:szCs w:val="24"/>
        </w:rPr>
        <w:t xml:space="preserve">he sodium level in </w:t>
      </w:r>
      <w:proofErr w:type="spellStart"/>
      <w:r w:rsidR="001F56D5">
        <w:rPr>
          <w:rFonts w:ascii="Times New Roman" w:hAnsi="Times New Roman" w:cs="Times New Roman"/>
          <w:color w:val="000000" w:themeColor="text1"/>
          <w:sz w:val="24"/>
          <w:szCs w:val="24"/>
        </w:rPr>
        <w:t>B</w:t>
      </w:r>
      <w:r w:rsidR="001F56D5" w:rsidRPr="001F56D5">
        <w:rPr>
          <w:rFonts w:ascii="Times New Roman" w:hAnsi="Times New Roman" w:cs="Times New Roman"/>
          <w:color w:val="000000" w:themeColor="text1"/>
          <w:sz w:val="24"/>
          <w:szCs w:val="24"/>
        </w:rPr>
        <w:t>aroh</w:t>
      </w:r>
      <w:proofErr w:type="spellEnd"/>
      <w:r w:rsidR="001F56D5" w:rsidRPr="001F56D5">
        <w:rPr>
          <w:rFonts w:ascii="Times New Roman" w:hAnsi="Times New Roman" w:cs="Times New Roman"/>
          <w:color w:val="000000" w:themeColor="text1"/>
          <w:sz w:val="24"/>
          <w:szCs w:val="24"/>
        </w:rPr>
        <w:t xml:space="preserve"> was significantly higher (p &lt; 0.05) than </w:t>
      </w:r>
      <w:proofErr w:type="spellStart"/>
      <w:r w:rsidR="001F56D5">
        <w:rPr>
          <w:rFonts w:ascii="Times New Roman" w:hAnsi="Times New Roman" w:cs="Times New Roman"/>
          <w:color w:val="000000" w:themeColor="text1"/>
          <w:sz w:val="24"/>
          <w:szCs w:val="24"/>
        </w:rPr>
        <w:t>D</w:t>
      </w:r>
      <w:r w:rsidR="001F56D5" w:rsidRPr="001F56D5">
        <w:rPr>
          <w:rFonts w:ascii="Times New Roman" w:hAnsi="Times New Roman" w:cs="Times New Roman"/>
          <w:color w:val="000000" w:themeColor="text1"/>
          <w:sz w:val="24"/>
          <w:szCs w:val="24"/>
        </w:rPr>
        <w:t>aroh</w:t>
      </w:r>
      <w:proofErr w:type="spellEnd"/>
      <w:r w:rsidR="001F56D5" w:rsidRPr="001F56D5">
        <w:rPr>
          <w:rFonts w:ascii="Times New Roman" w:hAnsi="Times New Roman" w:cs="Times New Roman"/>
          <w:color w:val="000000" w:themeColor="text1"/>
          <w:sz w:val="24"/>
          <w:szCs w:val="24"/>
        </w:rPr>
        <w:t>.</w:t>
      </w:r>
      <w:r w:rsidR="001F56D5">
        <w:rPr>
          <w:rFonts w:ascii="Times New Roman" w:hAnsi="Times New Roman" w:cs="Times New Roman"/>
          <w:color w:val="000000" w:themeColor="text1"/>
          <w:sz w:val="24"/>
          <w:szCs w:val="24"/>
        </w:rPr>
        <w:t xml:space="preserve"> </w:t>
      </w:r>
      <w:r w:rsidRPr="00A92FE1">
        <w:rPr>
          <w:rFonts w:ascii="Times New Roman" w:hAnsi="Times New Roman" w:cs="Times New Roman"/>
          <w:color w:val="000000" w:themeColor="text1"/>
          <w:sz w:val="24"/>
          <w:szCs w:val="24"/>
        </w:rPr>
        <w:t>Mushtaq et al.</w:t>
      </w:r>
      <w:r w:rsidR="004126A8"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(2012) also reported sodium content of 0.23% in the aerial parts of this plant. Calcium content varied between 912.50 mg/100 g in </w:t>
      </w:r>
      <w:proofErr w:type="spellStart"/>
      <w:r w:rsidRPr="00A92FE1">
        <w:rPr>
          <w:rFonts w:ascii="Times New Roman" w:hAnsi="Times New Roman" w:cs="Times New Roman"/>
          <w:color w:val="000000" w:themeColor="text1"/>
          <w:sz w:val="24"/>
          <w:szCs w:val="24"/>
        </w:rPr>
        <w:t>Nurpur</w:t>
      </w:r>
      <w:proofErr w:type="spellEnd"/>
      <w:r w:rsidRPr="00A92FE1">
        <w:rPr>
          <w:rFonts w:ascii="Times New Roman" w:hAnsi="Times New Roman" w:cs="Times New Roman"/>
          <w:color w:val="000000" w:themeColor="text1"/>
          <w:sz w:val="24"/>
          <w:szCs w:val="24"/>
        </w:rPr>
        <w:t xml:space="preserve"> and 1025.00 mg/100 g in </w:t>
      </w:r>
      <w:proofErr w:type="spellStart"/>
      <w:r w:rsidRPr="00A92FE1">
        <w:rPr>
          <w:rFonts w:ascii="Times New Roman" w:hAnsi="Times New Roman" w:cs="Times New Roman"/>
          <w:color w:val="000000" w:themeColor="text1"/>
          <w:sz w:val="24"/>
          <w:szCs w:val="24"/>
        </w:rPr>
        <w:t>Baroh</w:t>
      </w:r>
      <w:proofErr w:type="spellEnd"/>
      <w:r w:rsidRPr="00A92FE1">
        <w:rPr>
          <w:rFonts w:ascii="Times New Roman" w:hAnsi="Times New Roman" w:cs="Times New Roman"/>
          <w:color w:val="000000" w:themeColor="text1"/>
          <w:sz w:val="24"/>
          <w:szCs w:val="24"/>
        </w:rPr>
        <w:t xml:space="preserve">. Potassium content was highest in Dehra (1086.67 mg/100 g) and lowest in Palampur (982.50 mg/100 g). Iron content showed minimal variation, ranging from 0.64 mg/100 g in </w:t>
      </w:r>
      <w:proofErr w:type="spellStart"/>
      <w:r w:rsidRPr="00A92FE1">
        <w:rPr>
          <w:rFonts w:ascii="Times New Roman" w:hAnsi="Times New Roman" w:cs="Times New Roman"/>
          <w:color w:val="000000" w:themeColor="text1"/>
          <w:sz w:val="24"/>
          <w:szCs w:val="24"/>
        </w:rPr>
        <w:t>Thural</w:t>
      </w:r>
      <w:proofErr w:type="spellEnd"/>
      <w:r w:rsidRPr="00A92FE1">
        <w:rPr>
          <w:rFonts w:ascii="Times New Roman" w:hAnsi="Times New Roman" w:cs="Times New Roman"/>
          <w:color w:val="000000" w:themeColor="text1"/>
          <w:sz w:val="24"/>
          <w:szCs w:val="24"/>
        </w:rPr>
        <w:t xml:space="preserve"> to 0.69 mg/100 g in Jaswan collections. </w:t>
      </w:r>
      <w:proofErr w:type="spellStart"/>
      <w:r w:rsidRPr="00A92FE1">
        <w:rPr>
          <w:rFonts w:ascii="Times New Roman" w:hAnsi="Times New Roman" w:cs="Times New Roman"/>
          <w:color w:val="000000" w:themeColor="text1"/>
          <w:sz w:val="24"/>
          <w:szCs w:val="24"/>
        </w:rPr>
        <w:t>Lohdip</w:t>
      </w:r>
      <w:proofErr w:type="spellEnd"/>
      <w:r w:rsidRPr="00A92FE1">
        <w:rPr>
          <w:rFonts w:ascii="Times New Roman" w:hAnsi="Times New Roman" w:cs="Times New Roman"/>
          <w:color w:val="000000" w:themeColor="text1"/>
          <w:sz w:val="24"/>
          <w:szCs w:val="24"/>
        </w:rPr>
        <w:t xml:space="preserve"> et al.</w:t>
      </w:r>
      <w:r w:rsidR="004126A8"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(2015) reported a higher iron concentration (15.60 mg/l or 1.56 mg/100 g), whereas the present study recorded comparatively lower values. Zinc content ranged from 0.11 mg/100 g in Dehra to 0.14 mg/100 g in Kangra, which is in line with the findings of </w:t>
      </w:r>
      <w:proofErr w:type="spellStart"/>
      <w:r w:rsidRPr="00A92FE1">
        <w:rPr>
          <w:rFonts w:ascii="Times New Roman" w:hAnsi="Times New Roman" w:cs="Times New Roman"/>
          <w:color w:val="000000" w:themeColor="text1"/>
          <w:sz w:val="24"/>
          <w:szCs w:val="24"/>
        </w:rPr>
        <w:t>Lohdip</w:t>
      </w:r>
      <w:proofErr w:type="spellEnd"/>
      <w:r w:rsidRPr="00A92FE1">
        <w:rPr>
          <w:rFonts w:ascii="Times New Roman" w:hAnsi="Times New Roman" w:cs="Times New Roman"/>
          <w:color w:val="000000" w:themeColor="text1"/>
          <w:sz w:val="24"/>
          <w:szCs w:val="24"/>
        </w:rPr>
        <w:t xml:space="preserve"> et al.</w:t>
      </w:r>
      <w:r w:rsidR="004126A8"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(2015), who observe</w:t>
      </w:r>
      <w:r w:rsidRPr="00A92FE1">
        <w:rPr>
          <w:rFonts w:ascii="Times New Roman" w:hAnsi="Times New Roman" w:cs="Times New Roman"/>
          <w:sz w:val="24"/>
          <w:szCs w:val="24"/>
        </w:rPr>
        <w:t xml:space="preserve">d 3.27 mg/l zinc in the leaves. The manganese content was lowest in Kangra (0.05 mg/100 g) and highest in </w:t>
      </w:r>
      <w:proofErr w:type="spellStart"/>
      <w:r w:rsidRPr="00A92FE1">
        <w:rPr>
          <w:rFonts w:ascii="Times New Roman" w:hAnsi="Times New Roman" w:cs="Times New Roman"/>
          <w:sz w:val="24"/>
          <w:szCs w:val="24"/>
        </w:rPr>
        <w:t>Harchkiyan</w:t>
      </w:r>
      <w:proofErr w:type="spellEnd"/>
      <w:r w:rsidRPr="00A92FE1">
        <w:rPr>
          <w:rFonts w:ascii="Times New Roman" w:hAnsi="Times New Roman" w:cs="Times New Roman"/>
          <w:sz w:val="24"/>
          <w:szCs w:val="24"/>
        </w:rPr>
        <w:t xml:space="preserve"> (0.11 mg/100 g), similar to earlier reports by </w:t>
      </w:r>
      <w:proofErr w:type="spellStart"/>
      <w:r w:rsidRPr="00A92FE1">
        <w:rPr>
          <w:rFonts w:ascii="Times New Roman" w:hAnsi="Times New Roman" w:cs="Times New Roman"/>
          <w:color w:val="000000" w:themeColor="text1"/>
          <w:sz w:val="24"/>
          <w:szCs w:val="24"/>
        </w:rPr>
        <w:t>Lohdip</w:t>
      </w:r>
      <w:proofErr w:type="spellEnd"/>
      <w:r w:rsidRPr="00A92FE1">
        <w:rPr>
          <w:rFonts w:ascii="Times New Roman" w:hAnsi="Times New Roman" w:cs="Times New Roman"/>
          <w:color w:val="000000" w:themeColor="text1"/>
          <w:sz w:val="24"/>
          <w:szCs w:val="24"/>
        </w:rPr>
        <w:t xml:space="preserve"> et al.</w:t>
      </w:r>
      <w:r w:rsidR="004126A8"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(2015) </w:t>
      </w:r>
      <w:r w:rsidRPr="00A92FE1">
        <w:rPr>
          <w:rFonts w:ascii="Times New Roman" w:hAnsi="Times New Roman" w:cs="Times New Roman"/>
          <w:sz w:val="24"/>
          <w:szCs w:val="24"/>
        </w:rPr>
        <w:t xml:space="preserve">showing 1.06 mg/l. Copper content exhibited notable variation, with the lowest value recorded in </w:t>
      </w:r>
      <w:proofErr w:type="spellStart"/>
      <w:r w:rsidRPr="00A92FE1">
        <w:rPr>
          <w:rFonts w:ascii="Times New Roman" w:hAnsi="Times New Roman" w:cs="Times New Roman"/>
          <w:sz w:val="24"/>
          <w:szCs w:val="24"/>
        </w:rPr>
        <w:t>Thural</w:t>
      </w:r>
      <w:proofErr w:type="spellEnd"/>
      <w:r w:rsidRPr="00A92FE1">
        <w:rPr>
          <w:rFonts w:ascii="Times New Roman" w:hAnsi="Times New Roman" w:cs="Times New Roman"/>
          <w:sz w:val="24"/>
          <w:szCs w:val="24"/>
        </w:rPr>
        <w:t xml:space="preserve"> (0.13 mg/100 g) and the highest in </w:t>
      </w:r>
      <w:proofErr w:type="spellStart"/>
      <w:r w:rsidRPr="00A92FE1">
        <w:rPr>
          <w:rFonts w:ascii="Times New Roman" w:hAnsi="Times New Roman" w:cs="Times New Roman"/>
          <w:sz w:val="24"/>
          <w:szCs w:val="24"/>
        </w:rPr>
        <w:t>Nurpur</w:t>
      </w:r>
      <w:proofErr w:type="spellEnd"/>
      <w:r w:rsidRPr="00A92FE1">
        <w:rPr>
          <w:rFonts w:ascii="Times New Roman" w:hAnsi="Times New Roman" w:cs="Times New Roman"/>
          <w:sz w:val="24"/>
          <w:szCs w:val="24"/>
        </w:rPr>
        <w:t xml:space="preserve"> (0.45 mg/100 g).</w:t>
      </w:r>
    </w:p>
    <w:p w14:paraId="79ED8B09" w14:textId="4E038A89" w:rsidR="00993142" w:rsidRPr="00A92FE1" w:rsidRDefault="00993142" w:rsidP="008F774E">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
          <w:bCs/>
          <w:sz w:val="24"/>
          <w:szCs w:val="24"/>
          <w:lang w:val="en-US"/>
        </w:rPr>
        <w:t>Table</w:t>
      </w:r>
      <w:r w:rsidR="008F774E">
        <w:rPr>
          <w:rFonts w:ascii="Times New Roman" w:hAnsi="Times New Roman" w:cs="Times New Roman"/>
          <w:b/>
          <w:bCs/>
          <w:sz w:val="24"/>
          <w:szCs w:val="24"/>
          <w:lang w:val="en-US"/>
        </w:rPr>
        <w:t xml:space="preserve"> </w:t>
      </w:r>
      <w:r w:rsidRPr="00A92FE1">
        <w:rPr>
          <w:rFonts w:ascii="Times New Roman" w:hAnsi="Times New Roman" w:cs="Times New Roman"/>
          <w:b/>
          <w:bCs/>
          <w:sz w:val="24"/>
          <w:szCs w:val="24"/>
          <w:lang w:val="en-US"/>
        </w:rPr>
        <w:t>1</w:t>
      </w:r>
      <w:r w:rsidR="008F774E">
        <w:rPr>
          <w:rFonts w:ascii="Times New Roman" w:hAnsi="Times New Roman" w:cs="Times New Roman"/>
          <w:b/>
          <w:bCs/>
          <w:sz w:val="24"/>
          <w:szCs w:val="24"/>
          <w:lang w:val="en-US"/>
        </w:rPr>
        <w:t>.</w:t>
      </w:r>
      <w:r w:rsidRPr="00A92FE1">
        <w:rPr>
          <w:rFonts w:ascii="Times New Roman" w:hAnsi="Times New Roman" w:cs="Times New Roman"/>
          <w:b/>
          <w:bCs/>
          <w:sz w:val="24"/>
          <w:szCs w:val="24"/>
          <w:lang w:val="en-US"/>
        </w:rPr>
        <w:t xml:space="preserve"> </w:t>
      </w:r>
      <w:r w:rsidR="00464139">
        <w:rPr>
          <w:rFonts w:ascii="Times New Roman" w:hAnsi="Times New Roman" w:cs="Times New Roman"/>
          <w:bCs/>
          <w:sz w:val="24"/>
          <w:szCs w:val="24"/>
          <w:lang w:val="en-US"/>
        </w:rPr>
        <w:t xml:space="preserve">Mineral </w:t>
      </w:r>
      <w:r w:rsidR="008F774E">
        <w:rPr>
          <w:rFonts w:ascii="Times New Roman" w:hAnsi="Times New Roman" w:cs="Times New Roman"/>
          <w:bCs/>
          <w:sz w:val="24"/>
          <w:szCs w:val="24"/>
          <w:lang w:val="en-US"/>
        </w:rPr>
        <w:t>profiles</w:t>
      </w:r>
      <w:r w:rsidRPr="00A92FE1">
        <w:rPr>
          <w:rFonts w:ascii="Times New Roman" w:hAnsi="Times New Roman" w:cs="Times New Roman"/>
          <w:bCs/>
          <w:sz w:val="24"/>
          <w:szCs w:val="24"/>
          <w:lang w:val="en-US"/>
        </w:rPr>
        <w:t xml:space="preserve"> (mg/100g) in </w:t>
      </w:r>
      <w:r w:rsidRPr="00A92FE1">
        <w:rPr>
          <w:rFonts w:ascii="Times New Roman" w:hAnsi="Times New Roman" w:cs="Times New Roman"/>
          <w:bCs/>
          <w:i/>
          <w:sz w:val="24"/>
          <w:szCs w:val="24"/>
          <w:lang w:val="en-US"/>
        </w:rPr>
        <w:t>Chenopodium ambrosioides</w:t>
      </w:r>
      <w:r w:rsidR="008F774E">
        <w:rPr>
          <w:rFonts w:ascii="Times New Roman" w:hAnsi="Times New Roman" w:cs="Times New Roman"/>
          <w:bCs/>
          <w:sz w:val="24"/>
          <w:szCs w:val="24"/>
          <w:lang w:val="en-US"/>
        </w:rPr>
        <w:t xml:space="preserve"> </w:t>
      </w:r>
      <w:r w:rsidRPr="00A92FE1">
        <w:rPr>
          <w:rFonts w:ascii="Times New Roman" w:hAnsi="Times New Roman" w:cs="Times New Roman"/>
          <w:bCs/>
          <w:sz w:val="24"/>
          <w:szCs w:val="24"/>
          <w:lang w:val="en-US"/>
        </w:rPr>
        <w:t>collections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1083"/>
        <w:gridCol w:w="1100"/>
        <w:gridCol w:w="1076"/>
        <w:gridCol w:w="1050"/>
        <w:gridCol w:w="1050"/>
        <w:gridCol w:w="1004"/>
        <w:gridCol w:w="1059"/>
      </w:tblGrid>
      <w:tr w:rsidR="00D71C8A" w:rsidRPr="00A92FE1" w14:paraId="7BD43036" w14:textId="77777777" w:rsidTr="00FB4CC2">
        <w:tc>
          <w:tcPr>
            <w:tcW w:w="1489" w:type="dxa"/>
            <w:tcBorders>
              <w:top w:val="single" w:sz="4" w:space="0" w:color="auto"/>
              <w:bottom w:val="single" w:sz="4" w:space="0" w:color="auto"/>
            </w:tcBorders>
            <w:vAlign w:val="center"/>
          </w:tcPr>
          <w:p w14:paraId="76067334" w14:textId="0F39ACFC"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iCs/>
                <w:sz w:val="24"/>
                <w:szCs w:val="24"/>
                <w:lang w:val="en-US"/>
              </w:rPr>
              <w:t>Collections</w:t>
            </w:r>
          </w:p>
        </w:tc>
        <w:tc>
          <w:tcPr>
            <w:tcW w:w="1098" w:type="dxa"/>
            <w:tcBorders>
              <w:top w:val="single" w:sz="4" w:space="0" w:color="auto"/>
              <w:bottom w:val="single" w:sz="4" w:space="0" w:color="auto"/>
            </w:tcBorders>
            <w:vAlign w:val="center"/>
          </w:tcPr>
          <w:p w14:paraId="707E78FD" w14:textId="58B8232D"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Na</w:t>
            </w:r>
          </w:p>
        </w:tc>
        <w:tc>
          <w:tcPr>
            <w:tcW w:w="1107" w:type="dxa"/>
            <w:tcBorders>
              <w:top w:val="single" w:sz="4" w:space="0" w:color="auto"/>
              <w:bottom w:val="single" w:sz="4" w:space="0" w:color="auto"/>
            </w:tcBorders>
            <w:vAlign w:val="center"/>
          </w:tcPr>
          <w:p w14:paraId="3EF47FB7" w14:textId="112CB61D"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Ca</w:t>
            </w:r>
          </w:p>
        </w:tc>
        <w:tc>
          <w:tcPr>
            <w:tcW w:w="1081" w:type="dxa"/>
            <w:tcBorders>
              <w:top w:val="single" w:sz="4" w:space="0" w:color="auto"/>
              <w:bottom w:val="single" w:sz="4" w:space="0" w:color="auto"/>
            </w:tcBorders>
            <w:vAlign w:val="center"/>
          </w:tcPr>
          <w:p w14:paraId="44D4686C" w14:textId="7B53298F"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K</w:t>
            </w:r>
          </w:p>
        </w:tc>
        <w:tc>
          <w:tcPr>
            <w:tcW w:w="1070" w:type="dxa"/>
            <w:tcBorders>
              <w:top w:val="single" w:sz="4" w:space="0" w:color="auto"/>
              <w:bottom w:val="single" w:sz="4" w:space="0" w:color="auto"/>
            </w:tcBorders>
            <w:vAlign w:val="center"/>
          </w:tcPr>
          <w:p w14:paraId="23B6C204" w14:textId="61BB44E2"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Fe</w:t>
            </w:r>
          </w:p>
        </w:tc>
        <w:tc>
          <w:tcPr>
            <w:tcW w:w="1070" w:type="dxa"/>
            <w:tcBorders>
              <w:top w:val="single" w:sz="4" w:space="0" w:color="auto"/>
              <w:bottom w:val="single" w:sz="4" w:space="0" w:color="auto"/>
            </w:tcBorders>
            <w:vAlign w:val="center"/>
          </w:tcPr>
          <w:p w14:paraId="353DD192" w14:textId="273BC3EF"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Zn</w:t>
            </w:r>
          </w:p>
        </w:tc>
        <w:tc>
          <w:tcPr>
            <w:tcW w:w="1021" w:type="dxa"/>
            <w:tcBorders>
              <w:top w:val="single" w:sz="4" w:space="0" w:color="auto"/>
              <w:bottom w:val="single" w:sz="4" w:space="0" w:color="auto"/>
            </w:tcBorders>
            <w:vAlign w:val="center"/>
          </w:tcPr>
          <w:p w14:paraId="7571844C" w14:textId="38AC96DB"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Mn</w:t>
            </w:r>
          </w:p>
        </w:tc>
        <w:tc>
          <w:tcPr>
            <w:tcW w:w="1080" w:type="dxa"/>
            <w:tcBorders>
              <w:top w:val="single" w:sz="4" w:space="0" w:color="auto"/>
              <w:bottom w:val="single" w:sz="4" w:space="0" w:color="auto"/>
            </w:tcBorders>
            <w:vAlign w:val="center"/>
          </w:tcPr>
          <w:p w14:paraId="1F9D97C5" w14:textId="2D3AFC3C"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Cu</w:t>
            </w:r>
          </w:p>
        </w:tc>
      </w:tr>
      <w:tr w:rsidR="00D71C8A" w:rsidRPr="00A92FE1" w14:paraId="4AC2ABA2" w14:textId="77777777" w:rsidTr="00FB4CC2">
        <w:tc>
          <w:tcPr>
            <w:tcW w:w="1489" w:type="dxa"/>
            <w:tcBorders>
              <w:top w:val="single" w:sz="4" w:space="0" w:color="auto"/>
            </w:tcBorders>
            <w:vAlign w:val="center"/>
          </w:tcPr>
          <w:p w14:paraId="164A8B0B" w14:textId="55C36AE6" w:rsidR="00D71C8A" w:rsidRPr="00902448" w:rsidRDefault="00D71C8A" w:rsidP="00FB4CC2">
            <w:pPr>
              <w:autoSpaceDE w:val="0"/>
              <w:autoSpaceDN w:val="0"/>
              <w:adjustRightInd w:val="0"/>
              <w:spacing w:line="360" w:lineRule="auto"/>
              <w:jc w:val="center"/>
              <w:rPr>
                <w:rFonts w:ascii="Times New Roman" w:hAnsi="Times New Roman" w:cs="Times New Roman"/>
                <w:b/>
                <w:sz w:val="24"/>
                <w:szCs w:val="24"/>
                <w:lang w:val="en-US"/>
              </w:rPr>
            </w:pPr>
            <w:proofErr w:type="spellStart"/>
            <w:r w:rsidRPr="00902448">
              <w:rPr>
                <w:rFonts w:ascii="Times New Roman" w:hAnsi="Times New Roman" w:cs="Times New Roman"/>
                <w:b/>
                <w:sz w:val="24"/>
                <w:szCs w:val="24"/>
                <w:lang w:val="en-US"/>
              </w:rPr>
              <w:t>Nagrota</w:t>
            </w:r>
            <w:proofErr w:type="spellEnd"/>
          </w:p>
        </w:tc>
        <w:tc>
          <w:tcPr>
            <w:tcW w:w="1098" w:type="dxa"/>
            <w:tcBorders>
              <w:top w:val="single" w:sz="4" w:space="0" w:color="auto"/>
            </w:tcBorders>
            <w:vAlign w:val="center"/>
          </w:tcPr>
          <w:p w14:paraId="44C4EF8D" w14:textId="6357D7B7"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301.67</w:t>
            </w:r>
          </w:p>
        </w:tc>
        <w:tc>
          <w:tcPr>
            <w:tcW w:w="1107" w:type="dxa"/>
            <w:tcBorders>
              <w:top w:val="single" w:sz="4" w:space="0" w:color="auto"/>
            </w:tcBorders>
            <w:vAlign w:val="center"/>
          </w:tcPr>
          <w:p w14:paraId="5226C3CC" w14:textId="009959DC"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928.33</w:t>
            </w:r>
          </w:p>
        </w:tc>
        <w:tc>
          <w:tcPr>
            <w:tcW w:w="1081" w:type="dxa"/>
            <w:tcBorders>
              <w:top w:val="single" w:sz="4" w:space="0" w:color="auto"/>
            </w:tcBorders>
            <w:vAlign w:val="center"/>
          </w:tcPr>
          <w:p w14:paraId="34323F34" w14:textId="669E4127"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1070.83</w:t>
            </w:r>
          </w:p>
        </w:tc>
        <w:tc>
          <w:tcPr>
            <w:tcW w:w="1070" w:type="dxa"/>
            <w:tcBorders>
              <w:top w:val="single" w:sz="4" w:space="0" w:color="auto"/>
            </w:tcBorders>
            <w:vAlign w:val="center"/>
          </w:tcPr>
          <w:p w14:paraId="06AF7C6B" w14:textId="1D94C7F9"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0.64</w:t>
            </w:r>
          </w:p>
        </w:tc>
        <w:tc>
          <w:tcPr>
            <w:tcW w:w="1070" w:type="dxa"/>
            <w:tcBorders>
              <w:top w:val="single" w:sz="4" w:space="0" w:color="auto"/>
            </w:tcBorders>
            <w:vAlign w:val="center"/>
          </w:tcPr>
          <w:p w14:paraId="1544D623" w14:textId="3659045A"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0.14</w:t>
            </w:r>
          </w:p>
        </w:tc>
        <w:tc>
          <w:tcPr>
            <w:tcW w:w="1021" w:type="dxa"/>
            <w:tcBorders>
              <w:top w:val="single" w:sz="4" w:space="0" w:color="auto"/>
            </w:tcBorders>
            <w:vAlign w:val="center"/>
          </w:tcPr>
          <w:p w14:paraId="132ECE3A" w14:textId="2C9ADCC2"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0.08</w:t>
            </w:r>
          </w:p>
        </w:tc>
        <w:tc>
          <w:tcPr>
            <w:tcW w:w="1080" w:type="dxa"/>
            <w:tcBorders>
              <w:top w:val="single" w:sz="4" w:space="0" w:color="auto"/>
            </w:tcBorders>
            <w:vAlign w:val="center"/>
          </w:tcPr>
          <w:p w14:paraId="0CD7B836" w14:textId="33D84AE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0.14</w:t>
            </w:r>
          </w:p>
        </w:tc>
      </w:tr>
      <w:tr w:rsidR="00D71C8A" w:rsidRPr="00A92FE1" w14:paraId="2E079A36" w14:textId="77777777" w:rsidTr="00FB4CC2">
        <w:tc>
          <w:tcPr>
            <w:tcW w:w="1489" w:type="dxa"/>
            <w:vAlign w:val="center"/>
          </w:tcPr>
          <w:p w14:paraId="293F52A6" w14:textId="3C47907F" w:rsidR="00D71C8A" w:rsidRPr="00902448"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902448">
              <w:rPr>
                <w:rFonts w:ascii="Times New Roman" w:hAnsi="Times New Roman" w:cs="Times New Roman"/>
                <w:b/>
                <w:sz w:val="24"/>
                <w:szCs w:val="24"/>
                <w:lang w:val="en-US"/>
              </w:rPr>
              <w:t>Kangra</w:t>
            </w:r>
          </w:p>
        </w:tc>
        <w:tc>
          <w:tcPr>
            <w:tcW w:w="1098" w:type="dxa"/>
            <w:vAlign w:val="center"/>
          </w:tcPr>
          <w:p w14:paraId="7D527A40" w14:textId="4710E0A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262.50</w:t>
            </w:r>
          </w:p>
        </w:tc>
        <w:tc>
          <w:tcPr>
            <w:tcW w:w="1107" w:type="dxa"/>
            <w:vAlign w:val="center"/>
          </w:tcPr>
          <w:p w14:paraId="6028E22F" w14:textId="1573C27F"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900.00</w:t>
            </w:r>
          </w:p>
        </w:tc>
        <w:tc>
          <w:tcPr>
            <w:tcW w:w="1081" w:type="dxa"/>
            <w:vAlign w:val="center"/>
          </w:tcPr>
          <w:p w14:paraId="1B7A0582" w14:textId="79DCD21A"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1017.50</w:t>
            </w:r>
          </w:p>
        </w:tc>
        <w:tc>
          <w:tcPr>
            <w:tcW w:w="1070" w:type="dxa"/>
            <w:vAlign w:val="center"/>
          </w:tcPr>
          <w:p w14:paraId="33321D4D" w14:textId="3225BD35"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0.65</w:t>
            </w:r>
          </w:p>
        </w:tc>
        <w:tc>
          <w:tcPr>
            <w:tcW w:w="1070" w:type="dxa"/>
            <w:vAlign w:val="center"/>
          </w:tcPr>
          <w:p w14:paraId="249ADAFB" w14:textId="6EB698A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0.14</w:t>
            </w:r>
          </w:p>
        </w:tc>
        <w:tc>
          <w:tcPr>
            <w:tcW w:w="1021" w:type="dxa"/>
            <w:vAlign w:val="center"/>
          </w:tcPr>
          <w:p w14:paraId="6D614C5E" w14:textId="49D6B3BC"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0.05</w:t>
            </w:r>
          </w:p>
        </w:tc>
        <w:tc>
          <w:tcPr>
            <w:tcW w:w="1080" w:type="dxa"/>
            <w:vAlign w:val="center"/>
          </w:tcPr>
          <w:p w14:paraId="63CF9803" w14:textId="0D5E1B0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0.26</w:t>
            </w:r>
          </w:p>
        </w:tc>
      </w:tr>
      <w:tr w:rsidR="00D71C8A" w:rsidRPr="00A92FE1" w14:paraId="7F67C97B" w14:textId="77777777" w:rsidTr="00FB4CC2">
        <w:tc>
          <w:tcPr>
            <w:tcW w:w="1489" w:type="dxa"/>
            <w:vAlign w:val="center"/>
          </w:tcPr>
          <w:p w14:paraId="74B3CB67" w14:textId="4E8060F4" w:rsidR="00D71C8A" w:rsidRPr="00902448" w:rsidRDefault="00D71C8A" w:rsidP="00FB4CC2">
            <w:pPr>
              <w:autoSpaceDE w:val="0"/>
              <w:autoSpaceDN w:val="0"/>
              <w:adjustRightInd w:val="0"/>
              <w:spacing w:line="360" w:lineRule="auto"/>
              <w:jc w:val="center"/>
              <w:rPr>
                <w:rFonts w:ascii="Times New Roman" w:hAnsi="Times New Roman" w:cs="Times New Roman"/>
                <w:b/>
                <w:sz w:val="24"/>
                <w:szCs w:val="24"/>
                <w:lang w:val="en-US"/>
              </w:rPr>
            </w:pPr>
            <w:proofErr w:type="spellStart"/>
            <w:r w:rsidRPr="00902448">
              <w:rPr>
                <w:rFonts w:ascii="Times New Roman" w:hAnsi="Times New Roman" w:cs="Times New Roman"/>
                <w:b/>
                <w:sz w:val="24"/>
                <w:szCs w:val="24"/>
                <w:lang w:val="en-US"/>
              </w:rPr>
              <w:t>Nurpur</w:t>
            </w:r>
            <w:proofErr w:type="spellEnd"/>
          </w:p>
        </w:tc>
        <w:tc>
          <w:tcPr>
            <w:tcW w:w="1098" w:type="dxa"/>
            <w:vAlign w:val="center"/>
          </w:tcPr>
          <w:p w14:paraId="308F1AB1" w14:textId="21D40872"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253.33</w:t>
            </w:r>
          </w:p>
        </w:tc>
        <w:tc>
          <w:tcPr>
            <w:tcW w:w="1107" w:type="dxa"/>
            <w:vAlign w:val="center"/>
          </w:tcPr>
          <w:p w14:paraId="7CFFBDE8" w14:textId="0D963445"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912.50</w:t>
            </w:r>
          </w:p>
        </w:tc>
        <w:tc>
          <w:tcPr>
            <w:tcW w:w="1081" w:type="dxa"/>
            <w:vAlign w:val="center"/>
          </w:tcPr>
          <w:p w14:paraId="7A2563AA" w14:textId="1DDDAD1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1031.67</w:t>
            </w:r>
          </w:p>
        </w:tc>
        <w:tc>
          <w:tcPr>
            <w:tcW w:w="1070" w:type="dxa"/>
            <w:vAlign w:val="center"/>
          </w:tcPr>
          <w:p w14:paraId="076D70AA" w14:textId="3B7FE77D"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0.64</w:t>
            </w:r>
          </w:p>
        </w:tc>
        <w:tc>
          <w:tcPr>
            <w:tcW w:w="1070" w:type="dxa"/>
            <w:vAlign w:val="center"/>
          </w:tcPr>
          <w:p w14:paraId="0C87DFA2" w14:textId="1B28F72D"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0.13</w:t>
            </w:r>
          </w:p>
        </w:tc>
        <w:tc>
          <w:tcPr>
            <w:tcW w:w="1021" w:type="dxa"/>
            <w:vAlign w:val="center"/>
          </w:tcPr>
          <w:p w14:paraId="60BC3AC9" w14:textId="223788D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0.06</w:t>
            </w:r>
          </w:p>
        </w:tc>
        <w:tc>
          <w:tcPr>
            <w:tcW w:w="1080" w:type="dxa"/>
            <w:vAlign w:val="center"/>
          </w:tcPr>
          <w:p w14:paraId="539B1454" w14:textId="49B237B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0.45</w:t>
            </w:r>
          </w:p>
        </w:tc>
      </w:tr>
      <w:tr w:rsidR="00D71C8A" w:rsidRPr="00A92FE1" w14:paraId="1D681CA5" w14:textId="77777777" w:rsidTr="00FB4CC2">
        <w:tc>
          <w:tcPr>
            <w:tcW w:w="1489" w:type="dxa"/>
            <w:vAlign w:val="center"/>
          </w:tcPr>
          <w:p w14:paraId="4BA97443" w14:textId="5D00EACF" w:rsidR="00D71C8A" w:rsidRPr="00902448"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902448">
              <w:rPr>
                <w:rFonts w:ascii="Times New Roman" w:hAnsi="Times New Roman" w:cs="Times New Roman"/>
                <w:b/>
                <w:sz w:val="24"/>
                <w:szCs w:val="24"/>
                <w:lang w:val="en-US"/>
              </w:rPr>
              <w:t>Shahpur</w:t>
            </w:r>
          </w:p>
        </w:tc>
        <w:tc>
          <w:tcPr>
            <w:tcW w:w="1098" w:type="dxa"/>
            <w:vAlign w:val="center"/>
          </w:tcPr>
          <w:p w14:paraId="3EDDFC7E" w14:textId="2B36E94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285.83</w:t>
            </w:r>
          </w:p>
        </w:tc>
        <w:tc>
          <w:tcPr>
            <w:tcW w:w="1107" w:type="dxa"/>
            <w:vAlign w:val="center"/>
          </w:tcPr>
          <w:p w14:paraId="652C328E" w14:textId="16DF49B6"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958.33</w:t>
            </w:r>
          </w:p>
        </w:tc>
        <w:tc>
          <w:tcPr>
            <w:tcW w:w="1081" w:type="dxa"/>
            <w:vAlign w:val="center"/>
          </w:tcPr>
          <w:p w14:paraId="6B9C680C" w14:textId="58AE1192"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1040.83</w:t>
            </w:r>
          </w:p>
        </w:tc>
        <w:tc>
          <w:tcPr>
            <w:tcW w:w="1070" w:type="dxa"/>
            <w:vAlign w:val="center"/>
          </w:tcPr>
          <w:p w14:paraId="6A5074DD" w14:textId="1418A11A"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0.69</w:t>
            </w:r>
          </w:p>
        </w:tc>
        <w:tc>
          <w:tcPr>
            <w:tcW w:w="1070" w:type="dxa"/>
            <w:vAlign w:val="center"/>
          </w:tcPr>
          <w:p w14:paraId="2BA040B1" w14:textId="0808E2AA"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0.13</w:t>
            </w:r>
          </w:p>
        </w:tc>
        <w:tc>
          <w:tcPr>
            <w:tcW w:w="1021" w:type="dxa"/>
            <w:vAlign w:val="center"/>
          </w:tcPr>
          <w:p w14:paraId="0FE9D569" w14:textId="496918EF"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0.09</w:t>
            </w:r>
          </w:p>
        </w:tc>
        <w:tc>
          <w:tcPr>
            <w:tcW w:w="1080" w:type="dxa"/>
            <w:vAlign w:val="center"/>
          </w:tcPr>
          <w:p w14:paraId="3DDE8A30" w14:textId="39BBA8B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0.20</w:t>
            </w:r>
          </w:p>
        </w:tc>
      </w:tr>
      <w:tr w:rsidR="00D71C8A" w:rsidRPr="00A92FE1" w14:paraId="4CB4DE01" w14:textId="77777777" w:rsidTr="00FB4CC2">
        <w:tc>
          <w:tcPr>
            <w:tcW w:w="1489" w:type="dxa"/>
            <w:vAlign w:val="center"/>
          </w:tcPr>
          <w:p w14:paraId="6CE09854" w14:textId="3B444020" w:rsidR="00D71C8A" w:rsidRPr="00902448" w:rsidRDefault="00D71C8A" w:rsidP="00FB4CC2">
            <w:pPr>
              <w:autoSpaceDE w:val="0"/>
              <w:autoSpaceDN w:val="0"/>
              <w:adjustRightInd w:val="0"/>
              <w:spacing w:line="360" w:lineRule="auto"/>
              <w:jc w:val="center"/>
              <w:rPr>
                <w:rFonts w:ascii="Times New Roman" w:hAnsi="Times New Roman" w:cs="Times New Roman"/>
                <w:b/>
                <w:sz w:val="24"/>
                <w:szCs w:val="24"/>
                <w:lang w:val="en-US"/>
              </w:rPr>
            </w:pPr>
            <w:proofErr w:type="spellStart"/>
            <w:r w:rsidRPr="00902448">
              <w:rPr>
                <w:rFonts w:ascii="Times New Roman" w:hAnsi="Times New Roman" w:cs="Times New Roman"/>
                <w:b/>
                <w:sz w:val="24"/>
                <w:szCs w:val="24"/>
                <w:lang w:val="en-US"/>
              </w:rPr>
              <w:t>Harchkiyan</w:t>
            </w:r>
            <w:proofErr w:type="spellEnd"/>
          </w:p>
        </w:tc>
        <w:tc>
          <w:tcPr>
            <w:tcW w:w="1098" w:type="dxa"/>
            <w:vAlign w:val="center"/>
          </w:tcPr>
          <w:p w14:paraId="7F40CA98" w14:textId="7B56DEFD"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306.67</w:t>
            </w:r>
          </w:p>
        </w:tc>
        <w:tc>
          <w:tcPr>
            <w:tcW w:w="1107" w:type="dxa"/>
            <w:vAlign w:val="center"/>
          </w:tcPr>
          <w:p w14:paraId="73A921A0" w14:textId="6322953E"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967.50</w:t>
            </w:r>
          </w:p>
        </w:tc>
        <w:tc>
          <w:tcPr>
            <w:tcW w:w="1081" w:type="dxa"/>
            <w:vAlign w:val="center"/>
          </w:tcPr>
          <w:p w14:paraId="3A7BF36F" w14:textId="2BDA2DEE"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1055.83</w:t>
            </w:r>
          </w:p>
        </w:tc>
        <w:tc>
          <w:tcPr>
            <w:tcW w:w="1070" w:type="dxa"/>
            <w:vAlign w:val="center"/>
          </w:tcPr>
          <w:p w14:paraId="4036A9FD" w14:textId="5C75229A"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0.65</w:t>
            </w:r>
          </w:p>
        </w:tc>
        <w:tc>
          <w:tcPr>
            <w:tcW w:w="1070" w:type="dxa"/>
            <w:vAlign w:val="center"/>
          </w:tcPr>
          <w:p w14:paraId="0C241F63" w14:textId="5EDF854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0.12</w:t>
            </w:r>
          </w:p>
        </w:tc>
        <w:tc>
          <w:tcPr>
            <w:tcW w:w="1021" w:type="dxa"/>
            <w:vAlign w:val="center"/>
          </w:tcPr>
          <w:p w14:paraId="60D4CF96" w14:textId="6C8687E4"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0.11</w:t>
            </w:r>
          </w:p>
        </w:tc>
        <w:tc>
          <w:tcPr>
            <w:tcW w:w="1080" w:type="dxa"/>
            <w:vAlign w:val="center"/>
          </w:tcPr>
          <w:p w14:paraId="5F2C974A" w14:textId="3CCDE416"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0.20</w:t>
            </w:r>
          </w:p>
        </w:tc>
      </w:tr>
      <w:tr w:rsidR="00D71C8A" w:rsidRPr="00A92FE1" w14:paraId="2C52A4EA" w14:textId="77777777" w:rsidTr="00FB4CC2">
        <w:tc>
          <w:tcPr>
            <w:tcW w:w="1489" w:type="dxa"/>
            <w:vAlign w:val="center"/>
          </w:tcPr>
          <w:p w14:paraId="6C262A7C" w14:textId="0B26FDC6" w:rsidR="00D71C8A" w:rsidRPr="00902448" w:rsidRDefault="00D71C8A" w:rsidP="00FB4CC2">
            <w:pPr>
              <w:autoSpaceDE w:val="0"/>
              <w:autoSpaceDN w:val="0"/>
              <w:adjustRightInd w:val="0"/>
              <w:spacing w:line="360" w:lineRule="auto"/>
              <w:jc w:val="center"/>
              <w:rPr>
                <w:rFonts w:ascii="Times New Roman" w:hAnsi="Times New Roman" w:cs="Times New Roman"/>
                <w:b/>
                <w:sz w:val="24"/>
                <w:szCs w:val="24"/>
                <w:lang w:val="en-US"/>
              </w:rPr>
            </w:pPr>
            <w:proofErr w:type="spellStart"/>
            <w:r w:rsidRPr="00902448">
              <w:rPr>
                <w:rFonts w:ascii="Times New Roman" w:hAnsi="Times New Roman" w:cs="Times New Roman"/>
                <w:b/>
                <w:sz w:val="24"/>
                <w:szCs w:val="24"/>
                <w:lang w:val="en-US"/>
              </w:rPr>
              <w:t>Baroh</w:t>
            </w:r>
            <w:proofErr w:type="spellEnd"/>
          </w:p>
        </w:tc>
        <w:tc>
          <w:tcPr>
            <w:tcW w:w="1098" w:type="dxa"/>
            <w:vAlign w:val="center"/>
          </w:tcPr>
          <w:p w14:paraId="0F38D8D3" w14:textId="6FC0371E"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315.00</w:t>
            </w:r>
          </w:p>
        </w:tc>
        <w:tc>
          <w:tcPr>
            <w:tcW w:w="1107" w:type="dxa"/>
            <w:vAlign w:val="center"/>
          </w:tcPr>
          <w:p w14:paraId="12E2E136" w14:textId="5AF0643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1025.00</w:t>
            </w:r>
          </w:p>
        </w:tc>
        <w:tc>
          <w:tcPr>
            <w:tcW w:w="1081" w:type="dxa"/>
            <w:vAlign w:val="center"/>
          </w:tcPr>
          <w:p w14:paraId="24E67DD4" w14:textId="78AF864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985.33</w:t>
            </w:r>
          </w:p>
        </w:tc>
        <w:tc>
          <w:tcPr>
            <w:tcW w:w="1070" w:type="dxa"/>
            <w:vAlign w:val="center"/>
          </w:tcPr>
          <w:p w14:paraId="3976041C" w14:textId="045C018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0.68</w:t>
            </w:r>
          </w:p>
        </w:tc>
        <w:tc>
          <w:tcPr>
            <w:tcW w:w="1070" w:type="dxa"/>
            <w:vAlign w:val="center"/>
          </w:tcPr>
          <w:p w14:paraId="7F8874B1" w14:textId="78D75B6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0.11</w:t>
            </w:r>
          </w:p>
        </w:tc>
        <w:tc>
          <w:tcPr>
            <w:tcW w:w="1021" w:type="dxa"/>
            <w:vAlign w:val="center"/>
          </w:tcPr>
          <w:p w14:paraId="30F1B84B" w14:textId="4F565F8F"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0.08</w:t>
            </w:r>
          </w:p>
        </w:tc>
        <w:tc>
          <w:tcPr>
            <w:tcW w:w="1080" w:type="dxa"/>
            <w:vAlign w:val="center"/>
          </w:tcPr>
          <w:p w14:paraId="4437D0D0" w14:textId="2EFDC8F5"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0.17</w:t>
            </w:r>
          </w:p>
        </w:tc>
      </w:tr>
      <w:tr w:rsidR="00D71C8A" w:rsidRPr="00A92FE1" w14:paraId="1C42431E" w14:textId="77777777" w:rsidTr="00FB4CC2">
        <w:tc>
          <w:tcPr>
            <w:tcW w:w="1489" w:type="dxa"/>
            <w:vAlign w:val="center"/>
          </w:tcPr>
          <w:p w14:paraId="5A32CDAB" w14:textId="45E8FDB1" w:rsidR="00D71C8A" w:rsidRPr="00902448"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902448">
              <w:rPr>
                <w:rFonts w:ascii="Times New Roman" w:hAnsi="Times New Roman" w:cs="Times New Roman"/>
                <w:b/>
                <w:sz w:val="24"/>
                <w:szCs w:val="24"/>
                <w:lang w:val="en-US"/>
              </w:rPr>
              <w:t>Jaswan</w:t>
            </w:r>
          </w:p>
        </w:tc>
        <w:tc>
          <w:tcPr>
            <w:tcW w:w="1098" w:type="dxa"/>
            <w:vAlign w:val="center"/>
          </w:tcPr>
          <w:p w14:paraId="6A090A30" w14:textId="7C61F35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236.67</w:t>
            </w:r>
          </w:p>
        </w:tc>
        <w:tc>
          <w:tcPr>
            <w:tcW w:w="1107" w:type="dxa"/>
            <w:vAlign w:val="center"/>
          </w:tcPr>
          <w:p w14:paraId="77D8B0F2" w14:textId="19520B12"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938.33</w:t>
            </w:r>
          </w:p>
        </w:tc>
        <w:tc>
          <w:tcPr>
            <w:tcW w:w="1081" w:type="dxa"/>
            <w:vAlign w:val="center"/>
          </w:tcPr>
          <w:p w14:paraId="4F092821" w14:textId="0A58364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989.17</w:t>
            </w:r>
          </w:p>
        </w:tc>
        <w:tc>
          <w:tcPr>
            <w:tcW w:w="1070" w:type="dxa"/>
            <w:vAlign w:val="center"/>
          </w:tcPr>
          <w:p w14:paraId="2D554957" w14:textId="544117C9"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0.69</w:t>
            </w:r>
          </w:p>
        </w:tc>
        <w:tc>
          <w:tcPr>
            <w:tcW w:w="1070" w:type="dxa"/>
            <w:vAlign w:val="center"/>
          </w:tcPr>
          <w:p w14:paraId="3BEB4FCB" w14:textId="0CE8E42C"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0.12</w:t>
            </w:r>
          </w:p>
        </w:tc>
        <w:tc>
          <w:tcPr>
            <w:tcW w:w="1021" w:type="dxa"/>
            <w:vAlign w:val="center"/>
          </w:tcPr>
          <w:p w14:paraId="4D60F9A2" w14:textId="0831828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0.09</w:t>
            </w:r>
          </w:p>
        </w:tc>
        <w:tc>
          <w:tcPr>
            <w:tcW w:w="1080" w:type="dxa"/>
            <w:vAlign w:val="center"/>
          </w:tcPr>
          <w:p w14:paraId="1C55A25B" w14:textId="0300FFA4"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0.16</w:t>
            </w:r>
          </w:p>
        </w:tc>
      </w:tr>
      <w:tr w:rsidR="00D71C8A" w:rsidRPr="00A92FE1" w14:paraId="4DB43828" w14:textId="77777777" w:rsidTr="00FB4CC2">
        <w:tc>
          <w:tcPr>
            <w:tcW w:w="1489" w:type="dxa"/>
            <w:vAlign w:val="center"/>
          </w:tcPr>
          <w:p w14:paraId="086B15E2" w14:textId="1E9E0B8C" w:rsidR="00D71C8A" w:rsidRPr="00902448" w:rsidRDefault="00D71C8A" w:rsidP="00FB4CC2">
            <w:pPr>
              <w:autoSpaceDE w:val="0"/>
              <w:autoSpaceDN w:val="0"/>
              <w:adjustRightInd w:val="0"/>
              <w:spacing w:line="360" w:lineRule="auto"/>
              <w:jc w:val="center"/>
              <w:rPr>
                <w:rFonts w:ascii="Times New Roman" w:hAnsi="Times New Roman" w:cs="Times New Roman"/>
                <w:b/>
                <w:sz w:val="24"/>
                <w:szCs w:val="24"/>
                <w:lang w:val="en-US"/>
              </w:rPr>
            </w:pPr>
            <w:proofErr w:type="spellStart"/>
            <w:r w:rsidRPr="00902448">
              <w:rPr>
                <w:rFonts w:ascii="Times New Roman" w:hAnsi="Times New Roman" w:cs="Times New Roman"/>
                <w:b/>
                <w:sz w:val="24"/>
                <w:szCs w:val="24"/>
                <w:lang w:val="en-US"/>
              </w:rPr>
              <w:t>Jawalamukhi</w:t>
            </w:r>
            <w:proofErr w:type="spellEnd"/>
          </w:p>
        </w:tc>
        <w:tc>
          <w:tcPr>
            <w:tcW w:w="1098" w:type="dxa"/>
            <w:vAlign w:val="center"/>
          </w:tcPr>
          <w:p w14:paraId="0F33264B" w14:textId="6AF289D6"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267.50</w:t>
            </w:r>
          </w:p>
        </w:tc>
        <w:tc>
          <w:tcPr>
            <w:tcW w:w="1107" w:type="dxa"/>
            <w:vAlign w:val="center"/>
          </w:tcPr>
          <w:p w14:paraId="3850BEA6" w14:textId="4D451044"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920.83</w:t>
            </w:r>
          </w:p>
        </w:tc>
        <w:tc>
          <w:tcPr>
            <w:tcW w:w="1081" w:type="dxa"/>
            <w:vAlign w:val="center"/>
          </w:tcPr>
          <w:p w14:paraId="0CAEB103" w14:textId="3D10DE7D"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1036.67</w:t>
            </w:r>
          </w:p>
        </w:tc>
        <w:tc>
          <w:tcPr>
            <w:tcW w:w="1070" w:type="dxa"/>
            <w:vAlign w:val="center"/>
          </w:tcPr>
          <w:p w14:paraId="24C9773D" w14:textId="72DC9BC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0.67</w:t>
            </w:r>
          </w:p>
        </w:tc>
        <w:tc>
          <w:tcPr>
            <w:tcW w:w="1070" w:type="dxa"/>
            <w:vAlign w:val="center"/>
          </w:tcPr>
          <w:p w14:paraId="5FF02D02" w14:textId="4F71F57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0.12</w:t>
            </w:r>
          </w:p>
        </w:tc>
        <w:tc>
          <w:tcPr>
            <w:tcW w:w="1021" w:type="dxa"/>
            <w:vAlign w:val="center"/>
          </w:tcPr>
          <w:p w14:paraId="1BFB9B5E" w14:textId="4C70177C"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0.10</w:t>
            </w:r>
          </w:p>
        </w:tc>
        <w:tc>
          <w:tcPr>
            <w:tcW w:w="1080" w:type="dxa"/>
            <w:vAlign w:val="center"/>
          </w:tcPr>
          <w:p w14:paraId="1E841F5F" w14:textId="48EC229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0.16</w:t>
            </w:r>
          </w:p>
        </w:tc>
      </w:tr>
      <w:tr w:rsidR="00D71C8A" w:rsidRPr="00A92FE1" w14:paraId="7FE9E4A3" w14:textId="77777777" w:rsidTr="00FB4CC2">
        <w:tc>
          <w:tcPr>
            <w:tcW w:w="1489" w:type="dxa"/>
            <w:vAlign w:val="center"/>
          </w:tcPr>
          <w:p w14:paraId="3F682C78" w14:textId="157E82B6" w:rsidR="00D71C8A" w:rsidRPr="00902448" w:rsidRDefault="00623DB3" w:rsidP="00FB4CC2">
            <w:pPr>
              <w:autoSpaceDE w:val="0"/>
              <w:autoSpaceDN w:val="0"/>
              <w:adjustRightInd w:val="0"/>
              <w:spacing w:line="360" w:lineRule="auto"/>
              <w:jc w:val="center"/>
              <w:rPr>
                <w:rFonts w:ascii="Times New Roman" w:hAnsi="Times New Roman" w:cs="Times New Roman"/>
                <w:b/>
                <w:sz w:val="24"/>
                <w:szCs w:val="24"/>
                <w:lang w:val="en-US"/>
              </w:rPr>
            </w:pPr>
            <w:r w:rsidRPr="00902448">
              <w:rPr>
                <w:rFonts w:ascii="Times New Roman" w:hAnsi="Times New Roman" w:cs="Times New Roman"/>
                <w:b/>
                <w:sz w:val="24"/>
                <w:szCs w:val="24"/>
                <w:lang w:val="en-US"/>
              </w:rPr>
              <w:t>Dehra</w:t>
            </w:r>
          </w:p>
        </w:tc>
        <w:tc>
          <w:tcPr>
            <w:tcW w:w="1098" w:type="dxa"/>
            <w:vAlign w:val="center"/>
          </w:tcPr>
          <w:p w14:paraId="1A7EDC73" w14:textId="2733E36F"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295.00</w:t>
            </w:r>
          </w:p>
        </w:tc>
        <w:tc>
          <w:tcPr>
            <w:tcW w:w="1107" w:type="dxa"/>
            <w:vAlign w:val="center"/>
          </w:tcPr>
          <w:p w14:paraId="0FDBEDFD" w14:textId="4A8D99D1"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961.67</w:t>
            </w:r>
          </w:p>
        </w:tc>
        <w:tc>
          <w:tcPr>
            <w:tcW w:w="1081" w:type="dxa"/>
            <w:vAlign w:val="center"/>
          </w:tcPr>
          <w:p w14:paraId="0345BDF5" w14:textId="63F443C1"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1086.67</w:t>
            </w:r>
          </w:p>
        </w:tc>
        <w:tc>
          <w:tcPr>
            <w:tcW w:w="1070" w:type="dxa"/>
            <w:vAlign w:val="center"/>
          </w:tcPr>
          <w:p w14:paraId="25951894" w14:textId="6B3E355C"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0.68</w:t>
            </w:r>
          </w:p>
        </w:tc>
        <w:tc>
          <w:tcPr>
            <w:tcW w:w="1070" w:type="dxa"/>
            <w:vAlign w:val="center"/>
          </w:tcPr>
          <w:p w14:paraId="63DC9E90" w14:textId="257F2381"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0.11</w:t>
            </w:r>
          </w:p>
        </w:tc>
        <w:tc>
          <w:tcPr>
            <w:tcW w:w="1021" w:type="dxa"/>
            <w:vAlign w:val="center"/>
          </w:tcPr>
          <w:p w14:paraId="21BBDF05" w14:textId="314C2B74"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0.10</w:t>
            </w:r>
          </w:p>
        </w:tc>
        <w:tc>
          <w:tcPr>
            <w:tcW w:w="1080" w:type="dxa"/>
            <w:vAlign w:val="center"/>
          </w:tcPr>
          <w:p w14:paraId="3F677B17" w14:textId="367EDF50"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0.21</w:t>
            </w:r>
          </w:p>
        </w:tc>
      </w:tr>
      <w:tr w:rsidR="00D71C8A" w:rsidRPr="00A92FE1" w14:paraId="16C2844D" w14:textId="77777777" w:rsidTr="00FB4CC2">
        <w:tc>
          <w:tcPr>
            <w:tcW w:w="1489" w:type="dxa"/>
            <w:vAlign w:val="center"/>
          </w:tcPr>
          <w:p w14:paraId="731337AC" w14:textId="7E1B10A2" w:rsidR="00D71C8A" w:rsidRPr="00902448" w:rsidRDefault="00623DB3" w:rsidP="00FB4CC2">
            <w:pPr>
              <w:autoSpaceDE w:val="0"/>
              <w:autoSpaceDN w:val="0"/>
              <w:adjustRightInd w:val="0"/>
              <w:spacing w:line="360" w:lineRule="auto"/>
              <w:jc w:val="center"/>
              <w:rPr>
                <w:rFonts w:ascii="Times New Roman" w:hAnsi="Times New Roman" w:cs="Times New Roman"/>
                <w:b/>
                <w:sz w:val="24"/>
                <w:szCs w:val="24"/>
                <w:lang w:val="en-US"/>
              </w:rPr>
            </w:pPr>
            <w:proofErr w:type="spellStart"/>
            <w:r w:rsidRPr="00902448">
              <w:rPr>
                <w:rFonts w:ascii="Times New Roman" w:hAnsi="Times New Roman" w:cs="Times New Roman"/>
                <w:b/>
                <w:sz w:val="24"/>
                <w:szCs w:val="24"/>
                <w:lang w:val="en-US"/>
              </w:rPr>
              <w:t>Daroh</w:t>
            </w:r>
            <w:proofErr w:type="spellEnd"/>
          </w:p>
        </w:tc>
        <w:tc>
          <w:tcPr>
            <w:tcW w:w="1098" w:type="dxa"/>
            <w:vAlign w:val="center"/>
          </w:tcPr>
          <w:p w14:paraId="434BC163" w14:textId="0992EC12"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227.50</w:t>
            </w:r>
          </w:p>
        </w:tc>
        <w:tc>
          <w:tcPr>
            <w:tcW w:w="1107" w:type="dxa"/>
            <w:vAlign w:val="center"/>
          </w:tcPr>
          <w:p w14:paraId="4C46CF33" w14:textId="45645186"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1007.50</w:t>
            </w:r>
          </w:p>
        </w:tc>
        <w:tc>
          <w:tcPr>
            <w:tcW w:w="1081" w:type="dxa"/>
            <w:vAlign w:val="center"/>
          </w:tcPr>
          <w:p w14:paraId="5387C85E" w14:textId="34BA839A"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1059.17</w:t>
            </w:r>
          </w:p>
        </w:tc>
        <w:tc>
          <w:tcPr>
            <w:tcW w:w="1070" w:type="dxa"/>
            <w:vAlign w:val="center"/>
          </w:tcPr>
          <w:p w14:paraId="1B1EAD1F" w14:textId="6345B525"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0.64</w:t>
            </w:r>
          </w:p>
        </w:tc>
        <w:tc>
          <w:tcPr>
            <w:tcW w:w="1070" w:type="dxa"/>
            <w:vAlign w:val="center"/>
          </w:tcPr>
          <w:p w14:paraId="02E4321E" w14:textId="43E1A12A"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0.11</w:t>
            </w:r>
          </w:p>
        </w:tc>
        <w:tc>
          <w:tcPr>
            <w:tcW w:w="1021" w:type="dxa"/>
            <w:vAlign w:val="center"/>
          </w:tcPr>
          <w:p w14:paraId="076350B0" w14:textId="0B7240B6"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0.08</w:t>
            </w:r>
          </w:p>
        </w:tc>
        <w:tc>
          <w:tcPr>
            <w:tcW w:w="1080" w:type="dxa"/>
            <w:vAlign w:val="center"/>
          </w:tcPr>
          <w:p w14:paraId="081B34BA" w14:textId="38289B9C"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0.17</w:t>
            </w:r>
          </w:p>
        </w:tc>
      </w:tr>
      <w:tr w:rsidR="00623DB3" w:rsidRPr="00A92FE1" w14:paraId="0E82B1AF" w14:textId="77777777" w:rsidTr="00FB4CC2">
        <w:tc>
          <w:tcPr>
            <w:tcW w:w="1489" w:type="dxa"/>
            <w:vAlign w:val="center"/>
          </w:tcPr>
          <w:p w14:paraId="6D1FFD7E" w14:textId="6E6640EF" w:rsidR="00623DB3" w:rsidRPr="00902448" w:rsidRDefault="00623DB3" w:rsidP="00FB4CC2">
            <w:pPr>
              <w:autoSpaceDE w:val="0"/>
              <w:autoSpaceDN w:val="0"/>
              <w:adjustRightInd w:val="0"/>
              <w:spacing w:line="360" w:lineRule="auto"/>
              <w:jc w:val="center"/>
              <w:rPr>
                <w:rFonts w:ascii="Times New Roman" w:hAnsi="Times New Roman" w:cs="Times New Roman"/>
                <w:b/>
                <w:sz w:val="24"/>
                <w:szCs w:val="24"/>
                <w:lang w:val="en-US"/>
              </w:rPr>
            </w:pPr>
            <w:proofErr w:type="spellStart"/>
            <w:r w:rsidRPr="00902448">
              <w:rPr>
                <w:rFonts w:ascii="Times New Roman" w:hAnsi="Times New Roman" w:cs="Times New Roman"/>
                <w:b/>
                <w:sz w:val="24"/>
                <w:szCs w:val="24"/>
                <w:lang w:val="en-US"/>
              </w:rPr>
              <w:t>Thural</w:t>
            </w:r>
            <w:proofErr w:type="spellEnd"/>
          </w:p>
        </w:tc>
        <w:tc>
          <w:tcPr>
            <w:tcW w:w="1098" w:type="dxa"/>
            <w:vAlign w:val="center"/>
          </w:tcPr>
          <w:p w14:paraId="7F4CC3A1" w14:textId="3173006E"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241.67</w:t>
            </w:r>
          </w:p>
        </w:tc>
        <w:tc>
          <w:tcPr>
            <w:tcW w:w="1107" w:type="dxa"/>
            <w:vAlign w:val="center"/>
          </w:tcPr>
          <w:p w14:paraId="3EF9F73E" w14:textId="1B97D902"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988.33</w:t>
            </w:r>
          </w:p>
        </w:tc>
        <w:tc>
          <w:tcPr>
            <w:tcW w:w="1081" w:type="dxa"/>
            <w:vAlign w:val="center"/>
          </w:tcPr>
          <w:p w14:paraId="168ED3D4" w14:textId="14F6AA15"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1001.67</w:t>
            </w:r>
          </w:p>
        </w:tc>
        <w:tc>
          <w:tcPr>
            <w:tcW w:w="1070" w:type="dxa"/>
            <w:vAlign w:val="center"/>
          </w:tcPr>
          <w:p w14:paraId="00611861" w14:textId="5F48DFFE"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0.64</w:t>
            </w:r>
          </w:p>
        </w:tc>
        <w:tc>
          <w:tcPr>
            <w:tcW w:w="1070" w:type="dxa"/>
            <w:vAlign w:val="center"/>
          </w:tcPr>
          <w:p w14:paraId="27F0E2BC" w14:textId="48C571C6"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0.11</w:t>
            </w:r>
          </w:p>
        </w:tc>
        <w:tc>
          <w:tcPr>
            <w:tcW w:w="1021" w:type="dxa"/>
            <w:vAlign w:val="center"/>
          </w:tcPr>
          <w:p w14:paraId="5F370131" w14:textId="70512EDE"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0.08</w:t>
            </w:r>
          </w:p>
        </w:tc>
        <w:tc>
          <w:tcPr>
            <w:tcW w:w="1080" w:type="dxa"/>
            <w:vAlign w:val="center"/>
          </w:tcPr>
          <w:p w14:paraId="5C35942F" w14:textId="49A23A60"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0.17</w:t>
            </w:r>
          </w:p>
        </w:tc>
      </w:tr>
      <w:tr w:rsidR="00623DB3" w:rsidRPr="00A92FE1" w14:paraId="56327CB3" w14:textId="77777777" w:rsidTr="00FB4CC2">
        <w:tc>
          <w:tcPr>
            <w:tcW w:w="1489" w:type="dxa"/>
            <w:tcBorders>
              <w:bottom w:val="single" w:sz="4" w:space="0" w:color="auto"/>
            </w:tcBorders>
            <w:vAlign w:val="center"/>
          </w:tcPr>
          <w:p w14:paraId="0071E75C" w14:textId="41832BC9" w:rsidR="00623DB3" w:rsidRPr="00902448" w:rsidRDefault="00623DB3" w:rsidP="00FB4CC2">
            <w:pPr>
              <w:autoSpaceDE w:val="0"/>
              <w:autoSpaceDN w:val="0"/>
              <w:adjustRightInd w:val="0"/>
              <w:spacing w:line="360" w:lineRule="auto"/>
              <w:jc w:val="center"/>
              <w:rPr>
                <w:rFonts w:ascii="Times New Roman" w:hAnsi="Times New Roman" w:cs="Times New Roman"/>
                <w:b/>
                <w:sz w:val="24"/>
                <w:szCs w:val="24"/>
                <w:lang w:val="en-US"/>
              </w:rPr>
            </w:pPr>
            <w:r w:rsidRPr="00902448">
              <w:rPr>
                <w:rFonts w:ascii="Times New Roman" w:hAnsi="Times New Roman" w:cs="Times New Roman"/>
                <w:b/>
                <w:sz w:val="24"/>
                <w:szCs w:val="24"/>
                <w:lang w:val="en-US"/>
              </w:rPr>
              <w:t>Palampur</w:t>
            </w:r>
          </w:p>
        </w:tc>
        <w:tc>
          <w:tcPr>
            <w:tcW w:w="1098" w:type="dxa"/>
            <w:tcBorders>
              <w:bottom w:val="single" w:sz="4" w:space="0" w:color="auto"/>
            </w:tcBorders>
            <w:vAlign w:val="center"/>
          </w:tcPr>
          <w:p w14:paraId="2CC5552B" w14:textId="20FB046D"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290.00</w:t>
            </w:r>
          </w:p>
        </w:tc>
        <w:tc>
          <w:tcPr>
            <w:tcW w:w="1107" w:type="dxa"/>
            <w:tcBorders>
              <w:bottom w:val="single" w:sz="4" w:space="0" w:color="auto"/>
            </w:tcBorders>
            <w:vAlign w:val="center"/>
          </w:tcPr>
          <w:p w14:paraId="29611490" w14:textId="1C5C42FD"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984.17</w:t>
            </w:r>
          </w:p>
        </w:tc>
        <w:tc>
          <w:tcPr>
            <w:tcW w:w="1081" w:type="dxa"/>
            <w:tcBorders>
              <w:bottom w:val="single" w:sz="4" w:space="0" w:color="auto"/>
            </w:tcBorders>
            <w:vAlign w:val="center"/>
          </w:tcPr>
          <w:p w14:paraId="0C5E914D" w14:textId="66254FC6"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982.50</w:t>
            </w:r>
          </w:p>
        </w:tc>
        <w:tc>
          <w:tcPr>
            <w:tcW w:w="1070" w:type="dxa"/>
            <w:tcBorders>
              <w:bottom w:val="single" w:sz="4" w:space="0" w:color="auto"/>
            </w:tcBorders>
            <w:vAlign w:val="center"/>
          </w:tcPr>
          <w:p w14:paraId="22F8DC8D" w14:textId="167EE32D"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0.66</w:t>
            </w:r>
          </w:p>
        </w:tc>
        <w:tc>
          <w:tcPr>
            <w:tcW w:w="1070" w:type="dxa"/>
            <w:tcBorders>
              <w:bottom w:val="single" w:sz="4" w:space="0" w:color="auto"/>
            </w:tcBorders>
            <w:vAlign w:val="center"/>
          </w:tcPr>
          <w:p w14:paraId="4031D770" w14:textId="200EA08E"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0.12</w:t>
            </w:r>
          </w:p>
        </w:tc>
        <w:tc>
          <w:tcPr>
            <w:tcW w:w="1021" w:type="dxa"/>
            <w:tcBorders>
              <w:bottom w:val="single" w:sz="4" w:space="0" w:color="auto"/>
            </w:tcBorders>
            <w:vAlign w:val="center"/>
          </w:tcPr>
          <w:p w14:paraId="5322CD73" w14:textId="3D955434"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0.09</w:t>
            </w:r>
          </w:p>
        </w:tc>
        <w:tc>
          <w:tcPr>
            <w:tcW w:w="1080" w:type="dxa"/>
            <w:tcBorders>
              <w:bottom w:val="single" w:sz="4" w:space="0" w:color="auto"/>
            </w:tcBorders>
            <w:vAlign w:val="center"/>
          </w:tcPr>
          <w:p w14:paraId="79308A31" w14:textId="1E3A5317"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0.12</w:t>
            </w:r>
          </w:p>
        </w:tc>
      </w:tr>
      <w:tr w:rsidR="00DB4EAB" w:rsidRPr="00A92FE1" w14:paraId="57BE123F" w14:textId="77777777" w:rsidTr="00FB4CC2">
        <w:tc>
          <w:tcPr>
            <w:tcW w:w="1489" w:type="dxa"/>
            <w:tcBorders>
              <w:top w:val="single" w:sz="4" w:space="0" w:color="auto"/>
              <w:bottom w:val="nil"/>
            </w:tcBorders>
            <w:vAlign w:val="center"/>
          </w:tcPr>
          <w:p w14:paraId="24C79704" w14:textId="6EEFE8AE"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
                <w:bCs/>
                <w:sz w:val="24"/>
                <w:szCs w:val="24"/>
              </w:rPr>
              <w:t>SE (±) 5</w:t>
            </w:r>
          </w:p>
        </w:tc>
        <w:tc>
          <w:tcPr>
            <w:tcW w:w="1098" w:type="dxa"/>
            <w:tcBorders>
              <w:top w:val="single" w:sz="4" w:space="0" w:color="auto"/>
              <w:bottom w:val="nil"/>
            </w:tcBorders>
            <w:vAlign w:val="center"/>
          </w:tcPr>
          <w:p w14:paraId="17F942E8" w14:textId="299E82CC"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2.66</w:t>
            </w:r>
          </w:p>
        </w:tc>
        <w:tc>
          <w:tcPr>
            <w:tcW w:w="1107" w:type="dxa"/>
            <w:tcBorders>
              <w:top w:val="single" w:sz="4" w:space="0" w:color="auto"/>
              <w:bottom w:val="nil"/>
            </w:tcBorders>
            <w:vAlign w:val="center"/>
          </w:tcPr>
          <w:p w14:paraId="50887893" w14:textId="3723734D"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3.49</w:t>
            </w:r>
          </w:p>
        </w:tc>
        <w:tc>
          <w:tcPr>
            <w:tcW w:w="1081" w:type="dxa"/>
            <w:tcBorders>
              <w:top w:val="single" w:sz="4" w:space="0" w:color="auto"/>
              <w:bottom w:val="nil"/>
            </w:tcBorders>
            <w:vAlign w:val="center"/>
          </w:tcPr>
          <w:p w14:paraId="1E868562" w14:textId="498BB546"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5.22</w:t>
            </w:r>
          </w:p>
        </w:tc>
        <w:tc>
          <w:tcPr>
            <w:tcW w:w="1070" w:type="dxa"/>
            <w:tcBorders>
              <w:top w:val="single" w:sz="4" w:space="0" w:color="auto"/>
              <w:bottom w:val="nil"/>
            </w:tcBorders>
            <w:vAlign w:val="center"/>
          </w:tcPr>
          <w:p w14:paraId="29B7BC3F" w14:textId="46B2858A"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0.005</w:t>
            </w:r>
          </w:p>
        </w:tc>
        <w:tc>
          <w:tcPr>
            <w:tcW w:w="1070" w:type="dxa"/>
            <w:tcBorders>
              <w:top w:val="single" w:sz="4" w:space="0" w:color="auto"/>
              <w:bottom w:val="nil"/>
            </w:tcBorders>
            <w:vAlign w:val="center"/>
          </w:tcPr>
          <w:p w14:paraId="08BD86D8" w14:textId="51163C45"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0.007</w:t>
            </w:r>
          </w:p>
        </w:tc>
        <w:tc>
          <w:tcPr>
            <w:tcW w:w="1021" w:type="dxa"/>
            <w:tcBorders>
              <w:top w:val="single" w:sz="4" w:space="0" w:color="auto"/>
              <w:bottom w:val="nil"/>
            </w:tcBorders>
            <w:vAlign w:val="center"/>
          </w:tcPr>
          <w:p w14:paraId="69EACAA8" w14:textId="419B3C47"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0.005</w:t>
            </w:r>
          </w:p>
        </w:tc>
        <w:tc>
          <w:tcPr>
            <w:tcW w:w="1080" w:type="dxa"/>
            <w:tcBorders>
              <w:top w:val="single" w:sz="4" w:space="0" w:color="auto"/>
              <w:bottom w:val="nil"/>
            </w:tcBorders>
            <w:vAlign w:val="center"/>
          </w:tcPr>
          <w:p w14:paraId="6F6D8617" w14:textId="3353996B"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0.003</w:t>
            </w:r>
          </w:p>
        </w:tc>
      </w:tr>
      <w:tr w:rsidR="00DB4EAB" w:rsidRPr="00A92FE1" w14:paraId="74CCA6C2" w14:textId="77777777" w:rsidTr="00FB4CC2">
        <w:tc>
          <w:tcPr>
            <w:tcW w:w="1489" w:type="dxa"/>
            <w:tcBorders>
              <w:top w:val="nil"/>
              <w:bottom w:val="single" w:sz="4" w:space="0" w:color="auto"/>
            </w:tcBorders>
            <w:vAlign w:val="center"/>
          </w:tcPr>
          <w:p w14:paraId="50B093B2" w14:textId="41BD1770"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
                <w:bCs/>
                <w:sz w:val="24"/>
                <w:szCs w:val="24"/>
              </w:rPr>
              <w:t>CD at 5%</w:t>
            </w:r>
          </w:p>
        </w:tc>
        <w:tc>
          <w:tcPr>
            <w:tcW w:w="1098" w:type="dxa"/>
            <w:tcBorders>
              <w:top w:val="nil"/>
              <w:bottom w:val="single" w:sz="4" w:space="0" w:color="auto"/>
            </w:tcBorders>
            <w:vAlign w:val="center"/>
          </w:tcPr>
          <w:p w14:paraId="211EFA65" w14:textId="686DE1B1"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7.83</w:t>
            </w:r>
          </w:p>
        </w:tc>
        <w:tc>
          <w:tcPr>
            <w:tcW w:w="1107" w:type="dxa"/>
            <w:tcBorders>
              <w:top w:val="nil"/>
              <w:bottom w:val="single" w:sz="4" w:space="0" w:color="auto"/>
            </w:tcBorders>
            <w:vAlign w:val="center"/>
          </w:tcPr>
          <w:p w14:paraId="3C78A94B" w14:textId="7CB41433"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10.26</w:t>
            </w:r>
          </w:p>
        </w:tc>
        <w:tc>
          <w:tcPr>
            <w:tcW w:w="1081" w:type="dxa"/>
            <w:tcBorders>
              <w:top w:val="nil"/>
              <w:bottom w:val="single" w:sz="4" w:space="0" w:color="auto"/>
            </w:tcBorders>
            <w:vAlign w:val="center"/>
          </w:tcPr>
          <w:p w14:paraId="7C03695A" w14:textId="597B46C0"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15.34</w:t>
            </w:r>
          </w:p>
        </w:tc>
        <w:tc>
          <w:tcPr>
            <w:tcW w:w="1070" w:type="dxa"/>
            <w:tcBorders>
              <w:top w:val="nil"/>
              <w:bottom w:val="single" w:sz="4" w:space="0" w:color="auto"/>
            </w:tcBorders>
            <w:vAlign w:val="center"/>
          </w:tcPr>
          <w:p w14:paraId="29ED89FF" w14:textId="333EAB75"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0.01</w:t>
            </w:r>
          </w:p>
        </w:tc>
        <w:tc>
          <w:tcPr>
            <w:tcW w:w="1070" w:type="dxa"/>
            <w:tcBorders>
              <w:top w:val="nil"/>
              <w:bottom w:val="single" w:sz="4" w:space="0" w:color="auto"/>
            </w:tcBorders>
            <w:vAlign w:val="center"/>
          </w:tcPr>
          <w:p w14:paraId="18D3CF7C" w14:textId="165DD01C"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0.01</w:t>
            </w:r>
          </w:p>
        </w:tc>
        <w:tc>
          <w:tcPr>
            <w:tcW w:w="1021" w:type="dxa"/>
            <w:tcBorders>
              <w:top w:val="nil"/>
              <w:bottom w:val="single" w:sz="4" w:space="0" w:color="auto"/>
            </w:tcBorders>
            <w:vAlign w:val="center"/>
          </w:tcPr>
          <w:p w14:paraId="10CB8557" w14:textId="35A2E079"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0.01</w:t>
            </w:r>
          </w:p>
        </w:tc>
        <w:tc>
          <w:tcPr>
            <w:tcW w:w="1080" w:type="dxa"/>
            <w:tcBorders>
              <w:top w:val="nil"/>
              <w:bottom w:val="single" w:sz="4" w:space="0" w:color="auto"/>
            </w:tcBorders>
            <w:vAlign w:val="center"/>
          </w:tcPr>
          <w:p w14:paraId="6AC72468" w14:textId="0D0E73AB"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0.006</w:t>
            </w:r>
          </w:p>
        </w:tc>
      </w:tr>
    </w:tbl>
    <w:p w14:paraId="664FC746" w14:textId="6DB56854" w:rsidR="00A14A10" w:rsidRPr="00A92FE1" w:rsidRDefault="00DB4EAB" w:rsidP="008F774E">
      <w:pPr>
        <w:tabs>
          <w:tab w:val="left" w:pos="-3420"/>
        </w:tabs>
        <w:spacing w:after="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lastRenderedPageBreak/>
        <w:t>Means followed by the same letter within a column were not significantly different at a 5% level of significance by t-test. Data shows 3 replicates of each twelve collections</w:t>
      </w:r>
      <w:r w:rsidR="008F774E">
        <w:rPr>
          <w:rFonts w:ascii="Times New Roman" w:hAnsi="Times New Roman" w:cs="Times New Roman"/>
          <w:bCs/>
          <w:sz w:val="24"/>
          <w:szCs w:val="24"/>
          <w:lang w:val="en-US"/>
        </w:rPr>
        <w:t>.</w:t>
      </w:r>
    </w:p>
    <w:p w14:paraId="56CDF9A4" w14:textId="73634903" w:rsidR="00A14A10" w:rsidRPr="00A92FE1" w:rsidRDefault="00A14A10" w:rsidP="008F774E">
      <w:pPr>
        <w:tabs>
          <w:tab w:val="left" w:pos="-3420"/>
        </w:tabs>
        <w:spacing w:after="0" w:line="360" w:lineRule="auto"/>
        <w:jc w:val="both"/>
        <w:rPr>
          <w:rFonts w:ascii="Times New Roman" w:hAnsi="Times New Roman" w:cs="Times New Roman"/>
          <w:b/>
          <w:spacing w:val="6"/>
          <w:sz w:val="24"/>
          <w:szCs w:val="24"/>
        </w:rPr>
      </w:pPr>
      <w:r w:rsidRPr="00A92FE1">
        <w:rPr>
          <w:rFonts w:ascii="Times New Roman" w:hAnsi="Times New Roman" w:cs="Times New Roman"/>
          <w:b/>
          <w:sz w:val="24"/>
          <w:szCs w:val="24"/>
          <w:lang w:val="en-US"/>
        </w:rPr>
        <w:t>3.3</w:t>
      </w:r>
      <w:r w:rsidR="008F774E">
        <w:rPr>
          <w:rFonts w:ascii="Times New Roman" w:hAnsi="Times New Roman" w:cs="Times New Roman"/>
          <w:b/>
          <w:sz w:val="24"/>
          <w:szCs w:val="24"/>
          <w:lang w:val="en-US"/>
        </w:rPr>
        <w:tab/>
      </w:r>
      <w:r w:rsidRPr="00A92FE1">
        <w:rPr>
          <w:rFonts w:ascii="Times New Roman" w:hAnsi="Times New Roman" w:cs="Times New Roman"/>
          <w:b/>
          <w:sz w:val="24"/>
          <w:szCs w:val="24"/>
        </w:rPr>
        <w:t>Total Phenols and Tannins</w:t>
      </w:r>
    </w:p>
    <w:p w14:paraId="581071AF" w14:textId="0647ECA3" w:rsidR="00D71C8A" w:rsidRPr="00A92FE1" w:rsidRDefault="00A14A10" w:rsidP="008F774E">
      <w:pPr>
        <w:autoSpaceDE w:val="0"/>
        <w:autoSpaceDN w:val="0"/>
        <w:adjustRightInd w:val="0"/>
        <w:spacing w:after="0" w:line="360" w:lineRule="auto"/>
        <w:ind w:firstLine="720"/>
        <w:jc w:val="both"/>
        <w:rPr>
          <w:rFonts w:ascii="Times New Roman" w:hAnsi="Times New Roman" w:cs="Times New Roman"/>
          <w:bCs/>
          <w:sz w:val="24"/>
          <w:szCs w:val="24"/>
        </w:rPr>
      </w:pPr>
      <w:r w:rsidRPr="00A92FE1">
        <w:rPr>
          <w:rFonts w:ascii="Times New Roman" w:hAnsi="Times New Roman" w:cs="Times New Roman"/>
          <w:bCs/>
          <w:sz w:val="24"/>
          <w:szCs w:val="24"/>
        </w:rPr>
        <w:t xml:space="preserve">The total phenolic content in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collections showed considerable variability, as presented </w:t>
      </w:r>
      <w:r w:rsidRPr="00A92FE1">
        <w:rPr>
          <w:rFonts w:ascii="Times New Roman" w:hAnsi="Times New Roman" w:cs="Times New Roman"/>
          <w:bCs/>
          <w:color w:val="000000" w:themeColor="text1"/>
          <w:sz w:val="24"/>
          <w:szCs w:val="24"/>
        </w:rPr>
        <w:t xml:space="preserve">in Figure </w:t>
      </w:r>
      <w:r w:rsidR="004126A8" w:rsidRPr="00A92FE1">
        <w:rPr>
          <w:rFonts w:ascii="Times New Roman" w:hAnsi="Times New Roman" w:cs="Times New Roman"/>
          <w:bCs/>
          <w:color w:val="000000" w:themeColor="text1"/>
          <w:sz w:val="24"/>
          <w:szCs w:val="24"/>
        </w:rPr>
        <w:t>3</w:t>
      </w:r>
      <w:r w:rsidRPr="00A92FE1">
        <w:rPr>
          <w:rFonts w:ascii="Times New Roman" w:hAnsi="Times New Roman" w:cs="Times New Roman"/>
          <w:bCs/>
          <w:color w:val="000000" w:themeColor="text1"/>
          <w:sz w:val="24"/>
          <w:szCs w:val="24"/>
        </w:rPr>
        <w:t xml:space="preserve">, ranging from 326.33 to 489.56 mg/100 g. The minimum value was recorded in the Dehra collection. These results are comparable to the observations of Singh and Singh (2018), who reported 35.89 mg GAE/g in </w:t>
      </w:r>
      <w:r w:rsidRPr="00A92FE1">
        <w:rPr>
          <w:rFonts w:ascii="Times New Roman" w:hAnsi="Times New Roman" w:cs="Times New Roman"/>
          <w:bCs/>
          <w:i/>
          <w:iCs/>
          <w:color w:val="000000" w:themeColor="text1"/>
          <w:sz w:val="24"/>
          <w:szCs w:val="24"/>
        </w:rPr>
        <w:t>Chenopodium album</w:t>
      </w:r>
      <w:r w:rsidRPr="00A92FE1">
        <w:rPr>
          <w:rFonts w:ascii="Times New Roman" w:hAnsi="Times New Roman" w:cs="Times New Roman"/>
          <w:bCs/>
          <w:color w:val="000000" w:themeColor="text1"/>
          <w:sz w:val="24"/>
          <w:szCs w:val="24"/>
        </w:rPr>
        <w:t xml:space="preserve"> leaves. Similarly, the total tannin content ranged between 75.16 and 195.06 mg/100 g, with the lowest value noted in the </w:t>
      </w:r>
      <w:proofErr w:type="spellStart"/>
      <w:r w:rsidRPr="00A92FE1">
        <w:rPr>
          <w:rFonts w:ascii="Times New Roman" w:hAnsi="Times New Roman" w:cs="Times New Roman"/>
          <w:bCs/>
          <w:color w:val="000000" w:themeColor="text1"/>
          <w:sz w:val="24"/>
          <w:szCs w:val="24"/>
        </w:rPr>
        <w:t>Thural</w:t>
      </w:r>
      <w:proofErr w:type="spellEnd"/>
      <w:r w:rsidRPr="00A92FE1">
        <w:rPr>
          <w:rFonts w:ascii="Times New Roman" w:hAnsi="Times New Roman" w:cs="Times New Roman"/>
          <w:bCs/>
          <w:color w:val="000000" w:themeColor="text1"/>
          <w:sz w:val="24"/>
          <w:szCs w:val="24"/>
        </w:rPr>
        <w:t xml:space="preserve"> collection. Sood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(2012) </w:t>
      </w:r>
      <w:r w:rsidRPr="00A92FE1">
        <w:rPr>
          <w:rFonts w:ascii="Times New Roman" w:hAnsi="Times New Roman" w:cs="Times New Roman"/>
          <w:bCs/>
          <w:sz w:val="24"/>
          <w:szCs w:val="24"/>
        </w:rPr>
        <w:t xml:space="preserve">documented tannin levels in </w:t>
      </w:r>
      <w:r w:rsidRPr="00A92FE1">
        <w:rPr>
          <w:rFonts w:ascii="Times New Roman" w:hAnsi="Times New Roman" w:cs="Times New Roman"/>
          <w:bCs/>
          <w:i/>
          <w:iCs/>
          <w:sz w:val="24"/>
          <w:szCs w:val="24"/>
        </w:rPr>
        <w:t>Chenopodium album</w:t>
      </w:r>
      <w:r w:rsidRPr="00A92FE1">
        <w:rPr>
          <w:rFonts w:ascii="Times New Roman" w:hAnsi="Times New Roman" w:cs="Times New Roman"/>
          <w:bCs/>
          <w:sz w:val="24"/>
          <w:szCs w:val="24"/>
        </w:rPr>
        <w:t xml:space="preserve"> cultivars between 150 and 203.91 mg/100 g. Overall, the variation in phenolic and tannin content observed in this study is consistent with previous findings, indicating that environmental and genetic factors may influence these phytochemical levels.</w:t>
      </w:r>
    </w:p>
    <w:p w14:paraId="45FC2C71" w14:textId="77777777" w:rsidR="008F774E" w:rsidRDefault="00B67ABB" w:rsidP="008F774E">
      <w:pPr>
        <w:keepNext/>
        <w:autoSpaceDE w:val="0"/>
        <w:autoSpaceDN w:val="0"/>
        <w:adjustRightInd w:val="0"/>
        <w:spacing w:before="120" w:after="120" w:line="360" w:lineRule="auto"/>
        <w:jc w:val="center"/>
      </w:pPr>
      <w:r w:rsidRPr="00A92FE1">
        <w:rPr>
          <w:rFonts w:ascii="Times New Roman" w:hAnsi="Times New Roman" w:cs="Times New Roman"/>
          <w:noProof/>
          <w:sz w:val="24"/>
          <w:szCs w:val="24"/>
          <w:lang w:eastAsia="en-IN"/>
        </w:rPr>
        <w:drawing>
          <wp:inline distT="0" distB="0" distL="0" distR="0" wp14:anchorId="7A82AA7C" wp14:editId="767CB7D2">
            <wp:extent cx="5391509" cy="2700068"/>
            <wp:effectExtent l="0" t="0" r="0" b="50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11C08F" w14:textId="3AC966E4" w:rsidR="00B67ABB" w:rsidRPr="008F774E" w:rsidRDefault="008F774E" w:rsidP="008F774E">
      <w:pPr>
        <w:pStyle w:val="Caption"/>
        <w:jc w:val="both"/>
        <w:rPr>
          <w:rFonts w:ascii="Times New Roman" w:hAnsi="Times New Roman" w:cs="Times New Roman"/>
          <w:bCs/>
          <w:i w:val="0"/>
          <w:iCs w:val="0"/>
          <w:sz w:val="36"/>
          <w:szCs w:val="36"/>
        </w:rPr>
      </w:pPr>
      <w:r w:rsidRPr="00FB4CC2">
        <w:rPr>
          <w:rFonts w:ascii="Times New Roman" w:hAnsi="Times New Roman" w:cs="Times New Roman"/>
          <w:b/>
          <w:bCs/>
          <w:i w:val="0"/>
          <w:iCs w:val="0"/>
          <w:sz w:val="24"/>
          <w:szCs w:val="24"/>
        </w:rPr>
        <w:t>Figure 3</w:t>
      </w:r>
      <w:r w:rsidRPr="008F774E">
        <w:rPr>
          <w:rFonts w:ascii="Times New Roman" w:hAnsi="Times New Roman" w:cs="Times New Roman"/>
          <w:i w:val="0"/>
          <w:iCs w:val="0"/>
          <w:sz w:val="24"/>
          <w:szCs w:val="24"/>
        </w:rPr>
        <w:t xml:space="preserve"> Variation in</w:t>
      </w:r>
      <w:r w:rsidR="00464139">
        <w:rPr>
          <w:rFonts w:ascii="Times New Roman" w:hAnsi="Times New Roman" w:cs="Times New Roman"/>
          <w:i w:val="0"/>
          <w:iCs w:val="0"/>
          <w:sz w:val="24"/>
          <w:szCs w:val="24"/>
        </w:rPr>
        <w:t xml:space="preserve"> </w:t>
      </w:r>
      <w:r w:rsidRPr="008F774E">
        <w:rPr>
          <w:rFonts w:ascii="Times New Roman" w:hAnsi="Times New Roman" w:cs="Times New Roman"/>
          <w:i w:val="0"/>
          <w:iCs w:val="0"/>
          <w:sz w:val="24"/>
          <w:szCs w:val="24"/>
        </w:rPr>
        <w:t xml:space="preserve">Total phenols, Simple phenols, and Tannin content in </w:t>
      </w:r>
      <w:r w:rsidRPr="000A3BA1">
        <w:rPr>
          <w:rFonts w:ascii="Times New Roman" w:hAnsi="Times New Roman" w:cs="Times New Roman"/>
          <w:sz w:val="24"/>
          <w:szCs w:val="24"/>
        </w:rPr>
        <w:t>Chenopodium ambrosioides</w:t>
      </w:r>
    </w:p>
    <w:p w14:paraId="54E8B1D2" w14:textId="5C68F883" w:rsidR="00B67ABB" w:rsidRPr="00A92FE1" w:rsidRDefault="00B67ABB" w:rsidP="00FB4CC2">
      <w:pPr>
        <w:autoSpaceDE w:val="0"/>
        <w:autoSpaceDN w:val="0"/>
        <w:adjustRightInd w:val="0"/>
        <w:spacing w:after="0" w:line="360" w:lineRule="auto"/>
        <w:jc w:val="both"/>
        <w:rPr>
          <w:rFonts w:ascii="Times New Roman" w:hAnsi="Times New Roman" w:cs="Times New Roman"/>
          <w:b/>
          <w:sz w:val="24"/>
          <w:szCs w:val="24"/>
          <w:lang w:val="en-US"/>
        </w:rPr>
      </w:pPr>
      <w:r w:rsidRPr="00A92FE1">
        <w:rPr>
          <w:rFonts w:ascii="Times New Roman" w:hAnsi="Times New Roman" w:cs="Times New Roman"/>
          <w:b/>
          <w:sz w:val="24"/>
          <w:szCs w:val="24"/>
        </w:rPr>
        <w:t>3.4</w:t>
      </w:r>
      <w:r w:rsidR="00FB4CC2">
        <w:rPr>
          <w:rFonts w:ascii="Times New Roman" w:hAnsi="Times New Roman" w:cs="Times New Roman"/>
          <w:b/>
          <w:sz w:val="24"/>
          <w:szCs w:val="24"/>
        </w:rPr>
        <w:tab/>
      </w:r>
      <w:r w:rsidRPr="00A92FE1">
        <w:rPr>
          <w:rFonts w:ascii="Times New Roman" w:hAnsi="Times New Roman" w:cs="Times New Roman"/>
          <w:b/>
          <w:sz w:val="24"/>
          <w:szCs w:val="24"/>
          <w:lang w:val="en-US"/>
        </w:rPr>
        <w:t>Total Chlorophyll content</w:t>
      </w:r>
    </w:p>
    <w:p w14:paraId="37F840A2" w14:textId="3A3CEAC1" w:rsidR="00B67ABB" w:rsidRPr="00A92FE1" w:rsidRDefault="00A14DD7" w:rsidP="00FB4CC2">
      <w:pPr>
        <w:autoSpaceDE w:val="0"/>
        <w:autoSpaceDN w:val="0"/>
        <w:adjustRightInd w:val="0"/>
        <w:spacing w:after="0" w:line="360" w:lineRule="auto"/>
        <w:ind w:firstLine="720"/>
        <w:jc w:val="both"/>
        <w:rPr>
          <w:rFonts w:ascii="Times New Roman" w:hAnsi="Times New Roman" w:cs="Times New Roman"/>
          <w:bCs/>
          <w:sz w:val="24"/>
          <w:szCs w:val="24"/>
        </w:rPr>
      </w:pPr>
      <w:r w:rsidRPr="00A92FE1">
        <w:rPr>
          <w:rFonts w:ascii="Times New Roman" w:hAnsi="Times New Roman" w:cs="Times New Roman"/>
          <w:bCs/>
          <w:sz w:val="24"/>
          <w:szCs w:val="24"/>
        </w:rPr>
        <w:t xml:space="preserve">The chlorophyll ‘a’ content in different collections of </w:t>
      </w:r>
      <w:r w:rsidRPr="00A92FE1">
        <w:rPr>
          <w:rFonts w:ascii="Times New Roman" w:hAnsi="Times New Roman" w:cs="Times New Roman"/>
          <w:bCs/>
          <w:i/>
          <w:iCs/>
          <w:sz w:val="24"/>
          <w:szCs w:val="24"/>
        </w:rPr>
        <w:t>C</w:t>
      </w:r>
      <w:r w:rsidR="004126A8" w:rsidRPr="00A92FE1">
        <w:rPr>
          <w:rFonts w:ascii="Times New Roman" w:hAnsi="Times New Roman" w:cs="Times New Roman"/>
          <w:bCs/>
          <w:i/>
          <w:iCs/>
          <w:sz w:val="24"/>
          <w:szCs w:val="24"/>
        </w:rPr>
        <w:t>.</w:t>
      </w:r>
      <w:r w:rsidRPr="00A92FE1">
        <w:rPr>
          <w:rFonts w:ascii="Times New Roman" w:hAnsi="Times New Roman" w:cs="Times New Roman"/>
          <w:bCs/>
          <w:i/>
          <w:iCs/>
          <w:sz w:val="24"/>
          <w:szCs w:val="24"/>
        </w:rPr>
        <w:t xml:space="preserve"> ambrosioides</w:t>
      </w:r>
      <w:r w:rsidRPr="00A92FE1">
        <w:rPr>
          <w:rFonts w:ascii="Times New Roman" w:hAnsi="Times New Roman" w:cs="Times New Roman"/>
          <w:bCs/>
          <w:sz w:val="24"/>
          <w:szCs w:val="24"/>
        </w:rPr>
        <w:t xml:space="preserve"> leaves ranged from 0.61 to 0.98 mg/g, with the maximum value recorded in the </w:t>
      </w:r>
      <w:proofErr w:type="spellStart"/>
      <w:r w:rsidRPr="00A92FE1">
        <w:rPr>
          <w:rFonts w:ascii="Times New Roman" w:hAnsi="Times New Roman" w:cs="Times New Roman"/>
          <w:bCs/>
          <w:sz w:val="24"/>
          <w:szCs w:val="24"/>
        </w:rPr>
        <w:t>Harchkiyan</w:t>
      </w:r>
      <w:proofErr w:type="spellEnd"/>
      <w:r w:rsidRPr="00A92FE1">
        <w:rPr>
          <w:rFonts w:ascii="Times New Roman" w:hAnsi="Times New Roman" w:cs="Times New Roman"/>
          <w:bCs/>
          <w:sz w:val="24"/>
          <w:szCs w:val="24"/>
        </w:rPr>
        <w:t xml:space="preserve"> collection and the minimum in </w:t>
      </w:r>
      <w:proofErr w:type="spellStart"/>
      <w:r w:rsidRPr="00A92FE1">
        <w:rPr>
          <w:rFonts w:ascii="Times New Roman" w:hAnsi="Times New Roman" w:cs="Times New Roman"/>
          <w:bCs/>
          <w:sz w:val="24"/>
          <w:szCs w:val="24"/>
        </w:rPr>
        <w:t>Nurpur</w:t>
      </w:r>
      <w:proofErr w:type="spellEnd"/>
      <w:r w:rsidRPr="00A92FE1">
        <w:rPr>
          <w:rFonts w:ascii="Times New Roman" w:hAnsi="Times New Roman" w:cs="Times New Roman"/>
          <w:bCs/>
          <w:sz w:val="24"/>
          <w:szCs w:val="24"/>
        </w:rPr>
        <w:t xml:space="preserve"> </w:t>
      </w:r>
      <w:r w:rsidRPr="00A92FE1">
        <w:rPr>
          <w:rFonts w:ascii="Times New Roman" w:hAnsi="Times New Roman" w:cs="Times New Roman"/>
          <w:bCs/>
          <w:color w:val="000000" w:themeColor="text1"/>
          <w:sz w:val="24"/>
          <w:szCs w:val="24"/>
        </w:rPr>
        <w:t xml:space="preserve">(Table 2). Similarly, chlorophyll ‘b’ content varied between 0.26 and 0.77 mg/g across the collections. The total chlorophyll content showed significant variation, ranging from 0.87 to 1.68 mg/g, with the highest value in </w:t>
      </w:r>
      <w:proofErr w:type="spellStart"/>
      <w:r w:rsidRPr="00A92FE1">
        <w:rPr>
          <w:rFonts w:ascii="Times New Roman" w:hAnsi="Times New Roman" w:cs="Times New Roman"/>
          <w:bCs/>
          <w:color w:val="000000" w:themeColor="text1"/>
          <w:sz w:val="24"/>
          <w:szCs w:val="24"/>
        </w:rPr>
        <w:t>Harchkiyan</w:t>
      </w:r>
      <w:proofErr w:type="spellEnd"/>
      <w:r w:rsidRPr="00A92FE1">
        <w:rPr>
          <w:rFonts w:ascii="Times New Roman" w:hAnsi="Times New Roman" w:cs="Times New Roman"/>
          <w:bCs/>
          <w:color w:val="000000" w:themeColor="text1"/>
          <w:sz w:val="24"/>
          <w:szCs w:val="24"/>
        </w:rPr>
        <w:t xml:space="preserve"> and the lowest in </w:t>
      </w:r>
      <w:proofErr w:type="spellStart"/>
      <w:r w:rsidRPr="00A92FE1">
        <w:rPr>
          <w:rFonts w:ascii="Times New Roman" w:hAnsi="Times New Roman" w:cs="Times New Roman"/>
          <w:bCs/>
          <w:color w:val="000000" w:themeColor="text1"/>
          <w:sz w:val="24"/>
          <w:szCs w:val="24"/>
        </w:rPr>
        <w:t>Nurpur</w:t>
      </w:r>
      <w:proofErr w:type="spellEnd"/>
      <w:r w:rsidRPr="00A92FE1">
        <w:rPr>
          <w:rFonts w:ascii="Times New Roman" w:hAnsi="Times New Roman" w:cs="Times New Roman"/>
          <w:bCs/>
          <w:color w:val="000000" w:themeColor="text1"/>
          <w:sz w:val="24"/>
          <w:szCs w:val="24"/>
        </w:rPr>
        <w:t xml:space="preserve">. </w:t>
      </w:r>
      <w:r w:rsidR="00F17697">
        <w:rPr>
          <w:rFonts w:ascii="Times New Roman" w:hAnsi="Times New Roman" w:cs="Times New Roman"/>
          <w:bCs/>
          <w:color w:val="000000" w:themeColor="text1"/>
          <w:sz w:val="24"/>
          <w:szCs w:val="24"/>
        </w:rPr>
        <w:t>T</w:t>
      </w:r>
      <w:r w:rsidR="00F17697" w:rsidRPr="00F17697">
        <w:rPr>
          <w:rFonts w:ascii="Times New Roman" w:hAnsi="Times New Roman" w:cs="Times New Roman"/>
          <w:bCs/>
          <w:color w:val="000000" w:themeColor="text1"/>
          <w:sz w:val="24"/>
          <w:szCs w:val="24"/>
        </w:rPr>
        <w:t xml:space="preserve">he difference between </w:t>
      </w:r>
      <w:proofErr w:type="spellStart"/>
      <w:r w:rsidR="00F17697">
        <w:rPr>
          <w:rFonts w:ascii="Times New Roman" w:hAnsi="Times New Roman" w:cs="Times New Roman"/>
          <w:bCs/>
          <w:color w:val="000000" w:themeColor="text1"/>
          <w:sz w:val="24"/>
          <w:szCs w:val="24"/>
        </w:rPr>
        <w:t>H</w:t>
      </w:r>
      <w:r w:rsidR="00F17697" w:rsidRPr="00F17697">
        <w:rPr>
          <w:rFonts w:ascii="Times New Roman" w:hAnsi="Times New Roman" w:cs="Times New Roman"/>
          <w:bCs/>
          <w:color w:val="000000" w:themeColor="text1"/>
          <w:sz w:val="24"/>
          <w:szCs w:val="24"/>
        </w:rPr>
        <w:t>archkiyan</w:t>
      </w:r>
      <w:proofErr w:type="spellEnd"/>
      <w:r w:rsidR="00F17697" w:rsidRPr="00F17697">
        <w:rPr>
          <w:rFonts w:ascii="Times New Roman" w:hAnsi="Times New Roman" w:cs="Times New Roman"/>
          <w:bCs/>
          <w:color w:val="000000" w:themeColor="text1"/>
          <w:sz w:val="24"/>
          <w:szCs w:val="24"/>
        </w:rPr>
        <w:t xml:space="preserve"> and </w:t>
      </w:r>
      <w:proofErr w:type="spellStart"/>
      <w:r w:rsidR="00F17697">
        <w:rPr>
          <w:rFonts w:ascii="Times New Roman" w:hAnsi="Times New Roman" w:cs="Times New Roman"/>
          <w:bCs/>
          <w:color w:val="000000" w:themeColor="text1"/>
          <w:sz w:val="24"/>
          <w:szCs w:val="24"/>
        </w:rPr>
        <w:t>N</w:t>
      </w:r>
      <w:r w:rsidR="00F17697" w:rsidRPr="00F17697">
        <w:rPr>
          <w:rFonts w:ascii="Times New Roman" w:hAnsi="Times New Roman" w:cs="Times New Roman"/>
          <w:bCs/>
          <w:color w:val="000000" w:themeColor="text1"/>
          <w:sz w:val="24"/>
          <w:szCs w:val="24"/>
        </w:rPr>
        <w:t>urpur</w:t>
      </w:r>
      <w:proofErr w:type="spellEnd"/>
      <w:r w:rsidR="00F17697" w:rsidRPr="00F17697">
        <w:rPr>
          <w:rFonts w:ascii="Times New Roman" w:hAnsi="Times New Roman" w:cs="Times New Roman"/>
          <w:bCs/>
          <w:color w:val="000000" w:themeColor="text1"/>
          <w:sz w:val="24"/>
          <w:szCs w:val="24"/>
        </w:rPr>
        <w:t xml:space="preserve"> was statistically significant (p &lt; 0.05).</w:t>
      </w:r>
      <w:r w:rsidR="00F17697">
        <w:rPr>
          <w:rFonts w:ascii="Times New Roman" w:hAnsi="Times New Roman" w:cs="Times New Roman"/>
          <w:bCs/>
          <w:color w:val="000000" w:themeColor="text1"/>
          <w:sz w:val="24"/>
          <w:szCs w:val="24"/>
        </w:rPr>
        <w:t xml:space="preserve"> </w:t>
      </w:r>
      <w:proofErr w:type="spellStart"/>
      <w:r w:rsidRPr="00A92FE1">
        <w:rPr>
          <w:rFonts w:ascii="Times New Roman" w:hAnsi="Times New Roman" w:cs="Times New Roman"/>
          <w:bCs/>
          <w:color w:val="000000" w:themeColor="text1"/>
          <w:sz w:val="24"/>
          <w:szCs w:val="24"/>
        </w:rPr>
        <w:t>Boojar</w:t>
      </w:r>
      <w:proofErr w:type="spellEnd"/>
      <w:r w:rsidRPr="00A92FE1">
        <w:rPr>
          <w:rFonts w:ascii="Times New Roman" w:hAnsi="Times New Roman" w:cs="Times New Roman"/>
          <w:bCs/>
          <w:color w:val="000000" w:themeColor="text1"/>
          <w:sz w:val="24"/>
          <w:szCs w:val="24"/>
        </w:rPr>
        <w:t xml:space="preserve"> and </w:t>
      </w:r>
      <w:proofErr w:type="spellStart"/>
      <w:r w:rsidRPr="00A92FE1">
        <w:rPr>
          <w:rFonts w:ascii="Times New Roman" w:hAnsi="Times New Roman" w:cs="Times New Roman"/>
          <w:bCs/>
          <w:color w:val="000000" w:themeColor="text1"/>
          <w:sz w:val="24"/>
          <w:szCs w:val="24"/>
        </w:rPr>
        <w:t>Goodarzi</w:t>
      </w:r>
      <w:proofErr w:type="spellEnd"/>
      <w:r w:rsidRPr="00A92FE1">
        <w:rPr>
          <w:rFonts w:ascii="Times New Roman" w:hAnsi="Times New Roman" w:cs="Times New Roman"/>
          <w:bCs/>
          <w:color w:val="000000" w:themeColor="text1"/>
          <w:sz w:val="24"/>
          <w:szCs w:val="24"/>
        </w:rPr>
        <w:t xml:space="preserve"> (2007)</w:t>
      </w:r>
      <w:r w:rsidR="00FB4CC2">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reported </w:t>
      </w:r>
      <w:r w:rsidRPr="00A92FE1">
        <w:rPr>
          <w:rFonts w:ascii="Times New Roman" w:hAnsi="Times New Roman" w:cs="Times New Roman"/>
          <w:bCs/>
          <w:sz w:val="24"/>
          <w:szCs w:val="24"/>
        </w:rPr>
        <w:t xml:space="preserve">chlorophyll content of 1.06 ± 0.12 mg/g in </w:t>
      </w:r>
      <w:r w:rsidRPr="00A92FE1">
        <w:rPr>
          <w:rFonts w:ascii="Times New Roman" w:hAnsi="Times New Roman" w:cs="Times New Roman"/>
          <w:bCs/>
          <w:i/>
          <w:iCs/>
          <w:sz w:val="24"/>
          <w:szCs w:val="24"/>
        </w:rPr>
        <w:t>C</w:t>
      </w:r>
      <w:r w:rsidR="004126A8" w:rsidRPr="00A92FE1">
        <w:rPr>
          <w:rFonts w:ascii="Times New Roman" w:hAnsi="Times New Roman" w:cs="Times New Roman"/>
          <w:bCs/>
          <w:i/>
          <w:iCs/>
          <w:sz w:val="24"/>
          <w:szCs w:val="24"/>
        </w:rPr>
        <w:t>.</w:t>
      </w:r>
      <w:r w:rsidRPr="00A92FE1">
        <w:rPr>
          <w:rFonts w:ascii="Times New Roman" w:hAnsi="Times New Roman" w:cs="Times New Roman"/>
          <w:bCs/>
          <w:i/>
          <w:iCs/>
          <w:sz w:val="24"/>
          <w:szCs w:val="24"/>
        </w:rPr>
        <w:t xml:space="preserve"> ambrosioides</w:t>
      </w:r>
      <w:r w:rsidRPr="00A92FE1">
        <w:rPr>
          <w:rFonts w:ascii="Times New Roman" w:hAnsi="Times New Roman" w:cs="Times New Roman"/>
          <w:bCs/>
          <w:sz w:val="24"/>
          <w:szCs w:val="24"/>
        </w:rPr>
        <w:t xml:space="preserve"> </w:t>
      </w:r>
      <w:r w:rsidRPr="00A92FE1">
        <w:rPr>
          <w:rFonts w:ascii="Times New Roman" w:hAnsi="Times New Roman" w:cs="Times New Roman"/>
          <w:bCs/>
          <w:sz w:val="24"/>
          <w:szCs w:val="24"/>
        </w:rPr>
        <w:lastRenderedPageBreak/>
        <w:t xml:space="preserve">leaves, which is slightly lower than the values observed in the present study. </w:t>
      </w:r>
      <w:r w:rsidR="00F17697">
        <w:rPr>
          <w:rFonts w:ascii="Times New Roman" w:hAnsi="Times New Roman" w:cs="Times New Roman"/>
          <w:bCs/>
          <w:sz w:val="24"/>
          <w:szCs w:val="24"/>
        </w:rPr>
        <w:t>T</w:t>
      </w:r>
      <w:r w:rsidR="00F17697" w:rsidRPr="00F17697">
        <w:rPr>
          <w:rFonts w:ascii="Times New Roman" w:hAnsi="Times New Roman" w:cs="Times New Roman"/>
          <w:bCs/>
          <w:sz w:val="24"/>
          <w:szCs w:val="24"/>
        </w:rPr>
        <w:t xml:space="preserve">he higher chlorophyll content in </w:t>
      </w:r>
      <w:proofErr w:type="spellStart"/>
      <w:r w:rsidR="00F17697">
        <w:rPr>
          <w:rFonts w:ascii="Times New Roman" w:hAnsi="Times New Roman" w:cs="Times New Roman"/>
          <w:bCs/>
          <w:sz w:val="24"/>
          <w:szCs w:val="24"/>
        </w:rPr>
        <w:t>H</w:t>
      </w:r>
      <w:r w:rsidR="00F17697" w:rsidRPr="00F17697">
        <w:rPr>
          <w:rFonts w:ascii="Times New Roman" w:hAnsi="Times New Roman" w:cs="Times New Roman"/>
          <w:bCs/>
          <w:sz w:val="24"/>
          <w:szCs w:val="24"/>
        </w:rPr>
        <w:t>archkiyan</w:t>
      </w:r>
      <w:proofErr w:type="spellEnd"/>
      <w:r w:rsidR="00F17697" w:rsidRPr="00F17697">
        <w:rPr>
          <w:rFonts w:ascii="Times New Roman" w:hAnsi="Times New Roman" w:cs="Times New Roman"/>
          <w:bCs/>
          <w:sz w:val="24"/>
          <w:szCs w:val="24"/>
        </w:rPr>
        <w:t xml:space="preserve"> could be attributed to its higher altitude and greater light intensity, which enhance photosynthetic pigment synthesis.</w:t>
      </w:r>
      <w:r w:rsidR="00F17697">
        <w:rPr>
          <w:rFonts w:ascii="Times New Roman" w:hAnsi="Times New Roman" w:cs="Times New Roman"/>
          <w:bCs/>
          <w:sz w:val="24"/>
          <w:szCs w:val="24"/>
        </w:rPr>
        <w:t xml:space="preserve"> </w:t>
      </w:r>
      <w:r w:rsidRPr="00A92FE1">
        <w:rPr>
          <w:rFonts w:ascii="Times New Roman" w:hAnsi="Times New Roman" w:cs="Times New Roman"/>
          <w:bCs/>
          <w:sz w:val="24"/>
          <w:szCs w:val="24"/>
        </w:rPr>
        <w:t xml:space="preserve">This variation in chlorophyll content could be attributed to differences in </w:t>
      </w:r>
      <w:r w:rsidRPr="00A92FE1">
        <w:rPr>
          <w:rFonts w:ascii="Times New Roman" w:hAnsi="Times New Roman" w:cs="Times New Roman"/>
          <w:sz w:val="24"/>
          <w:szCs w:val="24"/>
        </w:rPr>
        <w:t>light intensity, altitude, soil fertility, and temperature across the collection sites, as these f</w:t>
      </w:r>
      <w:r w:rsidRPr="00A92FE1">
        <w:rPr>
          <w:rFonts w:ascii="Times New Roman" w:hAnsi="Times New Roman" w:cs="Times New Roman"/>
          <w:bCs/>
          <w:sz w:val="24"/>
          <w:szCs w:val="24"/>
        </w:rPr>
        <w:t>actors significantly influence chlorophyll biosynthesis and pigment stability.</w:t>
      </w:r>
    </w:p>
    <w:p w14:paraId="03902F3E" w14:textId="5E5869AA" w:rsidR="008429F9" w:rsidRPr="00A92FE1" w:rsidRDefault="008429F9" w:rsidP="00993142">
      <w:pPr>
        <w:autoSpaceDE w:val="0"/>
        <w:autoSpaceDN w:val="0"/>
        <w:adjustRightInd w:val="0"/>
        <w:spacing w:before="120" w:after="120" w:line="360" w:lineRule="auto"/>
        <w:jc w:val="both"/>
        <w:rPr>
          <w:rFonts w:ascii="Times New Roman" w:hAnsi="Times New Roman" w:cs="Times New Roman"/>
          <w:bCs/>
          <w:i/>
          <w:sz w:val="24"/>
          <w:szCs w:val="24"/>
          <w:lang w:val="en-US"/>
        </w:rPr>
      </w:pPr>
      <w:r w:rsidRPr="00A92FE1">
        <w:rPr>
          <w:rFonts w:ascii="Times New Roman" w:hAnsi="Times New Roman" w:cs="Times New Roman"/>
          <w:b/>
          <w:bCs/>
          <w:sz w:val="24"/>
          <w:szCs w:val="24"/>
          <w:lang w:val="en-US"/>
        </w:rPr>
        <w:t>Table</w:t>
      </w:r>
      <w:r w:rsidR="00FB4CC2">
        <w:rPr>
          <w:rFonts w:ascii="Times New Roman" w:hAnsi="Times New Roman" w:cs="Times New Roman"/>
          <w:b/>
          <w:bCs/>
          <w:sz w:val="24"/>
          <w:szCs w:val="24"/>
          <w:lang w:val="en-US"/>
        </w:rPr>
        <w:t xml:space="preserve"> </w:t>
      </w:r>
      <w:r w:rsidRPr="00A92FE1">
        <w:rPr>
          <w:rFonts w:ascii="Times New Roman" w:hAnsi="Times New Roman" w:cs="Times New Roman"/>
          <w:b/>
          <w:bCs/>
          <w:sz w:val="24"/>
          <w:szCs w:val="24"/>
          <w:lang w:val="en-US"/>
        </w:rPr>
        <w:t xml:space="preserve">2. </w:t>
      </w:r>
      <w:r w:rsidRPr="00A92FE1">
        <w:rPr>
          <w:rFonts w:ascii="Times New Roman" w:hAnsi="Times New Roman" w:cs="Times New Roman"/>
          <w:bCs/>
          <w:sz w:val="24"/>
          <w:szCs w:val="24"/>
          <w:lang w:val="en-US"/>
        </w:rPr>
        <w:t>Variation in Chlorophyll ‘a’, Chlorophyll ‘b’, and Total Chlorophyll content in</w:t>
      </w:r>
      <w:r w:rsidR="00FB4CC2">
        <w:rPr>
          <w:rFonts w:ascii="Times New Roman" w:hAnsi="Times New Roman" w:cs="Times New Roman"/>
          <w:bCs/>
          <w:sz w:val="24"/>
          <w:szCs w:val="24"/>
          <w:lang w:val="en-US"/>
        </w:rPr>
        <w:t xml:space="preserve"> </w:t>
      </w:r>
      <w:r w:rsidRPr="00A92FE1">
        <w:rPr>
          <w:rFonts w:ascii="Times New Roman" w:hAnsi="Times New Roman" w:cs="Times New Roman"/>
          <w:bCs/>
          <w:i/>
          <w:sz w:val="24"/>
          <w:szCs w:val="24"/>
          <w:lang w:val="en-US"/>
        </w:rPr>
        <w:t>Chenopodium ambrosioides</w:t>
      </w:r>
    </w:p>
    <w:tbl>
      <w:tblPr>
        <w:tblW w:w="9872" w:type="dxa"/>
        <w:jc w:val="center"/>
        <w:tblLook w:val="04A0" w:firstRow="1" w:lastRow="0" w:firstColumn="1" w:lastColumn="0" w:noHBand="0" w:noVBand="1"/>
      </w:tblPr>
      <w:tblGrid>
        <w:gridCol w:w="1694"/>
        <w:gridCol w:w="2811"/>
        <w:gridCol w:w="2173"/>
        <w:gridCol w:w="3194"/>
      </w:tblGrid>
      <w:tr w:rsidR="00583024" w:rsidRPr="00A92FE1" w14:paraId="439A2319" w14:textId="77777777" w:rsidTr="00FB4CC2">
        <w:trPr>
          <w:jc w:val="center"/>
        </w:trPr>
        <w:tc>
          <w:tcPr>
            <w:tcW w:w="1694" w:type="dxa"/>
            <w:tcBorders>
              <w:top w:val="single" w:sz="12" w:space="0" w:color="auto"/>
              <w:left w:val="nil"/>
              <w:bottom w:val="single" w:sz="12" w:space="0" w:color="auto"/>
              <w:right w:val="nil"/>
            </w:tcBorders>
            <w:vAlign w:val="center"/>
            <w:hideMark/>
          </w:tcPr>
          <w:p w14:paraId="06C8221E" w14:textId="00DA77C7" w:rsidR="00583024" w:rsidRPr="00A92FE1" w:rsidRDefault="00583024" w:rsidP="00FB4CC2">
            <w:pPr>
              <w:spacing w:after="0" w:line="240" w:lineRule="auto"/>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Collections</w:t>
            </w:r>
          </w:p>
          <w:p w14:paraId="46D1960A" w14:textId="5831B8AD" w:rsidR="00583024" w:rsidRPr="00A92FE1" w:rsidRDefault="00583024" w:rsidP="00FB4CC2">
            <w:pPr>
              <w:spacing w:after="0" w:line="240" w:lineRule="auto"/>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Name</w:t>
            </w:r>
          </w:p>
        </w:tc>
        <w:tc>
          <w:tcPr>
            <w:tcW w:w="2811" w:type="dxa"/>
            <w:tcBorders>
              <w:top w:val="single" w:sz="12" w:space="0" w:color="auto"/>
              <w:left w:val="nil"/>
              <w:bottom w:val="single" w:sz="12" w:space="0" w:color="auto"/>
              <w:right w:val="nil"/>
            </w:tcBorders>
            <w:vAlign w:val="center"/>
            <w:hideMark/>
          </w:tcPr>
          <w:p w14:paraId="7175DFDC" w14:textId="77777777" w:rsidR="00583024" w:rsidRPr="00A92FE1" w:rsidRDefault="00583024" w:rsidP="00FB4CC2">
            <w:pPr>
              <w:spacing w:after="0" w:line="240" w:lineRule="auto"/>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Chlorophyll ‘a’</w:t>
            </w:r>
          </w:p>
          <w:p w14:paraId="521A0025" w14:textId="77777777" w:rsidR="00583024" w:rsidRPr="00A92FE1" w:rsidRDefault="00583024" w:rsidP="00FB4CC2">
            <w:pPr>
              <w:spacing w:after="0" w:line="240" w:lineRule="auto"/>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(mg/g)</w:t>
            </w:r>
          </w:p>
        </w:tc>
        <w:tc>
          <w:tcPr>
            <w:tcW w:w="2173" w:type="dxa"/>
            <w:tcBorders>
              <w:top w:val="single" w:sz="12" w:space="0" w:color="auto"/>
              <w:left w:val="nil"/>
              <w:bottom w:val="single" w:sz="12" w:space="0" w:color="auto"/>
              <w:right w:val="nil"/>
            </w:tcBorders>
            <w:vAlign w:val="center"/>
            <w:hideMark/>
          </w:tcPr>
          <w:p w14:paraId="4A8463C8" w14:textId="77777777" w:rsidR="00583024" w:rsidRPr="00A92FE1" w:rsidRDefault="00583024" w:rsidP="00FB4CC2">
            <w:pPr>
              <w:spacing w:after="0" w:line="240" w:lineRule="auto"/>
              <w:ind w:hanging="85"/>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Chlorophyll ‘b’</w:t>
            </w:r>
          </w:p>
          <w:p w14:paraId="53F4CF6A" w14:textId="77777777" w:rsidR="00583024" w:rsidRPr="00A92FE1" w:rsidRDefault="00583024" w:rsidP="00FB4CC2">
            <w:pPr>
              <w:spacing w:after="0" w:line="240" w:lineRule="auto"/>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(mg/g)</w:t>
            </w:r>
          </w:p>
        </w:tc>
        <w:tc>
          <w:tcPr>
            <w:tcW w:w="3194" w:type="dxa"/>
            <w:tcBorders>
              <w:top w:val="single" w:sz="12" w:space="0" w:color="auto"/>
              <w:left w:val="nil"/>
              <w:bottom w:val="single" w:sz="12" w:space="0" w:color="auto"/>
              <w:right w:val="nil"/>
            </w:tcBorders>
            <w:vAlign w:val="center"/>
            <w:hideMark/>
          </w:tcPr>
          <w:p w14:paraId="71C5F497" w14:textId="77777777" w:rsidR="00583024" w:rsidRPr="00A92FE1" w:rsidRDefault="00583024" w:rsidP="00FB4CC2">
            <w:pPr>
              <w:spacing w:after="0" w:line="240" w:lineRule="auto"/>
              <w:ind w:firstLine="522"/>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Total Chlorophyll</w:t>
            </w:r>
          </w:p>
          <w:p w14:paraId="524531F3" w14:textId="77777777" w:rsidR="00583024" w:rsidRPr="00A92FE1" w:rsidRDefault="00583024" w:rsidP="00FB4CC2">
            <w:pPr>
              <w:spacing w:after="0" w:line="240" w:lineRule="auto"/>
              <w:ind w:right="-18" w:firstLine="612"/>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(mg/g)</w:t>
            </w:r>
          </w:p>
        </w:tc>
      </w:tr>
      <w:tr w:rsidR="00583024" w:rsidRPr="00A92FE1" w14:paraId="37D28F53" w14:textId="77777777" w:rsidTr="00FB4CC2">
        <w:trPr>
          <w:jc w:val="center"/>
        </w:trPr>
        <w:tc>
          <w:tcPr>
            <w:tcW w:w="1694" w:type="dxa"/>
            <w:tcBorders>
              <w:top w:val="single" w:sz="12" w:space="0" w:color="auto"/>
              <w:left w:val="nil"/>
              <w:bottom w:val="nil"/>
              <w:right w:val="nil"/>
            </w:tcBorders>
            <w:vAlign w:val="center"/>
            <w:hideMark/>
          </w:tcPr>
          <w:p w14:paraId="0B415E89"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902448">
              <w:rPr>
                <w:rFonts w:ascii="Times New Roman" w:eastAsia="Calibri" w:hAnsi="Times New Roman" w:cs="Times New Roman"/>
                <w:b/>
                <w:bCs/>
                <w:sz w:val="24"/>
                <w:szCs w:val="24"/>
                <w:lang w:eastAsia="en-IN"/>
              </w:rPr>
              <w:t>Nagrota</w:t>
            </w:r>
            <w:proofErr w:type="spellEnd"/>
          </w:p>
        </w:tc>
        <w:tc>
          <w:tcPr>
            <w:tcW w:w="2811" w:type="dxa"/>
            <w:tcBorders>
              <w:top w:val="single" w:sz="12" w:space="0" w:color="auto"/>
              <w:left w:val="nil"/>
              <w:bottom w:val="nil"/>
              <w:right w:val="nil"/>
            </w:tcBorders>
            <w:vAlign w:val="center"/>
            <w:hideMark/>
          </w:tcPr>
          <w:p w14:paraId="65D46930"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0.66</w:t>
            </w:r>
          </w:p>
        </w:tc>
        <w:tc>
          <w:tcPr>
            <w:tcW w:w="2173" w:type="dxa"/>
            <w:tcBorders>
              <w:top w:val="single" w:sz="12" w:space="0" w:color="auto"/>
              <w:left w:val="nil"/>
              <w:bottom w:val="nil"/>
              <w:right w:val="nil"/>
            </w:tcBorders>
            <w:vAlign w:val="center"/>
            <w:hideMark/>
          </w:tcPr>
          <w:p w14:paraId="20D431DA"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0.67</w:t>
            </w:r>
          </w:p>
        </w:tc>
        <w:tc>
          <w:tcPr>
            <w:tcW w:w="3194" w:type="dxa"/>
            <w:tcBorders>
              <w:top w:val="single" w:sz="12" w:space="0" w:color="auto"/>
              <w:left w:val="nil"/>
              <w:bottom w:val="nil"/>
              <w:right w:val="nil"/>
            </w:tcBorders>
            <w:vAlign w:val="center"/>
            <w:hideMark/>
          </w:tcPr>
          <w:p w14:paraId="078942C1"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1.33</w:t>
            </w:r>
          </w:p>
        </w:tc>
      </w:tr>
      <w:tr w:rsidR="00583024" w:rsidRPr="00A92FE1" w14:paraId="31073B9E" w14:textId="77777777" w:rsidTr="00FB4CC2">
        <w:trPr>
          <w:jc w:val="center"/>
        </w:trPr>
        <w:tc>
          <w:tcPr>
            <w:tcW w:w="1694" w:type="dxa"/>
            <w:vAlign w:val="center"/>
            <w:hideMark/>
          </w:tcPr>
          <w:p w14:paraId="23D1393F"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r w:rsidRPr="00902448">
              <w:rPr>
                <w:rFonts w:ascii="Times New Roman" w:eastAsia="Calibri" w:hAnsi="Times New Roman" w:cs="Times New Roman"/>
                <w:b/>
                <w:bCs/>
                <w:sz w:val="24"/>
                <w:szCs w:val="24"/>
                <w:lang w:eastAsia="en-IN"/>
              </w:rPr>
              <w:t>Kangra</w:t>
            </w:r>
          </w:p>
        </w:tc>
        <w:tc>
          <w:tcPr>
            <w:tcW w:w="2811" w:type="dxa"/>
            <w:vAlign w:val="center"/>
            <w:hideMark/>
          </w:tcPr>
          <w:p w14:paraId="2C8DF46A"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0.68</w:t>
            </w:r>
          </w:p>
        </w:tc>
        <w:tc>
          <w:tcPr>
            <w:tcW w:w="2173" w:type="dxa"/>
            <w:vAlign w:val="center"/>
            <w:hideMark/>
          </w:tcPr>
          <w:p w14:paraId="5CE647C5"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0.26</w:t>
            </w:r>
          </w:p>
        </w:tc>
        <w:tc>
          <w:tcPr>
            <w:tcW w:w="3194" w:type="dxa"/>
            <w:vAlign w:val="center"/>
            <w:hideMark/>
          </w:tcPr>
          <w:p w14:paraId="095C326D"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0.94</w:t>
            </w:r>
          </w:p>
        </w:tc>
      </w:tr>
      <w:tr w:rsidR="00583024" w:rsidRPr="00A92FE1" w14:paraId="404266D2" w14:textId="77777777" w:rsidTr="00FB4CC2">
        <w:trPr>
          <w:jc w:val="center"/>
        </w:trPr>
        <w:tc>
          <w:tcPr>
            <w:tcW w:w="1694" w:type="dxa"/>
            <w:vAlign w:val="center"/>
            <w:hideMark/>
          </w:tcPr>
          <w:p w14:paraId="7D86E2D4"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902448">
              <w:rPr>
                <w:rFonts w:ascii="Times New Roman" w:eastAsia="Calibri" w:hAnsi="Times New Roman" w:cs="Times New Roman"/>
                <w:b/>
                <w:bCs/>
                <w:sz w:val="24"/>
                <w:szCs w:val="24"/>
                <w:lang w:eastAsia="en-IN"/>
              </w:rPr>
              <w:t>Nurpur</w:t>
            </w:r>
            <w:proofErr w:type="spellEnd"/>
          </w:p>
        </w:tc>
        <w:tc>
          <w:tcPr>
            <w:tcW w:w="2811" w:type="dxa"/>
            <w:vAlign w:val="center"/>
            <w:hideMark/>
          </w:tcPr>
          <w:p w14:paraId="3AB8D554"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0.61</w:t>
            </w:r>
          </w:p>
        </w:tc>
        <w:tc>
          <w:tcPr>
            <w:tcW w:w="2173" w:type="dxa"/>
            <w:vAlign w:val="center"/>
            <w:hideMark/>
          </w:tcPr>
          <w:p w14:paraId="5FDCCA29"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0.26</w:t>
            </w:r>
          </w:p>
        </w:tc>
        <w:tc>
          <w:tcPr>
            <w:tcW w:w="3194" w:type="dxa"/>
            <w:vAlign w:val="center"/>
            <w:hideMark/>
          </w:tcPr>
          <w:p w14:paraId="34446E26"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0.87</w:t>
            </w:r>
          </w:p>
        </w:tc>
      </w:tr>
      <w:tr w:rsidR="00583024" w:rsidRPr="00A92FE1" w14:paraId="76479640" w14:textId="77777777" w:rsidTr="00FB4CC2">
        <w:trPr>
          <w:jc w:val="center"/>
        </w:trPr>
        <w:tc>
          <w:tcPr>
            <w:tcW w:w="1694" w:type="dxa"/>
            <w:vAlign w:val="center"/>
            <w:hideMark/>
          </w:tcPr>
          <w:p w14:paraId="4E6F56E9"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r w:rsidRPr="00902448">
              <w:rPr>
                <w:rFonts w:ascii="Times New Roman" w:eastAsia="Calibri" w:hAnsi="Times New Roman" w:cs="Times New Roman"/>
                <w:b/>
                <w:bCs/>
                <w:sz w:val="24"/>
                <w:szCs w:val="24"/>
                <w:lang w:eastAsia="en-IN"/>
              </w:rPr>
              <w:t>Shahpur</w:t>
            </w:r>
          </w:p>
        </w:tc>
        <w:tc>
          <w:tcPr>
            <w:tcW w:w="2811" w:type="dxa"/>
            <w:vAlign w:val="center"/>
            <w:hideMark/>
          </w:tcPr>
          <w:p w14:paraId="20661392"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0.85</w:t>
            </w:r>
          </w:p>
        </w:tc>
        <w:tc>
          <w:tcPr>
            <w:tcW w:w="2173" w:type="dxa"/>
            <w:vAlign w:val="center"/>
            <w:hideMark/>
          </w:tcPr>
          <w:p w14:paraId="0709833C"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0.56</w:t>
            </w:r>
          </w:p>
        </w:tc>
        <w:tc>
          <w:tcPr>
            <w:tcW w:w="3194" w:type="dxa"/>
            <w:vAlign w:val="center"/>
            <w:hideMark/>
          </w:tcPr>
          <w:p w14:paraId="12FC5B4F"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1.41</w:t>
            </w:r>
          </w:p>
        </w:tc>
      </w:tr>
      <w:tr w:rsidR="00583024" w:rsidRPr="00A92FE1" w14:paraId="7775AE54" w14:textId="77777777" w:rsidTr="00FB4CC2">
        <w:trPr>
          <w:jc w:val="center"/>
        </w:trPr>
        <w:tc>
          <w:tcPr>
            <w:tcW w:w="1694" w:type="dxa"/>
            <w:vAlign w:val="center"/>
            <w:hideMark/>
          </w:tcPr>
          <w:p w14:paraId="335C0A10"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902448">
              <w:rPr>
                <w:rFonts w:ascii="Times New Roman" w:eastAsia="Calibri" w:hAnsi="Times New Roman" w:cs="Times New Roman"/>
                <w:b/>
                <w:bCs/>
                <w:sz w:val="24"/>
                <w:szCs w:val="24"/>
                <w:lang w:eastAsia="en-IN"/>
              </w:rPr>
              <w:t>Harchkiyan</w:t>
            </w:r>
            <w:proofErr w:type="spellEnd"/>
          </w:p>
        </w:tc>
        <w:tc>
          <w:tcPr>
            <w:tcW w:w="2811" w:type="dxa"/>
            <w:vAlign w:val="center"/>
            <w:hideMark/>
          </w:tcPr>
          <w:p w14:paraId="6CFAE88B"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0.98</w:t>
            </w:r>
          </w:p>
        </w:tc>
        <w:tc>
          <w:tcPr>
            <w:tcW w:w="2173" w:type="dxa"/>
            <w:vAlign w:val="center"/>
            <w:hideMark/>
          </w:tcPr>
          <w:p w14:paraId="70B80970"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0.70</w:t>
            </w:r>
          </w:p>
        </w:tc>
        <w:tc>
          <w:tcPr>
            <w:tcW w:w="3194" w:type="dxa"/>
            <w:vAlign w:val="center"/>
            <w:hideMark/>
          </w:tcPr>
          <w:p w14:paraId="5F4F1216"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1.68</w:t>
            </w:r>
          </w:p>
        </w:tc>
      </w:tr>
      <w:tr w:rsidR="00583024" w:rsidRPr="00A92FE1" w14:paraId="4717F95D" w14:textId="77777777" w:rsidTr="00FB4CC2">
        <w:trPr>
          <w:jc w:val="center"/>
        </w:trPr>
        <w:tc>
          <w:tcPr>
            <w:tcW w:w="1694" w:type="dxa"/>
            <w:vAlign w:val="center"/>
            <w:hideMark/>
          </w:tcPr>
          <w:p w14:paraId="78ADD2A2"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902448">
              <w:rPr>
                <w:rFonts w:ascii="Times New Roman" w:eastAsia="Calibri" w:hAnsi="Times New Roman" w:cs="Times New Roman"/>
                <w:b/>
                <w:bCs/>
                <w:sz w:val="24"/>
                <w:szCs w:val="24"/>
                <w:lang w:eastAsia="en-IN"/>
              </w:rPr>
              <w:t>Baroh</w:t>
            </w:r>
            <w:proofErr w:type="spellEnd"/>
          </w:p>
        </w:tc>
        <w:tc>
          <w:tcPr>
            <w:tcW w:w="2811" w:type="dxa"/>
            <w:vAlign w:val="center"/>
            <w:hideMark/>
          </w:tcPr>
          <w:p w14:paraId="3F769673"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0.83</w:t>
            </w:r>
          </w:p>
        </w:tc>
        <w:tc>
          <w:tcPr>
            <w:tcW w:w="2173" w:type="dxa"/>
            <w:vAlign w:val="center"/>
            <w:hideMark/>
          </w:tcPr>
          <w:p w14:paraId="43768E85"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0.76</w:t>
            </w:r>
          </w:p>
        </w:tc>
        <w:tc>
          <w:tcPr>
            <w:tcW w:w="3194" w:type="dxa"/>
            <w:vAlign w:val="center"/>
            <w:hideMark/>
          </w:tcPr>
          <w:p w14:paraId="36466EDE"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1.59</w:t>
            </w:r>
          </w:p>
        </w:tc>
      </w:tr>
      <w:tr w:rsidR="00583024" w:rsidRPr="00A92FE1" w14:paraId="1554867D" w14:textId="77777777" w:rsidTr="00FB4CC2">
        <w:trPr>
          <w:jc w:val="center"/>
        </w:trPr>
        <w:tc>
          <w:tcPr>
            <w:tcW w:w="1694" w:type="dxa"/>
            <w:vAlign w:val="center"/>
            <w:hideMark/>
          </w:tcPr>
          <w:p w14:paraId="7DC63FE5"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r w:rsidRPr="00902448">
              <w:rPr>
                <w:rFonts w:ascii="Times New Roman" w:eastAsia="Calibri" w:hAnsi="Times New Roman" w:cs="Times New Roman"/>
                <w:b/>
                <w:bCs/>
                <w:sz w:val="24"/>
                <w:szCs w:val="24"/>
                <w:lang w:eastAsia="en-IN"/>
              </w:rPr>
              <w:t>Jaswan</w:t>
            </w:r>
          </w:p>
        </w:tc>
        <w:tc>
          <w:tcPr>
            <w:tcW w:w="2811" w:type="dxa"/>
            <w:vAlign w:val="center"/>
            <w:hideMark/>
          </w:tcPr>
          <w:p w14:paraId="398E2F99"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0.84</w:t>
            </w:r>
          </w:p>
        </w:tc>
        <w:tc>
          <w:tcPr>
            <w:tcW w:w="2173" w:type="dxa"/>
            <w:vAlign w:val="center"/>
            <w:hideMark/>
          </w:tcPr>
          <w:p w14:paraId="1EC4E0B8"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0.77</w:t>
            </w:r>
          </w:p>
        </w:tc>
        <w:tc>
          <w:tcPr>
            <w:tcW w:w="3194" w:type="dxa"/>
            <w:vAlign w:val="center"/>
            <w:hideMark/>
          </w:tcPr>
          <w:p w14:paraId="01EDA80C"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1.61</w:t>
            </w:r>
          </w:p>
        </w:tc>
      </w:tr>
      <w:tr w:rsidR="00583024" w:rsidRPr="00A92FE1" w14:paraId="3726580E" w14:textId="77777777" w:rsidTr="00FB4CC2">
        <w:trPr>
          <w:jc w:val="center"/>
        </w:trPr>
        <w:tc>
          <w:tcPr>
            <w:tcW w:w="1694" w:type="dxa"/>
            <w:vAlign w:val="center"/>
            <w:hideMark/>
          </w:tcPr>
          <w:p w14:paraId="66B830BE"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902448">
              <w:rPr>
                <w:rFonts w:ascii="Times New Roman" w:eastAsia="Calibri" w:hAnsi="Times New Roman" w:cs="Times New Roman"/>
                <w:b/>
                <w:bCs/>
                <w:sz w:val="24"/>
                <w:szCs w:val="24"/>
                <w:lang w:eastAsia="en-IN"/>
              </w:rPr>
              <w:t>Jawalamukhi</w:t>
            </w:r>
            <w:proofErr w:type="spellEnd"/>
          </w:p>
        </w:tc>
        <w:tc>
          <w:tcPr>
            <w:tcW w:w="2811" w:type="dxa"/>
            <w:vAlign w:val="center"/>
            <w:hideMark/>
          </w:tcPr>
          <w:p w14:paraId="4332D6DE"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0.77</w:t>
            </w:r>
          </w:p>
        </w:tc>
        <w:tc>
          <w:tcPr>
            <w:tcW w:w="2173" w:type="dxa"/>
            <w:vAlign w:val="center"/>
            <w:hideMark/>
          </w:tcPr>
          <w:p w14:paraId="1069E76E"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0.60</w:t>
            </w:r>
          </w:p>
        </w:tc>
        <w:tc>
          <w:tcPr>
            <w:tcW w:w="3194" w:type="dxa"/>
            <w:vAlign w:val="center"/>
            <w:hideMark/>
          </w:tcPr>
          <w:p w14:paraId="49E02633"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1.37</w:t>
            </w:r>
          </w:p>
        </w:tc>
      </w:tr>
      <w:tr w:rsidR="00583024" w:rsidRPr="00A92FE1" w14:paraId="701A756E" w14:textId="77777777" w:rsidTr="00FB4CC2">
        <w:trPr>
          <w:jc w:val="center"/>
        </w:trPr>
        <w:tc>
          <w:tcPr>
            <w:tcW w:w="1694" w:type="dxa"/>
            <w:vAlign w:val="center"/>
            <w:hideMark/>
          </w:tcPr>
          <w:p w14:paraId="550CEFA5"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r w:rsidRPr="00902448">
              <w:rPr>
                <w:rFonts w:ascii="Times New Roman" w:eastAsia="Calibri" w:hAnsi="Times New Roman" w:cs="Times New Roman"/>
                <w:b/>
                <w:bCs/>
                <w:sz w:val="24"/>
                <w:szCs w:val="24"/>
                <w:lang w:eastAsia="en-IN"/>
              </w:rPr>
              <w:t>Dehra</w:t>
            </w:r>
          </w:p>
        </w:tc>
        <w:tc>
          <w:tcPr>
            <w:tcW w:w="2811" w:type="dxa"/>
            <w:vAlign w:val="center"/>
            <w:hideMark/>
          </w:tcPr>
          <w:p w14:paraId="6C526F9F"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0.84</w:t>
            </w:r>
          </w:p>
        </w:tc>
        <w:tc>
          <w:tcPr>
            <w:tcW w:w="2173" w:type="dxa"/>
            <w:vAlign w:val="center"/>
            <w:hideMark/>
          </w:tcPr>
          <w:p w14:paraId="31910912"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0.53</w:t>
            </w:r>
          </w:p>
        </w:tc>
        <w:tc>
          <w:tcPr>
            <w:tcW w:w="3194" w:type="dxa"/>
            <w:vAlign w:val="center"/>
            <w:hideMark/>
          </w:tcPr>
          <w:p w14:paraId="2415B701"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1.37</w:t>
            </w:r>
          </w:p>
        </w:tc>
      </w:tr>
      <w:tr w:rsidR="00583024" w:rsidRPr="00A92FE1" w14:paraId="463C648D" w14:textId="77777777" w:rsidTr="00FB4CC2">
        <w:trPr>
          <w:jc w:val="center"/>
        </w:trPr>
        <w:tc>
          <w:tcPr>
            <w:tcW w:w="1694" w:type="dxa"/>
            <w:vAlign w:val="center"/>
            <w:hideMark/>
          </w:tcPr>
          <w:p w14:paraId="4217F585"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902448">
              <w:rPr>
                <w:rFonts w:ascii="Times New Roman" w:eastAsia="Calibri" w:hAnsi="Times New Roman" w:cs="Times New Roman"/>
                <w:b/>
                <w:bCs/>
                <w:sz w:val="24"/>
                <w:szCs w:val="24"/>
                <w:lang w:eastAsia="en-IN"/>
              </w:rPr>
              <w:t>Daroh</w:t>
            </w:r>
            <w:proofErr w:type="spellEnd"/>
          </w:p>
        </w:tc>
        <w:tc>
          <w:tcPr>
            <w:tcW w:w="2811" w:type="dxa"/>
            <w:vAlign w:val="center"/>
            <w:hideMark/>
          </w:tcPr>
          <w:p w14:paraId="2C32D333"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0.77</w:t>
            </w:r>
          </w:p>
        </w:tc>
        <w:tc>
          <w:tcPr>
            <w:tcW w:w="2173" w:type="dxa"/>
            <w:vAlign w:val="center"/>
            <w:hideMark/>
          </w:tcPr>
          <w:p w14:paraId="34DD03E0"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0.47</w:t>
            </w:r>
          </w:p>
        </w:tc>
        <w:tc>
          <w:tcPr>
            <w:tcW w:w="3194" w:type="dxa"/>
            <w:vAlign w:val="center"/>
            <w:hideMark/>
          </w:tcPr>
          <w:p w14:paraId="1DEA72A2"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1.24</w:t>
            </w:r>
          </w:p>
        </w:tc>
      </w:tr>
      <w:tr w:rsidR="00583024" w:rsidRPr="00A92FE1" w14:paraId="1B3D4F7E" w14:textId="77777777" w:rsidTr="00FB4CC2">
        <w:trPr>
          <w:jc w:val="center"/>
        </w:trPr>
        <w:tc>
          <w:tcPr>
            <w:tcW w:w="1694" w:type="dxa"/>
            <w:vAlign w:val="center"/>
            <w:hideMark/>
          </w:tcPr>
          <w:p w14:paraId="15EA5BCD"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902448">
              <w:rPr>
                <w:rFonts w:ascii="Times New Roman" w:eastAsia="Calibri" w:hAnsi="Times New Roman" w:cs="Times New Roman"/>
                <w:b/>
                <w:bCs/>
                <w:sz w:val="24"/>
                <w:szCs w:val="24"/>
                <w:lang w:eastAsia="en-IN"/>
              </w:rPr>
              <w:t>Thural</w:t>
            </w:r>
            <w:proofErr w:type="spellEnd"/>
          </w:p>
        </w:tc>
        <w:tc>
          <w:tcPr>
            <w:tcW w:w="2811" w:type="dxa"/>
            <w:vAlign w:val="center"/>
            <w:hideMark/>
          </w:tcPr>
          <w:p w14:paraId="5AD0947F"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0.85</w:t>
            </w:r>
          </w:p>
        </w:tc>
        <w:tc>
          <w:tcPr>
            <w:tcW w:w="2173" w:type="dxa"/>
            <w:vAlign w:val="center"/>
            <w:hideMark/>
          </w:tcPr>
          <w:p w14:paraId="0EDDC1DA"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0.63</w:t>
            </w:r>
          </w:p>
        </w:tc>
        <w:tc>
          <w:tcPr>
            <w:tcW w:w="3194" w:type="dxa"/>
            <w:vAlign w:val="center"/>
            <w:hideMark/>
          </w:tcPr>
          <w:p w14:paraId="6C628961"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1.48</w:t>
            </w:r>
          </w:p>
        </w:tc>
      </w:tr>
      <w:tr w:rsidR="00583024" w:rsidRPr="00A92FE1" w14:paraId="18BF0FAE" w14:textId="77777777" w:rsidTr="00FB4CC2">
        <w:trPr>
          <w:jc w:val="center"/>
        </w:trPr>
        <w:tc>
          <w:tcPr>
            <w:tcW w:w="1694" w:type="dxa"/>
            <w:vAlign w:val="center"/>
            <w:hideMark/>
          </w:tcPr>
          <w:p w14:paraId="1A1F54FD" w14:textId="77777777" w:rsidR="00583024" w:rsidRPr="00902448" w:rsidRDefault="00583024" w:rsidP="00FB4CC2">
            <w:pPr>
              <w:spacing w:before="120" w:after="0" w:line="240" w:lineRule="auto"/>
              <w:jc w:val="center"/>
              <w:rPr>
                <w:rFonts w:ascii="Times New Roman" w:eastAsia="Calibri" w:hAnsi="Times New Roman" w:cs="Times New Roman"/>
                <w:b/>
                <w:bCs/>
                <w:sz w:val="24"/>
                <w:szCs w:val="24"/>
                <w:lang w:eastAsia="en-IN"/>
              </w:rPr>
            </w:pPr>
            <w:r w:rsidRPr="00902448">
              <w:rPr>
                <w:rFonts w:ascii="Times New Roman" w:eastAsia="Calibri" w:hAnsi="Times New Roman" w:cs="Times New Roman"/>
                <w:b/>
                <w:bCs/>
                <w:sz w:val="24"/>
                <w:szCs w:val="24"/>
                <w:lang w:eastAsia="en-IN"/>
              </w:rPr>
              <w:t>Palampur</w:t>
            </w:r>
          </w:p>
        </w:tc>
        <w:tc>
          <w:tcPr>
            <w:tcW w:w="2811" w:type="dxa"/>
            <w:vAlign w:val="center"/>
            <w:hideMark/>
          </w:tcPr>
          <w:p w14:paraId="3F0C3AF0"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0.82</w:t>
            </w:r>
          </w:p>
        </w:tc>
        <w:tc>
          <w:tcPr>
            <w:tcW w:w="2173" w:type="dxa"/>
            <w:vAlign w:val="center"/>
            <w:hideMark/>
          </w:tcPr>
          <w:p w14:paraId="533DD889"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0.51</w:t>
            </w:r>
          </w:p>
        </w:tc>
        <w:tc>
          <w:tcPr>
            <w:tcW w:w="3194" w:type="dxa"/>
            <w:vAlign w:val="center"/>
            <w:hideMark/>
          </w:tcPr>
          <w:p w14:paraId="06A8E753"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1.33</w:t>
            </w:r>
          </w:p>
        </w:tc>
      </w:tr>
      <w:tr w:rsidR="00583024" w:rsidRPr="00A92FE1" w14:paraId="4B46CEA3" w14:textId="77777777" w:rsidTr="00FB4CC2">
        <w:trPr>
          <w:jc w:val="center"/>
        </w:trPr>
        <w:tc>
          <w:tcPr>
            <w:tcW w:w="1694" w:type="dxa"/>
            <w:tcBorders>
              <w:top w:val="single" w:sz="4" w:space="0" w:color="auto"/>
              <w:left w:val="nil"/>
              <w:bottom w:val="nil"/>
              <w:right w:val="nil"/>
            </w:tcBorders>
            <w:vAlign w:val="center"/>
            <w:hideMark/>
          </w:tcPr>
          <w:p w14:paraId="74C94659"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SE (±m)</w:t>
            </w:r>
          </w:p>
        </w:tc>
        <w:tc>
          <w:tcPr>
            <w:tcW w:w="2811" w:type="dxa"/>
            <w:tcBorders>
              <w:top w:val="single" w:sz="4" w:space="0" w:color="auto"/>
              <w:left w:val="nil"/>
              <w:bottom w:val="nil"/>
              <w:right w:val="nil"/>
            </w:tcBorders>
            <w:vAlign w:val="center"/>
            <w:hideMark/>
          </w:tcPr>
          <w:p w14:paraId="689CB0C0"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0.03</w:t>
            </w:r>
          </w:p>
        </w:tc>
        <w:tc>
          <w:tcPr>
            <w:tcW w:w="2173" w:type="dxa"/>
            <w:tcBorders>
              <w:top w:val="single" w:sz="4" w:space="0" w:color="auto"/>
              <w:left w:val="nil"/>
              <w:bottom w:val="nil"/>
              <w:right w:val="nil"/>
            </w:tcBorders>
            <w:vAlign w:val="center"/>
            <w:hideMark/>
          </w:tcPr>
          <w:p w14:paraId="5E35AFA8"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0.03</w:t>
            </w:r>
          </w:p>
        </w:tc>
        <w:tc>
          <w:tcPr>
            <w:tcW w:w="3194" w:type="dxa"/>
            <w:tcBorders>
              <w:top w:val="single" w:sz="4" w:space="0" w:color="auto"/>
              <w:left w:val="nil"/>
              <w:bottom w:val="nil"/>
              <w:right w:val="nil"/>
            </w:tcBorders>
            <w:vAlign w:val="center"/>
            <w:hideMark/>
          </w:tcPr>
          <w:p w14:paraId="4CA0AE2D" w14:textId="77777777" w:rsidR="00583024" w:rsidRPr="00A92FE1" w:rsidRDefault="00583024" w:rsidP="00FB4CC2">
            <w:pPr>
              <w:spacing w:before="120" w:after="0" w:line="240" w:lineRule="auto"/>
              <w:ind w:firstLine="612"/>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0.05</w:t>
            </w:r>
          </w:p>
        </w:tc>
      </w:tr>
      <w:tr w:rsidR="00583024" w:rsidRPr="00A92FE1" w14:paraId="02A012C7" w14:textId="77777777" w:rsidTr="00FB4CC2">
        <w:trPr>
          <w:jc w:val="center"/>
        </w:trPr>
        <w:tc>
          <w:tcPr>
            <w:tcW w:w="1694" w:type="dxa"/>
            <w:tcBorders>
              <w:top w:val="nil"/>
              <w:left w:val="nil"/>
              <w:bottom w:val="single" w:sz="12" w:space="0" w:color="auto"/>
              <w:right w:val="nil"/>
            </w:tcBorders>
            <w:vAlign w:val="center"/>
            <w:hideMark/>
          </w:tcPr>
          <w:p w14:paraId="76721855"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 xml:space="preserve">CD (5 </w:t>
            </w:r>
            <w:r w:rsidRPr="00A92FE1">
              <w:rPr>
                <w:rFonts w:ascii="Times New Roman" w:eastAsia="Calibri" w:hAnsi="Times New Roman" w:cs="Times New Roman"/>
                <w:b/>
                <w:bCs/>
                <w:i/>
                <w:sz w:val="24"/>
                <w:szCs w:val="24"/>
                <w:lang w:eastAsia="en-IN"/>
              </w:rPr>
              <w:t>%</w:t>
            </w:r>
            <w:r w:rsidRPr="00A92FE1">
              <w:rPr>
                <w:rFonts w:ascii="Times New Roman" w:eastAsia="Calibri" w:hAnsi="Times New Roman" w:cs="Times New Roman"/>
                <w:b/>
                <w:bCs/>
                <w:sz w:val="24"/>
                <w:szCs w:val="24"/>
                <w:lang w:eastAsia="en-IN"/>
              </w:rPr>
              <w:t>)</w:t>
            </w:r>
          </w:p>
        </w:tc>
        <w:tc>
          <w:tcPr>
            <w:tcW w:w="2811" w:type="dxa"/>
            <w:tcBorders>
              <w:top w:val="nil"/>
              <w:left w:val="nil"/>
              <w:bottom w:val="single" w:sz="12" w:space="0" w:color="auto"/>
              <w:right w:val="nil"/>
            </w:tcBorders>
            <w:vAlign w:val="center"/>
            <w:hideMark/>
          </w:tcPr>
          <w:p w14:paraId="121C5BE9"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0.07</w:t>
            </w:r>
          </w:p>
        </w:tc>
        <w:tc>
          <w:tcPr>
            <w:tcW w:w="2173" w:type="dxa"/>
            <w:tcBorders>
              <w:top w:val="nil"/>
              <w:left w:val="nil"/>
              <w:bottom w:val="single" w:sz="12" w:space="0" w:color="auto"/>
              <w:right w:val="nil"/>
            </w:tcBorders>
            <w:vAlign w:val="center"/>
            <w:hideMark/>
          </w:tcPr>
          <w:p w14:paraId="64FEA3D4"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0.06</w:t>
            </w:r>
          </w:p>
        </w:tc>
        <w:tc>
          <w:tcPr>
            <w:tcW w:w="3194" w:type="dxa"/>
            <w:tcBorders>
              <w:top w:val="nil"/>
              <w:left w:val="nil"/>
              <w:bottom w:val="single" w:sz="12" w:space="0" w:color="auto"/>
              <w:right w:val="nil"/>
            </w:tcBorders>
            <w:vAlign w:val="center"/>
            <w:hideMark/>
          </w:tcPr>
          <w:p w14:paraId="17DFDFF9" w14:textId="77777777" w:rsidR="00583024" w:rsidRPr="00A92FE1" w:rsidRDefault="00583024" w:rsidP="00FB4CC2">
            <w:pPr>
              <w:spacing w:before="120" w:after="0" w:line="240" w:lineRule="auto"/>
              <w:ind w:firstLine="612"/>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0.11</w:t>
            </w:r>
          </w:p>
        </w:tc>
      </w:tr>
    </w:tbl>
    <w:p w14:paraId="4C64AE3F" w14:textId="77777777" w:rsidR="00FB4CC2" w:rsidRPr="00A92FE1" w:rsidRDefault="00FB4CC2" w:rsidP="00FB4CC2">
      <w:pPr>
        <w:autoSpaceDE w:val="0"/>
        <w:autoSpaceDN w:val="0"/>
        <w:adjustRightInd w:val="0"/>
        <w:spacing w:after="0" w:line="360" w:lineRule="auto"/>
        <w:jc w:val="both"/>
        <w:rPr>
          <w:rFonts w:ascii="Times New Roman" w:hAnsi="Times New Roman" w:cs="Times New Roman"/>
          <w:b/>
          <w:sz w:val="24"/>
          <w:szCs w:val="24"/>
        </w:rPr>
      </w:pPr>
    </w:p>
    <w:p w14:paraId="5A9C56E2" w14:textId="59C1634E" w:rsidR="00286BCB" w:rsidRPr="00A92FE1" w:rsidRDefault="00286BCB" w:rsidP="00FB4CC2">
      <w:pPr>
        <w:autoSpaceDE w:val="0"/>
        <w:autoSpaceDN w:val="0"/>
        <w:adjustRightInd w:val="0"/>
        <w:spacing w:after="0" w:line="360" w:lineRule="auto"/>
        <w:jc w:val="both"/>
        <w:rPr>
          <w:rFonts w:ascii="Times New Roman" w:hAnsi="Times New Roman" w:cs="Times New Roman"/>
          <w:b/>
          <w:sz w:val="24"/>
          <w:szCs w:val="24"/>
          <w:lang w:val="en-US"/>
        </w:rPr>
      </w:pPr>
      <w:r w:rsidRPr="00A92FE1">
        <w:rPr>
          <w:rFonts w:ascii="Times New Roman" w:hAnsi="Times New Roman" w:cs="Times New Roman"/>
          <w:b/>
          <w:sz w:val="24"/>
          <w:szCs w:val="24"/>
        </w:rPr>
        <w:t>3.5</w:t>
      </w:r>
      <w:r w:rsidR="00FB4CC2">
        <w:rPr>
          <w:rFonts w:ascii="Times New Roman" w:hAnsi="Times New Roman" w:cs="Times New Roman"/>
          <w:b/>
          <w:sz w:val="24"/>
          <w:szCs w:val="24"/>
        </w:rPr>
        <w:tab/>
      </w:r>
      <w:r w:rsidRPr="00A92FE1">
        <w:rPr>
          <w:rFonts w:ascii="Times New Roman" w:hAnsi="Times New Roman" w:cs="Times New Roman"/>
          <w:b/>
          <w:sz w:val="24"/>
          <w:szCs w:val="24"/>
          <w:lang w:val="en-US"/>
        </w:rPr>
        <w:t>Carotenoid, Ascorbic acid, and Antioxidant activity</w:t>
      </w:r>
    </w:p>
    <w:p w14:paraId="20FFB6C1" w14:textId="5854933C" w:rsidR="00286BCB" w:rsidRPr="00A92FE1" w:rsidRDefault="00286BCB" w:rsidP="00FB4CC2">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92FE1">
        <w:rPr>
          <w:rFonts w:ascii="Times New Roman" w:hAnsi="Times New Roman" w:cs="Times New Roman"/>
          <w:bCs/>
          <w:sz w:val="24"/>
          <w:szCs w:val="24"/>
        </w:rPr>
        <w:t xml:space="preserve">The total carotenoid content in different collections of </w:t>
      </w:r>
      <w:r w:rsidRPr="00A92FE1">
        <w:rPr>
          <w:rFonts w:ascii="Times New Roman" w:hAnsi="Times New Roman" w:cs="Times New Roman"/>
          <w:bCs/>
          <w:i/>
          <w:iCs/>
          <w:sz w:val="24"/>
          <w:szCs w:val="24"/>
        </w:rPr>
        <w:t>C</w:t>
      </w:r>
      <w:r w:rsidR="004126A8" w:rsidRPr="00A92FE1">
        <w:rPr>
          <w:rFonts w:ascii="Times New Roman" w:hAnsi="Times New Roman" w:cs="Times New Roman"/>
          <w:bCs/>
          <w:i/>
          <w:iCs/>
          <w:sz w:val="24"/>
          <w:szCs w:val="24"/>
        </w:rPr>
        <w:t>.</w:t>
      </w:r>
      <w:r w:rsidRPr="00A92FE1">
        <w:rPr>
          <w:rFonts w:ascii="Times New Roman" w:hAnsi="Times New Roman" w:cs="Times New Roman"/>
          <w:bCs/>
          <w:i/>
          <w:iCs/>
          <w:sz w:val="24"/>
          <w:szCs w:val="24"/>
        </w:rPr>
        <w:t xml:space="preserve"> ambrosioides</w:t>
      </w:r>
      <w:r w:rsidRPr="00A92FE1">
        <w:rPr>
          <w:rFonts w:ascii="Times New Roman" w:hAnsi="Times New Roman" w:cs="Times New Roman"/>
          <w:bCs/>
          <w:sz w:val="24"/>
          <w:szCs w:val="24"/>
        </w:rPr>
        <w:t xml:space="preserve"> ranged from 13.33 to 23.87 µg/g, with the highest value recorded in </w:t>
      </w:r>
      <w:proofErr w:type="spellStart"/>
      <w:r w:rsidRPr="00A92FE1">
        <w:rPr>
          <w:rFonts w:ascii="Times New Roman" w:hAnsi="Times New Roman" w:cs="Times New Roman"/>
          <w:bCs/>
          <w:sz w:val="24"/>
          <w:szCs w:val="24"/>
        </w:rPr>
        <w:t>Harchkiyan</w:t>
      </w:r>
      <w:proofErr w:type="spellEnd"/>
      <w:r w:rsidRPr="00A92FE1">
        <w:rPr>
          <w:rFonts w:ascii="Times New Roman" w:hAnsi="Times New Roman" w:cs="Times New Roman"/>
          <w:bCs/>
          <w:sz w:val="24"/>
          <w:szCs w:val="24"/>
        </w:rPr>
        <w:t xml:space="preserve"> and the lowest in </w:t>
      </w:r>
      <w:proofErr w:type="spellStart"/>
      <w:r w:rsidRPr="00A92FE1">
        <w:rPr>
          <w:rFonts w:ascii="Times New Roman" w:hAnsi="Times New Roman" w:cs="Times New Roman"/>
          <w:bCs/>
          <w:sz w:val="24"/>
          <w:szCs w:val="24"/>
        </w:rPr>
        <w:t>Nurpur</w:t>
      </w:r>
      <w:proofErr w:type="spellEnd"/>
      <w:r w:rsidRPr="00A92FE1">
        <w:rPr>
          <w:rFonts w:ascii="Times New Roman" w:hAnsi="Times New Roman" w:cs="Times New Roman"/>
          <w:bCs/>
          <w:sz w:val="24"/>
          <w:szCs w:val="24"/>
        </w:rPr>
        <w:t xml:space="preserve"> (</w:t>
      </w:r>
      <w:r w:rsidRPr="00A92FE1">
        <w:rPr>
          <w:rFonts w:ascii="Times New Roman" w:hAnsi="Times New Roman" w:cs="Times New Roman"/>
          <w:bCs/>
          <w:color w:val="000000" w:themeColor="text1"/>
          <w:sz w:val="24"/>
          <w:szCs w:val="24"/>
        </w:rPr>
        <w:t xml:space="preserve">Table 3). </w:t>
      </w:r>
      <w:proofErr w:type="spellStart"/>
      <w:r w:rsidR="002F2590">
        <w:rPr>
          <w:rFonts w:ascii="Times New Roman" w:hAnsi="Times New Roman" w:cs="Times New Roman"/>
          <w:bCs/>
          <w:color w:val="000000" w:themeColor="text1"/>
          <w:sz w:val="24"/>
          <w:szCs w:val="24"/>
        </w:rPr>
        <w:t>H</w:t>
      </w:r>
      <w:r w:rsidR="002F2590" w:rsidRPr="002F2590">
        <w:rPr>
          <w:rFonts w:ascii="Times New Roman" w:hAnsi="Times New Roman" w:cs="Times New Roman"/>
          <w:bCs/>
          <w:color w:val="000000" w:themeColor="text1"/>
          <w:sz w:val="24"/>
          <w:szCs w:val="24"/>
        </w:rPr>
        <w:t>archkiyan</w:t>
      </w:r>
      <w:proofErr w:type="spellEnd"/>
      <w:r w:rsidR="002F2590" w:rsidRPr="002F2590">
        <w:rPr>
          <w:rFonts w:ascii="Times New Roman" w:hAnsi="Times New Roman" w:cs="Times New Roman"/>
          <w:bCs/>
          <w:color w:val="000000" w:themeColor="text1"/>
          <w:sz w:val="24"/>
          <w:szCs w:val="24"/>
        </w:rPr>
        <w:t xml:space="preserve"> had significantly higher carotenoid content (p &lt; 0.05) than </w:t>
      </w:r>
      <w:proofErr w:type="spellStart"/>
      <w:r w:rsidR="002F2590">
        <w:rPr>
          <w:rFonts w:ascii="Times New Roman" w:hAnsi="Times New Roman" w:cs="Times New Roman"/>
          <w:bCs/>
          <w:color w:val="000000" w:themeColor="text1"/>
          <w:sz w:val="24"/>
          <w:szCs w:val="24"/>
        </w:rPr>
        <w:t>N</w:t>
      </w:r>
      <w:r w:rsidR="002F2590" w:rsidRPr="002F2590">
        <w:rPr>
          <w:rFonts w:ascii="Times New Roman" w:hAnsi="Times New Roman" w:cs="Times New Roman"/>
          <w:bCs/>
          <w:color w:val="000000" w:themeColor="text1"/>
          <w:sz w:val="24"/>
          <w:szCs w:val="24"/>
        </w:rPr>
        <w:t>urpur</w:t>
      </w:r>
      <w:proofErr w:type="spellEnd"/>
      <w:r w:rsidR="002F2590" w:rsidRPr="002F2590">
        <w:rPr>
          <w:rFonts w:ascii="Times New Roman" w:hAnsi="Times New Roman" w:cs="Times New Roman"/>
          <w:bCs/>
          <w:color w:val="000000" w:themeColor="text1"/>
          <w:sz w:val="24"/>
          <w:szCs w:val="24"/>
        </w:rPr>
        <w:t>. this may be due to altitude-related light stress, which induces carotenoid biosynthesis for photoprotection</w:t>
      </w:r>
      <w:r w:rsidR="002F2590">
        <w:rPr>
          <w:rFonts w:ascii="Times New Roman" w:hAnsi="Times New Roman" w:cs="Times New Roman"/>
          <w:bCs/>
          <w:color w:val="000000" w:themeColor="text1"/>
          <w:sz w:val="24"/>
          <w:szCs w:val="24"/>
        </w:rPr>
        <w:t xml:space="preserve">. </w:t>
      </w:r>
      <w:r w:rsidRPr="00A92FE1">
        <w:rPr>
          <w:rFonts w:ascii="Times New Roman" w:hAnsi="Times New Roman" w:cs="Times New Roman"/>
          <w:bCs/>
          <w:color w:val="000000" w:themeColor="text1"/>
          <w:sz w:val="24"/>
          <w:szCs w:val="24"/>
        </w:rPr>
        <w:t>Variations in carotenoid levels may be attributed to differences in light intensity, altitude, and temperature across locations, as these factors regulate carotenoid biosynthesis and stability.</w:t>
      </w:r>
    </w:p>
    <w:p w14:paraId="0D12CB28" w14:textId="79690B80" w:rsidR="00286BCB" w:rsidRPr="00A92FE1" w:rsidRDefault="00286BCB" w:rsidP="00FB4CC2">
      <w:pPr>
        <w:autoSpaceDE w:val="0"/>
        <w:autoSpaceDN w:val="0"/>
        <w:adjustRightInd w:val="0"/>
        <w:spacing w:after="0" w:line="360" w:lineRule="auto"/>
        <w:ind w:firstLine="720"/>
        <w:jc w:val="both"/>
        <w:rPr>
          <w:rFonts w:ascii="Times New Roman" w:hAnsi="Times New Roman" w:cs="Times New Roman"/>
          <w:bCs/>
          <w:sz w:val="24"/>
          <w:szCs w:val="24"/>
        </w:rPr>
      </w:pPr>
      <w:r w:rsidRPr="00A92FE1">
        <w:rPr>
          <w:rFonts w:ascii="Times New Roman" w:hAnsi="Times New Roman" w:cs="Times New Roman"/>
          <w:bCs/>
          <w:color w:val="000000" w:themeColor="text1"/>
          <w:sz w:val="24"/>
          <w:szCs w:val="24"/>
        </w:rPr>
        <w:lastRenderedPageBreak/>
        <w:t xml:space="preserve">Similarly, the vitamin C content, which plays an important role in human nutrition, exhibited noticeable variability among the collections (Table 3). The ascorbic acid content ranged from 7.25 to 17.29 mg/100 g, </w:t>
      </w:r>
      <w:r w:rsidR="00441CB5">
        <w:rPr>
          <w:rFonts w:ascii="Times New Roman" w:hAnsi="Times New Roman" w:cs="Times New Roman"/>
          <w:bCs/>
          <w:color w:val="000000" w:themeColor="text1"/>
          <w:sz w:val="24"/>
          <w:szCs w:val="24"/>
        </w:rPr>
        <w:t xml:space="preserve">with </w:t>
      </w:r>
      <w:proofErr w:type="spellStart"/>
      <w:r w:rsidR="00441CB5">
        <w:rPr>
          <w:rFonts w:ascii="Times New Roman" w:hAnsi="Times New Roman" w:cs="Times New Roman"/>
          <w:bCs/>
          <w:color w:val="000000" w:themeColor="text1"/>
          <w:sz w:val="24"/>
          <w:szCs w:val="24"/>
        </w:rPr>
        <w:t>J</w:t>
      </w:r>
      <w:r w:rsidR="00441CB5" w:rsidRPr="00441CB5">
        <w:rPr>
          <w:rFonts w:ascii="Times New Roman" w:hAnsi="Times New Roman" w:cs="Times New Roman"/>
          <w:bCs/>
          <w:color w:val="000000" w:themeColor="text1"/>
          <w:sz w:val="24"/>
          <w:szCs w:val="24"/>
        </w:rPr>
        <w:t>awalamukhi</w:t>
      </w:r>
      <w:proofErr w:type="spellEnd"/>
      <w:r w:rsidR="00441CB5" w:rsidRPr="00441CB5">
        <w:rPr>
          <w:rFonts w:ascii="Times New Roman" w:hAnsi="Times New Roman" w:cs="Times New Roman"/>
          <w:bCs/>
          <w:color w:val="000000" w:themeColor="text1"/>
          <w:sz w:val="24"/>
          <w:szCs w:val="24"/>
        </w:rPr>
        <w:t xml:space="preserve"> showed significantly higher ascorbic acid (p &lt; 0.05) than </w:t>
      </w:r>
      <w:r w:rsidR="00441CB5">
        <w:rPr>
          <w:rFonts w:ascii="Times New Roman" w:hAnsi="Times New Roman" w:cs="Times New Roman"/>
          <w:bCs/>
          <w:color w:val="000000" w:themeColor="text1"/>
          <w:sz w:val="24"/>
          <w:szCs w:val="24"/>
        </w:rPr>
        <w:t>S</w:t>
      </w:r>
      <w:r w:rsidR="00441CB5" w:rsidRPr="00441CB5">
        <w:rPr>
          <w:rFonts w:ascii="Times New Roman" w:hAnsi="Times New Roman" w:cs="Times New Roman"/>
          <w:bCs/>
          <w:color w:val="000000" w:themeColor="text1"/>
          <w:sz w:val="24"/>
          <w:szCs w:val="24"/>
        </w:rPr>
        <w:t xml:space="preserve">hahpur. </w:t>
      </w:r>
      <w:r w:rsidR="00441CB5">
        <w:rPr>
          <w:rFonts w:ascii="Times New Roman" w:hAnsi="Times New Roman" w:cs="Times New Roman"/>
          <w:bCs/>
          <w:color w:val="000000" w:themeColor="text1"/>
          <w:sz w:val="24"/>
          <w:szCs w:val="24"/>
        </w:rPr>
        <w:t>T</w:t>
      </w:r>
      <w:r w:rsidR="00441CB5" w:rsidRPr="00441CB5">
        <w:rPr>
          <w:rFonts w:ascii="Times New Roman" w:hAnsi="Times New Roman" w:cs="Times New Roman"/>
          <w:bCs/>
          <w:color w:val="000000" w:themeColor="text1"/>
          <w:sz w:val="24"/>
          <w:szCs w:val="24"/>
        </w:rPr>
        <w:t>his variation could be linked to differences in oxidative stress across locations, as ascorbate is a primary non-enzymatic antioxidant.</w:t>
      </w:r>
      <w:r w:rsidR="00441CB5">
        <w:rPr>
          <w:rFonts w:ascii="Times New Roman" w:hAnsi="Times New Roman" w:cs="Times New Roman"/>
          <w:bCs/>
          <w:color w:val="000000" w:themeColor="text1"/>
          <w:sz w:val="24"/>
          <w:szCs w:val="24"/>
        </w:rPr>
        <w:t xml:space="preserve"> </w:t>
      </w:r>
      <w:r w:rsidRPr="00A92FE1">
        <w:rPr>
          <w:rFonts w:ascii="Times New Roman" w:hAnsi="Times New Roman" w:cs="Times New Roman"/>
          <w:bCs/>
          <w:color w:val="000000" w:themeColor="text1"/>
          <w:sz w:val="24"/>
          <w:szCs w:val="24"/>
        </w:rPr>
        <w:t xml:space="preserve">These values are comparable to the findings of Barros et al. (2013), who reported approximately 20 mg/100 g of ascorbic acid in </w:t>
      </w:r>
      <w:r w:rsidRPr="00A92FE1">
        <w:rPr>
          <w:rFonts w:ascii="Times New Roman" w:hAnsi="Times New Roman" w:cs="Times New Roman"/>
          <w:bCs/>
          <w:i/>
          <w:iCs/>
          <w:color w:val="000000" w:themeColor="text1"/>
          <w:sz w:val="24"/>
          <w:szCs w:val="24"/>
        </w:rPr>
        <w:t>C. ambrosioides</w:t>
      </w:r>
      <w:r w:rsidRPr="00A92FE1">
        <w:rPr>
          <w:rFonts w:ascii="Times New Roman" w:hAnsi="Times New Roman" w:cs="Times New Roman"/>
          <w:bCs/>
          <w:color w:val="000000" w:themeColor="text1"/>
          <w:sz w:val="24"/>
          <w:szCs w:val="24"/>
        </w:rPr>
        <w:t xml:space="preserve"> leaves</w:t>
      </w:r>
      <w:r w:rsidRPr="00A92FE1">
        <w:rPr>
          <w:rFonts w:ascii="Times New Roman" w:hAnsi="Times New Roman" w:cs="Times New Roman"/>
          <w:bCs/>
          <w:sz w:val="24"/>
          <w:szCs w:val="24"/>
        </w:rPr>
        <w:t>. The variation in vitamin C content could be influenced by genetic differences, environmental stress, and post-harvest conditions, as these factors affect ascorbate synthesis and retention in leaves.</w:t>
      </w:r>
      <w:r w:rsidR="00DB4EAB" w:rsidRPr="00A92FE1">
        <w:rPr>
          <w:rFonts w:ascii="Times New Roman" w:hAnsi="Times New Roman" w:cs="Times New Roman"/>
          <w:bCs/>
          <w:sz w:val="24"/>
          <w:szCs w:val="24"/>
        </w:rPr>
        <w:t xml:space="preserve"> </w:t>
      </w:r>
    </w:p>
    <w:p w14:paraId="2508641F" w14:textId="7447847E" w:rsidR="00286BCB" w:rsidRPr="00A92FE1" w:rsidRDefault="00286BCB" w:rsidP="00FB4CC2">
      <w:pPr>
        <w:autoSpaceDE w:val="0"/>
        <w:autoSpaceDN w:val="0"/>
        <w:adjustRightInd w:val="0"/>
        <w:spacing w:after="0" w:line="360" w:lineRule="auto"/>
        <w:ind w:firstLine="720"/>
        <w:jc w:val="both"/>
        <w:rPr>
          <w:rFonts w:ascii="Times New Roman" w:hAnsi="Times New Roman" w:cs="Times New Roman"/>
          <w:bCs/>
          <w:sz w:val="24"/>
          <w:szCs w:val="24"/>
        </w:rPr>
      </w:pPr>
      <w:r w:rsidRPr="00A92FE1">
        <w:rPr>
          <w:rFonts w:ascii="Times New Roman" w:hAnsi="Times New Roman" w:cs="Times New Roman"/>
          <w:bCs/>
          <w:sz w:val="24"/>
          <w:szCs w:val="24"/>
        </w:rPr>
        <w:t xml:space="preserve">Antioxidant activity, expressed in terms of IC₅₀ value, also showed significant variation across the collections, ranging from 4.53 to 9.18 µg/ml </w:t>
      </w:r>
      <w:r w:rsidRPr="00A92FE1">
        <w:rPr>
          <w:rFonts w:ascii="Times New Roman" w:hAnsi="Times New Roman" w:cs="Times New Roman"/>
          <w:bCs/>
          <w:color w:val="000000" w:themeColor="text1"/>
          <w:sz w:val="24"/>
          <w:szCs w:val="24"/>
        </w:rPr>
        <w:t>(Table 3).</w:t>
      </w:r>
      <w:r w:rsidR="00B8129C">
        <w:rPr>
          <w:rFonts w:ascii="Times New Roman" w:hAnsi="Times New Roman" w:cs="Times New Roman"/>
          <w:bCs/>
          <w:color w:val="000000" w:themeColor="text1"/>
          <w:sz w:val="24"/>
          <w:szCs w:val="24"/>
        </w:rPr>
        <w:t xml:space="preserve"> </w:t>
      </w:r>
      <w:proofErr w:type="spellStart"/>
      <w:r w:rsidR="00B8129C">
        <w:rPr>
          <w:rFonts w:ascii="Times New Roman" w:hAnsi="Times New Roman" w:cs="Times New Roman"/>
          <w:bCs/>
          <w:color w:val="000000" w:themeColor="text1"/>
          <w:sz w:val="24"/>
          <w:szCs w:val="24"/>
        </w:rPr>
        <w:t>J</w:t>
      </w:r>
      <w:r w:rsidR="00B8129C" w:rsidRPr="00B8129C">
        <w:rPr>
          <w:rFonts w:ascii="Times New Roman" w:hAnsi="Times New Roman" w:cs="Times New Roman"/>
          <w:bCs/>
          <w:color w:val="000000" w:themeColor="text1"/>
          <w:sz w:val="24"/>
          <w:szCs w:val="24"/>
        </w:rPr>
        <w:t>awalamukhi</w:t>
      </w:r>
      <w:proofErr w:type="spellEnd"/>
      <w:r w:rsidR="00B8129C" w:rsidRPr="00B8129C">
        <w:rPr>
          <w:rFonts w:ascii="Times New Roman" w:hAnsi="Times New Roman" w:cs="Times New Roman"/>
          <w:bCs/>
          <w:color w:val="000000" w:themeColor="text1"/>
          <w:sz w:val="24"/>
          <w:szCs w:val="24"/>
        </w:rPr>
        <w:t xml:space="preserve"> antioxidant activity (lower </w:t>
      </w:r>
      <w:r w:rsidR="00317A6D">
        <w:rPr>
          <w:rFonts w:ascii="Times New Roman" w:hAnsi="Times New Roman" w:cs="Times New Roman"/>
          <w:bCs/>
          <w:color w:val="000000" w:themeColor="text1"/>
          <w:sz w:val="24"/>
          <w:szCs w:val="24"/>
        </w:rPr>
        <w:t>IC</w:t>
      </w:r>
      <w:r w:rsidR="00B8129C" w:rsidRPr="00B8129C">
        <w:rPr>
          <w:rFonts w:ascii="Times New Roman" w:hAnsi="Times New Roman" w:cs="Times New Roman"/>
          <w:bCs/>
          <w:color w:val="000000" w:themeColor="text1"/>
          <w:sz w:val="24"/>
          <w:szCs w:val="24"/>
        </w:rPr>
        <w:t xml:space="preserve">₅₀) was significantly higher (p &lt; 0.05) than </w:t>
      </w:r>
      <w:proofErr w:type="spellStart"/>
      <w:r w:rsidR="00B8129C">
        <w:rPr>
          <w:rFonts w:ascii="Times New Roman" w:hAnsi="Times New Roman" w:cs="Times New Roman"/>
          <w:bCs/>
          <w:color w:val="000000" w:themeColor="text1"/>
          <w:sz w:val="24"/>
          <w:szCs w:val="24"/>
        </w:rPr>
        <w:t>N</w:t>
      </w:r>
      <w:r w:rsidR="00B8129C" w:rsidRPr="00B8129C">
        <w:rPr>
          <w:rFonts w:ascii="Times New Roman" w:hAnsi="Times New Roman" w:cs="Times New Roman"/>
          <w:bCs/>
          <w:color w:val="000000" w:themeColor="text1"/>
          <w:sz w:val="24"/>
          <w:szCs w:val="24"/>
        </w:rPr>
        <w:t>urpur</w:t>
      </w:r>
      <w:proofErr w:type="spellEnd"/>
      <w:r w:rsidR="00B8129C" w:rsidRPr="00B8129C">
        <w:rPr>
          <w:rFonts w:ascii="Times New Roman" w:hAnsi="Times New Roman" w:cs="Times New Roman"/>
          <w:bCs/>
          <w:color w:val="000000" w:themeColor="text1"/>
          <w:sz w:val="24"/>
          <w:szCs w:val="24"/>
        </w:rPr>
        <w:t>. this strong antioxidant potential may be correlated with its high ascorbic acid and moderate phenolic content, suggesting synergistic effects of multiple bioactive compounds.</w:t>
      </w:r>
      <w:r w:rsidRPr="00A92FE1">
        <w:rPr>
          <w:rFonts w:ascii="Times New Roman" w:hAnsi="Times New Roman" w:cs="Times New Roman"/>
          <w:bCs/>
          <w:color w:val="000000" w:themeColor="text1"/>
          <w:sz w:val="24"/>
          <w:szCs w:val="24"/>
        </w:rPr>
        <w:t xml:space="preserve"> Silva et al. (2017) reported a higher antioxidant potential in </w:t>
      </w:r>
      <w:r w:rsidRPr="00A92FE1">
        <w:rPr>
          <w:rFonts w:ascii="Times New Roman" w:hAnsi="Times New Roman" w:cs="Times New Roman"/>
          <w:bCs/>
          <w:i/>
          <w:iCs/>
          <w:color w:val="000000" w:themeColor="text1"/>
          <w:sz w:val="24"/>
          <w:szCs w:val="24"/>
        </w:rPr>
        <w:t>C. ambrosioides</w:t>
      </w:r>
      <w:r w:rsidRPr="00A92FE1">
        <w:rPr>
          <w:rFonts w:ascii="Times New Roman" w:hAnsi="Times New Roman" w:cs="Times New Roman"/>
          <w:bCs/>
          <w:color w:val="000000" w:themeColor="text1"/>
          <w:sz w:val="24"/>
          <w:szCs w:val="24"/>
        </w:rPr>
        <w:t xml:space="preserve"> leaves (IC₅₀ = 0.64 ± 0.04 </w:t>
      </w:r>
      <w:proofErr w:type="spellStart"/>
      <w:r w:rsidRPr="00A92FE1">
        <w:rPr>
          <w:rFonts w:ascii="Times New Roman" w:hAnsi="Times New Roman" w:cs="Times New Roman"/>
          <w:bCs/>
          <w:color w:val="000000" w:themeColor="text1"/>
          <w:sz w:val="24"/>
          <w:szCs w:val="24"/>
        </w:rPr>
        <w:t>μg</w:t>
      </w:r>
      <w:proofErr w:type="spellEnd"/>
      <w:r w:rsidRPr="00A92FE1">
        <w:rPr>
          <w:rFonts w:ascii="Times New Roman" w:hAnsi="Times New Roman" w:cs="Times New Roman"/>
          <w:bCs/>
          <w:color w:val="000000" w:themeColor="text1"/>
          <w:sz w:val="24"/>
          <w:szCs w:val="24"/>
        </w:rPr>
        <w:t xml:space="preserve">/ml), which is lower </w:t>
      </w:r>
      <w:r w:rsidRPr="00A92FE1">
        <w:rPr>
          <w:rFonts w:ascii="Times New Roman" w:hAnsi="Times New Roman" w:cs="Times New Roman"/>
          <w:bCs/>
          <w:sz w:val="24"/>
          <w:szCs w:val="24"/>
        </w:rPr>
        <w:t>than the values obtained in this study. This difference could be due to variations in phytochemical composition, extraction efficiency, and environmental growing conditions, all of which influence the antioxidant capacity of plant tissues.</w:t>
      </w:r>
    </w:p>
    <w:p w14:paraId="4B05166A" w14:textId="1C0F35BE" w:rsidR="0040310A" w:rsidRPr="00A92FE1" w:rsidRDefault="0040310A" w:rsidP="0040310A">
      <w:pPr>
        <w:autoSpaceDE w:val="0"/>
        <w:autoSpaceDN w:val="0"/>
        <w:adjustRightInd w:val="0"/>
        <w:spacing w:before="120" w:after="120" w:line="360" w:lineRule="auto"/>
        <w:jc w:val="both"/>
        <w:rPr>
          <w:rFonts w:ascii="Times New Roman" w:hAnsi="Times New Roman" w:cs="Times New Roman"/>
          <w:bCs/>
          <w:i/>
          <w:sz w:val="24"/>
          <w:szCs w:val="24"/>
          <w:lang w:val="en-US"/>
        </w:rPr>
      </w:pPr>
      <w:r w:rsidRPr="00A92FE1">
        <w:rPr>
          <w:rFonts w:ascii="Times New Roman" w:hAnsi="Times New Roman" w:cs="Times New Roman"/>
          <w:b/>
          <w:bCs/>
          <w:sz w:val="24"/>
          <w:szCs w:val="24"/>
          <w:lang w:val="en-US"/>
        </w:rPr>
        <w:t xml:space="preserve">Table.3. </w:t>
      </w:r>
      <w:r w:rsidRPr="00A92FE1">
        <w:rPr>
          <w:rFonts w:ascii="Times New Roman" w:hAnsi="Times New Roman" w:cs="Times New Roman"/>
          <w:bCs/>
          <w:sz w:val="24"/>
          <w:szCs w:val="24"/>
          <w:lang w:val="en-US"/>
        </w:rPr>
        <w:t xml:space="preserve">Variation in Total Carotenoid, Ascorbic acid, and Antioxidant activity in </w:t>
      </w:r>
      <w:r w:rsidRPr="00A92FE1">
        <w:rPr>
          <w:rFonts w:ascii="Times New Roman" w:hAnsi="Times New Roman" w:cs="Times New Roman"/>
          <w:bCs/>
          <w:i/>
          <w:sz w:val="24"/>
          <w:szCs w:val="24"/>
          <w:lang w:val="en-US"/>
        </w:rPr>
        <w:t>Chenopodium ambrosioides</w:t>
      </w:r>
    </w:p>
    <w:tbl>
      <w:tblPr>
        <w:tblW w:w="9731" w:type="dxa"/>
        <w:tblLayout w:type="fixed"/>
        <w:tblLook w:val="04A0" w:firstRow="1" w:lastRow="0" w:firstColumn="1" w:lastColumn="0" w:noHBand="0" w:noVBand="1"/>
      </w:tblPr>
      <w:tblGrid>
        <w:gridCol w:w="1698"/>
        <w:gridCol w:w="2164"/>
        <w:gridCol w:w="2426"/>
        <w:gridCol w:w="3443"/>
      </w:tblGrid>
      <w:tr w:rsidR="0040310A" w:rsidRPr="00A92FE1" w14:paraId="221013BB" w14:textId="77777777" w:rsidTr="00FB4CC2">
        <w:trPr>
          <w:trHeight w:val="915"/>
        </w:trPr>
        <w:tc>
          <w:tcPr>
            <w:tcW w:w="1698" w:type="dxa"/>
            <w:tcBorders>
              <w:top w:val="single" w:sz="12" w:space="0" w:color="auto"/>
              <w:left w:val="nil"/>
              <w:bottom w:val="single" w:sz="12" w:space="0" w:color="auto"/>
              <w:right w:val="nil"/>
            </w:tcBorders>
            <w:vAlign w:val="center"/>
            <w:hideMark/>
          </w:tcPr>
          <w:p w14:paraId="28D546CB" w14:textId="3E2ABFD2" w:rsidR="0040310A" w:rsidRPr="00FB4CC2" w:rsidRDefault="0040310A" w:rsidP="00FB4CC2">
            <w:pPr>
              <w:spacing w:after="0" w:line="240" w:lineRule="auto"/>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Collections</w:t>
            </w:r>
          </w:p>
          <w:p w14:paraId="1909A7C0" w14:textId="090DBE59" w:rsidR="0040310A" w:rsidRPr="00FB4CC2" w:rsidRDefault="0040310A" w:rsidP="00FB4CC2">
            <w:pPr>
              <w:spacing w:after="0" w:line="240" w:lineRule="auto"/>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Name</w:t>
            </w:r>
          </w:p>
        </w:tc>
        <w:tc>
          <w:tcPr>
            <w:tcW w:w="2164" w:type="dxa"/>
            <w:tcBorders>
              <w:top w:val="single" w:sz="12" w:space="0" w:color="auto"/>
              <w:left w:val="nil"/>
              <w:bottom w:val="single" w:sz="12" w:space="0" w:color="auto"/>
              <w:right w:val="nil"/>
            </w:tcBorders>
            <w:vAlign w:val="center"/>
            <w:hideMark/>
          </w:tcPr>
          <w:p w14:paraId="2275279A" w14:textId="6F4C14C0" w:rsidR="0040310A" w:rsidRPr="00FB4CC2" w:rsidRDefault="0040310A" w:rsidP="00FB4CC2">
            <w:pPr>
              <w:spacing w:after="0" w:line="240" w:lineRule="auto"/>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Total Carotenoid</w:t>
            </w:r>
          </w:p>
          <w:p w14:paraId="037CF0ED" w14:textId="54C50156" w:rsidR="0040310A" w:rsidRPr="00FB4CC2" w:rsidRDefault="0040310A" w:rsidP="00FB4CC2">
            <w:pPr>
              <w:spacing w:after="0" w:line="240" w:lineRule="auto"/>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(µg/g)</w:t>
            </w:r>
          </w:p>
        </w:tc>
        <w:tc>
          <w:tcPr>
            <w:tcW w:w="2426" w:type="dxa"/>
            <w:tcBorders>
              <w:top w:val="single" w:sz="12" w:space="0" w:color="auto"/>
              <w:left w:val="nil"/>
              <w:bottom w:val="single" w:sz="12" w:space="0" w:color="auto"/>
              <w:right w:val="nil"/>
            </w:tcBorders>
            <w:vAlign w:val="center"/>
            <w:hideMark/>
          </w:tcPr>
          <w:p w14:paraId="6B336D7E" w14:textId="77777777" w:rsidR="0040310A" w:rsidRPr="00FB4CC2" w:rsidRDefault="0040310A" w:rsidP="00FB4CC2">
            <w:pPr>
              <w:spacing w:after="0" w:line="240" w:lineRule="auto"/>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Ascorbic acid (mg/100g)</w:t>
            </w:r>
          </w:p>
        </w:tc>
        <w:tc>
          <w:tcPr>
            <w:tcW w:w="3443" w:type="dxa"/>
            <w:tcBorders>
              <w:top w:val="single" w:sz="12" w:space="0" w:color="auto"/>
              <w:left w:val="nil"/>
              <w:bottom w:val="single" w:sz="12" w:space="0" w:color="auto"/>
              <w:right w:val="nil"/>
            </w:tcBorders>
            <w:vAlign w:val="center"/>
          </w:tcPr>
          <w:p w14:paraId="2EFC59DC" w14:textId="24D11630" w:rsidR="0040310A" w:rsidRPr="00FB4CC2" w:rsidRDefault="0040310A" w:rsidP="00FB4CC2">
            <w:pPr>
              <w:tabs>
                <w:tab w:val="left" w:pos="2570"/>
              </w:tabs>
              <w:spacing w:after="0" w:line="240" w:lineRule="auto"/>
              <w:ind w:left="518" w:right="522" w:hanging="598"/>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 xml:space="preserve">Antioxidant activity </w:t>
            </w:r>
            <w:r w:rsidRPr="00FB4CC2">
              <w:rPr>
                <w:rFonts w:ascii="Times New Roman" w:eastAsia="Times New Roman" w:hAnsi="Times New Roman" w:cs="Times New Roman"/>
                <w:b/>
                <w:sz w:val="24"/>
                <w:szCs w:val="24"/>
              </w:rPr>
              <w:t>IC</w:t>
            </w:r>
            <w:r w:rsidRPr="00FB4CC2">
              <w:rPr>
                <w:rFonts w:ascii="Times New Roman" w:eastAsia="Times New Roman" w:hAnsi="Times New Roman" w:cs="Times New Roman"/>
                <w:b/>
                <w:sz w:val="24"/>
                <w:szCs w:val="24"/>
                <w:vertAlign w:val="subscript"/>
              </w:rPr>
              <w:t xml:space="preserve">50 </w:t>
            </w:r>
            <w:r w:rsidRPr="00FB4CC2">
              <w:rPr>
                <w:rFonts w:ascii="Times New Roman" w:eastAsia="Calibri" w:hAnsi="Times New Roman" w:cs="Times New Roman"/>
                <w:b/>
                <w:sz w:val="24"/>
                <w:szCs w:val="24"/>
                <w:lang w:eastAsia="en-IN"/>
              </w:rPr>
              <w:t>(µg/ml)</w:t>
            </w:r>
          </w:p>
        </w:tc>
      </w:tr>
      <w:tr w:rsidR="0040310A" w:rsidRPr="00A92FE1" w14:paraId="48DAA95F" w14:textId="77777777" w:rsidTr="00FB4CC2">
        <w:tc>
          <w:tcPr>
            <w:tcW w:w="1698" w:type="dxa"/>
            <w:tcBorders>
              <w:top w:val="single" w:sz="12" w:space="0" w:color="auto"/>
              <w:left w:val="nil"/>
              <w:bottom w:val="nil"/>
              <w:right w:val="nil"/>
            </w:tcBorders>
            <w:vAlign w:val="center"/>
            <w:hideMark/>
          </w:tcPr>
          <w:p w14:paraId="5DD1B95C"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FB4CC2">
              <w:rPr>
                <w:rFonts w:ascii="Times New Roman" w:eastAsia="Calibri" w:hAnsi="Times New Roman" w:cs="Times New Roman"/>
                <w:b/>
                <w:bCs/>
                <w:sz w:val="24"/>
                <w:szCs w:val="24"/>
                <w:lang w:eastAsia="en-IN"/>
              </w:rPr>
              <w:t>Nagrota</w:t>
            </w:r>
            <w:proofErr w:type="spellEnd"/>
          </w:p>
        </w:tc>
        <w:tc>
          <w:tcPr>
            <w:tcW w:w="2164" w:type="dxa"/>
            <w:tcBorders>
              <w:top w:val="single" w:sz="12" w:space="0" w:color="auto"/>
              <w:left w:val="nil"/>
              <w:bottom w:val="nil"/>
              <w:right w:val="nil"/>
            </w:tcBorders>
            <w:vAlign w:val="center"/>
            <w:hideMark/>
          </w:tcPr>
          <w:p w14:paraId="51C0E2C0" w14:textId="044CF008"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18.83</w:t>
            </w:r>
          </w:p>
        </w:tc>
        <w:tc>
          <w:tcPr>
            <w:tcW w:w="2426" w:type="dxa"/>
            <w:tcBorders>
              <w:top w:val="single" w:sz="12" w:space="0" w:color="auto"/>
              <w:left w:val="nil"/>
              <w:bottom w:val="nil"/>
              <w:right w:val="nil"/>
            </w:tcBorders>
            <w:vAlign w:val="center"/>
            <w:hideMark/>
          </w:tcPr>
          <w:p w14:paraId="6FC7C1E7"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11.41</w:t>
            </w:r>
          </w:p>
        </w:tc>
        <w:tc>
          <w:tcPr>
            <w:tcW w:w="3443" w:type="dxa"/>
            <w:tcBorders>
              <w:top w:val="single" w:sz="12" w:space="0" w:color="auto"/>
              <w:left w:val="nil"/>
              <w:bottom w:val="nil"/>
              <w:right w:val="nil"/>
            </w:tcBorders>
            <w:vAlign w:val="center"/>
          </w:tcPr>
          <w:p w14:paraId="5D66B92C"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6.63</w:t>
            </w:r>
          </w:p>
        </w:tc>
      </w:tr>
      <w:tr w:rsidR="0040310A" w:rsidRPr="00A92FE1" w14:paraId="764A3D29" w14:textId="77777777" w:rsidTr="00FB4CC2">
        <w:tc>
          <w:tcPr>
            <w:tcW w:w="1698" w:type="dxa"/>
            <w:vAlign w:val="center"/>
            <w:hideMark/>
          </w:tcPr>
          <w:p w14:paraId="07A079EE"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Kangra</w:t>
            </w:r>
          </w:p>
        </w:tc>
        <w:tc>
          <w:tcPr>
            <w:tcW w:w="2164" w:type="dxa"/>
            <w:vAlign w:val="center"/>
            <w:hideMark/>
          </w:tcPr>
          <w:p w14:paraId="32725FD3"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19.16</w:t>
            </w:r>
          </w:p>
        </w:tc>
        <w:tc>
          <w:tcPr>
            <w:tcW w:w="2426" w:type="dxa"/>
            <w:vAlign w:val="center"/>
            <w:hideMark/>
          </w:tcPr>
          <w:p w14:paraId="68D2FC9D"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11.07</w:t>
            </w:r>
          </w:p>
        </w:tc>
        <w:tc>
          <w:tcPr>
            <w:tcW w:w="3443" w:type="dxa"/>
            <w:vAlign w:val="center"/>
          </w:tcPr>
          <w:p w14:paraId="01320082"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5.81</w:t>
            </w:r>
          </w:p>
        </w:tc>
      </w:tr>
      <w:tr w:rsidR="0040310A" w:rsidRPr="00A92FE1" w14:paraId="60FA6204" w14:textId="77777777" w:rsidTr="00FB4CC2">
        <w:tc>
          <w:tcPr>
            <w:tcW w:w="1698" w:type="dxa"/>
            <w:vAlign w:val="center"/>
            <w:hideMark/>
          </w:tcPr>
          <w:p w14:paraId="1919481B"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FB4CC2">
              <w:rPr>
                <w:rFonts w:ascii="Times New Roman" w:eastAsia="Calibri" w:hAnsi="Times New Roman" w:cs="Times New Roman"/>
                <w:b/>
                <w:bCs/>
                <w:sz w:val="24"/>
                <w:szCs w:val="24"/>
                <w:lang w:eastAsia="en-IN"/>
              </w:rPr>
              <w:t>Nurpur</w:t>
            </w:r>
            <w:proofErr w:type="spellEnd"/>
          </w:p>
        </w:tc>
        <w:tc>
          <w:tcPr>
            <w:tcW w:w="2164" w:type="dxa"/>
            <w:vAlign w:val="center"/>
            <w:hideMark/>
          </w:tcPr>
          <w:p w14:paraId="79EFFCB6"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13.33</w:t>
            </w:r>
          </w:p>
        </w:tc>
        <w:tc>
          <w:tcPr>
            <w:tcW w:w="2426" w:type="dxa"/>
            <w:vAlign w:val="center"/>
            <w:hideMark/>
          </w:tcPr>
          <w:p w14:paraId="06BEC835"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10.51</w:t>
            </w:r>
          </w:p>
        </w:tc>
        <w:tc>
          <w:tcPr>
            <w:tcW w:w="3443" w:type="dxa"/>
            <w:vAlign w:val="center"/>
          </w:tcPr>
          <w:p w14:paraId="601356EB"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4.53</w:t>
            </w:r>
          </w:p>
        </w:tc>
      </w:tr>
      <w:tr w:rsidR="0040310A" w:rsidRPr="00A92FE1" w14:paraId="01F3C7A1" w14:textId="77777777" w:rsidTr="00FB4CC2">
        <w:tc>
          <w:tcPr>
            <w:tcW w:w="1698" w:type="dxa"/>
            <w:vAlign w:val="center"/>
            <w:hideMark/>
          </w:tcPr>
          <w:p w14:paraId="008F1BD5"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Shahpur</w:t>
            </w:r>
          </w:p>
        </w:tc>
        <w:tc>
          <w:tcPr>
            <w:tcW w:w="2164" w:type="dxa"/>
            <w:vAlign w:val="center"/>
            <w:hideMark/>
          </w:tcPr>
          <w:p w14:paraId="0D2B6ED5"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21.10</w:t>
            </w:r>
          </w:p>
        </w:tc>
        <w:tc>
          <w:tcPr>
            <w:tcW w:w="2426" w:type="dxa"/>
            <w:vAlign w:val="center"/>
            <w:hideMark/>
          </w:tcPr>
          <w:p w14:paraId="56479A8D" w14:textId="16A1060D"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7.25</w:t>
            </w:r>
          </w:p>
        </w:tc>
        <w:tc>
          <w:tcPr>
            <w:tcW w:w="3443" w:type="dxa"/>
            <w:vAlign w:val="center"/>
          </w:tcPr>
          <w:p w14:paraId="1400E8E8"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5.80</w:t>
            </w:r>
          </w:p>
        </w:tc>
      </w:tr>
      <w:tr w:rsidR="0040310A" w:rsidRPr="00A92FE1" w14:paraId="2CE5DF7F" w14:textId="77777777" w:rsidTr="00FB4CC2">
        <w:tc>
          <w:tcPr>
            <w:tcW w:w="1698" w:type="dxa"/>
            <w:vAlign w:val="center"/>
            <w:hideMark/>
          </w:tcPr>
          <w:p w14:paraId="003E1993"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FB4CC2">
              <w:rPr>
                <w:rFonts w:ascii="Times New Roman" w:eastAsia="Calibri" w:hAnsi="Times New Roman" w:cs="Times New Roman"/>
                <w:b/>
                <w:bCs/>
                <w:sz w:val="24"/>
                <w:szCs w:val="24"/>
                <w:lang w:eastAsia="en-IN"/>
              </w:rPr>
              <w:t>Harchkiyan</w:t>
            </w:r>
            <w:proofErr w:type="spellEnd"/>
          </w:p>
        </w:tc>
        <w:tc>
          <w:tcPr>
            <w:tcW w:w="2164" w:type="dxa"/>
            <w:vAlign w:val="center"/>
            <w:hideMark/>
          </w:tcPr>
          <w:p w14:paraId="6967C4B7"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23.87</w:t>
            </w:r>
          </w:p>
        </w:tc>
        <w:tc>
          <w:tcPr>
            <w:tcW w:w="2426" w:type="dxa"/>
            <w:vAlign w:val="center"/>
            <w:hideMark/>
          </w:tcPr>
          <w:p w14:paraId="4CF286AD"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13.39</w:t>
            </w:r>
          </w:p>
        </w:tc>
        <w:tc>
          <w:tcPr>
            <w:tcW w:w="3443" w:type="dxa"/>
            <w:vAlign w:val="center"/>
          </w:tcPr>
          <w:p w14:paraId="0F258181"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6.42</w:t>
            </w:r>
          </w:p>
        </w:tc>
      </w:tr>
      <w:tr w:rsidR="0040310A" w:rsidRPr="00A92FE1" w14:paraId="2B96C7EC" w14:textId="77777777" w:rsidTr="00FB4CC2">
        <w:tc>
          <w:tcPr>
            <w:tcW w:w="1698" w:type="dxa"/>
            <w:vAlign w:val="center"/>
            <w:hideMark/>
          </w:tcPr>
          <w:p w14:paraId="09BBD65E"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FB4CC2">
              <w:rPr>
                <w:rFonts w:ascii="Times New Roman" w:eastAsia="Calibri" w:hAnsi="Times New Roman" w:cs="Times New Roman"/>
                <w:b/>
                <w:bCs/>
                <w:sz w:val="24"/>
                <w:szCs w:val="24"/>
                <w:lang w:eastAsia="en-IN"/>
              </w:rPr>
              <w:t>Baroh</w:t>
            </w:r>
            <w:proofErr w:type="spellEnd"/>
          </w:p>
        </w:tc>
        <w:tc>
          <w:tcPr>
            <w:tcW w:w="2164" w:type="dxa"/>
            <w:vAlign w:val="center"/>
            <w:hideMark/>
          </w:tcPr>
          <w:p w14:paraId="061B95B7"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22.66</w:t>
            </w:r>
          </w:p>
        </w:tc>
        <w:tc>
          <w:tcPr>
            <w:tcW w:w="2426" w:type="dxa"/>
            <w:vAlign w:val="center"/>
            <w:hideMark/>
          </w:tcPr>
          <w:p w14:paraId="6B4B3E7B"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8.37</w:t>
            </w:r>
          </w:p>
        </w:tc>
        <w:tc>
          <w:tcPr>
            <w:tcW w:w="3443" w:type="dxa"/>
            <w:vAlign w:val="center"/>
          </w:tcPr>
          <w:p w14:paraId="40A8ECF2"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4.59</w:t>
            </w:r>
          </w:p>
        </w:tc>
      </w:tr>
      <w:tr w:rsidR="0040310A" w:rsidRPr="00A92FE1" w14:paraId="33091506" w14:textId="77777777" w:rsidTr="00FB4CC2">
        <w:tc>
          <w:tcPr>
            <w:tcW w:w="1698" w:type="dxa"/>
            <w:vAlign w:val="center"/>
            <w:hideMark/>
          </w:tcPr>
          <w:p w14:paraId="52807190"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Jaswan</w:t>
            </w:r>
          </w:p>
        </w:tc>
        <w:tc>
          <w:tcPr>
            <w:tcW w:w="2164" w:type="dxa"/>
            <w:vAlign w:val="center"/>
            <w:hideMark/>
          </w:tcPr>
          <w:p w14:paraId="2491906F"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18.92</w:t>
            </w:r>
          </w:p>
        </w:tc>
        <w:tc>
          <w:tcPr>
            <w:tcW w:w="2426" w:type="dxa"/>
            <w:vAlign w:val="center"/>
            <w:hideMark/>
          </w:tcPr>
          <w:p w14:paraId="7F5EB41C"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13.65</w:t>
            </w:r>
          </w:p>
        </w:tc>
        <w:tc>
          <w:tcPr>
            <w:tcW w:w="3443" w:type="dxa"/>
            <w:vAlign w:val="center"/>
          </w:tcPr>
          <w:p w14:paraId="6F308271"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7.54</w:t>
            </w:r>
          </w:p>
        </w:tc>
      </w:tr>
      <w:tr w:rsidR="0040310A" w:rsidRPr="00A92FE1" w14:paraId="0D1728F7" w14:textId="77777777" w:rsidTr="00FB4CC2">
        <w:tc>
          <w:tcPr>
            <w:tcW w:w="1698" w:type="dxa"/>
            <w:vAlign w:val="center"/>
            <w:hideMark/>
          </w:tcPr>
          <w:p w14:paraId="7E785746"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FB4CC2">
              <w:rPr>
                <w:rFonts w:ascii="Times New Roman" w:eastAsia="Calibri" w:hAnsi="Times New Roman" w:cs="Times New Roman"/>
                <w:b/>
                <w:bCs/>
                <w:sz w:val="24"/>
                <w:szCs w:val="24"/>
                <w:lang w:eastAsia="en-IN"/>
              </w:rPr>
              <w:t>Jawalamukhi</w:t>
            </w:r>
            <w:proofErr w:type="spellEnd"/>
          </w:p>
        </w:tc>
        <w:tc>
          <w:tcPr>
            <w:tcW w:w="2164" w:type="dxa"/>
            <w:vAlign w:val="center"/>
            <w:hideMark/>
          </w:tcPr>
          <w:p w14:paraId="69B91F4C"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13.35</w:t>
            </w:r>
          </w:p>
        </w:tc>
        <w:tc>
          <w:tcPr>
            <w:tcW w:w="2426" w:type="dxa"/>
            <w:vAlign w:val="center"/>
            <w:hideMark/>
          </w:tcPr>
          <w:p w14:paraId="7DF2A503"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17.29</w:t>
            </w:r>
          </w:p>
        </w:tc>
        <w:tc>
          <w:tcPr>
            <w:tcW w:w="3443" w:type="dxa"/>
            <w:vAlign w:val="center"/>
          </w:tcPr>
          <w:p w14:paraId="60B14E56"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9.18</w:t>
            </w:r>
          </w:p>
        </w:tc>
      </w:tr>
      <w:tr w:rsidR="0040310A" w:rsidRPr="00A92FE1" w14:paraId="4FA65C20" w14:textId="77777777" w:rsidTr="00FB4CC2">
        <w:tc>
          <w:tcPr>
            <w:tcW w:w="1698" w:type="dxa"/>
            <w:vAlign w:val="center"/>
            <w:hideMark/>
          </w:tcPr>
          <w:p w14:paraId="4C8B388A"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Dehra</w:t>
            </w:r>
          </w:p>
        </w:tc>
        <w:tc>
          <w:tcPr>
            <w:tcW w:w="2164" w:type="dxa"/>
            <w:vAlign w:val="center"/>
            <w:hideMark/>
          </w:tcPr>
          <w:p w14:paraId="1404D170"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20.41</w:t>
            </w:r>
          </w:p>
        </w:tc>
        <w:tc>
          <w:tcPr>
            <w:tcW w:w="2426" w:type="dxa"/>
            <w:vAlign w:val="center"/>
            <w:hideMark/>
          </w:tcPr>
          <w:p w14:paraId="17E37E39"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8.76</w:t>
            </w:r>
          </w:p>
        </w:tc>
        <w:tc>
          <w:tcPr>
            <w:tcW w:w="3443" w:type="dxa"/>
            <w:vAlign w:val="center"/>
          </w:tcPr>
          <w:p w14:paraId="0D6DFD98"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6.41</w:t>
            </w:r>
          </w:p>
        </w:tc>
      </w:tr>
      <w:tr w:rsidR="0040310A" w:rsidRPr="00A92FE1" w14:paraId="3040933F" w14:textId="77777777" w:rsidTr="00FB4CC2">
        <w:tc>
          <w:tcPr>
            <w:tcW w:w="1698" w:type="dxa"/>
            <w:vAlign w:val="center"/>
            <w:hideMark/>
          </w:tcPr>
          <w:p w14:paraId="3C292266"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FB4CC2">
              <w:rPr>
                <w:rFonts w:ascii="Times New Roman" w:eastAsia="Calibri" w:hAnsi="Times New Roman" w:cs="Times New Roman"/>
                <w:b/>
                <w:bCs/>
                <w:sz w:val="24"/>
                <w:szCs w:val="24"/>
                <w:lang w:eastAsia="en-IN"/>
              </w:rPr>
              <w:t>Daroh</w:t>
            </w:r>
            <w:proofErr w:type="spellEnd"/>
          </w:p>
        </w:tc>
        <w:tc>
          <w:tcPr>
            <w:tcW w:w="2164" w:type="dxa"/>
            <w:vAlign w:val="center"/>
            <w:hideMark/>
          </w:tcPr>
          <w:p w14:paraId="111976AE"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16.36</w:t>
            </w:r>
          </w:p>
        </w:tc>
        <w:tc>
          <w:tcPr>
            <w:tcW w:w="2426" w:type="dxa"/>
            <w:vAlign w:val="center"/>
            <w:hideMark/>
          </w:tcPr>
          <w:p w14:paraId="18EA999A"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9.21</w:t>
            </w:r>
          </w:p>
        </w:tc>
        <w:tc>
          <w:tcPr>
            <w:tcW w:w="3443" w:type="dxa"/>
            <w:vAlign w:val="center"/>
          </w:tcPr>
          <w:p w14:paraId="7B1358BF"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8.28</w:t>
            </w:r>
          </w:p>
        </w:tc>
      </w:tr>
      <w:tr w:rsidR="0040310A" w:rsidRPr="00A92FE1" w14:paraId="7795BE89" w14:textId="77777777" w:rsidTr="00FB4CC2">
        <w:tc>
          <w:tcPr>
            <w:tcW w:w="1698" w:type="dxa"/>
            <w:vAlign w:val="center"/>
            <w:hideMark/>
          </w:tcPr>
          <w:p w14:paraId="385D951B"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FB4CC2">
              <w:rPr>
                <w:rFonts w:ascii="Times New Roman" w:eastAsia="Calibri" w:hAnsi="Times New Roman" w:cs="Times New Roman"/>
                <w:b/>
                <w:bCs/>
                <w:sz w:val="24"/>
                <w:szCs w:val="24"/>
                <w:lang w:eastAsia="en-IN"/>
              </w:rPr>
              <w:t>Thural</w:t>
            </w:r>
            <w:proofErr w:type="spellEnd"/>
          </w:p>
        </w:tc>
        <w:tc>
          <w:tcPr>
            <w:tcW w:w="2164" w:type="dxa"/>
            <w:vAlign w:val="center"/>
            <w:hideMark/>
          </w:tcPr>
          <w:p w14:paraId="792DEFA4"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17.73</w:t>
            </w:r>
          </w:p>
        </w:tc>
        <w:tc>
          <w:tcPr>
            <w:tcW w:w="2426" w:type="dxa"/>
            <w:vAlign w:val="center"/>
            <w:hideMark/>
          </w:tcPr>
          <w:p w14:paraId="724F67AD"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11.95</w:t>
            </w:r>
          </w:p>
        </w:tc>
        <w:tc>
          <w:tcPr>
            <w:tcW w:w="3443" w:type="dxa"/>
            <w:vAlign w:val="center"/>
          </w:tcPr>
          <w:p w14:paraId="6B4956D9"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8.23</w:t>
            </w:r>
          </w:p>
        </w:tc>
      </w:tr>
      <w:tr w:rsidR="0040310A" w:rsidRPr="00A92FE1" w14:paraId="794F9985" w14:textId="77777777" w:rsidTr="00FB4CC2">
        <w:tc>
          <w:tcPr>
            <w:tcW w:w="1698" w:type="dxa"/>
            <w:vAlign w:val="center"/>
            <w:hideMark/>
          </w:tcPr>
          <w:p w14:paraId="46BB89C7"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lastRenderedPageBreak/>
              <w:t>Palampur</w:t>
            </w:r>
          </w:p>
        </w:tc>
        <w:tc>
          <w:tcPr>
            <w:tcW w:w="2164" w:type="dxa"/>
            <w:vAlign w:val="center"/>
            <w:hideMark/>
          </w:tcPr>
          <w:p w14:paraId="23A16273"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16.80</w:t>
            </w:r>
          </w:p>
        </w:tc>
        <w:tc>
          <w:tcPr>
            <w:tcW w:w="2426" w:type="dxa"/>
            <w:vAlign w:val="center"/>
            <w:hideMark/>
          </w:tcPr>
          <w:p w14:paraId="014A9060"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10.46</w:t>
            </w:r>
          </w:p>
        </w:tc>
        <w:tc>
          <w:tcPr>
            <w:tcW w:w="3443" w:type="dxa"/>
            <w:vAlign w:val="center"/>
          </w:tcPr>
          <w:p w14:paraId="24916800"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8.60</w:t>
            </w:r>
          </w:p>
        </w:tc>
      </w:tr>
      <w:tr w:rsidR="0040310A" w:rsidRPr="00A92FE1" w14:paraId="0663AFC6" w14:textId="77777777" w:rsidTr="00FB4CC2">
        <w:tc>
          <w:tcPr>
            <w:tcW w:w="1698" w:type="dxa"/>
            <w:tcBorders>
              <w:top w:val="single" w:sz="4" w:space="0" w:color="auto"/>
              <w:left w:val="nil"/>
              <w:bottom w:val="nil"/>
              <w:right w:val="nil"/>
            </w:tcBorders>
            <w:vAlign w:val="center"/>
            <w:hideMark/>
          </w:tcPr>
          <w:p w14:paraId="7DC180A1"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SE (±m)</w:t>
            </w:r>
          </w:p>
        </w:tc>
        <w:tc>
          <w:tcPr>
            <w:tcW w:w="2164" w:type="dxa"/>
            <w:tcBorders>
              <w:top w:val="single" w:sz="4" w:space="0" w:color="auto"/>
              <w:left w:val="nil"/>
              <w:bottom w:val="nil"/>
              <w:right w:val="nil"/>
            </w:tcBorders>
            <w:vAlign w:val="center"/>
            <w:hideMark/>
          </w:tcPr>
          <w:p w14:paraId="0370AC15"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1.18</w:t>
            </w:r>
          </w:p>
        </w:tc>
        <w:tc>
          <w:tcPr>
            <w:tcW w:w="2426" w:type="dxa"/>
            <w:tcBorders>
              <w:top w:val="single" w:sz="4" w:space="0" w:color="auto"/>
              <w:left w:val="nil"/>
              <w:bottom w:val="nil"/>
              <w:right w:val="nil"/>
            </w:tcBorders>
            <w:vAlign w:val="center"/>
            <w:hideMark/>
          </w:tcPr>
          <w:p w14:paraId="14866465"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0.44</w:t>
            </w:r>
          </w:p>
        </w:tc>
        <w:tc>
          <w:tcPr>
            <w:tcW w:w="3443" w:type="dxa"/>
            <w:tcBorders>
              <w:top w:val="single" w:sz="4" w:space="0" w:color="auto"/>
              <w:left w:val="nil"/>
              <w:bottom w:val="nil"/>
              <w:right w:val="nil"/>
            </w:tcBorders>
            <w:vAlign w:val="center"/>
          </w:tcPr>
          <w:p w14:paraId="02C6241A" w14:textId="77777777" w:rsidR="0040310A" w:rsidRPr="00A92FE1" w:rsidRDefault="0040310A" w:rsidP="00FB4CC2">
            <w:pPr>
              <w:spacing w:before="120" w:after="0" w:line="240" w:lineRule="auto"/>
              <w:ind w:firstLine="612"/>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0.24</w:t>
            </w:r>
          </w:p>
        </w:tc>
      </w:tr>
      <w:tr w:rsidR="0040310A" w:rsidRPr="00A92FE1" w14:paraId="28F96665" w14:textId="77777777" w:rsidTr="00FB4CC2">
        <w:tc>
          <w:tcPr>
            <w:tcW w:w="1698" w:type="dxa"/>
            <w:tcBorders>
              <w:top w:val="nil"/>
              <w:left w:val="nil"/>
              <w:bottom w:val="single" w:sz="12" w:space="0" w:color="auto"/>
              <w:right w:val="nil"/>
            </w:tcBorders>
            <w:vAlign w:val="center"/>
            <w:hideMark/>
          </w:tcPr>
          <w:p w14:paraId="395AE67F"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 xml:space="preserve">CD (5 </w:t>
            </w:r>
            <w:r w:rsidRPr="00A92FE1">
              <w:rPr>
                <w:rFonts w:ascii="Times New Roman" w:eastAsia="Calibri" w:hAnsi="Times New Roman" w:cs="Times New Roman"/>
                <w:b/>
                <w:bCs/>
                <w:i/>
                <w:sz w:val="24"/>
                <w:szCs w:val="24"/>
                <w:lang w:eastAsia="en-IN"/>
              </w:rPr>
              <w:t>%</w:t>
            </w:r>
            <w:r w:rsidRPr="00A92FE1">
              <w:rPr>
                <w:rFonts w:ascii="Times New Roman" w:eastAsia="Calibri" w:hAnsi="Times New Roman" w:cs="Times New Roman"/>
                <w:b/>
                <w:bCs/>
                <w:sz w:val="24"/>
                <w:szCs w:val="24"/>
                <w:lang w:eastAsia="en-IN"/>
              </w:rPr>
              <w:t>)</w:t>
            </w:r>
          </w:p>
        </w:tc>
        <w:tc>
          <w:tcPr>
            <w:tcW w:w="2164" w:type="dxa"/>
            <w:tcBorders>
              <w:top w:val="nil"/>
              <w:left w:val="nil"/>
              <w:bottom w:val="single" w:sz="12" w:space="0" w:color="auto"/>
              <w:right w:val="nil"/>
            </w:tcBorders>
            <w:vAlign w:val="center"/>
            <w:hideMark/>
          </w:tcPr>
          <w:p w14:paraId="6F495D02"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2.44</w:t>
            </w:r>
          </w:p>
        </w:tc>
        <w:tc>
          <w:tcPr>
            <w:tcW w:w="2426" w:type="dxa"/>
            <w:tcBorders>
              <w:top w:val="nil"/>
              <w:left w:val="nil"/>
              <w:bottom w:val="single" w:sz="12" w:space="0" w:color="auto"/>
              <w:right w:val="nil"/>
            </w:tcBorders>
            <w:vAlign w:val="center"/>
            <w:hideMark/>
          </w:tcPr>
          <w:p w14:paraId="6C820033"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0.91</w:t>
            </w:r>
          </w:p>
        </w:tc>
        <w:tc>
          <w:tcPr>
            <w:tcW w:w="3443" w:type="dxa"/>
            <w:tcBorders>
              <w:top w:val="nil"/>
              <w:left w:val="nil"/>
              <w:bottom w:val="single" w:sz="12" w:space="0" w:color="auto"/>
              <w:right w:val="nil"/>
            </w:tcBorders>
            <w:vAlign w:val="center"/>
          </w:tcPr>
          <w:p w14:paraId="524E82B6" w14:textId="77777777" w:rsidR="0040310A" w:rsidRPr="00A92FE1" w:rsidRDefault="0040310A" w:rsidP="00FB4CC2">
            <w:pPr>
              <w:spacing w:before="120" w:after="0" w:line="240" w:lineRule="auto"/>
              <w:ind w:firstLine="612"/>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0.51</w:t>
            </w:r>
          </w:p>
        </w:tc>
      </w:tr>
    </w:tbl>
    <w:p w14:paraId="63A5CE0C" w14:textId="77777777" w:rsidR="0040310A" w:rsidRPr="00A92FE1" w:rsidRDefault="0040310A" w:rsidP="00FB4CC2">
      <w:pPr>
        <w:autoSpaceDE w:val="0"/>
        <w:autoSpaceDN w:val="0"/>
        <w:adjustRightInd w:val="0"/>
        <w:spacing w:after="0" w:line="360" w:lineRule="auto"/>
        <w:jc w:val="both"/>
        <w:rPr>
          <w:rFonts w:ascii="Times New Roman" w:hAnsi="Times New Roman" w:cs="Times New Roman"/>
          <w:bCs/>
          <w:iCs/>
          <w:sz w:val="24"/>
          <w:szCs w:val="24"/>
          <w:lang w:val="en-US"/>
        </w:rPr>
      </w:pPr>
    </w:p>
    <w:p w14:paraId="2D99946C" w14:textId="335ECAB4" w:rsidR="00124C77" w:rsidRPr="00A92FE1" w:rsidRDefault="00124C77" w:rsidP="00FB4CC2">
      <w:pPr>
        <w:autoSpaceDE w:val="0"/>
        <w:autoSpaceDN w:val="0"/>
        <w:adjustRightInd w:val="0"/>
        <w:spacing w:after="0" w:line="360" w:lineRule="auto"/>
        <w:jc w:val="both"/>
        <w:rPr>
          <w:rFonts w:ascii="Times New Roman" w:hAnsi="Times New Roman" w:cs="Times New Roman"/>
          <w:b/>
          <w:bCs/>
          <w:sz w:val="24"/>
          <w:szCs w:val="24"/>
          <w:lang w:val="en-US"/>
        </w:rPr>
      </w:pPr>
      <w:r w:rsidRPr="00A92FE1">
        <w:rPr>
          <w:rFonts w:ascii="Times New Roman" w:hAnsi="Times New Roman" w:cs="Times New Roman"/>
          <w:b/>
          <w:sz w:val="24"/>
          <w:szCs w:val="24"/>
        </w:rPr>
        <w:t>3.6</w:t>
      </w:r>
      <w:r w:rsidR="00FB4CC2">
        <w:rPr>
          <w:rFonts w:ascii="Times New Roman" w:hAnsi="Times New Roman" w:cs="Times New Roman"/>
          <w:b/>
          <w:sz w:val="24"/>
          <w:szCs w:val="24"/>
        </w:rPr>
        <w:tab/>
      </w:r>
      <w:r w:rsidRPr="00A92FE1">
        <w:rPr>
          <w:rFonts w:ascii="Times New Roman" w:hAnsi="Times New Roman" w:cs="Times New Roman"/>
          <w:b/>
          <w:bCs/>
          <w:sz w:val="24"/>
          <w:szCs w:val="24"/>
          <w:lang w:val="en-US"/>
        </w:rPr>
        <w:t>PPO activity</w:t>
      </w:r>
    </w:p>
    <w:p w14:paraId="65486063" w14:textId="2819C62A" w:rsidR="00124C77" w:rsidRPr="00A92FE1" w:rsidRDefault="00124C77" w:rsidP="00FB4CC2">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92FE1">
        <w:rPr>
          <w:rFonts w:ascii="Times New Roman" w:hAnsi="Times New Roman" w:cs="Times New Roman"/>
          <w:bCs/>
          <w:sz w:val="24"/>
          <w:szCs w:val="24"/>
        </w:rPr>
        <w:t xml:space="preserve">The polyphenol oxidase (PPO) activity in different collections of </w:t>
      </w:r>
      <w:r w:rsidRPr="00A92FE1">
        <w:rPr>
          <w:rFonts w:ascii="Times New Roman" w:hAnsi="Times New Roman" w:cs="Times New Roman"/>
          <w:bCs/>
          <w:i/>
          <w:iCs/>
          <w:sz w:val="24"/>
          <w:szCs w:val="24"/>
        </w:rPr>
        <w:t>C</w:t>
      </w:r>
      <w:r w:rsidR="004126A8" w:rsidRPr="00A92FE1">
        <w:rPr>
          <w:rFonts w:ascii="Times New Roman" w:hAnsi="Times New Roman" w:cs="Times New Roman"/>
          <w:bCs/>
          <w:i/>
          <w:iCs/>
          <w:sz w:val="24"/>
          <w:szCs w:val="24"/>
        </w:rPr>
        <w:t>.</w:t>
      </w:r>
      <w:r w:rsidRPr="00A92FE1">
        <w:rPr>
          <w:rFonts w:ascii="Times New Roman" w:hAnsi="Times New Roman" w:cs="Times New Roman"/>
          <w:bCs/>
          <w:i/>
          <w:iCs/>
          <w:sz w:val="24"/>
          <w:szCs w:val="24"/>
        </w:rPr>
        <w:t xml:space="preserve"> ambrosioides</w:t>
      </w:r>
      <w:r w:rsidRPr="00A92FE1">
        <w:rPr>
          <w:rFonts w:ascii="Times New Roman" w:hAnsi="Times New Roman" w:cs="Times New Roman"/>
          <w:bCs/>
          <w:sz w:val="24"/>
          <w:szCs w:val="24"/>
        </w:rPr>
        <w:t xml:space="preserve"> ranged from 0.045 to 0.092 ΔOD/min (</w:t>
      </w:r>
      <w:r w:rsidRPr="00A92FE1">
        <w:rPr>
          <w:rFonts w:ascii="Times New Roman" w:hAnsi="Times New Roman" w:cs="Times New Roman"/>
          <w:bCs/>
          <w:color w:val="000000" w:themeColor="text1"/>
          <w:sz w:val="24"/>
          <w:szCs w:val="24"/>
        </w:rPr>
        <w:t>Fig</w:t>
      </w:r>
      <w:r w:rsidR="008B2E79" w:rsidRPr="00A92FE1">
        <w:rPr>
          <w:rFonts w:ascii="Times New Roman" w:hAnsi="Times New Roman" w:cs="Times New Roman"/>
          <w:bCs/>
          <w:color w:val="000000" w:themeColor="text1"/>
          <w:sz w:val="24"/>
          <w:szCs w:val="24"/>
        </w:rPr>
        <w:t>ure</w:t>
      </w:r>
      <w:r w:rsidRPr="00A92FE1">
        <w:rPr>
          <w:rFonts w:ascii="Times New Roman" w:hAnsi="Times New Roman" w:cs="Times New Roman"/>
          <w:bCs/>
          <w:color w:val="000000" w:themeColor="text1"/>
          <w:sz w:val="24"/>
          <w:szCs w:val="24"/>
        </w:rPr>
        <w:t xml:space="preserve"> </w:t>
      </w:r>
      <w:r w:rsidR="008B2E79" w:rsidRPr="00A92FE1">
        <w:rPr>
          <w:rFonts w:ascii="Times New Roman" w:hAnsi="Times New Roman" w:cs="Times New Roman"/>
          <w:bCs/>
          <w:color w:val="000000" w:themeColor="text1"/>
          <w:sz w:val="24"/>
          <w:szCs w:val="24"/>
        </w:rPr>
        <w:t>4</w:t>
      </w:r>
      <w:r w:rsidRPr="00A92FE1">
        <w:rPr>
          <w:rFonts w:ascii="Times New Roman" w:hAnsi="Times New Roman" w:cs="Times New Roman"/>
          <w:bCs/>
          <w:color w:val="000000" w:themeColor="text1"/>
          <w:sz w:val="24"/>
          <w:szCs w:val="24"/>
        </w:rPr>
        <w:t>). The highest PPO activity was observed in the Palampur collection (0.092 ΔOD/min), whereas the lowest was recorded in Dehra (0.045 ΔOD/min). A progressive increase in absorbance (OD) was observed from 0 to 180 seconds across all collections, indicating continuous enzymatic oxidation of phenolic substrates. Variations in PPO activity among collections could be attributed to genetic differences, environmental factors such as temperature and light, and phenolic substrate availability, as PPO is closely associated with oxidative stress defense and phenolic metabolism. Similar findings for PPO activity in leafy vegetables have been reported by Zhang (2023).</w:t>
      </w:r>
    </w:p>
    <w:p w14:paraId="7B6BE670" w14:textId="77777777" w:rsidR="00FB4CC2" w:rsidRDefault="000800EF" w:rsidP="00FB4CC2">
      <w:pPr>
        <w:keepNext/>
        <w:autoSpaceDE w:val="0"/>
        <w:autoSpaceDN w:val="0"/>
        <w:adjustRightInd w:val="0"/>
        <w:spacing w:after="0" w:line="360" w:lineRule="auto"/>
        <w:jc w:val="center"/>
      </w:pPr>
      <w:r w:rsidRPr="00A92FE1">
        <w:rPr>
          <w:rFonts w:ascii="Times New Roman" w:hAnsi="Times New Roman" w:cs="Times New Roman"/>
          <w:bCs/>
          <w:noProof/>
          <w:sz w:val="24"/>
          <w:szCs w:val="24"/>
          <w:lang w:eastAsia="en-IN"/>
        </w:rPr>
        <w:drawing>
          <wp:inline distT="0" distB="0" distL="0" distR="0" wp14:anchorId="13270F0B" wp14:editId="7D881028">
            <wp:extent cx="5382883" cy="2846717"/>
            <wp:effectExtent l="0" t="0" r="889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776A71" w14:textId="48B4037C" w:rsidR="0040310A" w:rsidRDefault="00FB4CC2" w:rsidP="00FB4CC2">
      <w:pPr>
        <w:pStyle w:val="Caption"/>
        <w:spacing w:after="0" w:line="360" w:lineRule="auto"/>
        <w:jc w:val="center"/>
        <w:rPr>
          <w:rFonts w:ascii="Times New Roman" w:hAnsi="Times New Roman" w:cs="Times New Roman"/>
          <w:i w:val="0"/>
          <w:iCs w:val="0"/>
          <w:sz w:val="24"/>
          <w:szCs w:val="24"/>
        </w:rPr>
      </w:pPr>
      <w:r w:rsidRPr="00FB4CC2">
        <w:rPr>
          <w:rFonts w:ascii="Times New Roman" w:hAnsi="Times New Roman" w:cs="Times New Roman"/>
          <w:b/>
          <w:bCs/>
          <w:i w:val="0"/>
          <w:iCs w:val="0"/>
          <w:sz w:val="24"/>
          <w:szCs w:val="24"/>
        </w:rPr>
        <w:t>Figure 4</w:t>
      </w:r>
      <w:r w:rsidRPr="00FB4CC2">
        <w:rPr>
          <w:rFonts w:ascii="Times New Roman" w:hAnsi="Times New Roman" w:cs="Times New Roman"/>
          <w:i w:val="0"/>
          <w:iCs w:val="0"/>
          <w:sz w:val="24"/>
          <w:szCs w:val="24"/>
        </w:rPr>
        <w:t xml:space="preserve"> Variation in PPO activity (ΔOD/min) in </w:t>
      </w:r>
      <w:r w:rsidRPr="00FB4CC2">
        <w:rPr>
          <w:rFonts w:ascii="Times New Roman" w:hAnsi="Times New Roman" w:cs="Times New Roman"/>
          <w:sz w:val="24"/>
          <w:szCs w:val="24"/>
        </w:rPr>
        <w:t>Chenopodium ambrosioides</w:t>
      </w:r>
      <w:r w:rsidRPr="00FB4CC2">
        <w:rPr>
          <w:rFonts w:ascii="Times New Roman" w:hAnsi="Times New Roman" w:cs="Times New Roman"/>
          <w:i w:val="0"/>
          <w:iCs w:val="0"/>
          <w:sz w:val="24"/>
          <w:szCs w:val="24"/>
        </w:rPr>
        <w:t xml:space="preserve"> collections</w:t>
      </w:r>
    </w:p>
    <w:p w14:paraId="6941BA24" w14:textId="77777777" w:rsidR="00E03822" w:rsidRPr="00E03822" w:rsidRDefault="00E03822" w:rsidP="00E03822">
      <w:pPr>
        <w:spacing w:after="0" w:line="360" w:lineRule="auto"/>
      </w:pPr>
    </w:p>
    <w:p w14:paraId="55215229" w14:textId="313BCB08" w:rsidR="000800EF" w:rsidRPr="00E03822" w:rsidRDefault="00CA74E1" w:rsidP="00E03822">
      <w:pPr>
        <w:pStyle w:val="ListParagraph"/>
        <w:numPr>
          <w:ilvl w:val="0"/>
          <w:numId w:val="4"/>
        </w:numPr>
        <w:autoSpaceDE w:val="0"/>
        <w:autoSpaceDN w:val="0"/>
        <w:adjustRightInd w:val="0"/>
        <w:spacing w:after="0" w:line="360" w:lineRule="auto"/>
        <w:ind w:left="0" w:firstLine="0"/>
        <w:jc w:val="both"/>
        <w:rPr>
          <w:rFonts w:ascii="Times New Roman" w:hAnsi="Times New Roman" w:cs="Times New Roman"/>
          <w:b/>
          <w:sz w:val="24"/>
          <w:szCs w:val="24"/>
        </w:rPr>
      </w:pPr>
      <w:r w:rsidRPr="00E03822">
        <w:rPr>
          <w:rFonts w:ascii="Times New Roman" w:hAnsi="Times New Roman" w:cs="Times New Roman"/>
          <w:b/>
          <w:sz w:val="24"/>
          <w:szCs w:val="24"/>
        </w:rPr>
        <w:t>Conclusion</w:t>
      </w:r>
    </w:p>
    <w:p w14:paraId="6EDB5FE4" w14:textId="0D168DD1" w:rsidR="004F656F" w:rsidRDefault="009E194D" w:rsidP="009E194D">
      <w:pPr>
        <w:pStyle w:val="NormalWeb"/>
        <w:spacing w:after="0" w:line="360" w:lineRule="auto"/>
        <w:ind w:firstLine="720"/>
        <w:jc w:val="both"/>
      </w:pPr>
      <w:r>
        <w:t xml:space="preserve">The present investigation highlights pronounced biochemical and functional diversity among </w:t>
      </w:r>
      <w:r w:rsidRPr="009E194D">
        <w:rPr>
          <w:i/>
          <w:iCs/>
        </w:rPr>
        <w:t>C. ambrosioides</w:t>
      </w:r>
      <w:r>
        <w:t xml:space="preserve"> collections, reflecting significant ecological and genetic influences. Collections from higher altitudes, notably </w:t>
      </w:r>
      <w:proofErr w:type="spellStart"/>
      <w:r>
        <w:t>Harchkiyan</w:t>
      </w:r>
      <w:proofErr w:type="spellEnd"/>
      <w:r>
        <w:t xml:space="preserve">, recorded superior chlorophyll, carotenoid, and manganese levels, indicating enhanced photosynthetic and antioxidant capacities. Dehra exhibited the highest crude fibre and potassium content, while </w:t>
      </w:r>
      <w:proofErr w:type="spellStart"/>
      <w:r>
        <w:t>Nurpur</w:t>
      </w:r>
      <w:proofErr w:type="spellEnd"/>
      <w:r>
        <w:t xml:space="preserve"> was </w:t>
      </w:r>
      <w:r>
        <w:lastRenderedPageBreak/>
        <w:t xml:space="preserve">rich in carbohydrates and copper; </w:t>
      </w:r>
      <w:proofErr w:type="spellStart"/>
      <w:r>
        <w:t>Daroh</w:t>
      </w:r>
      <w:proofErr w:type="spellEnd"/>
      <w:r>
        <w:t xml:space="preserve"> contributed maximum crude protein, underscoring the nutritional potential of these collections. Enzymatic and antioxidant profiles also revealed marked variation. Palampur demonstrated the greatest polyphenol oxidase activity, whereas </w:t>
      </w:r>
      <w:proofErr w:type="spellStart"/>
      <w:r>
        <w:t>Nurpur</w:t>
      </w:r>
      <w:proofErr w:type="spellEnd"/>
      <w:r>
        <w:t xml:space="preserve"> displayed the strongest antioxidant efficiency (lowest IC₅₀), suggesting robust phenolic metabolism and free radical scavenging ability. The observed variability likely reflects the influence of altitudinal and microclimatic factors on metabolic pathways. Overall, Dehra, </w:t>
      </w:r>
      <w:proofErr w:type="spellStart"/>
      <w:r>
        <w:t>Harchkiyan</w:t>
      </w:r>
      <w:proofErr w:type="spellEnd"/>
      <w:r>
        <w:t xml:space="preserve">, </w:t>
      </w:r>
      <w:proofErr w:type="spellStart"/>
      <w:r>
        <w:t>Jaswan</w:t>
      </w:r>
      <w:proofErr w:type="spellEnd"/>
      <w:r>
        <w:t xml:space="preserve">, Palampur, </w:t>
      </w:r>
      <w:proofErr w:type="spellStart"/>
      <w:r>
        <w:t>Daroh</w:t>
      </w:r>
      <w:proofErr w:type="spellEnd"/>
      <w:r>
        <w:t xml:space="preserve">, and </w:t>
      </w:r>
      <w:proofErr w:type="spellStart"/>
      <w:r>
        <w:t>Thural</w:t>
      </w:r>
      <w:proofErr w:type="spellEnd"/>
      <w:r>
        <w:t xml:space="preserve"> emerged as superior collections with promising applications in nutraceutical development, pharmacology, and value-added products. The findings suggest that </w:t>
      </w:r>
      <w:r w:rsidRPr="009E194D">
        <w:rPr>
          <w:i/>
          <w:iCs/>
        </w:rPr>
        <w:t>C. ambrosioides</w:t>
      </w:r>
      <w:r>
        <w:t xml:space="preserve"> could serve as a valuable source for nutraceutical formulations, antioxidant supplements, and functional food ingredients. Future investigations should focus on toxicity validation, bioavailability studies, and clinical relevance to establish its safe and effective utilization in health-promoting applications.</w:t>
      </w:r>
    </w:p>
    <w:p w14:paraId="2F83033D" w14:textId="7D93B488" w:rsidR="004F656F" w:rsidRDefault="004F656F" w:rsidP="004F656F">
      <w:pPr>
        <w:rPr>
          <w:rFonts w:ascii="Calibri" w:eastAsia="Calibri" w:hAnsi="Calibri" w:cs="Times New Roman"/>
          <w:lang w:val="en-US"/>
        </w:rPr>
      </w:pPr>
      <w:bookmarkStart w:id="0" w:name="_Hlk180402183"/>
      <w:bookmarkStart w:id="1" w:name="_Hlk183680988"/>
      <w:bookmarkStart w:id="2" w:name="_Hlk197682629"/>
      <w:r w:rsidRPr="009C5487">
        <w:rPr>
          <w:rFonts w:ascii="Calibri" w:eastAsia="Calibri" w:hAnsi="Calibri" w:cs="Times New Roman"/>
          <w:highlight w:val="yellow"/>
          <w:lang w:val="en-US"/>
        </w:rPr>
        <w:t>.</w:t>
      </w:r>
    </w:p>
    <w:p w14:paraId="7D494ED8" w14:textId="77777777" w:rsidR="005514C6" w:rsidRDefault="005514C6" w:rsidP="005514C6">
      <w:pPr>
        <w:spacing w:line="360" w:lineRule="auto"/>
        <w:rPr>
          <w:rFonts w:ascii="Times New Roman" w:eastAsia="Calibri" w:hAnsi="Times New Roman" w:cs="Times New Roman"/>
          <w:b/>
          <w:bCs/>
          <w:sz w:val="24"/>
          <w:szCs w:val="24"/>
        </w:rPr>
      </w:pPr>
      <w:r w:rsidRPr="005514C6">
        <w:rPr>
          <w:rFonts w:ascii="Times New Roman" w:eastAsia="Calibri" w:hAnsi="Times New Roman" w:cs="Times New Roman"/>
          <w:b/>
          <w:bCs/>
          <w:sz w:val="24"/>
          <w:szCs w:val="24"/>
        </w:rPr>
        <w:t>Disclaimer (Artificial intelligence):</w:t>
      </w:r>
    </w:p>
    <w:p w14:paraId="48DDF277" w14:textId="0062AFCE" w:rsidR="005514C6" w:rsidRPr="009C5487" w:rsidRDefault="005514C6" w:rsidP="005514C6">
      <w:pPr>
        <w:spacing w:line="360" w:lineRule="auto"/>
        <w:jc w:val="both"/>
        <w:rPr>
          <w:rFonts w:ascii="Calibri" w:eastAsia="Calibri" w:hAnsi="Calibri" w:cs="Times New Roman"/>
          <w:lang w:val="en-US"/>
        </w:rPr>
      </w:pPr>
      <w:r w:rsidRPr="005514C6">
        <w:rPr>
          <w:rFonts w:ascii="Times New Roman" w:eastAsia="Calibri" w:hAnsi="Times New Roman" w:cs="Times New Roman"/>
          <w:sz w:val="24"/>
          <w:szCs w:val="24"/>
        </w:rPr>
        <w:t>The author(s) hereby declare that NO generative AI technologies such as Large Language Models (ChatGPT, COPILOT, etc.) and text-to-image generators have been used during the writing or editing of this manuscript</w:t>
      </w:r>
      <w:r w:rsidRPr="005514C6">
        <w:rPr>
          <w:rFonts w:ascii="Calibri" w:eastAsia="Calibri" w:hAnsi="Calibri" w:cs="Times New Roman"/>
        </w:rPr>
        <w:t>.</w:t>
      </w:r>
    </w:p>
    <w:bookmarkEnd w:id="0"/>
    <w:bookmarkEnd w:id="1"/>
    <w:bookmarkEnd w:id="2"/>
    <w:p w14:paraId="5710D2D5" w14:textId="77777777" w:rsidR="004F656F" w:rsidRPr="00A92FE1" w:rsidRDefault="004F656F" w:rsidP="00E03822">
      <w:pPr>
        <w:pStyle w:val="NormalWeb"/>
        <w:spacing w:before="0" w:beforeAutospacing="0" w:after="0" w:afterAutospacing="0" w:line="360" w:lineRule="auto"/>
        <w:ind w:firstLine="720"/>
        <w:jc w:val="both"/>
      </w:pPr>
    </w:p>
    <w:p w14:paraId="64ADD1D0" w14:textId="77777777" w:rsidR="003666E0" w:rsidRDefault="003666E0" w:rsidP="000F5B72">
      <w:pPr>
        <w:pStyle w:val="ReferHead"/>
        <w:spacing w:after="0"/>
        <w:jc w:val="both"/>
        <w:rPr>
          <w:rFonts w:ascii="Times New Roman" w:hAnsi="Times New Roman"/>
          <w:sz w:val="24"/>
          <w:szCs w:val="24"/>
        </w:rPr>
      </w:pPr>
    </w:p>
    <w:p w14:paraId="3113FA6F" w14:textId="53184221" w:rsidR="000F5B72" w:rsidRPr="00A92FE1" w:rsidRDefault="000F5B72" w:rsidP="000F5B72">
      <w:pPr>
        <w:pStyle w:val="ReferHead"/>
        <w:spacing w:after="0"/>
        <w:jc w:val="both"/>
        <w:rPr>
          <w:rFonts w:ascii="Times New Roman" w:hAnsi="Times New Roman"/>
          <w:sz w:val="24"/>
          <w:szCs w:val="24"/>
        </w:rPr>
      </w:pPr>
      <w:r w:rsidRPr="00A92FE1">
        <w:rPr>
          <w:rFonts w:ascii="Times New Roman" w:hAnsi="Times New Roman"/>
          <w:sz w:val="24"/>
          <w:szCs w:val="24"/>
        </w:rPr>
        <w:t>References</w:t>
      </w:r>
    </w:p>
    <w:p w14:paraId="5A3DA007"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proofErr w:type="spellStart"/>
      <w:r w:rsidRPr="00A92FE1">
        <w:rPr>
          <w:rFonts w:ascii="Times New Roman" w:hAnsi="Times New Roman" w:cs="Times New Roman"/>
          <w:bCs/>
          <w:sz w:val="24"/>
          <w:szCs w:val="24"/>
        </w:rPr>
        <w:t>Aborisade</w:t>
      </w:r>
      <w:proofErr w:type="spellEnd"/>
      <w:r w:rsidRPr="00A92FE1">
        <w:rPr>
          <w:rFonts w:ascii="Times New Roman" w:hAnsi="Times New Roman" w:cs="Times New Roman"/>
          <w:bCs/>
          <w:sz w:val="24"/>
          <w:szCs w:val="24"/>
        </w:rPr>
        <w:t xml:space="preserve">, A. B., Adetutu, A., and </w:t>
      </w:r>
      <w:proofErr w:type="spellStart"/>
      <w:r w:rsidRPr="00A92FE1">
        <w:rPr>
          <w:rFonts w:ascii="Times New Roman" w:hAnsi="Times New Roman" w:cs="Times New Roman"/>
          <w:bCs/>
          <w:sz w:val="24"/>
          <w:szCs w:val="24"/>
        </w:rPr>
        <w:t>Owoade</w:t>
      </w:r>
      <w:proofErr w:type="spellEnd"/>
      <w:r w:rsidRPr="00A92FE1">
        <w:rPr>
          <w:rFonts w:ascii="Times New Roman" w:hAnsi="Times New Roman" w:cs="Times New Roman"/>
          <w:bCs/>
          <w:sz w:val="24"/>
          <w:szCs w:val="24"/>
        </w:rPr>
        <w:t>, A. O. (2017). Phytochemical and proximate analysis of some medicinal leaves. </w:t>
      </w:r>
      <w:r w:rsidRPr="00A92FE1">
        <w:rPr>
          <w:rFonts w:ascii="Times New Roman" w:hAnsi="Times New Roman" w:cs="Times New Roman"/>
          <w:bCs/>
          <w:i/>
          <w:iCs/>
          <w:sz w:val="24"/>
          <w:szCs w:val="24"/>
        </w:rPr>
        <w:t>Clinical Medicine Research</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w:t>
      </w:r>
      <w:r w:rsidRPr="00A92FE1">
        <w:rPr>
          <w:rFonts w:ascii="Times New Roman" w:hAnsi="Times New Roman" w:cs="Times New Roman"/>
          <w:bCs/>
          <w:sz w:val="24"/>
          <w:szCs w:val="24"/>
        </w:rPr>
        <w:t>(6), 209-214.</w:t>
      </w:r>
    </w:p>
    <w:p w14:paraId="0931210F"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Ajaib, M., Hussain, T., Farooq, S., and Ashiq, M. (2016). Analysis of antimicrobial and antioxidant activities of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An ethnomedicinal plant. </w:t>
      </w:r>
      <w:r w:rsidRPr="00A92FE1">
        <w:rPr>
          <w:rFonts w:ascii="Times New Roman" w:hAnsi="Times New Roman" w:cs="Times New Roman"/>
          <w:bCs/>
          <w:i/>
          <w:iCs/>
          <w:sz w:val="24"/>
          <w:szCs w:val="24"/>
        </w:rPr>
        <w:t>Journal of Chemistry</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2016</w:t>
      </w:r>
      <w:r w:rsidRPr="00A92FE1">
        <w:rPr>
          <w:rFonts w:ascii="Times New Roman" w:hAnsi="Times New Roman" w:cs="Times New Roman"/>
          <w:bCs/>
          <w:sz w:val="24"/>
          <w:szCs w:val="24"/>
        </w:rPr>
        <w:t>(1), 4827157.</w:t>
      </w:r>
    </w:p>
    <w:p w14:paraId="3CCE013C"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Association of Official Analytical Chemists. (2000). </w:t>
      </w:r>
      <w:r w:rsidRPr="00A92FE1">
        <w:rPr>
          <w:rFonts w:ascii="Times New Roman" w:hAnsi="Times New Roman" w:cs="Times New Roman"/>
          <w:bCs/>
          <w:i/>
          <w:iCs/>
          <w:sz w:val="24"/>
          <w:szCs w:val="24"/>
        </w:rPr>
        <w:t>Official methods of analysis of the Association of Official Analytical Chemists</w:t>
      </w:r>
      <w:r w:rsidRPr="00A92FE1">
        <w:rPr>
          <w:rFonts w:ascii="Times New Roman" w:hAnsi="Times New Roman" w:cs="Times New Roman"/>
          <w:bCs/>
          <w:sz w:val="24"/>
          <w:szCs w:val="24"/>
        </w:rPr>
        <w:t> (Vol. 11). The Association.</w:t>
      </w:r>
    </w:p>
    <w:p w14:paraId="46122AE5"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Barros, L., Pereira, E., </w:t>
      </w:r>
      <w:proofErr w:type="spellStart"/>
      <w:r w:rsidRPr="00A92FE1">
        <w:rPr>
          <w:rFonts w:ascii="Times New Roman" w:hAnsi="Times New Roman" w:cs="Times New Roman"/>
          <w:bCs/>
          <w:sz w:val="24"/>
          <w:szCs w:val="24"/>
        </w:rPr>
        <w:t>Calhelha</w:t>
      </w:r>
      <w:proofErr w:type="spellEnd"/>
      <w:r w:rsidRPr="00A92FE1">
        <w:rPr>
          <w:rFonts w:ascii="Times New Roman" w:hAnsi="Times New Roman" w:cs="Times New Roman"/>
          <w:bCs/>
          <w:sz w:val="24"/>
          <w:szCs w:val="24"/>
        </w:rPr>
        <w:t>, R. C., Dueñas, M., Carvalho, A. M., Santos-</w:t>
      </w:r>
      <w:proofErr w:type="spellStart"/>
      <w:r w:rsidRPr="00A92FE1">
        <w:rPr>
          <w:rFonts w:ascii="Times New Roman" w:hAnsi="Times New Roman" w:cs="Times New Roman"/>
          <w:bCs/>
          <w:sz w:val="24"/>
          <w:szCs w:val="24"/>
        </w:rPr>
        <w:t>Buelga</w:t>
      </w:r>
      <w:proofErr w:type="spellEnd"/>
      <w:r w:rsidRPr="00A92FE1">
        <w:rPr>
          <w:rFonts w:ascii="Times New Roman" w:hAnsi="Times New Roman" w:cs="Times New Roman"/>
          <w:bCs/>
          <w:sz w:val="24"/>
          <w:szCs w:val="24"/>
        </w:rPr>
        <w:t xml:space="preserve">, C., and Ferreira, I. C. (2013). Bioactivity and chemical characterization in hydrophilic and lipophilic compounds of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L. </w:t>
      </w:r>
      <w:r w:rsidRPr="00A92FE1">
        <w:rPr>
          <w:rFonts w:ascii="Times New Roman" w:hAnsi="Times New Roman" w:cs="Times New Roman"/>
          <w:bCs/>
          <w:i/>
          <w:iCs/>
          <w:sz w:val="24"/>
          <w:szCs w:val="24"/>
        </w:rPr>
        <w:t>Journal of Functional Foods</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5</w:t>
      </w:r>
      <w:r w:rsidRPr="00A92FE1">
        <w:rPr>
          <w:rFonts w:ascii="Times New Roman" w:hAnsi="Times New Roman" w:cs="Times New Roman"/>
          <w:bCs/>
          <w:sz w:val="24"/>
          <w:szCs w:val="24"/>
        </w:rPr>
        <w:t>(4), 1732-1740.</w:t>
      </w:r>
    </w:p>
    <w:p w14:paraId="420473B3"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proofErr w:type="spellStart"/>
      <w:r w:rsidRPr="00A92FE1">
        <w:rPr>
          <w:rFonts w:ascii="Times New Roman" w:hAnsi="Times New Roman" w:cs="Times New Roman"/>
          <w:bCs/>
          <w:sz w:val="24"/>
          <w:szCs w:val="24"/>
        </w:rPr>
        <w:lastRenderedPageBreak/>
        <w:t>Boojar</w:t>
      </w:r>
      <w:proofErr w:type="spellEnd"/>
      <w:r w:rsidRPr="00A92FE1">
        <w:rPr>
          <w:rFonts w:ascii="Times New Roman" w:hAnsi="Times New Roman" w:cs="Times New Roman"/>
          <w:bCs/>
          <w:sz w:val="24"/>
          <w:szCs w:val="24"/>
        </w:rPr>
        <w:t>, M. M. A., and Goodarzi, F. (2007). The copper tolerance strategies and the role of antioxidative enzymes in three plant species grown on copper mine. </w:t>
      </w:r>
      <w:r w:rsidRPr="00A92FE1">
        <w:rPr>
          <w:rFonts w:ascii="Times New Roman" w:hAnsi="Times New Roman" w:cs="Times New Roman"/>
          <w:bCs/>
          <w:i/>
          <w:iCs/>
          <w:sz w:val="24"/>
          <w:szCs w:val="24"/>
        </w:rPr>
        <w:t>Chemosphere</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67</w:t>
      </w:r>
      <w:r w:rsidRPr="00A92FE1">
        <w:rPr>
          <w:rFonts w:ascii="Times New Roman" w:hAnsi="Times New Roman" w:cs="Times New Roman"/>
          <w:bCs/>
          <w:sz w:val="24"/>
          <w:szCs w:val="24"/>
        </w:rPr>
        <w:t>(11), 2138-2147.</w:t>
      </w:r>
    </w:p>
    <w:p w14:paraId="3FD77212"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Carrillo-López, L. M., Soto-Hernández, R. M., Zavaleta-Mancera, H. A., and Vilchis-Néstor, A. R. (2016). Study of the performance of the organic extracts of Chenopodium ambrosioides for Ag nanoparticle synthesis. </w:t>
      </w:r>
      <w:r w:rsidRPr="00A92FE1">
        <w:rPr>
          <w:rFonts w:ascii="Times New Roman" w:hAnsi="Times New Roman" w:cs="Times New Roman"/>
          <w:bCs/>
          <w:i/>
          <w:iCs/>
          <w:sz w:val="24"/>
          <w:szCs w:val="24"/>
        </w:rPr>
        <w:t>Journal of Nanomaterials</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2016</w:t>
      </w:r>
      <w:r w:rsidRPr="00A92FE1">
        <w:rPr>
          <w:rFonts w:ascii="Times New Roman" w:hAnsi="Times New Roman" w:cs="Times New Roman"/>
          <w:bCs/>
          <w:sz w:val="24"/>
          <w:szCs w:val="24"/>
        </w:rPr>
        <w:t>(1), 4714162.</w:t>
      </w:r>
    </w:p>
    <w:p w14:paraId="473FE06D" w14:textId="77777777" w:rsidR="00F03751" w:rsidRPr="00A92FE1" w:rsidRDefault="00F03751" w:rsidP="005C49CD">
      <w:pPr>
        <w:spacing w:line="360" w:lineRule="auto"/>
        <w:jc w:val="both"/>
        <w:rPr>
          <w:rFonts w:ascii="Times New Roman" w:hAnsi="Times New Roman" w:cs="Times New Roman"/>
          <w:sz w:val="24"/>
          <w:szCs w:val="24"/>
        </w:rPr>
      </w:pPr>
      <w:r w:rsidRPr="00A92FE1">
        <w:rPr>
          <w:rFonts w:ascii="Times New Roman" w:hAnsi="Times New Roman" w:cs="Times New Roman"/>
          <w:sz w:val="24"/>
          <w:szCs w:val="24"/>
        </w:rPr>
        <w:t xml:space="preserve">da Silva, S. B., Barbosa, J. R., da Silva Martins, L. H., Rai, M., and Lopes, A. S. (2021). Traditional uses, phytochemicals and pharmacological properties of </w:t>
      </w:r>
      <w:r w:rsidRPr="00A92FE1">
        <w:rPr>
          <w:rFonts w:ascii="Times New Roman" w:hAnsi="Times New Roman" w:cs="Times New Roman"/>
          <w:i/>
          <w:iCs/>
          <w:sz w:val="24"/>
          <w:szCs w:val="24"/>
        </w:rPr>
        <w:t>Chenopodium ambrosioides</w:t>
      </w:r>
      <w:r w:rsidRPr="00A92FE1">
        <w:rPr>
          <w:rFonts w:ascii="Times New Roman" w:hAnsi="Times New Roman" w:cs="Times New Roman"/>
          <w:sz w:val="24"/>
          <w:szCs w:val="24"/>
        </w:rPr>
        <w:t xml:space="preserve"> L. (</w:t>
      </w:r>
      <w:proofErr w:type="spellStart"/>
      <w:r w:rsidRPr="00A92FE1">
        <w:rPr>
          <w:rFonts w:ascii="Times New Roman" w:hAnsi="Times New Roman" w:cs="Times New Roman"/>
          <w:i/>
          <w:iCs/>
          <w:sz w:val="24"/>
          <w:szCs w:val="24"/>
        </w:rPr>
        <w:t>Dysphania</w:t>
      </w:r>
      <w:proofErr w:type="spellEnd"/>
      <w:r w:rsidRPr="00A92FE1">
        <w:rPr>
          <w:rFonts w:ascii="Times New Roman" w:hAnsi="Times New Roman" w:cs="Times New Roman"/>
          <w:i/>
          <w:iCs/>
          <w:sz w:val="24"/>
          <w:szCs w:val="24"/>
        </w:rPr>
        <w:t xml:space="preserve"> </w:t>
      </w:r>
      <w:proofErr w:type="spellStart"/>
      <w:r w:rsidRPr="00A92FE1">
        <w:rPr>
          <w:rFonts w:ascii="Times New Roman" w:hAnsi="Times New Roman" w:cs="Times New Roman"/>
          <w:i/>
          <w:iCs/>
          <w:sz w:val="24"/>
          <w:szCs w:val="24"/>
        </w:rPr>
        <w:t>ambrosioides</w:t>
      </w:r>
      <w:proofErr w:type="spellEnd"/>
      <w:r w:rsidRPr="00A92FE1">
        <w:rPr>
          <w:rFonts w:ascii="Times New Roman" w:hAnsi="Times New Roman" w:cs="Times New Roman"/>
          <w:sz w:val="24"/>
          <w:szCs w:val="24"/>
        </w:rPr>
        <w:t xml:space="preserve">) L. </w:t>
      </w:r>
      <w:proofErr w:type="spellStart"/>
      <w:r w:rsidRPr="00A92FE1">
        <w:rPr>
          <w:rFonts w:ascii="Times New Roman" w:hAnsi="Times New Roman" w:cs="Times New Roman"/>
          <w:sz w:val="24"/>
          <w:szCs w:val="24"/>
        </w:rPr>
        <w:t>Mosyakin</w:t>
      </w:r>
      <w:proofErr w:type="spellEnd"/>
      <w:r w:rsidRPr="00A92FE1">
        <w:rPr>
          <w:rFonts w:ascii="Times New Roman" w:hAnsi="Times New Roman" w:cs="Times New Roman"/>
          <w:sz w:val="24"/>
          <w:szCs w:val="24"/>
        </w:rPr>
        <w:t xml:space="preserve"> &amp; </w:t>
      </w:r>
      <w:proofErr w:type="spellStart"/>
      <w:r w:rsidRPr="00A92FE1">
        <w:rPr>
          <w:rFonts w:ascii="Times New Roman" w:hAnsi="Times New Roman" w:cs="Times New Roman"/>
          <w:sz w:val="24"/>
          <w:szCs w:val="24"/>
        </w:rPr>
        <w:t>Clemants</w:t>
      </w:r>
      <w:proofErr w:type="spellEnd"/>
      <w:r w:rsidRPr="00A92FE1">
        <w:rPr>
          <w:rFonts w:ascii="Times New Roman" w:hAnsi="Times New Roman" w:cs="Times New Roman"/>
          <w:sz w:val="24"/>
          <w:szCs w:val="24"/>
        </w:rPr>
        <w:t>. In </w:t>
      </w:r>
      <w:r w:rsidRPr="00A92FE1">
        <w:rPr>
          <w:rFonts w:ascii="Times New Roman" w:hAnsi="Times New Roman" w:cs="Times New Roman"/>
          <w:i/>
          <w:iCs/>
          <w:sz w:val="24"/>
          <w:szCs w:val="24"/>
        </w:rPr>
        <w:t>Ethnopharmacology of wild plants</w:t>
      </w:r>
      <w:r w:rsidRPr="00A92FE1">
        <w:rPr>
          <w:rFonts w:ascii="Times New Roman" w:hAnsi="Times New Roman" w:cs="Times New Roman"/>
          <w:sz w:val="24"/>
          <w:szCs w:val="24"/>
        </w:rPr>
        <w:t> (pp. 234-245). CRC Press.</w:t>
      </w:r>
    </w:p>
    <w:p w14:paraId="78917ECD"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 xml:space="preserve">Davies, B. H. (1976). In: </w:t>
      </w:r>
      <w:r w:rsidRPr="00A92FE1">
        <w:rPr>
          <w:rFonts w:ascii="Times New Roman" w:hAnsi="Times New Roman" w:cs="Times New Roman"/>
          <w:bCs/>
          <w:i/>
          <w:sz w:val="24"/>
          <w:szCs w:val="24"/>
          <w:lang w:val="en-US"/>
        </w:rPr>
        <w:t xml:space="preserve">Carotenoids in chemistry and biochemistry of plant pigments </w:t>
      </w:r>
      <w:r w:rsidRPr="00A92FE1">
        <w:rPr>
          <w:rFonts w:ascii="Times New Roman" w:hAnsi="Times New Roman" w:cs="Times New Roman"/>
          <w:bCs/>
          <w:sz w:val="24"/>
          <w:szCs w:val="24"/>
          <w:lang w:val="en-US"/>
        </w:rPr>
        <w:t>(Ed T. W. Goodwin) 19, 154</w:t>
      </w:r>
      <w:r w:rsidRPr="00A92FE1">
        <w:rPr>
          <w:rFonts w:ascii="Times New Roman" w:hAnsi="Times New Roman" w:cs="Times New Roman"/>
          <w:bCs/>
          <w:sz w:val="24"/>
          <w:szCs w:val="24"/>
        </w:rPr>
        <w:t>-</w:t>
      </w:r>
      <w:r w:rsidRPr="00A92FE1">
        <w:rPr>
          <w:rFonts w:ascii="Times New Roman" w:hAnsi="Times New Roman" w:cs="Times New Roman"/>
          <w:bCs/>
          <w:sz w:val="24"/>
          <w:szCs w:val="24"/>
          <w:lang w:val="en-US"/>
        </w:rPr>
        <w:t>155.</w:t>
      </w:r>
    </w:p>
    <w:p w14:paraId="00BA6A13" w14:textId="77777777" w:rsidR="00F03751" w:rsidRPr="00A92FE1" w:rsidRDefault="00F03751" w:rsidP="005C49CD">
      <w:pPr>
        <w:spacing w:line="360" w:lineRule="auto"/>
        <w:jc w:val="both"/>
        <w:rPr>
          <w:rFonts w:ascii="Times New Roman" w:hAnsi="Times New Roman" w:cs="Times New Roman"/>
          <w:sz w:val="24"/>
          <w:szCs w:val="24"/>
        </w:rPr>
      </w:pPr>
      <w:proofErr w:type="spellStart"/>
      <w:r w:rsidRPr="00A92FE1">
        <w:rPr>
          <w:rFonts w:ascii="Times New Roman" w:hAnsi="Times New Roman" w:cs="Times New Roman"/>
          <w:sz w:val="24"/>
          <w:szCs w:val="24"/>
        </w:rPr>
        <w:t>Drioua</w:t>
      </w:r>
      <w:proofErr w:type="spellEnd"/>
      <w:r w:rsidRPr="00A92FE1">
        <w:rPr>
          <w:rFonts w:ascii="Times New Roman" w:hAnsi="Times New Roman" w:cs="Times New Roman"/>
          <w:sz w:val="24"/>
          <w:szCs w:val="24"/>
        </w:rPr>
        <w:t>, S., El-</w:t>
      </w:r>
      <w:proofErr w:type="spellStart"/>
      <w:r w:rsidRPr="00A92FE1">
        <w:rPr>
          <w:rFonts w:ascii="Times New Roman" w:hAnsi="Times New Roman" w:cs="Times New Roman"/>
          <w:sz w:val="24"/>
          <w:szCs w:val="24"/>
        </w:rPr>
        <w:t>Guourrami</w:t>
      </w:r>
      <w:proofErr w:type="spellEnd"/>
      <w:r w:rsidRPr="00A92FE1">
        <w:rPr>
          <w:rFonts w:ascii="Times New Roman" w:hAnsi="Times New Roman" w:cs="Times New Roman"/>
          <w:sz w:val="24"/>
          <w:szCs w:val="24"/>
        </w:rPr>
        <w:t xml:space="preserve">, O., </w:t>
      </w:r>
      <w:proofErr w:type="spellStart"/>
      <w:r w:rsidRPr="00A92FE1">
        <w:rPr>
          <w:rFonts w:ascii="Times New Roman" w:hAnsi="Times New Roman" w:cs="Times New Roman"/>
          <w:sz w:val="24"/>
          <w:szCs w:val="24"/>
        </w:rPr>
        <w:t>Assouguem</w:t>
      </w:r>
      <w:proofErr w:type="spellEnd"/>
      <w:r w:rsidRPr="00A92FE1">
        <w:rPr>
          <w:rFonts w:ascii="Times New Roman" w:hAnsi="Times New Roman" w:cs="Times New Roman"/>
          <w:sz w:val="24"/>
          <w:szCs w:val="24"/>
        </w:rPr>
        <w:t xml:space="preserve">, A., </w:t>
      </w:r>
      <w:proofErr w:type="spellStart"/>
      <w:r w:rsidRPr="00A92FE1">
        <w:rPr>
          <w:rFonts w:ascii="Times New Roman" w:hAnsi="Times New Roman" w:cs="Times New Roman"/>
          <w:sz w:val="24"/>
          <w:szCs w:val="24"/>
        </w:rPr>
        <w:t>Ameggouz</w:t>
      </w:r>
      <w:proofErr w:type="spellEnd"/>
      <w:r w:rsidRPr="00A92FE1">
        <w:rPr>
          <w:rFonts w:ascii="Times New Roman" w:hAnsi="Times New Roman" w:cs="Times New Roman"/>
          <w:sz w:val="24"/>
          <w:szCs w:val="24"/>
        </w:rPr>
        <w:t xml:space="preserve">, M., Kara, M., Ullah, R., and </w:t>
      </w:r>
      <w:proofErr w:type="spellStart"/>
      <w:r w:rsidRPr="00A92FE1">
        <w:rPr>
          <w:rFonts w:ascii="Times New Roman" w:hAnsi="Times New Roman" w:cs="Times New Roman"/>
          <w:sz w:val="24"/>
          <w:szCs w:val="24"/>
        </w:rPr>
        <w:t>Doukkali</w:t>
      </w:r>
      <w:proofErr w:type="spellEnd"/>
      <w:r w:rsidRPr="00A92FE1">
        <w:rPr>
          <w:rFonts w:ascii="Times New Roman" w:hAnsi="Times New Roman" w:cs="Times New Roman"/>
          <w:sz w:val="24"/>
          <w:szCs w:val="24"/>
        </w:rPr>
        <w:t xml:space="preserve">, A. (2024). Phytochemical study, antioxidant activity, and </w:t>
      </w:r>
      <w:proofErr w:type="spellStart"/>
      <w:r w:rsidRPr="00A92FE1">
        <w:rPr>
          <w:rFonts w:ascii="Times New Roman" w:hAnsi="Times New Roman" w:cs="Times New Roman"/>
          <w:sz w:val="24"/>
          <w:szCs w:val="24"/>
        </w:rPr>
        <w:t>dermoprotective</w:t>
      </w:r>
      <w:proofErr w:type="spellEnd"/>
      <w:r w:rsidRPr="00A92FE1">
        <w:rPr>
          <w:rFonts w:ascii="Times New Roman" w:hAnsi="Times New Roman" w:cs="Times New Roman"/>
          <w:sz w:val="24"/>
          <w:szCs w:val="24"/>
        </w:rPr>
        <w:t xml:space="preserve"> activity of </w:t>
      </w:r>
      <w:r w:rsidRPr="00A92FE1">
        <w:rPr>
          <w:rFonts w:ascii="Times New Roman" w:hAnsi="Times New Roman" w:cs="Times New Roman"/>
          <w:i/>
          <w:iCs/>
          <w:sz w:val="24"/>
          <w:szCs w:val="24"/>
        </w:rPr>
        <w:t>Chenopodium ambrosioides</w:t>
      </w:r>
      <w:r w:rsidRPr="00A92FE1">
        <w:rPr>
          <w:rFonts w:ascii="Times New Roman" w:hAnsi="Times New Roman" w:cs="Times New Roman"/>
          <w:sz w:val="24"/>
          <w:szCs w:val="24"/>
        </w:rPr>
        <w:t xml:space="preserve"> (L.). </w:t>
      </w:r>
      <w:r w:rsidRPr="00A92FE1">
        <w:rPr>
          <w:rFonts w:ascii="Times New Roman" w:hAnsi="Times New Roman" w:cs="Times New Roman"/>
          <w:i/>
          <w:iCs/>
          <w:sz w:val="24"/>
          <w:szCs w:val="24"/>
        </w:rPr>
        <w:t>Open Chemistry</w:t>
      </w:r>
      <w:r w:rsidRPr="00A92FE1">
        <w:rPr>
          <w:rFonts w:ascii="Times New Roman" w:hAnsi="Times New Roman" w:cs="Times New Roman"/>
          <w:sz w:val="24"/>
          <w:szCs w:val="24"/>
        </w:rPr>
        <w:t>, </w:t>
      </w:r>
      <w:r w:rsidRPr="00A92FE1">
        <w:rPr>
          <w:rFonts w:ascii="Times New Roman" w:hAnsi="Times New Roman" w:cs="Times New Roman"/>
          <w:i/>
          <w:iCs/>
          <w:sz w:val="24"/>
          <w:szCs w:val="24"/>
        </w:rPr>
        <w:t>22</w:t>
      </w:r>
      <w:r w:rsidRPr="00A92FE1">
        <w:rPr>
          <w:rFonts w:ascii="Times New Roman" w:hAnsi="Times New Roman" w:cs="Times New Roman"/>
          <w:sz w:val="24"/>
          <w:szCs w:val="24"/>
        </w:rPr>
        <w:t>(1), 20230194.</w:t>
      </w:r>
    </w:p>
    <w:p w14:paraId="0A840816"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Farkas, G. L and </w:t>
      </w:r>
      <w:proofErr w:type="spellStart"/>
      <w:r w:rsidRPr="00A92FE1">
        <w:rPr>
          <w:rFonts w:ascii="Times New Roman" w:hAnsi="Times New Roman" w:cs="Times New Roman"/>
          <w:bCs/>
          <w:sz w:val="24"/>
          <w:szCs w:val="24"/>
        </w:rPr>
        <w:t>Kirlay</w:t>
      </w:r>
      <w:proofErr w:type="spellEnd"/>
      <w:r w:rsidRPr="00A92FE1">
        <w:rPr>
          <w:rFonts w:ascii="Times New Roman" w:hAnsi="Times New Roman" w:cs="Times New Roman"/>
          <w:bCs/>
          <w:sz w:val="24"/>
          <w:szCs w:val="24"/>
        </w:rPr>
        <w:t xml:space="preserve">, Z. (1962). Role of phenolics compounds in physiology of plant disease. </w:t>
      </w:r>
      <w:r w:rsidRPr="00A92FE1">
        <w:rPr>
          <w:rFonts w:ascii="Times New Roman" w:hAnsi="Times New Roman" w:cs="Times New Roman"/>
          <w:bCs/>
          <w:i/>
          <w:iCs/>
          <w:sz w:val="24"/>
          <w:szCs w:val="24"/>
        </w:rPr>
        <w:t>Phytopathology</w:t>
      </w:r>
      <w:r w:rsidRPr="00A92FE1">
        <w:rPr>
          <w:rFonts w:ascii="Times New Roman" w:hAnsi="Times New Roman" w:cs="Times New Roman"/>
          <w:bCs/>
          <w:iCs/>
          <w:sz w:val="24"/>
          <w:szCs w:val="24"/>
        </w:rPr>
        <w:t>,</w:t>
      </w:r>
      <w:r w:rsidRPr="00A92FE1">
        <w:rPr>
          <w:rFonts w:ascii="Times New Roman" w:hAnsi="Times New Roman" w:cs="Times New Roman"/>
          <w:bCs/>
          <w:sz w:val="24"/>
          <w:szCs w:val="24"/>
        </w:rPr>
        <w:t xml:space="preserve"> 244, 105-150.</w:t>
      </w:r>
    </w:p>
    <w:p w14:paraId="0636FBC7"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Ghareeb, M. A., Saad, A. M., Abdou, A. M., </w:t>
      </w:r>
      <w:proofErr w:type="spellStart"/>
      <w:r w:rsidRPr="00A92FE1">
        <w:rPr>
          <w:rFonts w:ascii="Times New Roman" w:hAnsi="Times New Roman" w:cs="Times New Roman"/>
          <w:bCs/>
          <w:sz w:val="24"/>
          <w:szCs w:val="24"/>
        </w:rPr>
        <w:t>Refahy</w:t>
      </w:r>
      <w:proofErr w:type="spellEnd"/>
      <w:r w:rsidRPr="00A92FE1">
        <w:rPr>
          <w:rFonts w:ascii="Times New Roman" w:hAnsi="Times New Roman" w:cs="Times New Roman"/>
          <w:bCs/>
          <w:sz w:val="24"/>
          <w:szCs w:val="24"/>
        </w:rPr>
        <w:t xml:space="preserve">, L. A. G., and Ahmed, W. S. (2016). A new kaempferol glycoside with antioxidant activity from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growing in Egypt. </w:t>
      </w:r>
      <w:r w:rsidRPr="00A92FE1">
        <w:rPr>
          <w:rFonts w:ascii="Times New Roman" w:hAnsi="Times New Roman" w:cs="Times New Roman"/>
          <w:bCs/>
          <w:i/>
          <w:iCs/>
          <w:sz w:val="24"/>
          <w:szCs w:val="24"/>
        </w:rPr>
        <w:t>Orient J Chem</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32</w:t>
      </w:r>
      <w:r w:rsidRPr="00A92FE1">
        <w:rPr>
          <w:rFonts w:ascii="Times New Roman" w:hAnsi="Times New Roman" w:cs="Times New Roman"/>
          <w:bCs/>
          <w:sz w:val="24"/>
          <w:szCs w:val="24"/>
        </w:rPr>
        <w:t>(6), 3053-3061.</w:t>
      </w:r>
    </w:p>
    <w:p w14:paraId="0665C0B9"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Gupta, D., Charles, R., Mehta, V. K., Garg, S. N., and Kumar, S. (2002). Chemical examination of the essential oil of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L. from the southern hills of India. </w:t>
      </w:r>
      <w:r w:rsidRPr="00A92FE1">
        <w:rPr>
          <w:rFonts w:ascii="Times New Roman" w:hAnsi="Times New Roman" w:cs="Times New Roman"/>
          <w:bCs/>
          <w:i/>
          <w:iCs/>
          <w:sz w:val="24"/>
          <w:szCs w:val="24"/>
        </w:rPr>
        <w:t>Journal of Essential Oil Research</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14</w:t>
      </w:r>
      <w:r w:rsidRPr="00A92FE1">
        <w:rPr>
          <w:rFonts w:ascii="Times New Roman" w:hAnsi="Times New Roman" w:cs="Times New Roman"/>
          <w:bCs/>
          <w:sz w:val="24"/>
          <w:szCs w:val="24"/>
        </w:rPr>
        <w:t>(2), 93-94.</w:t>
      </w:r>
    </w:p>
    <w:p w14:paraId="089F369D"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Jayraman, J. (1981). In: </w:t>
      </w:r>
      <w:r w:rsidRPr="00A92FE1">
        <w:rPr>
          <w:rFonts w:ascii="Times New Roman" w:hAnsi="Times New Roman" w:cs="Times New Roman"/>
          <w:bCs/>
          <w:i/>
          <w:sz w:val="24"/>
          <w:szCs w:val="24"/>
        </w:rPr>
        <w:t xml:space="preserve">Laboratory Manual in Biochemistry. </w:t>
      </w:r>
      <w:proofErr w:type="spellStart"/>
      <w:r w:rsidRPr="00A92FE1">
        <w:rPr>
          <w:rFonts w:ascii="Times New Roman" w:hAnsi="Times New Roman" w:cs="Times New Roman"/>
          <w:bCs/>
          <w:sz w:val="24"/>
          <w:szCs w:val="24"/>
        </w:rPr>
        <w:t>Willay</w:t>
      </w:r>
      <w:proofErr w:type="spellEnd"/>
      <w:r w:rsidRPr="00A92FE1">
        <w:rPr>
          <w:rFonts w:ascii="Times New Roman" w:hAnsi="Times New Roman" w:cs="Times New Roman"/>
          <w:bCs/>
          <w:sz w:val="24"/>
          <w:szCs w:val="24"/>
        </w:rPr>
        <w:t xml:space="preserve"> Eastern </w:t>
      </w:r>
      <w:proofErr w:type="spellStart"/>
      <w:r w:rsidRPr="00A92FE1">
        <w:rPr>
          <w:rFonts w:ascii="Times New Roman" w:hAnsi="Times New Roman" w:cs="Times New Roman"/>
          <w:bCs/>
          <w:sz w:val="24"/>
          <w:szCs w:val="24"/>
        </w:rPr>
        <w:t>Pvt.</w:t>
      </w:r>
      <w:proofErr w:type="spellEnd"/>
      <w:r w:rsidRPr="00A92FE1">
        <w:rPr>
          <w:rFonts w:ascii="Times New Roman" w:hAnsi="Times New Roman" w:cs="Times New Roman"/>
          <w:bCs/>
          <w:sz w:val="24"/>
          <w:szCs w:val="24"/>
        </w:rPr>
        <w:t xml:space="preserve"> Ltd., New Delhi.</w:t>
      </w:r>
    </w:p>
    <w:p w14:paraId="5EFEE61C" w14:textId="77777777" w:rsidR="00F03751" w:rsidRPr="00A92FE1" w:rsidRDefault="00F03751" w:rsidP="005C49CD">
      <w:pPr>
        <w:spacing w:line="360" w:lineRule="auto"/>
        <w:jc w:val="both"/>
        <w:rPr>
          <w:rFonts w:ascii="Times New Roman" w:hAnsi="Times New Roman" w:cs="Times New Roman"/>
          <w:sz w:val="24"/>
          <w:szCs w:val="24"/>
        </w:rPr>
      </w:pPr>
      <w:r w:rsidRPr="00A92FE1">
        <w:rPr>
          <w:rFonts w:ascii="Times New Roman" w:hAnsi="Times New Roman" w:cs="Times New Roman"/>
          <w:sz w:val="24"/>
          <w:szCs w:val="24"/>
        </w:rPr>
        <w:t xml:space="preserve">Kasali, F. M., </w:t>
      </w:r>
      <w:proofErr w:type="spellStart"/>
      <w:r w:rsidRPr="00A92FE1">
        <w:rPr>
          <w:rFonts w:ascii="Times New Roman" w:hAnsi="Times New Roman" w:cs="Times New Roman"/>
          <w:sz w:val="24"/>
          <w:szCs w:val="24"/>
        </w:rPr>
        <w:t>Tusiimire</w:t>
      </w:r>
      <w:proofErr w:type="spellEnd"/>
      <w:r w:rsidRPr="00A92FE1">
        <w:rPr>
          <w:rFonts w:ascii="Times New Roman" w:hAnsi="Times New Roman" w:cs="Times New Roman"/>
          <w:sz w:val="24"/>
          <w:szCs w:val="24"/>
        </w:rPr>
        <w:t xml:space="preserve">, J., Kadima, J. N., and Agaba, A. G. (2021). Ethnomedical uses, chemical constituents, and evidence-based pharmacological properties of </w:t>
      </w:r>
      <w:r w:rsidRPr="00A92FE1">
        <w:rPr>
          <w:rFonts w:ascii="Times New Roman" w:hAnsi="Times New Roman" w:cs="Times New Roman"/>
          <w:i/>
          <w:iCs/>
          <w:sz w:val="24"/>
          <w:szCs w:val="24"/>
        </w:rPr>
        <w:t>Chenopodium ambrosioides</w:t>
      </w:r>
      <w:r w:rsidRPr="00A92FE1">
        <w:rPr>
          <w:rFonts w:ascii="Times New Roman" w:hAnsi="Times New Roman" w:cs="Times New Roman"/>
          <w:sz w:val="24"/>
          <w:szCs w:val="24"/>
        </w:rPr>
        <w:t xml:space="preserve"> L.: extensive overview. </w:t>
      </w:r>
      <w:r w:rsidRPr="00A92FE1">
        <w:rPr>
          <w:rFonts w:ascii="Times New Roman" w:hAnsi="Times New Roman" w:cs="Times New Roman"/>
          <w:i/>
          <w:iCs/>
          <w:sz w:val="24"/>
          <w:szCs w:val="24"/>
        </w:rPr>
        <w:t>Future Journal of Pharmaceutical Sciences</w:t>
      </w:r>
      <w:r w:rsidRPr="00A92FE1">
        <w:rPr>
          <w:rFonts w:ascii="Times New Roman" w:hAnsi="Times New Roman" w:cs="Times New Roman"/>
          <w:sz w:val="24"/>
          <w:szCs w:val="24"/>
        </w:rPr>
        <w:t>, </w:t>
      </w:r>
      <w:r w:rsidRPr="00A92FE1">
        <w:rPr>
          <w:rFonts w:ascii="Times New Roman" w:hAnsi="Times New Roman" w:cs="Times New Roman"/>
          <w:i/>
          <w:iCs/>
          <w:sz w:val="24"/>
          <w:szCs w:val="24"/>
        </w:rPr>
        <w:t>7</w:t>
      </w:r>
      <w:r w:rsidRPr="00A92FE1">
        <w:rPr>
          <w:rFonts w:ascii="Times New Roman" w:hAnsi="Times New Roman" w:cs="Times New Roman"/>
          <w:sz w:val="24"/>
          <w:szCs w:val="24"/>
        </w:rPr>
        <w:t>(1), 153.</w:t>
      </w:r>
    </w:p>
    <w:p w14:paraId="73CEA3C9"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proofErr w:type="spellStart"/>
      <w:r w:rsidRPr="00A92FE1">
        <w:rPr>
          <w:rFonts w:ascii="Times New Roman" w:hAnsi="Times New Roman" w:cs="Times New Roman"/>
          <w:bCs/>
          <w:sz w:val="24"/>
          <w:szCs w:val="24"/>
        </w:rPr>
        <w:lastRenderedPageBreak/>
        <w:t>Lohdip</w:t>
      </w:r>
      <w:proofErr w:type="spellEnd"/>
      <w:r w:rsidRPr="00A92FE1">
        <w:rPr>
          <w:rFonts w:ascii="Times New Roman" w:hAnsi="Times New Roman" w:cs="Times New Roman"/>
          <w:bCs/>
          <w:sz w:val="24"/>
          <w:szCs w:val="24"/>
        </w:rPr>
        <w:t xml:space="preserve">, A. M., </w:t>
      </w:r>
      <w:proofErr w:type="spellStart"/>
      <w:r w:rsidRPr="00A92FE1">
        <w:rPr>
          <w:rFonts w:ascii="Times New Roman" w:hAnsi="Times New Roman" w:cs="Times New Roman"/>
          <w:bCs/>
          <w:sz w:val="24"/>
          <w:szCs w:val="24"/>
        </w:rPr>
        <w:t>Oyewale</w:t>
      </w:r>
      <w:proofErr w:type="spellEnd"/>
      <w:r w:rsidRPr="00A92FE1">
        <w:rPr>
          <w:rFonts w:ascii="Times New Roman" w:hAnsi="Times New Roman" w:cs="Times New Roman"/>
          <w:bCs/>
          <w:sz w:val="24"/>
          <w:szCs w:val="24"/>
        </w:rPr>
        <w:t xml:space="preserve">, A. O., and </w:t>
      </w:r>
      <w:proofErr w:type="spellStart"/>
      <w:r w:rsidRPr="00A92FE1">
        <w:rPr>
          <w:rFonts w:ascii="Times New Roman" w:hAnsi="Times New Roman" w:cs="Times New Roman"/>
          <w:bCs/>
          <w:sz w:val="24"/>
          <w:szCs w:val="24"/>
        </w:rPr>
        <w:t>Aguiyi</w:t>
      </w:r>
      <w:proofErr w:type="spellEnd"/>
      <w:r w:rsidRPr="00A92FE1">
        <w:rPr>
          <w:rFonts w:ascii="Times New Roman" w:hAnsi="Times New Roman" w:cs="Times New Roman"/>
          <w:bCs/>
          <w:sz w:val="24"/>
          <w:szCs w:val="24"/>
        </w:rPr>
        <w:t xml:space="preserve">, J. C. (2015). Elemental, proximate and amino acid contents analyses of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Linn. </w:t>
      </w:r>
      <w:r w:rsidRPr="00A92FE1">
        <w:rPr>
          <w:rFonts w:ascii="Times New Roman" w:hAnsi="Times New Roman" w:cs="Times New Roman"/>
          <w:bCs/>
          <w:i/>
          <w:iCs/>
          <w:sz w:val="24"/>
          <w:szCs w:val="24"/>
        </w:rPr>
        <w:t>Journal of Chemical Society of Nigeria</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40</w:t>
      </w:r>
      <w:r w:rsidRPr="00A92FE1">
        <w:rPr>
          <w:rFonts w:ascii="Times New Roman" w:hAnsi="Times New Roman" w:cs="Times New Roman"/>
          <w:bCs/>
          <w:sz w:val="24"/>
          <w:szCs w:val="24"/>
        </w:rPr>
        <w:t>(1).</w:t>
      </w:r>
    </w:p>
    <w:p w14:paraId="596E55D9"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Makkar, H. P., </w:t>
      </w:r>
      <w:proofErr w:type="spellStart"/>
      <w:r w:rsidRPr="00A92FE1">
        <w:rPr>
          <w:rFonts w:ascii="Times New Roman" w:hAnsi="Times New Roman" w:cs="Times New Roman"/>
          <w:bCs/>
          <w:sz w:val="24"/>
          <w:szCs w:val="24"/>
        </w:rPr>
        <w:t>Blümmel</w:t>
      </w:r>
      <w:proofErr w:type="spellEnd"/>
      <w:r w:rsidRPr="00A92FE1">
        <w:rPr>
          <w:rFonts w:ascii="Times New Roman" w:hAnsi="Times New Roman" w:cs="Times New Roman"/>
          <w:bCs/>
          <w:sz w:val="24"/>
          <w:szCs w:val="24"/>
        </w:rPr>
        <w:t>, M., Borowy, N. K., and Becker, K. (1993). Gravimetric determination of tannins and their correlations with chemical and protein precipitation methods. </w:t>
      </w:r>
      <w:r w:rsidRPr="00A92FE1">
        <w:rPr>
          <w:rFonts w:ascii="Times New Roman" w:hAnsi="Times New Roman" w:cs="Times New Roman"/>
          <w:bCs/>
          <w:i/>
          <w:iCs/>
          <w:sz w:val="24"/>
          <w:szCs w:val="24"/>
        </w:rPr>
        <w:t>Journal of the Science of Food and Agriculture</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61</w:t>
      </w:r>
      <w:r w:rsidRPr="00A92FE1">
        <w:rPr>
          <w:rFonts w:ascii="Times New Roman" w:hAnsi="Times New Roman" w:cs="Times New Roman"/>
          <w:bCs/>
          <w:sz w:val="24"/>
          <w:szCs w:val="24"/>
        </w:rPr>
        <w:t>(2), 161-165.</w:t>
      </w:r>
    </w:p>
    <w:p w14:paraId="78E03B2C"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 xml:space="preserve">Minson, D. J. (1982). The chemical composition and nutritive value of tropical grasses </w:t>
      </w:r>
      <w:proofErr w:type="gramStart"/>
      <w:r w:rsidRPr="00A92FE1">
        <w:rPr>
          <w:rFonts w:ascii="Times New Roman" w:hAnsi="Times New Roman" w:cs="Times New Roman"/>
          <w:bCs/>
          <w:sz w:val="24"/>
          <w:szCs w:val="24"/>
          <w:lang w:val="en-US"/>
        </w:rPr>
        <w:t>In</w:t>
      </w:r>
      <w:proofErr w:type="gramEnd"/>
      <w:r w:rsidRPr="00A92FE1">
        <w:rPr>
          <w:rFonts w:ascii="Times New Roman" w:hAnsi="Times New Roman" w:cs="Times New Roman"/>
          <w:bCs/>
          <w:sz w:val="24"/>
          <w:szCs w:val="24"/>
          <w:lang w:val="en-US"/>
        </w:rPr>
        <w:t xml:space="preserve">: </w:t>
      </w:r>
      <w:r w:rsidRPr="00A92FE1">
        <w:rPr>
          <w:rFonts w:ascii="Times New Roman" w:hAnsi="Times New Roman" w:cs="Times New Roman"/>
          <w:bCs/>
          <w:i/>
          <w:sz w:val="24"/>
          <w:szCs w:val="24"/>
          <w:lang w:val="en-US"/>
        </w:rPr>
        <w:t>Tropical Grasses</w:t>
      </w:r>
      <w:r w:rsidRPr="00A92FE1">
        <w:rPr>
          <w:rFonts w:ascii="Times New Roman" w:hAnsi="Times New Roman" w:cs="Times New Roman"/>
          <w:bCs/>
          <w:sz w:val="24"/>
          <w:szCs w:val="24"/>
          <w:lang w:val="en-US"/>
        </w:rPr>
        <w:t>. (Ed): P.J Skerman, Rome F.A.O.</w:t>
      </w:r>
    </w:p>
    <w:p w14:paraId="4D4B02EA" w14:textId="77777777" w:rsidR="00F03751" w:rsidRPr="00A92FE1" w:rsidRDefault="00F03751" w:rsidP="005C49CD">
      <w:pPr>
        <w:spacing w:line="360" w:lineRule="auto"/>
        <w:jc w:val="both"/>
        <w:rPr>
          <w:rFonts w:ascii="Times New Roman" w:hAnsi="Times New Roman" w:cs="Times New Roman"/>
          <w:sz w:val="24"/>
          <w:szCs w:val="24"/>
        </w:rPr>
      </w:pPr>
      <w:r w:rsidRPr="00A92FE1">
        <w:rPr>
          <w:rFonts w:ascii="Times New Roman" w:hAnsi="Times New Roman" w:cs="Times New Roman"/>
          <w:sz w:val="24"/>
          <w:szCs w:val="24"/>
        </w:rPr>
        <w:t xml:space="preserve">Monteiro, J. N. M., </w:t>
      </w:r>
      <w:proofErr w:type="spellStart"/>
      <w:r w:rsidRPr="00A92FE1">
        <w:rPr>
          <w:rFonts w:ascii="Times New Roman" w:hAnsi="Times New Roman" w:cs="Times New Roman"/>
          <w:sz w:val="24"/>
          <w:szCs w:val="24"/>
        </w:rPr>
        <w:t>Archanjo</w:t>
      </w:r>
      <w:proofErr w:type="spellEnd"/>
      <w:r w:rsidRPr="00A92FE1">
        <w:rPr>
          <w:rFonts w:ascii="Times New Roman" w:hAnsi="Times New Roman" w:cs="Times New Roman"/>
          <w:sz w:val="24"/>
          <w:szCs w:val="24"/>
        </w:rPr>
        <w:t xml:space="preserve">, A. B., Passos, G. P., Costa, A. V., Porfirio, L. C., and Martins, I. V. F. (2017). </w:t>
      </w:r>
      <w:r w:rsidRPr="00A92FE1">
        <w:rPr>
          <w:rFonts w:ascii="Times New Roman" w:hAnsi="Times New Roman" w:cs="Times New Roman"/>
          <w:i/>
          <w:iCs/>
          <w:sz w:val="24"/>
          <w:szCs w:val="24"/>
        </w:rPr>
        <w:t>Chenopodium ambrosioides</w:t>
      </w:r>
      <w:r w:rsidRPr="00A92FE1">
        <w:rPr>
          <w:rFonts w:ascii="Times New Roman" w:hAnsi="Times New Roman" w:cs="Times New Roman"/>
          <w:sz w:val="24"/>
          <w:szCs w:val="24"/>
        </w:rPr>
        <w:t xml:space="preserve"> L. essential oil and ethanol extract on control of canine Ancylostoma spp. </w:t>
      </w:r>
      <w:proofErr w:type="spellStart"/>
      <w:r w:rsidRPr="00A92FE1">
        <w:rPr>
          <w:rFonts w:ascii="Times New Roman" w:hAnsi="Times New Roman" w:cs="Times New Roman"/>
          <w:sz w:val="24"/>
          <w:szCs w:val="24"/>
        </w:rPr>
        <w:t>Extrato</w:t>
      </w:r>
      <w:proofErr w:type="spellEnd"/>
      <w:r w:rsidRPr="00A92FE1">
        <w:rPr>
          <w:rFonts w:ascii="Times New Roman" w:hAnsi="Times New Roman" w:cs="Times New Roman"/>
          <w:sz w:val="24"/>
          <w:szCs w:val="24"/>
        </w:rPr>
        <w:t xml:space="preserve"> </w:t>
      </w:r>
      <w:proofErr w:type="spellStart"/>
      <w:r w:rsidRPr="00A92FE1">
        <w:rPr>
          <w:rFonts w:ascii="Times New Roman" w:hAnsi="Times New Roman" w:cs="Times New Roman"/>
          <w:sz w:val="24"/>
          <w:szCs w:val="24"/>
        </w:rPr>
        <w:t>etanólico</w:t>
      </w:r>
      <w:proofErr w:type="spellEnd"/>
      <w:r w:rsidRPr="00A92FE1">
        <w:rPr>
          <w:rFonts w:ascii="Times New Roman" w:hAnsi="Times New Roman" w:cs="Times New Roman"/>
          <w:sz w:val="24"/>
          <w:szCs w:val="24"/>
        </w:rPr>
        <w:t xml:space="preserve"> e </w:t>
      </w:r>
      <w:proofErr w:type="spellStart"/>
      <w:r w:rsidRPr="00A92FE1">
        <w:rPr>
          <w:rFonts w:ascii="Times New Roman" w:hAnsi="Times New Roman" w:cs="Times New Roman"/>
          <w:sz w:val="24"/>
          <w:szCs w:val="24"/>
        </w:rPr>
        <w:t>óleo</w:t>
      </w:r>
      <w:proofErr w:type="spellEnd"/>
      <w:r w:rsidRPr="00A92FE1">
        <w:rPr>
          <w:rFonts w:ascii="Times New Roman" w:hAnsi="Times New Roman" w:cs="Times New Roman"/>
          <w:sz w:val="24"/>
          <w:szCs w:val="24"/>
        </w:rPr>
        <w:t xml:space="preserve"> </w:t>
      </w:r>
      <w:proofErr w:type="spellStart"/>
      <w:r w:rsidRPr="00A92FE1">
        <w:rPr>
          <w:rFonts w:ascii="Times New Roman" w:hAnsi="Times New Roman" w:cs="Times New Roman"/>
          <w:sz w:val="24"/>
          <w:szCs w:val="24"/>
        </w:rPr>
        <w:t>essencial</w:t>
      </w:r>
      <w:proofErr w:type="spellEnd"/>
      <w:r w:rsidRPr="00A92FE1">
        <w:rPr>
          <w:rFonts w:ascii="Times New Roman" w:hAnsi="Times New Roman" w:cs="Times New Roman"/>
          <w:sz w:val="24"/>
          <w:szCs w:val="24"/>
        </w:rPr>
        <w:t xml:space="preserve"> de </w:t>
      </w:r>
      <w:r w:rsidRPr="00A92FE1">
        <w:rPr>
          <w:rFonts w:ascii="Times New Roman" w:hAnsi="Times New Roman" w:cs="Times New Roman"/>
          <w:i/>
          <w:iCs/>
          <w:sz w:val="24"/>
          <w:szCs w:val="24"/>
        </w:rPr>
        <w:t xml:space="preserve">Chenopodium </w:t>
      </w:r>
      <w:proofErr w:type="spellStart"/>
      <w:r w:rsidRPr="00A92FE1">
        <w:rPr>
          <w:rFonts w:ascii="Times New Roman" w:hAnsi="Times New Roman" w:cs="Times New Roman"/>
          <w:i/>
          <w:iCs/>
          <w:sz w:val="24"/>
          <w:szCs w:val="24"/>
        </w:rPr>
        <w:t>ambrosioides</w:t>
      </w:r>
      <w:proofErr w:type="spellEnd"/>
      <w:r w:rsidRPr="00A92FE1">
        <w:rPr>
          <w:rFonts w:ascii="Times New Roman" w:hAnsi="Times New Roman" w:cs="Times New Roman"/>
          <w:sz w:val="24"/>
          <w:szCs w:val="24"/>
        </w:rPr>
        <w:t xml:space="preserve"> L. no </w:t>
      </w:r>
      <w:proofErr w:type="spellStart"/>
      <w:r w:rsidRPr="00A92FE1">
        <w:rPr>
          <w:rFonts w:ascii="Times New Roman" w:hAnsi="Times New Roman" w:cs="Times New Roman"/>
          <w:sz w:val="24"/>
          <w:szCs w:val="24"/>
        </w:rPr>
        <w:t>controle</w:t>
      </w:r>
      <w:proofErr w:type="spellEnd"/>
      <w:r w:rsidRPr="00A92FE1">
        <w:rPr>
          <w:rFonts w:ascii="Times New Roman" w:hAnsi="Times New Roman" w:cs="Times New Roman"/>
          <w:sz w:val="24"/>
          <w:szCs w:val="24"/>
        </w:rPr>
        <w:t xml:space="preserve"> de </w:t>
      </w:r>
      <w:proofErr w:type="spellStart"/>
      <w:r w:rsidRPr="00A92FE1">
        <w:rPr>
          <w:rFonts w:ascii="Times New Roman" w:hAnsi="Times New Roman" w:cs="Times New Roman"/>
          <w:sz w:val="24"/>
          <w:szCs w:val="24"/>
        </w:rPr>
        <w:t>Ancylostoma</w:t>
      </w:r>
      <w:proofErr w:type="spellEnd"/>
      <w:r w:rsidRPr="00A92FE1">
        <w:rPr>
          <w:rFonts w:ascii="Times New Roman" w:hAnsi="Times New Roman" w:cs="Times New Roman"/>
          <w:sz w:val="24"/>
          <w:szCs w:val="24"/>
        </w:rPr>
        <w:t xml:space="preserve"> spp. de </w:t>
      </w:r>
      <w:proofErr w:type="spellStart"/>
      <w:r w:rsidRPr="00A92FE1">
        <w:rPr>
          <w:rFonts w:ascii="Times New Roman" w:hAnsi="Times New Roman" w:cs="Times New Roman"/>
          <w:sz w:val="24"/>
          <w:szCs w:val="24"/>
        </w:rPr>
        <w:t>cães</w:t>
      </w:r>
      <w:proofErr w:type="spellEnd"/>
      <w:r w:rsidRPr="00A92FE1">
        <w:rPr>
          <w:rFonts w:ascii="Times New Roman" w:hAnsi="Times New Roman" w:cs="Times New Roman"/>
          <w:sz w:val="24"/>
          <w:szCs w:val="24"/>
        </w:rPr>
        <w:t>. </w:t>
      </w:r>
      <w:proofErr w:type="spellStart"/>
      <w:r w:rsidRPr="00A92FE1">
        <w:rPr>
          <w:rFonts w:ascii="Times New Roman" w:hAnsi="Times New Roman" w:cs="Times New Roman"/>
          <w:i/>
          <w:iCs/>
          <w:sz w:val="24"/>
          <w:szCs w:val="24"/>
        </w:rPr>
        <w:t>Semina</w:t>
      </w:r>
      <w:proofErr w:type="spellEnd"/>
      <w:r w:rsidRPr="00A92FE1">
        <w:rPr>
          <w:rFonts w:ascii="Times New Roman" w:hAnsi="Times New Roman" w:cs="Times New Roman"/>
          <w:i/>
          <w:iCs/>
          <w:sz w:val="24"/>
          <w:szCs w:val="24"/>
        </w:rPr>
        <w:t xml:space="preserve">: </w:t>
      </w:r>
      <w:proofErr w:type="spellStart"/>
      <w:r w:rsidRPr="00A92FE1">
        <w:rPr>
          <w:rFonts w:ascii="Times New Roman" w:hAnsi="Times New Roman" w:cs="Times New Roman"/>
          <w:i/>
          <w:iCs/>
          <w:sz w:val="24"/>
          <w:szCs w:val="24"/>
        </w:rPr>
        <w:t>Ciências</w:t>
      </w:r>
      <w:proofErr w:type="spellEnd"/>
      <w:r w:rsidRPr="00A92FE1">
        <w:rPr>
          <w:rFonts w:ascii="Times New Roman" w:hAnsi="Times New Roman" w:cs="Times New Roman"/>
          <w:i/>
          <w:iCs/>
          <w:sz w:val="24"/>
          <w:szCs w:val="24"/>
        </w:rPr>
        <w:t xml:space="preserve"> </w:t>
      </w:r>
      <w:proofErr w:type="spellStart"/>
      <w:r w:rsidRPr="00A92FE1">
        <w:rPr>
          <w:rFonts w:ascii="Times New Roman" w:hAnsi="Times New Roman" w:cs="Times New Roman"/>
          <w:i/>
          <w:iCs/>
          <w:sz w:val="24"/>
          <w:szCs w:val="24"/>
        </w:rPr>
        <w:t>Agrárias</w:t>
      </w:r>
      <w:proofErr w:type="spellEnd"/>
      <w:r w:rsidRPr="00A92FE1">
        <w:rPr>
          <w:rFonts w:ascii="Times New Roman" w:hAnsi="Times New Roman" w:cs="Times New Roman"/>
          <w:i/>
          <w:iCs/>
          <w:sz w:val="24"/>
          <w:szCs w:val="24"/>
        </w:rPr>
        <w:t>, Londrina</w:t>
      </w:r>
      <w:r w:rsidRPr="00A92FE1">
        <w:rPr>
          <w:rFonts w:ascii="Times New Roman" w:hAnsi="Times New Roman" w:cs="Times New Roman"/>
          <w:sz w:val="24"/>
          <w:szCs w:val="24"/>
        </w:rPr>
        <w:t>, </w:t>
      </w:r>
      <w:r w:rsidRPr="00A92FE1">
        <w:rPr>
          <w:rFonts w:ascii="Times New Roman" w:hAnsi="Times New Roman" w:cs="Times New Roman"/>
          <w:i/>
          <w:iCs/>
          <w:sz w:val="24"/>
          <w:szCs w:val="24"/>
        </w:rPr>
        <w:t>38</w:t>
      </w:r>
      <w:r w:rsidRPr="00A92FE1">
        <w:rPr>
          <w:rFonts w:ascii="Times New Roman" w:hAnsi="Times New Roman" w:cs="Times New Roman"/>
          <w:sz w:val="24"/>
          <w:szCs w:val="24"/>
        </w:rPr>
        <w:t>(4), 1947-1954.</w:t>
      </w:r>
    </w:p>
    <w:p w14:paraId="51BBB5A1"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Mushtaq, T., Bahadur, A., Shah, Z., Danish, M., and Khalid, S. (2012). Elemental and nutritional analysis and ethnomedicinal study of selected wild plants species of District Swabi, Khyber Pakhtunkhwa, Pakistan. </w:t>
      </w:r>
      <w:r w:rsidRPr="00A92FE1">
        <w:rPr>
          <w:rFonts w:ascii="Times New Roman" w:hAnsi="Times New Roman" w:cs="Times New Roman"/>
          <w:bCs/>
          <w:i/>
          <w:iCs/>
          <w:sz w:val="24"/>
          <w:szCs w:val="24"/>
        </w:rPr>
        <w:t>Pakistan. J Pharm Res</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5</w:t>
      </w:r>
      <w:r w:rsidRPr="00A92FE1">
        <w:rPr>
          <w:rFonts w:ascii="Times New Roman" w:hAnsi="Times New Roman" w:cs="Times New Roman"/>
          <w:bCs/>
          <w:sz w:val="24"/>
          <w:szCs w:val="24"/>
        </w:rPr>
        <w:t>(9), 4910-4913.</w:t>
      </w:r>
    </w:p>
    <w:p w14:paraId="2933CD89" w14:textId="77777777" w:rsidR="00F03751" w:rsidRPr="00A92FE1" w:rsidRDefault="00F03751" w:rsidP="005C49CD">
      <w:pPr>
        <w:spacing w:line="360" w:lineRule="auto"/>
        <w:jc w:val="both"/>
        <w:rPr>
          <w:rFonts w:ascii="Times New Roman" w:hAnsi="Times New Roman" w:cs="Times New Roman"/>
          <w:sz w:val="24"/>
          <w:szCs w:val="24"/>
        </w:rPr>
      </w:pPr>
      <w:proofErr w:type="spellStart"/>
      <w:r w:rsidRPr="00A92FE1">
        <w:rPr>
          <w:rFonts w:ascii="Times New Roman" w:hAnsi="Times New Roman" w:cs="Times New Roman"/>
          <w:sz w:val="24"/>
          <w:szCs w:val="24"/>
        </w:rPr>
        <w:t>Nyasvisvo</w:t>
      </w:r>
      <w:proofErr w:type="spellEnd"/>
      <w:r w:rsidRPr="00A92FE1">
        <w:rPr>
          <w:rFonts w:ascii="Times New Roman" w:hAnsi="Times New Roman" w:cs="Times New Roman"/>
          <w:sz w:val="24"/>
          <w:szCs w:val="24"/>
        </w:rPr>
        <w:t xml:space="preserve">, D. S., </w:t>
      </w:r>
      <w:proofErr w:type="spellStart"/>
      <w:r w:rsidRPr="00A92FE1">
        <w:rPr>
          <w:rFonts w:ascii="Times New Roman" w:hAnsi="Times New Roman" w:cs="Times New Roman"/>
          <w:sz w:val="24"/>
          <w:szCs w:val="24"/>
        </w:rPr>
        <w:t>Nhiwatiwa</w:t>
      </w:r>
      <w:proofErr w:type="spellEnd"/>
      <w:r w:rsidRPr="00A92FE1">
        <w:rPr>
          <w:rFonts w:ascii="Times New Roman" w:hAnsi="Times New Roman" w:cs="Times New Roman"/>
          <w:sz w:val="24"/>
          <w:szCs w:val="24"/>
        </w:rPr>
        <w:t xml:space="preserve">, T., Sithole, R., Sande, S., and </w:t>
      </w:r>
      <w:proofErr w:type="spellStart"/>
      <w:r w:rsidRPr="00A92FE1">
        <w:rPr>
          <w:rFonts w:ascii="Times New Roman" w:hAnsi="Times New Roman" w:cs="Times New Roman"/>
          <w:sz w:val="24"/>
          <w:szCs w:val="24"/>
        </w:rPr>
        <w:t>Chapano</w:t>
      </w:r>
      <w:proofErr w:type="spellEnd"/>
      <w:r w:rsidRPr="00A92FE1">
        <w:rPr>
          <w:rFonts w:ascii="Times New Roman" w:hAnsi="Times New Roman" w:cs="Times New Roman"/>
          <w:sz w:val="24"/>
          <w:szCs w:val="24"/>
        </w:rPr>
        <w:t xml:space="preserve">, C. (2024). An </w:t>
      </w:r>
      <w:proofErr w:type="spellStart"/>
      <w:r w:rsidRPr="00A92FE1">
        <w:rPr>
          <w:rFonts w:ascii="Times New Roman" w:hAnsi="Times New Roman" w:cs="Times New Roman"/>
          <w:sz w:val="24"/>
          <w:szCs w:val="24"/>
        </w:rPr>
        <w:t>An</w:t>
      </w:r>
      <w:proofErr w:type="spellEnd"/>
      <w:r w:rsidRPr="00A92FE1">
        <w:rPr>
          <w:rFonts w:ascii="Times New Roman" w:hAnsi="Times New Roman" w:cs="Times New Roman"/>
          <w:sz w:val="24"/>
          <w:szCs w:val="24"/>
        </w:rPr>
        <w:t xml:space="preserve"> ethnobotanical survey of plants used against host-seeking mosquitoes by communities in Mazowe and </w:t>
      </w:r>
      <w:proofErr w:type="spellStart"/>
      <w:r w:rsidRPr="00A92FE1">
        <w:rPr>
          <w:rFonts w:ascii="Times New Roman" w:hAnsi="Times New Roman" w:cs="Times New Roman"/>
          <w:sz w:val="24"/>
          <w:szCs w:val="24"/>
        </w:rPr>
        <w:t>Shamva</w:t>
      </w:r>
      <w:proofErr w:type="spellEnd"/>
      <w:r w:rsidRPr="00A92FE1">
        <w:rPr>
          <w:rFonts w:ascii="Times New Roman" w:hAnsi="Times New Roman" w:cs="Times New Roman"/>
          <w:sz w:val="24"/>
          <w:szCs w:val="24"/>
        </w:rPr>
        <w:t xml:space="preserve"> districts, Zimbabwe. </w:t>
      </w:r>
      <w:r w:rsidRPr="00A92FE1">
        <w:rPr>
          <w:rFonts w:ascii="Times New Roman" w:hAnsi="Times New Roman" w:cs="Times New Roman"/>
          <w:i/>
          <w:iCs/>
          <w:sz w:val="24"/>
          <w:szCs w:val="24"/>
        </w:rPr>
        <w:t>Ethnobotany Research and Applications</w:t>
      </w:r>
      <w:r w:rsidRPr="00A92FE1">
        <w:rPr>
          <w:rFonts w:ascii="Times New Roman" w:hAnsi="Times New Roman" w:cs="Times New Roman"/>
          <w:sz w:val="24"/>
          <w:szCs w:val="24"/>
        </w:rPr>
        <w:t>, </w:t>
      </w:r>
      <w:r w:rsidRPr="00A92FE1">
        <w:rPr>
          <w:rFonts w:ascii="Times New Roman" w:hAnsi="Times New Roman" w:cs="Times New Roman"/>
          <w:i/>
          <w:iCs/>
          <w:sz w:val="24"/>
          <w:szCs w:val="24"/>
        </w:rPr>
        <w:t>28</w:t>
      </w:r>
      <w:r w:rsidRPr="00A92FE1">
        <w:rPr>
          <w:rFonts w:ascii="Times New Roman" w:hAnsi="Times New Roman" w:cs="Times New Roman"/>
          <w:sz w:val="24"/>
          <w:szCs w:val="24"/>
        </w:rPr>
        <w:t>, 1-19.</w:t>
      </w:r>
    </w:p>
    <w:p w14:paraId="4360D7C3"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proofErr w:type="spellStart"/>
      <w:r w:rsidRPr="00A92FE1">
        <w:rPr>
          <w:rFonts w:ascii="Times New Roman" w:hAnsi="Times New Roman" w:cs="Times New Roman"/>
          <w:bCs/>
          <w:sz w:val="24"/>
          <w:szCs w:val="24"/>
        </w:rPr>
        <w:t>Okhale</w:t>
      </w:r>
      <w:proofErr w:type="spellEnd"/>
      <w:r w:rsidRPr="00A92FE1">
        <w:rPr>
          <w:rFonts w:ascii="Times New Roman" w:hAnsi="Times New Roman" w:cs="Times New Roman"/>
          <w:bCs/>
          <w:sz w:val="24"/>
          <w:szCs w:val="24"/>
        </w:rPr>
        <w:t xml:space="preserve">, S. E., Egharevba, H. O., Ona, E. C., and Kunle, O. F. (2012). </w:t>
      </w:r>
      <w:proofErr w:type="spellStart"/>
      <w:r w:rsidRPr="00A92FE1">
        <w:rPr>
          <w:rFonts w:ascii="Times New Roman" w:hAnsi="Times New Roman" w:cs="Times New Roman"/>
          <w:bCs/>
          <w:sz w:val="24"/>
          <w:szCs w:val="24"/>
        </w:rPr>
        <w:t>Phytochemicaland</w:t>
      </w:r>
      <w:proofErr w:type="spellEnd"/>
      <w:r w:rsidRPr="00A92FE1">
        <w:rPr>
          <w:rFonts w:ascii="Times New Roman" w:hAnsi="Times New Roman" w:cs="Times New Roman"/>
          <w:bCs/>
          <w:sz w:val="24"/>
          <w:szCs w:val="24"/>
        </w:rPr>
        <w:t xml:space="preserve"> proximate analyses and thin layer chromatography fingerprinting of the aerial part of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Linn. (Chenopodiaceae). </w:t>
      </w:r>
      <w:r w:rsidRPr="00A92FE1">
        <w:rPr>
          <w:rFonts w:ascii="Times New Roman" w:hAnsi="Times New Roman" w:cs="Times New Roman"/>
          <w:bCs/>
          <w:i/>
          <w:iCs/>
          <w:sz w:val="24"/>
          <w:szCs w:val="24"/>
        </w:rPr>
        <w:t>Journal of Medicinal Plants Research</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w:t>
      </w:r>
      <w:r w:rsidRPr="00A92FE1">
        <w:rPr>
          <w:rFonts w:ascii="Times New Roman" w:hAnsi="Times New Roman" w:cs="Times New Roman"/>
          <w:bCs/>
          <w:sz w:val="24"/>
          <w:szCs w:val="24"/>
        </w:rPr>
        <w:t>(12), 2289-2294.</w:t>
      </w:r>
    </w:p>
    <w:p w14:paraId="75422941"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 xml:space="preserve">Panse, V. G and </w:t>
      </w:r>
      <w:proofErr w:type="spellStart"/>
      <w:r w:rsidRPr="00A92FE1">
        <w:rPr>
          <w:rFonts w:ascii="Times New Roman" w:hAnsi="Times New Roman" w:cs="Times New Roman"/>
          <w:bCs/>
          <w:sz w:val="24"/>
          <w:szCs w:val="24"/>
          <w:lang w:val="en-US"/>
        </w:rPr>
        <w:t>Sukhatme</w:t>
      </w:r>
      <w:proofErr w:type="spellEnd"/>
      <w:r w:rsidRPr="00A92FE1">
        <w:rPr>
          <w:rFonts w:ascii="Times New Roman" w:hAnsi="Times New Roman" w:cs="Times New Roman"/>
          <w:bCs/>
          <w:sz w:val="24"/>
          <w:szCs w:val="24"/>
          <w:lang w:val="en-US"/>
        </w:rPr>
        <w:t>, P. V. (1984). Statistical methods for agricultural workers, ICAR, New Delhi.</w:t>
      </w:r>
    </w:p>
    <w:p w14:paraId="0635A584"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 xml:space="preserve">Piper, C. S. (1966). Methods for the </w:t>
      </w:r>
      <w:proofErr w:type="spellStart"/>
      <w:r w:rsidRPr="00A92FE1">
        <w:rPr>
          <w:rFonts w:ascii="Times New Roman" w:hAnsi="Times New Roman" w:cs="Times New Roman"/>
          <w:bCs/>
          <w:sz w:val="24"/>
          <w:szCs w:val="24"/>
          <w:lang w:val="en-US"/>
        </w:rPr>
        <w:t>ashing</w:t>
      </w:r>
      <w:proofErr w:type="spellEnd"/>
      <w:r w:rsidRPr="00A92FE1">
        <w:rPr>
          <w:rFonts w:ascii="Times New Roman" w:hAnsi="Times New Roman" w:cs="Times New Roman"/>
          <w:bCs/>
          <w:sz w:val="24"/>
          <w:szCs w:val="24"/>
          <w:lang w:val="en-US"/>
        </w:rPr>
        <w:t xml:space="preserve"> of plant materials (Chapter-II). In: Soil and Plants Analysis. Hans Publishers, Nicol Road, Bombay 258</w:t>
      </w:r>
      <w:r w:rsidRPr="00A92FE1">
        <w:rPr>
          <w:rFonts w:ascii="Times New Roman" w:hAnsi="Times New Roman" w:cs="Times New Roman"/>
          <w:bCs/>
          <w:sz w:val="24"/>
          <w:szCs w:val="24"/>
        </w:rPr>
        <w:t>-</w:t>
      </w:r>
      <w:r w:rsidRPr="00A92FE1">
        <w:rPr>
          <w:rFonts w:ascii="Times New Roman" w:hAnsi="Times New Roman" w:cs="Times New Roman"/>
          <w:bCs/>
          <w:sz w:val="24"/>
          <w:szCs w:val="24"/>
          <w:lang w:val="en-US"/>
        </w:rPr>
        <w:t>275.</w:t>
      </w:r>
    </w:p>
    <w:p w14:paraId="531B7904"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 xml:space="preserve">Sharma, O. P and Bhat, T. K. (2009). DPPH antioxidant assay revisited. </w:t>
      </w:r>
      <w:r w:rsidRPr="00A92FE1">
        <w:rPr>
          <w:rFonts w:ascii="Times New Roman" w:hAnsi="Times New Roman" w:cs="Times New Roman"/>
          <w:bCs/>
          <w:i/>
          <w:sz w:val="24"/>
          <w:szCs w:val="24"/>
          <w:lang w:val="en-US"/>
        </w:rPr>
        <w:t>Food Chemistry</w:t>
      </w:r>
      <w:r w:rsidRPr="00A92FE1">
        <w:rPr>
          <w:rFonts w:ascii="Times New Roman" w:hAnsi="Times New Roman" w:cs="Times New Roman"/>
          <w:bCs/>
          <w:sz w:val="24"/>
          <w:szCs w:val="24"/>
          <w:lang w:val="en-US"/>
        </w:rPr>
        <w:t xml:space="preserve">, </w:t>
      </w:r>
      <w:r w:rsidRPr="00A92FE1">
        <w:rPr>
          <w:rFonts w:ascii="Times New Roman" w:hAnsi="Times New Roman" w:cs="Times New Roman"/>
          <w:bCs/>
          <w:i/>
          <w:iCs/>
          <w:sz w:val="24"/>
          <w:szCs w:val="24"/>
          <w:lang w:val="en-US"/>
        </w:rPr>
        <w:t>113</w:t>
      </w:r>
      <w:r w:rsidRPr="00A92FE1">
        <w:rPr>
          <w:rFonts w:ascii="Times New Roman" w:hAnsi="Times New Roman" w:cs="Times New Roman"/>
          <w:bCs/>
          <w:sz w:val="24"/>
          <w:szCs w:val="24"/>
          <w:lang w:val="en-US"/>
        </w:rPr>
        <w:t>(4), 1202</w:t>
      </w:r>
      <w:r w:rsidRPr="00A92FE1">
        <w:rPr>
          <w:rFonts w:ascii="Times New Roman" w:hAnsi="Times New Roman" w:cs="Times New Roman"/>
          <w:bCs/>
          <w:sz w:val="24"/>
          <w:szCs w:val="24"/>
        </w:rPr>
        <w:t>-</w:t>
      </w:r>
      <w:r w:rsidRPr="00A92FE1">
        <w:rPr>
          <w:rFonts w:ascii="Times New Roman" w:hAnsi="Times New Roman" w:cs="Times New Roman"/>
          <w:bCs/>
          <w:sz w:val="24"/>
          <w:szCs w:val="24"/>
          <w:lang w:val="en-US"/>
        </w:rPr>
        <w:t>1205.</w:t>
      </w:r>
    </w:p>
    <w:p w14:paraId="5FFE73E8"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lastRenderedPageBreak/>
        <w:t xml:space="preserve">Silva, L. I., </w:t>
      </w:r>
      <w:proofErr w:type="spellStart"/>
      <w:r w:rsidRPr="00A92FE1">
        <w:rPr>
          <w:rFonts w:ascii="Times New Roman" w:hAnsi="Times New Roman" w:cs="Times New Roman"/>
          <w:bCs/>
          <w:sz w:val="24"/>
          <w:szCs w:val="24"/>
        </w:rPr>
        <w:t>Karuppusamy</w:t>
      </w:r>
      <w:proofErr w:type="spellEnd"/>
      <w:r w:rsidRPr="00A92FE1">
        <w:rPr>
          <w:rFonts w:ascii="Times New Roman" w:hAnsi="Times New Roman" w:cs="Times New Roman"/>
          <w:bCs/>
          <w:sz w:val="24"/>
          <w:szCs w:val="24"/>
        </w:rPr>
        <w:t xml:space="preserve">, A. R. U. N. A. C. H. A. L. A. M., Miyajima, F., Violante, I. M. P., Bieski, I. G. C., Balogun, S. O., and Martins, D. T. O. (2017). Antimicrobial and antioxidant activities of selected plants used by populations from </w:t>
      </w:r>
      <w:proofErr w:type="spellStart"/>
      <w:r w:rsidRPr="00A92FE1">
        <w:rPr>
          <w:rFonts w:ascii="Times New Roman" w:hAnsi="Times New Roman" w:cs="Times New Roman"/>
          <w:bCs/>
          <w:sz w:val="24"/>
          <w:szCs w:val="24"/>
        </w:rPr>
        <w:t>Juruena</w:t>
      </w:r>
      <w:proofErr w:type="spellEnd"/>
      <w:r w:rsidRPr="00A92FE1">
        <w:rPr>
          <w:rFonts w:ascii="Times New Roman" w:hAnsi="Times New Roman" w:cs="Times New Roman"/>
          <w:bCs/>
          <w:sz w:val="24"/>
          <w:szCs w:val="24"/>
        </w:rPr>
        <w:t xml:space="preserve"> Valley, Legal Amazon, Brazil. </w:t>
      </w:r>
      <w:r w:rsidRPr="00A92FE1">
        <w:rPr>
          <w:rFonts w:ascii="Times New Roman" w:hAnsi="Times New Roman" w:cs="Times New Roman"/>
          <w:bCs/>
          <w:i/>
          <w:iCs/>
          <w:sz w:val="24"/>
          <w:szCs w:val="24"/>
        </w:rPr>
        <w:t>International Journal of Pharmacy and Pharmaceutical Sciences</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9</w:t>
      </w:r>
      <w:r w:rsidRPr="00A92FE1">
        <w:rPr>
          <w:rFonts w:ascii="Times New Roman" w:hAnsi="Times New Roman" w:cs="Times New Roman"/>
          <w:bCs/>
          <w:sz w:val="24"/>
          <w:szCs w:val="24"/>
        </w:rPr>
        <w:t>(5), 179-191.</w:t>
      </w:r>
    </w:p>
    <w:p w14:paraId="3FB162DF"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Singh, H. P., and Ravindranath, S. D. (1994). Occurrence and distribution of PPO activity in floral organs of some standard and local cultivars of tea. </w:t>
      </w:r>
      <w:r w:rsidRPr="00A92FE1">
        <w:rPr>
          <w:rFonts w:ascii="Times New Roman" w:hAnsi="Times New Roman" w:cs="Times New Roman"/>
          <w:bCs/>
          <w:i/>
          <w:iCs/>
          <w:sz w:val="24"/>
          <w:szCs w:val="24"/>
        </w:rPr>
        <w:t>Journal of the Science of Food and Agriculture</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64</w:t>
      </w:r>
      <w:r w:rsidRPr="00A92FE1">
        <w:rPr>
          <w:rFonts w:ascii="Times New Roman" w:hAnsi="Times New Roman" w:cs="Times New Roman"/>
          <w:bCs/>
          <w:sz w:val="24"/>
          <w:szCs w:val="24"/>
        </w:rPr>
        <w:t>(1), 117-120.</w:t>
      </w:r>
    </w:p>
    <w:p w14:paraId="132AEBD1"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Singh, R. L., and Singh, P. (2018). Quantification of phytochemicals imparting antioxidant activities in commonly used vegetables. </w:t>
      </w:r>
      <w:r w:rsidRPr="00A92FE1">
        <w:rPr>
          <w:rFonts w:ascii="Times New Roman" w:hAnsi="Times New Roman" w:cs="Times New Roman"/>
          <w:bCs/>
          <w:i/>
          <w:iCs/>
          <w:sz w:val="24"/>
          <w:szCs w:val="24"/>
        </w:rPr>
        <w:t>International Journal of Applied Sciences and Biotechnology</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w:t>
      </w:r>
      <w:r w:rsidRPr="00A92FE1">
        <w:rPr>
          <w:rFonts w:ascii="Times New Roman" w:hAnsi="Times New Roman" w:cs="Times New Roman"/>
          <w:bCs/>
          <w:sz w:val="24"/>
          <w:szCs w:val="24"/>
        </w:rPr>
        <w:t>(2), 97-102.</w:t>
      </w:r>
    </w:p>
    <w:p w14:paraId="70A56C7E"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Sood, P., Modgil, R., Sood, M., and Chuhan, P. K. (2012). Anti-nutrient profile of different Chenopodium cultivars leaves. </w:t>
      </w:r>
      <w:r w:rsidRPr="00A92FE1">
        <w:rPr>
          <w:rFonts w:ascii="Times New Roman" w:hAnsi="Times New Roman" w:cs="Times New Roman"/>
          <w:bCs/>
          <w:i/>
          <w:iCs/>
          <w:sz w:val="24"/>
          <w:szCs w:val="24"/>
        </w:rPr>
        <w:t xml:space="preserve">Annals Food Sci. </w:t>
      </w:r>
      <w:proofErr w:type="spellStart"/>
      <w:r w:rsidRPr="00A92FE1">
        <w:rPr>
          <w:rFonts w:ascii="Times New Roman" w:hAnsi="Times New Roman" w:cs="Times New Roman"/>
          <w:bCs/>
          <w:i/>
          <w:iCs/>
          <w:sz w:val="24"/>
          <w:szCs w:val="24"/>
        </w:rPr>
        <w:t>Technol</w:t>
      </w:r>
      <w:proofErr w:type="spellEnd"/>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13</w:t>
      </w:r>
      <w:r w:rsidRPr="00A92FE1">
        <w:rPr>
          <w:rFonts w:ascii="Times New Roman" w:hAnsi="Times New Roman" w:cs="Times New Roman"/>
          <w:bCs/>
          <w:sz w:val="24"/>
          <w:szCs w:val="24"/>
        </w:rPr>
        <w:t>, 68-74.</w:t>
      </w:r>
    </w:p>
    <w:p w14:paraId="15400720"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Yemm, E. W., and Willis, A. (1954). The estimation of carbohydrates in plant extracts by </w:t>
      </w:r>
      <w:proofErr w:type="spellStart"/>
      <w:r w:rsidRPr="00A92FE1">
        <w:rPr>
          <w:rFonts w:ascii="Times New Roman" w:hAnsi="Times New Roman" w:cs="Times New Roman"/>
          <w:bCs/>
          <w:sz w:val="24"/>
          <w:szCs w:val="24"/>
        </w:rPr>
        <w:t>anthrone</w:t>
      </w:r>
      <w:proofErr w:type="spellEnd"/>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Biochemical journal</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57</w:t>
      </w:r>
      <w:r w:rsidRPr="00A92FE1">
        <w:rPr>
          <w:rFonts w:ascii="Times New Roman" w:hAnsi="Times New Roman" w:cs="Times New Roman"/>
          <w:bCs/>
          <w:sz w:val="24"/>
          <w:szCs w:val="24"/>
        </w:rPr>
        <w:t>(3), 508.</w:t>
      </w:r>
    </w:p>
    <w:p w14:paraId="545E1916"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Zhang, S. (2023). Recent advances of polyphenol oxidases in plants</w:t>
      </w:r>
      <w:r w:rsidRPr="00A92FE1">
        <w:rPr>
          <w:rFonts w:ascii="Times New Roman" w:hAnsi="Times New Roman" w:cs="Times New Roman"/>
          <w:bCs/>
          <w:i/>
          <w:sz w:val="24"/>
          <w:szCs w:val="24"/>
          <w:lang w:val="en-US"/>
        </w:rPr>
        <w:t>. Molecules</w:t>
      </w:r>
      <w:r w:rsidRPr="00A92FE1">
        <w:rPr>
          <w:rFonts w:ascii="Times New Roman" w:hAnsi="Times New Roman" w:cs="Times New Roman"/>
          <w:bCs/>
          <w:sz w:val="24"/>
          <w:szCs w:val="24"/>
          <w:lang w:val="en-US"/>
        </w:rPr>
        <w:t>, </w:t>
      </w:r>
      <w:r w:rsidRPr="00A92FE1">
        <w:rPr>
          <w:rFonts w:ascii="Times New Roman" w:hAnsi="Times New Roman" w:cs="Times New Roman"/>
          <w:bCs/>
          <w:i/>
          <w:iCs/>
          <w:sz w:val="24"/>
          <w:szCs w:val="24"/>
          <w:lang w:val="en-US"/>
        </w:rPr>
        <w:t>28</w:t>
      </w:r>
      <w:r w:rsidRPr="00A92FE1">
        <w:rPr>
          <w:rFonts w:ascii="Times New Roman" w:hAnsi="Times New Roman" w:cs="Times New Roman"/>
          <w:bCs/>
          <w:sz w:val="24"/>
          <w:szCs w:val="24"/>
          <w:lang w:val="en-US"/>
        </w:rPr>
        <w:t>(5), 2158.</w:t>
      </w:r>
      <w:bookmarkStart w:id="3" w:name="_GoBack"/>
      <w:bookmarkEnd w:id="3"/>
    </w:p>
    <w:sectPr w:rsidR="00F03751" w:rsidRPr="00A92FE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536DC" w14:textId="77777777" w:rsidR="00432662" w:rsidRDefault="00432662" w:rsidP="003666E0">
      <w:pPr>
        <w:spacing w:after="0" w:line="240" w:lineRule="auto"/>
      </w:pPr>
      <w:r>
        <w:separator/>
      </w:r>
    </w:p>
  </w:endnote>
  <w:endnote w:type="continuationSeparator" w:id="0">
    <w:p w14:paraId="0799CC55" w14:textId="77777777" w:rsidR="00432662" w:rsidRDefault="00432662" w:rsidP="0036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0818" w14:textId="77777777" w:rsidR="003666E0" w:rsidRDefault="00366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CAF97" w14:textId="77777777" w:rsidR="003666E0" w:rsidRDefault="00366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576A" w14:textId="77777777" w:rsidR="003666E0" w:rsidRDefault="00366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2C347" w14:textId="77777777" w:rsidR="00432662" w:rsidRDefault="00432662" w:rsidP="003666E0">
      <w:pPr>
        <w:spacing w:after="0" w:line="240" w:lineRule="auto"/>
      </w:pPr>
      <w:r>
        <w:separator/>
      </w:r>
    </w:p>
  </w:footnote>
  <w:footnote w:type="continuationSeparator" w:id="0">
    <w:p w14:paraId="23AD4581" w14:textId="77777777" w:rsidR="00432662" w:rsidRDefault="00432662" w:rsidP="00366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E7F9A" w14:textId="10A86709" w:rsidR="003666E0" w:rsidRDefault="00432662">
    <w:pPr>
      <w:pStyle w:val="Header"/>
    </w:pPr>
    <w:r>
      <w:rPr>
        <w:noProof/>
      </w:rPr>
      <w:pict w14:anchorId="301AD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481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D34BD" w14:textId="43279EAF" w:rsidR="003666E0" w:rsidRDefault="00432662">
    <w:pPr>
      <w:pStyle w:val="Header"/>
    </w:pPr>
    <w:r>
      <w:rPr>
        <w:noProof/>
      </w:rPr>
      <w:pict w14:anchorId="45395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481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CDE3F" w14:textId="628D63C6" w:rsidR="003666E0" w:rsidRDefault="00432662">
    <w:pPr>
      <w:pStyle w:val="Header"/>
    </w:pPr>
    <w:r>
      <w:rPr>
        <w:noProof/>
      </w:rPr>
      <w:pict w14:anchorId="0C102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481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257C3"/>
    <w:multiLevelType w:val="multilevel"/>
    <w:tmpl w:val="4A9C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264F1"/>
    <w:multiLevelType w:val="multilevel"/>
    <w:tmpl w:val="5986E554"/>
    <w:lvl w:ilvl="0">
      <w:start w:val="1"/>
      <w:numFmt w:val="decimal"/>
      <w:lvlText w:val="%1."/>
      <w:lvlJc w:val="left"/>
      <w:pPr>
        <w:ind w:left="720" w:hanging="360"/>
      </w:pPr>
      <w:rPr>
        <w:rFonts w:hint="default"/>
      </w:r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44414E2"/>
    <w:multiLevelType w:val="multilevel"/>
    <w:tmpl w:val="5986E554"/>
    <w:lvl w:ilvl="0">
      <w:start w:val="1"/>
      <w:numFmt w:val="decimal"/>
      <w:lvlText w:val="%1."/>
      <w:lvlJc w:val="left"/>
      <w:pPr>
        <w:ind w:left="720" w:hanging="360"/>
      </w:pPr>
      <w:rPr>
        <w:rFonts w:hint="default"/>
      </w:r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C259EB"/>
    <w:multiLevelType w:val="hybridMultilevel"/>
    <w:tmpl w:val="A4561B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B8"/>
    <w:rsid w:val="00023134"/>
    <w:rsid w:val="000329E5"/>
    <w:rsid w:val="00041FC9"/>
    <w:rsid w:val="000800EF"/>
    <w:rsid w:val="000A1BF4"/>
    <w:rsid w:val="000A2A09"/>
    <w:rsid w:val="000A3BA1"/>
    <w:rsid w:val="000B54C4"/>
    <w:rsid w:val="000C155C"/>
    <w:rsid w:val="000D2C3F"/>
    <w:rsid w:val="000F5B72"/>
    <w:rsid w:val="00124C77"/>
    <w:rsid w:val="0017218F"/>
    <w:rsid w:val="0018423D"/>
    <w:rsid w:val="001B6254"/>
    <w:rsid w:val="001F56D5"/>
    <w:rsid w:val="00286BCB"/>
    <w:rsid w:val="00297639"/>
    <w:rsid w:val="002B27E1"/>
    <w:rsid w:val="002C3913"/>
    <w:rsid w:val="002F2590"/>
    <w:rsid w:val="00315CE8"/>
    <w:rsid w:val="00317A6D"/>
    <w:rsid w:val="00326FF0"/>
    <w:rsid w:val="003334C0"/>
    <w:rsid w:val="00364302"/>
    <w:rsid w:val="003666E0"/>
    <w:rsid w:val="003B6A47"/>
    <w:rsid w:val="003F4E3A"/>
    <w:rsid w:val="003F5E93"/>
    <w:rsid w:val="003F7939"/>
    <w:rsid w:val="00400DB5"/>
    <w:rsid w:val="004021BC"/>
    <w:rsid w:val="0040310A"/>
    <w:rsid w:val="0040430A"/>
    <w:rsid w:val="004072FF"/>
    <w:rsid w:val="004126A8"/>
    <w:rsid w:val="00432662"/>
    <w:rsid w:val="00441CB5"/>
    <w:rsid w:val="00464139"/>
    <w:rsid w:val="004730B3"/>
    <w:rsid w:val="004A6B36"/>
    <w:rsid w:val="004C6BA2"/>
    <w:rsid w:val="004F656F"/>
    <w:rsid w:val="005078DE"/>
    <w:rsid w:val="0053493D"/>
    <w:rsid w:val="00551415"/>
    <w:rsid w:val="005514C6"/>
    <w:rsid w:val="00563955"/>
    <w:rsid w:val="00583024"/>
    <w:rsid w:val="0059620F"/>
    <w:rsid w:val="005C49CD"/>
    <w:rsid w:val="005F6344"/>
    <w:rsid w:val="0062002F"/>
    <w:rsid w:val="00623DB3"/>
    <w:rsid w:val="00660AEE"/>
    <w:rsid w:val="0069640F"/>
    <w:rsid w:val="006A6225"/>
    <w:rsid w:val="006D57B8"/>
    <w:rsid w:val="006E70CF"/>
    <w:rsid w:val="006F5ACD"/>
    <w:rsid w:val="007019DF"/>
    <w:rsid w:val="0072267A"/>
    <w:rsid w:val="00751564"/>
    <w:rsid w:val="00752E1C"/>
    <w:rsid w:val="00757274"/>
    <w:rsid w:val="00775A91"/>
    <w:rsid w:val="00790050"/>
    <w:rsid w:val="007C46BE"/>
    <w:rsid w:val="00815D06"/>
    <w:rsid w:val="00816FDD"/>
    <w:rsid w:val="00826AFC"/>
    <w:rsid w:val="008314A2"/>
    <w:rsid w:val="008429F9"/>
    <w:rsid w:val="008B2E79"/>
    <w:rsid w:val="008D3469"/>
    <w:rsid w:val="008F774E"/>
    <w:rsid w:val="00902448"/>
    <w:rsid w:val="0091638B"/>
    <w:rsid w:val="009164F0"/>
    <w:rsid w:val="00942D39"/>
    <w:rsid w:val="009556B4"/>
    <w:rsid w:val="00993142"/>
    <w:rsid w:val="009C5177"/>
    <w:rsid w:val="009E194D"/>
    <w:rsid w:val="009E52AB"/>
    <w:rsid w:val="009F1F99"/>
    <w:rsid w:val="00A14A10"/>
    <w:rsid w:val="00A14DD7"/>
    <w:rsid w:val="00A478A4"/>
    <w:rsid w:val="00A70A59"/>
    <w:rsid w:val="00A76E39"/>
    <w:rsid w:val="00A90AAF"/>
    <w:rsid w:val="00A92FE1"/>
    <w:rsid w:val="00AA3CDB"/>
    <w:rsid w:val="00AC64B7"/>
    <w:rsid w:val="00AD6A56"/>
    <w:rsid w:val="00B078BD"/>
    <w:rsid w:val="00B470EE"/>
    <w:rsid w:val="00B5110C"/>
    <w:rsid w:val="00B6303E"/>
    <w:rsid w:val="00B66B7A"/>
    <w:rsid w:val="00B67ABB"/>
    <w:rsid w:val="00B8129C"/>
    <w:rsid w:val="00BE02AB"/>
    <w:rsid w:val="00BE1305"/>
    <w:rsid w:val="00BE45FF"/>
    <w:rsid w:val="00C034E7"/>
    <w:rsid w:val="00C24723"/>
    <w:rsid w:val="00C6754B"/>
    <w:rsid w:val="00CA0F37"/>
    <w:rsid w:val="00CA74E1"/>
    <w:rsid w:val="00CB1376"/>
    <w:rsid w:val="00D50491"/>
    <w:rsid w:val="00D71C8A"/>
    <w:rsid w:val="00D93565"/>
    <w:rsid w:val="00DB4EAB"/>
    <w:rsid w:val="00DE1D76"/>
    <w:rsid w:val="00DE545C"/>
    <w:rsid w:val="00E03822"/>
    <w:rsid w:val="00E0736E"/>
    <w:rsid w:val="00E35769"/>
    <w:rsid w:val="00EF2EEE"/>
    <w:rsid w:val="00EF499B"/>
    <w:rsid w:val="00F03751"/>
    <w:rsid w:val="00F07D71"/>
    <w:rsid w:val="00F17697"/>
    <w:rsid w:val="00FB4C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5BFFF8"/>
  <w15:chartTrackingRefBased/>
  <w15:docId w15:val="{7CD744D2-ACBF-4E74-B2DB-5370C1CA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7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57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57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57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57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5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7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57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7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7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7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7B8"/>
    <w:rPr>
      <w:rFonts w:eastAsiaTheme="majorEastAsia" w:cstheme="majorBidi"/>
      <w:color w:val="272727" w:themeColor="text1" w:themeTint="D8"/>
    </w:rPr>
  </w:style>
  <w:style w:type="paragraph" w:styleId="Title">
    <w:name w:val="Title"/>
    <w:basedOn w:val="Normal"/>
    <w:next w:val="Normal"/>
    <w:link w:val="TitleChar"/>
    <w:uiPriority w:val="10"/>
    <w:qFormat/>
    <w:rsid w:val="006D5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7B8"/>
    <w:pPr>
      <w:spacing w:before="160"/>
      <w:jc w:val="center"/>
    </w:pPr>
    <w:rPr>
      <w:i/>
      <w:iCs/>
      <w:color w:val="404040" w:themeColor="text1" w:themeTint="BF"/>
    </w:rPr>
  </w:style>
  <w:style w:type="character" w:customStyle="1" w:styleId="QuoteChar">
    <w:name w:val="Quote Char"/>
    <w:basedOn w:val="DefaultParagraphFont"/>
    <w:link w:val="Quote"/>
    <w:uiPriority w:val="29"/>
    <w:rsid w:val="006D57B8"/>
    <w:rPr>
      <w:i/>
      <w:iCs/>
      <w:color w:val="404040" w:themeColor="text1" w:themeTint="BF"/>
    </w:rPr>
  </w:style>
  <w:style w:type="paragraph" w:styleId="ListParagraph">
    <w:name w:val="List Paragraph"/>
    <w:basedOn w:val="Normal"/>
    <w:uiPriority w:val="34"/>
    <w:qFormat/>
    <w:rsid w:val="006D57B8"/>
    <w:pPr>
      <w:ind w:left="720"/>
      <w:contextualSpacing/>
    </w:pPr>
  </w:style>
  <w:style w:type="character" w:styleId="IntenseEmphasis">
    <w:name w:val="Intense Emphasis"/>
    <w:basedOn w:val="DefaultParagraphFont"/>
    <w:uiPriority w:val="21"/>
    <w:qFormat/>
    <w:rsid w:val="006D57B8"/>
    <w:rPr>
      <w:i/>
      <w:iCs/>
      <w:color w:val="2F5496" w:themeColor="accent1" w:themeShade="BF"/>
    </w:rPr>
  </w:style>
  <w:style w:type="paragraph" w:styleId="IntenseQuote">
    <w:name w:val="Intense Quote"/>
    <w:basedOn w:val="Normal"/>
    <w:next w:val="Normal"/>
    <w:link w:val="IntenseQuoteChar"/>
    <w:uiPriority w:val="30"/>
    <w:qFormat/>
    <w:rsid w:val="006D5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57B8"/>
    <w:rPr>
      <w:i/>
      <w:iCs/>
      <w:color w:val="2F5496" w:themeColor="accent1" w:themeShade="BF"/>
    </w:rPr>
  </w:style>
  <w:style w:type="character" w:styleId="IntenseReference">
    <w:name w:val="Intense Reference"/>
    <w:basedOn w:val="DefaultParagraphFont"/>
    <w:uiPriority w:val="32"/>
    <w:qFormat/>
    <w:rsid w:val="006D57B8"/>
    <w:rPr>
      <w:b/>
      <w:bCs/>
      <w:smallCaps/>
      <w:color w:val="2F5496" w:themeColor="accent1" w:themeShade="BF"/>
      <w:spacing w:val="5"/>
    </w:rPr>
  </w:style>
  <w:style w:type="character" w:styleId="Hyperlink">
    <w:name w:val="Hyperlink"/>
    <w:basedOn w:val="DefaultParagraphFont"/>
    <w:uiPriority w:val="99"/>
    <w:unhideWhenUsed/>
    <w:rsid w:val="006A6225"/>
    <w:rPr>
      <w:color w:val="0563C1" w:themeColor="hyperlink"/>
      <w:u w:val="single"/>
    </w:rPr>
  </w:style>
  <w:style w:type="character" w:styleId="CommentReference">
    <w:name w:val="annotation reference"/>
    <w:basedOn w:val="DefaultParagraphFont"/>
    <w:uiPriority w:val="99"/>
    <w:semiHidden/>
    <w:unhideWhenUsed/>
    <w:rsid w:val="006A6225"/>
    <w:rPr>
      <w:sz w:val="16"/>
      <w:szCs w:val="16"/>
    </w:rPr>
  </w:style>
  <w:style w:type="paragraph" w:styleId="CommentText">
    <w:name w:val="annotation text"/>
    <w:basedOn w:val="Normal"/>
    <w:link w:val="CommentTextChar"/>
    <w:uiPriority w:val="99"/>
    <w:unhideWhenUsed/>
    <w:rsid w:val="006A6225"/>
    <w:pPr>
      <w:spacing w:after="200" w:line="240" w:lineRule="auto"/>
    </w:pPr>
    <w:rPr>
      <w:rFonts w:eastAsiaTheme="minorEastAsia"/>
      <w:kern w:val="0"/>
      <w:sz w:val="20"/>
      <w:szCs w:val="20"/>
      <w:lang w:val="en-US"/>
      <w14:ligatures w14:val="none"/>
    </w:rPr>
  </w:style>
  <w:style w:type="character" w:customStyle="1" w:styleId="CommentTextChar">
    <w:name w:val="Comment Text Char"/>
    <w:basedOn w:val="DefaultParagraphFont"/>
    <w:link w:val="CommentText"/>
    <w:uiPriority w:val="99"/>
    <w:rsid w:val="006A6225"/>
    <w:rPr>
      <w:rFonts w:eastAsiaTheme="minorEastAsia"/>
      <w:kern w:val="0"/>
      <w:sz w:val="20"/>
      <w:szCs w:val="20"/>
      <w:lang w:val="en-US"/>
      <w14:ligatures w14:val="none"/>
    </w:rPr>
  </w:style>
  <w:style w:type="paragraph" w:styleId="NormalWeb">
    <w:name w:val="Normal (Web)"/>
    <w:basedOn w:val="Normal"/>
    <w:uiPriority w:val="99"/>
    <w:semiHidden/>
    <w:unhideWhenUsed/>
    <w:rsid w:val="002B27E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400DB5"/>
    <w:pPr>
      <w:spacing w:after="0" w:line="240" w:lineRule="auto"/>
    </w:pPr>
  </w:style>
  <w:style w:type="table" w:styleId="TableGrid">
    <w:name w:val="Table Grid"/>
    <w:basedOn w:val="TableNormal"/>
    <w:uiPriority w:val="39"/>
    <w:rsid w:val="00D71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A74E1"/>
    <w:rPr>
      <w:i/>
      <w:iCs/>
    </w:rPr>
  </w:style>
  <w:style w:type="paragraph" w:customStyle="1" w:styleId="ReferHead">
    <w:name w:val="Refer Head"/>
    <w:basedOn w:val="Normal"/>
    <w:rsid w:val="00CA74E1"/>
    <w:pPr>
      <w:keepNext/>
      <w:spacing w:after="240" w:line="240" w:lineRule="auto"/>
    </w:pPr>
    <w:rPr>
      <w:rFonts w:ascii="Helvetica" w:eastAsia="Times New Roman" w:hAnsi="Helvetica" w:cs="Times New Roman"/>
      <w:b/>
      <w:caps/>
      <w:kern w:val="0"/>
      <w:szCs w:val="20"/>
      <w:lang w:val="en-US"/>
      <w14:ligatures w14:val="none"/>
    </w:rPr>
  </w:style>
  <w:style w:type="paragraph" w:styleId="Caption">
    <w:name w:val="caption"/>
    <w:basedOn w:val="Normal"/>
    <w:next w:val="Normal"/>
    <w:uiPriority w:val="35"/>
    <w:unhideWhenUsed/>
    <w:qFormat/>
    <w:rsid w:val="0062002F"/>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66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6E0"/>
  </w:style>
  <w:style w:type="paragraph" w:styleId="Footer">
    <w:name w:val="footer"/>
    <w:basedOn w:val="Normal"/>
    <w:link w:val="FooterChar"/>
    <w:uiPriority w:val="99"/>
    <w:unhideWhenUsed/>
    <w:rsid w:val="00366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090222713747586E-2"/>
          <c:y val="0.17921383103295466"/>
          <c:w val="0.87583216330255986"/>
          <c:h val="0.52154510317220415"/>
        </c:manualLayout>
      </c:layout>
      <c:barChart>
        <c:barDir val="col"/>
        <c:grouping val="clustered"/>
        <c:varyColors val="0"/>
        <c:ser>
          <c:idx val="0"/>
          <c:order val="0"/>
          <c:tx>
            <c:strRef>
              <c:f>'TPC graph'!$B$32</c:f>
              <c:strCache>
                <c:ptCount val="1"/>
                <c:pt idx="0">
                  <c:v>Moisture</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graph'!$B$33:$B$44</c:f>
              <c:numCache>
                <c:formatCode>General</c:formatCode>
                <c:ptCount val="12"/>
                <c:pt idx="0">
                  <c:v>34.870000000000005</c:v>
                </c:pt>
                <c:pt idx="1">
                  <c:v>36.64</c:v>
                </c:pt>
                <c:pt idx="2">
                  <c:v>35.25</c:v>
                </c:pt>
                <c:pt idx="3">
                  <c:v>32.380000000000003</c:v>
                </c:pt>
                <c:pt idx="4">
                  <c:v>35.370000000000005</c:v>
                </c:pt>
                <c:pt idx="5">
                  <c:v>35.760000000000012</c:v>
                </c:pt>
                <c:pt idx="6">
                  <c:v>31.79</c:v>
                </c:pt>
                <c:pt idx="7">
                  <c:v>34.33</c:v>
                </c:pt>
                <c:pt idx="8">
                  <c:v>29.8</c:v>
                </c:pt>
                <c:pt idx="9">
                  <c:v>28.41</c:v>
                </c:pt>
                <c:pt idx="10">
                  <c:v>31.01</c:v>
                </c:pt>
                <c:pt idx="11">
                  <c:v>26.01</c:v>
                </c:pt>
              </c:numCache>
            </c:numRef>
          </c:val>
          <c:extLst>
            <c:ext xmlns:c16="http://schemas.microsoft.com/office/drawing/2014/chart" uri="{C3380CC4-5D6E-409C-BE32-E72D297353CC}">
              <c16:uniqueId val="{00000000-7E55-4529-A22F-95E1AAAC781F}"/>
            </c:ext>
          </c:extLst>
        </c:ser>
        <c:ser>
          <c:idx val="1"/>
          <c:order val="1"/>
          <c:tx>
            <c:strRef>
              <c:f>'TPC graph'!$C$32</c:f>
              <c:strCache>
                <c:ptCount val="1"/>
                <c:pt idx="0">
                  <c:v>Ash</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graph'!$C$33:$C$44</c:f>
              <c:numCache>
                <c:formatCode>General</c:formatCode>
                <c:ptCount val="12"/>
                <c:pt idx="0">
                  <c:v>17.16</c:v>
                </c:pt>
                <c:pt idx="1">
                  <c:v>17.18</c:v>
                </c:pt>
                <c:pt idx="2">
                  <c:v>15.01</c:v>
                </c:pt>
                <c:pt idx="3">
                  <c:v>19.149999999999999</c:v>
                </c:pt>
                <c:pt idx="4">
                  <c:v>15.57</c:v>
                </c:pt>
                <c:pt idx="5">
                  <c:v>16.459999999999987</c:v>
                </c:pt>
                <c:pt idx="6">
                  <c:v>17.38</c:v>
                </c:pt>
                <c:pt idx="7">
                  <c:v>16.690000000000001</c:v>
                </c:pt>
                <c:pt idx="8">
                  <c:v>18.93</c:v>
                </c:pt>
                <c:pt idx="9">
                  <c:v>16.62</c:v>
                </c:pt>
                <c:pt idx="10">
                  <c:v>15.91</c:v>
                </c:pt>
                <c:pt idx="11">
                  <c:v>16</c:v>
                </c:pt>
              </c:numCache>
            </c:numRef>
          </c:val>
          <c:extLst>
            <c:ext xmlns:c16="http://schemas.microsoft.com/office/drawing/2014/chart" uri="{C3380CC4-5D6E-409C-BE32-E72D297353CC}">
              <c16:uniqueId val="{00000001-7E55-4529-A22F-95E1AAAC781F}"/>
            </c:ext>
          </c:extLst>
        </c:ser>
        <c:ser>
          <c:idx val="2"/>
          <c:order val="2"/>
          <c:tx>
            <c:strRef>
              <c:f>'TPC graph'!$D$32</c:f>
              <c:strCache>
                <c:ptCount val="1"/>
                <c:pt idx="0">
                  <c:v>Crude Protein</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graph'!$D$33:$D$44</c:f>
              <c:numCache>
                <c:formatCode>General</c:formatCode>
                <c:ptCount val="12"/>
                <c:pt idx="0">
                  <c:v>24.93</c:v>
                </c:pt>
                <c:pt idx="1">
                  <c:v>24.06</c:v>
                </c:pt>
                <c:pt idx="2">
                  <c:v>23.18</c:v>
                </c:pt>
                <c:pt idx="3">
                  <c:v>27.56</c:v>
                </c:pt>
                <c:pt idx="4">
                  <c:v>27.2</c:v>
                </c:pt>
                <c:pt idx="5">
                  <c:v>25.37</c:v>
                </c:pt>
                <c:pt idx="6">
                  <c:v>29.310000000000031</c:v>
                </c:pt>
                <c:pt idx="7">
                  <c:v>29.01</c:v>
                </c:pt>
                <c:pt idx="8">
                  <c:v>27.56</c:v>
                </c:pt>
                <c:pt idx="9">
                  <c:v>31.2</c:v>
                </c:pt>
                <c:pt idx="10">
                  <c:v>28.58</c:v>
                </c:pt>
                <c:pt idx="11">
                  <c:v>29.89</c:v>
                </c:pt>
              </c:numCache>
            </c:numRef>
          </c:val>
          <c:extLst>
            <c:ext xmlns:c16="http://schemas.microsoft.com/office/drawing/2014/chart" uri="{C3380CC4-5D6E-409C-BE32-E72D297353CC}">
              <c16:uniqueId val="{00000002-7E55-4529-A22F-95E1AAAC781F}"/>
            </c:ext>
          </c:extLst>
        </c:ser>
        <c:ser>
          <c:idx val="3"/>
          <c:order val="3"/>
          <c:tx>
            <c:strRef>
              <c:f>'TPC graph'!$E$32</c:f>
              <c:strCache>
                <c:ptCount val="1"/>
                <c:pt idx="0">
                  <c:v>Crude Fat</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graph'!$E$33:$E$44</c:f>
              <c:numCache>
                <c:formatCode>General</c:formatCode>
                <c:ptCount val="12"/>
                <c:pt idx="0">
                  <c:v>5.05</c:v>
                </c:pt>
                <c:pt idx="1">
                  <c:v>4.1199999999999966</c:v>
                </c:pt>
                <c:pt idx="2">
                  <c:v>2.73</c:v>
                </c:pt>
                <c:pt idx="3">
                  <c:v>6.04</c:v>
                </c:pt>
                <c:pt idx="4">
                  <c:v>4.3599999999999985</c:v>
                </c:pt>
                <c:pt idx="5">
                  <c:v>5.21</c:v>
                </c:pt>
                <c:pt idx="6">
                  <c:v>6.89</c:v>
                </c:pt>
                <c:pt idx="7">
                  <c:v>3.92</c:v>
                </c:pt>
                <c:pt idx="8">
                  <c:v>5.72</c:v>
                </c:pt>
                <c:pt idx="9">
                  <c:v>6.41</c:v>
                </c:pt>
                <c:pt idx="10">
                  <c:v>4.57</c:v>
                </c:pt>
                <c:pt idx="11">
                  <c:v>5.54</c:v>
                </c:pt>
              </c:numCache>
            </c:numRef>
          </c:val>
          <c:extLst>
            <c:ext xmlns:c16="http://schemas.microsoft.com/office/drawing/2014/chart" uri="{C3380CC4-5D6E-409C-BE32-E72D297353CC}">
              <c16:uniqueId val="{00000003-7E55-4529-A22F-95E1AAAC781F}"/>
            </c:ext>
          </c:extLst>
        </c:ser>
        <c:ser>
          <c:idx val="4"/>
          <c:order val="4"/>
          <c:tx>
            <c:strRef>
              <c:f>'TPC graph'!$F$32</c:f>
              <c:strCache>
                <c:ptCount val="1"/>
                <c:pt idx="0">
                  <c:v>Crude Fibre</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graph'!$F$33:$F$44</c:f>
              <c:numCache>
                <c:formatCode>General</c:formatCode>
                <c:ptCount val="12"/>
                <c:pt idx="0">
                  <c:v>9.07</c:v>
                </c:pt>
                <c:pt idx="1">
                  <c:v>9.01</c:v>
                </c:pt>
                <c:pt idx="2">
                  <c:v>10.130000000000001</c:v>
                </c:pt>
                <c:pt idx="3">
                  <c:v>9.06</c:v>
                </c:pt>
                <c:pt idx="4">
                  <c:v>10.200000000000001</c:v>
                </c:pt>
                <c:pt idx="5">
                  <c:v>9.93</c:v>
                </c:pt>
                <c:pt idx="6">
                  <c:v>9.67</c:v>
                </c:pt>
                <c:pt idx="7">
                  <c:v>9.02</c:v>
                </c:pt>
                <c:pt idx="8">
                  <c:v>10.69</c:v>
                </c:pt>
                <c:pt idx="9">
                  <c:v>9.26</c:v>
                </c:pt>
                <c:pt idx="10">
                  <c:v>10.39</c:v>
                </c:pt>
                <c:pt idx="11">
                  <c:v>10.370000000000006</c:v>
                </c:pt>
              </c:numCache>
            </c:numRef>
          </c:val>
          <c:extLst>
            <c:ext xmlns:c16="http://schemas.microsoft.com/office/drawing/2014/chart" uri="{C3380CC4-5D6E-409C-BE32-E72D297353CC}">
              <c16:uniqueId val="{00000004-7E55-4529-A22F-95E1AAAC781F}"/>
            </c:ext>
          </c:extLst>
        </c:ser>
        <c:ser>
          <c:idx val="5"/>
          <c:order val="5"/>
          <c:tx>
            <c:strRef>
              <c:f>'TPC graph'!$G$32</c:f>
              <c:strCache>
                <c:ptCount val="1"/>
                <c:pt idx="0">
                  <c:v>Total Carbohydrate</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graph'!$G$33:$G$44</c:f>
              <c:numCache>
                <c:formatCode>General</c:formatCode>
                <c:ptCount val="12"/>
                <c:pt idx="0">
                  <c:v>8.9</c:v>
                </c:pt>
                <c:pt idx="1">
                  <c:v>8.9700000000000006</c:v>
                </c:pt>
                <c:pt idx="2">
                  <c:v>13.68</c:v>
                </c:pt>
                <c:pt idx="3">
                  <c:v>5.79</c:v>
                </c:pt>
                <c:pt idx="4">
                  <c:v>7.28</c:v>
                </c:pt>
                <c:pt idx="5">
                  <c:v>7.26</c:v>
                </c:pt>
                <c:pt idx="6">
                  <c:v>4.95</c:v>
                </c:pt>
                <c:pt idx="7">
                  <c:v>7</c:v>
                </c:pt>
                <c:pt idx="8">
                  <c:v>7.29</c:v>
                </c:pt>
                <c:pt idx="9">
                  <c:v>8.09</c:v>
                </c:pt>
                <c:pt idx="10">
                  <c:v>9.5300000000000011</c:v>
                </c:pt>
                <c:pt idx="11">
                  <c:v>12.17</c:v>
                </c:pt>
              </c:numCache>
            </c:numRef>
          </c:val>
          <c:extLst>
            <c:ext xmlns:c16="http://schemas.microsoft.com/office/drawing/2014/chart" uri="{C3380CC4-5D6E-409C-BE32-E72D297353CC}">
              <c16:uniqueId val="{00000005-7E55-4529-A22F-95E1AAAC781F}"/>
            </c:ext>
          </c:extLst>
        </c:ser>
        <c:dLbls>
          <c:showLegendKey val="0"/>
          <c:showVal val="0"/>
          <c:showCatName val="0"/>
          <c:showSerName val="0"/>
          <c:showPercent val="0"/>
          <c:showBubbleSize val="0"/>
        </c:dLbls>
        <c:gapWidth val="150"/>
        <c:axId val="43666816"/>
        <c:axId val="43672704"/>
      </c:barChart>
      <c:catAx>
        <c:axId val="43666816"/>
        <c:scaling>
          <c:orientation val="minMax"/>
        </c:scaling>
        <c:delete val="0"/>
        <c:axPos val="b"/>
        <c:numFmt formatCode="General" sourceLinked="0"/>
        <c:majorTickMark val="none"/>
        <c:minorTickMark val="out"/>
        <c:tickLblPos val="nextTo"/>
        <c:spPr>
          <a:ln/>
        </c:spPr>
        <c:txPr>
          <a:bodyPr/>
          <a:lstStyle/>
          <a:p>
            <a:pPr>
              <a:defRPr b="1">
                <a:latin typeface="Times New Roman" panose="02020603050405020304" pitchFamily="18" charset="0"/>
                <a:cs typeface="Times New Roman" panose="02020603050405020304" pitchFamily="18" charset="0"/>
              </a:defRPr>
            </a:pPr>
            <a:endParaRPr lang="en-US"/>
          </a:p>
        </c:txPr>
        <c:crossAx val="43672704"/>
        <c:crosses val="autoZero"/>
        <c:auto val="1"/>
        <c:lblAlgn val="ctr"/>
        <c:lblOffset val="100"/>
        <c:noMultiLvlLbl val="0"/>
      </c:catAx>
      <c:valAx>
        <c:axId val="43672704"/>
        <c:scaling>
          <c:orientation val="minMax"/>
        </c:scaling>
        <c:delete val="0"/>
        <c:axPos val="l"/>
        <c:numFmt formatCode="General" sourceLinked="1"/>
        <c:majorTickMark val="out"/>
        <c:minorTickMark val="none"/>
        <c:tickLblPos val="nextTo"/>
        <c:spPr>
          <a:ln/>
        </c:spPr>
        <c:txPr>
          <a:bodyPr/>
          <a:lstStyle/>
          <a:p>
            <a:pPr>
              <a:defRPr sz="1200">
                <a:latin typeface="Times New Roman" panose="02020603050405020304" pitchFamily="18" charset="0"/>
                <a:cs typeface="Times New Roman" panose="02020603050405020304" pitchFamily="18" charset="0"/>
              </a:defRPr>
            </a:pPr>
            <a:endParaRPr lang="en-US"/>
          </a:p>
        </c:txPr>
        <c:crossAx val="43666816"/>
        <c:crosses val="autoZero"/>
        <c:crossBetween val="between"/>
      </c:valAx>
    </c:plotArea>
    <c:legend>
      <c:legendPos val="t"/>
      <c:layout>
        <c:manualLayout>
          <c:xMode val="edge"/>
          <c:yMode val="edge"/>
          <c:x val="9.9469115787962817E-2"/>
          <c:y val="2.2363026462914649E-2"/>
          <c:w val="0.86182344465647098"/>
          <c:h val="0.13721272168597262"/>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95904398875935"/>
          <c:y val="0.13525233146421137"/>
          <c:w val="0.83486807081976944"/>
          <c:h val="0.59425893141532282"/>
        </c:manualLayout>
      </c:layout>
      <c:barChart>
        <c:barDir val="col"/>
        <c:grouping val="clustered"/>
        <c:varyColors val="0"/>
        <c:ser>
          <c:idx val="0"/>
          <c:order val="0"/>
          <c:tx>
            <c:strRef>
              <c:f>'TPC graph'!$B$18</c:f>
              <c:strCache>
                <c:ptCount val="1"/>
                <c:pt idx="0">
                  <c:v>Total phenols</c:v>
                </c:pt>
              </c:strCache>
            </c:strRef>
          </c:tx>
          <c:invertIfNegative val="0"/>
          <c:errBars>
            <c:errBarType val="both"/>
            <c:errValType val="percentage"/>
            <c:noEndCap val="0"/>
            <c:val val="5"/>
          </c:errBars>
          <c:cat>
            <c:strRef>
              <c:f>'TPC graph'!$A$19:$A$30</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graph'!$B$19:$B$30</c:f>
              <c:numCache>
                <c:formatCode>General</c:formatCode>
                <c:ptCount val="12"/>
                <c:pt idx="0">
                  <c:v>476</c:v>
                </c:pt>
                <c:pt idx="1">
                  <c:v>445.56</c:v>
                </c:pt>
                <c:pt idx="2">
                  <c:v>488</c:v>
                </c:pt>
                <c:pt idx="3">
                  <c:v>489.56</c:v>
                </c:pt>
                <c:pt idx="4">
                  <c:v>408.9</c:v>
                </c:pt>
                <c:pt idx="5">
                  <c:v>359.5</c:v>
                </c:pt>
                <c:pt idx="6">
                  <c:v>352.53</c:v>
                </c:pt>
                <c:pt idx="7">
                  <c:v>354.86</c:v>
                </c:pt>
                <c:pt idx="8">
                  <c:v>326.66000000000008</c:v>
                </c:pt>
                <c:pt idx="9">
                  <c:v>376.66</c:v>
                </c:pt>
                <c:pt idx="10">
                  <c:v>425.46</c:v>
                </c:pt>
                <c:pt idx="11">
                  <c:v>447.1</c:v>
                </c:pt>
              </c:numCache>
            </c:numRef>
          </c:val>
          <c:extLst>
            <c:ext xmlns:c16="http://schemas.microsoft.com/office/drawing/2014/chart" uri="{C3380CC4-5D6E-409C-BE32-E72D297353CC}">
              <c16:uniqueId val="{00000000-68C6-4176-A619-2128C81413AB}"/>
            </c:ext>
          </c:extLst>
        </c:ser>
        <c:ser>
          <c:idx val="1"/>
          <c:order val="1"/>
          <c:tx>
            <c:strRef>
              <c:f>'TPC graph'!$C$18</c:f>
              <c:strCache>
                <c:ptCount val="1"/>
                <c:pt idx="0">
                  <c:v>Simple phenols</c:v>
                </c:pt>
              </c:strCache>
            </c:strRef>
          </c:tx>
          <c:invertIfNegative val="0"/>
          <c:errBars>
            <c:errBarType val="both"/>
            <c:errValType val="percentage"/>
            <c:noEndCap val="0"/>
            <c:val val="5"/>
          </c:errBars>
          <c:cat>
            <c:strRef>
              <c:f>'TPC graph'!$A$19:$A$30</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graph'!$C$19:$C$30</c:f>
              <c:numCache>
                <c:formatCode>General</c:formatCode>
                <c:ptCount val="12"/>
                <c:pt idx="0">
                  <c:v>380.33</c:v>
                </c:pt>
                <c:pt idx="1">
                  <c:v>251.5</c:v>
                </c:pt>
                <c:pt idx="2">
                  <c:v>366.5</c:v>
                </c:pt>
                <c:pt idx="3">
                  <c:v>344.86</c:v>
                </c:pt>
                <c:pt idx="4">
                  <c:v>237.6</c:v>
                </c:pt>
                <c:pt idx="5">
                  <c:v>215.96</c:v>
                </c:pt>
                <c:pt idx="6">
                  <c:v>248.4</c:v>
                </c:pt>
                <c:pt idx="7">
                  <c:v>262.26</c:v>
                </c:pt>
                <c:pt idx="8">
                  <c:v>219.06</c:v>
                </c:pt>
                <c:pt idx="9">
                  <c:v>240.66</c:v>
                </c:pt>
                <c:pt idx="10">
                  <c:v>350.63</c:v>
                </c:pt>
                <c:pt idx="11">
                  <c:v>359.53</c:v>
                </c:pt>
              </c:numCache>
            </c:numRef>
          </c:val>
          <c:extLst>
            <c:ext xmlns:c16="http://schemas.microsoft.com/office/drawing/2014/chart" uri="{C3380CC4-5D6E-409C-BE32-E72D297353CC}">
              <c16:uniqueId val="{00000001-68C6-4176-A619-2128C81413AB}"/>
            </c:ext>
          </c:extLst>
        </c:ser>
        <c:ser>
          <c:idx val="2"/>
          <c:order val="2"/>
          <c:tx>
            <c:strRef>
              <c:f>'TPC graph'!$D$18</c:f>
              <c:strCache>
                <c:ptCount val="1"/>
                <c:pt idx="0">
                  <c:v>Tannins</c:v>
                </c:pt>
              </c:strCache>
            </c:strRef>
          </c:tx>
          <c:invertIfNegative val="0"/>
          <c:errBars>
            <c:errBarType val="both"/>
            <c:errValType val="percentage"/>
            <c:noEndCap val="0"/>
            <c:val val="5"/>
          </c:errBars>
          <c:cat>
            <c:strRef>
              <c:f>'TPC graph'!$A$19:$A$30</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graph'!$D$19:$D$30</c:f>
              <c:numCache>
                <c:formatCode>General</c:formatCode>
                <c:ptCount val="12"/>
                <c:pt idx="0">
                  <c:v>95.66</c:v>
                </c:pt>
                <c:pt idx="1">
                  <c:v>195.06</c:v>
                </c:pt>
                <c:pt idx="2">
                  <c:v>121.5</c:v>
                </c:pt>
                <c:pt idx="3">
                  <c:v>144.69999999999999</c:v>
                </c:pt>
                <c:pt idx="4">
                  <c:v>171.3</c:v>
                </c:pt>
                <c:pt idx="5">
                  <c:v>143.53</c:v>
                </c:pt>
                <c:pt idx="6">
                  <c:v>104.13</c:v>
                </c:pt>
                <c:pt idx="7">
                  <c:v>92.93</c:v>
                </c:pt>
                <c:pt idx="8">
                  <c:v>107.26</c:v>
                </c:pt>
                <c:pt idx="9">
                  <c:v>136.33000000000001</c:v>
                </c:pt>
                <c:pt idx="10">
                  <c:v>75.16</c:v>
                </c:pt>
                <c:pt idx="11">
                  <c:v>87.56</c:v>
                </c:pt>
              </c:numCache>
            </c:numRef>
          </c:val>
          <c:extLst>
            <c:ext xmlns:c16="http://schemas.microsoft.com/office/drawing/2014/chart" uri="{C3380CC4-5D6E-409C-BE32-E72D297353CC}">
              <c16:uniqueId val="{00000002-68C6-4176-A619-2128C81413AB}"/>
            </c:ext>
          </c:extLst>
        </c:ser>
        <c:dLbls>
          <c:showLegendKey val="0"/>
          <c:showVal val="0"/>
          <c:showCatName val="0"/>
          <c:showSerName val="0"/>
          <c:showPercent val="0"/>
          <c:showBubbleSize val="0"/>
        </c:dLbls>
        <c:gapWidth val="150"/>
        <c:axId val="43690624"/>
        <c:axId val="71447296"/>
      </c:barChart>
      <c:catAx>
        <c:axId val="43690624"/>
        <c:scaling>
          <c:orientation val="minMax"/>
        </c:scaling>
        <c:delete val="0"/>
        <c:axPos val="b"/>
        <c:numFmt formatCode="General" sourceLinked="0"/>
        <c:majorTickMark val="none"/>
        <c:minorTickMark val="none"/>
        <c:tickLblPos val="nextTo"/>
        <c:txPr>
          <a:bodyPr/>
          <a:lstStyle/>
          <a:p>
            <a:pPr>
              <a:defRPr sz="1000" b="1">
                <a:latin typeface="Times New Roman" panose="02020603050405020304" pitchFamily="18" charset="0"/>
                <a:cs typeface="Times New Roman" panose="02020603050405020304" pitchFamily="18" charset="0"/>
              </a:defRPr>
            </a:pPr>
            <a:endParaRPr lang="en-US"/>
          </a:p>
        </c:txPr>
        <c:crossAx val="71447296"/>
        <c:crosses val="autoZero"/>
        <c:auto val="1"/>
        <c:lblAlgn val="ctr"/>
        <c:lblOffset val="100"/>
        <c:noMultiLvlLbl val="0"/>
      </c:catAx>
      <c:valAx>
        <c:axId val="71447296"/>
        <c:scaling>
          <c:orientation val="minMax"/>
        </c:scaling>
        <c:delete val="0"/>
        <c:axPos val="l"/>
        <c:title>
          <c:tx>
            <c:rich>
              <a:bodyPr/>
              <a:lstStyle/>
              <a:p>
                <a:pPr>
                  <a:defRPr/>
                </a:pPr>
                <a:r>
                  <a:rPr lang="en-US" sz="1000" b="1" i="0" baseline="0">
                    <a:latin typeface="Times New Roman" pitchFamily="18" charset="0"/>
                    <a:cs typeface="Times New Roman" pitchFamily="18" charset="0"/>
                  </a:rPr>
                  <a:t>Absorbance at 725nm</a:t>
                </a:r>
              </a:p>
            </c:rich>
          </c:tx>
          <c:layout>
            <c:manualLayout>
              <c:xMode val="edge"/>
              <c:yMode val="edge"/>
              <c:x val="2.2400786474128898E-2"/>
              <c:y val="0.21288508974007594"/>
            </c:manualLayout>
          </c:layout>
          <c:overlay val="0"/>
        </c:title>
        <c:numFmt formatCode="General" sourceLinked="1"/>
        <c:majorTickMark val="out"/>
        <c:minorTickMark val="none"/>
        <c:tickLblPos val="nextTo"/>
        <c:txPr>
          <a:bodyPr/>
          <a:lstStyle/>
          <a:p>
            <a:pPr>
              <a:defRPr b="0">
                <a:latin typeface="Times New Roman" panose="02020603050405020304" pitchFamily="18" charset="0"/>
                <a:cs typeface="Times New Roman" panose="02020603050405020304" pitchFamily="18" charset="0"/>
              </a:defRPr>
            </a:pPr>
            <a:endParaRPr lang="en-US"/>
          </a:p>
        </c:txPr>
        <c:crossAx val="43690624"/>
        <c:crosses val="autoZero"/>
        <c:crossBetween val="between"/>
      </c:valAx>
      <c:spPr>
        <a:noFill/>
        <a:ln w="25400">
          <a:noFill/>
        </a:ln>
      </c:spPr>
    </c:plotArea>
    <c:legend>
      <c:legendPos val="t"/>
      <c:layout>
        <c:manualLayout>
          <c:xMode val="edge"/>
          <c:yMode val="edge"/>
          <c:x val="0.19206087754931694"/>
          <c:y val="3.7629350893697081E-2"/>
          <c:w val="0.71010674902386317"/>
          <c:h val="9.0108591788208972E-2"/>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2615982877081375"/>
          <c:y val="5.0326906095608533E-2"/>
          <c:w val="0.85317989097516655"/>
          <c:h val="0.64854630177696659"/>
        </c:manualLayout>
      </c:layout>
      <c:bar3DChart>
        <c:barDir val="col"/>
        <c:grouping val="clustered"/>
        <c:varyColors val="0"/>
        <c:ser>
          <c:idx val="0"/>
          <c:order val="0"/>
          <c:spPr>
            <a:solidFill>
              <a:schemeClr val="accent1"/>
            </a:solidFill>
          </c:spPr>
          <c:invertIfNegative val="0"/>
          <c:dPt>
            <c:idx val="0"/>
            <c:invertIfNegative val="0"/>
            <c:bubble3D val="0"/>
            <c:spPr>
              <a:solidFill>
                <a:srgbClr val="FFC000"/>
              </a:solidFill>
            </c:spPr>
            <c:extLst>
              <c:ext xmlns:c16="http://schemas.microsoft.com/office/drawing/2014/chart" uri="{C3380CC4-5D6E-409C-BE32-E72D297353CC}">
                <c16:uniqueId val="{00000001-38B4-4546-90E7-30F61C473904}"/>
              </c:ext>
            </c:extLst>
          </c:dPt>
          <c:dPt>
            <c:idx val="2"/>
            <c:invertIfNegative val="0"/>
            <c:bubble3D val="0"/>
            <c:spPr>
              <a:solidFill>
                <a:srgbClr val="7030A0"/>
              </a:solidFill>
            </c:spPr>
            <c:extLst>
              <c:ext xmlns:c16="http://schemas.microsoft.com/office/drawing/2014/chart" uri="{C3380CC4-5D6E-409C-BE32-E72D297353CC}">
                <c16:uniqueId val="{00000003-38B4-4546-90E7-30F61C473904}"/>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5-38B4-4546-90E7-30F61C473904}"/>
              </c:ext>
            </c:extLst>
          </c:dPt>
          <c:dPt>
            <c:idx val="4"/>
            <c:invertIfNegative val="0"/>
            <c:bubble3D val="0"/>
            <c:spPr>
              <a:solidFill>
                <a:srgbClr val="FFFF00"/>
              </a:solidFill>
            </c:spPr>
            <c:extLst>
              <c:ext xmlns:c16="http://schemas.microsoft.com/office/drawing/2014/chart" uri="{C3380CC4-5D6E-409C-BE32-E72D297353CC}">
                <c16:uniqueId val="{00000007-38B4-4546-90E7-30F61C473904}"/>
              </c:ext>
            </c:extLst>
          </c:dPt>
          <c:dPt>
            <c:idx val="5"/>
            <c:invertIfNegative val="0"/>
            <c:bubble3D val="0"/>
            <c:spPr>
              <a:solidFill>
                <a:srgbClr val="FF0000"/>
              </a:solidFill>
            </c:spPr>
            <c:extLst>
              <c:ext xmlns:c16="http://schemas.microsoft.com/office/drawing/2014/chart" uri="{C3380CC4-5D6E-409C-BE32-E72D297353CC}">
                <c16:uniqueId val="{00000009-38B4-4546-90E7-30F61C473904}"/>
              </c:ext>
            </c:extLst>
          </c:dPt>
          <c:dPt>
            <c:idx val="6"/>
            <c:invertIfNegative val="0"/>
            <c:bubble3D val="0"/>
            <c:spPr>
              <a:solidFill>
                <a:srgbClr val="00B050"/>
              </a:solidFill>
            </c:spPr>
            <c:extLst>
              <c:ext xmlns:c16="http://schemas.microsoft.com/office/drawing/2014/chart" uri="{C3380CC4-5D6E-409C-BE32-E72D297353CC}">
                <c16:uniqueId val="{0000000B-38B4-4546-90E7-30F61C473904}"/>
              </c:ext>
            </c:extLst>
          </c:dPt>
          <c:dPt>
            <c:idx val="7"/>
            <c:invertIfNegative val="0"/>
            <c:bubble3D val="0"/>
            <c:spPr>
              <a:solidFill>
                <a:schemeClr val="bg2">
                  <a:lumMod val="25000"/>
                </a:schemeClr>
              </a:solidFill>
            </c:spPr>
            <c:extLst>
              <c:ext xmlns:c16="http://schemas.microsoft.com/office/drawing/2014/chart" uri="{C3380CC4-5D6E-409C-BE32-E72D297353CC}">
                <c16:uniqueId val="{0000000D-38B4-4546-90E7-30F61C473904}"/>
              </c:ext>
            </c:extLst>
          </c:dPt>
          <c:dPt>
            <c:idx val="8"/>
            <c:invertIfNegative val="0"/>
            <c:bubble3D val="0"/>
            <c:spPr>
              <a:solidFill>
                <a:schemeClr val="accent3">
                  <a:lumMod val="75000"/>
                </a:schemeClr>
              </a:solidFill>
            </c:spPr>
            <c:extLst>
              <c:ext xmlns:c16="http://schemas.microsoft.com/office/drawing/2014/chart" uri="{C3380CC4-5D6E-409C-BE32-E72D297353CC}">
                <c16:uniqueId val="{0000000F-38B4-4546-90E7-30F61C473904}"/>
              </c:ext>
            </c:extLst>
          </c:dPt>
          <c:dPt>
            <c:idx val="9"/>
            <c:invertIfNegative val="0"/>
            <c:bubble3D val="0"/>
            <c:spPr>
              <a:solidFill>
                <a:srgbClr val="00B0F0"/>
              </a:solidFill>
            </c:spPr>
            <c:extLst>
              <c:ext xmlns:c16="http://schemas.microsoft.com/office/drawing/2014/chart" uri="{C3380CC4-5D6E-409C-BE32-E72D297353CC}">
                <c16:uniqueId val="{00000011-38B4-4546-90E7-30F61C473904}"/>
              </c:ext>
            </c:extLst>
          </c:dPt>
          <c:dPt>
            <c:idx val="10"/>
            <c:invertIfNegative val="0"/>
            <c:bubble3D val="0"/>
            <c:spPr>
              <a:solidFill>
                <a:srgbClr val="92D050"/>
              </a:solidFill>
            </c:spPr>
            <c:extLst>
              <c:ext xmlns:c16="http://schemas.microsoft.com/office/drawing/2014/chart" uri="{C3380CC4-5D6E-409C-BE32-E72D297353CC}">
                <c16:uniqueId val="{00000013-38B4-4546-90E7-30F61C473904}"/>
              </c:ext>
            </c:extLst>
          </c:dPt>
          <c:dPt>
            <c:idx val="11"/>
            <c:invertIfNegative val="0"/>
            <c:bubble3D val="0"/>
            <c:spPr>
              <a:solidFill>
                <a:schemeClr val="accent2">
                  <a:lumMod val="75000"/>
                </a:schemeClr>
              </a:solidFill>
            </c:spPr>
            <c:extLst>
              <c:ext xmlns:c16="http://schemas.microsoft.com/office/drawing/2014/chart" uri="{C3380CC4-5D6E-409C-BE32-E72D297353CC}">
                <c16:uniqueId val="{00000015-38B4-4546-90E7-30F61C473904}"/>
              </c:ext>
            </c:extLst>
          </c:dPt>
          <c:cat>
            <c:strRef>
              <c:f>'PPO graph'!$A$3:$A$14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'PPO graph'!$B$3:$B$14</c:f>
              <c:numCache>
                <c:formatCode>General</c:formatCode>
                <c:ptCount val="12"/>
                <c:pt idx="0">
                  <c:v>5.1999999999999998E-2</c:v>
                </c:pt>
                <c:pt idx="1">
                  <c:v>5.7000000000000023E-2</c:v>
                </c:pt>
                <c:pt idx="2">
                  <c:v>0.05</c:v>
                </c:pt>
                <c:pt idx="3">
                  <c:v>6.1000000000000013E-2</c:v>
                </c:pt>
                <c:pt idx="4">
                  <c:v>6.4000000000000112E-2</c:v>
                </c:pt>
                <c:pt idx="5">
                  <c:v>6.9000000000000034E-2</c:v>
                </c:pt>
                <c:pt idx="6">
                  <c:v>4.7000000000000014E-2</c:v>
                </c:pt>
                <c:pt idx="7">
                  <c:v>5.1999999999999998E-2</c:v>
                </c:pt>
                <c:pt idx="8">
                  <c:v>4.5000000000000012E-2</c:v>
                </c:pt>
                <c:pt idx="9">
                  <c:v>4.5999999999999999E-2</c:v>
                </c:pt>
                <c:pt idx="10">
                  <c:v>5.1000000000000004E-2</c:v>
                </c:pt>
                <c:pt idx="11">
                  <c:v>9.2000000000000026E-2</c:v>
                </c:pt>
              </c:numCache>
            </c:numRef>
          </c:val>
          <c:extLst>
            <c:ext xmlns:c16="http://schemas.microsoft.com/office/drawing/2014/chart" uri="{C3380CC4-5D6E-409C-BE32-E72D297353CC}">
              <c16:uniqueId val="{00000016-38B4-4546-90E7-30F61C473904}"/>
            </c:ext>
          </c:extLst>
        </c:ser>
        <c:dLbls>
          <c:showLegendKey val="0"/>
          <c:showVal val="0"/>
          <c:showCatName val="0"/>
          <c:showSerName val="0"/>
          <c:showPercent val="0"/>
          <c:showBubbleSize val="0"/>
        </c:dLbls>
        <c:gapWidth val="150"/>
        <c:shape val="cone"/>
        <c:axId val="71485696"/>
        <c:axId val="71496064"/>
        <c:axId val="0"/>
      </c:bar3DChart>
      <c:catAx>
        <c:axId val="71485696"/>
        <c:scaling>
          <c:orientation val="minMax"/>
        </c:scaling>
        <c:delete val="0"/>
        <c:axPos val="b"/>
        <c:numFmt formatCode="General" sourceLinked="0"/>
        <c:majorTickMark val="none"/>
        <c:minorTickMark val="none"/>
        <c:tickLblPos val="nextTo"/>
        <c:crossAx val="71496064"/>
        <c:crosses val="autoZero"/>
        <c:auto val="1"/>
        <c:lblAlgn val="ctr"/>
        <c:lblOffset val="100"/>
        <c:noMultiLvlLbl val="0"/>
      </c:catAx>
      <c:valAx>
        <c:axId val="71496064"/>
        <c:scaling>
          <c:orientation val="minMax"/>
        </c:scaling>
        <c:delete val="0"/>
        <c:axPos val="l"/>
        <c:title>
          <c:tx>
            <c:rich>
              <a:bodyPr/>
              <a:lstStyle/>
              <a:p>
                <a:pPr>
                  <a:defRPr/>
                </a:pPr>
                <a:r>
                  <a:rPr lang="el-GR"/>
                  <a:t>ΔOD/min</a:t>
                </a:r>
              </a:p>
            </c:rich>
          </c:tx>
          <c:layout>
            <c:manualLayout>
              <c:xMode val="edge"/>
              <c:yMode val="edge"/>
              <c:x val="1.2300594917376716E-2"/>
              <c:y val="0.25745695461946355"/>
            </c:manualLayout>
          </c:layout>
          <c:overlay val="0"/>
        </c:title>
        <c:numFmt formatCode="General" sourceLinked="1"/>
        <c:majorTickMark val="out"/>
        <c:minorTickMark val="none"/>
        <c:tickLblPos val="nextTo"/>
        <c:crossAx val="71485696"/>
        <c:crosses val="autoZero"/>
        <c:crossBetween val="between"/>
      </c:valAx>
    </c:plotArea>
    <c:plotVisOnly val="1"/>
    <c:dispBlanksAs val="gap"/>
    <c:showDLblsOverMax val="0"/>
  </c:chart>
  <c:spPr>
    <a:ln>
      <a:noFill/>
    </a:ln>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0.14925</cdr:x>
      <cdr:y>0.27671</cdr:y>
    </cdr:from>
    <cdr:to>
      <cdr:x>0.24302</cdr:x>
      <cdr:y>0.33854</cdr:y>
    </cdr:to>
    <cdr:sp macro="" textlink="">
      <cdr:nvSpPr>
        <cdr:cNvPr id="2" name="TextBox 1"/>
        <cdr:cNvSpPr txBox="1"/>
      </cdr:nvSpPr>
      <cdr:spPr>
        <a:xfrm xmlns:a="http://schemas.openxmlformats.org/drawingml/2006/main">
          <a:off x="784263" y="870872"/>
          <a:ext cx="492749" cy="19460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0.052</a:t>
          </a:r>
        </a:p>
      </cdr:txBody>
    </cdr:sp>
  </cdr:relSizeAnchor>
  <cdr:relSizeAnchor xmlns:cdr="http://schemas.openxmlformats.org/drawingml/2006/chartDrawing">
    <cdr:from>
      <cdr:x>0.22188</cdr:x>
      <cdr:y>0.24384</cdr:y>
    </cdr:from>
    <cdr:to>
      <cdr:x>0.31717</cdr:x>
      <cdr:y>0.32086</cdr:y>
    </cdr:to>
    <cdr:sp macro="" textlink="">
      <cdr:nvSpPr>
        <cdr:cNvPr id="3" name="TextBox 2"/>
        <cdr:cNvSpPr txBox="1"/>
      </cdr:nvSpPr>
      <cdr:spPr>
        <a:xfrm xmlns:a="http://schemas.openxmlformats.org/drawingml/2006/main">
          <a:off x="1165913" y="767422"/>
          <a:ext cx="500714" cy="24239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0.057</a:t>
          </a:r>
        </a:p>
      </cdr:txBody>
    </cdr:sp>
  </cdr:relSizeAnchor>
  <cdr:relSizeAnchor xmlns:cdr="http://schemas.openxmlformats.org/drawingml/2006/chartDrawing">
    <cdr:from>
      <cdr:x>0.28739</cdr:x>
      <cdr:y>0.29863</cdr:y>
    </cdr:from>
    <cdr:to>
      <cdr:x>0.37142</cdr:x>
      <cdr:y>0.36164</cdr:y>
    </cdr:to>
    <cdr:sp macro="" textlink="">
      <cdr:nvSpPr>
        <cdr:cNvPr id="4" name="TextBox 3"/>
        <cdr:cNvSpPr txBox="1"/>
      </cdr:nvSpPr>
      <cdr:spPr>
        <a:xfrm xmlns:a="http://schemas.openxmlformats.org/drawingml/2006/main">
          <a:off x="1740738" y="940281"/>
          <a:ext cx="508959" cy="19840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0.050</a:t>
          </a:r>
        </a:p>
      </cdr:txBody>
    </cdr:sp>
  </cdr:relSizeAnchor>
  <cdr:relSizeAnchor xmlns:cdr="http://schemas.openxmlformats.org/drawingml/2006/chartDrawing">
    <cdr:from>
      <cdr:x>0.34579</cdr:x>
      <cdr:y>0.2274</cdr:y>
    </cdr:from>
    <cdr:to>
      <cdr:x>0.43266</cdr:x>
      <cdr:y>0.28493</cdr:y>
    </cdr:to>
    <cdr:sp macro="" textlink="">
      <cdr:nvSpPr>
        <cdr:cNvPr id="5" name="TextBox 4"/>
        <cdr:cNvSpPr txBox="1"/>
      </cdr:nvSpPr>
      <cdr:spPr>
        <a:xfrm xmlns:a="http://schemas.openxmlformats.org/drawingml/2006/main">
          <a:off x="2094421" y="715993"/>
          <a:ext cx="526212" cy="18115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0.061</a:t>
          </a:r>
        </a:p>
      </cdr:txBody>
    </cdr:sp>
  </cdr:relSizeAnchor>
  <cdr:relSizeAnchor xmlns:cdr="http://schemas.openxmlformats.org/drawingml/2006/chartDrawing">
    <cdr:from>
      <cdr:x>0.41273</cdr:x>
      <cdr:y>0.21096</cdr:y>
    </cdr:from>
    <cdr:to>
      <cdr:x>0.50934</cdr:x>
      <cdr:y>0.27791</cdr:y>
    </cdr:to>
    <cdr:sp macro="" textlink="">
      <cdr:nvSpPr>
        <cdr:cNvPr id="6" name="TextBox 5"/>
        <cdr:cNvSpPr txBox="1"/>
      </cdr:nvSpPr>
      <cdr:spPr>
        <a:xfrm xmlns:a="http://schemas.openxmlformats.org/drawingml/2006/main">
          <a:off x="2168772" y="663941"/>
          <a:ext cx="507670" cy="21070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0.064</a:t>
          </a:r>
        </a:p>
      </cdr:txBody>
    </cdr:sp>
  </cdr:relSizeAnchor>
  <cdr:relSizeAnchor xmlns:cdr="http://schemas.openxmlformats.org/drawingml/2006/chartDrawing">
    <cdr:from>
      <cdr:x>0.47539</cdr:x>
      <cdr:y>0.1726</cdr:y>
    </cdr:from>
    <cdr:to>
      <cdr:x>0.56654</cdr:x>
      <cdr:y>0.24658</cdr:y>
    </cdr:to>
    <cdr:sp macro="" textlink="">
      <cdr:nvSpPr>
        <cdr:cNvPr id="7" name="TextBox 6"/>
        <cdr:cNvSpPr txBox="1"/>
      </cdr:nvSpPr>
      <cdr:spPr>
        <a:xfrm xmlns:a="http://schemas.openxmlformats.org/drawingml/2006/main">
          <a:off x="2879426" y="543465"/>
          <a:ext cx="552091" cy="23291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0.069</a:t>
          </a:r>
        </a:p>
      </cdr:txBody>
    </cdr:sp>
  </cdr:relSizeAnchor>
  <cdr:relSizeAnchor xmlns:cdr="http://schemas.openxmlformats.org/drawingml/2006/chartDrawing">
    <cdr:from>
      <cdr:x>0.53806</cdr:x>
      <cdr:y>0.31233</cdr:y>
    </cdr:from>
    <cdr:to>
      <cdr:x>0.62351</cdr:x>
      <cdr:y>0.3726</cdr:y>
    </cdr:to>
    <cdr:sp macro="" textlink="">
      <cdr:nvSpPr>
        <cdr:cNvPr id="8" name="TextBox 7"/>
        <cdr:cNvSpPr txBox="1"/>
      </cdr:nvSpPr>
      <cdr:spPr>
        <a:xfrm xmlns:a="http://schemas.openxmlformats.org/drawingml/2006/main">
          <a:off x="3258987" y="983411"/>
          <a:ext cx="517585" cy="18978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0.047</a:t>
          </a:r>
        </a:p>
      </cdr:txBody>
    </cdr:sp>
  </cdr:relSizeAnchor>
  <cdr:relSizeAnchor xmlns:cdr="http://schemas.openxmlformats.org/drawingml/2006/chartDrawing">
    <cdr:from>
      <cdr:x>0.61069</cdr:x>
      <cdr:y>0.27397</cdr:y>
    </cdr:from>
    <cdr:to>
      <cdr:x>0.70042</cdr:x>
      <cdr:y>0.32877</cdr:y>
    </cdr:to>
    <cdr:sp macro="" textlink="">
      <cdr:nvSpPr>
        <cdr:cNvPr id="9" name="TextBox 8"/>
        <cdr:cNvSpPr txBox="1"/>
      </cdr:nvSpPr>
      <cdr:spPr>
        <a:xfrm xmlns:a="http://schemas.openxmlformats.org/drawingml/2006/main">
          <a:off x="3698935" y="862641"/>
          <a:ext cx="543464" cy="17252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0.052</a:t>
          </a:r>
        </a:p>
      </cdr:txBody>
    </cdr:sp>
  </cdr:relSizeAnchor>
  <cdr:relSizeAnchor xmlns:cdr="http://schemas.openxmlformats.org/drawingml/2006/chartDrawing">
    <cdr:from>
      <cdr:x>0.67478</cdr:x>
      <cdr:y>0.33151</cdr:y>
    </cdr:from>
    <cdr:to>
      <cdr:x>0.77415</cdr:x>
      <cdr:y>0.39412</cdr:y>
    </cdr:to>
    <cdr:sp macro="" textlink="">
      <cdr:nvSpPr>
        <cdr:cNvPr id="10" name="TextBox 9"/>
        <cdr:cNvSpPr txBox="1"/>
      </cdr:nvSpPr>
      <cdr:spPr>
        <a:xfrm xmlns:a="http://schemas.openxmlformats.org/drawingml/2006/main">
          <a:off x="3545766" y="1043341"/>
          <a:ext cx="522154" cy="19706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0.045</a:t>
          </a:r>
        </a:p>
      </cdr:txBody>
    </cdr:sp>
  </cdr:relSizeAnchor>
  <cdr:relSizeAnchor xmlns:cdr="http://schemas.openxmlformats.org/drawingml/2006/chartDrawing">
    <cdr:from>
      <cdr:x>0.74314</cdr:x>
      <cdr:y>0.32055</cdr:y>
    </cdr:from>
    <cdr:to>
      <cdr:x>0.83316</cdr:x>
      <cdr:y>0.38149</cdr:y>
    </cdr:to>
    <cdr:sp macro="" textlink="">
      <cdr:nvSpPr>
        <cdr:cNvPr id="11" name="TextBox 10"/>
        <cdr:cNvSpPr txBox="1"/>
      </cdr:nvSpPr>
      <cdr:spPr>
        <a:xfrm xmlns:a="http://schemas.openxmlformats.org/drawingml/2006/main">
          <a:off x="3904977" y="1008847"/>
          <a:ext cx="473044" cy="1918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0.046</a:t>
          </a:r>
        </a:p>
      </cdr:txBody>
    </cdr:sp>
  </cdr:relSizeAnchor>
  <cdr:relSizeAnchor xmlns:cdr="http://schemas.openxmlformats.org/drawingml/2006/chartDrawing">
    <cdr:from>
      <cdr:x>0.81008</cdr:x>
      <cdr:y>0.30137</cdr:y>
    </cdr:from>
    <cdr:to>
      <cdr:x>0.90731</cdr:x>
      <cdr:y>0.34865</cdr:y>
    </cdr:to>
    <cdr:sp macro="" textlink="">
      <cdr:nvSpPr>
        <cdr:cNvPr id="12" name="TextBox 11"/>
        <cdr:cNvSpPr txBox="1"/>
      </cdr:nvSpPr>
      <cdr:spPr>
        <a:xfrm xmlns:a="http://schemas.openxmlformats.org/drawingml/2006/main">
          <a:off x="4256727" y="948483"/>
          <a:ext cx="510908" cy="14879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0.051</a:t>
          </a:r>
        </a:p>
      </cdr:txBody>
    </cdr:sp>
  </cdr:relSizeAnchor>
  <cdr:relSizeAnchor xmlns:cdr="http://schemas.openxmlformats.org/drawingml/2006/chartDrawing">
    <cdr:from>
      <cdr:x>0.86705</cdr:x>
      <cdr:y>0.06027</cdr:y>
    </cdr:from>
    <cdr:to>
      <cdr:x>0.95393</cdr:x>
      <cdr:y>0.11781</cdr:y>
    </cdr:to>
    <cdr:sp macro="" textlink="">
      <cdr:nvSpPr>
        <cdr:cNvPr id="13" name="TextBox 12"/>
        <cdr:cNvSpPr txBox="1"/>
      </cdr:nvSpPr>
      <cdr:spPr>
        <a:xfrm xmlns:a="http://schemas.openxmlformats.org/drawingml/2006/main">
          <a:off x="5251689" y="189781"/>
          <a:ext cx="526211" cy="18115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0.092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365</TotalTime>
  <Pages>15</Pages>
  <Words>4489</Words>
  <Characters>25589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shivani sharma</dc:creator>
  <cp:keywords/>
  <dc:description/>
  <cp:lastModifiedBy>SDI 1186</cp:lastModifiedBy>
  <cp:revision>93</cp:revision>
  <dcterms:created xsi:type="dcterms:W3CDTF">2025-09-02T06:28:00Z</dcterms:created>
  <dcterms:modified xsi:type="dcterms:W3CDTF">2025-09-11T07:50:00Z</dcterms:modified>
</cp:coreProperties>
</file>