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54F1B" w14:textId="77777777" w:rsidR="00754C9A" w:rsidRDefault="00754C9A" w:rsidP="00441B6F">
      <w:pPr>
        <w:pStyle w:val="Title"/>
        <w:spacing w:after="0"/>
        <w:jc w:val="both"/>
        <w:rPr>
          <w:rFonts w:ascii="Arial" w:hAnsi="Arial" w:cs="Arial"/>
        </w:rPr>
      </w:pPr>
    </w:p>
    <w:p w14:paraId="6A574AA8" w14:textId="77777777" w:rsidR="00F72825" w:rsidRPr="00F72825" w:rsidRDefault="00F72825" w:rsidP="00F72825">
      <w:pPr>
        <w:jc w:val="right"/>
        <w:rPr>
          <w:rFonts w:ascii="Arial" w:hAnsi="Arial" w:cs="Arial"/>
          <w:b/>
          <w:bCs/>
          <w:i/>
          <w:iCs/>
          <w:sz w:val="36"/>
          <w:szCs w:val="36"/>
          <w:u w:val="single"/>
        </w:rPr>
      </w:pPr>
      <w:r w:rsidRPr="00F72825">
        <w:rPr>
          <w:rFonts w:ascii="Arial" w:hAnsi="Arial" w:cs="Arial"/>
          <w:b/>
          <w:bCs/>
          <w:i/>
          <w:iCs/>
          <w:sz w:val="36"/>
          <w:szCs w:val="36"/>
          <w:u w:val="single"/>
        </w:rPr>
        <w:t>Minireview Article</w:t>
      </w:r>
    </w:p>
    <w:p w14:paraId="5BD89846" w14:textId="74A3C6EB" w:rsidR="00163BC4" w:rsidRPr="002008BF" w:rsidRDefault="00B94C90" w:rsidP="002008BF">
      <w:pPr>
        <w:jc w:val="right"/>
        <w:rPr>
          <w:rFonts w:ascii="Arial" w:hAnsi="Arial" w:cs="Arial"/>
          <w:b/>
          <w:bCs/>
          <w:sz w:val="36"/>
          <w:szCs w:val="36"/>
        </w:rPr>
      </w:pPr>
      <w:r>
        <w:rPr>
          <w:rFonts w:ascii="Arial" w:hAnsi="Arial" w:cs="Arial"/>
          <w:b/>
          <w:bCs/>
          <w:sz w:val="36"/>
          <w:szCs w:val="36"/>
        </w:rPr>
        <w:t xml:space="preserve">Integrating </w:t>
      </w:r>
      <w:r w:rsidR="00563BA9" w:rsidRPr="00563BA9">
        <w:rPr>
          <w:rFonts w:ascii="Arial" w:hAnsi="Arial" w:cs="Arial"/>
          <w:b/>
          <w:bCs/>
          <w:sz w:val="36"/>
          <w:szCs w:val="36"/>
        </w:rPr>
        <w:t xml:space="preserve">Agroforestry and Community-Based Forest Management (CBFM) for Sustainable Land Use and Social Equity: A </w:t>
      </w:r>
      <w:r w:rsidR="00E30489">
        <w:rPr>
          <w:rFonts w:ascii="Arial" w:hAnsi="Arial" w:cs="Arial"/>
          <w:b/>
          <w:bCs/>
          <w:sz w:val="36"/>
          <w:szCs w:val="36"/>
        </w:rPr>
        <w:t>Mini</w:t>
      </w:r>
      <w:r w:rsidR="00563BA9" w:rsidRPr="00563BA9">
        <w:rPr>
          <w:rFonts w:ascii="Arial" w:hAnsi="Arial" w:cs="Arial"/>
          <w:b/>
          <w:bCs/>
          <w:sz w:val="36"/>
          <w:szCs w:val="36"/>
        </w:rPr>
        <w:t xml:space="preserve"> Review</w:t>
      </w:r>
      <w:r w:rsidR="00231920">
        <w:rPr>
          <w:rFonts w:ascii="Arial" w:hAnsi="Arial" w:cs="Arial"/>
          <w:bCs/>
          <w:iCs/>
          <w:kern w:val="28"/>
          <w:sz w:val="36"/>
        </w:rPr>
        <w:t xml:space="preserve"> </w:t>
      </w:r>
    </w:p>
    <w:p w14:paraId="1F568AA0" w14:textId="77777777" w:rsidR="00A258C3" w:rsidRPr="00790ADA" w:rsidRDefault="00A258C3" w:rsidP="00441B6F">
      <w:pPr>
        <w:pStyle w:val="Author"/>
        <w:spacing w:line="240" w:lineRule="auto"/>
        <w:jc w:val="both"/>
        <w:rPr>
          <w:rFonts w:ascii="Arial" w:hAnsi="Arial" w:cs="Arial"/>
          <w:sz w:val="36"/>
        </w:rPr>
      </w:pPr>
    </w:p>
    <w:p w14:paraId="6FDA6F5A" w14:textId="77777777" w:rsidR="00B01FCD" w:rsidRPr="00FB3A86" w:rsidRDefault="00000000" w:rsidP="00441B6F">
      <w:pPr>
        <w:pStyle w:val="Copyright"/>
        <w:spacing w:after="0" w:line="240" w:lineRule="auto"/>
        <w:jc w:val="both"/>
        <w:rPr>
          <w:rFonts w:ascii="Arial" w:hAnsi="Arial" w:cs="Arial"/>
        </w:rPr>
        <w:sectPr w:rsidR="00B01FCD" w:rsidRPr="00FB3A86" w:rsidSect="00BE431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E98D606">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9EEBBE5" w14:textId="0245C0A7" w:rsidR="00B01FCD" w:rsidRDefault="00B01FCD" w:rsidP="00441B6F">
      <w:pPr>
        <w:pStyle w:val="AbstHead"/>
        <w:spacing w:after="0"/>
        <w:jc w:val="both"/>
        <w:rPr>
          <w:rFonts w:ascii="Arial" w:hAnsi="Arial" w:cs="Arial"/>
        </w:rPr>
      </w:pPr>
      <w:r w:rsidRPr="00633A0C">
        <w:rPr>
          <w:rFonts w:ascii="Arial" w:hAnsi="Arial" w:cs="Arial"/>
        </w:rPr>
        <w:t>ABSTRACT</w:t>
      </w:r>
    </w:p>
    <w:p w14:paraId="46AAFEC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4803DD0" w14:textId="77777777" w:rsidTr="001E44FE">
        <w:tc>
          <w:tcPr>
            <w:tcW w:w="9576" w:type="dxa"/>
            <w:shd w:val="clear" w:color="auto" w:fill="F2F2F2"/>
          </w:tcPr>
          <w:p w14:paraId="54921D70" w14:textId="630B6356" w:rsidR="00505F06" w:rsidRPr="00506A3B" w:rsidRDefault="00D805E5" w:rsidP="002008BF">
            <w:pPr>
              <w:spacing w:after="160" w:line="259" w:lineRule="auto"/>
              <w:jc w:val="both"/>
              <w:rPr>
                <w:rFonts w:ascii="Arial" w:hAnsi="Arial" w:cs="Arial"/>
                <w:sz w:val="22"/>
                <w:szCs w:val="22"/>
              </w:rPr>
            </w:pPr>
            <w:r w:rsidRPr="00D805E5">
              <w:rPr>
                <w:rFonts w:ascii="Arial" w:hAnsi="Arial" w:cs="Arial"/>
                <w:sz w:val="22"/>
                <w:szCs w:val="22"/>
              </w:rPr>
              <w:t>Agroforestry and Community-Based Forest Management (CBFM) are complementary approaches for promoting sustainable land use and social equity. This review evaluates their ecological contributions, governance outcomes, and integration potential. Evidence from global and Philippine studies shows that agroforestry enhances soil fertility, nutrient cycling, biodiversity, and carbon sequestration, while reducing soil erosion. CBFM emphasizes participatory governance, tenure security, and equitable access, enabling community stewardship and reforestation, although its effectiveness is often constrained by tenure insecurity, restrictive regulations, and limited livelihood benefits. Comparative analysis indicates that agroforestry primarily addresses ecological restoration, whereas CBFM advances social justice and governance. Integrating these systems presents a pathway to restore degraded lands, strengthen livelihoods, and enhance climate resilience. Achieving these outcomes requires tenure reforms, multi-level governance alignment, inclusive participation, and the operational integration of agroforestry within CBFM frameworks, thereby supporting sustainable and equitable upland development.</w:t>
            </w:r>
          </w:p>
        </w:tc>
      </w:tr>
    </w:tbl>
    <w:p w14:paraId="46D00C29" w14:textId="77777777" w:rsidR="00636EB2" w:rsidRDefault="00636EB2" w:rsidP="00441B6F">
      <w:pPr>
        <w:pStyle w:val="Body"/>
        <w:spacing w:after="0"/>
        <w:rPr>
          <w:rFonts w:ascii="Arial" w:hAnsi="Arial" w:cs="Arial"/>
          <w:i/>
        </w:rPr>
      </w:pPr>
    </w:p>
    <w:p w14:paraId="366F5231" w14:textId="532E84AF" w:rsidR="00A24E7E" w:rsidRDefault="00A24E7E" w:rsidP="00441B6F">
      <w:pPr>
        <w:pStyle w:val="Body"/>
        <w:spacing w:after="0"/>
        <w:rPr>
          <w:rFonts w:ascii="Arial" w:hAnsi="Arial" w:cs="Arial"/>
          <w:i/>
        </w:rPr>
      </w:pPr>
      <w:r w:rsidRPr="00633A0C">
        <w:rPr>
          <w:rFonts w:ascii="Arial" w:hAnsi="Arial" w:cs="Arial"/>
          <w:i/>
        </w:rPr>
        <w:t xml:space="preserve">Keywords: </w:t>
      </w:r>
      <w:r w:rsidR="00633A0C" w:rsidRPr="00633A0C">
        <w:rPr>
          <w:rFonts w:ascii="Arial" w:hAnsi="Arial" w:cs="Arial"/>
          <w:i/>
        </w:rPr>
        <w:t>Agroforestry</w:t>
      </w:r>
      <w:r w:rsidR="001C58E2">
        <w:rPr>
          <w:rFonts w:ascii="Arial" w:hAnsi="Arial" w:cs="Arial"/>
          <w:i/>
        </w:rPr>
        <w:t>;</w:t>
      </w:r>
      <w:r w:rsidR="00633A0C" w:rsidRPr="00633A0C">
        <w:rPr>
          <w:rFonts w:ascii="Arial" w:hAnsi="Arial" w:cs="Arial"/>
          <w:i/>
        </w:rPr>
        <w:t xml:space="preserve"> </w:t>
      </w:r>
      <w:r w:rsidR="00E04C93">
        <w:rPr>
          <w:rFonts w:ascii="Arial" w:hAnsi="Arial" w:cs="Arial"/>
          <w:i/>
        </w:rPr>
        <w:t>c</w:t>
      </w:r>
      <w:r w:rsidR="00633A0C" w:rsidRPr="00633A0C">
        <w:rPr>
          <w:rFonts w:ascii="Arial" w:hAnsi="Arial" w:cs="Arial"/>
          <w:i/>
        </w:rPr>
        <w:t>ommunity</w:t>
      </w:r>
      <w:r w:rsidR="003107A7">
        <w:rPr>
          <w:rFonts w:ascii="Arial" w:hAnsi="Arial" w:cs="Arial"/>
          <w:i/>
        </w:rPr>
        <w:t>-b</w:t>
      </w:r>
      <w:r w:rsidR="00633A0C" w:rsidRPr="00633A0C">
        <w:rPr>
          <w:rFonts w:ascii="Arial" w:hAnsi="Arial" w:cs="Arial"/>
          <w:i/>
        </w:rPr>
        <w:t xml:space="preserve">ased </w:t>
      </w:r>
      <w:r w:rsidR="003107A7">
        <w:rPr>
          <w:rFonts w:ascii="Arial" w:hAnsi="Arial" w:cs="Arial"/>
          <w:i/>
        </w:rPr>
        <w:t>f</w:t>
      </w:r>
      <w:r w:rsidR="00633A0C" w:rsidRPr="00633A0C">
        <w:rPr>
          <w:rFonts w:ascii="Arial" w:hAnsi="Arial" w:cs="Arial"/>
          <w:i/>
        </w:rPr>
        <w:t xml:space="preserve">orest </w:t>
      </w:r>
      <w:r w:rsidR="003107A7">
        <w:rPr>
          <w:rFonts w:ascii="Arial" w:hAnsi="Arial" w:cs="Arial"/>
          <w:i/>
        </w:rPr>
        <w:t>m</w:t>
      </w:r>
      <w:r w:rsidR="00633A0C" w:rsidRPr="00633A0C">
        <w:rPr>
          <w:rFonts w:ascii="Arial" w:hAnsi="Arial" w:cs="Arial"/>
          <w:i/>
        </w:rPr>
        <w:t>anagement</w:t>
      </w:r>
      <w:r w:rsidR="001C58E2">
        <w:rPr>
          <w:rFonts w:ascii="Arial" w:hAnsi="Arial" w:cs="Arial"/>
          <w:i/>
        </w:rPr>
        <w:t>;</w:t>
      </w:r>
      <w:r w:rsidR="00633A0C" w:rsidRPr="00633A0C">
        <w:rPr>
          <w:rFonts w:ascii="Arial" w:hAnsi="Arial" w:cs="Arial"/>
          <w:i/>
        </w:rPr>
        <w:t xml:space="preserve"> </w:t>
      </w:r>
      <w:r w:rsidR="003107A7" w:rsidRPr="003107A7">
        <w:rPr>
          <w:rFonts w:ascii="Arial" w:hAnsi="Arial" w:cs="Arial"/>
          <w:i/>
        </w:rPr>
        <w:t xml:space="preserve">ecological </w:t>
      </w:r>
      <w:r w:rsidR="003107A7">
        <w:rPr>
          <w:rFonts w:ascii="Arial" w:hAnsi="Arial" w:cs="Arial"/>
          <w:i/>
        </w:rPr>
        <w:t>restoration</w:t>
      </w:r>
      <w:r w:rsidR="001C58E2">
        <w:rPr>
          <w:rFonts w:ascii="Arial" w:hAnsi="Arial" w:cs="Arial"/>
          <w:i/>
        </w:rPr>
        <w:t>;</w:t>
      </w:r>
      <w:r w:rsidR="003107A7">
        <w:rPr>
          <w:rFonts w:ascii="Arial" w:hAnsi="Arial" w:cs="Arial"/>
          <w:i/>
        </w:rPr>
        <w:t xml:space="preserve"> </w:t>
      </w:r>
      <w:r w:rsidR="00E04C93">
        <w:rPr>
          <w:rFonts w:ascii="Arial" w:hAnsi="Arial" w:cs="Arial"/>
          <w:i/>
        </w:rPr>
        <w:t>s</w:t>
      </w:r>
      <w:r w:rsidR="00633A0C" w:rsidRPr="00633A0C">
        <w:rPr>
          <w:rFonts w:ascii="Arial" w:hAnsi="Arial" w:cs="Arial"/>
          <w:i/>
        </w:rPr>
        <w:t xml:space="preserve">oil </w:t>
      </w:r>
      <w:r w:rsidR="003107A7">
        <w:rPr>
          <w:rFonts w:ascii="Arial" w:hAnsi="Arial" w:cs="Arial"/>
          <w:i/>
        </w:rPr>
        <w:t>h</w:t>
      </w:r>
      <w:r w:rsidR="00633A0C" w:rsidRPr="00633A0C">
        <w:rPr>
          <w:rFonts w:ascii="Arial" w:hAnsi="Arial" w:cs="Arial"/>
          <w:i/>
        </w:rPr>
        <w:t>ealth</w:t>
      </w:r>
      <w:r w:rsidR="001C58E2">
        <w:rPr>
          <w:rFonts w:ascii="Arial" w:hAnsi="Arial" w:cs="Arial"/>
          <w:i/>
        </w:rPr>
        <w:t>;</w:t>
      </w:r>
      <w:r w:rsidR="00633A0C" w:rsidRPr="00633A0C">
        <w:rPr>
          <w:rFonts w:ascii="Arial" w:hAnsi="Arial" w:cs="Arial"/>
          <w:i/>
        </w:rPr>
        <w:t xml:space="preserve"> </w:t>
      </w:r>
      <w:r w:rsidR="00E04C93">
        <w:rPr>
          <w:rFonts w:ascii="Arial" w:hAnsi="Arial" w:cs="Arial"/>
          <w:i/>
        </w:rPr>
        <w:t>c</w:t>
      </w:r>
      <w:r w:rsidR="00633A0C" w:rsidRPr="00633A0C">
        <w:rPr>
          <w:rFonts w:ascii="Arial" w:hAnsi="Arial" w:cs="Arial"/>
          <w:i/>
        </w:rPr>
        <w:t xml:space="preserve">limate </w:t>
      </w:r>
      <w:r w:rsidR="00E04C93">
        <w:rPr>
          <w:rFonts w:ascii="Arial" w:hAnsi="Arial" w:cs="Arial"/>
          <w:i/>
        </w:rPr>
        <w:t>r</w:t>
      </w:r>
      <w:r w:rsidR="00633A0C" w:rsidRPr="00633A0C">
        <w:rPr>
          <w:rFonts w:ascii="Arial" w:hAnsi="Arial" w:cs="Arial"/>
          <w:i/>
        </w:rPr>
        <w:t>esilience</w:t>
      </w:r>
    </w:p>
    <w:p w14:paraId="1ADA1300" w14:textId="77777777" w:rsidR="00505F06" w:rsidRPr="00A24E7E" w:rsidRDefault="00505F06" w:rsidP="00441B6F">
      <w:pPr>
        <w:pStyle w:val="Body"/>
        <w:spacing w:after="0"/>
        <w:rPr>
          <w:rFonts w:ascii="Arial" w:hAnsi="Arial" w:cs="Arial"/>
          <w:i/>
        </w:rPr>
      </w:pPr>
    </w:p>
    <w:p w14:paraId="3B17A198" w14:textId="38F0F57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49F1FB6" w14:textId="77777777" w:rsidR="00790ADA" w:rsidRPr="00FB3A86" w:rsidRDefault="00790ADA" w:rsidP="00441B6F">
      <w:pPr>
        <w:pStyle w:val="AbstHead"/>
        <w:spacing w:after="0"/>
        <w:jc w:val="both"/>
        <w:rPr>
          <w:rFonts w:ascii="Arial" w:hAnsi="Arial" w:cs="Arial"/>
        </w:rPr>
      </w:pPr>
    </w:p>
    <w:p w14:paraId="0EFA6D21" w14:textId="1B6B9C86" w:rsidR="006A2F2E" w:rsidRPr="009F5317" w:rsidRDefault="006A2F2E" w:rsidP="006A2F2E">
      <w:pPr>
        <w:pStyle w:val="Body"/>
        <w:spacing w:after="0"/>
        <w:rPr>
          <w:rFonts w:ascii="Arial" w:hAnsi="Arial" w:cs="Arial"/>
          <w:lang w:val="en-PH"/>
        </w:rPr>
      </w:pPr>
      <w:r w:rsidRPr="009F5317">
        <w:rPr>
          <w:rFonts w:ascii="Arial" w:hAnsi="Arial" w:cs="Arial"/>
          <w:lang w:val="en-PH"/>
        </w:rPr>
        <w:t>Soil degradation and inequitable forest governance remain pressing barriers to sustainable development, particularly in tropical countries where agricultural expansion, deforestation, and land tenure insecurity persist. Globally, nearly 25% of soils are moderately to severely degraded, undermining productivity, resilience, and food security (FAO, 2015; Millennium Ecosystem Assessment, 2005). In the Philippines, upland soils face multiple forms of degradation, including erosion, acidification, and nutrient depletion, especially in areas under continuous cultivation and slash-and-burn farming (Asio et al., 2009). These conditions highlight the urgency of adopting land-use strategies that restore ecosystem services while sustaining rural livelihoods.</w:t>
      </w:r>
    </w:p>
    <w:p w14:paraId="42859DF5" w14:textId="77777777" w:rsidR="006A2F2E" w:rsidRPr="009F5317" w:rsidRDefault="006A2F2E" w:rsidP="006A2F2E">
      <w:pPr>
        <w:pStyle w:val="Body"/>
        <w:spacing w:after="0"/>
        <w:rPr>
          <w:rFonts w:ascii="Arial" w:hAnsi="Arial" w:cs="Arial"/>
          <w:lang w:val="en-PH"/>
        </w:rPr>
      </w:pPr>
    </w:p>
    <w:p w14:paraId="74DCF455" w14:textId="72AB5D46" w:rsidR="002008BF" w:rsidRPr="0085597D" w:rsidRDefault="0085597D" w:rsidP="0085597D">
      <w:pPr>
        <w:spacing w:after="160" w:line="259" w:lineRule="auto"/>
        <w:jc w:val="both"/>
      </w:pPr>
      <w:r w:rsidRPr="00A33F7E">
        <w:t xml:space="preserve">Agroforestry has been widely recognized for its ecological functions, extending beyond crop production to provide soil fertility enhancement, water and nutrient regulation, biodiversity support, and microclimate stabilization. Meta-analyses show that agroforestry reduces soil </w:t>
      </w:r>
      <w:r w:rsidRPr="00A33F7E">
        <w:lastRenderedPageBreak/>
        <w:t>erosion by around 50%, increases soil organic carbon (SOC) by 21%, and improves nitrogen and phosphorus availability in humid and sub-humid regions (</w:t>
      </w:r>
      <w:proofErr w:type="spellStart"/>
      <w:r w:rsidRPr="00A33F7E">
        <w:t>Muchane</w:t>
      </w:r>
      <w:proofErr w:type="spellEnd"/>
      <w:r w:rsidRPr="00A33F7E">
        <w:t xml:space="preserve"> et al., 2020). In Southeast Asia, agroforestry has been shown to buffer climate variability and sustain ecosystem services across diverse landscapes (van </w:t>
      </w:r>
      <w:proofErr w:type="spellStart"/>
      <w:r w:rsidRPr="00A33F7E">
        <w:t>Noordwijk</w:t>
      </w:r>
      <w:proofErr w:type="spellEnd"/>
      <w:r w:rsidRPr="00A33F7E">
        <w:t xml:space="preserve"> et al., 2015; Octavia et al., 2022; Mlambo et al., 2025). Philippine case studies further confirm that agroforestry systems enhance carbon stocks, biomass, and biodiversity, underscoring their ecological services in upland communities (Baliton et al., 2020; San, 2023). More broadly, agroforestry contributes to diversified livelihoods and climate resilience, positioning it as a cornerstone of sustainable intensification (Jose, 2009; Mbow et al., 2014; </w:t>
      </w:r>
      <w:proofErr w:type="spellStart"/>
      <w:r w:rsidRPr="00A33F7E">
        <w:t>San</w:t>
      </w:r>
      <w:r w:rsidRPr="0085597D">
        <w:t>uden</w:t>
      </w:r>
      <w:proofErr w:type="spellEnd"/>
      <w:r w:rsidRPr="00A33F7E">
        <w:t xml:space="preserve"> et al., 2023).</w:t>
      </w:r>
    </w:p>
    <w:p w14:paraId="2B2BCEB0" w14:textId="13FB6102" w:rsidR="006A2F2E" w:rsidRPr="0085597D" w:rsidRDefault="0085597D" w:rsidP="0085597D">
      <w:pPr>
        <w:spacing w:after="160" w:line="259" w:lineRule="auto"/>
        <w:jc w:val="both"/>
      </w:pPr>
      <w:r w:rsidRPr="00A33F7E">
        <w:t xml:space="preserve">Community-Based Forest Management (CBFM), institutionalized through Executive Order 263 in 1995, represents the Philippine government’s flagship strategy for devolving forest management to local communities. CBFM was envisioned to integrate ecological restoration with equity, tenure reform, and poverty alleviation. Studies show that CBFM has contributed to forest cover expansion, biodiversity conservation, and soil and water protection (Lasco &amp; </w:t>
      </w:r>
      <w:proofErr w:type="spellStart"/>
      <w:r w:rsidRPr="00A33F7E">
        <w:t>Pulhin</w:t>
      </w:r>
      <w:proofErr w:type="spellEnd"/>
      <w:r w:rsidRPr="00A33F7E">
        <w:t xml:space="preserve">, 2006; Kahsay &amp; </w:t>
      </w:r>
      <w:proofErr w:type="spellStart"/>
      <w:r w:rsidRPr="00A33F7E">
        <w:t>Bulte</w:t>
      </w:r>
      <w:proofErr w:type="spellEnd"/>
      <w:r w:rsidRPr="00A33F7E">
        <w:t xml:space="preserve">, 2023; </w:t>
      </w:r>
      <w:proofErr w:type="spellStart"/>
      <w:r w:rsidRPr="00A33F7E">
        <w:t>Mengie</w:t>
      </w:r>
      <w:proofErr w:type="spellEnd"/>
      <w:r w:rsidRPr="00A33F7E">
        <w:t xml:space="preserve"> et al., 2025), while also providing upland dwellers with usufruct rights and participatory platforms (</w:t>
      </w:r>
      <w:proofErr w:type="spellStart"/>
      <w:r w:rsidRPr="00A33F7E">
        <w:t>Pulhin</w:t>
      </w:r>
      <w:proofErr w:type="spellEnd"/>
      <w:r w:rsidRPr="00A33F7E">
        <w:t xml:space="preserve"> et al., 2007). However, governance challenges </w:t>
      </w:r>
      <w:proofErr w:type="gramStart"/>
      <w:r w:rsidRPr="00A33F7E">
        <w:t>persist:</w:t>
      </w:r>
      <w:proofErr w:type="gramEnd"/>
      <w:r w:rsidRPr="00A33F7E">
        <w:t xml:space="preserve"> restrictive timber regulations and value chain barriers limit livelihood gains (</w:t>
      </w:r>
      <w:proofErr w:type="spellStart"/>
      <w:r w:rsidRPr="00A33F7E">
        <w:t>Pulhin</w:t>
      </w:r>
      <w:proofErr w:type="spellEnd"/>
      <w:r w:rsidRPr="00A33F7E">
        <w:t xml:space="preserve"> &amp; Ramirez, 2016), while short-term tenure arrangements and policy inconsistencies discourage long-term ecological investments (</w:t>
      </w:r>
      <w:proofErr w:type="spellStart"/>
      <w:r w:rsidRPr="00A33F7E">
        <w:t>Pulhin</w:t>
      </w:r>
      <w:proofErr w:type="spellEnd"/>
      <w:r w:rsidRPr="00A33F7E">
        <w:t xml:space="preserve"> et al., 2024). Lessons from other community forestry programs in Asia and Africa likewise emphasize that without tenure security and equitable benefit-sharing, participatory forestry initiatives remain vulnerable to elite capture and limited sustainability (Larson et al., 2016; Kimaro et al., 2024; Wang et al., 2025</w:t>
      </w:r>
      <w:r w:rsidRPr="0085597D">
        <w:t>)</w:t>
      </w:r>
    </w:p>
    <w:p w14:paraId="7FBBD2E5" w14:textId="77777777" w:rsidR="002008BF" w:rsidRPr="0085597D" w:rsidRDefault="002008BF" w:rsidP="0085597D">
      <w:pPr>
        <w:pStyle w:val="Body"/>
        <w:spacing w:after="0"/>
        <w:rPr>
          <w:rFonts w:ascii="Arial" w:hAnsi="Arial" w:cs="Arial"/>
          <w:lang w:val="en-PH"/>
        </w:rPr>
      </w:pPr>
      <w:r w:rsidRPr="0085597D">
        <w:rPr>
          <w:rFonts w:ascii="Arial" w:hAnsi="Arial" w:cs="Arial"/>
          <w:lang w:val="en-PH"/>
        </w:rPr>
        <w:t>This comparative review seeks to synthesize and compare selected key studies on agroforestry and community forestry. The review is organized into three thematic sections: ecological services, socioeconomic and governance benefits, and environmental restoration potential. By comparing these studies, the review aims to provide a comprehensive overview of the dual role of agroforestry and CBFM in biodiversity conservation, soil restoration, and rural development. The review also identifies research gaps and suggests policy implications to support the continued integration of these systems into national land-use strategies. Specifically, the review addresses the following research questions: (1) What ecological services are provided by agroforestry systems for soil health improvement? (2) How does CBFM contribute to social justice, livelihoods, and participatory governance? (3) What is the potential of integrating agroforestry into CBFM frameworks for land restoration and climate change mitigation?</w:t>
      </w:r>
    </w:p>
    <w:p w14:paraId="4A8D5FD6" w14:textId="77777777" w:rsidR="002008BF" w:rsidRPr="0085597D" w:rsidRDefault="002008BF" w:rsidP="0085597D">
      <w:pPr>
        <w:pStyle w:val="Body"/>
        <w:spacing w:after="0"/>
        <w:rPr>
          <w:rFonts w:ascii="Arial" w:hAnsi="Arial" w:cs="Arial"/>
          <w:lang w:val="en-PH"/>
        </w:rPr>
      </w:pPr>
    </w:p>
    <w:p w14:paraId="05F740F8" w14:textId="041650B3" w:rsidR="0085597D" w:rsidRPr="00A33F7E" w:rsidRDefault="0085597D" w:rsidP="0085597D">
      <w:pPr>
        <w:spacing w:after="160" w:line="259" w:lineRule="auto"/>
        <w:jc w:val="both"/>
      </w:pPr>
      <w:r w:rsidRPr="00A33F7E">
        <w:t>By analyzing ecological contributions of agroforestry (Fahad et al., 2022; Octavia et al., 2022; Mlambo et al., 2025) alongside the governance and social dimensions of CBFM (</w:t>
      </w:r>
      <w:proofErr w:type="spellStart"/>
      <w:r w:rsidRPr="00A33F7E">
        <w:t>Pulhin</w:t>
      </w:r>
      <w:proofErr w:type="spellEnd"/>
      <w:r w:rsidRPr="00A33F7E">
        <w:t xml:space="preserve"> et al., 2024; Kahsay &amp; </w:t>
      </w:r>
      <w:proofErr w:type="spellStart"/>
      <w:r w:rsidRPr="00A33F7E">
        <w:t>Bulte</w:t>
      </w:r>
      <w:proofErr w:type="spellEnd"/>
      <w:r w:rsidRPr="00A33F7E">
        <w:t xml:space="preserve">, 2023; </w:t>
      </w:r>
      <w:proofErr w:type="spellStart"/>
      <w:r w:rsidRPr="00A33F7E">
        <w:t>Mengie</w:t>
      </w:r>
      <w:proofErr w:type="spellEnd"/>
      <w:r w:rsidRPr="00A33F7E">
        <w:t xml:space="preserve"> et al., 2025), and situating these within broader global evidence, the paper explores complementarities, gaps, and opportunities for integration (</w:t>
      </w:r>
      <w:proofErr w:type="spellStart"/>
      <w:r w:rsidRPr="00A33F7E">
        <w:t>San</w:t>
      </w:r>
      <w:r w:rsidRPr="0085597D">
        <w:t>uden</w:t>
      </w:r>
      <w:proofErr w:type="spellEnd"/>
      <w:r w:rsidRPr="00A33F7E">
        <w:t xml:space="preserve"> et al., 2023; Kimaro et al., 2024; Wang et al., 2025). The analysis provides critical insights into how ecological sustainability and social justice can be </w:t>
      </w:r>
      <w:r w:rsidRPr="0085597D">
        <w:t>pursued</w:t>
      </w:r>
      <w:r w:rsidRPr="00A33F7E">
        <w:t xml:space="preserve"> under climate change and the United Nations Sustainable Development Goals (SDGs).</w:t>
      </w:r>
    </w:p>
    <w:p w14:paraId="3E866410" w14:textId="77777777" w:rsidR="00790ADA" w:rsidRPr="00FB3A86" w:rsidRDefault="00790ADA" w:rsidP="00441B6F">
      <w:pPr>
        <w:pStyle w:val="Body"/>
        <w:spacing w:after="0"/>
        <w:rPr>
          <w:rFonts w:ascii="Arial" w:hAnsi="Arial" w:cs="Arial"/>
        </w:rPr>
      </w:pPr>
    </w:p>
    <w:p w14:paraId="44B98CD5" w14:textId="787CB391" w:rsidR="007F7B32" w:rsidRDefault="00902823" w:rsidP="00441B6F">
      <w:pPr>
        <w:pStyle w:val="AbstHead"/>
        <w:spacing w:after="0"/>
        <w:jc w:val="both"/>
        <w:rPr>
          <w:rFonts w:ascii="Arial" w:hAnsi="Arial" w:cs="Arial"/>
        </w:rPr>
      </w:pPr>
      <w:r>
        <w:rPr>
          <w:rFonts w:ascii="Arial" w:hAnsi="Arial" w:cs="Arial"/>
        </w:rPr>
        <w:t xml:space="preserve">2. </w:t>
      </w:r>
      <w:r w:rsidR="00C94395">
        <w:rPr>
          <w:rFonts w:ascii="Arial" w:hAnsi="Arial" w:cs="Arial"/>
        </w:rPr>
        <w:t>STUDY SELECTION AND METHODOLOGY</w:t>
      </w:r>
    </w:p>
    <w:p w14:paraId="40A695C9" w14:textId="22B5CC8C" w:rsidR="00095B5D" w:rsidRPr="00095B5D" w:rsidRDefault="00264091" w:rsidP="00095B5D">
      <w:pPr>
        <w:pStyle w:val="Body"/>
        <w:spacing w:after="0"/>
        <w:rPr>
          <w:rFonts w:ascii="Arial" w:hAnsi="Arial" w:cs="Arial"/>
          <w:lang w:val="en-PH"/>
        </w:rPr>
      </w:pPr>
      <w:r w:rsidRPr="00264091">
        <w:rPr>
          <w:rFonts w:ascii="Arial" w:hAnsi="Arial" w:cs="Arial"/>
        </w:rPr>
        <w:t>The studies were selected for their relevance to agroforestry and community-based forestry (CBFM), addressing both ecological outcomes and socio-economic/governance impacts.</w:t>
      </w:r>
      <w:r>
        <w:rPr>
          <w:rFonts w:ascii="Arial" w:hAnsi="Arial" w:cs="Arial"/>
          <w:lang w:val="en-PH"/>
        </w:rPr>
        <w:t xml:space="preserve"> </w:t>
      </w:r>
      <w:r w:rsidRPr="00264091">
        <w:rPr>
          <w:rFonts w:ascii="Arial" w:hAnsi="Arial" w:cs="Arial"/>
          <w:lang w:val="en-PH"/>
        </w:rPr>
        <w:t xml:space="preserve">The methodological approaches of the selected studies vary and provide a diverse perspective on the topics. Fahad et al. (2022) conducted a global literature synthesis of </w:t>
      </w:r>
      <w:r w:rsidRPr="00264091">
        <w:rPr>
          <w:rFonts w:ascii="Arial" w:hAnsi="Arial" w:cs="Arial"/>
          <w:lang w:val="en-PH"/>
        </w:rPr>
        <w:lastRenderedPageBreak/>
        <w:t xml:space="preserve">agroforestry systems, compiling case studies from India, Bangladesh, Sudan, and Yemen, and analyzed ecological outcomes such as soil organic carbon (SOC), bulk density, nutrient cycling, and microclimate regulation. </w:t>
      </w:r>
      <w:proofErr w:type="spellStart"/>
      <w:r w:rsidRPr="00264091">
        <w:rPr>
          <w:rFonts w:ascii="Arial" w:hAnsi="Arial" w:cs="Arial"/>
          <w:lang w:val="en-PH"/>
        </w:rPr>
        <w:t>Pulhin</w:t>
      </w:r>
      <w:proofErr w:type="spellEnd"/>
      <w:r w:rsidRPr="00264091">
        <w:rPr>
          <w:rFonts w:ascii="Arial" w:hAnsi="Arial" w:cs="Arial"/>
          <w:lang w:val="en-PH"/>
        </w:rPr>
        <w:t xml:space="preserve"> et al. (2024) employed a policy and governance-oriented approach, using national-level thematic assessments, stakeholder consultations, and policy reviews to evaluate the sustainability and social justice outcomes of the Philippine CBFM program.</w:t>
      </w:r>
      <w:r w:rsidRPr="00095B5D">
        <w:rPr>
          <w:rFonts w:ascii="Arial" w:hAnsi="Arial" w:cs="Arial"/>
          <w:lang w:val="en-PH"/>
        </w:rPr>
        <w:t xml:space="preserve"> For</w:t>
      </w:r>
      <w:r w:rsidR="00563BA9">
        <w:rPr>
          <w:rFonts w:ascii="Arial" w:hAnsi="Arial" w:cs="Arial"/>
          <w:lang w:val="en-PH"/>
        </w:rPr>
        <w:t xml:space="preserve"> analysis purposes</w:t>
      </w:r>
      <w:r w:rsidR="00095B5D" w:rsidRPr="00095B5D">
        <w:rPr>
          <w:rFonts w:ascii="Arial" w:hAnsi="Arial" w:cs="Arial"/>
          <w:lang w:val="en-PH"/>
        </w:rPr>
        <w:t xml:space="preserve">, the studies are grouped into </w:t>
      </w:r>
      <w:r w:rsidR="00095B5D">
        <w:rPr>
          <w:rFonts w:ascii="Arial" w:hAnsi="Arial" w:cs="Arial"/>
          <w:lang w:val="en-PH"/>
        </w:rPr>
        <w:t>two</w:t>
      </w:r>
      <w:r w:rsidR="00095B5D" w:rsidRPr="00095B5D">
        <w:rPr>
          <w:rFonts w:ascii="Arial" w:hAnsi="Arial" w:cs="Arial"/>
          <w:lang w:val="en-PH"/>
        </w:rPr>
        <w:t xml:space="preserve"> categories:</w:t>
      </w:r>
    </w:p>
    <w:p w14:paraId="51CD1BA8" w14:textId="77777777" w:rsidR="00095B5D" w:rsidRPr="00095B5D" w:rsidRDefault="00095B5D" w:rsidP="00095B5D">
      <w:pPr>
        <w:pStyle w:val="Body"/>
        <w:numPr>
          <w:ilvl w:val="0"/>
          <w:numId w:val="31"/>
        </w:numPr>
        <w:spacing w:after="0"/>
        <w:rPr>
          <w:rFonts w:ascii="Arial" w:hAnsi="Arial" w:cs="Arial"/>
          <w:lang w:val="en-PH"/>
        </w:rPr>
      </w:pPr>
      <w:r w:rsidRPr="00095B5D">
        <w:rPr>
          <w:rFonts w:ascii="Arial" w:hAnsi="Arial" w:cs="Arial"/>
          <w:b/>
          <w:bCs/>
          <w:lang w:val="en-PH"/>
        </w:rPr>
        <w:t>Ecological services of agroforestry systems</w:t>
      </w:r>
      <w:r w:rsidRPr="00095B5D">
        <w:rPr>
          <w:rFonts w:ascii="Arial" w:hAnsi="Arial" w:cs="Arial"/>
          <w:lang w:val="en-PH"/>
        </w:rPr>
        <w:t xml:space="preserve"> – represented by Fahad et al. (2022), a global review of agroforestry systems and their impact on soil health. The paper synthesizes case studies from India, Bangladesh, Sudan, and Yemen, highlighting improvements in soil organic carbon (SOC), bulk density, nutrient cycling, and microclimate regulation.</w:t>
      </w:r>
    </w:p>
    <w:p w14:paraId="44AADB7D" w14:textId="77777777" w:rsidR="00095B5D" w:rsidRPr="00095B5D" w:rsidRDefault="00095B5D" w:rsidP="00095B5D">
      <w:pPr>
        <w:pStyle w:val="Body"/>
        <w:numPr>
          <w:ilvl w:val="0"/>
          <w:numId w:val="31"/>
        </w:numPr>
        <w:spacing w:after="0"/>
        <w:rPr>
          <w:rFonts w:ascii="Arial" w:hAnsi="Arial" w:cs="Arial"/>
          <w:lang w:val="en-PH"/>
        </w:rPr>
      </w:pPr>
      <w:r w:rsidRPr="00095B5D">
        <w:rPr>
          <w:rFonts w:ascii="Arial" w:hAnsi="Arial" w:cs="Arial"/>
          <w:b/>
          <w:bCs/>
          <w:lang w:val="en-PH"/>
        </w:rPr>
        <w:t>Socioeconomic and governance benefits</w:t>
      </w:r>
      <w:r w:rsidRPr="00095B5D">
        <w:rPr>
          <w:rFonts w:ascii="Arial" w:hAnsi="Arial" w:cs="Arial"/>
          <w:lang w:val="en-PH"/>
        </w:rPr>
        <w:t xml:space="preserve"> – represented by </w:t>
      </w:r>
      <w:proofErr w:type="spellStart"/>
      <w:r w:rsidRPr="00095B5D">
        <w:rPr>
          <w:rFonts w:ascii="Arial" w:hAnsi="Arial" w:cs="Arial"/>
          <w:lang w:val="en-PH"/>
        </w:rPr>
        <w:t>Pulhin</w:t>
      </w:r>
      <w:proofErr w:type="spellEnd"/>
      <w:r w:rsidRPr="00095B5D">
        <w:rPr>
          <w:rFonts w:ascii="Arial" w:hAnsi="Arial" w:cs="Arial"/>
          <w:lang w:val="en-PH"/>
        </w:rPr>
        <w:t xml:space="preserve"> et al. (2024), a policy-focused study on the Philippine CBFM program, analyzing its sustainability and social justice outcomes through national-level thematic assessments, stakeholder consultations, and policy reviews.</w:t>
      </w:r>
    </w:p>
    <w:p w14:paraId="1ADE21C4" w14:textId="77777777" w:rsidR="00095B5D" w:rsidRPr="00095B5D" w:rsidRDefault="00095B5D" w:rsidP="00095B5D">
      <w:pPr>
        <w:pStyle w:val="Body"/>
        <w:spacing w:after="0"/>
        <w:rPr>
          <w:rFonts w:ascii="Arial" w:hAnsi="Arial" w:cs="Arial"/>
          <w:lang w:val="en-PH"/>
        </w:rPr>
      </w:pPr>
      <w:r w:rsidRPr="00095B5D">
        <w:rPr>
          <w:rFonts w:ascii="Arial" w:hAnsi="Arial" w:cs="Arial"/>
          <w:lang w:val="en-PH"/>
        </w:rPr>
        <w:t>The comparative analysis of these studies aims to assess their contributions to the fields of agroforestry and community forestry, and to identify knowledge gaps that require further exploration.</w:t>
      </w:r>
    </w:p>
    <w:p w14:paraId="3157BDF4" w14:textId="77777777" w:rsidR="00790ADA" w:rsidRPr="00FB3A86" w:rsidRDefault="00790ADA" w:rsidP="00441B6F">
      <w:pPr>
        <w:pStyle w:val="Body"/>
        <w:spacing w:after="0"/>
        <w:rPr>
          <w:rFonts w:ascii="Arial" w:hAnsi="Arial" w:cs="Arial"/>
        </w:rPr>
      </w:pPr>
    </w:p>
    <w:p w14:paraId="408A165C" w14:textId="1821EA48" w:rsidR="00095B5D"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095B5D">
        <w:rPr>
          <w:rFonts w:ascii="Arial" w:hAnsi="Arial" w:cs="Arial"/>
        </w:rPr>
        <w:t>Thematic analysis of revie</w:t>
      </w:r>
      <w:r w:rsidR="006F2363">
        <w:rPr>
          <w:rFonts w:ascii="Arial" w:hAnsi="Arial" w:cs="Arial"/>
        </w:rPr>
        <w:t>we</w:t>
      </w:r>
      <w:r w:rsidR="00095B5D">
        <w:rPr>
          <w:rFonts w:ascii="Arial" w:hAnsi="Arial" w:cs="Arial"/>
        </w:rPr>
        <w:t>d studies</w:t>
      </w:r>
    </w:p>
    <w:p w14:paraId="1C0D1197" w14:textId="77777777" w:rsidR="00FF493B" w:rsidRDefault="00FF493B" w:rsidP="00441B6F">
      <w:pPr>
        <w:pStyle w:val="Head1"/>
        <w:spacing w:after="0"/>
        <w:jc w:val="both"/>
        <w:rPr>
          <w:rFonts w:ascii="Arial" w:hAnsi="Arial" w:cs="Arial"/>
        </w:rPr>
      </w:pPr>
    </w:p>
    <w:p w14:paraId="3A5C427F" w14:textId="77777777" w:rsidR="00095B5D" w:rsidRDefault="00095B5D" w:rsidP="00095B5D">
      <w:pPr>
        <w:spacing w:after="160" w:line="259" w:lineRule="auto"/>
        <w:rPr>
          <w:b/>
          <w:bCs/>
        </w:rPr>
      </w:pPr>
      <w:r w:rsidRPr="008A6AFE">
        <w:rPr>
          <w:b/>
          <w:bCs/>
        </w:rPr>
        <w:t>3.1 Ecological Services of Agroforestry</w:t>
      </w:r>
    </w:p>
    <w:p w14:paraId="0F22F91A" w14:textId="4083CD77" w:rsidR="00FF493B" w:rsidRPr="00FC6B26" w:rsidRDefault="00FF493B" w:rsidP="00FF493B">
      <w:pPr>
        <w:spacing w:after="160" w:line="259" w:lineRule="auto"/>
        <w:jc w:val="both"/>
        <w:rPr>
          <w:rFonts w:ascii="Arial" w:hAnsi="Arial" w:cs="Arial"/>
          <w:lang w:val="en-PH"/>
        </w:rPr>
      </w:pPr>
      <w:r w:rsidRPr="00FC6B26">
        <w:rPr>
          <w:rFonts w:ascii="Arial" w:hAnsi="Arial" w:cs="Arial"/>
          <w:lang w:val="en-PH"/>
        </w:rPr>
        <w:t xml:space="preserve">Agroforestry systems are increasingly valued for their ecological functions, which extend beyond crop production to broader ecosystem services. By integrating trees with crops and livestock, these systems enhance soil fertility, regulate water and nutrient cycles, buffer climatic variability, and promote biodiversity. The ecological services provided by agroforestry have been widely documented, positioning it as a key strategy for sustainable intensification and climate-resilient agriculture (Jose, 2009; van </w:t>
      </w:r>
      <w:proofErr w:type="spellStart"/>
      <w:r w:rsidRPr="00FC6B26">
        <w:rPr>
          <w:rFonts w:ascii="Arial" w:hAnsi="Arial" w:cs="Arial"/>
          <w:lang w:val="en-PH"/>
        </w:rPr>
        <w:t>Noordwijk</w:t>
      </w:r>
      <w:proofErr w:type="spellEnd"/>
      <w:r w:rsidRPr="00FC6B26">
        <w:rPr>
          <w:rFonts w:ascii="Arial" w:hAnsi="Arial" w:cs="Arial"/>
          <w:lang w:val="en-PH"/>
        </w:rPr>
        <w:t xml:space="preserve"> et al., 201</w:t>
      </w:r>
      <w:r w:rsidR="00F6208C" w:rsidRPr="00FC6B26">
        <w:rPr>
          <w:rFonts w:ascii="Arial" w:hAnsi="Arial" w:cs="Arial"/>
          <w:lang w:val="en-PH"/>
        </w:rPr>
        <w:t>4</w:t>
      </w:r>
      <w:r w:rsidR="00B33815" w:rsidRPr="00FC6B26">
        <w:rPr>
          <w:rFonts w:ascii="Arial" w:hAnsi="Arial" w:cs="Arial"/>
          <w:lang w:val="en-PH"/>
        </w:rPr>
        <w:t>; Fahad et al., 2022</w:t>
      </w:r>
      <w:r w:rsidR="003131E0" w:rsidRPr="00FC6B26">
        <w:rPr>
          <w:rFonts w:ascii="Arial" w:hAnsi="Arial" w:cs="Arial"/>
          <w:lang w:val="en-PH"/>
        </w:rPr>
        <w:t xml:space="preserve">; </w:t>
      </w:r>
      <w:r w:rsidR="003131E0" w:rsidRPr="00FC6B26">
        <w:rPr>
          <w:rFonts w:ascii="Arial" w:hAnsi="Arial" w:cs="Arial"/>
        </w:rPr>
        <w:t>Islam et al., 2024).</w:t>
      </w:r>
    </w:p>
    <w:p w14:paraId="4BBB193C" w14:textId="1BC7281E" w:rsidR="00FF493B" w:rsidRPr="00FC6B26" w:rsidRDefault="00FF493B" w:rsidP="00FF493B">
      <w:pPr>
        <w:spacing w:after="160" w:line="259" w:lineRule="auto"/>
        <w:jc w:val="both"/>
        <w:rPr>
          <w:rFonts w:ascii="Arial" w:hAnsi="Arial" w:cs="Arial"/>
          <w:lang w:val="en-PH"/>
        </w:rPr>
      </w:pPr>
      <w:r w:rsidRPr="00FC6B26">
        <w:rPr>
          <w:rFonts w:ascii="Arial" w:hAnsi="Arial" w:cs="Arial"/>
          <w:lang w:val="en-PH"/>
        </w:rPr>
        <w:t>One of the most important services of agroforestry is improved nutrient cycling. Deep-rooted trees recover leached nutrients from the subsoil and return them to the surface through litterfall and root turnover (Isaac &amp; Borden, 2019). In addition, nitrogen-fixing species contribute to biological nitrogen fixation, enriching soils with macronutrients essential for crop growth. Evidence from global meta-analyses shows that cereal–legume intercropping increases total soil nitrogen acquisition and improves nitrogen-use efficiency compared with monocropping, thereby reducing dependence on synthetic fertilizers (</w:t>
      </w:r>
      <w:proofErr w:type="spellStart"/>
      <w:r w:rsidRPr="00FC6B26">
        <w:rPr>
          <w:rFonts w:ascii="Arial" w:hAnsi="Arial" w:cs="Arial"/>
          <w:lang w:val="en-PH"/>
        </w:rPr>
        <w:t>Beillouin</w:t>
      </w:r>
      <w:proofErr w:type="spellEnd"/>
      <w:r w:rsidRPr="00FC6B26">
        <w:rPr>
          <w:rFonts w:ascii="Arial" w:hAnsi="Arial" w:cs="Arial"/>
          <w:lang w:val="en-PH"/>
        </w:rPr>
        <w:t xml:space="preserve"> et al., 2021</w:t>
      </w:r>
      <w:r w:rsidR="005E1064" w:rsidRPr="00FC6B26">
        <w:rPr>
          <w:rFonts w:ascii="Arial" w:hAnsi="Arial" w:cs="Arial"/>
          <w:lang w:val="en-PH"/>
        </w:rPr>
        <w:t xml:space="preserve">; </w:t>
      </w:r>
      <w:proofErr w:type="spellStart"/>
      <w:r w:rsidR="005E1064" w:rsidRPr="00FC6B26">
        <w:rPr>
          <w:rFonts w:ascii="Arial" w:hAnsi="Arial" w:cs="Arial"/>
        </w:rPr>
        <w:t>Kuyah</w:t>
      </w:r>
      <w:proofErr w:type="spellEnd"/>
      <w:r w:rsidR="005E1064" w:rsidRPr="00FC6B26">
        <w:rPr>
          <w:rFonts w:ascii="Arial" w:hAnsi="Arial" w:cs="Arial"/>
        </w:rPr>
        <w:t xml:space="preserve"> et al., 2019)</w:t>
      </w:r>
    </w:p>
    <w:p w14:paraId="63C3F4E0" w14:textId="27A51336" w:rsidR="00FF493B" w:rsidRPr="00FC6B26" w:rsidRDefault="00FF493B" w:rsidP="00FF493B">
      <w:pPr>
        <w:spacing w:after="160" w:line="259" w:lineRule="auto"/>
        <w:jc w:val="both"/>
        <w:rPr>
          <w:rFonts w:ascii="Arial" w:hAnsi="Arial" w:cs="Arial"/>
          <w:lang w:val="en-PH"/>
        </w:rPr>
      </w:pPr>
      <w:r w:rsidRPr="00FC6B26">
        <w:rPr>
          <w:rFonts w:ascii="Arial" w:hAnsi="Arial" w:cs="Arial"/>
          <w:lang w:val="en-PH"/>
        </w:rPr>
        <w:t xml:space="preserve">Agroforestry also enhances soil organic matter (SOM) and soil organic carbon (SOC), both of which are critical for soil fertility and climate change mitigation. Continuous organic inputs from leaf litter, root biomass, and exudates increase SOM levels, which in turn improve soil structure and nutrient retention. Long-term studies reveal that alley </w:t>
      </w:r>
      <w:r w:rsidR="00D63806" w:rsidRPr="00FC6B26">
        <w:rPr>
          <w:rFonts w:ascii="Arial" w:hAnsi="Arial" w:cs="Arial"/>
          <w:lang w:val="en-PH"/>
        </w:rPr>
        <w:t>cropping,</w:t>
      </w:r>
      <w:r w:rsidRPr="00FC6B26">
        <w:rPr>
          <w:rFonts w:ascii="Arial" w:hAnsi="Arial" w:cs="Arial"/>
          <w:lang w:val="en-PH"/>
        </w:rPr>
        <w:t xml:space="preserve"> and tree-based systems significantly raise SOC, though the effects are most evident after a decade or more of </w:t>
      </w:r>
      <w:r w:rsidR="00D63806" w:rsidRPr="00FC6B26">
        <w:rPr>
          <w:rFonts w:ascii="Arial" w:hAnsi="Arial" w:cs="Arial"/>
          <w:lang w:val="en-PH"/>
        </w:rPr>
        <w:t>practice (</w:t>
      </w:r>
      <w:r w:rsidRPr="00FC6B26">
        <w:rPr>
          <w:rFonts w:ascii="Arial" w:hAnsi="Arial" w:cs="Arial"/>
          <w:lang w:val="en-PH"/>
        </w:rPr>
        <w:t>Lorenz &amp; Lal, 2014). These findings underscore the long-term ecological role of agroforestry in carbon sequestration.</w:t>
      </w:r>
    </w:p>
    <w:p w14:paraId="6F962CA9" w14:textId="4CFA7466" w:rsidR="00FF493B" w:rsidRPr="00FC6B26" w:rsidRDefault="00FF493B" w:rsidP="00FF493B">
      <w:pPr>
        <w:spacing w:after="160" w:line="259" w:lineRule="auto"/>
        <w:jc w:val="both"/>
        <w:rPr>
          <w:rFonts w:ascii="Arial" w:hAnsi="Arial" w:cs="Arial"/>
          <w:lang w:val="en-PH"/>
        </w:rPr>
      </w:pPr>
      <w:r w:rsidRPr="00FC6B26">
        <w:rPr>
          <w:rFonts w:ascii="Arial" w:hAnsi="Arial" w:cs="Arial"/>
          <w:lang w:val="en-PH"/>
        </w:rPr>
        <w:t xml:space="preserve">Soil structure and water dynamics also benefit significantly from agroforestry integration. Tree roots create macropores and enhance aggregate stability, leading to lower soil bulk density and improved infiltration rates. This facilitates greater water retention and reduces surface runoff, thereby minimizing erosion risks. Research has shown that agroforestry plots </w:t>
      </w:r>
      <w:r w:rsidRPr="00FC6B26">
        <w:rPr>
          <w:rFonts w:ascii="Arial" w:hAnsi="Arial" w:cs="Arial"/>
          <w:lang w:val="en-PH"/>
        </w:rPr>
        <w:lastRenderedPageBreak/>
        <w:t>often exhibit superior infiltration and soil moisture retention compared with adjacent monocultures, making them more resilient to drought and extreme rainfall events (Isaac &amp; Borden, 2019).</w:t>
      </w:r>
    </w:p>
    <w:p w14:paraId="6F3C2FD3" w14:textId="3D98C5FF" w:rsidR="00FF493B" w:rsidRPr="00FC6B26" w:rsidRDefault="00FF493B" w:rsidP="00FF493B">
      <w:pPr>
        <w:spacing w:after="160" w:line="259" w:lineRule="auto"/>
        <w:jc w:val="both"/>
        <w:rPr>
          <w:rFonts w:ascii="Arial" w:hAnsi="Arial" w:cs="Arial"/>
          <w:lang w:val="en-PH"/>
        </w:rPr>
      </w:pPr>
      <w:r w:rsidRPr="00FC6B26">
        <w:rPr>
          <w:rFonts w:ascii="Arial" w:hAnsi="Arial" w:cs="Arial"/>
          <w:lang w:val="en-PH"/>
        </w:rPr>
        <w:t>Another ecological service of agroforestry is the regulation of microclimates and support of soil biodiversity. Tree canopies buffer soil temperatures, reduce evapotranspiration, and maintain higher moisture levels, while organic mulches improve soil microhabitats. These conditions favor beneficial microorganisms and soil fauna, which accelerate nutrient mineralization and enhance resilience to climate variability. Studies confirm that agroforestry systems support higher microbial activity and species richness compared with monocropping systems (Jose et al., 201</w:t>
      </w:r>
      <w:r w:rsidR="00B0419B" w:rsidRPr="00FC6B26">
        <w:rPr>
          <w:rFonts w:ascii="Arial" w:hAnsi="Arial" w:cs="Arial"/>
          <w:lang w:val="en-PH"/>
        </w:rPr>
        <w:t>4</w:t>
      </w:r>
      <w:r w:rsidRPr="00FC6B26">
        <w:rPr>
          <w:rFonts w:ascii="Arial" w:hAnsi="Arial" w:cs="Arial"/>
          <w:lang w:val="en-PH"/>
        </w:rPr>
        <w:t xml:space="preserve">; van </w:t>
      </w:r>
      <w:proofErr w:type="spellStart"/>
      <w:r w:rsidRPr="00FC6B26">
        <w:rPr>
          <w:rFonts w:ascii="Arial" w:hAnsi="Arial" w:cs="Arial"/>
          <w:lang w:val="en-PH"/>
        </w:rPr>
        <w:t>Noordwijk</w:t>
      </w:r>
      <w:proofErr w:type="spellEnd"/>
      <w:r w:rsidRPr="00FC6B26">
        <w:rPr>
          <w:rFonts w:ascii="Arial" w:hAnsi="Arial" w:cs="Arial"/>
          <w:lang w:val="en-PH"/>
        </w:rPr>
        <w:t xml:space="preserve"> et al., 20</w:t>
      </w:r>
      <w:r w:rsidR="0082631F" w:rsidRPr="00FC6B26">
        <w:rPr>
          <w:rFonts w:ascii="Arial" w:hAnsi="Arial" w:cs="Arial"/>
          <w:lang w:val="en-PH"/>
        </w:rPr>
        <w:t>1</w:t>
      </w:r>
      <w:r w:rsidR="009713F1" w:rsidRPr="00FC6B26">
        <w:rPr>
          <w:rFonts w:ascii="Arial" w:hAnsi="Arial" w:cs="Arial"/>
          <w:lang w:val="en-PH"/>
        </w:rPr>
        <w:t xml:space="preserve">4); </w:t>
      </w:r>
      <w:r w:rsidR="009713F1" w:rsidRPr="00FC6B26">
        <w:rPr>
          <w:rFonts w:ascii="Arial" w:hAnsi="Arial" w:cs="Arial"/>
        </w:rPr>
        <w:t>Visscher et al., 2024).)</w:t>
      </w:r>
    </w:p>
    <w:p w14:paraId="791F21A2" w14:textId="77777777" w:rsidR="00506A3B" w:rsidRDefault="00506A3B" w:rsidP="00FF493B">
      <w:pPr>
        <w:spacing w:after="160" w:line="259" w:lineRule="auto"/>
        <w:jc w:val="both"/>
        <w:rPr>
          <w:rFonts w:ascii="Arial" w:hAnsi="Arial" w:cs="Arial"/>
        </w:rPr>
      </w:pPr>
      <w:r w:rsidRPr="00506A3B">
        <w:rPr>
          <w:rFonts w:ascii="Arial" w:hAnsi="Arial" w:cs="Arial"/>
        </w:rPr>
        <w:t>Collectively, agroforestry provides interconnected and multifunctional ecological benefits, simultaneously enhancing nutrient cycling, soil fertility, carbon sequestration, microclimate stabilization, water retention, and biodiversity. These synergistic effects position agroforestry as a sustainable land-use strategy that supports agricultural productivity, climate resilience, and long-term ecosystem restoration. Its consistent performance across diverse systems highlights its critical role in multifunctional, climate-smart landscapes.</w:t>
      </w:r>
    </w:p>
    <w:p w14:paraId="5E38110B" w14:textId="3A5A3AEA" w:rsidR="00FF493B" w:rsidRPr="00FC6B26" w:rsidRDefault="00FF493B" w:rsidP="00FF493B">
      <w:pPr>
        <w:spacing w:after="160" w:line="259" w:lineRule="auto"/>
        <w:jc w:val="both"/>
        <w:rPr>
          <w:rFonts w:ascii="Arial" w:hAnsi="Arial" w:cs="Arial"/>
          <w:b/>
          <w:bCs/>
          <w:lang w:val="en-PH"/>
        </w:rPr>
      </w:pPr>
      <w:r w:rsidRPr="00FC6B26">
        <w:rPr>
          <w:rFonts w:ascii="Arial" w:hAnsi="Arial" w:cs="Arial"/>
          <w:b/>
          <w:bCs/>
          <w:lang w:val="en-PH"/>
        </w:rPr>
        <w:t xml:space="preserve">3.2. </w:t>
      </w:r>
      <w:r w:rsidRPr="00FC6B26">
        <w:rPr>
          <w:rFonts w:ascii="Arial" w:hAnsi="Arial" w:cs="Arial"/>
          <w:b/>
          <w:bCs/>
        </w:rPr>
        <w:t>Governance and Social Justice in CBFM</w:t>
      </w:r>
    </w:p>
    <w:p w14:paraId="0007310A" w14:textId="2C4E4F1D" w:rsidR="00FF493B" w:rsidRPr="00FC6B26" w:rsidRDefault="00FF493B" w:rsidP="00FF493B">
      <w:pPr>
        <w:spacing w:after="160" w:line="259" w:lineRule="auto"/>
        <w:jc w:val="both"/>
        <w:rPr>
          <w:rFonts w:ascii="Arial" w:hAnsi="Arial" w:cs="Arial"/>
          <w:lang w:val="en-PH"/>
        </w:rPr>
      </w:pPr>
      <w:r w:rsidRPr="00FC6B26">
        <w:rPr>
          <w:rFonts w:ascii="Arial" w:hAnsi="Arial" w:cs="Arial"/>
          <w:lang w:val="en-PH"/>
        </w:rPr>
        <w:t>Community-Based Forest Management (CBFM) serves as the cornerstone of the Philippine government’s strategy for sustainable forestry. Institutionalized through E</w:t>
      </w:r>
      <w:r w:rsidR="007E1142" w:rsidRPr="00FC6B26">
        <w:rPr>
          <w:rFonts w:ascii="Arial" w:hAnsi="Arial" w:cs="Arial"/>
          <w:lang w:val="en-PH"/>
        </w:rPr>
        <w:t xml:space="preserve">.O </w:t>
      </w:r>
      <w:r w:rsidRPr="00FC6B26">
        <w:rPr>
          <w:rFonts w:ascii="Arial" w:hAnsi="Arial" w:cs="Arial"/>
          <w:lang w:val="en-PH"/>
        </w:rPr>
        <w:t xml:space="preserve">No. 263 in 1995, CBFM grants upland communities usufruct rights to forestlands under renewable 25-year agreements, contingent upon reforestation, conservation, and responsible land </w:t>
      </w:r>
      <w:r w:rsidR="007E1142" w:rsidRPr="00FC6B26">
        <w:rPr>
          <w:rFonts w:ascii="Arial" w:hAnsi="Arial" w:cs="Arial"/>
          <w:lang w:val="en-PH"/>
        </w:rPr>
        <w:t>management (Executive Order No. 263, 1995)</w:t>
      </w:r>
      <w:r w:rsidRPr="00FC6B26">
        <w:rPr>
          <w:rFonts w:ascii="Arial" w:hAnsi="Arial" w:cs="Arial"/>
          <w:lang w:val="en-PH"/>
        </w:rPr>
        <w:t>. By integrating local participation into forestry governance, the program envisions a balance between ecological sustainability and socio-economic development. Over the past three decades, CBFM has facilitated community access to forest resources, expanded reforestation efforts, and introduced participatory models of governance in forest management (</w:t>
      </w:r>
      <w:proofErr w:type="spellStart"/>
      <w:r w:rsidRPr="00FC6B26">
        <w:rPr>
          <w:rFonts w:ascii="Arial" w:hAnsi="Arial" w:cs="Arial"/>
          <w:lang w:val="en-PH"/>
        </w:rPr>
        <w:t>Pulhin</w:t>
      </w:r>
      <w:proofErr w:type="spellEnd"/>
      <w:r w:rsidRPr="00FC6B26">
        <w:rPr>
          <w:rFonts w:ascii="Arial" w:hAnsi="Arial" w:cs="Arial"/>
          <w:lang w:val="en-PH"/>
        </w:rPr>
        <w:t xml:space="preserve"> et al., 2024).</w:t>
      </w:r>
    </w:p>
    <w:p w14:paraId="107BF53A" w14:textId="77777777" w:rsidR="00C36840" w:rsidRPr="00C36840" w:rsidRDefault="00C36840" w:rsidP="00C36840">
      <w:pPr>
        <w:spacing w:after="160" w:line="259" w:lineRule="auto"/>
        <w:jc w:val="both"/>
        <w:rPr>
          <w:rFonts w:ascii="Arial" w:hAnsi="Arial" w:cs="Arial"/>
          <w:lang w:val="en-PH"/>
        </w:rPr>
      </w:pPr>
      <w:r w:rsidRPr="00C36840">
        <w:rPr>
          <w:rFonts w:ascii="Arial" w:hAnsi="Arial" w:cs="Arial"/>
          <w:lang w:val="en-PH"/>
        </w:rPr>
        <w:t>A major contribution of Community-Based Forest Management (CBFM) has been the institutionalization of community participation in forest governance. Through People’s Organizations (POs), upland communities are empowered to design and implement resource management plans, conduct reforestation activities, and monitor forest conditions (</w:t>
      </w:r>
      <w:proofErr w:type="spellStart"/>
      <w:r w:rsidRPr="00C36840">
        <w:rPr>
          <w:rFonts w:ascii="Arial" w:hAnsi="Arial" w:cs="Arial"/>
          <w:lang w:val="en-PH"/>
        </w:rPr>
        <w:t>Pulhin</w:t>
      </w:r>
      <w:proofErr w:type="spellEnd"/>
      <w:r w:rsidRPr="00C36840">
        <w:rPr>
          <w:rFonts w:ascii="Arial" w:hAnsi="Arial" w:cs="Arial"/>
          <w:lang w:val="en-PH"/>
        </w:rPr>
        <w:t xml:space="preserve"> &amp; Ramirez, 2016a; 2016b). Such participatory structures are seen as crucial for fostering stewardship and ensuring that management practices are tailored to local needs. At the same time, CBFM has served as a platform for community-led reforestation initiatives, which have contributed to increases in forest cover in several regions (Lasco, Evangelista, &amp; </w:t>
      </w:r>
      <w:proofErr w:type="spellStart"/>
      <w:r w:rsidRPr="00C36840">
        <w:rPr>
          <w:rFonts w:ascii="Arial" w:hAnsi="Arial" w:cs="Arial"/>
          <w:lang w:val="en-PH"/>
        </w:rPr>
        <w:t>Pulhin</w:t>
      </w:r>
      <w:proofErr w:type="spellEnd"/>
      <w:r w:rsidRPr="00C36840">
        <w:rPr>
          <w:rFonts w:ascii="Arial" w:hAnsi="Arial" w:cs="Arial"/>
          <w:lang w:val="en-PH"/>
        </w:rPr>
        <w:t>, 2010). These outcomes highlight the potential of devolved governance mechanisms in addressing deforestation and forest degradation.</w:t>
      </w:r>
    </w:p>
    <w:p w14:paraId="7E7B5D4E" w14:textId="77777777" w:rsidR="00C36840" w:rsidRPr="00C36840" w:rsidRDefault="00C36840" w:rsidP="00C36840">
      <w:pPr>
        <w:spacing w:after="160" w:line="259" w:lineRule="auto"/>
        <w:jc w:val="both"/>
        <w:rPr>
          <w:rFonts w:ascii="Arial" w:hAnsi="Arial" w:cs="Arial"/>
          <w:lang w:val="en-PH"/>
        </w:rPr>
      </w:pPr>
      <w:r w:rsidRPr="00C36840">
        <w:rPr>
          <w:rFonts w:ascii="Arial" w:hAnsi="Arial" w:cs="Arial"/>
          <w:lang w:val="en-PH"/>
        </w:rPr>
        <w:t>In terms of equity and welfare, CBFM was envisioned as a vehicle for poverty alleviation and livelihood support among marginalized upland dwellers. The program provides opportunities for communities to benefit from forest resources, agroforestry, and non-timber forest products (NTFPs), theoretically aligning ecological rehabilitation with socio-economic development (</w:t>
      </w:r>
      <w:proofErr w:type="spellStart"/>
      <w:r w:rsidRPr="00C36840">
        <w:rPr>
          <w:rFonts w:ascii="Arial" w:hAnsi="Arial" w:cs="Arial"/>
          <w:lang w:val="en-PH"/>
        </w:rPr>
        <w:t>Pulhin</w:t>
      </w:r>
      <w:proofErr w:type="spellEnd"/>
      <w:r w:rsidRPr="00C36840">
        <w:rPr>
          <w:rFonts w:ascii="Arial" w:hAnsi="Arial" w:cs="Arial"/>
          <w:lang w:val="en-PH"/>
        </w:rPr>
        <w:t xml:space="preserve"> &amp; Ramirez, 2016a; 2016b). However, the extent of these benefits has remained uneven, as many communities continue to experience limited livelihood opportunities and unstable incomes. The uneven distribution of benefits reflects systemic challenges in policy implementation, capacity-building, and market access (</w:t>
      </w:r>
      <w:proofErr w:type="spellStart"/>
      <w:r w:rsidRPr="00C36840">
        <w:rPr>
          <w:rFonts w:ascii="Arial" w:hAnsi="Arial" w:cs="Arial"/>
          <w:lang w:val="en-PH"/>
        </w:rPr>
        <w:t>Pulhin</w:t>
      </w:r>
      <w:proofErr w:type="spellEnd"/>
      <w:r w:rsidRPr="00C36840">
        <w:rPr>
          <w:rFonts w:ascii="Arial" w:hAnsi="Arial" w:cs="Arial"/>
          <w:lang w:val="en-PH"/>
        </w:rPr>
        <w:t xml:space="preserve"> &amp; Ramirez, 2016a; 2016b).</w:t>
      </w:r>
    </w:p>
    <w:p w14:paraId="2FD75A11" w14:textId="1A5C0DEB" w:rsidR="00CF0AA3" w:rsidRDefault="00CF0AA3" w:rsidP="00FF493B">
      <w:pPr>
        <w:spacing w:after="160" w:line="259" w:lineRule="auto"/>
        <w:jc w:val="both"/>
        <w:rPr>
          <w:rFonts w:ascii="Arial" w:hAnsi="Arial" w:cs="Arial"/>
        </w:rPr>
      </w:pPr>
      <w:r w:rsidRPr="00CF0AA3">
        <w:rPr>
          <w:rFonts w:ascii="Arial" w:hAnsi="Arial" w:cs="Arial"/>
        </w:rPr>
        <w:lastRenderedPageBreak/>
        <w:t xml:space="preserve">Despite its potential, CBFM continues to grapple with governance challenges that limit its effectiveness. Land tenure insecurity remains a central constraint, as usufruct rights under CBFM are time-bound and subject to renewal, discouraging farmers from committing to long-term agroforestry or sustainable land-use practices (Contreras-Hermosilla &amp; Fay, 2005). </w:t>
      </w:r>
      <w:r w:rsidR="00BF44AC" w:rsidRPr="00BF44AC">
        <w:rPr>
          <w:rFonts w:ascii="Arial" w:hAnsi="Arial" w:cs="Arial"/>
        </w:rPr>
        <w:t>To address this, scholars recommend extending contracts beyond 25 years, institutionalizing mechanisms for transferability and inheritance of tenure rights, and linking tenure security to demonstrated sustainable practices. Such reforms would provide farmers with the confidence to invest in agroforestry systems, which typically require 8–15 years to realize full ecological and economic benefits</w:t>
      </w:r>
      <w:r w:rsidRPr="00CF0AA3">
        <w:rPr>
          <w:rFonts w:ascii="Arial" w:hAnsi="Arial" w:cs="Arial"/>
        </w:rPr>
        <w:t>. In addition, restrictive regulations on the harvesting and marketing of timber and non-timber forest products (NTFPs) have constrained livelihood opportunities, limiting communities’ ability to translate resource rights into tangible economic benefits (</w:t>
      </w:r>
      <w:proofErr w:type="spellStart"/>
      <w:r w:rsidRPr="00CF0AA3">
        <w:rPr>
          <w:rFonts w:ascii="Arial" w:hAnsi="Arial" w:cs="Arial"/>
        </w:rPr>
        <w:t>Pulhin</w:t>
      </w:r>
      <w:proofErr w:type="spellEnd"/>
      <w:r w:rsidRPr="00CF0AA3">
        <w:rPr>
          <w:rFonts w:ascii="Arial" w:hAnsi="Arial" w:cs="Arial"/>
        </w:rPr>
        <w:t xml:space="preserve"> et al., 2024). Compounding these issues, the program has historically emphasized biophysical </w:t>
      </w:r>
      <w:r w:rsidR="00BF44AC" w:rsidRPr="00CF0AA3">
        <w:rPr>
          <w:rFonts w:ascii="Arial" w:hAnsi="Arial" w:cs="Arial"/>
        </w:rPr>
        <w:t xml:space="preserve">output </w:t>
      </w:r>
      <w:r w:rsidRPr="00CF0AA3">
        <w:rPr>
          <w:rFonts w:ascii="Arial" w:hAnsi="Arial" w:cs="Arial"/>
        </w:rPr>
        <w:t>such as hectares reforested or trees planted—over socio-economic outcomes, resulting in only modest gains in community welfare (</w:t>
      </w:r>
      <w:proofErr w:type="spellStart"/>
      <w:r w:rsidRPr="00CF0AA3">
        <w:rPr>
          <w:rFonts w:ascii="Arial" w:hAnsi="Arial" w:cs="Arial"/>
        </w:rPr>
        <w:t>Pulhin</w:t>
      </w:r>
      <w:proofErr w:type="spellEnd"/>
      <w:r w:rsidRPr="00CF0AA3">
        <w:rPr>
          <w:rFonts w:ascii="Arial" w:hAnsi="Arial" w:cs="Arial"/>
        </w:rPr>
        <w:t xml:space="preserve"> &amp; Dressler, 2009).</w:t>
      </w:r>
    </w:p>
    <w:p w14:paraId="3EBDE9EB" w14:textId="364C8000" w:rsidR="00FF493B" w:rsidRPr="00FC6B26" w:rsidRDefault="00FF493B" w:rsidP="00FF493B">
      <w:pPr>
        <w:spacing w:after="160" w:line="259" w:lineRule="auto"/>
        <w:jc w:val="both"/>
        <w:rPr>
          <w:rFonts w:ascii="Arial" w:hAnsi="Arial" w:cs="Arial"/>
          <w:lang w:val="en-PH"/>
        </w:rPr>
      </w:pPr>
      <w:r w:rsidRPr="00FC6B26">
        <w:rPr>
          <w:rFonts w:ascii="Arial" w:hAnsi="Arial" w:cs="Arial"/>
          <w:lang w:val="en-PH"/>
        </w:rPr>
        <w:t xml:space="preserve">Scholars argue that without social justice, the sustainability of CBFM is jeopardized. </w:t>
      </w:r>
      <w:proofErr w:type="spellStart"/>
      <w:r w:rsidRPr="00FC6B26">
        <w:rPr>
          <w:rFonts w:ascii="Arial" w:hAnsi="Arial" w:cs="Arial"/>
          <w:lang w:val="en-PH"/>
        </w:rPr>
        <w:t>Pulhin</w:t>
      </w:r>
      <w:proofErr w:type="spellEnd"/>
      <w:r w:rsidRPr="00FC6B26">
        <w:rPr>
          <w:rFonts w:ascii="Arial" w:hAnsi="Arial" w:cs="Arial"/>
          <w:lang w:val="en-PH"/>
        </w:rPr>
        <w:t xml:space="preserve"> et al. (2024) emphasize that adequate livelihood, poverty alleviation, and equitable benefit-sharing must be treated as prerequisites for effective community stewardship. When communities are marginalized or deprived of meaningful economic opportunities, the incentive to engage in long-term forest management diminishes. This perspective aligns with broader global discourses on participatory forestry, which assert that tenure security, inclusive governance, and equitable benefit-sharing are essential for the long-term viability of community forestry (</w:t>
      </w:r>
      <w:proofErr w:type="spellStart"/>
      <w:r w:rsidRPr="00FC6B26">
        <w:rPr>
          <w:rFonts w:ascii="Arial" w:hAnsi="Arial" w:cs="Arial"/>
          <w:lang w:val="en-PH"/>
        </w:rPr>
        <w:t>Maryudi</w:t>
      </w:r>
      <w:proofErr w:type="spellEnd"/>
      <w:r w:rsidRPr="00FC6B26">
        <w:rPr>
          <w:rFonts w:ascii="Arial" w:hAnsi="Arial" w:cs="Arial"/>
          <w:lang w:val="en-PH"/>
        </w:rPr>
        <w:t xml:space="preserve"> et al., 2012).</w:t>
      </w:r>
    </w:p>
    <w:p w14:paraId="01BD52CA" w14:textId="432C414A" w:rsidR="00A25038" w:rsidRPr="00FC6B26" w:rsidRDefault="00FF493B" w:rsidP="00FF493B">
      <w:pPr>
        <w:spacing w:after="160" w:line="259" w:lineRule="auto"/>
        <w:jc w:val="both"/>
        <w:rPr>
          <w:rFonts w:ascii="Arial" w:hAnsi="Arial" w:cs="Arial"/>
          <w:lang w:val="en-PH"/>
        </w:rPr>
      </w:pPr>
      <w:r w:rsidRPr="00FC6B26">
        <w:rPr>
          <w:rFonts w:ascii="Arial" w:hAnsi="Arial" w:cs="Arial"/>
          <w:lang w:val="en-PH"/>
        </w:rPr>
        <w:t>Overall,</w:t>
      </w:r>
      <w:r w:rsidR="00A25038">
        <w:rPr>
          <w:rFonts w:ascii="Arial" w:hAnsi="Arial" w:cs="Arial"/>
          <w:lang w:val="en-PH"/>
        </w:rPr>
        <w:t xml:space="preserve"> </w:t>
      </w:r>
      <w:r w:rsidR="00A25038" w:rsidRPr="00A25038">
        <w:rPr>
          <w:rFonts w:ascii="Arial" w:hAnsi="Arial" w:cs="Arial"/>
        </w:rPr>
        <w:t xml:space="preserve">Community-Based Forest Management (CBFM) ultimately exemplifies how devolved forest governance can advance both ecological sustainability and community welfare. Through participatory planning and the empowerment of People’s Organizations, CBFM has contributed to measurable gains in </w:t>
      </w:r>
      <w:proofErr w:type="gramStart"/>
      <w:r w:rsidR="00A25038" w:rsidRPr="00A25038">
        <w:rPr>
          <w:rFonts w:ascii="Arial" w:hAnsi="Arial" w:cs="Arial"/>
        </w:rPr>
        <w:t>reforestation</w:t>
      </w:r>
      <w:proofErr w:type="gramEnd"/>
      <w:r w:rsidR="00A25038" w:rsidRPr="00A25038">
        <w:rPr>
          <w:rFonts w:ascii="Arial" w:hAnsi="Arial" w:cs="Arial"/>
        </w:rPr>
        <w:t xml:space="preserve"> and forest stewardship. Yet, persistent challenges</w:t>
      </w:r>
      <w:r w:rsidR="00A25038">
        <w:rPr>
          <w:rFonts w:ascii="Arial" w:hAnsi="Arial" w:cs="Arial"/>
        </w:rPr>
        <w:t xml:space="preserve"> </w:t>
      </w:r>
      <w:r w:rsidR="00A25038" w:rsidRPr="00A25038">
        <w:rPr>
          <w:rFonts w:ascii="Arial" w:hAnsi="Arial" w:cs="Arial"/>
        </w:rPr>
        <w:t>such as insecure land tenure, restrictive regulations, and uneven benefit distribution</w:t>
      </w:r>
      <w:r w:rsidR="00A25038">
        <w:rPr>
          <w:rFonts w:ascii="Arial" w:hAnsi="Arial" w:cs="Arial"/>
        </w:rPr>
        <w:t xml:space="preserve"> </w:t>
      </w:r>
      <w:r w:rsidR="00A25038" w:rsidRPr="00A25038">
        <w:rPr>
          <w:rFonts w:ascii="Arial" w:hAnsi="Arial" w:cs="Arial"/>
        </w:rPr>
        <w:t>highlight that ecological achievements alone are insufficient for long-term success. The effectiveness of CBFM ultimately depends on integrating governance reforms with equitable socio-economic interventions, demonstrating that sustainable community forestry requires a balanced approach aligning conservation outcomes with social justice and livelihood security.</w:t>
      </w:r>
    </w:p>
    <w:p w14:paraId="5E3BE6C5" w14:textId="77777777" w:rsidR="00FF493B" w:rsidRPr="00FC6B26" w:rsidRDefault="00FF493B" w:rsidP="00FF493B">
      <w:pPr>
        <w:spacing w:after="160" w:line="259" w:lineRule="auto"/>
        <w:rPr>
          <w:b/>
          <w:bCs/>
        </w:rPr>
      </w:pPr>
      <w:r w:rsidRPr="00FC6B26">
        <w:rPr>
          <w:b/>
          <w:bCs/>
        </w:rPr>
        <w:t>3.3 Complementarities between Agroforestry and CBFM</w:t>
      </w:r>
    </w:p>
    <w:p w14:paraId="60E38859" w14:textId="2D5A7B82" w:rsidR="00506A3B" w:rsidRPr="00506A3B" w:rsidRDefault="00506A3B" w:rsidP="00506A3B">
      <w:pPr>
        <w:spacing w:after="160" w:line="259" w:lineRule="auto"/>
        <w:jc w:val="both"/>
      </w:pPr>
      <w:r w:rsidRPr="00506A3B">
        <w:t>Agroforestry and CBFM complement each other by addressing both ecological and social dimensions of sustainability. While agroforestry enhances ecosystem functions</w:t>
      </w:r>
      <w:r>
        <w:t xml:space="preserve"> </w:t>
      </w:r>
      <w:r w:rsidRPr="00506A3B">
        <w:t xml:space="preserve">improving soil fertility, nutrient cycling, microclimate regulation, and </w:t>
      </w:r>
      <w:proofErr w:type="gramStart"/>
      <w:r w:rsidRPr="00506A3B">
        <w:t>biodiversity—</w:t>
      </w:r>
      <w:proofErr w:type="gramEnd"/>
      <w:r w:rsidRPr="00506A3B">
        <w:t>CBFM ensures participatory governance, tenure security, and equitable access. The ecological gains from agroforestry are often contingent upon stable tenure and supportive governance structures provided by CBFM, whereas the social and governance benefits of CBFM are amplified when ecological productivity is strengthened through agroforestry. Integrating agroforestry into CBFM management frameworks thus creates a synergistic model that bridges environmental sustainability with social justice, yet operationalizing this integration remains underexplored. Significant research gaps exist in understanding how to implement these complementarities effectively for long-term ecological restoration, livelihood enhancement, and inclusive governance, highlighting clear opportunities for future empirical studies.</w:t>
      </w:r>
    </w:p>
    <w:p w14:paraId="12F7C5E3" w14:textId="4485ED0B" w:rsidR="00FF493B" w:rsidRPr="00FC6B26" w:rsidRDefault="00FF493B" w:rsidP="00FF493B">
      <w:pPr>
        <w:spacing w:after="160" w:line="259" w:lineRule="auto"/>
        <w:rPr>
          <w:b/>
          <w:bCs/>
        </w:rPr>
      </w:pPr>
      <w:r w:rsidRPr="00FC6B26">
        <w:rPr>
          <w:b/>
          <w:bCs/>
        </w:rPr>
        <w:lastRenderedPageBreak/>
        <w:t>4. Comparative Tables</w:t>
      </w:r>
    </w:p>
    <w:p w14:paraId="466F5C1F" w14:textId="77777777" w:rsidR="00FF493B" w:rsidRPr="00FC6B26" w:rsidRDefault="00FF493B" w:rsidP="00FF493B">
      <w:pPr>
        <w:spacing w:after="160" w:line="259" w:lineRule="auto"/>
      </w:pPr>
      <w:r w:rsidRPr="00FC6B26">
        <w:rPr>
          <w:b/>
          <w:bCs/>
        </w:rPr>
        <w:t>Table 1. Comparative Summary of Agroforestry Study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6"/>
        <w:gridCol w:w="1351"/>
        <w:gridCol w:w="1623"/>
        <w:gridCol w:w="1488"/>
        <w:gridCol w:w="1592"/>
        <w:gridCol w:w="1538"/>
      </w:tblGrid>
      <w:tr w:rsidR="00FF493B" w:rsidRPr="00FC6B26" w14:paraId="19C07491" w14:textId="77777777" w:rsidTr="00FF493B">
        <w:trPr>
          <w:tblCellSpacing w:w="15" w:type="dxa"/>
        </w:trPr>
        <w:tc>
          <w:tcPr>
            <w:tcW w:w="0" w:type="auto"/>
            <w:tcBorders>
              <w:top w:val="single" w:sz="4" w:space="0" w:color="auto"/>
              <w:bottom w:val="single" w:sz="4" w:space="0" w:color="auto"/>
            </w:tcBorders>
            <w:vAlign w:val="center"/>
            <w:hideMark/>
          </w:tcPr>
          <w:p w14:paraId="392DF61E" w14:textId="77777777" w:rsidR="00FF493B" w:rsidRPr="00FC6B26" w:rsidRDefault="00FF493B" w:rsidP="006E5255">
            <w:pPr>
              <w:spacing w:after="160" w:line="259" w:lineRule="auto"/>
              <w:rPr>
                <w:b/>
                <w:bCs/>
              </w:rPr>
            </w:pPr>
            <w:r w:rsidRPr="00FC6B26">
              <w:rPr>
                <w:b/>
                <w:bCs/>
              </w:rPr>
              <w:t>Study</w:t>
            </w:r>
          </w:p>
        </w:tc>
        <w:tc>
          <w:tcPr>
            <w:tcW w:w="0" w:type="auto"/>
            <w:tcBorders>
              <w:top w:val="single" w:sz="4" w:space="0" w:color="auto"/>
              <w:bottom w:val="single" w:sz="4" w:space="0" w:color="auto"/>
            </w:tcBorders>
            <w:vAlign w:val="center"/>
            <w:hideMark/>
          </w:tcPr>
          <w:p w14:paraId="3347A31B" w14:textId="77777777" w:rsidR="00FF493B" w:rsidRPr="00FC6B26" w:rsidRDefault="00FF493B" w:rsidP="006E5255">
            <w:pPr>
              <w:spacing w:after="160" w:line="259" w:lineRule="auto"/>
              <w:rPr>
                <w:b/>
                <w:bCs/>
              </w:rPr>
            </w:pPr>
            <w:r w:rsidRPr="00FC6B26">
              <w:rPr>
                <w:b/>
                <w:bCs/>
              </w:rPr>
              <w:t>Key Focus</w:t>
            </w:r>
          </w:p>
        </w:tc>
        <w:tc>
          <w:tcPr>
            <w:tcW w:w="0" w:type="auto"/>
            <w:tcBorders>
              <w:top w:val="single" w:sz="4" w:space="0" w:color="auto"/>
              <w:bottom w:val="single" w:sz="4" w:space="0" w:color="auto"/>
            </w:tcBorders>
            <w:vAlign w:val="center"/>
            <w:hideMark/>
          </w:tcPr>
          <w:p w14:paraId="5E492437" w14:textId="77777777" w:rsidR="00FF493B" w:rsidRPr="00FC6B26" w:rsidRDefault="00FF493B" w:rsidP="006E5255">
            <w:pPr>
              <w:spacing w:after="160" w:line="259" w:lineRule="auto"/>
              <w:rPr>
                <w:b/>
                <w:bCs/>
              </w:rPr>
            </w:pPr>
            <w:r w:rsidRPr="00FC6B26">
              <w:rPr>
                <w:b/>
                <w:bCs/>
              </w:rPr>
              <w:t>Methodology</w:t>
            </w:r>
          </w:p>
        </w:tc>
        <w:tc>
          <w:tcPr>
            <w:tcW w:w="0" w:type="auto"/>
            <w:tcBorders>
              <w:top w:val="single" w:sz="4" w:space="0" w:color="auto"/>
              <w:bottom w:val="single" w:sz="4" w:space="0" w:color="auto"/>
            </w:tcBorders>
            <w:vAlign w:val="center"/>
            <w:hideMark/>
          </w:tcPr>
          <w:p w14:paraId="36FF30EA" w14:textId="77777777" w:rsidR="00FF493B" w:rsidRPr="00FC6B26" w:rsidRDefault="00FF493B" w:rsidP="006E5255">
            <w:pPr>
              <w:spacing w:after="160" w:line="259" w:lineRule="auto"/>
              <w:rPr>
                <w:b/>
                <w:bCs/>
              </w:rPr>
            </w:pPr>
            <w:r w:rsidRPr="00FC6B26">
              <w:rPr>
                <w:b/>
                <w:bCs/>
              </w:rPr>
              <w:t>Findings</w:t>
            </w:r>
          </w:p>
        </w:tc>
        <w:tc>
          <w:tcPr>
            <w:tcW w:w="0" w:type="auto"/>
            <w:tcBorders>
              <w:top w:val="single" w:sz="4" w:space="0" w:color="auto"/>
              <w:bottom w:val="single" w:sz="4" w:space="0" w:color="auto"/>
            </w:tcBorders>
            <w:vAlign w:val="center"/>
            <w:hideMark/>
          </w:tcPr>
          <w:p w14:paraId="7704602A" w14:textId="77777777" w:rsidR="00FF493B" w:rsidRPr="00FC6B26" w:rsidRDefault="00FF493B" w:rsidP="006E5255">
            <w:pPr>
              <w:spacing w:after="160" w:line="259" w:lineRule="auto"/>
              <w:rPr>
                <w:b/>
                <w:bCs/>
              </w:rPr>
            </w:pPr>
            <w:r w:rsidRPr="00FC6B26">
              <w:rPr>
                <w:b/>
                <w:bCs/>
              </w:rPr>
              <w:t>Strengths</w:t>
            </w:r>
          </w:p>
        </w:tc>
        <w:tc>
          <w:tcPr>
            <w:tcW w:w="0" w:type="auto"/>
            <w:tcBorders>
              <w:top w:val="single" w:sz="4" w:space="0" w:color="auto"/>
              <w:bottom w:val="single" w:sz="4" w:space="0" w:color="auto"/>
            </w:tcBorders>
            <w:vAlign w:val="center"/>
            <w:hideMark/>
          </w:tcPr>
          <w:p w14:paraId="7DEA1F51" w14:textId="77777777" w:rsidR="00FF493B" w:rsidRPr="00FC6B26" w:rsidRDefault="00FF493B" w:rsidP="006E5255">
            <w:pPr>
              <w:spacing w:after="160" w:line="259" w:lineRule="auto"/>
              <w:rPr>
                <w:b/>
                <w:bCs/>
              </w:rPr>
            </w:pPr>
            <w:r w:rsidRPr="00FC6B26">
              <w:rPr>
                <w:b/>
                <w:bCs/>
              </w:rPr>
              <w:t>Weaknesses</w:t>
            </w:r>
          </w:p>
        </w:tc>
      </w:tr>
      <w:tr w:rsidR="00FF493B" w:rsidRPr="00FC6B26" w14:paraId="77A8FBAA" w14:textId="77777777" w:rsidTr="00FF493B">
        <w:trPr>
          <w:tblCellSpacing w:w="15" w:type="dxa"/>
        </w:trPr>
        <w:tc>
          <w:tcPr>
            <w:tcW w:w="0" w:type="auto"/>
            <w:tcBorders>
              <w:bottom w:val="single" w:sz="4" w:space="0" w:color="auto"/>
            </w:tcBorders>
            <w:vAlign w:val="center"/>
            <w:hideMark/>
          </w:tcPr>
          <w:p w14:paraId="0744A82F" w14:textId="77777777" w:rsidR="00FF493B" w:rsidRPr="00FC6B26" w:rsidRDefault="00FF493B" w:rsidP="006E5255">
            <w:pPr>
              <w:spacing w:after="160" w:line="259" w:lineRule="auto"/>
            </w:pPr>
            <w:r w:rsidRPr="00FC6B26">
              <w:t>Fahad et al. (2022)</w:t>
            </w:r>
          </w:p>
        </w:tc>
        <w:tc>
          <w:tcPr>
            <w:tcW w:w="0" w:type="auto"/>
            <w:tcBorders>
              <w:bottom w:val="single" w:sz="4" w:space="0" w:color="auto"/>
            </w:tcBorders>
            <w:vAlign w:val="center"/>
            <w:hideMark/>
          </w:tcPr>
          <w:p w14:paraId="6FF4CDD1" w14:textId="77777777" w:rsidR="00FF493B" w:rsidRPr="00FC6B26" w:rsidRDefault="00FF493B" w:rsidP="006E5255">
            <w:pPr>
              <w:spacing w:after="160" w:line="259" w:lineRule="auto"/>
            </w:pPr>
            <w:r w:rsidRPr="00FC6B26">
              <w:t>Soil health improvement through agroforestry</w:t>
            </w:r>
          </w:p>
        </w:tc>
        <w:tc>
          <w:tcPr>
            <w:tcW w:w="0" w:type="auto"/>
            <w:tcBorders>
              <w:bottom w:val="single" w:sz="4" w:space="0" w:color="auto"/>
            </w:tcBorders>
            <w:vAlign w:val="center"/>
            <w:hideMark/>
          </w:tcPr>
          <w:p w14:paraId="1D88B45A" w14:textId="77777777" w:rsidR="00FF493B" w:rsidRPr="00FC6B26" w:rsidRDefault="00FF493B" w:rsidP="006E5255">
            <w:pPr>
              <w:spacing w:after="160" w:line="259" w:lineRule="auto"/>
            </w:pPr>
            <w:r w:rsidRPr="00FC6B26">
              <w:t>Literature review and synthesis of global case studies (India, Bangladesh, Sudan, Yemen)</w:t>
            </w:r>
          </w:p>
        </w:tc>
        <w:tc>
          <w:tcPr>
            <w:tcW w:w="0" w:type="auto"/>
            <w:tcBorders>
              <w:bottom w:val="single" w:sz="4" w:space="0" w:color="auto"/>
            </w:tcBorders>
            <w:vAlign w:val="center"/>
            <w:hideMark/>
          </w:tcPr>
          <w:p w14:paraId="207BAA0D" w14:textId="77777777" w:rsidR="00FF493B" w:rsidRPr="00FC6B26" w:rsidRDefault="00FF493B" w:rsidP="006E5255">
            <w:pPr>
              <w:spacing w:after="160" w:line="259" w:lineRule="auto"/>
            </w:pPr>
            <w:r w:rsidRPr="00FC6B26">
              <w:t>Agroforestry enhances SOC, reduces bulk density, improves fertility and microclimate</w:t>
            </w:r>
          </w:p>
        </w:tc>
        <w:tc>
          <w:tcPr>
            <w:tcW w:w="0" w:type="auto"/>
            <w:tcBorders>
              <w:bottom w:val="single" w:sz="4" w:space="0" w:color="auto"/>
            </w:tcBorders>
            <w:vAlign w:val="center"/>
            <w:hideMark/>
          </w:tcPr>
          <w:p w14:paraId="433787E5" w14:textId="77777777" w:rsidR="00FF493B" w:rsidRPr="00FC6B26" w:rsidRDefault="00FF493B" w:rsidP="006E5255">
            <w:pPr>
              <w:spacing w:after="160" w:line="259" w:lineRule="auto"/>
            </w:pPr>
            <w:r w:rsidRPr="00FC6B26">
              <w:t>Comprehensive review of ecological processes</w:t>
            </w:r>
          </w:p>
        </w:tc>
        <w:tc>
          <w:tcPr>
            <w:tcW w:w="0" w:type="auto"/>
            <w:tcBorders>
              <w:bottom w:val="single" w:sz="4" w:space="0" w:color="auto"/>
            </w:tcBorders>
            <w:vAlign w:val="center"/>
            <w:hideMark/>
          </w:tcPr>
          <w:p w14:paraId="4465277F" w14:textId="77777777" w:rsidR="00FF493B" w:rsidRPr="00FC6B26" w:rsidRDefault="00FF493B" w:rsidP="006E5255">
            <w:pPr>
              <w:spacing w:after="160" w:line="259" w:lineRule="auto"/>
            </w:pPr>
            <w:r w:rsidRPr="00FC6B26">
              <w:t>Limited socioeconomic and governance analysis</w:t>
            </w:r>
          </w:p>
        </w:tc>
      </w:tr>
    </w:tbl>
    <w:p w14:paraId="28CBA25E" w14:textId="77777777" w:rsidR="00FF493B" w:rsidRPr="00FC6B26" w:rsidRDefault="00FF493B" w:rsidP="00FF493B">
      <w:pPr>
        <w:spacing w:after="160" w:line="259" w:lineRule="auto"/>
      </w:pPr>
      <w:r w:rsidRPr="00FC6B26">
        <w:rPr>
          <w:b/>
          <w:bCs/>
        </w:rPr>
        <w:t>Table 2. Comparative Summary of CBFM Study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1"/>
        <w:gridCol w:w="1443"/>
        <w:gridCol w:w="1674"/>
        <w:gridCol w:w="1482"/>
        <w:gridCol w:w="1366"/>
        <w:gridCol w:w="1572"/>
      </w:tblGrid>
      <w:tr w:rsidR="00FF493B" w:rsidRPr="00FC6B26" w14:paraId="1A7A4282" w14:textId="77777777" w:rsidTr="00FF493B">
        <w:trPr>
          <w:tblCellSpacing w:w="15" w:type="dxa"/>
        </w:trPr>
        <w:tc>
          <w:tcPr>
            <w:tcW w:w="0" w:type="auto"/>
            <w:tcBorders>
              <w:top w:val="single" w:sz="4" w:space="0" w:color="auto"/>
            </w:tcBorders>
            <w:vAlign w:val="center"/>
            <w:hideMark/>
          </w:tcPr>
          <w:p w14:paraId="2720C27F" w14:textId="77777777" w:rsidR="00FF493B" w:rsidRPr="00D726CB" w:rsidRDefault="00FF493B" w:rsidP="006E5255">
            <w:pPr>
              <w:spacing w:after="160" w:line="259" w:lineRule="auto"/>
              <w:rPr>
                <w:b/>
                <w:bCs/>
              </w:rPr>
            </w:pPr>
            <w:r w:rsidRPr="00D726CB">
              <w:rPr>
                <w:b/>
                <w:bCs/>
              </w:rPr>
              <w:t>Study</w:t>
            </w:r>
          </w:p>
        </w:tc>
        <w:tc>
          <w:tcPr>
            <w:tcW w:w="0" w:type="auto"/>
            <w:tcBorders>
              <w:top w:val="single" w:sz="4" w:space="0" w:color="auto"/>
            </w:tcBorders>
            <w:vAlign w:val="center"/>
            <w:hideMark/>
          </w:tcPr>
          <w:p w14:paraId="2ED24D84" w14:textId="77777777" w:rsidR="00FF493B" w:rsidRPr="00D726CB" w:rsidRDefault="00FF493B" w:rsidP="006E5255">
            <w:pPr>
              <w:spacing w:after="160" w:line="259" w:lineRule="auto"/>
              <w:rPr>
                <w:b/>
                <w:bCs/>
              </w:rPr>
            </w:pPr>
            <w:r w:rsidRPr="00D726CB">
              <w:rPr>
                <w:b/>
                <w:bCs/>
              </w:rPr>
              <w:t>Key Focus</w:t>
            </w:r>
          </w:p>
        </w:tc>
        <w:tc>
          <w:tcPr>
            <w:tcW w:w="0" w:type="auto"/>
            <w:tcBorders>
              <w:top w:val="single" w:sz="4" w:space="0" w:color="auto"/>
            </w:tcBorders>
            <w:vAlign w:val="center"/>
            <w:hideMark/>
          </w:tcPr>
          <w:p w14:paraId="54F49073" w14:textId="77777777" w:rsidR="00FF493B" w:rsidRPr="00D726CB" w:rsidRDefault="00FF493B" w:rsidP="006E5255">
            <w:pPr>
              <w:spacing w:after="160" w:line="259" w:lineRule="auto"/>
              <w:rPr>
                <w:b/>
                <w:bCs/>
              </w:rPr>
            </w:pPr>
            <w:r w:rsidRPr="00D726CB">
              <w:rPr>
                <w:b/>
                <w:bCs/>
              </w:rPr>
              <w:t>Methodology</w:t>
            </w:r>
          </w:p>
        </w:tc>
        <w:tc>
          <w:tcPr>
            <w:tcW w:w="0" w:type="auto"/>
            <w:tcBorders>
              <w:top w:val="single" w:sz="4" w:space="0" w:color="auto"/>
            </w:tcBorders>
            <w:vAlign w:val="center"/>
            <w:hideMark/>
          </w:tcPr>
          <w:p w14:paraId="45568144" w14:textId="77777777" w:rsidR="00FF493B" w:rsidRPr="00D726CB" w:rsidRDefault="00FF493B" w:rsidP="006E5255">
            <w:pPr>
              <w:spacing w:after="160" w:line="259" w:lineRule="auto"/>
              <w:rPr>
                <w:b/>
                <w:bCs/>
              </w:rPr>
            </w:pPr>
            <w:r w:rsidRPr="00D726CB">
              <w:rPr>
                <w:b/>
                <w:bCs/>
              </w:rPr>
              <w:t>Findings</w:t>
            </w:r>
          </w:p>
        </w:tc>
        <w:tc>
          <w:tcPr>
            <w:tcW w:w="0" w:type="auto"/>
            <w:tcBorders>
              <w:top w:val="single" w:sz="4" w:space="0" w:color="auto"/>
            </w:tcBorders>
            <w:vAlign w:val="center"/>
            <w:hideMark/>
          </w:tcPr>
          <w:p w14:paraId="22A9E05A" w14:textId="77777777" w:rsidR="00FF493B" w:rsidRPr="00D726CB" w:rsidRDefault="00FF493B" w:rsidP="006E5255">
            <w:pPr>
              <w:spacing w:after="160" w:line="259" w:lineRule="auto"/>
              <w:rPr>
                <w:b/>
                <w:bCs/>
              </w:rPr>
            </w:pPr>
            <w:r w:rsidRPr="00D726CB">
              <w:rPr>
                <w:b/>
                <w:bCs/>
              </w:rPr>
              <w:t>Strengths</w:t>
            </w:r>
          </w:p>
        </w:tc>
        <w:tc>
          <w:tcPr>
            <w:tcW w:w="0" w:type="auto"/>
            <w:tcBorders>
              <w:top w:val="single" w:sz="4" w:space="0" w:color="auto"/>
            </w:tcBorders>
            <w:vAlign w:val="center"/>
            <w:hideMark/>
          </w:tcPr>
          <w:p w14:paraId="6A109D95" w14:textId="77777777" w:rsidR="00FF493B" w:rsidRPr="00D726CB" w:rsidRDefault="00FF493B" w:rsidP="006E5255">
            <w:pPr>
              <w:spacing w:after="160" w:line="259" w:lineRule="auto"/>
              <w:rPr>
                <w:b/>
                <w:bCs/>
              </w:rPr>
            </w:pPr>
            <w:r w:rsidRPr="00D726CB">
              <w:rPr>
                <w:b/>
                <w:bCs/>
              </w:rPr>
              <w:t>Weaknesses</w:t>
            </w:r>
          </w:p>
        </w:tc>
      </w:tr>
      <w:tr w:rsidR="00FF493B" w:rsidRPr="00FC6B26" w14:paraId="185B54E9" w14:textId="77777777" w:rsidTr="00FF493B">
        <w:trPr>
          <w:tblCellSpacing w:w="15" w:type="dxa"/>
        </w:trPr>
        <w:tc>
          <w:tcPr>
            <w:tcW w:w="0" w:type="auto"/>
            <w:tcBorders>
              <w:top w:val="single" w:sz="4" w:space="0" w:color="auto"/>
              <w:bottom w:val="single" w:sz="4" w:space="0" w:color="auto"/>
            </w:tcBorders>
            <w:vAlign w:val="center"/>
            <w:hideMark/>
          </w:tcPr>
          <w:p w14:paraId="5F5645D9" w14:textId="77777777" w:rsidR="00FF493B" w:rsidRPr="00FC6B26" w:rsidRDefault="00FF493B" w:rsidP="006E5255">
            <w:pPr>
              <w:spacing w:after="160" w:line="259" w:lineRule="auto"/>
            </w:pPr>
            <w:proofErr w:type="spellStart"/>
            <w:r w:rsidRPr="00FC6B26">
              <w:t>Pulhin</w:t>
            </w:r>
            <w:proofErr w:type="spellEnd"/>
            <w:r w:rsidRPr="00FC6B26">
              <w:t xml:space="preserve"> et al. (2024)</w:t>
            </w:r>
          </w:p>
        </w:tc>
        <w:tc>
          <w:tcPr>
            <w:tcW w:w="0" w:type="auto"/>
            <w:tcBorders>
              <w:top w:val="single" w:sz="4" w:space="0" w:color="auto"/>
              <w:bottom w:val="single" w:sz="4" w:space="0" w:color="auto"/>
            </w:tcBorders>
            <w:vAlign w:val="center"/>
            <w:hideMark/>
          </w:tcPr>
          <w:p w14:paraId="0BC280C2" w14:textId="77777777" w:rsidR="00FF493B" w:rsidRPr="00FC6B26" w:rsidRDefault="00FF493B" w:rsidP="006E5255">
            <w:pPr>
              <w:spacing w:after="160" w:line="259" w:lineRule="auto"/>
            </w:pPr>
            <w:r w:rsidRPr="00FC6B26">
              <w:t>Social justice and sustainability in CBFM</w:t>
            </w:r>
          </w:p>
        </w:tc>
        <w:tc>
          <w:tcPr>
            <w:tcW w:w="0" w:type="auto"/>
            <w:tcBorders>
              <w:top w:val="single" w:sz="4" w:space="0" w:color="auto"/>
              <w:bottom w:val="single" w:sz="4" w:space="0" w:color="auto"/>
            </w:tcBorders>
            <w:vAlign w:val="center"/>
            <w:hideMark/>
          </w:tcPr>
          <w:p w14:paraId="3FD24DAC" w14:textId="77777777" w:rsidR="00FF493B" w:rsidRPr="00FC6B26" w:rsidRDefault="00FF493B" w:rsidP="006E5255">
            <w:pPr>
              <w:spacing w:after="160" w:line="259" w:lineRule="auto"/>
            </w:pPr>
            <w:r w:rsidRPr="00FC6B26">
              <w:t>Policy analysis and thematic review of national-level data</w:t>
            </w:r>
          </w:p>
        </w:tc>
        <w:tc>
          <w:tcPr>
            <w:tcW w:w="0" w:type="auto"/>
            <w:tcBorders>
              <w:top w:val="single" w:sz="4" w:space="0" w:color="auto"/>
              <w:bottom w:val="single" w:sz="4" w:space="0" w:color="auto"/>
            </w:tcBorders>
            <w:vAlign w:val="center"/>
            <w:hideMark/>
          </w:tcPr>
          <w:p w14:paraId="01FA85FF" w14:textId="77777777" w:rsidR="00FF493B" w:rsidRPr="00FC6B26" w:rsidRDefault="00FF493B" w:rsidP="006E5255">
            <w:pPr>
              <w:spacing w:after="160" w:line="259" w:lineRule="auto"/>
            </w:pPr>
            <w:r w:rsidRPr="00FC6B26">
              <w:t>Identified tenure insecurity, welfare gaps, restrictive policies as barriers</w:t>
            </w:r>
          </w:p>
        </w:tc>
        <w:tc>
          <w:tcPr>
            <w:tcW w:w="0" w:type="auto"/>
            <w:tcBorders>
              <w:top w:val="single" w:sz="4" w:space="0" w:color="auto"/>
              <w:bottom w:val="single" w:sz="4" w:space="0" w:color="auto"/>
            </w:tcBorders>
            <w:vAlign w:val="center"/>
            <w:hideMark/>
          </w:tcPr>
          <w:p w14:paraId="02F33832" w14:textId="77777777" w:rsidR="00FF493B" w:rsidRPr="00FC6B26" w:rsidRDefault="00FF493B" w:rsidP="006E5255">
            <w:pPr>
              <w:spacing w:after="160" w:line="259" w:lineRule="auto"/>
            </w:pPr>
            <w:r w:rsidRPr="00FC6B26">
              <w:t>Strong social and governance perspective</w:t>
            </w:r>
          </w:p>
        </w:tc>
        <w:tc>
          <w:tcPr>
            <w:tcW w:w="0" w:type="auto"/>
            <w:tcBorders>
              <w:top w:val="single" w:sz="4" w:space="0" w:color="auto"/>
              <w:bottom w:val="single" w:sz="4" w:space="0" w:color="auto"/>
            </w:tcBorders>
            <w:vAlign w:val="center"/>
            <w:hideMark/>
          </w:tcPr>
          <w:p w14:paraId="47BF7E41" w14:textId="2ECBCD74" w:rsidR="00FF493B" w:rsidRPr="00FC6B26" w:rsidRDefault="00FF493B" w:rsidP="006E5255">
            <w:pPr>
              <w:spacing w:after="160" w:line="259" w:lineRule="auto"/>
            </w:pPr>
            <w:r w:rsidRPr="00FC6B26">
              <w:t>Weak integration of soil/ecological indicat</w:t>
            </w:r>
            <w:r w:rsidR="007352A9" w:rsidRPr="00FC6B26">
              <w:t>or</w:t>
            </w:r>
          </w:p>
        </w:tc>
      </w:tr>
    </w:tbl>
    <w:p w14:paraId="103D0E9A" w14:textId="77777777" w:rsidR="00563BA9" w:rsidRPr="00FC6B26" w:rsidRDefault="00563BA9" w:rsidP="00441B6F">
      <w:pPr>
        <w:pStyle w:val="Body"/>
        <w:spacing w:after="0"/>
        <w:rPr>
          <w:rFonts w:ascii="Arial" w:hAnsi="Arial" w:cs="Arial"/>
        </w:rPr>
      </w:pPr>
    </w:p>
    <w:p w14:paraId="521ABB24" w14:textId="671AF530" w:rsidR="00095B5D" w:rsidRDefault="00563BA9" w:rsidP="00441B6F">
      <w:pPr>
        <w:pStyle w:val="Body"/>
        <w:spacing w:after="0"/>
        <w:rPr>
          <w:rFonts w:ascii="Arial" w:hAnsi="Arial" w:cs="Arial"/>
        </w:rPr>
      </w:pPr>
      <w:r w:rsidRPr="00FC6B26">
        <w:rPr>
          <w:rFonts w:ascii="Arial" w:hAnsi="Arial" w:cs="Arial"/>
        </w:rPr>
        <w:t xml:space="preserve">Table 1 highlights Fahad et al. (2022) as providing a strong ecological perspective, demonstrating agroforestry’s contributions to soil health, carbon sequestration, and microclimate regulation. In contrast, Table 2 shows </w:t>
      </w:r>
      <w:proofErr w:type="spellStart"/>
      <w:r w:rsidRPr="00FC6B26">
        <w:rPr>
          <w:rFonts w:ascii="Arial" w:hAnsi="Arial" w:cs="Arial"/>
        </w:rPr>
        <w:t>Pulhin</w:t>
      </w:r>
      <w:proofErr w:type="spellEnd"/>
      <w:r w:rsidRPr="00FC6B26">
        <w:rPr>
          <w:rFonts w:ascii="Arial" w:hAnsi="Arial" w:cs="Arial"/>
        </w:rPr>
        <w:t xml:space="preserve"> et al. (2024) emphasizes governance, social justice, and livelihood outcomes within CBFM, but provides limited ecological analysis. Together, these studies illustrate the complementary nature of agroforestry and CBFM: agroforestry primarily addresses ecological restoration, while CBFM ensures participatory governance and equitable access to resources. Integrating both approaches offers a holistic framework for sustainable land-use, combining environmental sustainability with social equity.</w:t>
      </w:r>
    </w:p>
    <w:p w14:paraId="442C2ECF" w14:textId="77777777" w:rsidR="00863BD3" w:rsidRDefault="00863BD3" w:rsidP="00441B6F">
      <w:pPr>
        <w:tabs>
          <w:tab w:val="left" w:pos="1080"/>
        </w:tabs>
        <w:jc w:val="both"/>
        <w:rPr>
          <w:rFonts w:ascii="Arial" w:hAnsi="Arial"/>
          <w:b/>
        </w:rPr>
      </w:pPr>
    </w:p>
    <w:p w14:paraId="1004367D" w14:textId="6A8A225B" w:rsidR="00FF493B" w:rsidRPr="00A753D3" w:rsidRDefault="00FF493B" w:rsidP="00441B6F">
      <w:pPr>
        <w:tabs>
          <w:tab w:val="left" w:pos="1080"/>
        </w:tabs>
        <w:jc w:val="both"/>
        <w:rPr>
          <w:rFonts w:ascii="Arial" w:hAnsi="Arial" w:cs="Arial"/>
          <w:b/>
        </w:rPr>
      </w:pPr>
      <w:r w:rsidRPr="00A753D3">
        <w:rPr>
          <w:rFonts w:ascii="Arial" w:hAnsi="Arial" w:cs="Arial"/>
          <w:b/>
        </w:rPr>
        <w:t>5. Research Gaps</w:t>
      </w:r>
    </w:p>
    <w:p w14:paraId="06F0AD7F" w14:textId="7805A99A" w:rsidR="00243E64" w:rsidRPr="00A753D3" w:rsidRDefault="00234E5D" w:rsidP="00243E64">
      <w:pPr>
        <w:pStyle w:val="NoSpacing"/>
        <w:jc w:val="both"/>
        <w:rPr>
          <w:rFonts w:ascii="Arial" w:hAnsi="Arial" w:cs="Arial"/>
        </w:rPr>
      </w:pPr>
      <w:r w:rsidRPr="00A753D3">
        <w:rPr>
          <w:rFonts w:ascii="Arial" w:hAnsi="Arial" w:cs="Arial"/>
          <w:b/>
          <w:bCs/>
        </w:rPr>
        <w:t xml:space="preserve">1. </w:t>
      </w:r>
      <w:r w:rsidR="00243E64" w:rsidRPr="00A753D3">
        <w:rPr>
          <w:rFonts w:ascii="Arial" w:hAnsi="Arial" w:cs="Arial"/>
          <w:b/>
          <w:bCs/>
        </w:rPr>
        <w:t>Integration within CBFM Frameworks</w:t>
      </w:r>
      <w:r w:rsidR="00243E64" w:rsidRPr="00A753D3">
        <w:rPr>
          <w:rFonts w:ascii="Arial" w:hAnsi="Arial" w:cs="Arial"/>
        </w:rPr>
        <w:t xml:space="preserve">: </w:t>
      </w:r>
      <w:r w:rsidR="002764B1">
        <w:rPr>
          <w:rFonts w:ascii="Arial" w:hAnsi="Arial" w:cs="Arial"/>
        </w:rPr>
        <w:t>O</w:t>
      </w:r>
      <w:r w:rsidR="002764B1" w:rsidRPr="002764B1">
        <w:rPr>
          <w:rFonts w:ascii="Arial" w:hAnsi="Arial" w:cs="Arial"/>
        </w:rPr>
        <w:t>perationalizing agroforestry within CBFM remains underexplored. Empirical studies on combined approaches that simultaneously achieve ecological restoration and social equity are limited. Tenure security, policy alignment, and institutional capacity for monitoring integrated systems require further investigation.</w:t>
      </w:r>
    </w:p>
    <w:p w14:paraId="2A47B992" w14:textId="5A3C96C9" w:rsidR="00243E64" w:rsidRDefault="00243E64" w:rsidP="00234E5D">
      <w:pPr>
        <w:pStyle w:val="NoSpacing"/>
        <w:jc w:val="both"/>
        <w:rPr>
          <w:rFonts w:ascii="Arial" w:hAnsi="Arial" w:cs="Arial"/>
          <w:b/>
          <w:bCs/>
        </w:rPr>
      </w:pPr>
    </w:p>
    <w:p w14:paraId="1381A03A" w14:textId="6DE36418" w:rsidR="00234E5D" w:rsidRPr="00A753D3" w:rsidRDefault="00243E64" w:rsidP="00234E5D">
      <w:pPr>
        <w:pStyle w:val="NoSpacing"/>
        <w:jc w:val="both"/>
        <w:rPr>
          <w:rFonts w:ascii="Arial" w:hAnsi="Arial" w:cs="Arial"/>
        </w:rPr>
      </w:pPr>
      <w:r>
        <w:rPr>
          <w:rFonts w:ascii="Arial" w:hAnsi="Arial" w:cs="Arial"/>
          <w:b/>
          <w:bCs/>
        </w:rPr>
        <w:t xml:space="preserve">2. </w:t>
      </w:r>
      <w:r w:rsidR="00234E5D" w:rsidRPr="00A753D3">
        <w:rPr>
          <w:rFonts w:ascii="Arial" w:hAnsi="Arial" w:cs="Arial"/>
          <w:b/>
          <w:bCs/>
        </w:rPr>
        <w:t>Long-Term Monitoring of Soil Health</w:t>
      </w:r>
      <w:r w:rsidR="00234E5D" w:rsidRPr="00A753D3">
        <w:rPr>
          <w:rFonts w:ascii="Arial" w:hAnsi="Arial" w:cs="Arial"/>
        </w:rPr>
        <w:t>: Despite the documented benefits of agroforestry and Community-Based Forest Management (CBFM), long-term empirical studies on soil health outcomes under diverse agroforestry systems are scarce, particularly in Philippine upland contexts. While global studies highlight improvements in soil organic carbon, nutrient cycling, and microclimate regulation, site-specific and longitudinal data are limited, constraining context-specific recommendations.</w:t>
      </w:r>
    </w:p>
    <w:p w14:paraId="26D1FABE" w14:textId="338AE47B" w:rsidR="00234E5D" w:rsidRDefault="002764B1" w:rsidP="00234E5D">
      <w:pPr>
        <w:pStyle w:val="NoSpacing"/>
        <w:jc w:val="both"/>
        <w:rPr>
          <w:rFonts w:ascii="Arial" w:hAnsi="Arial" w:cs="Arial"/>
        </w:rPr>
      </w:pPr>
      <w:r w:rsidRPr="002764B1">
        <w:rPr>
          <w:rFonts w:ascii="Arial" w:hAnsi="Arial" w:cs="Arial"/>
        </w:rPr>
        <w:t xml:space="preserve">Evidence on the socio-economic effects of agroforestry adoption is insufficient. Studies rarely assess income diversification, adoption barriers, or impacts on local livelihoods. </w:t>
      </w:r>
      <w:r w:rsidRPr="002764B1">
        <w:rPr>
          <w:rFonts w:ascii="Arial" w:hAnsi="Arial" w:cs="Arial"/>
        </w:rPr>
        <w:lastRenderedPageBreak/>
        <w:t>Comprehensive socio-economic assessments are essential to inform incentives, extension services, and policy interventions.</w:t>
      </w:r>
    </w:p>
    <w:p w14:paraId="6E865293" w14:textId="77777777" w:rsidR="002764B1" w:rsidRPr="00A753D3" w:rsidRDefault="002764B1" w:rsidP="00234E5D">
      <w:pPr>
        <w:pStyle w:val="NoSpacing"/>
        <w:jc w:val="both"/>
        <w:rPr>
          <w:rFonts w:ascii="Arial" w:hAnsi="Arial" w:cs="Arial"/>
        </w:rPr>
      </w:pPr>
    </w:p>
    <w:p w14:paraId="1E736A80" w14:textId="411D7071" w:rsidR="00234E5D" w:rsidRDefault="00234E5D" w:rsidP="00234E5D">
      <w:pPr>
        <w:pStyle w:val="NoSpacing"/>
        <w:jc w:val="both"/>
        <w:rPr>
          <w:rFonts w:ascii="Arial" w:hAnsi="Arial" w:cs="Arial"/>
        </w:rPr>
      </w:pPr>
      <w:r w:rsidRPr="00A753D3">
        <w:rPr>
          <w:rFonts w:ascii="Arial" w:hAnsi="Arial" w:cs="Arial"/>
          <w:b/>
          <w:bCs/>
        </w:rPr>
        <w:t>4. Gender and Social Inclusion</w:t>
      </w:r>
      <w:r w:rsidRPr="00A753D3">
        <w:rPr>
          <w:rFonts w:ascii="Arial" w:hAnsi="Arial" w:cs="Arial"/>
        </w:rPr>
        <w:t xml:space="preserve">: </w:t>
      </w:r>
      <w:r w:rsidR="002764B1" w:rsidRPr="002764B1">
        <w:rPr>
          <w:rFonts w:ascii="Arial" w:hAnsi="Arial" w:cs="Arial"/>
        </w:rPr>
        <w:t>Gender and social inclusion considerations remain inadequately addressed. Participation and benefits among women, youth, and marginalized groups are often overlooked, limiting equitable outcomes and governance effectiveness.</w:t>
      </w:r>
    </w:p>
    <w:p w14:paraId="3B4321F0" w14:textId="77777777" w:rsidR="002764B1" w:rsidRPr="00A753D3" w:rsidRDefault="002764B1" w:rsidP="00234E5D">
      <w:pPr>
        <w:pStyle w:val="NoSpacing"/>
        <w:jc w:val="both"/>
        <w:rPr>
          <w:rFonts w:ascii="Arial" w:hAnsi="Arial" w:cs="Arial"/>
        </w:rPr>
      </w:pPr>
    </w:p>
    <w:p w14:paraId="4CC963FA" w14:textId="77777777" w:rsidR="00234E5D" w:rsidRPr="00A753D3" w:rsidRDefault="00234E5D" w:rsidP="00234E5D">
      <w:pPr>
        <w:pStyle w:val="NoSpacing"/>
        <w:jc w:val="both"/>
        <w:rPr>
          <w:rFonts w:ascii="Arial" w:hAnsi="Arial" w:cs="Arial"/>
        </w:rPr>
      </w:pPr>
      <w:r w:rsidRPr="00A753D3">
        <w:rPr>
          <w:rFonts w:ascii="Arial" w:hAnsi="Arial" w:cs="Arial"/>
          <w:b/>
          <w:bCs/>
        </w:rPr>
        <w:t>5. Climate Resilience and Risk Reduction</w:t>
      </w:r>
      <w:r w:rsidRPr="00A753D3">
        <w:rPr>
          <w:rFonts w:ascii="Arial" w:hAnsi="Arial" w:cs="Arial"/>
        </w:rPr>
        <w:t>: There is a gap in understanding the climate resilience and risk reduction potential of combined agroforestry-CBFM approaches. While both systems contribute to sustainability, empirical evidence on their role in buffering communities against climate extremes and enhancing adaptive capacity remains limited.</w:t>
      </w:r>
    </w:p>
    <w:p w14:paraId="650D3F7D" w14:textId="77777777" w:rsidR="00234E5D" w:rsidRPr="00A753D3" w:rsidRDefault="00234E5D" w:rsidP="00234E5D">
      <w:pPr>
        <w:pStyle w:val="NoSpacing"/>
        <w:jc w:val="both"/>
        <w:rPr>
          <w:rFonts w:ascii="Arial" w:hAnsi="Arial" w:cs="Arial"/>
        </w:rPr>
      </w:pPr>
    </w:p>
    <w:p w14:paraId="48499E2A" w14:textId="6742112F" w:rsidR="00234E5D" w:rsidRPr="00A753D3" w:rsidRDefault="00234E5D" w:rsidP="00234E5D">
      <w:pPr>
        <w:pStyle w:val="NoSpacing"/>
        <w:jc w:val="both"/>
        <w:rPr>
          <w:rFonts w:ascii="Arial" w:hAnsi="Arial" w:cs="Arial"/>
        </w:rPr>
      </w:pPr>
      <w:r w:rsidRPr="00A753D3">
        <w:rPr>
          <w:rFonts w:ascii="Arial" w:hAnsi="Arial" w:cs="Arial"/>
        </w:rPr>
        <w:t xml:space="preserve">Collectively, </w:t>
      </w:r>
      <w:r w:rsidR="00506A3B" w:rsidRPr="00506A3B">
        <w:rPr>
          <w:rFonts w:ascii="Arial" w:hAnsi="Arial" w:cs="Arial"/>
        </w:rPr>
        <w:t>addressing these gaps will provide critical insights into designing agroforestry-CBFM systems that are ecologically effective, socially equitable, economically viable, and climate-resilient. Integrating empirical research with participatory governance, policy alignment, and inclusive approaches will enable multifunctional landscapes that restore degraded ecosystems while securing livelihoods and promoting social justice.</w:t>
      </w:r>
    </w:p>
    <w:p w14:paraId="344030F2" w14:textId="77777777" w:rsidR="00234E5D" w:rsidRPr="00A753D3" w:rsidRDefault="00234E5D" w:rsidP="00441B6F">
      <w:pPr>
        <w:tabs>
          <w:tab w:val="left" w:pos="1080"/>
        </w:tabs>
        <w:jc w:val="both"/>
        <w:rPr>
          <w:rFonts w:ascii="Arial" w:hAnsi="Arial" w:cs="Arial"/>
          <w:b/>
        </w:rPr>
      </w:pPr>
    </w:p>
    <w:p w14:paraId="6A1C6DD7" w14:textId="36D20C24" w:rsidR="00FF493B" w:rsidRPr="00A753D3" w:rsidRDefault="00FF493B" w:rsidP="00441B6F">
      <w:pPr>
        <w:tabs>
          <w:tab w:val="left" w:pos="1080"/>
        </w:tabs>
        <w:jc w:val="both"/>
        <w:rPr>
          <w:rFonts w:ascii="Arial" w:hAnsi="Arial" w:cs="Arial"/>
          <w:b/>
        </w:rPr>
      </w:pPr>
      <w:r w:rsidRPr="00A753D3">
        <w:rPr>
          <w:rFonts w:ascii="Arial" w:hAnsi="Arial" w:cs="Arial"/>
          <w:b/>
        </w:rPr>
        <w:t>6. Implications</w:t>
      </w:r>
    </w:p>
    <w:p w14:paraId="05428EE9" w14:textId="77777777" w:rsidR="00234E5D" w:rsidRPr="00234E5D" w:rsidRDefault="00234E5D" w:rsidP="00234E5D">
      <w:pPr>
        <w:tabs>
          <w:tab w:val="left" w:pos="1080"/>
        </w:tabs>
        <w:jc w:val="both"/>
        <w:rPr>
          <w:rFonts w:ascii="Arial" w:hAnsi="Arial" w:cs="Arial"/>
          <w:bCs/>
          <w:lang w:val="en-PH"/>
        </w:rPr>
      </w:pPr>
      <w:r w:rsidRPr="00234E5D">
        <w:rPr>
          <w:rFonts w:ascii="Arial" w:hAnsi="Arial" w:cs="Arial"/>
          <w:bCs/>
          <w:lang w:val="en-PH"/>
        </w:rPr>
        <w:t>The identified research gaps have several practical and policy implications for sustainable land-use and rural development.</w:t>
      </w:r>
    </w:p>
    <w:p w14:paraId="1BA8B239" w14:textId="156DD2D4" w:rsidR="00896C63" w:rsidRPr="00896C63" w:rsidRDefault="00896C63" w:rsidP="00896C63">
      <w:pPr>
        <w:pStyle w:val="ListParagraph"/>
        <w:numPr>
          <w:ilvl w:val="0"/>
          <w:numId w:val="34"/>
        </w:numPr>
        <w:tabs>
          <w:tab w:val="left" w:pos="1080"/>
        </w:tabs>
        <w:jc w:val="both"/>
        <w:rPr>
          <w:rFonts w:ascii="Arial" w:hAnsi="Arial" w:cs="Arial"/>
          <w:bCs/>
          <w:lang w:val="en-PH"/>
        </w:rPr>
      </w:pPr>
      <w:r w:rsidRPr="00896C63">
        <w:rPr>
          <w:rFonts w:ascii="Arial" w:hAnsi="Arial" w:cs="Arial"/>
          <w:b/>
          <w:bCs/>
        </w:rPr>
        <w:t>Policy and Governance</w:t>
      </w:r>
      <w:r w:rsidRPr="00896C63">
        <w:rPr>
          <w:rFonts w:ascii="Arial" w:hAnsi="Arial" w:cs="Arial"/>
          <w:b/>
        </w:rPr>
        <w:t xml:space="preserve"> – </w:t>
      </w:r>
      <w:r w:rsidRPr="00896C63">
        <w:rPr>
          <w:rFonts w:ascii="Arial" w:hAnsi="Arial" w:cs="Arial"/>
          <w:bCs/>
        </w:rPr>
        <w:t>Strengthening tenure security is imperative to incentivize long-term investments in agroforestry within CBFM areas. Policy reforms should extend tenure contracts, ensure transferability, and integrate livelihood-linked conditionality to balance conservation and community welfare. Multi-level governance alignment is needed to harmonize national forestry policies with local government plans and community initiatives. National agencies (e.g., DENR), local governments, people’s organizations, and civil society groups must coordinate through joint planning, financing, and monitoring platforms. International frameworks such as REDD+ and the SDGs can provide legitimacy, financing, and technical support. Without such vertical and horizontal alignment, regulatory inconsistencies and weak enforcement undermine both ecological and social outcomes.</w:t>
      </w:r>
    </w:p>
    <w:p w14:paraId="41796B7D" w14:textId="09D5369E" w:rsidR="00234E5D" w:rsidRPr="00A753D3" w:rsidRDefault="00234E5D" w:rsidP="00234E5D">
      <w:pPr>
        <w:pStyle w:val="ListParagraph"/>
        <w:numPr>
          <w:ilvl w:val="0"/>
          <w:numId w:val="34"/>
        </w:numPr>
        <w:tabs>
          <w:tab w:val="left" w:pos="1080"/>
        </w:tabs>
        <w:jc w:val="both"/>
        <w:rPr>
          <w:rFonts w:ascii="Arial" w:hAnsi="Arial" w:cs="Arial"/>
          <w:bCs/>
          <w:lang w:val="en-PH"/>
        </w:rPr>
      </w:pPr>
      <w:r w:rsidRPr="00A753D3">
        <w:rPr>
          <w:rFonts w:ascii="Arial" w:hAnsi="Arial" w:cs="Arial"/>
          <w:b/>
          <w:lang w:val="en-PH"/>
        </w:rPr>
        <w:t>Livelihood and Socio-Economic Development</w:t>
      </w:r>
      <w:r w:rsidRPr="00A753D3">
        <w:rPr>
          <w:rFonts w:ascii="Arial" w:hAnsi="Arial" w:cs="Arial"/>
          <w:bCs/>
          <w:lang w:val="en-PH"/>
        </w:rPr>
        <w:t xml:space="preserve"> – Addressing the socio-economic gaps highlighted in research is essential for equitable outcomes. Livelihood support programs, access to credit and markets, and technical extension services can facilitate wider adoption of agroforestry practices while enhancing the economic resilience of upland communities. Ensuring participation of women, youth, and marginalized groups will strengthen social inclusion and governance equity.</w:t>
      </w:r>
    </w:p>
    <w:p w14:paraId="6A1D6A35" w14:textId="4B56490A" w:rsidR="00234E5D" w:rsidRPr="00A753D3" w:rsidRDefault="00234E5D" w:rsidP="00234E5D">
      <w:pPr>
        <w:pStyle w:val="ListParagraph"/>
        <w:numPr>
          <w:ilvl w:val="0"/>
          <w:numId w:val="34"/>
        </w:numPr>
        <w:tabs>
          <w:tab w:val="left" w:pos="1080"/>
        </w:tabs>
        <w:jc w:val="both"/>
        <w:rPr>
          <w:rFonts w:ascii="Arial" w:hAnsi="Arial" w:cs="Arial"/>
          <w:bCs/>
          <w:lang w:val="en-PH"/>
        </w:rPr>
      </w:pPr>
      <w:r w:rsidRPr="00A753D3">
        <w:rPr>
          <w:rFonts w:ascii="Arial" w:hAnsi="Arial" w:cs="Arial"/>
          <w:b/>
          <w:lang w:val="en-PH"/>
        </w:rPr>
        <w:t>Environmental Sustainability and Climate Adaptation</w:t>
      </w:r>
      <w:r w:rsidRPr="00A753D3">
        <w:rPr>
          <w:rFonts w:ascii="Arial" w:hAnsi="Arial" w:cs="Arial"/>
          <w:bCs/>
          <w:lang w:val="en-PH"/>
        </w:rPr>
        <w:t xml:space="preserve"> – The integration of agroforestry and CBFM has the potential to enhance landscape-level ecological restoration, improve soil fertility, sequester carbon, and promote biodiversity. Empirical evidence on long-term outcomes will inform climate-smart land-use strategies and contribute to national commitments under the Paris Agreement and Sustainable Development Goals (SDGs), particularly SDG 15 (Life on Land) and SDG 13 (Climate Action).</w:t>
      </w:r>
    </w:p>
    <w:p w14:paraId="05805E41" w14:textId="2E1CE017" w:rsidR="00234E5D" w:rsidRPr="00A753D3" w:rsidRDefault="00234E5D" w:rsidP="00234E5D">
      <w:pPr>
        <w:pStyle w:val="ListParagraph"/>
        <w:numPr>
          <w:ilvl w:val="0"/>
          <w:numId w:val="34"/>
        </w:numPr>
        <w:tabs>
          <w:tab w:val="left" w:pos="1080"/>
        </w:tabs>
        <w:jc w:val="both"/>
        <w:rPr>
          <w:rFonts w:ascii="Arial" w:hAnsi="Arial" w:cs="Arial"/>
          <w:bCs/>
          <w:lang w:val="en-PH"/>
        </w:rPr>
      </w:pPr>
      <w:r w:rsidRPr="00A753D3">
        <w:rPr>
          <w:rFonts w:ascii="Arial" w:hAnsi="Arial" w:cs="Arial"/>
          <w:b/>
          <w:lang w:val="en-PH"/>
        </w:rPr>
        <w:t>Research and Knowledge Generation</w:t>
      </w:r>
      <w:r w:rsidRPr="00A753D3">
        <w:rPr>
          <w:rFonts w:ascii="Arial" w:hAnsi="Arial" w:cs="Arial"/>
          <w:bCs/>
          <w:lang w:val="en-PH"/>
        </w:rPr>
        <w:t xml:space="preserve"> – There is a critical need for interdisciplinary studies that bridge ecological, social, and governance dimensions. Longitudinal monitoring of agroforestry systems, participatory action research with communities, and evaluation of integrated agroforestry-CBFM models can generate actionable knowledge to guide policy and practice. Data-driven insights will allow scaling of sustainable land-use interventions while addressing both environmental and social objectives.</w:t>
      </w:r>
    </w:p>
    <w:p w14:paraId="5EBF9F9C" w14:textId="77777777" w:rsidR="00234E5D" w:rsidRPr="00A753D3" w:rsidRDefault="00234E5D" w:rsidP="00234E5D">
      <w:pPr>
        <w:pStyle w:val="ListParagraph"/>
        <w:tabs>
          <w:tab w:val="left" w:pos="1080"/>
        </w:tabs>
        <w:jc w:val="both"/>
        <w:rPr>
          <w:rFonts w:ascii="Arial" w:hAnsi="Arial" w:cs="Arial"/>
          <w:bCs/>
          <w:lang w:val="en-PH"/>
        </w:rPr>
      </w:pPr>
    </w:p>
    <w:p w14:paraId="28ACA5C7" w14:textId="77777777" w:rsidR="00234E5D" w:rsidRPr="00234E5D" w:rsidRDefault="00234E5D" w:rsidP="00234E5D">
      <w:pPr>
        <w:tabs>
          <w:tab w:val="left" w:pos="1080"/>
        </w:tabs>
        <w:jc w:val="both"/>
        <w:rPr>
          <w:rFonts w:ascii="Arial" w:hAnsi="Arial" w:cs="Arial"/>
          <w:bCs/>
          <w:lang w:val="en-PH"/>
        </w:rPr>
      </w:pPr>
      <w:r w:rsidRPr="00234E5D">
        <w:rPr>
          <w:rFonts w:ascii="Arial" w:hAnsi="Arial" w:cs="Arial"/>
          <w:bCs/>
          <w:lang w:val="en-PH"/>
        </w:rPr>
        <w:lastRenderedPageBreak/>
        <w:t>Overall, bridging these gaps will enable agroforestry and CBFM to function as complementary systems that simultaneously restore degraded landscapes, secure livelihoods, promote social justice, and build climate resilience. Strategic integration, supported by robust evidence and inclusive governance, is key to achieving sustainable land-use in the Philippine uplands and similar tropical contexts.</w:t>
      </w:r>
    </w:p>
    <w:p w14:paraId="521CCB81" w14:textId="77777777" w:rsidR="00234E5D" w:rsidRDefault="00234E5D" w:rsidP="00441B6F">
      <w:pPr>
        <w:tabs>
          <w:tab w:val="left" w:pos="1080"/>
        </w:tabs>
        <w:jc w:val="both"/>
        <w:rPr>
          <w:rFonts w:ascii="Arial" w:hAnsi="Arial"/>
          <w:b/>
        </w:rPr>
      </w:pPr>
    </w:p>
    <w:p w14:paraId="31AB966A" w14:textId="0D711C78" w:rsidR="00E053D0" w:rsidRDefault="00FF493B" w:rsidP="00FF493B">
      <w:pPr>
        <w:tabs>
          <w:tab w:val="left" w:pos="1080"/>
        </w:tabs>
        <w:jc w:val="both"/>
        <w:rPr>
          <w:rFonts w:ascii="Arial" w:hAnsi="Arial"/>
          <w:b/>
        </w:rPr>
      </w:pPr>
      <w:r>
        <w:rPr>
          <w:rFonts w:ascii="Arial" w:hAnsi="Arial"/>
          <w:b/>
        </w:rPr>
        <w:t>7. Conclusions</w:t>
      </w:r>
    </w:p>
    <w:p w14:paraId="58C493BD" w14:textId="50273DF7" w:rsidR="00790ADA" w:rsidRDefault="00CD28CF" w:rsidP="002764B1">
      <w:pPr>
        <w:tabs>
          <w:tab w:val="left" w:pos="1080"/>
        </w:tabs>
        <w:jc w:val="both"/>
        <w:rPr>
          <w:rFonts w:ascii="Arial" w:hAnsi="Arial" w:cs="Arial"/>
        </w:rPr>
      </w:pPr>
      <w:r w:rsidRPr="00CD28CF">
        <w:rPr>
          <w:rFonts w:ascii="Arial" w:hAnsi="Arial" w:cs="Arial"/>
        </w:rPr>
        <w:t xml:space="preserve">Agroforestry and Community-Based Forest Management (CBFM) offer complementary pathways for achieving sustainable land use by combining ecological restoration with participatory governance and social equity. This review demonstrates that agroforestry enhances soil health, nutrient cycling, microclimate regulation, and biodiversity, while CBFM provides institutional frameworks for community participation, tenure security, and equitable benefit-sharing. Despite their documented benefits, both systems face constraints, including tenure insecurity, limited financial and technical support, restrictive policies, and gaps in socio-economic and gender-inclusive outcomes. Integrating agroforestry practices within CBFM frameworks presents a promising strategy to simultaneously restore degraded lands, strengthen livelihoods, promote social justice, and enhance climate resilience. </w:t>
      </w:r>
      <w:r w:rsidR="002764B1" w:rsidRPr="002764B1">
        <w:rPr>
          <w:rFonts w:ascii="Arial" w:hAnsi="Arial" w:cs="Arial"/>
        </w:rPr>
        <w:t>Optimizing agroforestry</w:t>
      </w:r>
      <w:r w:rsidR="002764B1">
        <w:rPr>
          <w:rFonts w:ascii="Arial" w:hAnsi="Arial" w:cs="Arial"/>
        </w:rPr>
        <w:t xml:space="preserve"> </w:t>
      </w:r>
      <w:r w:rsidR="002764B1" w:rsidRPr="002764B1">
        <w:rPr>
          <w:rFonts w:ascii="Arial" w:hAnsi="Arial" w:cs="Arial"/>
        </w:rPr>
        <w:t>CBFM integration requires long-term monitoring, inclusive socio-economic assessments, participatory governance, and interdisciplinary research. Evidence-based policies and coordinated multi-level governance can maximize ecological, social, and economic outcomes, supporting sustainable, climate-resilient, and equitable upland development in the Philippines and other tropical regions.</w:t>
      </w:r>
    </w:p>
    <w:p w14:paraId="43BDE2F0" w14:textId="77777777" w:rsidR="002764B1" w:rsidRDefault="002764B1" w:rsidP="002764B1">
      <w:pPr>
        <w:tabs>
          <w:tab w:val="left" w:pos="1080"/>
        </w:tabs>
        <w:jc w:val="both"/>
        <w:rPr>
          <w:rFonts w:ascii="Arial" w:hAnsi="Arial" w:cs="Arial"/>
        </w:rPr>
      </w:pPr>
    </w:p>
    <w:p w14:paraId="0D9811CE" w14:textId="77777777" w:rsidR="00061305" w:rsidRPr="00061305" w:rsidRDefault="00061305" w:rsidP="00441B6F">
      <w:pPr>
        <w:pStyle w:val="Body"/>
        <w:spacing w:after="0"/>
        <w:rPr>
          <w:rFonts w:ascii="Arial" w:hAnsi="Arial" w:cs="Arial"/>
          <w:b/>
          <w:bCs/>
        </w:rPr>
      </w:pPr>
      <w:r w:rsidRPr="00061305">
        <w:rPr>
          <w:rFonts w:ascii="Arial" w:hAnsi="Arial" w:cs="Arial"/>
          <w:b/>
          <w:bCs/>
        </w:rPr>
        <w:t>DISCLAIMER (ARTIFICIAL INTELLIGENCE)</w:t>
      </w:r>
    </w:p>
    <w:p w14:paraId="317FB81C" w14:textId="57C29C35" w:rsidR="00061305" w:rsidRPr="00FB3A86" w:rsidRDefault="00061305" w:rsidP="00441B6F">
      <w:pPr>
        <w:pStyle w:val="Body"/>
        <w:spacing w:after="0"/>
        <w:rPr>
          <w:rFonts w:ascii="Arial" w:hAnsi="Arial" w:cs="Arial"/>
        </w:rPr>
      </w:pPr>
      <w:r w:rsidRPr="00061305">
        <w:rPr>
          <w:rFonts w:ascii="Arial" w:hAnsi="Arial" w:cs="Arial"/>
        </w:rPr>
        <w:t>Author(s) hereby declares that NO generative AI technologies such as Large</w:t>
      </w:r>
      <w:r>
        <w:rPr>
          <w:rFonts w:ascii="Arial" w:hAnsi="Arial" w:cs="Arial"/>
        </w:rPr>
        <w:t xml:space="preserve"> </w:t>
      </w:r>
      <w:r w:rsidRPr="00061305">
        <w:rPr>
          <w:rFonts w:ascii="Arial" w:hAnsi="Arial" w:cs="Arial"/>
        </w:rPr>
        <w:t>Language Models (ChatGPT, COPILOT, etc.)   and   text-to-image generators have been used during the writing or editing of this manuscript.</w:t>
      </w:r>
    </w:p>
    <w:p w14:paraId="5BB7674D" w14:textId="77777777" w:rsidR="00315186" w:rsidRPr="00315186" w:rsidRDefault="00315186" w:rsidP="00441B6F"/>
    <w:p w14:paraId="18C3F321" w14:textId="77777777" w:rsidR="00860000" w:rsidRDefault="00860000" w:rsidP="00441B6F">
      <w:pPr>
        <w:pStyle w:val="ReferHead"/>
        <w:spacing w:after="0"/>
        <w:jc w:val="both"/>
        <w:rPr>
          <w:rFonts w:ascii="Arial" w:hAnsi="Arial" w:cs="Arial"/>
        </w:rPr>
      </w:pPr>
    </w:p>
    <w:p w14:paraId="092B24B8" w14:textId="089DC635" w:rsidR="00DF2E4E" w:rsidRDefault="00B01FCD" w:rsidP="00DF2E4E">
      <w:pPr>
        <w:pStyle w:val="ReferHead"/>
        <w:spacing w:after="0"/>
        <w:jc w:val="both"/>
        <w:rPr>
          <w:rFonts w:ascii="Arial" w:hAnsi="Arial" w:cs="Arial"/>
        </w:rPr>
      </w:pPr>
      <w:r w:rsidRPr="00FB3A86">
        <w:rPr>
          <w:rFonts w:ascii="Arial" w:hAnsi="Arial" w:cs="Arial"/>
        </w:rPr>
        <w:t>References</w:t>
      </w:r>
    </w:p>
    <w:p w14:paraId="3D060778" w14:textId="77777777" w:rsidR="00392E98" w:rsidRDefault="00392E98" w:rsidP="00392E98">
      <w:pPr>
        <w:pStyle w:val="Body"/>
        <w:spacing w:after="0"/>
      </w:pPr>
    </w:p>
    <w:p w14:paraId="7C99C5CA" w14:textId="77777777" w:rsidR="00E3763D" w:rsidRPr="00F459F7" w:rsidRDefault="00E3763D" w:rsidP="00E3763D">
      <w:pPr>
        <w:pStyle w:val="Body"/>
        <w:spacing w:after="0"/>
        <w:rPr>
          <w:color w:val="000000" w:themeColor="text1"/>
        </w:rPr>
      </w:pPr>
      <w:r w:rsidRPr="00F459F7">
        <w:rPr>
          <w:rFonts w:ascii="Arial" w:hAnsi="Arial" w:cs="Arial"/>
          <w:color w:val="000000" w:themeColor="text1"/>
          <w:lang w:val="en-PH"/>
        </w:rPr>
        <w:t xml:space="preserve">Asio, V. B., Jahn, R., Perez, F. O., Navarrete, I. A., &amp; </w:t>
      </w:r>
      <w:proofErr w:type="spellStart"/>
      <w:r w:rsidRPr="00F459F7">
        <w:rPr>
          <w:rFonts w:ascii="Arial" w:hAnsi="Arial" w:cs="Arial"/>
          <w:color w:val="000000" w:themeColor="text1"/>
          <w:lang w:val="en-PH"/>
        </w:rPr>
        <w:t>Abit</w:t>
      </w:r>
      <w:proofErr w:type="spellEnd"/>
      <w:r w:rsidRPr="00F459F7">
        <w:rPr>
          <w:rFonts w:ascii="Arial" w:hAnsi="Arial" w:cs="Arial"/>
          <w:color w:val="000000" w:themeColor="text1"/>
          <w:lang w:val="en-PH"/>
        </w:rPr>
        <w:t xml:space="preserve"> Jr., S. M. (2009). A review of soil degradation in the Philippines. </w:t>
      </w:r>
      <w:r w:rsidRPr="00F459F7">
        <w:rPr>
          <w:rFonts w:ascii="Arial" w:hAnsi="Arial" w:cs="Arial"/>
          <w:i/>
          <w:iCs/>
          <w:color w:val="000000" w:themeColor="text1"/>
          <w:lang w:val="en-PH"/>
        </w:rPr>
        <w:t>Annals of Tropical Research, 31</w:t>
      </w:r>
      <w:r w:rsidRPr="00F459F7">
        <w:rPr>
          <w:rFonts w:ascii="Arial" w:hAnsi="Arial" w:cs="Arial"/>
          <w:color w:val="000000" w:themeColor="text1"/>
          <w:lang w:val="en-PH"/>
        </w:rPr>
        <w:t xml:space="preserve">(2), 69–94. </w:t>
      </w:r>
      <w:hyperlink r:id="rId14" w:tgtFrame="_new" w:history="1">
        <w:r w:rsidRPr="00F459F7">
          <w:rPr>
            <w:rStyle w:val="Hyperlink"/>
            <w:rFonts w:ascii="Arial" w:hAnsi="Arial" w:cs="Arial"/>
            <w:color w:val="000000" w:themeColor="text1"/>
            <w:u w:val="none"/>
            <w:lang w:val="en-PH"/>
          </w:rPr>
          <w:t>https://doi.org/10.32945/atr3124.2009</w:t>
        </w:r>
      </w:hyperlink>
    </w:p>
    <w:p w14:paraId="32D205DA" w14:textId="77777777" w:rsidR="00E3763D" w:rsidRPr="00F459F7" w:rsidRDefault="00E3763D" w:rsidP="00E3763D">
      <w:pPr>
        <w:pStyle w:val="Body"/>
        <w:spacing w:after="0"/>
        <w:rPr>
          <w:rFonts w:ascii="Arial" w:hAnsi="Arial" w:cs="Arial"/>
          <w:color w:val="000000" w:themeColor="text1"/>
        </w:rPr>
      </w:pPr>
    </w:p>
    <w:p w14:paraId="3245CA99" w14:textId="77777777" w:rsidR="00E3763D" w:rsidRPr="00F459F7" w:rsidRDefault="00E3763D" w:rsidP="00E3763D">
      <w:pPr>
        <w:pStyle w:val="Body"/>
        <w:spacing w:after="0"/>
        <w:rPr>
          <w:color w:val="000000" w:themeColor="text1"/>
        </w:rPr>
      </w:pPr>
      <w:r w:rsidRPr="00F459F7">
        <w:rPr>
          <w:rFonts w:ascii="Arial" w:hAnsi="Arial" w:cs="Arial"/>
          <w:color w:val="000000" w:themeColor="text1"/>
          <w:lang w:val="en-PH"/>
        </w:rPr>
        <w:t xml:space="preserve">Baliton, R. S., Landicho, L. D., Cabahug, R. E. D., </w:t>
      </w:r>
      <w:proofErr w:type="spellStart"/>
      <w:r w:rsidRPr="00F459F7">
        <w:rPr>
          <w:rFonts w:ascii="Arial" w:hAnsi="Arial" w:cs="Arial"/>
          <w:color w:val="000000" w:themeColor="text1"/>
          <w:lang w:val="en-PH"/>
        </w:rPr>
        <w:t>Paelmo</w:t>
      </w:r>
      <w:proofErr w:type="spellEnd"/>
      <w:r w:rsidRPr="00F459F7">
        <w:rPr>
          <w:rFonts w:ascii="Arial" w:hAnsi="Arial" w:cs="Arial"/>
          <w:color w:val="000000" w:themeColor="text1"/>
          <w:lang w:val="en-PH"/>
        </w:rPr>
        <w:t xml:space="preserve">, R. F., </w:t>
      </w:r>
      <w:proofErr w:type="spellStart"/>
      <w:r w:rsidRPr="00F459F7">
        <w:rPr>
          <w:rFonts w:ascii="Arial" w:hAnsi="Arial" w:cs="Arial"/>
          <w:color w:val="000000" w:themeColor="text1"/>
          <w:lang w:val="en-PH"/>
        </w:rPr>
        <w:t>Laruan</w:t>
      </w:r>
      <w:proofErr w:type="spellEnd"/>
      <w:r w:rsidRPr="00F459F7">
        <w:rPr>
          <w:rFonts w:ascii="Arial" w:hAnsi="Arial" w:cs="Arial"/>
          <w:color w:val="000000" w:themeColor="text1"/>
          <w:lang w:val="en-PH"/>
        </w:rPr>
        <w:t xml:space="preserve">, K. A., Rodriguez, R. S., Visco, R. G., &amp; Castillo, A. K. A. (2020). Ecological services of agroforestry systems in selected upland farming communities in the Philippines. </w:t>
      </w:r>
      <w:proofErr w:type="spellStart"/>
      <w:r w:rsidRPr="00F459F7">
        <w:rPr>
          <w:rFonts w:ascii="Arial" w:hAnsi="Arial" w:cs="Arial"/>
          <w:i/>
          <w:iCs/>
          <w:color w:val="000000" w:themeColor="text1"/>
          <w:lang w:val="en-PH"/>
        </w:rPr>
        <w:t>Biodiversitas</w:t>
      </w:r>
      <w:proofErr w:type="spellEnd"/>
      <w:r w:rsidRPr="00F459F7">
        <w:rPr>
          <w:rFonts w:ascii="Arial" w:hAnsi="Arial" w:cs="Arial"/>
          <w:i/>
          <w:iCs/>
          <w:color w:val="000000" w:themeColor="text1"/>
          <w:lang w:val="en-PH"/>
        </w:rPr>
        <w:t>: Journal of Biological Diversity, 21</w:t>
      </w:r>
      <w:r w:rsidRPr="00F459F7">
        <w:rPr>
          <w:rFonts w:ascii="Arial" w:hAnsi="Arial" w:cs="Arial"/>
          <w:color w:val="000000" w:themeColor="text1"/>
          <w:lang w:val="en-PH"/>
        </w:rPr>
        <w:t xml:space="preserve">(2), 707–717. </w:t>
      </w:r>
      <w:hyperlink r:id="rId15" w:tgtFrame="_new" w:history="1">
        <w:r w:rsidRPr="00F459F7">
          <w:rPr>
            <w:rStyle w:val="Hyperlink"/>
            <w:rFonts w:ascii="Arial" w:hAnsi="Arial" w:cs="Arial"/>
            <w:color w:val="000000" w:themeColor="text1"/>
            <w:u w:val="none"/>
            <w:lang w:val="en-PH"/>
          </w:rPr>
          <w:t>https://doi.org/10.13057/biodiv/d210237</w:t>
        </w:r>
      </w:hyperlink>
    </w:p>
    <w:p w14:paraId="6C6AE340" w14:textId="77777777" w:rsidR="00E3763D" w:rsidRPr="00F459F7" w:rsidRDefault="00E3763D" w:rsidP="00E3763D">
      <w:pPr>
        <w:pStyle w:val="Body"/>
        <w:spacing w:after="0"/>
        <w:rPr>
          <w:rFonts w:ascii="Arial" w:hAnsi="Arial" w:cs="Arial"/>
          <w:color w:val="000000" w:themeColor="text1"/>
        </w:rPr>
      </w:pPr>
    </w:p>
    <w:p w14:paraId="3A7A1EEF" w14:textId="77777777" w:rsidR="00E3763D" w:rsidRPr="00F459F7" w:rsidRDefault="00E3763D" w:rsidP="00E3763D">
      <w:pPr>
        <w:pStyle w:val="Body"/>
        <w:spacing w:after="0"/>
        <w:rPr>
          <w:color w:val="000000" w:themeColor="text1"/>
        </w:rPr>
      </w:pPr>
      <w:proofErr w:type="spellStart"/>
      <w:r w:rsidRPr="00F459F7">
        <w:rPr>
          <w:rFonts w:ascii="Arial" w:hAnsi="Arial" w:cs="Arial"/>
          <w:color w:val="000000" w:themeColor="text1"/>
          <w:lang w:val="en-PH"/>
        </w:rPr>
        <w:t>Beillouin</w:t>
      </w:r>
      <w:proofErr w:type="spellEnd"/>
      <w:r w:rsidRPr="00F459F7">
        <w:rPr>
          <w:rFonts w:ascii="Arial" w:hAnsi="Arial" w:cs="Arial"/>
          <w:color w:val="000000" w:themeColor="text1"/>
          <w:lang w:val="en-PH"/>
        </w:rPr>
        <w:t xml:space="preserve">, D., Ben-Ari, T., &amp; Makowski, D. (2021). Evidence map of crop diversification strategies at the global scale. </w:t>
      </w:r>
      <w:r w:rsidRPr="00F459F7">
        <w:rPr>
          <w:rFonts w:ascii="Arial" w:hAnsi="Arial" w:cs="Arial"/>
          <w:i/>
          <w:iCs/>
          <w:color w:val="000000" w:themeColor="text1"/>
          <w:lang w:val="en-PH"/>
        </w:rPr>
        <w:t>Environmental Research Letters, 16</w:t>
      </w:r>
      <w:r w:rsidRPr="00F459F7">
        <w:rPr>
          <w:rFonts w:ascii="Arial" w:hAnsi="Arial" w:cs="Arial"/>
          <w:color w:val="000000" w:themeColor="text1"/>
          <w:lang w:val="en-PH"/>
        </w:rPr>
        <w:t xml:space="preserve">(12), 947–955. </w:t>
      </w:r>
      <w:hyperlink r:id="rId16" w:tgtFrame="_new" w:history="1">
        <w:r w:rsidRPr="00F459F7">
          <w:rPr>
            <w:rStyle w:val="Hyperlink"/>
            <w:rFonts w:ascii="Arial" w:hAnsi="Arial" w:cs="Arial"/>
            <w:color w:val="000000" w:themeColor="text1"/>
            <w:u w:val="none"/>
            <w:lang w:val="en-PH"/>
          </w:rPr>
          <w:t>https://doi.org/10.1088/1748-9326/ab4449</w:t>
        </w:r>
      </w:hyperlink>
    </w:p>
    <w:p w14:paraId="2F01BAC6" w14:textId="77777777" w:rsidR="00E3763D" w:rsidRPr="00F459F7" w:rsidRDefault="00E3763D" w:rsidP="00E3763D">
      <w:pPr>
        <w:pStyle w:val="Body"/>
        <w:spacing w:after="0"/>
        <w:rPr>
          <w:rFonts w:ascii="Arial" w:hAnsi="Arial" w:cs="Arial"/>
          <w:color w:val="000000" w:themeColor="text1"/>
        </w:rPr>
      </w:pPr>
    </w:p>
    <w:p w14:paraId="7A017802" w14:textId="77777777" w:rsidR="00E3763D" w:rsidRPr="00F459F7" w:rsidRDefault="00E3763D" w:rsidP="00E3763D">
      <w:pPr>
        <w:pStyle w:val="Body"/>
        <w:spacing w:after="0"/>
        <w:rPr>
          <w:color w:val="000000" w:themeColor="text1"/>
        </w:rPr>
      </w:pPr>
      <w:r w:rsidRPr="00F459F7">
        <w:rPr>
          <w:rFonts w:ascii="Arial" w:hAnsi="Arial" w:cs="Arial"/>
          <w:color w:val="000000" w:themeColor="text1"/>
          <w:lang w:val="en-PH"/>
        </w:rPr>
        <w:t xml:space="preserve">Executive Order No. 263. (1995). </w:t>
      </w:r>
      <w:r w:rsidRPr="00F459F7">
        <w:rPr>
          <w:rFonts w:ascii="Arial" w:hAnsi="Arial" w:cs="Arial"/>
          <w:i/>
          <w:iCs/>
          <w:color w:val="000000" w:themeColor="text1"/>
          <w:lang w:val="en-PH"/>
        </w:rPr>
        <w:t xml:space="preserve">Executive Order No. 263: </w:t>
      </w:r>
      <w:r w:rsidRPr="00F459F7">
        <w:rPr>
          <w:rFonts w:ascii="Arial" w:hAnsi="Arial" w:cs="Arial"/>
          <w:color w:val="000000" w:themeColor="text1"/>
          <w:lang w:val="en-PH"/>
        </w:rPr>
        <w:t xml:space="preserve">Adopting community-based forest management as the national strategy to ensure the sustainable development of the country's forestlands resources and providing mechanisms for its implementation. </w:t>
      </w:r>
      <w:r w:rsidRPr="00F459F7">
        <w:rPr>
          <w:rFonts w:ascii="Arial" w:hAnsi="Arial" w:cs="Arial"/>
          <w:i/>
          <w:iCs/>
          <w:color w:val="000000" w:themeColor="text1"/>
          <w:lang w:val="en-PH"/>
        </w:rPr>
        <w:t>Official Gazette</w:t>
      </w:r>
      <w:r w:rsidRPr="00F459F7">
        <w:rPr>
          <w:rFonts w:ascii="Arial" w:hAnsi="Arial" w:cs="Arial"/>
          <w:color w:val="000000" w:themeColor="text1"/>
          <w:lang w:val="en-PH"/>
        </w:rPr>
        <w:t xml:space="preserve">. </w:t>
      </w:r>
      <w:hyperlink r:id="rId17" w:tgtFrame="_new" w:history="1">
        <w:r w:rsidRPr="00F459F7">
          <w:rPr>
            <w:rStyle w:val="Hyperlink"/>
            <w:rFonts w:ascii="Arial" w:hAnsi="Arial" w:cs="Arial"/>
            <w:color w:val="000000" w:themeColor="text1"/>
            <w:u w:val="none"/>
            <w:lang w:val="en-PH"/>
          </w:rPr>
          <w:t>https://lawphil.net/executive/execord/eo1995/eo_263_1995.html</w:t>
        </w:r>
      </w:hyperlink>
    </w:p>
    <w:p w14:paraId="3CBD211C" w14:textId="77777777" w:rsidR="00E3763D" w:rsidRPr="00F459F7" w:rsidRDefault="00E3763D" w:rsidP="00E3763D">
      <w:pPr>
        <w:pStyle w:val="Body"/>
        <w:spacing w:after="0"/>
        <w:rPr>
          <w:rFonts w:ascii="Arial" w:hAnsi="Arial" w:cs="Arial"/>
          <w:color w:val="000000" w:themeColor="text1"/>
        </w:rPr>
      </w:pPr>
    </w:p>
    <w:p w14:paraId="2565E5FB" w14:textId="77777777" w:rsidR="00E3763D" w:rsidRPr="00F459F7" w:rsidRDefault="00E3763D" w:rsidP="00E3763D">
      <w:pPr>
        <w:pStyle w:val="Body"/>
        <w:spacing w:after="0"/>
        <w:rPr>
          <w:color w:val="000000" w:themeColor="text1"/>
        </w:rPr>
      </w:pPr>
      <w:r w:rsidRPr="00F459F7">
        <w:rPr>
          <w:rFonts w:ascii="Arial" w:hAnsi="Arial" w:cs="Arial"/>
          <w:color w:val="000000" w:themeColor="text1"/>
          <w:lang w:val="en-PH"/>
        </w:rPr>
        <w:t xml:space="preserve">Fahad, S., Chavan, S. B., </w:t>
      </w:r>
      <w:proofErr w:type="spellStart"/>
      <w:r w:rsidRPr="00F459F7">
        <w:rPr>
          <w:rFonts w:ascii="Arial" w:hAnsi="Arial" w:cs="Arial"/>
          <w:color w:val="000000" w:themeColor="text1"/>
          <w:lang w:val="en-PH"/>
        </w:rPr>
        <w:t>Chichaghare</w:t>
      </w:r>
      <w:proofErr w:type="spellEnd"/>
      <w:r w:rsidRPr="00F459F7">
        <w:rPr>
          <w:rFonts w:ascii="Arial" w:hAnsi="Arial" w:cs="Arial"/>
          <w:color w:val="000000" w:themeColor="text1"/>
          <w:lang w:val="en-PH"/>
        </w:rPr>
        <w:t xml:space="preserve">, A. R., Uthappa, A. R., Kumar, M., Kakade, V., Pradhan, A., Jinger, D., </w:t>
      </w:r>
      <w:proofErr w:type="spellStart"/>
      <w:r w:rsidRPr="00F459F7">
        <w:rPr>
          <w:rFonts w:ascii="Arial" w:hAnsi="Arial" w:cs="Arial"/>
          <w:color w:val="000000" w:themeColor="text1"/>
          <w:lang w:val="en-PH"/>
        </w:rPr>
        <w:t>Rawale</w:t>
      </w:r>
      <w:proofErr w:type="spellEnd"/>
      <w:r w:rsidRPr="00F459F7">
        <w:rPr>
          <w:rFonts w:ascii="Arial" w:hAnsi="Arial" w:cs="Arial"/>
          <w:color w:val="000000" w:themeColor="text1"/>
          <w:lang w:val="en-PH"/>
        </w:rPr>
        <w:t xml:space="preserve">, G., Yadav, D. K., Kumar, V., Farooq, T. H., Ali, B., Sawant, A. V., Saud, S., Chen, S., &amp; </w:t>
      </w:r>
      <w:proofErr w:type="spellStart"/>
      <w:r w:rsidRPr="00F459F7">
        <w:rPr>
          <w:rFonts w:ascii="Arial" w:hAnsi="Arial" w:cs="Arial"/>
          <w:color w:val="000000" w:themeColor="text1"/>
          <w:lang w:val="en-PH"/>
        </w:rPr>
        <w:t>Poczai</w:t>
      </w:r>
      <w:proofErr w:type="spellEnd"/>
      <w:r w:rsidRPr="00F459F7">
        <w:rPr>
          <w:rFonts w:ascii="Arial" w:hAnsi="Arial" w:cs="Arial"/>
          <w:color w:val="000000" w:themeColor="text1"/>
          <w:lang w:val="en-PH"/>
        </w:rPr>
        <w:t xml:space="preserve">, P. (2022). Agroforestry systems for soil health </w:t>
      </w:r>
      <w:r w:rsidRPr="00F459F7">
        <w:rPr>
          <w:rFonts w:ascii="Arial" w:hAnsi="Arial" w:cs="Arial"/>
          <w:color w:val="000000" w:themeColor="text1"/>
          <w:lang w:val="en-PH"/>
        </w:rPr>
        <w:lastRenderedPageBreak/>
        <w:t xml:space="preserve">improvement and maintenance. </w:t>
      </w:r>
      <w:r w:rsidRPr="00F459F7">
        <w:rPr>
          <w:rFonts w:ascii="Arial" w:hAnsi="Arial" w:cs="Arial"/>
          <w:i/>
          <w:iCs/>
          <w:color w:val="000000" w:themeColor="text1"/>
          <w:lang w:val="en-PH"/>
        </w:rPr>
        <w:t>Sustainability, 14</w:t>
      </w:r>
      <w:r w:rsidRPr="00F459F7">
        <w:rPr>
          <w:rFonts w:ascii="Arial" w:hAnsi="Arial" w:cs="Arial"/>
          <w:color w:val="000000" w:themeColor="text1"/>
          <w:lang w:val="en-PH"/>
        </w:rPr>
        <w:t xml:space="preserve">(22), 14877. </w:t>
      </w:r>
      <w:hyperlink r:id="rId18" w:tgtFrame="_new" w:history="1">
        <w:r w:rsidRPr="00F459F7">
          <w:rPr>
            <w:rStyle w:val="Hyperlink"/>
            <w:rFonts w:ascii="Arial" w:hAnsi="Arial" w:cs="Arial"/>
            <w:color w:val="000000" w:themeColor="text1"/>
            <w:u w:val="none"/>
            <w:lang w:val="en-PH"/>
          </w:rPr>
          <w:t>https://doi.org/10.3390/su142214877</w:t>
        </w:r>
      </w:hyperlink>
    </w:p>
    <w:p w14:paraId="6ADC72FF" w14:textId="77777777" w:rsidR="00E3763D" w:rsidRPr="00F459F7" w:rsidRDefault="00E3763D" w:rsidP="00E3763D">
      <w:pPr>
        <w:pStyle w:val="Body"/>
        <w:spacing w:after="0"/>
        <w:rPr>
          <w:rFonts w:ascii="Arial" w:hAnsi="Arial" w:cs="Arial"/>
          <w:color w:val="000000" w:themeColor="text1"/>
        </w:rPr>
      </w:pPr>
    </w:p>
    <w:p w14:paraId="51348E65" w14:textId="77777777" w:rsidR="00E3763D" w:rsidRPr="00F459F7" w:rsidRDefault="00E3763D" w:rsidP="00E3763D">
      <w:pPr>
        <w:pStyle w:val="Body"/>
        <w:spacing w:after="0"/>
        <w:rPr>
          <w:color w:val="000000" w:themeColor="text1"/>
        </w:rPr>
      </w:pPr>
      <w:r w:rsidRPr="00F459F7">
        <w:rPr>
          <w:rFonts w:ascii="Arial" w:hAnsi="Arial" w:cs="Arial"/>
          <w:color w:val="000000" w:themeColor="text1"/>
          <w:lang w:val="en-PH"/>
        </w:rPr>
        <w:t xml:space="preserve">Food and Agriculture Organization of the United Nations. (2015). </w:t>
      </w:r>
      <w:r w:rsidRPr="00F459F7">
        <w:rPr>
          <w:rFonts w:ascii="Arial" w:hAnsi="Arial" w:cs="Arial"/>
          <w:i/>
          <w:iCs/>
          <w:color w:val="000000" w:themeColor="text1"/>
          <w:lang w:val="en-PH"/>
        </w:rPr>
        <w:t>Status of the world’s soil resources (SWSR)</w:t>
      </w:r>
      <w:r w:rsidRPr="00F459F7">
        <w:rPr>
          <w:rFonts w:ascii="Arial" w:hAnsi="Arial" w:cs="Arial"/>
          <w:color w:val="000000" w:themeColor="text1"/>
          <w:lang w:val="en-PH"/>
        </w:rPr>
        <w:t xml:space="preserve">. FAO. </w:t>
      </w:r>
      <w:hyperlink r:id="rId19" w:tgtFrame="_new" w:history="1">
        <w:r w:rsidRPr="00F459F7">
          <w:rPr>
            <w:rStyle w:val="Hyperlink"/>
            <w:rFonts w:ascii="Arial" w:hAnsi="Arial" w:cs="Arial"/>
            <w:color w:val="000000" w:themeColor="text1"/>
            <w:u w:val="none"/>
            <w:lang w:val="en-PH"/>
          </w:rPr>
          <w:t>https://openknowledge.fao.org/server/api/core/bitstreams/6ec24d75-19bd-4f1f-b1c5-5becf50d0871/content</w:t>
        </w:r>
      </w:hyperlink>
    </w:p>
    <w:p w14:paraId="4C83E46C" w14:textId="77777777" w:rsidR="00E3763D" w:rsidRPr="00F459F7" w:rsidRDefault="00E3763D" w:rsidP="00E3763D">
      <w:pPr>
        <w:pStyle w:val="Body"/>
        <w:spacing w:after="0"/>
        <w:rPr>
          <w:rFonts w:ascii="Arial" w:hAnsi="Arial" w:cs="Arial"/>
          <w:color w:val="000000" w:themeColor="text1"/>
        </w:rPr>
      </w:pPr>
    </w:p>
    <w:p w14:paraId="6847AC14" w14:textId="77777777" w:rsidR="00E3763D" w:rsidRPr="00F459F7" w:rsidRDefault="00E3763D" w:rsidP="00E3763D">
      <w:pPr>
        <w:pStyle w:val="Body"/>
        <w:spacing w:after="0"/>
        <w:rPr>
          <w:color w:val="000000" w:themeColor="text1"/>
        </w:rPr>
      </w:pPr>
      <w:r w:rsidRPr="00F459F7">
        <w:rPr>
          <w:rFonts w:ascii="Arial" w:hAnsi="Arial" w:cs="Arial"/>
          <w:color w:val="000000" w:themeColor="text1"/>
          <w:lang w:val="en-PH"/>
        </w:rPr>
        <w:t xml:space="preserve">Isaac, M. E., &amp; Borden, K. A. (2019). Nutrient acquisition strategies in agroforestry systems. </w:t>
      </w:r>
      <w:r w:rsidRPr="00F459F7">
        <w:rPr>
          <w:rFonts w:ascii="Arial" w:hAnsi="Arial" w:cs="Arial"/>
          <w:i/>
          <w:iCs/>
          <w:color w:val="000000" w:themeColor="text1"/>
          <w:lang w:val="en-PH"/>
        </w:rPr>
        <w:t>Plant and Soil, 444</w:t>
      </w:r>
      <w:r w:rsidRPr="00F459F7">
        <w:rPr>
          <w:rFonts w:ascii="Arial" w:hAnsi="Arial" w:cs="Arial"/>
          <w:color w:val="000000" w:themeColor="text1"/>
          <w:lang w:val="en-PH"/>
        </w:rPr>
        <w:t xml:space="preserve">, 1–19. </w:t>
      </w:r>
      <w:hyperlink r:id="rId20" w:tgtFrame="_new" w:history="1">
        <w:r w:rsidRPr="00F459F7">
          <w:rPr>
            <w:rStyle w:val="Hyperlink"/>
            <w:rFonts w:ascii="Arial" w:hAnsi="Arial" w:cs="Arial"/>
            <w:color w:val="000000" w:themeColor="text1"/>
            <w:u w:val="none"/>
            <w:lang w:val="en-PH"/>
          </w:rPr>
          <w:t>https://doi.org/10.1007/s11104-019-04232-5</w:t>
        </w:r>
      </w:hyperlink>
    </w:p>
    <w:p w14:paraId="50DCEA35" w14:textId="77777777" w:rsidR="00E3763D" w:rsidRPr="00F459F7" w:rsidRDefault="00E3763D" w:rsidP="00E3763D">
      <w:pPr>
        <w:pStyle w:val="Body"/>
        <w:spacing w:after="0"/>
        <w:rPr>
          <w:rFonts w:ascii="Arial" w:hAnsi="Arial" w:cs="Arial"/>
          <w:color w:val="000000" w:themeColor="text1"/>
        </w:rPr>
      </w:pPr>
    </w:p>
    <w:p w14:paraId="20A170FB" w14:textId="77777777" w:rsidR="00E3763D" w:rsidRPr="00F459F7" w:rsidRDefault="00E3763D" w:rsidP="00E3763D">
      <w:pPr>
        <w:pStyle w:val="Body"/>
        <w:spacing w:after="0"/>
        <w:rPr>
          <w:color w:val="000000" w:themeColor="text1"/>
        </w:rPr>
      </w:pPr>
      <w:r w:rsidRPr="00F459F7">
        <w:rPr>
          <w:rFonts w:ascii="Arial" w:hAnsi="Arial" w:cs="Arial"/>
          <w:color w:val="000000" w:themeColor="text1"/>
          <w:lang w:val="en-PH"/>
        </w:rPr>
        <w:t xml:space="preserve">Islam, K. K., Saifullah, M., Mahboob, M. G., Jewel, K. N.-E.-A., Ashraf, S. M. K., &amp; </w:t>
      </w:r>
      <w:proofErr w:type="spellStart"/>
      <w:r w:rsidRPr="00F459F7">
        <w:rPr>
          <w:rFonts w:ascii="Arial" w:hAnsi="Arial" w:cs="Arial"/>
          <w:color w:val="000000" w:themeColor="text1"/>
          <w:lang w:val="en-PH"/>
        </w:rPr>
        <w:t>Hyakumura</w:t>
      </w:r>
      <w:proofErr w:type="spellEnd"/>
      <w:r w:rsidRPr="00F459F7">
        <w:rPr>
          <w:rFonts w:ascii="Arial" w:hAnsi="Arial" w:cs="Arial"/>
          <w:color w:val="000000" w:themeColor="text1"/>
          <w:lang w:val="en-PH"/>
        </w:rPr>
        <w:t xml:space="preserve">, K. (2024). Restoring soil fertility, productivity and biodiversity through participatory agroforestry: Evidence from Madhupur Sal Forest, Bangladesh. </w:t>
      </w:r>
      <w:r w:rsidRPr="00F459F7">
        <w:rPr>
          <w:rFonts w:ascii="Arial" w:hAnsi="Arial" w:cs="Arial"/>
          <w:i/>
          <w:iCs/>
          <w:color w:val="000000" w:themeColor="text1"/>
          <w:lang w:val="en-PH"/>
        </w:rPr>
        <w:t>Land, 13</w:t>
      </w:r>
      <w:r w:rsidRPr="00F459F7">
        <w:rPr>
          <w:rFonts w:ascii="Arial" w:hAnsi="Arial" w:cs="Arial"/>
          <w:color w:val="000000" w:themeColor="text1"/>
          <w:lang w:val="en-PH"/>
        </w:rPr>
        <w:t xml:space="preserve">(3), 326. </w:t>
      </w:r>
      <w:hyperlink r:id="rId21" w:tgtFrame="_new" w:history="1">
        <w:r w:rsidRPr="00F459F7">
          <w:rPr>
            <w:rStyle w:val="Hyperlink"/>
            <w:rFonts w:ascii="Arial" w:hAnsi="Arial" w:cs="Arial"/>
            <w:color w:val="000000" w:themeColor="text1"/>
            <w:u w:val="none"/>
            <w:lang w:val="en-PH"/>
          </w:rPr>
          <w:t>https://doi.org/10.3390/land13030326</w:t>
        </w:r>
      </w:hyperlink>
    </w:p>
    <w:p w14:paraId="32BF715C" w14:textId="77777777" w:rsidR="00E3763D" w:rsidRPr="00F459F7" w:rsidRDefault="00E3763D" w:rsidP="00E3763D">
      <w:pPr>
        <w:pStyle w:val="Body"/>
        <w:spacing w:after="0"/>
        <w:rPr>
          <w:rFonts w:ascii="Arial" w:hAnsi="Arial" w:cs="Arial"/>
          <w:color w:val="000000" w:themeColor="text1"/>
        </w:rPr>
      </w:pPr>
    </w:p>
    <w:p w14:paraId="6C780E5E" w14:textId="77777777" w:rsidR="00E3763D" w:rsidRPr="00F459F7" w:rsidRDefault="00E3763D" w:rsidP="00E3763D">
      <w:pPr>
        <w:pStyle w:val="Body"/>
        <w:spacing w:after="0"/>
        <w:rPr>
          <w:color w:val="000000" w:themeColor="text1"/>
        </w:rPr>
      </w:pPr>
      <w:r w:rsidRPr="00F459F7">
        <w:rPr>
          <w:rFonts w:ascii="Arial" w:hAnsi="Arial" w:cs="Arial"/>
          <w:color w:val="000000" w:themeColor="text1"/>
          <w:lang w:val="en-PH"/>
        </w:rPr>
        <w:t xml:space="preserve">Jose, S. (2009). Agroforestry for ecosystem services and environmental benefits: An overview. </w:t>
      </w:r>
      <w:r w:rsidRPr="00F459F7">
        <w:rPr>
          <w:rFonts w:ascii="Arial" w:hAnsi="Arial" w:cs="Arial"/>
          <w:i/>
          <w:iCs/>
          <w:color w:val="000000" w:themeColor="text1"/>
          <w:lang w:val="en-PH"/>
        </w:rPr>
        <w:t>Agroforestry Systems, 76</w:t>
      </w:r>
      <w:r w:rsidRPr="00F459F7">
        <w:rPr>
          <w:rFonts w:ascii="Arial" w:hAnsi="Arial" w:cs="Arial"/>
          <w:color w:val="000000" w:themeColor="text1"/>
          <w:lang w:val="en-PH"/>
        </w:rPr>
        <w:t xml:space="preserve">, 1–10. </w:t>
      </w:r>
      <w:hyperlink r:id="rId22" w:tgtFrame="_new" w:history="1">
        <w:r w:rsidRPr="00F459F7">
          <w:rPr>
            <w:rStyle w:val="Hyperlink"/>
            <w:rFonts w:ascii="Arial" w:hAnsi="Arial" w:cs="Arial"/>
            <w:color w:val="000000" w:themeColor="text1"/>
            <w:u w:val="none"/>
            <w:lang w:val="en-PH"/>
          </w:rPr>
          <w:t>https://doi.org/10.1007/s10457-009-9229-7</w:t>
        </w:r>
      </w:hyperlink>
    </w:p>
    <w:p w14:paraId="6357272B" w14:textId="77777777" w:rsidR="00E3763D" w:rsidRPr="00F459F7" w:rsidRDefault="00E3763D" w:rsidP="00E3763D">
      <w:pPr>
        <w:pStyle w:val="Body"/>
        <w:spacing w:after="0"/>
        <w:rPr>
          <w:rFonts w:ascii="Arial" w:hAnsi="Arial" w:cs="Arial"/>
          <w:color w:val="000000" w:themeColor="text1"/>
        </w:rPr>
      </w:pPr>
    </w:p>
    <w:p w14:paraId="54CC2D66" w14:textId="77777777" w:rsidR="00E3763D" w:rsidRPr="00F459F7" w:rsidRDefault="00E3763D" w:rsidP="00E3763D">
      <w:pPr>
        <w:pStyle w:val="Body"/>
        <w:spacing w:after="0"/>
        <w:rPr>
          <w:color w:val="000000" w:themeColor="text1"/>
        </w:rPr>
      </w:pPr>
      <w:r w:rsidRPr="00F459F7">
        <w:rPr>
          <w:rFonts w:ascii="Arial" w:hAnsi="Arial" w:cs="Arial"/>
          <w:color w:val="000000" w:themeColor="text1"/>
          <w:lang w:val="en-PH"/>
        </w:rPr>
        <w:t xml:space="preserve">Jose, S., Gillespie, A. R., &amp; Pallardy, S. G. (2004). Interspecific interactions in temperate agroforestry. </w:t>
      </w:r>
      <w:r w:rsidRPr="00F459F7">
        <w:rPr>
          <w:rFonts w:ascii="Arial" w:hAnsi="Arial" w:cs="Arial"/>
          <w:i/>
          <w:iCs/>
          <w:color w:val="000000" w:themeColor="text1"/>
          <w:lang w:val="en-PH"/>
        </w:rPr>
        <w:t>Agroforestry Systems, 61</w:t>
      </w:r>
      <w:r w:rsidRPr="00F459F7">
        <w:rPr>
          <w:rFonts w:ascii="Arial" w:hAnsi="Arial" w:cs="Arial"/>
          <w:color w:val="000000" w:themeColor="text1"/>
          <w:lang w:val="en-PH"/>
        </w:rPr>
        <w:t xml:space="preserve">, 237–255. </w:t>
      </w:r>
      <w:hyperlink r:id="rId23" w:tgtFrame="_new" w:history="1">
        <w:r w:rsidRPr="00F459F7">
          <w:rPr>
            <w:rStyle w:val="Hyperlink"/>
            <w:rFonts w:ascii="Arial" w:hAnsi="Arial" w:cs="Arial"/>
            <w:color w:val="000000" w:themeColor="text1"/>
            <w:u w:val="none"/>
            <w:lang w:val="en-PH"/>
          </w:rPr>
          <w:t>https://doi.org/10.1023/B:AGFO.0000029002.85273.9b</w:t>
        </w:r>
      </w:hyperlink>
    </w:p>
    <w:p w14:paraId="41A03A54" w14:textId="77777777" w:rsidR="00E3763D" w:rsidRPr="00F459F7" w:rsidRDefault="00E3763D" w:rsidP="00E3763D">
      <w:pPr>
        <w:pStyle w:val="Body"/>
        <w:spacing w:after="0"/>
        <w:rPr>
          <w:rFonts w:ascii="Arial" w:hAnsi="Arial" w:cs="Arial"/>
          <w:color w:val="000000" w:themeColor="text1"/>
        </w:rPr>
      </w:pPr>
    </w:p>
    <w:p w14:paraId="37F688A2" w14:textId="77777777" w:rsidR="00E3763D" w:rsidRPr="00F459F7" w:rsidRDefault="00E3763D" w:rsidP="00E3763D">
      <w:pPr>
        <w:jc w:val="both"/>
        <w:rPr>
          <w:color w:val="000000" w:themeColor="text1"/>
        </w:rPr>
      </w:pPr>
      <w:r w:rsidRPr="00F459F7">
        <w:rPr>
          <w:color w:val="000000" w:themeColor="text1"/>
        </w:rPr>
        <w:t xml:space="preserve">Kahsay, G. A., </w:t>
      </w:r>
      <w:proofErr w:type="spellStart"/>
      <w:r w:rsidRPr="00F459F7">
        <w:rPr>
          <w:color w:val="000000" w:themeColor="text1"/>
        </w:rPr>
        <w:t>Bulte</w:t>
      </w:r>
      <w:proofErr w:type="spellEnd"/>
      <w:r w:rsidRPr="00F459F7">
        <w:rPr>
          <w:color w:val="000000" w:themeColor="text1"/>
        </w:rPr>
        <w:t xml:space="preserve">, E., Alpizar, F., Hansen, L. G., &amp; Medhin, H. (2023). Leadership accountability in community-based forest management: Experimental evidence in support of governmental oversight. </w:t>
      </w:r>
      <w:r w:rsidRPr="00F459F7">
        <w:rPr>
          <w:i/>
          <w:iCs/>
          <w:color w:val="000000" w:themeColor="text1"/>
        </w:rPr>
        <w:t>Ecology and Society, 28</w:t>
      </w:r>
      <w:r w:rsidRPr="00F459F7">
        <w:rPr>
          <w:color w:val="000000" w:themeColor="text1"/>
        </w:rPr>
        <w:t xml:space="preserve">(4), Article 20. </w:t>
      </w:r>
      <w:hyperlink r:id="rId24" w:tgtFrame="_new" w:history="1">
        <w:r w:rsidRPr="00F459F7">
          <w:rPr>
            <w:rStyle w:val="Hyperlink"/>
            <w:color w:val="000000" w:themeColor="text1"/>
            <w:u w:val="none"/>
          </w:rPr>
          <w:t>https://doi.org/10.5751/ES-14469-280420</w:t>
        </w:r>
      </w:hyperlink>
    </w:p>
    <w:p w14:paraId="511374AE" w14:textId="77777777" w:rsidR="00E3763D" w:rsidRPr="00F459F7" w:rsidRDefault="00E3763D" w:rsidP="00E3763D">
      <w:pPr>
        <w:jc w:val="both"/>
        <w:rPr>
          <w:color w:val="000000" w:themeColor="text1"/>
        </w:rPr>
      </w:pPr>
    </w:p>
    <w:p w14:paraId="07E47BE2" w14:textId="77777777" w:rsidR="00E3763D" w:rsidRPr="00F459F7" w:rsidRDefault="00E3763D" w:rsidP="00E3763D">
      <w:pPr>
        <w:jc w:val="both"/>
        <w:rPr>
          <w:color w:val="000000" w:themeColor="text1"/>
        </w:rPr>
      </w:pPr>
      <w:r w:rsidRPr="00F459F7">
        <w:rPr>
          <w:color w:val="000000" w:themeColor="text1"/>
        </w:rPr>
        <w:t xml:space="preserve">Kimaro, E. W., Wilson, M. L., Pintea, L., </w:t>
      </w:r>
      <w:proofErr w:type="spellStart"/>
      <w:r w:rsidRPr="00F459F7">
        <w:rPr>
          <w:color w:val="000000" w:themeColor="text1"/>
        </w:rPr>
        <w:t>Mjema</w:t>
      </w:r>
      <w:proofErr w:type="spellEnd"/>
      <w:r w:rsidRPr="00F459F7">
        <w:rPr>
          <w:color w:val="000000" w:themeColor="text1"/>
        </w:rPr>
        <w:t xml:space="preserve">, P., &amp; Powers, J. S. (2024). Community-managed forests can secure forest regrowth and permanence in human-modified landscapes. </w:t>
      </w:r>
      <w:r w:rsidRPr="00F459F7">
        <w:rPr>
          <w:i/>
          <w:iCs/>
          <w:color w:val="000000" w:themeColor="text1"/>
        </w:rPr>
        <w:t>Global Ecology and Conservation, 52</w:t>
      </w:r>
      <w:r w:rsidRPr="00F459F7">
        <w:rPr>
          <w:color w:val="000000" w:themeColor="text1"/>
        </w:rPr>
        <w:t xml:space="preserve">, e02966. </w:t>
      </w:r>
      <w:hyperlink r:id="rId25" w:history="1">
        <w:r w:rsidRPr="00F459F7">
          <w:rPr>
            <w:rStyle w:val="Hyperlink"/>
            <w:color w:val="000000" w:themeColor="text1"/>
            <w:u w:val="none"/>
          </w:rPr>
          <w:t>https://doi.org/10.1016/j.gecco.2024.e02966</w:t>
        </w:r>
      </w:hyperlink>
    </w:p>
    <w:p w14:paraId="4FE3760D" w14:textId="77777777" w:rsidR="00E3763D" w:rsidRPr="00F459F7" w:rsidRDefault="00E3763D" w:rsidP="00E3763D">
      <w:pPr>
        <w:jc w:val="both"/>
        <w:rPr>
          <w:color w:val="000000" w:themeColor="text1"/>
        </w:rPr>
      </w:pPr>
    </w:p>
    <w:p w14:paraId="63713616" w14:textId="77777777" w:rsidR="00E3763D" w:rsidRPr="00F459F7" w:rsidRDefault="00E3763D" w:rsidP="00E3763D">
      <w:pPr>
        <w:pStyle w:val="Body"/>
        <w:spacing w:after="0"/>
        <w:rPr>
          <w:color w:val="000000" w:themeColor="text1"/>
        </w:rPr>
      </w:pPr>
      <w:proofErr w:type="spellStart"/>
      <w:r w:rsidRPr="00F459F7">
        <w:rPr>
          <w:rFonts w:ascii="Arial" w:hAnsi="Arial" w:cs="Arial"/>
          <w:color w:val="000000" w:themeColor="text1"/>
          <w:lang w:val="en-PH"/>
        </w:rPr>
        <w:t>Kuyah</w:t>
      </w:r>
      <w:proofErr w:type="spellEnd"/>
      <w:r w:rsidRPr="00F459F7">
        <w:rPr>
          <w:rFonts w:ascii="Arial" w:hAnsi="Arial" w:cs="Arial"/>
          <w:color w:val="000000" w:themeColor="text1"/>
          <w:lang w:val="en-PH"/>
        </w:rPr>
        <w:t xml:space="preserve">, S., Whitney, C. W., Jonsson, M., Sileshi, G. W., Oborn, I., Muthuri, C. W., &amp; </w:t>
      </w:r>
      <w:proofErr w:type="spellStart"/>
      <w:r w:rsidRPr="00F459F7">
        <w:rPr>
          <w:rFonts w:ascii="Arial" w:hAnsi="Arial" w:cs="Arial"/>
          <w:color w:val="000000" w:themeColor="text1"/>
          <w:lang w:val="en-PH"/>
        </w:rPr>
        <w:t>Luedeling</w:t>
      </w:r>
      <w:proofErr w:type="spellEnd"/>
      <w:r w:rsidRPr="00F459F7">
        <w:rPr>
          <w:rFonts w:ascii="Arial" w:hAnsi="Arial" w:cs="Arial"/>
          <w:color w:val="000000" w:themeColor="text1"/>
          <w:lang w:val="en-PH"/>
        </w:rPr>
        <w:t xml:space="preserve">, E. (2019). Agroforestry delivers a win-win solution for ecosystem services in sub-Saharan Africa: A meta-analysis. </w:t>
      </w:r>
      <w:r w:rsidRPr="00F459F7">
        <w:rPr>
          <w:rFonts w:ascii="Arial" w:hAnsi="Arial" w:cs="Arial"/>
          <w:i/>
          <w:iCs/>
          <w:color w:val="000000" w:themeColor="text1"/>
          <w:lang w:val="en-PH"/>
        </w:rPr>
        <w:t>Agronomy for Sustainable Development, 39</w:t>
      </w:r>
      <w:r w:rsidRPr="00F459F7">
        <w:rPr>
          <w:rFonts w:ascii="Arial" w:hAnsi="Arial" w:cs="Arial"/>
          <w:color w:val="000000" w:themeColor="text1"/>
          <w:lang w:val="en-PH"/>
        </w:rPr>
        <w:t xml:space="preserve">, 47. </w:t>
      </w:r>
      <w:hyperlink r:id="rId26" w:tgtFrame="_new" w:history="1">
        <w:r w:rsidRPr="00F459F7">
          <w:rPr>
            <w:rStyle w:val="Hyperlink"/>
            <w:rFonts w:ascii="Arial" w:hAnsi="Arial" w:cs="Arial"/>
            <w:color w:val="000000" w:themeColor="text1"/>
            <w:u w:val="none"/>
            <w:lang w:val="en-PH"/>
          </w:rPr>
          <w:t>https://doi.org/10.1007/s13593-019-0589-8</w:t>
        </w:r>
      </w:hyperlink>
    </w:p>
    <w:p w14:paraId="52B1314C" w14:textId="77777777" w:rsidR="00E3763D" w:rsidRPr="00F459F7" w:rsidRDefault="00E3763D" w:rsidP="00E3763D">
      <w:pPr>
        <w:pStyle w:val="Body"/>
        <w:spacing w:after="0"/>
        <w:rPr>
          <w:rFonts w:ascii="Arial" w:hAnsi="Arial" w:cs="Arial"/>
          <w:color w:val="000000" w:themeColor="text1"/>
        </w:rPr>
      </w:pPr>
    </w:p>
    <w:p w14:paraId="0934D18C" w14:textId="77777777" w:rsidR="00E3763D" w:rsidRPr="00F459F7" w:rsidRDefault="00E3763D" w:rsidP="00E3763D">
      <w:pPr>
        <w:pStyle w:val="Body"/>
        <w:spacing w:after="0"/>
        <w:rPr>
          <w:color w:val="000000" w:themeColor="text1"/>
        </w:rPr>
      </w:pPr>
      <w:r w:rsidRPr="00F459F7">
        <w:rPr>
          <w:rFonts w:ascii="Arial" w:hAnsi="Arial" w:cs="Arial"/>
          <w:color w:val="000000" w:themeColor="text1"/>
          <w:lang w:val="en-PH"/>
        </w:rPr>
        <w:t xml:space="preserve">Larson, A. M. (2011). Forest tenure reform in the age of climate change: Lessons for REDD+. </w:t>
      </w:r>
      <w:r w:rsidRPr="00F459F7">
        <w:rPr>
          <w:rFonts w:ascii="Arial" w:hAnsi="Arial" w:cs="Arial"/>
          <w:i/>
          <w:iCs/>
          <w:color w:val="000000" w:themeColor="text1"/>
          <w:lang w:val="en-PH"/>
        </w:rPr>
        <w:t>Global Environmental Change, 21</w:t>
      </w:r>
      <w:r w:rsidRPr="00F459F7">
        <w:rPr>
          <w:rFonts w:ascii="Arial" w:hAnsi="Arial" w:cs="Arial"/>
          <w:color w:val="000000" w:themeColor="text1"/>
          <w:lang w:val="en-PH"/>
        </w:rPr>
        <w:t xml:space="preserve">(2), 540–549. </w:t>
      </w:r>
      <w:hyperlink r:id="rId27" w:tgtFrame="_new" w:history="1">
        <w:r w:rsidRPr="00F459F7">
          <w:rPr>
            <w:rStyle w:val="Hyperlink"/>
            <w:rFonts w:ascii="Arial" w:hAnsi="Arial" w:cs="Arial"/>
            <w:color w:val="000000" w:themeColor="text1"/>
            <w:u w:val="none"/>
            <w:lang w:val="en-PH"/>
          </w:rPr>
          <w:t>https://doi.org/10.1016/j.gloenvcha.2010.11.008</w:t>
        </w:r>
      </w:hyperlink>
    </w:p>
    <w:p w14:paraId="57AE81D0" w14:textId="77777777" w:rsidR="00E3763D" w:rsidRPr="00F459F7" w:rsidRDefault="00E3763D" w:rsidP="00E3763D">
      <w:pPr>
        <w:pStyle w:val="Body"/>
        <w:spacing w:after="0"/>
        <w:rPr>
          <w:rFonts w:ascii="Arial" w:hAnsi="Arial" w:cs="Arial"/>
          <w:color w:val="000000" w:themeColor="text1"/>
        </w:rPr>
      </w:pPr>
    </w:p>
    <w:p w14:paraId="4A579C62" w14:textId="77777777" w:rsidR="00E3763D" w:rsidRPr="00F459F7" w:rsidRDefault="00E3763D" w:rsidP="00E3763D">
      <w:pPr>
        <w:pStyle w:val="Body"/>
        <w:spacing w:after="0"/>
        <w:rPr>
          <w:color w:val="000000" w:themeColor="text1"/>
        </w:rPr>
      </w:pPr>
      <w:r w:rsidRPr="00F459F7">
        <w:rPr>
          <w:rFonts w:ascii="Arial" w:hAnsi="Arial" w:cs="Arial"/>
          <w:color w:val="000000" w:themeColor="text1"/>
          <w:lang w:val="en-PH"/>
        </w:rPr>
        <w:t xml:space="preserve">Lasco, R. D., &amp; </w:t>
      </w:r>
      <w:proofErr w:type="spellStart"/>
      <w:r w:rsidRPr="00F459F7">
        <w:rPr>
          <w:rFonts w:ascii="Arial" w:hAnsi="Arial" w:cs="Arial"/>
          <w:color w:val="000000" w:themeColor="text1"/>
          <w:lang w:val="en-PH"/>
        </w:rPr>
        <w:t>Pulhin</w:t>
      </w:r>
      <w:proofErr w:type="spellEnd"/>
      <w:r w:rsidRPr="00F459F7">
        <w:rPr>
          <w:rFonts w:ascii="Arial" w:hAnsi="Arial" w:cs="Arial"/>
          <w:color w:val="000000" w:themeColor="text1"/>
          <w:lang w:val="en-PH"/>
        </w:rPr>
        <w:t xml:space="preserve">, J. M. (2006). Environmental impacts of community-based forest management in the Philippines. </w:t>
      </w:r>
      <w:r w:rsidRPr="00F459F7">
        <w:rPr>
          <w:rFonts w:ascii="Arial" w:hAnsi="Arial" w:cs="Arial"/>
          <w:i/>
          <w:iCs/>
          <w:color w:val="000000" w:themeColor="text1"/>
          <w:lang w:val="en-PH"/>
        </w:rPr>
        <w:t>International Journal of Environment and Sustainable Development, 5</w:t>
      </w:r>
      <w:r w:rsidRPr="00F459F7">
        <w:rPr>
          <w:rFonts w:ascii="Arial" w:hAnsi="Arial" w:cs="Arial"/>
          <w:color w:val="000000" w:themeColor="text1"/>
          <w:lang w:val="en-PH"/>
        </w:rPr>
        <w:t xml:space="preserve">(1), 46–56. </w:t>
      </w:r>
      <w:hyperlink r:id="rId28" w:tgtFrame="_new" w:history="1">
        <w:r w:rsidRPr="00F459F7">
          <w:rPr>
            <w:rStyle w:val="Hyperlink"/>
            <w:rFonts w:ascii="Arial" w:hAnsi="Arial" w:cs="Arial"/>
            <w:color w:val="000000" w:themeColor="text1"/>
            <w:u w:val="none"/>
            <w:lang w:val="en-PH"/>
          </w:rPr>
          <w:t>https://doi.org/10.1504/IJESD.2006.008682</w:t>
        </w:r>
      </w:hyperlink>
    </w:p>
    <w:p w14:paraId="707CCB0D" w14:textId="77777777" w:rsidR="00E3763D" w:rsidRPr="00F459F7" w:rsidRDefault="00E3763D" w:rsidP="00E3763D">
      <w:pPr>
        <w:pStyle w:val="Body"/>
        <w:spacing w:after="0"/>
        <w:rPr>
          <w:rFonts w:ascii="Arial" w:hAnsi="Arial" w:cs="Arial"/>
          <w:color w:val="000000" w:themeColor="text1"/>
        </w:rPr>
      </w:pPr>
    </w:p>
    <w:p w14:paraId="1E17421B" w14:textId="77777777" w:rsidR="00E3763D" w:rsidRPr="00F459F7" w:rsidRDefault="00E3763D" w:rsidP="00E3763D">
      <w:pPr>
        <w:pStyle w:val="Body"/>
        <w:spacing w:after="0"/>
        <w:rPr>
          <w:color w:val="000000" w:themeColor="text1"/>
        </w:rPr>
      </w:pPr>
      <w:r w:rsidRPr="00F459F7">
        <w:rPr>
          <w:rFonts w:ascii="Arial" w:hAnsi="Arial" w:cs="Arial"/>
          <w:color w:val="000000" w:themeColor="text1"/>
          <w:lang w:val="en-PH"/>
        </w:rPr>
        <w:t xml:space="preserve">Lasco, R. D., Evangelista, R. S., &amp; </w:t>
      </w:r>
      <w:proofErr w:type="spellStart"/>
      <w:r w:rsidRPr="00F459F7">
        <w:rPr>
          <w:rFonts w:ascii="Arial" w:hAnsi="Arial" w:cs="Arial"/>
          <w:color w:val="000000" w:themeColor="text1"/>
          <w:lang w:val="en-PH"/>
        </w:rPr>
        <w:t>Pulhin</w:t>
      </w:r>
      <w:proofErr w:type="spellEnd"/>
      <w:r w:rsidRPr="00F459F7">
        <w:rPr>
          <w:rFonts w:ascii="Arial" w:hAnsi="Arial" w:cs="Arial"/>
          <w:color w:val="000000" w:themeColor="text1"/>
          <w:lang w:val="en-PH"/>
        </w:rPr>
        <w:t xml:space="preserve">, F. B. (2010). Potential of community-based forest management to mitigate climate change in the Philippines. </w:t>
      </w:r>
      <w:r w:rsidRPr="00F459F7">
        <w:rPr>
          <w:rFonts w:ascii="Arial" w:hAnsi="Arial" w:cs="Arial"/>
          <w:i/>
          <w:iCs/>
          <w:color w:val="000000" w:themeColor="text1"/>
          <w:lang w:val="en-PH"/>
        </w:rPr>
        <w:t>Small-scale Forestry, 9</w:t>
      </w:r>
      <w:r w:rsidRPr="00F459F7">
        <w:rPr>
          <w:rFonts w:ascii="Arial" w:hAnsi="Arial" w:cs="Arial"/>
          <w:color w:val="000000" w:themeColor="text1"/>
          <w:lang w:val="en-PH"/>
        </w:rPr>
        <w:t xml:space="preserve">(4), 429–443. </w:t>
      </w:r>
      <w:hyperlink r:id="rId29" w:tgtFrame="_new" w:history="1">
        <w:r w:rsidRPr="00F459F7">
          <w:rPr>
            <w:rStyle w:val="Hyperlink"/>
            <w:rFonts w:ascii="Arial" w:hAnsi="Arial" w:cs="Arial"/>
            <w:color w:val="000000" w:themeColor="text1"/>
            <w:u w:val="none"/>
            <w:lang w:val="en-PH"/>
          </w:rPr>
          <w:t>https://doi.org/10.1007/s11842-010-9132-0</w:t>
        </w:r>
      </w:hyperlink>
    </w:p>
    <w:p w14:paraId="0E7BF8D5" w14:textId="77777777" w:rsidR="00E3763D" w:rsidRPr="00F459F7" w:rsidRDefault="00E3763D" w:rsidP="00E3763D">
      <w:pPr>
        <w:pStyle w:val="Body"/>
        <w:spacing w:after="0"/>
        <w:rPr>
          <w:rFonts w:ascii="Arial" w:hAnsi="Arial" w:cs="Arial"/>
          <w:color w:val="000000" w:themeColor="text1"/>
        </w:rPr>
      </w:pPr>
    </w:p>
    <w:p w14:paraId="7D4FCBDD" w14:textId="77777777" w:rsidR="00E3763D" w:rsidRPr="00F459F7" w:rsidRDefault="00E3763D" w:rsidP="00E3763D">
      <w:pPr>
        <w:pStyle w:val="Body"/>
        <w:spacing w:after="0"/>
        <w:rPr>
          <w:rFonts w:ascii="Arial" w:hAnsi="Arial" w:cs="Arial"/>
          <w:color w:val="000000" w:themeColor="text1"/>
        </w:rPr>
      </w:pPr>
      <w:r w:rsidRPr="00F459F7">
        <w:rPr>
          <w:rFonts w:ascii="Arial" w:hAnsi="Arial" w:cs="Arial"/>
          <w:color w:val="000000" w:themeColor="text1"/>
          <w:lang w:val="en-PH"/>
        </w:rPr>
        <w:t xml:space="preserve">Lorenz, K., &amp; Lal, R. (2014). Soil organic carbon sequestration in agroforestry systems: A review. </w:t>
      </w:r>
      <w:r w:rsidRPr="00F459F7">
        <w:rPr>
          <w:rFonts w:ascii="Arial" w:hAnsi="Arial" w:cs="Arial"/>
          <w:i/>
          <w:iCs/>
          <w:color w:val="000000" w:themeColor="text1"/>
          <w:lang w:val="en-PH"/>
        </w:rPr>
        <w:t>Agronomy for Sustainable Development, 34</w:t>
      </w:r>
      <w:r w:rsidRPr="00F459F7">
        <w:rPr>
          <w:rFonts w:ascii="Arial" w:hAnsi="Arial" w:cs="Arial"/>
          <w:color w:val="000000" w:themeColor="text1"/>
          <w:lang w:val="en-PH"/>
        </w:rPr>
        <w:t xml:space="preserve">, 443–454. </w:t>
      </w:r>
      <w:hyperlink r:id="rId30" w:tgtFrame="_new" w:history="1">
        <w:r w:rsidRPr="00F459F7">
          <w:rPr>
            <w:rStyle w:val="Hyperlink"/>
            <w:rFonts w:ascii="Arial" w:hAnsi="Arial" w:cs="Arial"/>
            <w:color w:val="000000" w:themeColor="text1"/>
            <w:u w:val="none"/>
            <w:lang w:val="en-PH"/>
          </w:rPr>
          <w:t>https://doi.org/10.1007/s13593-014-0212-y</w:t>
        </w:r>
      </w:hyperlink>
    </w:p>
    <w:p w14:paraId="794CD71E" w14:textId="77777777" w:rsidR="00E3763D" w:rsidRPr="00F459F7" w:rsidRDefault="00E3763D" w:rsidP="00E3763D">
      <w:pPr>
        <w:pStyle w:val="Body"/>
        <w:spacing w:after="0"/>
        <w:rPr>
          <w:color w:val="000000" w:themeColor="text1"/>
        </w:rPr>
      </w:pPr>
      <w:proofErr w:type="spellStart"/>
      <w:r w:rsidRPr="00F459F7">
        <w:rPr>
          <w:rFonts w:ascii="Arial" w:hAnsi="Arial" w:cs="Arial"/>
          <w:color w:val="000000" w:themeColor="text1"/>
          <w:lang w:val="en-PH"/>
        </w:rPr>
        <w:lastRenderedPageBreak/>
        <w:t>Maryudi</w:t>
      </w:r>
      <w:proofErr w:type="spellEnd"/>
      <w:r w:rsidRPr="00F459F7">
        <w:rPr>
          <w:rFonts w:ascii="Arial" w:hAnsi="Arial" w:cs="Arial"/>
          <w:color w:val="000000" w:themeColor="text1"/>
          <w:lang w:val="en-PH"/>
        </w:rPr>
        <w:t xml:space="preserve">, A., Devkota, R., Schusser, C., Yufanyi, C., Salla, M., Aurenhammer, H., &amp; Krott, M. (2012). Back to basics: Considerations in evaluating the outcomes of community forestry. </w:t>
      </w:r>
      <w:r w:rsidRPr="00F459F7">
        <w:rPr>
          <w:rFonts w:ascii="Arial" w:hAnsi="Arial" w:cs="Arial"/>
          <w:i/>
          <w:iCs/>
          <w:color w:val="000000" w:themeColor="text1"/>
          <w:lang w:val="en-PH"/>
        </w:rPr>
        <w:t>Forest Policy and Economics, 14</w:t>
      </w:r>
      <w:r w:rsidRPr="00F459F7">
        <w:rPr>
          <w:rFonts w:ascii="Arial" w:hAnsi="Arial" w:cs="Arial"/>
          <w:color w:val="000000" w:themeColor="text1"/>
          <w:lang w:val="en-PH"/>
        </w:rPr>
        <w:t xml:space="preserve">(1), 1–5. </w:t>
      </w:r>
      <w:hyperlink r:id="rId31" w:tgtFrame="_new" w:history="1">
        <w:r w:rsidRPr="00F459F7">
          <w:rPr>
            <w:rStyle w:val="Hyperlink"/>
            <w:rFonts w:ascii="Arial" w:hAnsi="Arial" w:cs="Arial"/>
            <w:color w:val="000000" w:themeColor="text1"/>
            <w:u w:val="none"/>
            <w:lang w:val="en-PH"/>
          </w:rPr>
          <w:t>https://doi.org/10.1016/j.forpol.2011.07.017</w:t>
        </w:r>
      </w:hyperlink>
    </w:p>
    <w:p w14:paraId="09C2E486" w14:textId="77777777" w:rsidR="00E3763D" w:rsidRPr="00F459F7" w:rsidRDefault="00E3763D" w:rsidP="00E3763D">
      <w:pPr>
        <w:pStyle w:val="Body"/>
        <w:spacing w:after="0"/>
        <w:rPr>
          <w:rFonts w:ascii="Arial" w:hAnsi="Arial" w:cs="Arial"/>
          <w:color w:val="000000" w:themeColor="text1"/>
        </w:rPr>
      </w:pPr>
    </w:p>
    <w:p w14:paraId="13E5813A" w14:textId="77777777" w:rsidR="00E3763D" w:rsidRPr="00F459F7" w:rsidRDefault="00E3763D" w:rsidP="00E3763D">
      <w:pPr>
        <w:pStyle w:val="Body"/>
        <w:spacing w:after="0"/>
        <w:rPr>
          <w:color w:val="000000" w:themeColor="text1"/>
        </w:rPr>
      </w:pPr>
      <w:r w:rsidRPr="00F459F7">
        <w:rPr>
          <w:rFonts w:ascii="Arial" w:hAnsi="Arial" w:cs="Arial"/>
          <w:color w:val="000000" w:themeColor="text1"/>
          <w:lang w:val="en-PH"/>
        </w:rPr>
        <w:t xml:space="preserve">Mbow, C., van </w:t>
      </w:r>
      <w:proofErr w:type="spellStart"/>
      <w:r w:rsidRPr="00F459F7">
        <w:rPr>
          <w:rFonts w:ascii="Arial" w:hAnsi="Arial" w:cs="Arial"/>
          <w:color w:val="000000" w:themeColor="text1"/>
          <w:lang w:val="en-PH"/>
        </w:rPr>
        <w:t>Noordwijk</w:t>
      </w:r>
      <w:proofErr w:type="spellEnd"/>
      <w:r w:rsidRPr="00F459F7">
        <w:rPr>
          <w:rFonts w:ascii="Arial" w:hAnsi="Arial" w:cs="Arial"/>
          <w:color w:val="000000" w:themeColor="text1"/>
          <w:lang w:val="en-PH"/>
        </w:rPr>
        <w:t xml:space="preserve">, M., </w:t>
      </w:r>
      <w:proofErr w:type="spellStart"/>
      <w:r w:rsidRPr="00F459F7">
        <w:rPr>
          <w:rFonts w:ascii="Arial" w:hAnsi="Arial" w:cs="Arial"/>
          <w:color w:val="000000" w:themeColor="text1"/>
          <w:lang w:val="en-PH"/>
        </w:rPr>
        <w:t>Luedeling</w:t>
      </w:r>
      <w:proofErr w:type="spellEnd"/>
      <w:r w:rsidRPr="00F459F7">
        <w:rPr>
          <w:rFonts w:ascii="Arial" w:hAnsi="Arial" w:cs="Arial"/>
          <w:color w:val="000000" w:themeColor="text1"/>
          <w:lang w:val="en-PH"/>
        </w:rPr>
        <w:t xml:space="preserve">, E., Neufeldt, H., </w:t>
      </w:r>
      <w:proofErr w:type="spellStart"/>
      <w:r w:rsidRPr="00F459F7">
        <w:rPr>
          <w:rFonts w:ascii="Arial" w:hAnsi="Arial" w:cs="Arial"/>
          <w:color w:val="000000" w:themeColor="text1"/>
          <w:lang w:val="en-PH"/>
        </w:rPr>
        <w:t>Minang</w:t>
      </w:r>
      <w:proofErr w:type="spellEnd"/>
      <w:r w:rsidRPr="00F459F7">
        <w:rPr>
          <w:rFonts w:ascii="Arial" w:hAnsi="Arial" w:cs="Arial"/>
          <w:color w:val="000000" w:themeColor="text1"/>
          <w:lang w:val="en-PH"/>
        </w:rPr>
        <w:t xml:space="preserve">, P. A., &amp; </w:t>
      </w:r>
      <w:proofErr w:type="spellStart"/>
      <w:r w:rsidRPr="00F459F7">
        <w:rPr>
          <w:rFonts w:ascii="Arial" w:hAnsi="Arial" w:cs="Arial"/>
          <w:color w:val="000000" w:themeColor="text1"/>
          <w:lang w:val="en-PH"/>
        </w:rPr>
        <w:t>Kowero</w:t>
      </w:r>
      <w:proofErr w:type="spellEnd"/>
      <w:r w:rsidRPr="00F459F7">
        <w:rPr>
          <w:rFonts w:ascii="Arial" w:hAnsi="Arial" w:cs="Arial"/>
          <w:color w:val="000000" w:themeColor="text1"/>
          <w:lang w:val="en-PH"/>
        </w:rPr>
        <w:t xml:space="preserve">, G. (2014). Agroforestry solutions to address food security and climate change challenges in Africa. </w:t>
      </w:r>
      <w:r w:rsidRPr="00F459F7">
        <w:rPr>
          <w:rFonts w:ascii="Arial" w:hAnsi="Arial" w:cs="Arial"/>
          <w:i/>
          <w:iCs/>
          <w:color w:val="000000" w:themeColor="text1"/>
          <w:lang w:val="en-PH"/>
        </w:rPr>
        <w:t>Current Opinion in Environmental Sustainability, 6</w:t>
      </w:r>
      <w:r w:rsidRPr="00F459F7">
        <w:rPr>
          <w:rFonts w:ascii="Arial" w:hAnsi="Arial" w:cs="Arial"/>
          <w:color w:val="000000" w:themeColor="text1"/>
          <w:lang w:val="en-PH"/>
        </w:rPr>
        <w:t xml:space="preserve">, 61–67. </w:t>
      </w:r>
      <w:hyperlink r:id="rId32" w:tgtFrame="_new" w:history="1">
        <w:r w:rsidRPr="00F459F7">
          <w:rPr>
            <w:rStyle w:val="Hyperlink"/>
            <w:rFonts w:ascii="Arial" w:hAnsi="Arial" w:cs="Arial"/>
            <w:color w:val="000000" w:themeColor="text1"/>
            <w:u w:val="none"/>
            <w:lang w:val="en-PH"/>
          </w:rPr>
          <w:t>https://doi.org/10.1016/j.cosust.2013.10.014</w:t>
        </w:r>
      </w:hyperlink>
    </w:p>
    <w:p w14:paraId="7CD372E3" w14:textId="77777777" w:rsidR="00E3763D" w:rsidRPr="00F459F7" w:rsidRDefault="00E3763D" w:rsidP="00E3763D">
      <w:pPr>
        <w:pStyle w:val="Body"/>
        <w:spacing w:after="0"/>
        <w:rPr>
          <w:rFonts w:ascii="Arial" w:hAnsi="Arial" w:cs="Arial"/>
          <w:color w:val="000000" w:themeColor="text1"/>
        </w:rPr>
      </w:pPr>
    </w:p>
    <w:p w14:paraId="669B5420" w14:textId="77777777" w:rsidR="00E3763D" w:rsidRPr="00F459F7" w:rsidRDefault="00E3763D" w:rsidP="00E3763D">
      <w:pPr>
        <w:jc w:val="both"/>
        <w:rPr>
          <w:color w:val="000000" w:themeColor="text1"/>
        </w:rPr>
      </w:pPr>
      <w:proofErr w:type="spellStart"/>
      <w:r w:rsidRPr="00F459F7">
        <w:rPr>
          <w:color w:val="000000" w:themeColor="text1"/>
        </w:rPr>
        <w:t>Mengie</w:t>
      </w:r>
      <w:proofErr w:type="spellEnd"/>
      <w:r w:rsidRPr="00F459F7">
        <w:rPr>
          <w:color w:val="000000" w:themeColor="text1"/>
        </w:rPr>
        <w:t xml:space="preserve">, T., &amp; Szemethy, L. (2025). The practice of community-based forest management in Northwest Ethiopia. </w:t>
      </w:r>
      <w:r w:rsidRPr="00F459F7">
        <w:rPr>
          <w:i/>
          <w:iCs/>
          <w:color w:val="000000" w:themeColor="text1"/>
        </w:rPr>
        <w:t>Land, 14</w:t>
      </w:r>
      <w:r w:rsidRPr="00F459F7">
        <w:rPr>
          <w:color w:val="000000" w:themeColor="text1"/>
        </w:rPr>
        <w:t xml:space="preserve">(7), 1407. </w:t>
      </w:r>
      <w:hyperlink r:id="rId33" w:history="1">
        <w:r w:rsidRPr="00F459F7">
          <w:rPr>
            <w:rStyle w:val="Hyperlink"/>
            <w:color w:val="000000" w:themeColor="text1"/>
            <w:u w:val="none"/>
          </w:rPr>
          <w:t>https://doi.org/10.3390/land14071407</w:t>
        </w:r>
      </w:hyperlink>
    </w:p>
    <w:p w14:paraId="2277170F" w14:textId="77777777" w:rsidR="00E3763D" w:rsidRPr="00F459F7" w:rsidRDefault="00E3763D" w:rsidP="00E3763D">
      <w:pPr>
        <w:jc w:val="both"/>
        <w:rPr>
          <w:color w:val="000000" w:themeColor="text1"/>
        </w:rPr>
      </w:pPr>
    </w:p>
    <w:p w14:paraId="6FF74975" w14:textId="77777777" w:rsidR="00E3763D" w:rsidRPr="00F459F7" w:rsidRDefault="00E3763D" w:rsidP="00E3763D">
      <w:pPr>
        <w:pStyle w:val="Body"/>
        <w:spacing w:after="0"/>
        <w:rPr>
          <w:color w:val="000000" w:themeColor="text1"/>
        </w:rPr>
      </w:pPr>
      <w:r w:rsidRPr="00F459F7">
        <w:rPr>
          <w:rFonts w:ascii="Arial" w:hAnsi="Arial" w:cs="Arial"/>
          <w:color w:val="000000" w:themeColor="text1"/>
          <w:lang w:val="en-PH"/>
        </w:rPr>
        <w:t xml:space="preserve">Millennium Ecosystem Assessment. (2005). </w:t>
      </w:r>
      <w:r w:rsidRPr="00F459F7">
        <w:rPr>
          <w:rFonts w:ascii="Arial" w:hAnsi="Arial" w:cs="Arial"/>
          <w:i/>
          <w:iCs/>
          <w:color w:val="000000" w:themeColor="text1"/>
          <w:lang w:val="en-PH"/>
        </w:rPr>
        <w:t>Ecosystems and human well-being: Synthesis</w:t>
      </w:r>
      <w:r w:rsidRPr="00F459F7">
        <w:rPr>
          <w:rFonts w:ascii="Arial" w:hAnsi="Arial" w:cs="Arial"/>
          <w:color w:val="000000" w:themeColor="text1"/>
          <w:lang w:val="en-PH"/>
        </w:rPr>
        <w:t xml:space="preserve">. Island Press. </w:t>
      </w:r>
      <w:hyperlink r:id="rId34" w:tgtFrame="_new" w:history="1">
        <w:r w:rsidRPr="00F459F7">
          <w:rPr>
            <w:rStyle w:val="Hyperlink"/>
            <w:rFonts w:ascii="Arial" w:hAnsi="Arial" w:cs="Arial"/>
            <w:color w:val="000000" w:themeColor="text1"/>
            <w:u w:val="none"/>
            <w:lang w:val="en-PH"/>
          </w:rPr>
          <w:t>https://www.millenniumassessment.org/documents/document.356.aspx.pdf</w:t>
        </w:r>
      </w:hyperlink>
    </w:p>
    <w:p w14:paraId="4D342131" w14:textId="77777777" w:rsidR="00E3763D" w:rsidRPr="00F459F7" w:rsidRDefault="00E3763D" w:rsidP="00E3763D">
      <w:pPr>
        <w:pStyle w:val="Body"/>
        <w:spacing w:after="0"/>
        <w:rPr>
          <w:rFonts w:ascii="Arial" w:hAnsi="Arial" w:cs="Arial"/>
          <w:color w:val="000000" w:themeColor="text1"/>
        </w:rPr>
      </w:pPr>
    </w:p>
    <w:p w14:paraId="7CC9F4AD" w14:textId="77777777" w:rsidR="00E3763D" w:rsidRPr="00F459F7" w:rsidRDefault="00E3763D" w:rsidP="00E3763D">
      <w:pPr>
        <w:jc w:val="both"/>
        <w:rPr>
          <w:color w:val="000000" w:themeColor="text1"/>
        </w:rPr>
      </w:pPr>
      <w:r w:rsidRPr="00F459F7">
        <w:rPr>
          <w:color w:val="000000" w:themeColor="text1"/>
        </w:rPr>
        <w:t xml:space="preserve">Mlambo, D., Yashmita-Ulman, Álvarez-Álvarez, P., &amp; Chavan, S. B. (2025). Editorial: Agroforestry for biodiversity and ecosystem services. </w:t>
      </w:r>
      <w:r w:rsidRPr="00F459F7">
        <w:rPr>
          <w:i/>
          <w:iCs/>
          <w:color w:val="000000" w:themeColor="text1"/>
        </w:rPr>
        <w:t>Frontiers in Forests and Global Change, 8</w:t>
      </w:r>
      <w:r w:rsidRPr="00F459F7">
        <w:rPr>
          <w:color w:val="000000" w:themeColor="text1"/>
        </w:rPr>
        <w:t xml:space="preserve">, Article 1616451. </w:t>
      </w:r>
      <w:hyperlink r:id="rId35" w:history="1">
        <w:r w:rsidRPr="00F459F7">
          <w:rPr>
            <w:rStyle w:val="Hyperlink"/>
            <w:color w:val="000000" w:themeColor="text1"/>
            <w:u w:val="none"/>
          </w:rPr>
          <w:t>https://doi.org/10.3389/ffgc.2025.1616451</w:t>
        </w:r>
      </w:hyperlink>
    </w:p>
    <w:p w14:paraId="285FCE85" w14:textId="77777777" w:rsidR="00E3763D" w:rsidRPr="00F459F7" w:rsidRDefault="00E3763D" w:rsidP="00E3763D">
      <w:pPr>
        <w:jc w:val="both"/>
        <w:rPr>
          <w:color w:val="000000" w:themeColor="text1"/>
        </w:rPr>
      </w:pPr>
    </w:p>
    <w:p w14:paraId="6ABC95B1" w14:textId="77777777" w:rsidR="00E3763D" w:rsidRPr="00F459F7" w:rsidRDefault="00E3763D" w:rsidP="00E3763D">
      <w:pPr>
        <w:pStyle w:val="Body"/>
        <w:spacing w:after="0"/>
        <w:rPr>
          <w:color w:val="000000" w:themeColor="text1"/>
        </w:rPr>
      </w:pPr>
      <w:proofErr w:type="spellStart"/>
      <w:r w:rsidRPr="00F459F7">
        <w:rPr>
          <w:rFonts w:ascii="Arial" w:hAnsi="Arial" w:cs="Arial"/>
          <w:color w:val="000000" w:themeColor="text1"/>
          <w:lang w:val="en-PH"/>
        </w:rPr>
        <w:t>Muchane</w:t>
      </w:r>
      <w:proofErr w:type="spellEnd"/>
      <w:r w:rsidRPr="00F459F7">
        <w:rPr>
          <w:rFonts w:ascii="Arial" w:hAnsi="Arial" w:cs="Arial"/>
          <w:color w:val="000000" w:themeColor="text1"/>
          <w:lang w:val="en-PH"/>
        </w:rPr>
        <w:t xml:space="preserve">, M. N., Sileshi, G. W., </w:t>
      </w:r>
      <w:proofErr w:type="spellStart"/>
      <w:r w:rsidRPr="00F459F7">
        <w:rPr>
          <w:rFonts w:ascii="Arial" w:hAnsi="Arial" w:cs="Arial"/>
          <w:color w:val="000000" w:themeColor="text1"/>
          <w:lang w:val="en-PH"/>
        </w:rPr>
        <w:t>Gripenberg</w:t>
      </w:r>
      <w:proofErr w:type="spellEnd"/>
      <w:r w:rsidRPr="00F459F7">
        <w:rPr>
          <w:rFonts w:ascii="Arial" w:hAnsi="Arial" w:cs="Arial"/>
          <w:color w:val="000000" w:themeColor="text1"/>
          <w:lang w:val="en-PH"/>
        </w:rPr>
        <w:t xml:space="preserve">, S., Jonsson, M., </w:t>
      </w:r>
      <w:proofErr w:type="spellStart"/>
      <w:r w:rsidRPr="00F459F7">
        <w:rPr>
          <w:rFonts w:ascii="Arial" w:hAnsi="Arial" w:cs="Arial"/>
          <w:color w:val="000000" w:themeColor="text1"/>
          <w:lang w:val="en-PH"/>
        </w:rPr>
        <w:t>Pumariño</w:t>
      </w:r>
      <w:proofErr w:type="spellEnd"/>
      <w:r w:rsidRPr="00F459F7">
        <w:rPr>
          <w:rFonts w:ascii="Arial" w:hAnsi="Arial" w:cs="Arial"/>
          <w:color w:val="000000" w:themeColor="text1"/>
          <w:lang w:val="en-PH"/>
        </w:rPr>
        <w:t xml:space="preserve">, L., &amp; Barrios, E. (2020). Agroforestry boosts soil health in the humid and sub-humid tropics. </w:t>
      </w:r>
      <w:r w:rsidRPr="00F459F7">
        <w:rPr>
          <w:rFonts w:ascii="Arial" w:hAnsi="Arial" w:cs="Arial"/>
          <w:i/>
          <w:iCs/>
          <w:color w:val="000000" w:themeColor="text1"/>
          <w:lang w:val="en-PH"/>
        </w:rPr>
        <w:t>Agriculture, Ecosystems &amp; Environment, 295</w:t>
      </w:r>
      <w:r w:rsidRPr="00F459F7">
        <w:rPr>
          <w:rFonts w:ascii="Arial" w:hAnsi="Arial" w:cs="Arial"/>
          <w:color w:val="000000" w:themeColor="text1"/>
          <w:lang w:val="en-PH"/>
        </w:rPr>
        <w:t xml:space="preserve">, 106899. </w:t>
      </w:r>
      <w:hyperlink r:id="rId36" w:tgtFrame="_new" w:history="1">
        <w:r w:rsidRPr="00F459F7">
          <w:rPr>
            <w:rStyle w:val="Hyperlink"/>
            <w:rFonts w:ascii="Arial" w:hAnsi="Arial" w:cs="Arial"/>
            <w:color w:val="000000" w:themeColor="text1"/>
            <w:u w:val="none"/>
            <w:lang w:val="en-PH"/>
          </w:rPr>
          <w:t>https://doi.org/10.1016/j.agee.2020.106899</w:t>
        </w:r>
      </w:hyperlink>
    </w:p>
    <w:p w14:paraId="73F19697" w14:textId="77777777" w:rsidR="00E3763D" w:rsidRPr="00F459F7" w:rsidRDefault="00E3763D" w:rsidP="00E3763D">
      <w:pPr>
        <w:pStyle w:val="Body"/>
        <w:spacing w:after="0"/>
        <w:rPr>
          <w:rFonts w:ascii="Arial" w:hAnsi="Arial" w:cs="Arial"/>
          <w:color w:val="000000" w:themeColor="text1"/>
        </w:rPr>
      </w:pPr>
    </w:p>
    <w:p w14:paraId="5FC7A973" w14:textId="77777777" w:rsidR="00E3763D" w:rsidRPr="00F459F7" w:rsidRDefault="00E3763D" w:rsidP="00E3763D">
      <w:pPr>
        <w:jc w:val="both"/>
        <w:rPr>
          <w:color w:val="000000" w:themeColor="text1"/>
        </w:rPr>
      </w:pPr>
      <w:r w:rsidRPr="00F459F7">
        <w:rPr>
          <w:color w:val="000000" w:themeColor="text1"/>
        </w:rPr>
        <w:t xml:space="preserve">Octavia, D., </w:t>
      </w:r>
      <w:proofErr w:type="spellStart"/>
      <w:r w:rsidRPr="00F459F7">
        <w:rPr>
          <w:color w:val="000000" w:themeColor="text1"/>
        </w:rPr>
        <w:t>Suharti</w:t>
      </w:r>
      <w:proofErr w:type="spellEnd"/>
      <w:r w:rsidRPr="00F459F7">
        <w:rPr>
          <w:color w:val="000000" w:themeColor="text1"/>
        </w:rPr>
        <w:t xml:space="preserve">, S., </w:t>
      </w:r>
      <w:proofErr w:type="spellStart"/>
      <w:r w:rsidRPr="00F459F7">
        <w:rPr>
          <w:color w:val="000000" w:themeColor="text1"/>
        </w:rPr>
        <w:t>Murniati</w:t>
      </w:r>
      <w:proofErr w:type="spellEnd"/>
      <w:r w:rsidRPr="00F459F7">
        <w:rPr>
          <w:color w:val="000000" w:themeColor="text1"/>
        </w:rPr>
        <w:t xml:space="preserve">, </w:t>
      </w:r>
      <w:proofErr w:type="spellStart"/>
      <w:r w:rsidRPr="00F459F7">
        <w:rPr>
          <w:color w:val="000000" w:themeColor="text1"/>
        </w:rPr>
        <w:t>Dharmawan</w:t>
      </w:r>
      <w:proofErr w:type="spellEnd"/>
      <w:r w:rsidRPr="00F459F7">
        <w:rPr>
          <w:color w:val="000000" w:themeColor="text1"/>
        </w:rPr>
        <w:t xml:space="preserve">, I. W. S., Nugroho, H. Y. S. H., Supriyanto, B., </w:t>
      </w:r>
      <w:proofErr w:type="spellStart"/>
      <w:r w:rsidRPr="00F459F7">
        <w:rPr>
          <w:color w:val="000000" w:themeColor="text1"/>
        </w:rPr>
        <w:t>Rohadi</w:t>
      </w:r>
      <w:proofErr w:type="spellEnd"/>
      <w:r w:rsidRPr="00F459F7">
        <w:rPr>
          <w:color w:val="000000" w:themeColor="text1"/>
        </w:rPr>
        <w:t xml:space="preserve">, D., </w:t>
      </w:r>
      <w:proofErr w:type="spellStart"/>
      <w:r w:rsidRPr="00F459F7">
        <w:rPr>
          <w:color w:val="000000" w:themeColor="text1"/>
        </w:rPr>
        <w:t>Njurumana</w:t>
      </w:r>
      <w:proofErr w:type="spellEnd"/>
      <w:r w:rsidRPr="00F459F7">
        <w:rPr>
          <w:color w:val="000000" w:themeColor="text1"/>
        </w:rPr>
        <w:t xml:space="preserve">, G. N., Yeny, I., Hani, A., </w:t>
      </w:r>
      <w:proofErr w:type="spellStart"/>
      <w:r w:rsidRPr="00F459F7">
        <w:rPr>
          <w:color w:val="000000" w:themeColor="text1"/>
        </w:rPr>
        <w:t>Mindawati</w:t>
      </w:r>
      <w:proofErr w:type="spellEnd"/>
      <w:r w:rsidRPr="00F459F7">
        <w:rPr>
          <w:color w:val="000000" w:themeColor="text1"/>
        </w:rPr>
        <w:t xml:space="preserve">, N., Suratman, Y., Adalina, Y., </w:t>
      </w:r>
      <w:proofErr w:type="spellStart"/>
      <w:r w:rsidRPr="00F459F7">
        <w:rPr>
          <w:color w:val="000000" w:themeColor="text1"/>
        </w:rPr>
        <w:t>Prameswari</w:t>
      </w:r>
      <w:proofErr w:type="spellEnd"/>
      <w:r w:rsidRPr="00F459F7">
        <w:rPr>
          <w:color w:val="000000" w:themeColor="text1"/>
        </w:rPr>
        <w:t xml:space="preserve">, D., Hadi, E. E. </w:t>
      </w:r>
      <w:proofErr w:type="gramStart"/>
      <w:r w:rsidRPr="00F459F7">
        <w:rPr>
          <w:color w:val="000000" w:themeColor="text1"/>
        </w:rPr>
        <w:t>W.</w:t>
      </w:r>
      <w:proofErr w:type="gramEnd"/>
      <w:r w:rsidRPr="00F459F7">
        <w:rPr>
          <w:color w:val="000000" w:themeColor="text1"/>
        </w:rPr>
        <w:t xml:space="preserve">, </w:t>
      </w:r>
      <w:proofErr w:type="gramStart"/>
      <w:r w:rsidRPr="00F459F7">
        <w:rPr>
          <w:color w:val="000000" w:themeColor="text1"/>
        </w:rPr>
        <w:t xml:space="preserve">&amp; </w:t>
      </w:r>
      <w:proofErr w:type="spellStart"/>
      <w:r w:rsidRPr="00F459F7">
        <w:rPr>
          <w:color w:val="000000" w:themeColor="text1"/>
        </w:rPr>
        <w:t>Ekawati</w:t>
      </w:r>
      <w:proofErr w:type="spellEnd"/>
      <w:proofErr w:type="gramEnd"/>
      <w:r w:rsidRPr="00F459F7">
        <w:rPr>
          <w:color w:val="000000" w:themeColor="text1"/>
        </w:rPr>
        <w:t xml:space="preserve">, S. (2022). Mainstreaming smart agroforestry for social forestry implementation to support sustainable development goals in Indonesia: A review. </w:t>
      </w:r>
      <w:r w:rsidRPr="00F459F7">
        <w:rPr>
          <w:i/>
          <w:iCs/>
          <w:color w:val="000000" w:themeColor="text1"/>
        </w:rPr>
        <w:t>Sustainability, 14</w:t>
      </w:r>
      <w:r w:rsidRPr="00F459F7">
        <w:rPr>
          <w:color w:val="000000" w:themeColor="text1"/>
        </w:rPr>
        <w:t xml:space="preserve">(15), 9313. </w:t>
      </w:r>
      <w:hyperlink r:id="rId37" w:history="1">
        <w:r w:rsidRPr="00F459F7">
          <w:rPr>
            <w:rStyle w:val="Hyperlink"/>
            <w:color w:val="000000" w:themeColor="text1"/>
            <w:u w:val="none"/>
          </w:rPr>
          <w:t>https://doi.org/10.3390/su14159313</w:t>
        </w:r>
      </w:hyperlink>
    </w:p>
    <w:p w14:paraId="0B5F81B9" w14:textId="77777777" w:rsidR="00E3763D" w:rsidRPr="00F459F7" w:rsidRDefault="00E3763D" w:rsidP="00E3763D">
      <w:pPr>
        <w:jc w:val="both"/>
        <w:rPr>
          <w:color w:val="000000" w:themeColor="text1"/>
        </w:rPr>
      </w:pPr>
    </w:p>
    <w:p w14:paraId="09BC8E2D" w14:textId="77777777" w:rsidR="00E3763D" w:rsidRPr="00F459F7" w:rsidRDefault="00E3763D" w:rsidP="00E3763D">
      <w:pPr>
        <w:pStyle w:val="Body"/>
        <w:spacing w:after="0"/>
        <w:rPr>
          <w:color w:val="000000" w:themeColor="text1"/>
        </w:rPr>
      </w:pPr>
      <w:proofErr w:type="spellStart"/>
      <w:r w:rsidRPr="00F459F7">
        <w:rPr>
          <w:rFonts w:ascii="Arial" w:hAnsi="Arial" w:cs="Arial"/>
          <w:color w:val="000000" w:themeColor="text1"/>
          <w:lang w:val="en-PH"/>
        </w:rPr>
        <w:t>Pulhin</w:t>
      </w:r>
      <w:proofErr w:type="spellEnd"/>
      <w:r w:rsidRPr="00F459F7">
        <w:rPr>
          <w:rFonts w:ascii="Arial" w:hAnsi="Arial" w:cs="Arial"/>
          <w:color w:val="000000" w:themeColor="text1"/>
          <w:lang w:val="en-PH"/>
        </w:rPr>
        <w:t xml:space="preserve">, J. M., &amp; Ramirez, M. A. M. (2016a). Timber regulation and value chain in community-based timber enterprise and smallholder forestry in the Philippines. </w:t>
      </w:r>
      <w:r w:rsidRPr="00F459F7">
        <w:rPr>
          <w:rFonts w:ascii="Arial" w:hAnsi="Arial" w:cs="Arial"/>
          <w:i/>
          <w:iCs/>
          <w:color w:val="000000" w:themeColor="text1"/>
          <w:lang w:val="en-PH"/>
        </w:rPr>
        <w:t>Forests, 7</w:t>
      </w:r>
      <w:r w:rsidRPr="00F459F7">
        <w:rPr>
          <w:rFonts w:ascii="Arial" w:hAnsi="Arial" w:cs="Arial"/>
          <w:color w:val="000000" w:themeColor="text1"/>
          <w:lang w:val="en-PH"/>
        </w:rPr>
        <w:t xml:space="preserve">(8), 152. </w:t>
      </w:r>
      <w:hyperlink r:id="rId38" w:tgtFrame="_new" w:history="1">
        <w:r w:rsidRPr="00F459F7">
          <w:rPr>
            <w:rStyle w:val="Hyperlink"/>
            <w:rFonts w:ascii="Arial" w:hAnsi="Arial" w:cs="Arial"/>
            <w:color w:val="000000" w:themeColor="text1"/>
            <w:u w:val="none"/>
            <w:lang w:val="en-PH"/>
          </w:rPr>
          <w:t>https://doi.org/10.3390/f7080152</w:t>
        </w:r>
      </w:hyperlink>
    </w:p>
    <w:p w14:paraId="27FDB169" w14:textId="77777777" w:rsidR="00E3763D" w:rsidRPr="00F459F7" w:rsidRDefault="00E3763D" w:rsidP="00E3763D">
      <w:pPr>
        <w:pStyle w:val="Body"/>
        <w:spacing w:after="0"/>
        <w:rPr>
          <w:rFonts w:ascii="Arial" w:hAnsi="Arial" w:cs="Arial"/>
          <w:color w:val="000000" w:themeColor="text1"/>
        </w:rPr>
      </w:pPr>
    </w:p>
    <w:p w14:paraId="21A70F52" w14:textId="77777777" w:rsidR="00E3763D" w:rsidRPr="00F459F7" w:rsidRDefault="00E3763D" w:rsidP="00E3763D">
      <w:pPr>
        <w:pStyle w:val="Body"/>
        <w:spacing w:after="0"/>
        <w:rPr>
          <w:color w:val="000000" w:themeColor="text1"/>
        </w:rPr>
      </w:pPr>
      <w:proofErr w:type="spellStart"/>
      <w:r w:rsidRPr="00F459F7">
        <w:rPr>
          <w:rFonts w:ascii="Arial" w:hAnsi="Arial" w:cs="Arial"/>
          <w:color w:val="000000" w:themeColor="text1"/>
          <w:lang w:val="en-PH"/>
        </w:rPr>
        <w:t>Pulhin</w:t>
      </w:r>
      <w:proofErr w:type="spellEnd"/>
      <w:r w:rsidRPr="00F459F7">
        <w:rPr>
          <w:rFonts w:ascii="Arial" w:hAnsi="Arial" w:cs="Arial"/>
          <w:color w:val="000000" w:themeColor="text1"/>
          <w:lang w:val="en-PH"/>
        </w:rPr>
        <w:t xml:space="preserve">, J. M., &amp; Ramirez, M. A. M. (2016b). Unlocking the socioeconomic potentials of timber harvesting in community-based forest management and smallholder forestry in the Philippines. </w:t>
      </w:r>
      <w:r w:rsidRPr="00F459F7">
        <w:rPr>
          <w:rFonts w:ascii="Arial" w:hAnsi="Arial" w:cs="Arial"/>
          <w:i/>
          <w:iCs/>
          <w:color w:val="000000" w:themeColor="text1"/>
          <w:lang w:val="en-PH"/>
        </w:rPr>
        <w:t>FAO Forest Policy and Institutions Working Paper No. 14.</w:t>
      </w:r>
      <w:r w:rsidRPr="00F459F7">
        <w:rPr>
          <w:rFonts w:ascii="Arial" w:hAnsi="Arial" w:cs="Arial"/>
          <w:color w:val="000000" w:themeColor="text1"/>
          <w:lang w:val="en-PH"/>
        </w:rPr>
        <w:t xml:space="preserve"> </w:t>
      </w:r>
      <w:hyperlink r:id="rId39" w:tgtFrame="_new" w:history="1">
        <w:r w:rsidRPr="00F459F7">
          <w:rPr>
            <w:rStyle w:val="Hyperlink"/>
            <w:rFonts w:ascii="Arial" w:hAnsi="Arial" w:cs="Arial"/>
            <w:color w:val="000000" w:themeColor="text1"/>
            <w:u w:val="none"/>
            <w:lang w:val="en-PH"/>
          </w:rPr>
          <w:t>https://foris.fao.org/wfc2015/api/file/55476d5fe52d79267e89a5ed/contents/36d2e912-1da9-4316-9fff-215142a985e6.pdf</w:t>
        </w:r>
      </w:hyperlink>
    </w:p>
    <w:p w14:paraId="734D9231" w14:textId="77777777" w:rsidR="00E3763D" w:rsidRPr="00F459F7" w:rsidRDefault="00E3763D" w:rsidP="00E3763D">
      <w:pPr>
        <w:pStyle w:val="Body"/>
        <w:spacing w:after="0"/>
        <w:rPr>
          <w:rFonts w:ascii="Arial" w:hAnsi="Arial" w:cs="Arial"/>
          <w:color w:val="000000" w:themeColor="text1"/>
        </w:rPr>
      </w:pPr>
    </w:p>
    <w:p w14:paraId="21036E65" w14:textId="77777777" w:rsidR="00E3763D" w:rsidRPr="00F459F7" w:rsidRDefault="00E3763D" w:rsidP="00E3763D">
      <w:pPr>
        <w:pStyle w:val="Body"/>
        <w:spacing w:after="0"/>
        <w:rPr>
          <w:color w:val="000000" w:themeColor="text1"/>
        </w:rPr>
      </w:pPr>
      <w:proofErr w:type="spellStart"/>
      <w:r w:rsidRPr="00F459F7">
        <w:rPr>
          <w:rFonts w:ascii="Arial" w:hAnsi="Arial" w:cs="Arial"/>
          <w:color w:val="000000" w:themeColor="text1"/>
          <w:lang w:val="en-PH"/>
        </w:rPr>
        <w:t>Pulhin</w:t>
      </w:r>
      <w:proofErr w:type="spellEnd"/>
      <w:r w:rsidRPr="00F459F7">
        <w:rPr>
          <w:rFonts w:ascii="Arial" w:hAnsi="Arial" w:cs="Arial"/>
          <w:color w:val="000000" w:themeColor="text1"/>
          <w:lang w:val="en-PH"/>
        </w:rPr>
        <w:t xml:space="preserve">, J. M., Inoue, M., &amp; Enters, T. (2007). Three decades of community-based forest management in the Philippines: Emerging lessons for sustainable and equitable forest management. </w:t>
      </w:r>
      <w:r w:rsidRPr="00F459F7">
        <w:rPr>
          <w:rFonts w:ascii="Arial" w:hAnsi="Arial" w:cs="Arial"/>
          <w:i/>
          <w:iCs/>
          <w:color w:val="000000" w:themeColor="text1"/>
          <w:lang w:val="en-PH"/>
        </w:rPr>
        <w:t>International Forestry Review, 9</w:t>
      </w:r>
      <w:r w:rsidRPr="00F459F7">
        <w:rPr>
          <w:rFonts w:ascii="Arial" w:hAnsi="Arial" w:cs="Arial"/>
          <w:color w:val="000000" w:themeColor="text1"/>
          <w:lang w:val="en-PH"/>
        </w:rPr>
        <w:t xml:space="preserve">(4), 865–883. </w:t>
      </w:r>
      <w:hyperlink r:id="rId40" w:tgtFrame="_new" w:history="1">
        <w:r w:rsidRPr="00F459F7">
          <w:rPr>
            <w:rStyle w:val="Hyperlink"/>
            <w:rFonts w:ascii="Arial" w:hAnsi="Arial" w:cs="Arial"/>
            <w:color w:val="000000" w:themeColor="text1"/>
            <w:u w:val="none"/>
            <w:lang w:val="en-PH"/>
          </w:rPr>
          <w:t>https://doi.org/10.1505/ifor.9.4.865</w:t>
        </w:r>
      </w:hyperlink>
    </w:p>
    <w:p w14:paraId="2E165602" w14:textId="77777777" w:rsidR="00E3763D" w:rsidRPr="00F459F7" w:rsidRDefault="00E3763D" w:rsidP="00E3763D">
      <w:pPr>
        <w:pStyle w:val="Body"/>
        <w:spacing w:after="0"/>
        <w:rPr>
          <w:rFonts w:ascii="Arial" w:hAnsi="Arial" w:cs="Arial"/>
          <w:color w:val="000000" w:themeColor="text1"/>
        </w:rPr>
      </w:pPr>
    </w:p>
    <w:p w14:paraId="1BAED59C" w14:textId="77777777" w:rsidR="00E3763D" w:rsidRPr="00F459F7" w:rsidRDefault="00E3763D" w:rsidP="00E3763D">
      <w:pPr>
        <w:pStyle w:val="Body"/>
        <w:spacing w:after="0"/>
        <w:rPr>
          <w:color w:val="000000" w:themeColor="text1"/>
        </w:rPr>
      </w:pPr>
      <w:proofErr w:type="spellStart"/>
      <w:r w:rsidRPr="00F459F7">
        <w:rPr>
          <w:rFonts w:ascii="Arial" w:hAnsi="Arial" w:cs="Arial"/>
          <w:color w:val="000000" w:themeColor="text1"/>
          <w:lang w:val="en-PH"/>
        </w:rPr>
        <w:t>Pulhin</w:t>
      </w:r>
      <w:proofErr w:type="spellEnd"/>
      <w:r w:rsidRPr="00F459F7">
        <w:rPr>
          <w:rFonts w:ascii="Arial" w:hAnsi="Arial" w:cs="Arial"/>
          <w:color w:val="000000" w:themeColor="text1"/>
          <w:lang w:val="en-PH"/>
        </w:rPr>
        <w:t xml:space="preserve">, J. M., Ramirez, M. A. M., Garcia, J. E., Pangilinan, M. J. Q., Evaristo, M. B. S., </w:t>
      </w:r>
      <w:proofErr w:type="spellStart"/>
      <w:r w:rsidRPr="00F459F7">
        <w:rPr>
          <w:rFonts w:ascii="Arial" w:hAnsi="Arial" w:cs="Arial"/>
          <w:color w:val="000000" w:themeColor="text1"/>
          <w:lang w:val="en-PH"/>
        </w:rPr>
        <w:t>Catudio</w:t>
      </w:r>
      <w:proofErr w:type="spellEnd"/>
      <w:r w:rsidRPr="00F459F7">
        <w:rPr>
          <w:rFonts w:ascii="Arial" w:hAnsi="Arial" w:cs="Arial"/>
          <w:color w:val="000000" w:themeColor="text1"/>
          <w:lang w:val="en-PH"/>
        </w:rPr>
        <w:t xml:space="preserve">, M. L. R. O., Magpantay, A. T., </w:t>
      </w:r>
      <w:proofErr w:type="spellStart"/>
      <w:r w:rsidRPr="00F459F7">
        <w:rPr>
          <w:rFonts w:ascii="Arial" w:hAnsi="Arial" w:cs="Arial"/>
          <w:color w:val="000000" w:themeColor="text1"/>
          <w:lang w:val="en-PH"/>
        </w:rPr>
        <w:t>Tasico</w:t>
      </w:r>
      <w:proofErr w:type="spellEnd"/>
      <w:r w:rsidRPr="00F459F7">
        <w:rPr>
          <w:rFonts w:ascii="Arial" w:hAnsi="Arial" w:cs="Arial"/>
          <w:color w:val="000000" w:themeColor="text1"/>
          <w:lang w:val="en-PH"/>
        </w:rPr>
        <w:t xml:space="preserve">, S. L., </w:t>
      </w:r>
      <w:proofErr w:type="spellStart"/>
      <w:r w:rsidRPr="00F459F7">
        <w:rPr>
          <w:rFonts w:ascii="Arial" w:hAnsi="Arial" w:cs="Arial"/>
          <w:color w:val="000000" w:themeColor="text1"/>
          <w:lang w:val="en-PH"/>
        </w:rPr>
        <w:t>Pulhin</w:t>
      </w:r>
      <w:proofErr w:type="spellEnd"/>
      <w:r w:rsidRPr="00F459F7">
        <w:rPr>
          <w:rFonts w:ascii="Arial" w:hAnsi="Arial" w:cs="Arial"/>
          <w:color w:val="000000" w:themeColor="text1"/>
          <w:lang w:val="en-PH"/>
        </w:rPr>
        <w:t xml:space="preserve">, F. B., Abes, J. L., &amp; Mariano, B. J. S. (2024). Contextualizing sustainable forest management and social justice in community-based forest management (CBFM) program in the Philippines. </w:t>
      </w:r>
      <w:r w:rsidRPr="00F459F7">
        <w:rPr>
          <w:rFonts w:ascii="Arial" w:hAnsi="Arial" w:cs="Arial"/>
          <w:i/>
          <w:iCs/>
          <w:color w:val="000000" w:themeColor="text1"/>
          <w:lang w:val="en-PH"/>
        </w:rPr>
        <w:t>Trees, Forests and People, 16</w:t>
      </w:r>
      <w:r w:rsidRPr="00F459F7">
        <w:rPr>
          <w:rFonts w:ascii="Arial" w:hAnsi="Arial" w:cs="Arial"/>
          <w:color w:val="000000" w:themeColor="text1"/>
          <w:lang w:val="en-PH"/>
        </w:rPr>
        <w:t xml:space="preserve">, 100589. </w:t>
      </w:r>
      <w:hyperlink r:id="rId41" w:tgtFrame="_new" w:history="1">
        <w:r w:rsidRPr="00F459F7">
          <w:rPr>
            <w:rStyle w:val="Hyperlink"/>
            <w:rFonts w:ascii="Arial" w:hAnsi="Arial" w:cs="Arial"/>
            <w:color w:val="000000" w:themeColor="text1"/>
            <w:u w:val="none"/>
            <w:lang w:val="en-PH"/>
          </w:rPr>
          <w:t>https://doi.org/10.1016/j.tfp.2024.100589</w:t>
        </w:r>
      </w:hyperlink>
    </w:p>
    <w:p w14:paraId="3A33103D" w14:textId="77777777" w:rsidR="00E3763D" w:rsidRPr="00F459F7" w:rsidRDefault="00E3763D" w:rsidP="00E3763D">
      <w:pPr>
        <w:pStyle w:val="Body"/>
        <w:spacing w:after="0"/>
        <w:rPr>
          <w:rFonts w:ascii="Arial" w:hAnsi="Arial" w:cs="Arial"/>
          <w:color w:val="000000" w:themeColor="text1"/>
        </w:rPr>
      </w:pPr>
    </w:p>
    <w:p w14:paraId="1D458F00" w14:textId="77777777" w:rsidR="00E3763D" w:rsidRPr="00F459F7" w:rsidRDefault="00E3763D" w:rsidP="00E3763D">
      <w:pPr>
        <w:jc w:val="both"/>
        <w:rPr>
          <w:color w:val="000000" w:themeColor="text1"/>
        </w:rPr>
      </w:pPr>
      <w:proofErr w:type="spellStart"/>
      <w:r w:rsidRPr="00F459F7">
        <w:rPr>
          <w:color w:val="000000" w:themeColor="text1"/>
        </w:rPr>
        <w:t>Sanudin</w:t>
      </w:r>
      <w:proofErr w:type="spellEnd"/>
      <w:r w:rsidRPr="00F459F7">
        <w:rPr>
          <w:color w:val="000000" w:themeColor="text1"/>
        </w:rPr>
        <w:t xml:space="preserve">, A., Widiyanto, A., </w:t>
      </w:r>
      <w:proofErr w:type="spellStart"/>
      <w:r w:rsidRPr="00F459F7">
        <w:rPr>
          <w:color w:val="000000" w:themeColor="text1"/>
        </w:rPr>
        <w:t>Fauziyah</w:t>
      </w:r>
      <w:proofErr w:type="spellEnd"/>
      <w:r w:rsidRPr="00F459F7">
        <w:rPr>
          <w:color w:val="000000" w:themeColor="text1"/>
        </w:rPr>
        <w:t xml:space="preserve">, E., &amp; </w:t>
      </w:r>
      <w:proofErr w:type="spellStart"/>
      <w:r w:rsidRPr="00F459F7">
        <w:rPr>
          <w:color w:val="000000" w:themeColor="text1"/>
        </w:rPr>
        <w:t>Sundawati</w:t>
      </w:r>
      <w:proofErr w:type="spellEnd"/>
      <w:r w:rsidRPr="00F459F7">
        <w:rPr>
          <w:color w:val="000000" w:themeColor="text1"/>
        </w:rPr>
        <w:t xml:space="preserve">, L. (2023). Agroforestry farmers’ resilience in social forestry and private forest programs during the COVID-19 pandemic in </w:t>
      </w:r>
      <w:r w:rsidRPr="00F459F7">
        <w:rPr>
          <w:color w:val="000000" w:themeColor="text1"/>
        </w:rPr>
        <w:lastRenderedPageBreak/>
        <w:t xml:space="preserve">Indonesia. </w:t>
      </w:r>
      <w:r w:rsidRPr="00F459F7">
        <w:rPr>
          <w:i/>
          <w:iCs/>
          <w:color w:val="000000" w:themeColor="text1"/>
        </w:rPr>
        <w:t>Forest Science and Technology, 19</w:t>
      </w:r>
      <w:r w:rsidRPr="00F459F7">
        <w:rPr>
          <w:color w:val="000000" w:themeColor="text1"/>
        </w:rPr>
        <w:t xml:space="preserve">(2), 108–118. </w:t>
      </w:r>
      <w:hyperlink r:id="rId42" w:history="1">
        <w:r w:rsidRPr="00F459F7">
          <w:rPr>
            <w:rStyle w:val="Hyperlink"/>
            <w:color w:val="000000" w:themeColor="text1"/>
            <w:u w:val="none"/>
          </w:rPr>
          <w:t>https://doi.org/10.1080/21580103.2023.2222156</w:t>
        </w:r>
      </w:hyperlink>
    </w:p>
    <w:p w14:paraId="53AE3B40" w14:textId="77777777" w:rsidR="00E3763D" w:rsidRPr="00F459F7" w:rsidRDefault="00E3763D" w:rsidP="00E3763D">
      <w:pPr>
        <w:jc w:val="both"/>
        <w:rPr>
          <w:color w:val="000000" w:themeColor="text1"/>
        </w:rPr>
      </w:pPr>
    </w:p>
    <w:p w14:paraId="596F2494" w14:textId="606CD0A3" w:rsidR="00C4603E" w:rsidRDefault="00E3763D" w:rsidP="00E3763D">
      <w:pPr>
        <w:jc w:val="both"/>
        <w:rPr>
          <w:color w:val="000000" w:themeColor="text1"/>
        </w:rPr>
      </w:pPr>
      <w:r w:rsidRPr="00F459F7">
        <w:rPr>
          <w:color w:val="000000" w:themeColor="text1"/>
        </w:rPr>
        <w:t xml:space="preserve">Su Mon San, Kumar, N., Biber-Freudenberger, L., Schmitt, C. B., Wang, L., Wei, F., Tagesson, T., Fang, Z., &amp; Svenning, J.-C. (2023). Agroforestry-based community forestry as a large-scale strategy to reforest agricultural encroachment areas in Myanmar: Ambition vs. local reality. </w:t>
      </w:r>
      <w:r w:rsidRPr="00F459F7">
        <w:rPr>
          <w:i/>
          <w:iCs/>
          <w:color w:val="000000" w:themeColor="text1"/>
        </w:rPr>
        <w:t>Annals of Forest Science, 80</w:t>
      </w:r>
      <w:r w:rsidRPr="00F459F7">
        <w:rPr>
          <w:color w:val="000000" w:themeColor="text1"/>
        </w:rPr>
        <w:t xml:space="preserve">(1), 1–17. </w:t>
      </w:r>
      <w:r w:rsidR="00C4603E">
        <w:rPr>
          <w:color w:val="000000" w:themeColor="text1"/>
        </w:rPr>
        <w:t>https://doi.org/10/1186/s13595-023-01191-x</w:t>
      </w:r>
    </w:p>
    <w:p w14:paraId="23BFC85B" w14:textId="77777777" w:rsidR="00E3763D" w:rsidRPr="00F459F7" w:rsidRDefault="00E3763D" w:rsidP="00E3763D">
      <w:pPr>
        <w:jc w:val="both"/>
        <w:rPr>
          <w:color w:val="000000" w:themeColor="text1"/>
        </w:rPr>
      </w:pPr>
    </w:p>
    <w:p w14:paraId="5B1949FD" w14:textId="77777777" w:rsidR="00E3763D" w:rsidRPr="00F459F7" w:rsidRDefault="00E3763D" w:rsidP="00E3763D">
      <w:pPr>
        <w:pStyle w:val="Body"/>
        <w:spacing w:after="0"/>
        <w:rPr>
          <w:color w:val="000000" w:themeColor="text1"/>
        </w:rPr>
      </w:pPr>
      <w:r w:rsidRPr="00F459F7">
        <w:rPr>
          <w:rFonts w:ascii="Arial" w:hAnsi="Arial" w:cs="Arial"/>
          <w:color w:val="000000" w:themeColor="text1"/>
          <w:lang w:val="en-PH"/>
        </w:rPr>
        <w:t xml:space="preserve">van </w:t>
      </w:r>
      <w:proofErr w:type="spellStart"/>
      <w:r w:rsidRPr="00F459F7">
        <w:rPr>
          <w:rFonts w:ascii="Arial" w:hAnsi="Arial" w:cs="Arial"/>
          <w:color w:val="000000" w:themeColor="text1"/>
          <w:lang w:val="en-PH"/>
        </w:rPr>
        <w:t>Noordwijk</w:t>
      </w:r>
      <w:proofErr w:type="spellEnd"/>
      <w:r w:rsidRPr="00F459F7">
        <w:rPr>
          <w:rFonts w:ascii="Arial" w:hAnsi="Arial" w:cs="Arial"/>
          <w:color w:val="000000" w:themeColor="text1"/>
          <w:lang w:val="en-PH"/>
        </w:rPr>
        <w:t xml:space="preserve">, M., Bayala, J., </w:t>
      </w:r>
      <w:proofErr w:type="spellStart"/>
      <w:r w:rsidRPr="00F459F7">
        <w:rPr>
          <w:rFonts w:ascii="Arial" w:hAnsi="Arial" w:cs="Arial"/>
          <w:color w:val="000000" w:themeColor="text1"/>
          <w:lang w:val="en-PH"/>
        </w:rPr>
        <w:t>Hairiah</w:t>
      </w:r>
      <w:proofErr w:type="spellEnd"/>
      <w:r w:rsidRPr="00F459F7">
        <w:rPr>
          <w:rFonts w:ascii="Arial" w:hAnsi="Arial" w:cs="Arial"/>
          <w:color w:val="000000" w:themeColor="text1"/>
          <w:lang w:val="en-PH"/>
        </w:rPr>
        <w:t xml:space="preserve">, K., Lusiana, B., Muthuri, C., </w:t>
      </w:r>
      <w:proofErr w:type="spellStart"/>
      <w:r w:rsidRPr="00F459F7">
        <w:rPr>
          <w:rFonts w:ascii="Arial" w:hAnsi="Arial" w:cs="Arial"/>
          <w:color w:val="000000" w:themeColor="text1"/>
          <w:lang w:val="en-PH"/>
        </w:rPr>
        <w:t>Khasanah</w:t>
      </w:r>
      <w:proofErr w:type="spellEnd"/>
      <w:r w:rsidRPr="00F459F7">
        <w:rPr>
          <w:rFonts w:ascii="Arial" w:hAnsi="Arial" w:cs="Arial"/>
          <w:color w:val="000000" w:themeColor="text1"/>
          <w:lang w:val="en-PH"/>
        </w:rPr>
        <w:t xml:space="preserve">, N., &amp; Mulia, R. (2014). Agroforestry solutions for buffering climate variability and adapting to change. </w:t>
      </w:r>
      <w:r w:rsidRPr="00F459F7">
        <w:rPr>
          <w:rFonts w:ascii="Arial" w:hAnsi="Arial" w:cs="Arial"/>
          <w:i/>
          <w:iCs/>
          <w:color w:val="000000" w:themeColor="text1"/>
          <w:lang w:val="en-PH"/>
        </w:rPr>
        <w:t>Current Opinion in Environmental Sustainability, 14</w:t>
      </w:r>
      <w:r w:rsidRPr="00F459F7">
        <w:rPr>
          <w:rFonts w:ascii="Arial" w:hAnsi="Arial" w:cs="Arial"/>
          <w:color w:val="000000" w:themeColor="text1"/>
          <w:lang w:val="en-PH"/>
        </w:rPr>
        <w:t xml:space="preserve">, 91–96. </w:t>
      </w:r>
      <w:hyperlink r:id="rId43" w:tgtFrame="_new" w:history="1">
        <w:r w:rsidRPr="00F459F7">
          <w:rPr>
            <w:rStyle w:val="Hyperlink"/>
            <w:rFonts w:ascii="Arial" w:hAnsi="Arial" w:cs="Arial"/>
            <w:color w:val="000000" w:themeColor="text1"/>
            <w:u w:val="none"/>
            <w:lang w:val="en-PH"/>
          </w:rPr>
          <w:t>https://doi.org/10.1016/j.cosust.2015.05.006</w:t>
        </w:r>
      </w:hyperlink>
    </w:p>
    <w:p w14:paraId="3CB29F71" w14:textId="77777777" w:rsidR="00E3763D" w:rsidRPr="00F459F7" w:rsidRDefault="00E3763D" w:rsidP="00E3763D">
      <w:pPr>
        <w:pStyle w:val="Body"/>
        <w:spacing w:after="0"/>
        <w:rPr>
          <w:rFonts w:ascii="Arial" w:hAnsi="Arial" w:cs="Arial"/>
          <w:color w:val="000000" w:themeColor="text1"/>
        </w:rPr>
      </w:pPr>
    </w:p>
    <w:p w14:paraId="74384B4B" w14:textId="0EF04F67" w:rsidR="00E3763D" w:rsidRPr="00F459F7" w:rsidRDefault="00E3763D" w:rsidP="00E3763D">
      <w:pPr>
        <w:pStyle w:val="Body"/>
        <w:spacing w:after="0"/>
        <w:rPr>
          <w:rFonts w:ascii="Arial" w:hAnsi="Arial" w:cs="Arial"/>
          <w:color w:val="000000" w:themeColor="text1"/>
          <w:lang w:val="en-PH"/>
        </w:rPr>
      </w:pPr>
      <w:r w:rsidRPr="00F459F7">
        <w:rPr>
          <w:rFonts w:ascii="Arial" w:hAnsi="Arial" w:cs="Arial"/>
          <w:color w:val="000000" w:themeColor="text1"/>
          <w:lang w:val="en-PH"/>
        </w:rPr>
        <w:t xml:space="preserve">Visscher, A. M., et al. (2024). Agroforestry enhances biological activity, diversity and soil-based ecosystem functions in mountain agroecosystems of Latin America: A meta-analysis. </w:t>
      </w:r>
      <w:r w:rsidRPr="00F459F7">
        <w:rPr>
          <w:rFonts w:ascii="Arial" w:hAnsi="Arial" w:cs="Arial"/>
          <w:i/>
          <w:iCs/>
          <w:color w:val="000000" w:themeColor="text1"/>
          <w:lang w:val="en-PH"/>
        </w:rPr>
        <w:t>Global Change Biology, 30</w:t>
      </w:r>
      <w:r w:rsidRPr="00F459F7">
        <w:rPr>
          <w:rFonts w:ascii="Arial" w:hAnsi="Arial" w:cs="Arial"/>
          <w:color w:val="000000" w:themeColor="text1"/>
          <w:lang w:val="en-PH"/>
        </w:rPr>
        <w:t xml:space="preserve">(1), e17036. </w:t>
      </w:r>
      <w:hyperlink r:id="rId44" w:history="1">
        <w:r w:rsidRPr="00F459F7">
          <w:rPr>
            <w:rStyle w:val="Hyperlink"/>
            <w:rFonts w:ascii="Arial" w:hAnsi="Arial" w:cs="Arial"/>
            <w:color w:val="000000" w:themeColor="text1"/>
            <w:u w:val="none"/>
            <w:lang w:val="en-PH"/>
          </w:rPr>
          <w:t>https://doi.org/10.1111/gcb.17036</w:t>
        </w:r>
      </w:hyperlink>
    </w:p>
    <w:p w14:paraId="09413C48" w14:textId="77777777" w:rsidR="00E3763D" w:rsidRPr="00F459F7" w:rsidRDefault="00E3763D" w:rsidP="00E3763D">
      <w:pPr>
        <w:pStyle w:val="Body"/>
        <w:spacing w:after="0"/>
        <w:rPr>
          <w:rFonts w:ascii="Arial" w:hAnsi="Arial" w:cs="Arial"/>
          <w:color w:val="000000" w:themeColor="text1"/>
          <w:lang w:val="en-PH"/>
        </w:rPr>
      </w:pPr>
    </w:p>
    <w:p w14:paraId="2EAD7B07" w14:textId="77777777" w:rsidR="00E3763D" w:rsidRPr="00F459F7" w:rsidRDefault="00E3763D" w:rsidP="00E3763D">
      <w:pPr>
        <w:jc w:val="both"/>
        <w:rPr>
          <w:color w:val="000000" w:themeColor="text1"/>
        </w:rPr>
      </w:pPr>
      <w:r w:rsidRPr="00F459F7">
        <w:rPr>
          <w:color w:val="000000" w:themeColor="text1"/>
        </w:rPr>
        <w:t xml:space="preserve">Wang, L., Wei, F., Tagesson, T., Fang, Z., &amp; Svenning, J.-C. (2025). Transforming forest management through rewilding: Enhancing biodiversity, resilience, and biosphere sustainability under global change. </w:t>
      </w:r>
      <w:r w:rsidRPr="00F459F7">
        <w:rPr>
          <w:i/>
          <w:iCs/>
          <w:color w:val="000000" w:themeColor="text1"/>
        </w:rPr>
        <w:t>One Earth, 8</w:t>
      </w:r>
      <w:r w:rsidRPr="00F459F7">
        <w:rPr>
          <w:color w:val="000000" w:themeColor="text1"/>
        </w:rPr>
        <w:t xml:space="preserve">(3), 101195. </w:t>
      </w:r>
      <w:hyperlink r:id="rId45" w:history="1">
        <w:r w:rsidRPr="00F459F7">
          <w:rPr>
            <w:rStyle w:val="Hyperlink"/>
            <w:color w:val="000000" w:themeColor="text1"/>
            <w:u w:val="none"/>
          </w:rPr>
          <w:t>https://doi.org/10.1016/j.oneear.2025.101195</w:t>
        </w:r>
      </w:hyperlink>
    </w:p>
    <w:p w14:paraId="1FF77845" w14:textId="327724F4" w:rsidR="00E3763D" w:rsidRPr="00781C58" w:rsidRDefault="00E3763D" w:rsidP="00FF493B">
      <w:pPr>
        <w:pStyle w:val="Body"/>
        <w:spacing w:after="0"/>
        <w:rPr>
          <w:rFonts w:ascii="Arial" w:hAnsi="Arial" w:cs="Arial"/>
          <w:color w:val="000000" w:themeColor="text1"/>
        </w:rPr>
      </w:pPr>
    </w:p>
    <w:p w14:paraId="5123FB00" w14:textId="77777777" w:rsidR="007B2FDD" w:rsidRPr="00781C58" w:rsidRDefault="007B2FDD" w:rsidP="00FF493B">
      <w:pPr>
        <w:pStyle w:val="Body"/>
        <w:spacing w:after="0"/>
        <w:rPr>
          <w:color w:val="000000" w:themeColor="text1"/>
        </w:rPr>
      </w:pPr>
    </w:p>
    <w:p w14:paraId="52EF50F0" w14:textId="77777777" w:rsidR="007B2FDD" w:rsidRDefault="007B2FDD" w:rsidP="00FF493B">
      <w:pPr>
        <w:pStyle w:val="Body"/>
        <w:spacing w:after="0"/>
      </w:pPr>
    </w:p>
    <w:p w14:paraId="6770D40D" w14:textId="77777777" w:rsidR="006F2F7B" w:rsidRDefault="006F2F7B" w:rsidP="00FF493B">
      <w:pPr>
        <w:pStyle w:val="Body"/>
        <w:spacing w:after="0"/>
        <w:rPr>
          <w:lang w:val="en-PH"/>
        </w:rPr>
      </w:pPr>
    </w:p>
    <w:sectPr w:rsidR="006F2F7B" w:rsidSect="00BE4315">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FEF82" w14:textId="77777777" w:rsidR="00C814DE" w:rsidRDefault="00C814DE" w:rsidP="00C37E61">
      <w:r>
        <w:separator/>
      </w:r>
    </w:p>
  </w:endnote>
  <w:endnote w:type="continuationSeparator" w:id="0">
    <w:p w14:paraId="40B3EC3E" w14:textId="77777777" w:rsidR="00C814DE" w:rsidRDefault="00C814D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AE458" w14:textId="77777777" w:rsidR="00FC6C7A" w:rsidRDefault="00FC6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74B5" w14:textId="77777777" w:rsidR="00FC6C7A" w:rsidRDefault="00FC6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E250" w14:textId="77777777" w:rsidR="009E048A" w:rsidRDefault="009E048A">
    <w:pPr>
      <w:pStyle w:val="Footer"/>
      <w:rPr>
        <w:rFonts w:ascii="Arial" w:hAnsi="Arial" w:cs="Arial"/>
        <w:sz w:val="16"/>
      </w:rPr>
    </w:pPr>
  </w:p>
  <w:p w14:paraId="1D2BF6E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AAB953F" w14:textId="77777777" w:rsidR="009E048A" w:rsidRDefault="009E048A">
    <w:pPr>
      <w:pStyle w:val="Footer"/>
      <w:rPr>
        <w:rFonts w:ascii="Arial" w:hAnsi="Arial" w:cs="Arial"/>
        <w:sz w:val="16"/>
      </w:rPr>
    </w:pPr>
  </w:p>
  <w:p w14:paraId="6389547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39C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7DD2F" w14:textId="77777777" w:rsidR="00C814DE" w:rsidRDefault="00C814DE" w:rsidP="00C37E61">
      <w:r>
        <w:separator/>
      </w:r>
    </w:p>
  </w:footnote>
  <w:footnote w:type="continuationSeparator" w:id="0">
    <w:p w14:paraId="207A1126" w14:textId="77777777" w:rsidR="00C814DE" w:rsidRDefault="00C814D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BEEF" w14:textId="5ED1A076" w:rsidR="00FC6C7A" w:rsidRDefault="00000000">
    <w:pPr>
      <w:pStyle w:val="Header"/>
    </w:pPr>
    <w:r>
      <w:rPr>
        <w:noProof/>
      </w:rPr>
      <w:pict w14:anchorId="3A40B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18787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1F53" w14:textId="70BDDAF3" w:rsidR="00FC6C7A" w:rsidRDefault="00000000">
    <w:pPr>
      <w:pStyle w:val="Header"/>
    </w:pPr>
    <w:r>
      <w:rPr>
        <w:noProof/>
      </w:rPr>
      <w:pict w14:anchorId="07B97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18787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A320" w14:textId="0EDD334A" w:rsidR="00296529" w:rsidRPr="00296529" w:rsidRDefault="00000000" w:rsidP="00296529">
    <w:pPr>
      <w:ind w:left="2160"/>
      <w:jc w:val="center"/>
      <w:rPr>
        <w:rFonts w:ascii="Times New Roman" w:eastAsia="Calibri" w:hAnsi="Times New Roman"/>
        <w:i/>
        <w:sz w:val="18"/>
        <w:szCs w:val="22"/>
      </w:rPr>
    </w:pPr>
    <w:r>
      <w:rPr>
        <w:noProof/>
      </w:rPr>
      <w:pict w14:anchorId="13E9E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18787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D05C4E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60FB8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09D9FA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02224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E902F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C24628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0112" w14:textId="511CC0DE" w:rsidR="00FC6C7A" w:rsidRDefault="00000000">
    <w:pPr>
      <w:pStyle w:val="Header"/>
    </w:pPr>
    <w:r>
      <w:rPr>
        <w:noProof/>
      </w:rPr>
      <w:pict w14:anchorId="6A156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18787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B6B3" w14:textId="75F1928D" w:rsidR="00FC6C7A" w:rsidRDefault="00000000">
    <w:pPr>
      <w:pStyle w:val="Header"/>
    </w:pPr>
    <w:r>
      <w:rPr>
        <w:noProof/>
      </w:rPr>
      <w:pict w14:anchorId="37814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18788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E406" w14:textId="60AE99BC" w:rsidR="00FC6C7A" w:rsidRDefault="00000000">
    <w:pPr>
      <w:pStyle w:val="Header"/>
    </w:pPr>
    <w:r>
      <w:rPr>
        <w:noProof/>
      </w:rPr>
      <w:pict w14:anchorId="5D74B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18787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CEE4306"/>
    <w:multiLevelType w:val="multilevel"/>
    <w:tmpl w:val="F2FEC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D2A154A"/>
    <w:multiLevelType w:val="multilevel"/>
    <w:tmpl w:val="E14A6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ED28A0"/>
    <w:multiLevelType w:val="multilevel"/>
    <w:tmpl w:val="5734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A63207"/>
    <w:multiLevelType w:val="hybridMultilevel"/>
    <w:tmpl w:val="ACFE3A8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950868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227736">
    <w:abstractNumId w:val="16"/>
  </w:num>
  <w:num w:numId="3" w16cid:durableId="2047829293">
    <w:abstractNumId w:val="27"/>
  </w:num>
  <w:num w:numId="4" w16cid:durableId="80986036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23233901">
    <w:abstractNumId w:val="7"/>
  </w:num>
  <w:num w:numId="6" w16cid:durableId="529532236">
    <w:abstractNumId w:val="6"/>
  </w:num>
  <w:num w:numId="7" w16cid:durableId="1515414690">
    <w:abstractNumId w:val="1"/>
  </w:num>
  <w:num w:numId="8" w16cid:durableId="859663515">
    <w:abstractNumId w:val="12"/>
  </w:num>
  <w:num w:numId="9" w16cid:durableId="590049032">
    <w:abstractNumId w:val="29"/>
  </w:num>
  <w:num w:numId="10" w16cid:durableId="1623612708">
    <w:abstractNumId w:val="2"/>
  </w:num>
  <w:num w:numId="11" w16cid:durableId="431970710">
    <w:abstractNumId w:val="22"/>
  </w:num>
  <w:num w:numId="12" w16cid:durableId="119346862">
    <w:abstractNumId w:val="3"/>
  </w:num>
  <w:num w:numId="13" w16cid:durableId="731929514">
    <w:abstractNumId w:val="21"/>
  </w:num>
  <w:num w:numId="14" w16cid:durableId="134681559">
    <w:abstractNumId w:val="8"/>
  </w:num>
  <w:num w:numId="15" w16cid:durableId="1780252145">
    <w:abstractNumId w:val="25"/>
  </w:num>
  <w:num w:numId="16" w16cid:durableId="861864706">
    <w:abstractNumId w:val="5"/>
  </w:num>
  <w:num w:numId="17" w16cid:durableId="56392965">
    <w:abstractNumId w:val="26"/>
  </w:num>
  <w:num w:numId="18" w16cid:durableId="1968966038">
    <w:abstractNumId w:val="14"/>
  </w:num>
  <w:num w:numId="19" w16cid:durableId="661667890">
    <w:abstractNumId w:val="32"/>
  </w:num>
  <w:num w:numId="20" w16cid:durableId="28535644">
    <w:abstractNumId w:val="11"/>
  </w:num>
  <w:num w:numId="21" w16cid:durableId="55860520">
    <w:abstractNumId w:val="9"/>
  </w:num>
  <w:num w:numId="22" w16cid:durableId="1823043495">
    <w:abstractNumId w:val="13"/>
  </w:num>
  <w:num w:numId="23" w16cid:durableId="2009209759">
    <w:abstractNumId w:val="23"/>
  </w:num>
  <w:num w:numId="24" w16cid:durableId="988707781">
    <w:abstractNumId w:val="30"/>
  </w:num>
  <w:num w:numId="25" w16cid:durableId="169180245">
    <w:abstractNumId w:val="4"/>
  </w:num>
  <w:num w:numId="26" w16cid:durableId="1020202616">
    <w:abstractNumId w:val="19"/>
  </w:num>
  <w:num w:numId="27" w16cid:durableId="927077840">
    <w:abstractNumId w:val="24"/>
  </w:num>
  <w:num w:numId="28" w16cid:durableId="1946695570">
    <w:abstractNumId w:val="31"/>
  </w:num>
  <w:num w:numId="29" w16cid:durableId="343678958">
    <w:abstractNumId w:val="28"/>
  </w:num>
  <w:num w:numId="30" w16cid:durableId="1299919746">
    <w:abstractNumId w:val="10"/>
  </w:num>
  <w:num w:numId="31" w16cid:durableId="265115104">
    <w:abstractNumId w:val="15"/>
  </w:num>
  <w:num w:numId="32" w16cid:durableId="564461594">
    <w:abstractNumId w:val="18"/>
  </w:num>
  <w:num w:numId="33" w16cid:durableId="23291885">
    <w:abstractNumId w:val="17"/>
  </w:num>
  <w:num w:numId="34" w16cid:durableId="101821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DB4"/>
    <w:rsid w:val="0002484A"/>
    <w:rsid w:val="00030174"/>
    <w:rsid w:val="0004579C"/>
    <w:rsid w:val="00045805"/>
    <w:rsid w:val="000468A0"/>
    <w:rsid w:val="00061305"/>
    <w:rsid w:val="00095B5D"/>
    <w:rsid w:val="000A47FA"/>
    <w:rsid w:val="000A65D3"/>
    <w:rsid w:val="000B0980"/>
    <w:rsid w:val="000B1E33"/>
    <w:rsid w:val="000C1206"/>
    <w:rsid w:val="000C40E3"/>
    <w:rsid w:val="000D2814"/>
    <w:rsid w:val="000D689F"/>
    <w:rsid w:val="000E7B7B"/>
    <w:rsid w:val="000E7D62"/>
    <w:rsid w:val="00103357"/>
    <w:rsid w:val="00123C9F"/>
    <w:rsid w:val="00126190"/>
    <w:rsid w:val="00130F17"/>
    <w:rsid w:val="001320BF"/>
    <w:rsid w:val="00147196"/>
    <w:rsid w:val="00163BC4"/>
    <w:rsid w:val="00191062"/>
    <w:rsid w:val="00192B72"/>
    <w:rsid w:val="001A29D8"/>
    <w:rsid w:val="001A5CAA"/>
    <w:rsid w:val="001B0427"/>
    <w:rsid w:val="001C58E2"/>
    <w:rsid w:val="001D3A51"/>
    <w:rsid w:val="001E10D2"/>
    <w:rsid w:val="001E25B4"/>
    <w:rsid w:val="001E44FE"/>
    <w:rsid w:val="00200595"/>
    <w:rsid w:val="002008BF"/>
    <w:rsid w:val="00204835"/>
    <w:rsid w:val="00231920"/>
    <w:rsid w:val="0023195C"/>
    <w:rsid w:val="00234E5D"/>
    <w:rsid w:val="0024282C"/>
    <w:rsid w:val="00243E64"/>
    <w:rsid w:val="002460DC"/>
    <w:rsid w:val="0024751C"/>
    <w:rsid w:val="00250985"/>
    <w:rsid w:val="002556F6"/>
    <w:rsid w:val="002624E4"/>
    <w:rsid w:val="00264091"/>
    <w:rsid w:val="002647BC"/>
    <w:rsid w:val="0027073A"/>
    <w:rsid w:val="00273840"/>
    <w:rsid w:val="002764B1"/>
    <w:rsid w:val="00283105"/>
    <w:rsid w:val="00284C4C"/>
    <w:rsid w:val="00287E68"/>
    <w:rsid w:val="00296529"/>
    <w:rsid w:val="002A3C23"/>
    <w:rsid w:val="002B27FB"/>
    <w:rsid w:val="002B685A"/>
    <w:rsid w:val="002C57D2"/>
    <w:rsid w:val="002D411D"/>
    <w:rsid w:val="002E0D56"/>
    <w:rsid w:val="003107A7"/>
    <w:rsid w:val="003131E0"/>
    <w:rsid w:val="00315186"/>
    <w:rsid w:val="00320711"/>
    <w:rsid w:val="00327271"/>
    <w:rsid w:val="0033343E"/>
    <w:rsid w:val="00347599"/>
    <w:rsid w:val="003512C2"/>
    <w:rsid w:val="003545E0"/>
    <w:rsid w:val="00357C2A"/>
    <w:rsid w:val="00371FB6"/>
    <w:rsid w:val="00372A31"/>
    <w:rsid w:val="00372DB3"/>
    <w:rsid w:val="003763C1"/>
    <w:rsid w:val="00376BBE"/>
    <w:rsid w:val="0039224F"/>
    <w:rsid w:val="00392E98"/>
    <w:rsid w:val="003A43A4"/>
    <w:rsid w:val="003A6A69"/>
    <w:rsid w:val="003A7E18"/>
    <w:rsid w:val="003B11EB"/>
    <w:rsid w:val="003B1BB7"/>
    <w:rsid w:val="003B65B6"/>
    <w:rsid w:val="003C4C86"/>
    <w:rsid w:val="003C6258"/>
    <w:rsid w:val="003D39E7"/>
    <w:rsid w:val="003E2904"/>
    <w:rsid w:val="00401927"/>
    <w:rsid w:val="0041027F"/>
    <w:rsid w:val="00412475"/>
    <w:rsid w:val="00423789"/>
    <w:rsid w:val="00432553"/>
    <w:rsid w:val="00440F43"/>
    <w:rsid w:val="00441B6F"/>
    <w:rsid w:val="00446221"/>
    <w:rsid w:val="00450E62"/>
    <w:rsid w:val="004539DB"/>
    <w:rsid w:val="00471A80"/>
    <w:rsid w:val="004B102D"/>
    <w:rsid w:val="004D305E"/>
    <w:rsid w:val="004D4277"/>
    <w:rsid w:val="004F5948"/>
    <w:rsid w:val="00502516"/>
    <w:rsid w:val="00503B26"/>
    <w:rsid w:val="00505F06"/>
    <w:rsid w:val="00506828"/>
    <w:rsid w:val="00506A3B"/>
    <w:rsid w:val="00527CEC"/>
    <w:rsid w:val="0053056E"/>
    <w:rsid w:val="00540620"/>
    <w:rsid w:val="00554FDA"/>
    <w:rsid w:val="00563BA9"/>
    <w:rsid w:val="005965E1"/>
    <w:rsid w:val="005C784C"/>
    <w:rsid w:val="005D17F6"/>
    <w:rsid w:val="005E1064"/>
    <w:rsid w:val="005E502F"/>
    <w:rsid w:val="005E5539"/>
    <w:rsid w:val="00600634"/>
    <w:rsid w:val="00602BF5"/>
    <w:rsid w:val="00607245"/>
    <w:rsid w:val="00617FDD"/>
    <w:rsid w:val="00633614"/>
    <w:rsid w:val="00633A0C"/>
    <w:rsid w:val="00633F68"/>
    <w:rsid w:val="00636EB2"/>
    <w:rsid w:val="006375B8"/>
    <w:rsid w:val="00637AA2"/>
    <w:rsid w:val="0066510A"/>
    <w:rsid w:val="00673F9F"/>
    <w:rsid w:val="00686953"/>
    <w:rsid w:val="00687DEA"/>
    <w:rsid w:val="00687E67"/>
    <w:rsid w:val="006967F7"/>
    <w:rsid w:val="006977A8"/>
    <w:rsid w:val="006A250C"/>
    <w:rsid w:val="006A2F2E"/>
    <w:rsid w:val="006B21D3"/>
    <w:rsid w:val="006B57D0"/>
    <w:rsid w:val="006D30FF"/>
    <w:rsid w:val="006D6940"/>
    <w:rsid w:val="006D6CCE"/>
    <w:rsid w:val="006F11EC"/>
    <w:rsid w:val="006F2363"/>
    <w:rsid w:val="006F288B"/>
    <w:rsid w:val="006F2F7B"/>
    <w:rsid w:val="0070082C"/>
    <w:rsid w:val="007033D5"/>
    <w:rsid w:val="007352A9"/>
    <w:rsid w:val="007369E6"/>
    <w:rsid w:val="00746E59"/>
    <w:rsid w:val="00754C9A"/>
    <w:rsid w:val="0075599A"/>
    <w:rsid w:val="00761D52"/>
    <w:rsid w:val="0077749E"/>
    <w:rsid w:val="00781C58"/>
    <w:rsid w:val="00790ADA"/>
    <w:rsid w:val="007B2FDD"/>
    <w:rsid w:val="007B73D1"/>
    <w:rsid w:val="007D2288"/>
    <w:rsid w:val="007E088F"/>
    <w:rsid w:val="007E1142"/>
    <w:rsid w:val="007F7B32"/>
    <w:rsid w:val="00804BC2"/>
    <w:rsid w:val="0081431A"/>
    <w:rsid w:val="0082631F"/>
    <w:rsid w:val="0083216F"/>
    <w:rsid w:val="0085597D"/>
    <w:rsid w:val="00860000"/>
    <w:rsid w:val="00863BD3"/>
    <w:rsid w:val="008641ED"/>
    <w:rsid w:val="00866D66"/>
    <w:rsid w:val="008671C6"/>
    <w:rsid w:val="00872652"/>
    <w:rsid w:val="00875803"/>
    <w:rsid w:val="00896C63"/>
    <w:rsid w:val="008B0605"/>
    <w:rsid w:val="008B459E"/>
    <w:rsid w:val="008E13AE"/>
    <w:rsid w:val="008E1506"/>
    <w:rsid w:val="008E710C"/>
    <w:rsid w:val="008F69D6"/>
    <w:rsid w:val="00902823"/>
    <w:rsid w:val="009104F8"/>
    <w:rsid w:val="00915CA6"/>
    <w:rsid w:val="00927834"/>
    <w:rsid w:val="0094430B"/>
    <w:rsid w:val="009500A6"/>
    <w:rsid w:val="00957C18"/>
    <w:rsid w:val="009659BA"/>
    <w:rsid w:val="009713F1"/>
    <w:rsid w:val="00976744"/>
    <w:rsid w:val="00983040"/>
    <w:rsid w:val="00983F60"/>
    <w:rsid w:val="009957B9"/>
    <w:rsid w:val="009B3FB9"/>
    <w:rsid w:val="009C2465"/>
    <w:rsid w:val="009D35A0"/>
    <w:rsid w:val="009D7EB7"/>
    <w:rsid w:val="009E048A"/>
    <w:rsid w:val="009E08E9"/>
    <w:rsid w:val="009E3DB9"/>
    <w:rsid w:val="009E6E35"/>
    <w:rsid w:val="009F0EDA"/>
    <w:rsid w:val="009F3A47"/>
    <w:rsid w:val="009F5317"/>
    <w:rsid w:val="00A03B96"/>
    <w:rsid w:val="00A05B19"/>
    <w:rsid w:val="00A1134E"/>
    <w:rsid w:val="00A178D0"/>
    <w:rsid w:val="00A24E7E"/>
    <w:rsid w:val="00A25038"/>
    <w:rsid w:val="00A258C3"/>
    <w:rsid w:val="00A347C0"/>
    <w:rsid w:val="00A4357F"/>
    <w:rsid w:val="00A51431"/>
    <w:rsid w:val="00A539AD"/>
    <w:rsid w:val="00A641FC"/>
    <w:rsid w:val="00A753D3"/>
    <w:rsid w:val="00A86D8A"/>
    <w:rsid w:val="00A94063"/>
    <w:rsid w:val="00AA6219"/>
    <w:rsid w:val="00AA74E0"/>
    <w:rsid w:val="00AB703F"/>
    <w:rsid w:val="00AC6BB8"/>
    <w:rsid w:val="00AE008F"/>
    <w:rsid w:val="00B01FCD"/>
    <w:rsid w:val="00B0419B"/>
    <w:rsid w:val="00B1776C"/>
    <w:rsid w:val="00B33815"/>
    <w:rsid w:val="00B42ADA"/>
    <w:rsid w:val="00B52583"/>
    <w:rsid w:val="00B52896"/>
    <w:rsid w:val="00B56EBF"/>
    <w:rsid w:val="00B94C90"/>
    <w:rsid w:val="00B95236"/>
    <w:rsid w:val="00B96BD9"/>
    <w:rsid w:val="00BA1B01"/>
    <w:rsid w:val="00BA2641"/>
    <w:rsid w:val="00BB37AA"/>
    <w:rsid w:val="00BC2AB4"/>
    <w:rsid w:val="00BC53A0"/>
    <w:rsid w:val="00BE4315"/>
    <w:rsid w:val="00BE5055"/>
    <w:rsid w:val="00BE62AD"/>
    <w:rsid w:val="00BF121F"/>
    <w:rsid w:val="00BF152B"/>
    <w:rsid w:val="00BF1F80"/>
    <w:rsid w:val="00BF44AC"/>
    <w:rsid w:val="00C166EF"/>
    <w:rsid w:val="00C17EB0"/>
    <w:rsid w:val="00C27F5F"/>
    <w:rsid w:val="00C30A0F"/>
    <w:rsid w:val="00C313B7"/>
    <w:rsid w:val="00C36840"/>
    <w:rsid w:val="00C37E61"/>
    <w:rsid w:val="00C4603E"/>
    <w:rsid w:val="00C70F1B"/>
    <w:rsid w:val="00C71A47"/>
    <w:rsid w:val="00C7464C"/>
    <w:rsid w:val="00C814DE"/>
    <w:rsid w:val="00C85588"/>
    <w:rsid w:val="00C94395"/>
    <w:rsid w:val="00CA40B8"/>
    <w:rsid w:val="00CC0F34"/>
    <w:rsid w:val="00CD28CF"/>
    <w:rsid w:val="00CD6755"/>
    <w:rsid w:val="00CD6856"/>
    <w:rsid w:val="00CE0089"/>
    <w:rsid w:val="00CE793C"/>
    <w:rsid w:val="00CF0AA3"/>
    <w:rsid w:val="00CF193C"/>
    <w:rsid w:val="00D173F1"/>
    <w:rsid w:val="00D35AD1"/>
    <w:rsid w:val="00D515C1"/>
    <w:rsid w:val="00D53CC7"/>
    <w:rsid w:val="00D63806"/>
    <w:rsid w:val="00D726CB"/>
    <w:rsid w:val="00D74CB0"/>
    <w:rsid w:val="00D805E5"/>
    <w:rsid w:val="00D8295D"/>
    <w:rsid w:val="00DC2A65"/>
    <w:rsid w:val="00DD1BD2"/>
    <w:rsid w:val="00DD7913"/>
    <w:rsid w:val="00DE15F0"/>
    <w:rsid w:val="00DE5663"/>
    <w:rsid w:val="00DE78AA"/>
    <w:rsid w:val="00DF2E4E"/>
    <w:rsid w:val="00E02D6F"/>
    <w:rsid w:val="00E04C93"/>
    <w:rsid w:val="00E053D0"/>
    <w:rsid w:val="00E14597"/>
    <w:rsid w:val="00E15994"/>
    <w:rsid w:val="00E2057F"/>
    <w:rsid w:val="00E30489"/>
    <w:rsid w:val="00E3114E"/>
    <w:rsid w:val="00E31A70"/>
    <w:rsid w:val="00E35B02"/>
    <w:rsid w:val="00E3763D"/>
    <w:rsid w:val="00E66496"/>
    <w:rsid w:val="00E66B35"/>
    <w:rsid w:val="00E66E10"/>
    <w:rsid w:val="00E769F6"/>
    <w:rsid w:val="00E8407C"/>
    <w:rsid w:val="00E84F3C"/>
    <w:rsid w:val="00E9211A"/>
    <w:rsid w:val="00E9753F"/>
    <w:rsid w:val="00EA012C"/>
    <w:rsid w:val="00EA77CA"/>
    <w:rsid w:val="00EC63AD"/>
    <w:rsid w:val="00EC6A55"/>
    <w:rsid w:val="00ED0288"/>
    <w:rsid w:val="00EE15CB"/>
    <w:rsid w:val="00EE52CB"/>
    <w:rsid w:val="00EF581D"/>
    <w:rsid w:val="00EF7FD8"/>
    <w:rsid w:val="00F06F59"/>
    <w:rsid w:val="00F17988"/>
    <w:rsid w:val="00F459F7"/>
    <w:rsid w:val="00F469F0"/>
    <w:rsid w:val="00F53273"/>
    <w:rsid w:val="00F6208C"/>
    <w:rsid w:val="00F72825"/>
    <w:rsid w:val="00F755E4"/>
    <w:rsid w:val="00F77D02"/>
    <w:rsid w:val="00F960BC"/>
    <w:rsid w:val="00FB3A86"/>
    <w:rsid w:val="00FC6B26"/>
    <w:rsid w:val="00FC6C7A"/>
    <w:rsid w:val="00FD36C8"/>
    <w:rsid w:val="00FF4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046FD8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95B5D"/>
    <w:pPr>
      <w:ind w:left="720"/>
      <w:contextualSpacing/>
    </w:pPr>
  </w:style>
  <w:style w:type="paragraph" w:styleId="NormalWeb">
    <w:name w:val="Normal (Web)"/>
    <w:basedOn w:val="Normal"/>
    <w:semiHidden/>
    <w:unhideWhenUsed/>
    <w:rsid w:val="00FF493B"/>
    <w:rPr>
      <w:rFonts w:ascii="Times New Roman" w:hAnsi="Times New Roman"/>
      <w:sz w:val="24"/>
      <w:szCs w:val="24"/>
    </w:rPr>
  </w:style>
  <w:style w:type="paragraph" w:styleId="NoSpacing">
    <w:name w:val="No Spacing"/>
    <w:uiPriority w:val="1"/>
    <w:qFormat/>
    <w:rsid w:val="00234E5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su142214877" TargetMode="External"/><Relationship Id="rId26" Type="http://schemas.openxmlformats.org/officeDocument/2006/relationships/hyperlink" Target="https://doi.org/10.1007/s13593-019-0589-8" TargetMode="External"/><Relationship Id="rId39" Type="http://schemas.openxmlformats.org/officeDocument/2006/relationships/hyperlink" Target="https://foris.fao.org/wfc2015/api/file/55476d5fe52d79267e89a5ed/contents/36d2e912-1da9-4316-9fff-215142a985e6.pdf?utm_source=chatgpt.com" TargetMode="External"/><Relationship Id="rId21" Type="http://schemas.openxmlformats.org/officeDocument/2006/relationships/hyperlink" Target="https://doi.org/10.3390/land13030326" TargetMode="External"/><Relationship Id="rId34" Type="http://schemas.openxmlformats.org/officeDocument/2006/relationships/hyperlink" Target="https://www.millenniumassessment.org/documents/document.356.aspx.pdf" TargetMode="External"/><Relationship Id="rId42" Type="http://schemas.openxmlformats.org/officeDocument/2006/relationships/hyperlink" Target="https://doi.org/10.1080/21580103.2023.2222156"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8/1748-9326/ab4449" TargetMode="External"/><Relationship Id="rId29" Type="http://schemas.openxmlformats.org/officeDocument/2006/relationships/hyperlink" Target="https://doi.org/10.1007/s11842-010-9132-0" TargetMode="External"/><Relationship Id="rId11" Type="http://schemas.openxmlformats.org/officeDocument/2006/relationships/footer" Target="footer2.xml"/><Relationship Id="rId24" Type="http://schemas.openxmlformats.org/officeDocument/2006/relationships/hyperlink" Target="https://doi.org/10.5751/ES-14469-280420" TargetMode="External"/><Relationship Id="rId32" Type="http://schemas.openxmlformats.org/officeDocument/2006/relationships/hyperlink" Target="https://doi.org/10.1016/j.cosust.2013.10.014" TargetMode="External"/><Relationship Id="rId37" Type="http://schemas.openxmlformats.org/officeDocument/2006/relationships/hyperlink" Target="https://doi.org/10.3390/su14159313" TargetMode="External"/><Relationship Id="rId40" Type="http://schemas.openxmlformats.org/officeDocument/2006/relationships/hyperlink" Target="https://doi.org/10.1505/ifor.9.4.865" TargetMode="External"/><Relationship Id="rId45" Type="http://schemas.openxmlformats.org/officeDocument/2006/relationships/hyperlink" Target="https://doi.org/10.1016/j.oneear.2025.101195" TargetMode="External"/><Relationship Id="rId5" Type="http://schemas.openxmlformats.org/officeDocument/2006/relationships/webSettings" Target="webSettings.xml"/><Relationship Id="rId15" Type="http://schemas.openxmlformats.org/officeDocument/2006/relationships/hyperlink" Target="https://doi.org/10.13057/biodiv/d210237" TargetMode="External"/><Relationship Id="rId23" Type="http://schemas.openxmlformats.org/officeDocument/2006/relationships/hyperlink" Target="https://doi.org/10.1023/B:AGFO.0000029002.85273.9b" TargetMode="External"/><Relationship Id="rId28" Type="http://schemas.openxmlformats.org/officeDocument/2006/relationships/hyperlink" Target="https://doi.org/10.1504/IJESD.2006.008682" TargetMode="External"/><Relationship Id="rId36" Type="http://schemas.openxmlformats.org/officeDocument/2006/relationships/hyperlink" Target="https://doi.org/10.1016/j.agee.2020.106899"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openknowledge.fao.org/server/api/core/bitstreams/6ec24d75-19bd-4f1f-b1c5-5becf50d0871/content" TargetMode="External"/><Relationship Id="rId31" Type="http://schemas.openxmlformats.org/officeDocument/2006/relationships/hyperlink" Target="https://doi.org/10.1016/j.forpol.2011.07.017" TargetMode="External"/><Relationship Id="rId44" Type="http://schemas.openxmlformats.org/officeDocument/2006/relationships/hyperlink" Target="https://doi.org/10.1111/gcb.1703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2945/atr3124.2009" TargetMode="External"/><Relationship Id="rId22" Type="http://schemas.openxmlformats.org/officeDocument/2006/relationships/hyperlink" Target="https://doi.org/10.1007/s10457-009-9229-7" TargetMode="External"/><Relationship Id="rId27" Type="http://schemas.openxmlformats.org/officeDocument/2006/relationships/hyperlink" Target="https://doi.org/10.1016/j.gloenvcha.2010.11.008" TargetMode="External"/><Relationship Id="rId30" Type="http://schemas.openxmlformats.org/officeDocument/2006/relationships/hyperlink" Target="https://doi.org/10.1007/s13593-014-0212-y" TargetMode="External"/><Relationship Id="rId35" Type="http://schemas.openxmlformats.org/officeDocument/2006/relationships/hyperlink" Target="https://doi.org/10.3389/ffgc.2025.1616451" TargetMode="External"/><Relationship Id="rId43" Type="http://schemas.openxmlformats.org/officeDocument/2006/relationships/hyperlink" Target="https://doi.org/10.1016/j.cosust.2015.05.006"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lawphil.net/executive/execord/eo1995/eo_263_1995.html?utm_source=chatgpt.com" TargetMode="External"/><Relationship Id="rId25" Type="http://schemas.openxmlformats.org/officeDocument/2006/relationships/hyperlink" Target="https://doi.org/10.1016/j.gecco.2024.e02966" TargetMode="External"/><Relationship Id="rId33" Type="http://schemas.openxmlformats.org/officeDocument/2006/relationships/hyperlink" Target="https://doi.org/10.3390/land14071407" TargetMode="External"/><Relationship Id="rId38" Type="http://schemas.openxmlformats.org/officeDocument/2006/relationships/hyperlink" Target="https://doi.org/10.3390/f7080152" TargetMode="External"/><Relationship Id="rId46" Type="http://schemas.openxmlformats.org/officeDocument/2006/relationships/header" Target="header4.xml"/><Relationship Id="rId20" Type="http://schemas.openxmlformats.org/officeDocument/2006/relationships/hyperlink" Target="https://doi.org/10.1007/s11104-019-04232-5" TargetMode="External"/><Relationship Id="rId41" Type="http://schemas.openxmlformats.org/officeDocument/2006/relationships/hyperlink" Target="https://doi.org/10.1016/j.tfp.2024.100589"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FE86C-E610-470D-966D-2E005D823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424</TotalTime>
  <Pages>11</Pages>
  <Words>5538</Words>
  <Characters>31569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37033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office10688</cp:lastModifiedBy>
  <cp:revision>112</cp:revision>
  <cp:lastPrinted>1999-07-06T11:00:00Z</cp:lastPrinted>
  <dcterms:created xsi:type="dcterms:W3CDTF">2014-10-25T14:34:00Z</dcterms:created>
  <dcterms:modified xsi:type="dcterms:W3CDTF">2025-09-23T06:22:00Z</dcterms:modified>
</cp:coreProperties>
</file>