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3E9F7" w14:textId="77777777" w:rsidR="00BF448F" w:rsidRDefault="00BF448F">
      <w:pPr>
        <w:pStyle w:val="Title"/>
      </w:pPr>
      <w:r>
        <w:t xml:space="preserve">Pediatric </w:t>
      </w:r>
      <w:proofErr w:type="spellStart"/>
      <w:r>
        <w:t>Behçet’s</w:t>
      </w:r>
      <w:proofErr w:type="spellEnd"/>
      <w:r>
        <w:t xml:space="preserve"> Disease in Morocco: A Retrospective Descriptive Study of 35 Cases at the Children’s Hospital of Rabat</w:t>
      </w:r>
    </w:p>
    <w:p w14:paraId="5A650267" w14:textId="77777777" w:rsidR="005F6C5D" w:rsidRDefault="005F6C5D">
      <w:pPr>
        <w:pStyle w:val="Heading1"/>
      </w:pPr>
    </w:p>
    <w:p w14:paraId="701A0115" w14:textId="23945ED4" w:rsidR="00EA7D71" w:rsidRDefault="005427EC">
      <w:pPr>
        <w:pStyle w:val="Heading1"/>
      </w:pPr>
      <w:r>
        <w:t>ABSTRACT</w:t>
      </w:r>
    </w:p>
    <w:p w14:paraId="341F9E37" w14:textId="77777777" w:rsidR="00D01F8B" w:rsidRDefault="00D01F8B" w:rsidP="00D01F8B">
      <w:r>
        <w:t xml:space="preserve">Aims: To describe the epidemiological, clinical, paraclinical and therapeutic profile of pediatric </w:t>
      </w:r>
      <w:proofErr w:type="spellStart"/>
      <w:r>
        <w:t>Behçet’s</w:t>
      </w:r>
      <w:proofErr w:type="spellEnd"/>
      <w:r>
        <w:t xml:space="preserve"> disease (BD) in a Moroccan cohort.</w:t>
      </w:r>
      <w:r>
        <w:br/>
      </w:r>
      <w:r>
        <w:br/>
        <w:t>Study design: Retrospective descriptive and analytical study.</w:t>
      </w:r>
      <w:r>
        <w:br/>
      </w:r>
      <w:r>
        <w:br/>
        <w:t xml:space="preserve">Place and Duration of Study: Department of Pediatric Rheumatology, Cardiology and Nephrology (P4), Children’s Hospital of Rabat, Ibn </w:t>
      </w:r>
      <w:proofErr w:type="spellStart"/>
      <w:r>
        <w:t>Sina</w:t>
      </w:r>
      <w:proofErr w:type="spellEnd"/>
      <w:r>
        <w:t xml:space="preserve"> University Hospital, from January 2012 to December 2024.</w:t>
      </w:r>
      <w:r>
        <w:br/>
      </w:r>
      <w:r>
        <w:br/>
        <w:t>Methodology: Thirty-five patients aged ≤15 years diagnosed with BD according to Mason &amp; Barnes and ISG criteria were included. Data were collected from medical records and analyzed using descriptive statistics.</w:t>
      </w:r>
      <w:r>
        <w:br/>
      </w:r>
      <w:r>
        <w:br/>
        <w:t xml:space="preserve">Results: The cohort included 16 boys and 19 girls (sex ratio 0.84). The mean age at diagnosis was 11.5 years, while the mean age at first symptom onset was 8.7 years. Clinical findings included recurrent oral ulcers (100%), genital ulcers (34%), </w:t>
      </w:r>
      <w:proofErr w:type="spellStart"/>
      <w:r>
        <w:t>pseudofolliculitis</w:t>
      </w:r>
      <w:proofErr w:type="spellEnd"/>
      <w:r>
        <w:t xml:space="preserve"> (45%), erythema nodosum (5%), positive pathergy test (14%), articular involvement (57%), ocular involvement (42%), neurological manifestations (11.4%), vascular involvement (5%), digestive manifestations (14%), fever (22%), cardiac involvement (5%), and renal involvement (2%). An inflammatory syndrome was detected in 62% of patients. HLA-B5 was positive in 5 cases. All patients received colchicine; corticosteroids were administered in 18, immunosuppressants in 14, and biologic therapy in 6. The mean follow-up was 32 months. Outcomes included complete remission in 8 cases, relapses in 6, clinical improvement in 16, 4 lost to follow-up, and 1 death from pulmonary embolism.</w:t>
      </w:r>
      <w:r>
        <w:br/>
      </w:r>
      <w:r>
        <w:br/>
        <w:t>Conclusion: Pediatric BD is rare but likely underdiagnosed. Our findings confirm the similarity to adult forms with specific pediatric features such as a balanced sex ratio, more frequent neurological complications, and strong familial background.</w:t>
      </w:r>
    </w:p>
    <w:p w14:paraId="0E06C0D0" w14:textId="77777777" w:rsidR="00D01F8B" w:rsidRPr="00D01F8B" w:rsidRDefault="00D01F8B" w:rsidP="00D01F8B"/>
    <w:p w14:paraId="48ECD6F1" w14:textId="77777777" w:rsidR="00EA7D71" w:rsidRDefault="005427EC">
      <w:pPr>
        <w:pStyle w:val="Heading2"/>
      </w:pPr>
      <w:r>
        <w:t>Keywords:</w:t>
      </w:r>
    </w:p>
    <w:p w14:paraId="40FEA5E1" w14:textId="77777777" w:rsidR="00EA7D71" w:rsidRDefault="005427EC">
      <w:r>
        <w:t xml:space="preserve">Pediatric </w:t>
      </w:r>
      <w:proofErr w:type="spellStart"/>
      <w:r>
        <w:t>Behçet’s</w:t>
      </w:r>
      <w:proofErr w:type="spellEnd"/>
      <w:r>
        <w:t xml:space="preserve"> disease; Oral ulcers; Vasculitis; Morocco; Rheumatology</w:t>
      </w:r>
    </w:p>
    <w:p w14:paraId="042E89C6" w14:textId="77777777" w:rsidR="00EA7D71" w:rsidRDefault="005427EC">
      <w:pPr>
        <w:pStyle w:val="Heading1"/>
      </w:pPr>
      <w:r>
        <w:t>1. INTRODUCTION</w:t>
      </w:r>
    </w:p>
    <w:p w14:paraId="08682D07" w14:textId="77777777" w:rsidR="00F84C7D" w:rsidRDefault="00DE7D93">
      <w:r>
        <w:t xml:space="preserve">Ocular involvement is one of the most severe manifestations of pediatric BD, including anterior, intermediate, and posterior uveitis, retinal vasculitis, papilledema, optic atrophy, and cataract. These complications may lead to irreversible visual loss if untreated. Genetic studies highlight the strong association with HLA-B51, which is particularly relevant in populations along the Silk Road. Systematic HLA-B testing is therefore recommended in children with recurrent </w:t>
      </w:r>
      <w:proofErr w:type="spellStart"/>
      <w:r>
        <w:t>aphthosis</w:t>
      </w:r>
      <w:proofErr w:type="spellEnd"/>
      <w:r>
        <w:t xml:space="preserve"> or systemic signs to improve early detection.</w:t>
      </w:r>
    </w:p>
    <w:p w14:paraId="1F940C95" w14:textId="77777777" w:rsidR="00EA7D71" w:rsidRDefault="005427EC">
      <w:proofErr w:type="spellStart"/>
      <w:r>
        <w:t>Behçet’s</w:t>
      </w:r>
      <w:proofErr w:type="spellEnd"/>
      <w:r>
        <w:t xml:space="preserve"> disease (BD) is a chronic, multisystem inflammatory vasculitis affecting vessels of all sizes, with a predominance for venous involvement. First described in 1937 by Hulusi </w:t>
      </w:r>
      <w:proofErr w:type="spellStart"/>
      <w:r>
        <w:t>Behçet</w:t>
      </w:r>
      <w:proofErr w:type="spellEnd"/>
      <w:r>
        <w:t xml:space="preserve"> as a triad of recurrent oral and genital ulcers and ocular inflammation, it is characterized by relapsing–remitting evolution. Although more frequent in adults, pediatric cases remain rare and diagnostically challenging due to their insidious or atypical onset. Its pathophysiology is multifactorial, involving genetic susceptibility, environmental factors, and dysregulated immune response. Pediatric BD has been reported globally, with higher prevalence in Mediterranean, Middle Eastern, and East Asian populations. This study aimed to describe the epidemiological, clinical, laboratory, and therapeutic features of pediatric BD in Morocco.</w:t>
      </w:r>
    </w:p>
    <w:p w14:paraId="0DB37BF6" w14:textId="77777777" w:rsidR="00EA7D71" w:rsidRDefault="005427EC">
      <w:pPr>
        <w:pStyle w:val="Heading1"/>
      </w:pPr>
      <w:r>
        <w:t>2. MATERIALS AND METHODS</w:t>
      </w:r>
    </w:p>
    <w:p w14:paraId="73BB885D" w14:textId="77777777" w:rsidR="000041A2" w:rsidRPr="000041A2" w:rsidRDefault="005427EC" w:rsidP="000041A2">
      <w:pPr>
        <w:rPr>
          <w:rFonts w:eastAsia="Times New Roman" w:cs="Times New Roman"/>
          <w:lang w:eastAsia="fr-FR"/>
        </w:rPr>
      </w:pPr>
      <w:r>
        <w:t>Study design: Retrospective descriptive and analytical study.</w:t>
      </w:r>
      <w:r>
        <w:br/>
      </w:r>
      <w:r>
        <w:br/>
        <w:t>Setting: Pediatric Rheumatology, Cardiology and Nephrology Department (P4), Children’s Hospital of Rabat.</w:t>
      </w:r>
      <w:r>
        <w:br/>
      </w:r>
      <w:r>
        <w:br/>
        <w:t>Duration: January 2012 – December 2024.</w:t>
      </w:r>
      <w:r>
        <w:br/>
      </w:r>
      <w:r>
        <w:br/>
      </w:r>
      <w:r w:rsidRPr="000041A2">
        <w:t xml:space="preserve">Inclusion criteria: </w:t>
      </w:r>
      <w:r w:rsidR="000041A2" w:rsidRPr="000041A2">
        <w:rPr>
          <w:rFonts w:eastAsia="Times New Roman" w:cs="Times New Roman"/>
          <w:lang w:eastAsia="fr-FR"/>
        </w:rPr>
        <w:t xml:space="preserve">Patients aged ≤15 years diagnosed with </w:t>
      </w:r>
      <w:proofErr w:type="spellStart"/>
      <w:r w:rsidR="000041A2" w:rsidRPr="000041A2">
        <w:rPr>
          <w:rFonts w:eastAsia="Times New Roman" w:cs="Times New Roman"/>
          <w:lang w:eastAsia="fr-FR"/>
        </w:rPr>
        <w:t>Behçet’s</w:t>
      </w:r>
      <w:proofErr w:type="spellEnd"/>
      <w:r w:rsidR="000041A2" w:rsidRPr="000041A2">
        <w:rPr>
          <w:rFonts w:eastAsia="Times New Roman" w:cs="Times New Roman"/>
          <w:lang w:eastAsia="fr-FR"/>
        </w:rPr>
        <w:t xml:space="preserve"> disease according to the Mason &amp; Barnes criteria, the International Study Group (ISG) criteria, and the Pediatric </w:t>
      </w:r>
      <w:proofErr w:type="spellStart"/>
      <w:r w:rsidR="000041A2" w:rsidRPr="000041A2">
        <w:rPr>
          <w:rFonts w:eastAsia="Times New Roman" w:cs="Times New Roman"/>
          <w:lang w:eastAsia="fr-FR"/>
        </w:rPr>
        <w:t>Behçet’s</w:t>
      </w:r>
      <w:proofErr w:type="spellEnd"/>
      <w:r w:rsidR="000041A2" w:rsidRPr="000041A2">
        <w:rPr>
          <w:rFonts w:eastAsia="Times New Roman" w:cs="Times New Roman"/>
          <w:lang w:eastAsia="fr-FR"/>
        </w:rPr>
        <w:t xml:space="preserve"> Disease (PEDBD) criteria.</w:t>
      </w:r>
    </w:p>
    <w:p w14:paraId="5AC27691" w14:textId="77777777" w:rsidR="000041A2" w:rsidRPr="000041A2" w:rsidRDefault="005427EC" w:rsidP="000041A2">
      <w:pPr>
        <w:rPr>
          <w:rFonts w:eastAsia="Times New Roman" w:cs="Times New Roman"/>
          <w:lang w:eastAsia="fr-FR"/>
        </w:rPr>
      </w:pPr>
      <w:r w:rsidRPr="000041A2">
        <w:br/>
        <w:t>Exclusion criteria: Incomplete records or unconfirmed diagnosis.</w:t>
      </w:r>
      <w:r w:rsidRPr="000041A2">
        <w:br/>
      </w:r>
      <w:r w:rsidRPr="000041A2">
        <w:br/>
        <w:t xml:space="preserve">Data collection: </w:t>
      </w:r>
      <w:r w:rsidR="000041A2" w:rsidRPr="000041A2">
        <w:rPr>
          <w:rFonts w:eastAsia="Times New Roman" w:cs="Times New Roman"/>
          <w:lang w:eastAsia="fr-FR"/>
        </w:rPr>
        <w:t xml:space="preserve">Data were extracted from medical files using a standardized sheet including demographic variables (age, sex, geographic origin, family history), clinical manifestations (mucocutaneous, ocular, articular, neurological, vascular, digestive, renal, cardiac), </w:t>
      </w:r>
      <w:r w:rsidR="000041A2" w:rsidRPr="000041A2">
        <w:rPr>
          <w:rFonts w:eastAsia="Times New Roman" w:cs="Times New Roman"/>
          <w:lang w:eastAsia="fr-FR"/>
        </w:rPr>
        <w:lastRenderedPageBreak/>
        <w:t>laboratory findings (hematology, biochemistry, immunology, HLA typing), imaging and endoscopic results, therapeutic regimens, and patient outcomes.</w:t>
      </w:r>
    </w:p>
    <w:p w14:paraId="01CD19EA" w14:textId="77777777" w:rsidR="000041A2" w:rsidRPr="000041A2" w:rsidRDefault="000041A2" w:rsidP="000041A2">
      <w:pPr>
        <w:pStyle w:val="NormalWeb"/>
        <w:rPr>
          <w:rFonts w:asciiTheme="minorHAnsi" w:hAnsiTheme="minorHAnsi"/>
          <w:sz w:val="22"/>
          <w:szCs w:val="22"/>
          <w:lang w:val="en-US"/>
        </w:rPr>
      </w:pPr>
      <w:r w:rsidRPr="000041A2">
        <w:rPr>
          <w:rStyle w:val="Strong"/>
          <w:rFonts w:asciiTheme="minorHAnsi" w:hAnsiTheme="minorHAnsi"/>
          <w:b w:val="0"/>
          <w:bCs w:val="0"/>
          <w:sz w:val="22"/>
          <w:szCs w:val="22"/>
          <w:lang w:val="en-US"/>
        </w:rPr>
        <w:t>Statistical analysis:</w:t>
      </w:r>
      <w:r w:rsidRPr="000041A2">
        <w:rPr>
          <w:rFonts w:asciiTheme="minorHAnsi" w:hAnsiTheme="minorHAnsi"/>
          <w:sz w:val="22"/>
          <w:szCs w:val="22"/>
          <w:lang w:val="en-US"/>
        </w:rPr>
        <w:t xml:space="preserve"> Data were analyzed using Microsoft Excel 2013. Continuous variables were expressed as mean ± standard deviation, and categorical variables as frequencies and percentages.</w:t>
      </w:r>
    </w:p>
    <w:p w14:paraId="5F409F09" w14:textId="77777777" w:rsidR="00EA7D71" w:rsidRDefault="005427EC">
      <w:pPr>
        <w:pStyle w:val="Heading1"/>
      </w:pPr>
      <w:r>
        <w:t>3. RESULTS</w:t>
      </w:r>
    </w:p>
    <w:p w14:paraId="4D221787" w14:textId="77777777" w:rsidR="00EA7D71" w:rsidRDefault="005427EC">
      <w:r>
        <w:t xml:space="preserve">The study included 35 patients: 16 males (46%) and 19 females (54%), sex ratio 0.84. Mean age at diagnosis: 11.5 years (range 8–15). Mean age at first symptom: 8.7 years (range 5–14). Family history was noted in 4 patients. </w:t>
      </w:r>
    </w:p>
    <w:p w14:paraId="2FED682A" w14:textId="77777777" w:rsidR="00EA7D71" w:rsidRDefault="005427EC">
      <w:r>
        <w:t xml:space="preserve">Clinical manifestations included: oral ulcers (100%), genital ulcers (34%), </w:t>
      </w:r>
      <w:proofErr w:type="spellStart"/>
      <w:r>
        <w:t>pseudofolliculitis</w:t>
      </w:r>
      <w:proofErr w:type="spellEnd"/>
      <w:r>
        <w:t xml:space="preserve"> (45%), erythema nodosum (5%), positive pathergy test (14%), ocular involvement (42%), articular involvement (57%), neurological manifestations (11.4%), vascular involvement (5%), digestive manifestations (14%), fever (22%), cardiac involvement (5%), renal involvement (2%).</w:t>
      </w:r>
    </w:p>
    <w:p w14:paraId="41C1F018" w14:textId="0B600D30" w:rsidR="00EA7D71" w:rsidRPr="00D57B01" w:rsidRDefault="005427EC" w:rsidP="00A668E6">
      <w:pPr>
        <w:rPr>
          <w:rFonts w:ascii="Cambria" w:eastAsia="Times New Roman" w:hAnsi="Cambria" w:cs="Times New Roman"/>
          <w:lang w:eastAsia="fr-FR"/>
        </w:rPr>
      </w:pPr>
      <w:r>
        <w:t xml:space="preserve">Biological findings: </w:t>
      </w:r>
      <w:r w:rsidR="00D01F8B">
        <w:t>An inflammatory syndrome was detected in 62% of patients, characterized by elevated erythrocyte sedimentation rate (up to 120 mm/h), increased C-reactive protein levels in the majority of cases, and occasional moderate leukocytosis</w:t>
      </w:r>
      <w:r w:rsidR="00D01F8B" w:rsidRPr="00D57B01">
        <w:rPr>
          <w:rFonts w:ascii="Cambria" w:hAnsi="Cambria"/>
        </w:rPr>
        <w:t xml:space="preserve">. </w:t>
      </w:r>
      <w:r w:rsidR="00A668E6" w:rsidRPr="00D57B01">
        <w:rPr>
          <w:rFonts w:ascii="Cambria" w:eastAsia="Times New Roman" w:hAnsi="Cambria" w:cs="Times New Roman"/>
          <w:lang w:eastAsia="fr-FR"/>
        </w:rPr>
        <w:t xml:space="preserve">HLA-B5 was tested in 25 patients and found positive in 5 cases </w:t>
      </w:r>
      <w:r w:rsidRPr="00D57B01">
        <w:rPr>
          <w:rFonts w:ascii="Cambria" w:hAnsi="Cambria"/>
        </w:rPr>
        <w:t xml:space="preserve">(20%). </w:t>
      </w:r>
    </w:p>
    <w:p w14:paraId="4824A495" w14:textId="66339FA9" w:rsidR="00EA7D71" w:rsidRPr="008C0BF8" w:rsidRDefault="005427EC" w:rsidP="008C0BF8">
      <w:pPr>
        <w:rPr>
          <w:rFonts w:eastAsia="Times New Roman" w:cs="Times New Roman"/>
          <w:lang w:eastAsia="fr-FR"/>
        </w:rPr>
      </w:pPr>
      <w:proofErr w:type="gramStart"/>
      <w:r>
        <w:t>Treatment:.</w:t>
      </w:r>
      <w:proofErr w:type="gramEnd"/>
      <w:r>
        <w:t xml:space="preserve"> </w:t>
      </w:r>
      <w:r w:rsidR="00D57B01" w:rsidRPr="00D57B01">
        <w:rPr>
          <w:rFonts w:eastAsia="Times New Roman" w:cs="Times New Roman"/>
          <w:lang w:eastAsia="fr-FR"/>
        </w:rPr>
        <w:t>All patients received colchicine at a dose of 1 mg/day (two patients required 2 mg/day). Low-dose aspirin (anti-platelet regimen) was prescribed in 20 patients. Corticosteroids were used in 18 patients, administered either as intravenous methylprednisolone pulses (1 g/1.73 m²/day for 3 days) followed by oral prednisone at 1 mg/kg/day, or directly as oral prednisone at 1–2 mg/kg/day. Immunosuppressive therapy was given to 14 patients, including azathioprine (2–3 mg/kg/day), methotrexate (7.5 mg once weekly), and cyclophosphamide (750 mg/m²/monthly intravenous bolus) depending on disease severity. Anticoagulants (low molecular weight heparin, followed by vitamin K antagonists) were prescribed in 3 patients with confirmed thrombosis. Biologic therapy with adalimumab (40 mg subcutaneously every two weeks) was initiated in 6 patients with severe, refractory uveitis.</w:t>
      </w:r>
    </w:p>
    <w:p w14:paraId="40CAB621" w14:textId="77777777" w:rsidR="00EA7D71" w:rsidRDefault="005427EC">
      <w:r>
        <w:t>Outcomes: Average follow-up 32 months. Complete remission in 8 cases, relapses in 6, improvement in 16, 4 lost to follow-up, and 1 death due to pulmonary embolism.</w:t>
      </w:r>
    </w:p>
    <w:p w14:paraId="3BB9ED33" w14:textId="77777777" w:rsidR="004D49AB" w:rsidRDefault="004D49AB"/>
    <w:p w14:paraId="66CD95DE" w14:textId="77777777" w:rsidR="004D49AB" w:rsidRDefault="004D49AB"/>
    <w:p w14:paraId="77FB4567" w14:textId="77777777" w:rsidR="004D49AB" w:rsidRDefault="004D49AB" w:rsidP="004D49AB">
      <w:pPr>
        <w:jc w:val="center"/>
      </w:pPr>
      <w:r w:rsidRPr="0008114F">
        <w:rPr>
          <w:rFonts w:asciiTheme="majorBidi" w:hAnsiTheme="majorBidi" w:cstheme="majorBidi"/>
          <w:noProof/>
        </w:rPr>
        <w:lastRenderedPageBreak/>
        <w:drawing>
          <wp:inline distT="0" distB="0" distL="0" distR="0" wp14:anchorId="13477888" wp14:editId="37E7C815">
            <wp:extent cx="1271905" cy="141011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8" cstate="print">
                      <a:extLst>
                        <a:ext uri="{28A0092B-C50C-407E-A947-70E740481C1C}">
                          <a14:useLocalDpi xmlns:a14="http://schemas.microsoft.com/office/drawing/2010/main" val="0"/>
                        </a:ext>
                      </a:extLst>
                    </a:blip>
                    <a:srcRect t="-1945" r="19925" b="47218"/>
                    <a:stretch/>
                  </pic:blipFill>
                  <pic:spPr bwMode="auto">
                    <a:xfrm>
                      <a:off x="0" y="0"/>
                      <a:ext cx="1290575" cy="1430817"/>
                    </a:xfrm>
                    <a:prstGeom prst="rect">
                      <a:avLst/>
                    </a:prstGeom>
                    <a:ln>
                      <a:noFill/>
                    </a:ln>
                    <a:extLst>
                      <a:ext uri="{53640926-AAD7-44D8-BBD7-CCE9431645EC}">
                        <a14:shadowObscured xmlns:a14="http://schemas.microsoft.com/office/drawing/2010/main"/>
                      </a:ext>
                    </a:extLst>
                  </pic:spPr>
                </pic:pic>
              </a:graphicData>
            </a:graphic>
          </wp:inline>
        </w:drawing>
      </w:r>
      <w:r w:rsidRPr="0008114F">
        <w:rPr>
          <w:rFonts w:asciiTheme="majorBidi" w:hAnsiTheme="majorBidi" w:cstheme="majorBidi"/>
          <w:noProof/>
        </w:rPr>
        <w:drawing>
          <wp:inline distT="0" distB="0" distL="0" distR="0" wp14:anchorId="51F39CD4" wp14:editId="09D44AA2">
            <wp:extent cx="1399529" cy="1338182"/>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9" cstate="print">
                      <a:extLst>
                        <a:ext uri="{28A0092B-C50C-407E-A947-70E740481C1C}">
                          <a14:useLocalDpi xmlns:a14="http://schemas.microsoft.com/office/drawing/2010/main" val="0"/>
                        </a:ext>
                      </a:extLst>
                    </a:blip>
                    <a:srcRect l="21694" r="24826" b="16761"/>
                    <a:stretch/>
                  </pic:blipFill>
                  <pic:spPr bwMode="auto">
                    <a:xfrm>
                      <a:off x="0" y="0"/>
                      <a:ext cx="1476303" cy="1411591"/>
                    </a:xfrm>
                    <a:prstGeom prst="rect">
                      <a:avLst/>
                    </a:prstGeom>
                    <a:ln>
                      <a:noFill/>
                    </a:ln>
                    <a:extLst>
                      <a:ext uri="{53640926-AAD7-44D8-BBD7-CCE9431645EC}">
                        <a14:shadowObscured xmlns:a14="http://schemas.microsoft.com/office/drawing/2010/main"/>
                      </a:ext>
                    </a:extLst>
                  </pic:spPr>
                </pic:pic>
              </a:graphicData>
            </a:graphic>
          </wp:inline>
        </w:drawing>
      </w:r>
    </w:p>
    <w:p w14:paraId="7DA285DD" w14:textId="77777777" w:rsidR="004D49AB" w:rsidRDefault="004D49AB" w:rsidP="004D49AB">
      <w:pPr>
        <w:jc w:val="center"/>
      </w:pPr>
      <w:r>
        <w:t xml:space="preserve">Figure 1: Oral aphthous ulcer in a pediatric patient with </w:t>
      </w:r>
      <w:proofErr w:type="spellStart"/>
      <w:r>
        <w:t>Behçet’s</w:t>
      </w:r>
      <w:proofErr w:type="spellEnd"/>
      <w:r>
        <w:t xml:space="preserve"> disease</w:t>
      </w:r>
    </w:p>
    <w:p w14:paraId="5EF65C74" w14:textId="77777777" w:rsidR="004D49AB" w:rsidRDefault="004D49AB"/>
    <w:p w14:paraId="2C45C102" w14:textId="77777777" w:rsidR="004D49AB" w:rsidRDefault="004D49AB"/>
    <w:p w14:paraId="0B0A2EAA" w14:textId="77777777" w:rsidR="004D49AB" w:rsidRDefault="004D49AB" w:rsidP="004D49AB">
      <w:pPr>
        <w:jc w:val="center"/>
      </w:pPr>
      <w:r w:rsidRPr="0008114F">
        <w:rPr>
          <w:rFonts w:asciiTheme="majorBidi" w:hAnsiTheme="majorBidi" w:cstheme="majorBidi"/>
          <w:noProof/>
        </w:rPr>
        <w:drawing>
          <wp:inline distT="0" distB="0" distL="0" distR="0" wp14:anchorId="303FE59F" wp14:editId="1E58C427">
            <wp:extent cx="2099945" cy="1623391"/>
            <wp:effectExtent l="0" t="0" r="0" b="254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7524" cy="1675634"/>
                    </a:xfrm>
                    <a:prstGeom prst="rect">
                      <a:avLst/>
                    </a:prstGeom>
                  </pic:spPr>
                </pic:pic>
              </a:graphicData>
            </a:graphic>
          </wp:inline>
        </w:drawing>
      </w:r>
    </w:p>
    <w:p w14:paraId="20ACE76F" w14:textId="77777777" w:rsidR="004D49AB" w:rsidRDefault="004D49AB" w:rsidP="004D49AB">
      <w:pPr>
        <w:jc w:val="center"/>
      </w:pPr>
      <w:r>
        <w:t xml:space="preserve">Figure 2: Genital ulcer in a pediatric patient with </w:t>
      </w:r>
      <w:proofErr w:type="spellStart"/>
      <w:r>
        <w:t>Behçet’s</w:t>
      </w:r>
      <w:proofErr w:type="spellEnd"/>
      <w:r>
        <w:t xml:space="preserve"> disease</w:t>
      </w:r>
    </w:p>
    <w:p w14:paraId="24373F3A" w14:textId="77777777" w:rsidR="004D49AB" w:rsidRDefault="004D49AB"/>
    <w:p w14:paraId="6DA30171" w14:textId="217B4C08" w:rsidR="00142F05" w:rsidRDefault="004D49AB" w:rsidP="00142F05">
      <w:pPr>
        <w:jc w:val="center"/>
      </w:pPr>
      <w:r>
        <w:rPr>
          <w:rFonts w:asciiTheme="majorBidi" w:hAnsiTheme="majorBidi" w:cstheme="majorBidi"/>
          <w:bCs/>
          <w:noProof/>
        </w:rPr>
        <w:drawing>
          <wp:inline distT="0" distB="0" distL="0" distR="0" wp14:anchorId="4E69D945" wp14:editId="4DC10262">
            <wp:extent cx="2010174" cy="106934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64123" cy="1098039"/>
                    </a:xfrm>
                    <a:prstGeom prst="rect">
                      <a:avLst/>
                    </a:prstGeom>
                  </pic:spPr>
                </pic:pic>
              </a:graphicData>
            </a:graphic>
          </wp:inline>
        </w:drawing>
      </w:r>
    </w:p>
    <w:p w14:paraId="5E3A1720" w14:textId="17590A22" w:rsidR="004D49AB" w:rsidRDefault="004D49AB" w:rsidP="004D49AB">
      <w:pPr>
        <w:jc w:val="center"/>
      </w:pPr>
      <w:r>
        <w:t xml:space="preserve">Figure 3: Erythema nodosum in a pediatric patient with </w:t>
      </w:r>
      <w:proofErr w:type="spellStart"/>
      <w:r>
        <w:t>Behçet’s</w:t>
      </w:r>
      <w:proofErr w:type="spellEnd"/>
      <w:r>
        <w:t xml:space="preserve"> disease</w:t>
      </w:r>
    </w:p>
    <w:p w14:paraId="4DE676F8" w14:textId="1D6EDFEA" w:rsidR="00142F05" w:rsidRDefault="00142F05" w:rsidP="004D49AB">
      <w:pPr>
        <w:jc w:val="center"/>
      </w:pPr>
    </w:p>
    <w:p w14:paraId="4190C2FD" w14:textId="6995397A" w:rsidR="00142F05" w:rsidRDefault="00142F05" w:rsidP="004D49AB">
      <w:pPr>
        <w:jc w:val="center"/>
      </w:pPr>
    </w:p>
    <w:p w14:paraId="1CCAE7CC" w14:textId="2F2B34DB" w:rsidR="00142F05" w:rsidRDefault="00142F05" w:rsidP="004D49AB">
      <w:pPr>
        <w:jc w:val="center"/>
      </w:pPr>
    </w:p>
    <w:p w14:paraId="279794CB" w14:textId="7D340469" w:rsidR="00142F05" w:rsidRDefault="00142F05" w:rsidP="004D49AB">
      <w:pPr>
        <w:jc w:val="center"/>
      </w:pPr>
    </w:p>
    <w:tbl>
      <w:tblPr>
        <w:tblW w:w="0" w:type="auto"/>
        <w:tblLook w:val="04A0" w:firstRow="1" w:lastRow="0" w:firstColumn="1" w:lastColumn="0" w:noHBand="0" w:noVBand="1"/>
      </w:tblPr>
      <w:tblGrid>
        <w:gridCol w:w="2880"/>
        <w:gridCol w:w="2880"/>
        <w:gridCol w:w="2880"/>
      </w:tblGrid>
      <w:tr w:rsidR="00142F05" w14:paraId="7050E66F" w14:textId="77777777" w:rsidTr="00FA235B">
        <w:tc>
          <w:tcPr>
            <w:tcW w:w="2880" w:type="dxa"/>
            <w:tcBorders>
              <w:top w:val="single" w:sz="4" w:space="0" w:color="auto"/>
              <w:left w:val="single" w:sz="4" w:space="0" w:color="auto"/>
              <w:bottom w:val="single" w:sz="4" w:space="0" w:color="auto"/>
              <w:right w:val="single" w:sz="4" w:space="0" w:color="auto"/>
            </w:tcBorders>
          </w:tcPr>
          <w:p w14:paraId="6E9EE5F5" w14:textId="77777777" w:rsidR="00142F05" w:rsidRDefault="00142F05" w:rsidP="00B72677">
            <w:r>
              <w:t>Type of Ocular Involvement</w:t>
            </w:r>
          </w:p>
        </w:tc>
        <w:tc>
          <w:tcPr>
            <w:tcW w:w="2880" w:type="dxa"/>
            <w:tcBorders>
              <w:top w:val="single" w:sz="4" w:space="0" w:color="auto"/>
              <w:left w:val="single" w:sz="4" w:space="0" w:color="auto"/>
              <w:bottom w:val="single" w:sz="4" w:space="0" w:color="auto"/>
              <w:right w:val="single" w:sz="4" w:space="0" w:color="auto"/>
            </w:tcBorders>
          </w:tcPr>
          <w:p w14:paraId="60E8CAAF" w14:textId="77777777" w:rsidR="00142F05" w:rsidRDefault="00142F05" w:rsidP="00B72677">
            <w:r>
              <w:t>Number of Patients</w:t>
            </w:r>
          </w:p>
        </w:tc>
        <w:tc>
          <w:tcPr>
            <w:tcW w:w="2880" w:type="dxa"/>
            <w:tcBorders>
              <w:top w:val="single" w:sz="4" w:space="0" w:color="auto"/>
              <w:left w:val="single" w:sz="4" w:space="0" w:color="auto"/>
              <w:bottom w:val="single" w:sz="4" w:space="0" w:color="auto"/>
              <w:right w:val="single" w:sz="4" w:space="0" w:color="auto"/>
            </w:tcBorders>
          </w:tcPr>
          <w:p w14:paraId="5DB47DF4" w14:textId="77777777" w:rsidR="00142F05" w:rsidRDefault="00142F05" w:rsidP="00B72677">
            <w:r>
              <w:t>Percentage (%)</w:t>
            </w:r>
          </w:p>
        </w:tc>
      </w:tr>
      <w:tr w:rsidR="00142F05" w14:paraId="0782B55E" w14:textId="77777777" w:rsidTr="00FA235B">
        <w:tc>
          <w:tcPr>
            <w:tcW w:w="2880" w:type="dxa"/>
            <w:tcBorders>
              <w:top w:val="single" w:sz="4" w:space="0" w:color="auto"/>
              <w:left w:val="single" w:sz="4" w:space="0" w:color="auto"/>
              <w:bottom w:val="single" w:sz="4" w:space="0" w:color="auto"/>
              <w:right w:val="single" w:sz="4" w:space="0" w:color="auto"/>
            </w:tcBorders>
          </w:tcPr>
          <w:p w14:paraId="6AA526A2" w14:textId="77777777" w:rsidR="00142F05" w:rsidRDefault="00142F05" w:rsidP="00B72677">
            <w:r>
              <w:lastRenderedPageBreak/>
              <w:t>Total uveitis</w:t>
            </w:r>
          </w:p>
        </w:tc>
        <w:tc>
          <w:tcPr>
            <w:tcW w:w="2880" w:type="dxa"/>
            <w:tcBorders>
              <w:top w:val="single" w:sz="4" w:space="0" w:color="auto"/>
              <w:left w:val="single" w:sz="4" w:space="0" w:color="auto"/>
              <w:bottom w:val="single" w:sz="4" w:space="0" w:color="auto"/>
              <w:right w:val="single" w:sz="4" w:space="0" w:color="auto"/>
            </w:tcBorders>
          </w:tcPr>
          <w:p w14:paraId="5CC80DDC" w14:textId="77777777" w:rsidR="00142F05" w:rsidRDefault="00142F05" w:rsidP="00B72677">
            <w:r>
              <w:t>15</w:t>
            </w:r>
          </w:p>
        </w:tc>
        <w:tc>
          <w:tcPr>
            <w:tcW w:w="2880" w:type="dxa"/>
            <w:tcBorders>
              <w:top w:val="single" w:sz="4" w:space="0" w:color="auto"/>
              <w:left w:val="single" w:sz="4" w:space="0" w:color="auto"/>
              <w:bottom w:val="single" w:sz="4" w:space="0" w:color="auto"/>
              <w:right w:val="single" w:sz="4" w:space="0" w:color="auto"/>
            </w:tcBorders>
          </w:tcPr>
          <w:p w14:paraId="01C8982D" w14:textId="77777777" w:rsidR="00142F05" w:rsidRDefault="00142F05" w:rsidP="00B72677">
            <w:r>
              <w:t>33%</w:t>
            </w:r>
          </w:p>
        </w:tc>
      </w:tr>
      <w:tr w:rsidR="00142F05" w14:paraId="6D9D8307" w14:textId="77777777" w:rsidTr="00FA235B">
        <w:tc>
          <w:tcPr>
            <w:tcW w:w="2880" w:type="dxa"/>
            <w:tcBorders>
              <w:top w:val="single" w:sz="4" w:space="0" w:color="auto"/>
              <w:left w:val="single" w:sz="4" w:space="0" w:color="auto"/>
              <w:bottom w:val="single" w:sz="4" w:space="0" w:color="auto"/>
              <w:right w:val="single" w:sz="4" w:space="0" w:color="auto"/>
            </w:tcBorders>
          </w:tcPr>
          <w:p w14:paraId="3C748169" w14:textId="77777777" w:rsidR="00142F05" w:rsidRDefault="00142F05" w:rsidP="00B72677">
            <w:proofErr w:type="spellStart"/>
            <w:r>
              <w:t>Panuveitis</w:t>
            </w:r>
            <w:proofErr w:type="spellEnd"/>
          </w:p>
        </w:tc>
        <w:tc>
          <w:tcPr>
            <w:tcW w:w="2880" w:type="dxa"/>
            <w:tcBorders>
              <w:top w:val="single" w:sz="4" w:space="0" w:color="auto"/>
              <w:left w:val="single" w:sz="4" w:space="0" w:color="auto"/>
              <w:bottom w:val="single" w:sz="4" w:space="0" w:color="auto"/>
              <w:right w:val="single" w:sz="4" w:space="0" w:color="auto"/>
            </w:tcBorders>
          </w:tcPr>
          <w:p w14:paraId="5C9574B2" w14:textId="77777777" w:rsidR="00142F05" w:rsidRDefault="00142F05" w:rsidP="00B72677">
            <w:r>
              <w:t>5</w:t>
            </w:r>
          </w:p>
        </w:tc>
        <w:tc>
          <w:tcPr>
            <w:tcW w:w="2880" w:type="dxa"/>
            <w:tcBorders>
              <w:top w:val="single" w:sz="4" w:space="0" w:color="auto"/>
              <w:left w:val="single" w:sz="4" w:space="0" w:color="auto"/>
              <w:bottom w:val="single" w:sz="4" w:space="0" w:color="auto"/>
              <w:right w:val="single" w:sz="4" w:space="0" w:color="auto"/>
            </w:tcBorders>
          </w:tcPr>
          <w:p w14:paraId="6CAAC03B" w14:textId="77777777" w:rsidR="00142F05" w:rsidRDefault="00142F05" w:rsidP="00B72677">
            <w:r>
              <w:t>14%</w:t>
            </w:r>
          </w:p>
        </w:tc>
      </w:tr>
      <w:tr w:rsidR="00142F05" w14:paraId="635EBF30" w14:textId="77777777" w:rsidTr="00FA235B">
        <w:tc>
          <w:tcPr>
            <w:tcW w:w="2880" w:type="dxa"/>
            <w:tcBorders>
              <w:top w:val="single" w:sz="4" w:space="0" w:color="auto"/>
              <w:left w:val="single" w:sz="4" w:space="0" w:color="auto"/>
              <w:bottom w:val="single" w:sz="4" w:space="0" w:color="auto"/>
              <w:right w:val="single" w:sz="4" w:space="0" w:color="auto"/>
            </w:tcBorders>
          </w:tcPr>
          <w:p w14:paraId="4EB89D73" w14:textId="77777777" w:rsidR="00142F05" w:rsidRDefault="00142F05" w:rsidP="00B72677">
            <w:r>
              <w:t>Anterior uveitis</w:t>
            </w:r>
          </w:p>
        </w:tc>
        <w:tc>
          <w:tcPr>
            <w:tcW w:w="2880" w:type="dxa"/>
            <w:tcBorders>
              <w:top w:val="single" w:sz="4" w:space="0" w:color="auto"/>
              <w:left w:val="single" w:sz="4" w:space="0" w:color="auto"/>
              <w:bottom w:val="single" w:sz="4" w:space="0" w:color="auto"/>
              <w:right w:val="single" w:sz="4" w:space="0" w:color="auto"/>
            </w:tcBorders>
          </w:tcPr>
          <w:p w14:paraId="1B7D3300" w14:textId="77777777" w:rsidR="00142F05" w:rsidRDefault="00142F05" w:rsidP="00B72677">
            <w:r>
              <w:t>3</w:t>
            </w:r>
          </w:p>
        </w:tc>
        <w:tc>
          <w:tcPr>
            <w:tcW w:w="2880" w:type="dxa"/>
            <w:tcBorders>
              <w:top w:val="single" w:sz="4" w:space="0" w:color="auto"/>
              <w:left w:val="single" w:sz="4" w:space="0" w:color="auto"/>
              <w:bottom w:val="single" w:sz="4" w:space="0" w:color="auto"/>
              <w:right w:val="single" w:sz="4" w:space="0" w:color="auto"/>
            </w:tcBorders>
          </w:tcPr>
          <w:p w14:paraId="2D1A41E5" w14:textId="77777777" w:rsidR="00142F05" w:rsidRDefault="00142F05" w:rsidP="00B72677">
            <w:r>
              <w:t>8%</w:t>
            </w:r>
          </w:p>
        </w:tc>
      </w:tr>
      <w:tr w:rsidR="00142F05" w14:paraId="1A0D8FB1" w14:textId="77777777" w:rsidTr="00FA235B">
        <w:tc>
          <w:tcPr>
            <w:tcW w:w="2880" w:type="dxa"/>
            <w:tcBorders>
              <w:top w:val="single" w:sz="4" w:space="0" w:color="auto"/>
              <w:left w:val="single" w:sz="4" w:space="0" w:color="auto"/>
              <w:bottom w:val="single" w:sz="4" w:space="0" w:color="auto"/>
              <w:right w:val="single" w:sz="4" w:space="0" w:color="auto"/>
            </w:tcBorders>
          </w:tcPr>
          <w:p w14:paraId="44D97BD7" w14:textId="77777777" w:rsidR="00142F05" w:rsidRDefault="00142F05" w:rsidP="00B72677">
            <w:r>
              <w:t>Intermediate uveitis</w:t>
            </w:r>
          </w:p>
        </w:tc>
        <w:tc>
          <w:tcPr>
            <w:tcW w:w="2880" w:type="dxa"/>
            <w:tcBorders>
              <w:top w:val="single" w:sz="4" w:space="0" w:color="auto"/>
              <w:left w:val="single" w:sz="4" w:space="0" w:color="auto"/>
              <w:bottom w:val="single" w:sz="4" w:space="0" w:color="auto"/>
              <w:right w:val="single" w:sz="4" w:space="0" w:color="auto"/>
            </w:tcBorders>
          </w:tcPr>
          <w:p w14:paraId="6670B40E" w14:textId="77777777" w:rsidR="00142F05" w:rsidRDefault="00142F05" w:rsidP="00B72677">
            <w:r>
              <w:t>1</w:t>
            </w:r>
          </w:p>
        </w:tc>
        <w:tc>
          <w:tcPr>
            <w:tcW w:w="2880" w:type="dxa"/>
            <w:tcBorders>
              <w:top w:val="single" w:sz="4" w:space="0" w:color="auto"/>
              <w:left w:val="single" w:sz="4" w:space="0" w:color="auto"/>
              <w:bottom w:val="single" w:sz="4" w:space="0" w:color="auto"/>
              <w:right w:val="single" w:sz="4" w:space="0" w:color="auto"/>
            </w:tcBorders>
          </w:tcPr>
          <w:p w14:paraId="0CB86BD5" w14:textId="77777777" w:rsidR="00142F05" w:rsidRDefault="00142F05" w:rsidP="00B72677">
            <w:r>
              <w:t>2%</w:t>
            </w:r>
          </w:p>
        </w:tc>
      </w:tr>
      <w:tr w:rsidR="00142F05" w14:paraId="2D636577" w14:textId="77777777" w:rsidTr="00FA235B">
        <w:tc>
          <w:tcPr>
            <w:tcW w:w="2880" w:type="dxa"/>
            <w:tcBorders>
              <w:top w:val="single" w:sz="4" w:space="0" w:color="auto"/>
              <w:left w:val="single" w:sz="4" w:space="0" w:color="auto"/>
              <w:right w:val="single" w:sz="4" w:space="0" w:color="auto"/>
            </w:tcBorders>
          </w:tcPr>
          <w:p w14:paraId="154E2D74" w14:textId="77777777" w:rsidR="00142F05" w:rsidRDefault="00142F05" w:rsidP="00B72677">
            <w:r>
              <w:t>Papilledema</w:t>
            </w:r>
          </w:p>
        </w:tc>
        <w:tc>
          <w:tcPr>
            <w:tcW w:w="2880" w:type="dxa"/>
            <w:tcBorders>
              <w:top w:val="single" w:sz="4" w:space="0" w:color="auto"/>
              <w:left w:val="single" w:sz="4" w:space="0" w:color="auto"/>
              <w:right w:val="single" w:sz="4" w:space="0" w:color="auto"/>
            </w:tcBorders>
          </w:tcPr>
          <w:p w14:paraId="73327ECC" w14:textId="77777777" w:rsidR="00142F05" w:rsidRDefault="00142F05" w:rsidP="00B72677">
            <w:r>
              <w:t>3</w:t>
            </w:r>
          </w:p>
        </w:tc>
        <w:tc>
          <w:tcPr>
            <w:tcW w:w="2880" w:type="dxa"/>
            <w:tcBorders>
              <w:top w:val="single" w:sz="4" w:space="0" w:color="auto"/>
              <w:left w:val="single" w:sz="4" w:space="0" w:color="auto"/>
              <w:right w:val="single" w:sz="4" w:space="0" w:color="auto"/>
            </w:tcBorders>
          </w:tcPr>
          <w:p w14:paraId="73375922" w14:textId="77777777" w:rsidR="00142F05" w:rsidRDefault="00142F05" w:rsidP="00B72677">
            <w:r>
              <w:t>8%</w:t>
            </w:r>
          </w:p>
        </w:tc>
      </w:tr>
      <w:tr w:rsidR="00142F05" w14:paraId="2FC655FB" w14:textId="77777777" w:rsidTr="00FA235B">
        <w:tc>
          <w:tcPr>
            <w:tcW w:w="2880" w:type="dxa"/>
            <w:tcBorders>
              <w:left w:val="single" w:sz="4" w:space="0" w:color="auto"/>
              <w:bottom w:val="single" w:sz="4" w:space="0" w:color="auto"/>
              <w:right w:val="single" w:sz="4" w:space="0" w:color="auto"/>
            </w:tcBorders>
          </w:tcPr>
          <w:p w14:paraId="5938404C" w14:textId="77777777" w:rsidR="00142F05" w:rsidRDefault="00142F05" w:rsidP="00B72677">
            <w:r>
              <w:t>Retinal vasculitis</w:t>
            </w:r>
          </w:p>
        </w:tc>
        <w:tc>
          <w:tcPr>
            <w:tcW w:w="2880" w:type="dxa"/>
            <w:tcBorders>
              <w:left w:val="single" w:sz="4" w:space="0" w:color="auto"/>
              <w:bottom w:val="single" w:sz="4" w:space="0" w:color="auto"/>
              <w:right w:val="single" w:sz="4" w:space="0" w:color="auto"/>
            </w:tcBorders>
          </w:tcPr>
          <w:p w14:paraId="5E079B0B" w14:textId="77777777" w:rsidR="00142F05" w:rsidRDefault="00142F05" w:rsidP="00B72677">
            <w:r>
              <w:t>2</w:t>
            </w:r>
          </w:p>
        </w:tc>
        <w:tc>
          <w:tcPr>
            <w:tcW w:w="2880" w:type="dxa"/>
            <w:tcBorders>
              <w:left w:val="single" w:sz="4" w:space="0" w:color="auto"/>
              <w:bottom w:val="single" w:sz="4" w:space="0" w:color="auto"/>
              <w:right w:val="single" w:sz="4" w:space="0" w:color="auto"/>
            </w:tcBorders>
          </w:tcPr>
          <w:p w14:paraId="64D3E35D" w14:textId="77777777" w:rsidR="00142F05" w:rsidRDefault="00142F05" w:rsidP="00B72677">
            <w:r>
              <w:t>5%</w:t>
            </w:r>
          </w:p>
        </w:tc>
      </w:tr>
      <w:tr w:rsidR="00142F05" w14:paraId="2A3F357D" w14:textId="77777777" w:rsidTr="00FA235B">
        <w:tc>
          <w:tcPr>
            <w:tcW w:w="2880" w:type="dxa"/>
            <w:tcBorders>
              <w:top w:val="single" w:sz="4" w:space="0" w:color="auto"/>
              <w:left w:val="single" w:sz="4" w:space="0" w:color="auto"/>
              <w:bottom w:val="single" w:sz="4" w:space="0" w:color="auto"/>
              <w:right w:val="single" w:sz="4" w:space="0" w:color="auto"/>
            </w:tcBorders>
          </w:tcPr>
          <w:p w14:paraId="66DD46F0" w14:textId="77777777" w:rsidR="00142F05" w:rsidRDefault="00142F05" w:rsidP="00B72677">
            <w:r>
              <w:t>Optic atrophy</w:t>
            </w:r>
          </w:p>
        </w:tc>
        <w:tc>
          <w:tcPr>
            <w:tcW w:w="2880" w:type="dxa"/>
            <w:tcBorders>
              <w:top w:val="single" w:sz="4" w:space="0" w:color="auto"/>
              <w:left w:val="single" w:sz="4" w:space="0" w:color="auto"/>
              <w:bottom w:val="single" w:sz="4" w:space="0" w:color="auto"/>
              <w:right w:val="single" w:sz="4" w:space="0" w:color="auto"/>
            </w:tcBorders>
          </w:tcPr>
          <w:p w14:paraId="51F74D56" w14:textId="77777777" w:rsidR="00142F05" w:rsidRDefault="00142F05" w:rsidP="00B72677">
            <w:r>
              <w:t>1</w:t>
            </w:r>
          </w:p>
        </w:tc>
        <w:tc>
          <w:tcPr>
            <w:tcW w:w="2880" w:type="dxa"/>
            <w:tcBorders>
              <w:top w:val="single" w:sz="4" w:space="0" w:color="auto"/>
              <w:left w:val="single" w:sz="4" w:space="0" w:color="auto"/>
              <w:bottom w:val="single" w:sz="4" w:space="0" w:color="auto"/>
              <w:right w:val="single" w:sz="4" w:space="0" w:color="auto"/>
            </w:tcBorders>
          </w:tcPr>
          <w:p w14:paraId="175EC884" w14:textId="77777777" w:rsidR="00142F05" w:rsidRDefault="00142F05" w:rsidP="00B72677">
            <w:r>
              <w:t>2%</w:t>
            </w:r>
          </w:p>
        </w:tc>
      </w:tr>
      <w:tr w:rsidR="00142F05" w14:paraId="374C3D6E" w14:textId="77777777" w:rsidTr="00FA235B">
        <w:tc>
          <w:tcPr>
            <w:tcW w:w="2880" w:type="dxa"/>
            <w:tcBorders>
              <w:top w:val="single" w:sz="4" w:space="0" w:color="auto"/>
              <w:left w:val="single" w:sz="4" w:space="0" w:color="auto"/>
              <w:bottom w:val="single" w:sz="4" w:space="0" w:color="auto"/>
              <w:right w:val="single" w:sz="4" w:space="0" w:color="auto"/>
            </w:tcBorders>
          </w:tcPr>
          <w:p w14:paraId="55F3C577" w14:textId="77777777" w:rsidR="00142F05" w:rsidRDefault="00142F05" w:rsidP="00B72677">
            <w:r>
              <w:t>Macular edema</w:t>
            </w:r>
          </w:p>
        </w:tc>
        <w:tc>
          <w:tcPr>
            <w:tcW w:w="2880" w:type="dxa"/>
            <w:tcBorders>
              <w:top w:val="single" w:sz="4" w:space="0" w:color="auto"/>
              <w:left w:val="single" w:sz="4" w:space="0" w:color="auto"/>
              <w:bottom w:val="single" w:sz="4" w:space="0" w:color="auto"/>
              <w:right w:val="single" w:sz="4" w:space="0" w:color="auto"/>
            </w:tcBorders>
          </w:tcPr>
          <w:p w14:paraId="03EB43E5" w14:textId="77777777" w:rsidR="00142F05" w:rsidRDefault="00142F05" w:rsidP="00B72677">
            <w:r>
              <w:t>2</w:t>
            </w:r>
          </w:p>
        </w:tc>
        <w:tc>
          <w:tcPr>
            <w:tcW w:w="2880" w:type="dxa"/>
            <w:tcBorders>
              <w:top w:val="single" w:sz="4" w:space="0" w:color="auto"/>
              <w:left w:val="single" w:sz="4" w:space="0" w:color="auto"/>
              <w:bottom w:val="single" w:sz="4" w:space="0" w:color="auto"/>
              <w:right w:val="single" w:sz="4" w:space="0" w:color="auto"/>
            </w:tcBorders>
          </w:tcPr>
          <w:p w14:paraId="73985D9D" w14:textId="77777777" w:rsidR="00142F05" w:rsidRDefault="00142F05" w:rsidP="00B72677">
            <w:r>
              <w:t>5%</w:t>
            </w:r>
          </w:p>
        </w:tc>
      </w:tr>
      <w:tr w:rsidR="00142F05" w14:paraId="585748E0" w14:textId="77777777" w:rsidTr="00FA235B">
        <w:tc>
          <w:tcPr>
            <w:tcW w:w="2880" w:type="dxa"/>
            <w:tcBorders>
              <w:top w:val="single" w:sz="4" w:space="0" w:color="auto"/>
              <w:left w:val="single" w:sz="4" w:space="0" w:color="auto"/>
              <w:bottom w:val="single" w:sz="4" w:space="0" w:color="auto"/>
              <w:right w:val="single" w:sz="4" w:space="0" w:color="auto"/>
            </w:tcBorders>
          </w:tcPr>
          <w:p w14:paraId="02DD864C" w14:textId="77777777" w:rsidR="00142F05" w:rsidRDefault="00142F05" w:rsidP="00B72677">
            <w:r>
              <w:t>Cataract</w:t>
            </w:r>
          </w:p>
        </w:tc>
        <w:tc>
          <w:tcPr>
            <w:tcW w:w="2880" w:type="dxa"/>
            <w:tcBorders>
              <w:top w:val="single" w:sz="4" w:space="0" w:color="auto"/>
              <w:left w:val="single" w:sz="4" w:space="0" w:color="auto"/>
              <w:bottom w:val="single" w:sz="4" w:space="0" w:color="auto"/>
              <w:right w:val="single" w:sz="4" w:space="0" w:color="auto"/>
            </w:tcBorders>
          </w:tcPr>
          <w:p w14:paraId="0775C337" w14:textId="77777777" w:rsidR="00142F05" w:rsidRDefault="00142F05" w:rsidP="00B72677">
            <w:r>
              <w:t>1</w:t>
            </w:r>
          </w:p>
        </w:tc>
        <w:tc>
          <w:tcPr>
            <w:tcW w:w="2880" w:type="dxa"/>
            <w:tcBorders>
              <w:top w:val="single" w:sz="4" w:space="0" w:color="auto"/>
              <w:left w:val="single" w:sz="4" w:space="0" w:color="auto"/>
              <w:bottom w:val="single" w:sz="4" w:space="0" w:color="auto"/>
              <w:right w:val="single" w:sz="4" w:space="0" w:color="auto"/>
            </w:tcBorders>
          </w:tcPr>
          <w:p w14:paraId="4BCED1E6" w14:textId="77777777" w:rsidR="00142F05" w:rsidRDefault="00142F05" w:rsidP="00B72677">
            <w:r>
              <w:t>2%</w:t>
            </w:r>
          </w:p>
        </w:tc>
      </w:tr>
    </w:tbl>
    <w:p w14:paraId="7AA031AE" w14:textId="77777777" w:rsidR="00142F05" w:rsidRDefault="00142F05" w:rsidP="006F63CA"/>
    <w:p w14:paraId="3E6930A8" w14:textId="0F7BE91A" w:rsidR="00142F05" w:rsidRDefault="00DE7D93" w:rsidP="00142F05">
      <w:r>
        <w:t xml:space="preserve">Table </w:t>
      </w:r>
      <w:r w:rsidR="006F63CA">
        <w:t>1</w:t>
      </w:r>
      <w:r>
        <w:t xml:space="preserve">: Distribution of Ocular Involvement among Pediatric </w:t>
      </w:r>
      <w:proofErr w:type="spellStart"/>
      <w:r>
        <w:t>Behçet’s</w:t>
      </w:r>
      <w:proofErr w:type="spellEnd"/>
      <w:r>
        <w:t xml:space="preserve"> Disease Patients</w:t>
      </w:r>
    </w:p>
    <w:p w14:paraId="19710651" w14:textId="77777777" w:rsidR="00EA7D71" w:rsidRDefault="00EA7D71" w:rsidP="004D49AB"/>
    <w:p w14:paraId="200C01E8" w14:textId="77777777" w:rsidR="00EA7D71" w:rsidRDefault="005427EC">
      <w:pPr>
        <w:pStyle w:val="Heading1"/>
      </w:pPr>
      <w:r>
        <w:t>4. DISCUSSION</w:t>
      </w:r>
    </w:p>
    <w:p w14:paraId="4791C6EA" w14:textId="77777777" w:rsidR="00F2551B" w:rsidRDefault="00735A83" w:rsidP="00F2551B">
      <w:r>
        <w:t xml:space="preserve">Our series confirms that pediatric </w:t>
      </w:r>
      <w:proofErr w:type="spellStart"/>
      <w:r>
        <w:t>Behçet’s</w:t>
      </w:r>
      <w:proofErr w:type="spellEnd"/>
      <w:r>
        <w:t xml:space="preserve"> disease (BD) is a rare entity but represents an important cause of morbidity in children, especially in regions along the historic Silk </w:t>
      </w:r>
      <w:proofErr w:type="gramStart"/>
      <w:r>
        <w:t>Road[</w:t>
      </w:r>
      <w:proofErr w:type="gramEnd"/>
      <w:r>
        <w:t>1]. The mean age at diagnosis in our cohort was 11.5 years, similar to reports from France and Italy where pediatric BD is diagnosed around early adolescence [2,10]. The average delay between onset of first symptoms and diagnosis remains substantial, reflecting the diagnostic challenge posed by the nonspecific initial presentation, usually recurrent oral ulcers.</w:t>
      </w:r>
      <w:r>
        <w:br/>
      </w:r>
      <w:r>
        <w:br/>
        <w:t>Sex distribution varies across regions. While most adult and pediatric series from Turkey and Jordan show a male predominance [7,9], our study revealed a slight female predominance (sex ratio 0.84), similar to reports from Italy and France [2,10]. This suggests possible geographic or genetic influences on disease expression.</w:t>
      </w:r>
      <w:r>
        <w:br/>
      </w:r>
      <w:r>
        <w:br/>
        <w:t xml:space="preserve">Mucocutaneous involvement was universal, with recurrent oral ulcers present in all patients, consistent with other series [6,7]. Genital ulcers were observed in 34% of our patients, which is lower than the rates reported in Tunisia and Morocco (up to 90%) [6,8], but closer to European pediatric cohorts [10]. Cutaneous manifestations such as </w:t>
      </w:r>
      <w:proofErr w:type="spellStart"/>
      <w:r>
        <w:t>pseudofolliculitis</w:t>
      </w:r>
      <w:proofErr w:type="spellEnd"/>
      <w:r>
        <w:t xml:space="preserve"> and erythema nodosum were noted in 45% and 5% of cases, respectively, comparable to frequencies reported in the Mediterranean basin [6].</w:t>
      </w:r>
      <w:r>
        <w:br/>
      </w:r>
      <w:r>
        <w:br/>
        <w:t xml:space="preserve">Ocular involvement was present in 42% of cases, confirming that eye disease is a major </w:t>
      </w:r>
      <w:r>
        <w:lastRenderedPageBreak/>
        <w:t>morbidity factor. This rate aligns with the French pediatric series (45%) [2] and is higher than Japanese data (12%) [4], but lower than some Moroccan reports where prevalence exceeded 60% [8]. Complications such as optic atrophy and cataract, though rare in our study, highlight the risk of irreversible vision loss [13].</w:t>
      </w:r>
    </w:p>
    <w:p w14:paraId="63730C3E" w14:textId="71D9B215" w:rsidR="00F2551B" w:rsidRPr="00F2551B" w:rsidRDefault="00735A83" w:rsidP="00F2551B">
      <w:pPr>
        <w:rPr>
          <w:rFonts w:eastAsia="Times New Roman" w:cs="Times New Roman"/>
          <w:lang w:eastAsia="fr-FR"/>
        </w:rPr>
      </w:pPr>
      <w:r>
        <w:br/>
      </w:r>
      <w:r w:rsidR="00F2551B" w:rsidRPr="00F2551B">
        <w:rPr>
          <w:rFonts w:eastAsia="Times New Roman" w:cs="Times New Roman"/>
          <w:lang w:eastAsia="fr-FR"/>
        </w:rPr>
        <w:t>Neurological manifestations occurred in 11.4% of our patients, mainly presenting with headaches, seizures, and parenchymal brain involvement. This prevalence is lower than the 20–30% reported in Middle Eastern series [7,9] but still underlines the importance of systematic neurological evaluation [13]. Cerebral venous thrombosis, although clinically revealed by neurological symptoms, was classified as a vascular complication according to current recommendations. Vascular involvement was observed in 5% of our cases, including one patient who died from pulmonary embolism, confirming the high mortality risk associated with vascular BD [11].</w:t>
      </w:r>
    </w:p>
    <w:p w14:paraId="07B1E8C4" w14:textId="4FA9A23B" w:rsidR="00735A83" w:rsidRDefault="00735A83" w:rsidP="00F2551B">
      <w:r>
        <w:br/>
        <w:t>Articular involvement was frequent (57%), mostly oligoarticular, consistent with data from other Mediterranean cohorts [6,7]. Gastrointestinal manifestations were reported in 14% of patients, which is within the range of 6–50% described in the literature [5]. These features emphasize the systemic nature of pediatric BD.</w:t>
      </w:r>
      <w:r>
        <w:br/>
      </w:r>
      <w:r>
        <w:br/>
        <w:t>Therapeutic management followed international practice: colchicine as first-line therapy [5,6], corticosteroids for severe involvement, and immunosuppressants such as azathioprine and methotrexate for refractory cases [11]. In recent years, biologics have emerged as a promising option. In our series, six children with refractory uveitis were treated successfully with adalimumab, echoing recent studies that support anti-TNF agents in resistant pediatric BD [12].</w:t>
      </w:r>
      <w:r>
        <w:br/>
      </w:r>
      <w:r>
        <w:br/>
        <w:t>Compared with large adult series, pediatric BD appears to present with similar overall manifestations but with notable differences: more balanced sex ratio, earlier age of onset, and a higher frequency of neurological and digestive involvement [2,5,9]. The main limitations of our study are its retrospective design and monocentric nature, which may limit generalizability. Nonetheless, it remains one of the largest pediatric BD series from North Africa.</w:t>
      </w:r>
      <w:r>
        <w:br/>
      </w:r>
      <w:r>
        <w:br/>
        <w:t>In conclusion, our findings confirm that pediatric BD shares many features with adult disease but also displays distinct pediatric characteristics. Comparative studies across regions and the development of international registries are needed to better define disease course and optimize management in children.</w:t>
      </w:r>
    </w:p>
    <w:p w14:paraId="4F3B659E" w14:textId="77777777" w:rsidR="00EA7D71" w:rsidRDefault="005427EC">
      <w:pPr>
        <w:pStyle w:val="Heading1"/>
      </w:pPr>
      <w:r>
        <w:t>5. CONCLUSION</w:t>
      </w:r>
    </w:p>
    <w:p w14:paraId="7FB96A4E" w14:textId="7C51DC40" w:rsidR="00F357CC" w:rsidRPr="00ED5157" w:rsidRDefault="00ED5157" w:rsidP="00F357CC">
      <w:pPr>
        <w:spacing w:after="0" w:line="240" w:lineRule="auto"/>
        <w:rPr>
          <w:rFonts w:eastAsia="Times New Roman" w:cs="Times New Roman"/>
          <w:lang w:eastAsia="fr-FR"/>
        </w:rPr>
      </w:pPr>
      <w:r w:rsidRPr="00ED5157">
        <w:rPr>
          <w:rFonts w:eastAsia="Times New Roman" w:cs="Times New Roman"/>
          <w:lang w:eastAsia="fr-FR"/>
        </w:rPr>
        <w:t xml:space="preserve">Pediatric </w:t>
      </w:r>
      <w:proofErr w:type="spellStart"/>
      <w:r w:rsidRPr="00ED5157">
        <w:rPr>
          <w:rFonts w:eastAsia="Times New Roman" w:cs="Times New Roman"/>
          <w:lang w:eastAsia="fr-FR"/>
        </w:rPr>
        <w:t>Behçet’s</w:t>
      </w:r>
      <w:proofErr w:type="spellEnd"/>
      <w:r w:rsidRPr="00ED5157">
        <w:rPr>
          <w:rFonts w:eastAsia="Times New Roman" w:cs="Times New Roman"/>
          <w:lang w:eastAsia="fr-FR"/>
        </w:rPr>
        <w:t xml:space="preserve"> disease is a rare and often underdiagnosed condition in Morocco. Our study highlights its similarities to adult disease while underlining pediatric-specific patterns </w:t>
      </w:r>
      <w:r w:rsidRPr="00ED5157">
        <w:rPr>
          <w:rFonts w:eastAsia="Times New Roman" w:cs="Times New Roman"/>
          <w:lang w:eastAsia="fr-FR"/>
        </w:rPr>
        <w:lastRenderedPageBreak/>
        <w:t xml:space="preserve">such as balanced sex ratio, more frequent neurological involvement, and a high burden of ocular complications. Early recognition and individualized therapeutic strategies, including the timely use of biologics in severe cases, are crucial to prevent irreversible sequelae. </w:t>
      </w:r>
    </w:p>
    <w:p w14:paraId="4E20BFA1" w14:textId="66C4572E" w:rsidR="00F357CC" w:rsidRPr="00F357CC" w:rsidRDefault="00F357CC" w:rsidP="00F357CC">
      <w:pPr>
        <w:rPr>
          <w:rFonts w:eastAsia="Times New Roman" w:cs="Times New Roman"/>
          <w:lang w:eastAsia="fr-FR"/>
        </w:rPr>
      </w:pPr>
      <w:r w:rsidRPr="00F357CC">
        <w:rPr>
          <w:rFonts w:eastAsia="Times New Roman" w:cs="Times New Roman"/>
          <w:lang w:eastAsia="fr-FR"/>
        </w:rPr>
        <w:t xml:space="preserve">Establishing multicenter registries will be crucial to refine diagnostic criteria, understand disease evolution, and improve management strategies in children with </w:t>
      </w:r>
      <w:proofErr w:type="spellStart"/>
      <w:r w:rsidRPr="00F357CC">
        <w:rPr>
          <w:rFonts w:eastAsia="Times New Roman" w:cs="Times New Roman"/>
          <w:lang w:eastAsia="fr-FR"/>
        </w:rPr>
        <w:t>Behçet’s</w:t>
      </w:r>
      <w:proofErr w:type="spellEnd"/>
      <w:r w:rsidRPr="00F357CC">
        <w:rPr>
          <w:rFonts w:eastAsia="Times New Roman" w:cs="Times New Roman"/>
          <w:lang w:eastAsia="fr-FR"/>
        </w:rPr>
        <w:t xml:space="preserve"> disease.</w:t>
      </w:r>
    </w:p>
    <w:p w14:paraId="4F5B9987" w14:textId="6F9165BC" w:rsidR="00EA7D71" w:rsidRDefault="00F357CC">
      <w:pPr>
        <w:pStyle w:val="Heading1"/>
      </w:pPr>
      <w:r>
        <w:t>CO</w:t>
      </w:r>
      <w:r w:rsidR="005427EC">
        <w:t>NSENT</w:t>
      </w:r>
    </w:p>
    <w:p w14:paraId="081DAE9B" w14:textId="77777777" w:rsidR="00EA7D71" w:rsidRDefault="005427EC">
      <w:r>
        <w:t>Written informed consent was obtained from parents or legal guardians of all patients for participation and publication.</w:t>
      </w:r>
    </w:p>
    <w:p w14:paraId="75C02C9F" w14:textId="77777777" w:rsidR="00EA7D71" w:rsidRDefault="005427EC">
      <w:pPr>
        <w:pStyle w:val="Heading1"/>
      </w:pPr>
      <w:r>
        <w:t>ETHICAL APPROVAL</w:t>
      </w:r>
    </w:p>
    <w:p w14:paraId="687CD86E" w14:textId="5578F8AD" w:rsidR="00EA7D71" w:rsidRDefault="005427EC">
      <w:r>
        <w:t xml:space="preserve">This study was approved by the Institutional Ethics Committee of </w:t>
      </w:r>
      <w:proofErr w:type="gramStart"/>
      <w:r>
        <w:t>Ibn</w:t>
      </w:r>
      <w:proofErr w:type="gramEnd"/>
      <w:r>
        <w:t xml:space="preserve"> </w:t>
      </w:r>
      <w:proofErr w:type="spellStart"/>
      <w:r>
        <w:t>Sina</w:t>
      </w:r>
      <w:proofErr w:type="spellEnd"/>
      <w:r>
        <w:t xml:space="preserve"> University Hospital, Rabat, Morocco, and conducted in accordance with the Declaration of Helsinki.</w:t>
      </w:r>
    </w:p>
    <w:p w14:paraId="1887D9CB" w14:textId="77777777" w:rsidR="00244701" w:rsidRDefault="00244701"/>
    <w:p w14:paraId="5769C095" w14:textId="77777777" w:rsidR="00CE1460" w:rsidRDefault="00CE1460" w:rsidP="00CE1460">
      <w:r>
        <w:t>Disclaimer (Artificial intelligence)</w:t>
      </w:r>
    </w:p>
    <w:p w14:paraId="6AE2D990" w14:textId="77777777" w:rsidR="00C0495C" w:rsidRDefault="00C0495C" w:rsidP="00C0495C">
      <w:r>
        <w:t>The authors declare that no generative Artificial Intelligence technologies were used in the writing, editing, or submission of this manuscript.</w:t>
      </w:r>
    </w:p>
    <w:p w14:paraId="14CC3C1B" w14:textId="77777777" w:rsidR="00244701" w:rsidRDefault="00244701"/>
    <w:p w14:paraId="619DA372" w14:textId="77777777" w:rsidR="00F84C7D" w:rsidRDefault="00DE7D93">
      <w:pPr>
        <w:pStyle w:val="Heading1"/>
      </w:pPr>
      <w:r>
        <w:t>REFERENCES</w:t>
      </w:r>
    </w:p>
    <w:p w14:paraId="77943828" w14:textId="77777777" w:rsidR="00F84C7D" w:rsidRDefault="00DE7D93">
      <w:r>
        <w:t xml:space="preserve">1. </w:t>
      </w:r>
      <w:proofErr w:type="spellStart"/>
      <w:r>
        <w:t>Behçet</w:t>
      </w:r>
      <w:proofErr w:type="spellEnd"/>
      <w:r>
        <w:t xml:space="preserve"> H. </w:t>
      </w:r>
      <w:proofErr w:type="spellStart"/>
      <w:r>
        <w:t>Über</w:t>
      </w:r>
      <w:proofErr w:type="spellEnd"/>
      <w:r>
        <w:t xml:space="preserve"> </w:t>
      </w:r>
      <w:proofErr w:type="spellStart"/>
      <w:r>
        <w:t>rezidivierende</w:t>
      </w:r>
      <w:proofErr w:type="spellEnd"/>
      <w:r>
        <w:t xml:space="preserve">, </w:t>
      </w:r>
      <w:proofErr w:type="spellStart"/>
      <w:r>
        <w:t>aphthöse</w:t>
      </w:r>
      <w:proofErr w:type="spellEnd"/>
      <w:r>
        <w:t xml:space="preserve">, </w:t>
      </w:r>
      <w:proofErr w:type="spellStart"/>
      <w:r>
        <w:t>durch</w:t>
      </w:r>
      <w:proofErr w:type="spellEnd"/>
      <w:r>
        <w:t xml:space="preserve"> </w:t>
      </w:r>
      <w:proofErr w:type="spellStart"/>
      <w:r>
        <w:t>ein</w:t>
      </w:r>
      <w:proofErr w:type="spellEnd"/>
      <w:r>
        <w:t xml:space="preserve"> Virus </w:t>
      </w:r>
      <w:proofErr w:type="spellStart"/>
      <w:r>
        <w:t>verursachte</w:t>
      </w:r>
      <w:proofErr w:type="spellEnd"/>
      <w:r>
        <w:t xml:space="preserve"> </w:t>
      </w:r>
      <w:proofErr w:type="spellStart"/>
      <w:r>
        <w:t>Geschwüre</w:t>
      </w:r>
      <w:proofErr w:type="spellEnd"/>
      <w:r>
        <w:t xml:space="preserve"> am </w:t>
      </w:r>
      <w:proofErr w:type="spellStart"/>
      <w:r>
        <w:t>Mund</w:t>
      </w:r>
      <w:proofErr w:type="spellEnd"/>
      <w:r>
        <w:t xml:space="preserve">, am </w:t>
      </w:r>
      <w:proofErr w:type="spellStart"/>
      <w:r>
        <w:t>Auge</w:t>
      </w:r>
      <w:proofErr w:type="spellEnd"/>
      <w:r>
        <w:t xml:space="preserve"> und an den </w:t>
      </w:r>
      <w:proofErr w:type="spellStart"/>
      <w:r>
        <w:t>Genitalien</w:t>
      </w:r>
      <w:proofErr w:type="spellEnd"/>
      <w:r>
        <w:t xml:space="preserve">. Dermatol </w:t>
      </w:r>
      <w:proofErr w:type="spellStart"/>
      <w:r>
        <w:t>Wochenschr</w:t>
      </w:r>
      <w:proofErr w:type="spellEnd"/>
      <w:r>
        <w:t xml:space="preserve">. </w:t>
      </w:r>
      <w:proofErr w:type="gramStart"/>
      <w:r>
        <w:t>1937;105:1152</w:t>
      </w:r>
      <w:proofErr w:type="gramEnd"/>
      <w:r>
        <w:t>-1157.</w:t>
      </w:r>
    </w:p>
    <w:p w14:paraId="0C3B5E61" w14:textId="77777777" w:rsidR="00F84C7D" w:rsidRDefault="00DE7D93">
      <w:r>
        <w:t xml:space="preserve">2. Mason RM, Barnes CG. </w:t>
      </w:r>
      <w:proofErr w:type="spellStart"/>
      <w:r>
        <w:t>Behçet’s</w:t>
      </w:r>
      <w:proofErr w:type="spellEnd"/>
      <w:r>
        <w:t xml:space="preserve"> syndrome with arthritis. Ann Rheum Dis. 1969;28(2):95-103.</w:t>
      </w:r>
    </w:p>
    <w:p w14:paraId="5CA06EDA" w14:textId="77777777" w:rsidR="00F84C7D" w:rsidRPr="00142F05" w:rsidRDefault="00DE7D93">
      <w:pPr>
        <w:rPr>
          <w:lang w:val="fr-MA"/>
        </w:rPr>
      </w:pPr>
      <w:r>
        <w:t xml:space="preserve">3. International Study Group for </w:t>
      </w:r>
      <w:proofErr w:type="spellStart"/>
      <w:r>
        <w:t>Behçet’s</w:t>
      </w:r>
      <w:proofErr w:type="spellEnd"/>
      <w:r>
        <w:t xml:space="preserve"> Disease. Criteria for diagnosis of </w:t>
      </w:r>
      <w:proofErr w:type="spellStart"/>
      <w:r>
        <w:t>Behçet’s</w:t>
      </w:r>
      <w:proofErr w:type="spellEnd"/>
      <w:r>
        <w:t xml:space="preserve"> disease. </w:t>
      </w:r>
      <w:r w:rsidRPr="00142F05">
        <w:rPr>
          <w:lang w:val="fr-MA"/>
        </w:rPr>
        <w:t xml:space="preserve">Lancet. </w:t>
      </w:r>
      <w:proofErr w:type="gramStart"/>
      <w:r w:rsidRPr="00142F05">
        <w:rPr>
          <w:lang w:val="fr-MA"/>
        </w:rPr>
        <w:t>1990;</w:t>
      </w:r>
      <w:proofErr w:type="gramEnd"/>
      <w:r w:rsidRPr="00142F05">
        <w:rPr>
          <w:lang w:val="fr-MA"/>
        </w:rPr>
        <w:t>335:1078-1080.</w:t>
      </w:r>
    </w:p>
    <w:p w14:paraId="11C98334" w14:textId="2014FD00" w:rsidR="00F84C7D" w:rsidRDefault="00DE7D93">
      <w:pPr>
        <w:rPr>
          <w:lang w:val="fr-MA"/>
        </w:rPr>
      </w:pPr>
      <w:r w:rsidRPr="00142F05">
        <w:rPr>
          <w:lang w:val="fr-MA"/>
        </w:rPr>
        <w:t xml:space="preserve">4. </w:t>
      </w:r>
      <w:r w:rsidR="00A617F6" w:rsidRPr="00A617F6">
        <w:rPr>
          <w:lang w:val="fr-MA"/>
        </w:rPr>
        <w:t>Koné-</w:t>
      </w:r>
      <w:proofErr w:type="spellStart"/>
      <w:r w:rsidR="00A617F6" w:rsidRPr="00A617F6">
        <w:rPr>
          <w:lang w:val="fr-MA"/>
        </w:rPr>
        <w:t>Paut</w:t>
      </w:r>
      <w:proofErr w:type="spellEnd"/>
      <w:r w:rsidR="00A617F6" w:rsidRPr="00A617F6">
        <w:rPr>
          <w:lang w:val="fr-MA"/>
        </w:rPr>
        <w:t xml:space="preserve">, I., </w:t>
      </w:r>
      <w:proofErr w:type="spellStart"/>
      <w:r w:rsidR="00A617F6" w:rsidRPr="00A617F6">
        <w:rPr>
          <w:lang w:val="fr-MA"/>
        </w:rPr>
        <w:t>Shahram</w:t>
      </w:r>
      <w:proofErr w:type="spellEnd"/>
      <w:r w:rsidR="00A617F6" w:rsidRPr="00A617F6">
        <w:rPr>
          <w:lang w:val="fr-MA"/>
        </w:rPr>
        <w:t xml:space="preserve">, F., Darce-Bello, M., </w:t>
      </w:r>
      <w:proofErr w:type="spellStart"/>
      <w:r w:rsidR="00A617F6" w:rsidRPr="00A617F6">
        <w:rPr>
          <w:lang w:val="fr-MA"/>
        </w:rPr>
        <w:t>Cantarini</w:t>
      </w:r>
      <w:proofErr w:type="spellEnd"/>
      <w:r w:rsidR="00A617F6" w:rsidRPr="00A617F6">
        <w:rPr>
          <w:lang w:val="fr-MA"/>
        </w:rPr>
        <w:t xml:space="preserve">, L., </w:t>
      </w:r>
      <w:proofErr w:type="spellStart"/>
      <w:r w:rsidR="00A617F6" w:rsidRPr="00A617F6">
        <w:rPr>
          <w:lang w:val="fr-MA"/>
        </w:rPr>
        <w:t>Cimaz</w:t>
      </w:r>
      <w:proofErr w:type="spellEnd"/>
      <w:r w:rsidR="00A617F6" w:rsidRPr="00A617F6">
        <w:rPr>
          <w:lang w:val="fr-MA"/>
        </w:rPr>
        <w:t xml:space="preserve">, R., </w:t>
      </w:r>
      <w:proofErr w:type="spellStart"/>
      <w:r w:rsidR="00A617F6" w:rsidRPr="00A617F6">
        <w:rPr>
          <w:lang w:val="fr-MA"/>
        </w:rPr>
        <w:t>Gattorno</w:t>
      </w:r>
      <w:proofErr w:type="spellEnd"/>
      <w:r w:rsidR="00A617F6" w:rsidRPr="00A617F6">
        <w:rPr>
          <w:lang w:val="fr-MA"/>
        </w:rPr>
        <w:t xml:space="preserve">, M., ... &amp; </w:t>
      </w:r>
      <w:proofErr w:type="spellStart"/>
      <w:r w:rsidR="00A617F6" w:rsidRPr="00A617F6">
        <w:rPr>
          <w:lang w:val="fr-MA"/>
        </w:rPr>
        <w:t>Ozen</w:t>
      </w:r>
      <w:proofErr w:type="spellEnd"/>
      <w:r w:rsidR="00A617F6" w:rsidRPr="00A617F6">
        <w:rPr>
          <w:lang w:val="fr-MA"/>
        </w:rPr>
        <w:t xml:space="preserve">, S. (2016). Consensus classification </w:t>
      </w:r>
      <w:proofErr w:type="spellStart"/>
      <w:r w:rsidR="00A617F6" w:rsidRPr="00A617F6">
        <w:rPr>
          <w:lang w:val="fr-MA"/>
        </w:rPr>
        <w:t>criteria</w:t>
      </w:r>
      <w:proofErr w:type="spellEnd"/>
      <w:r w:rsidR="00A617F6" w:rsidRPr="00A617F6">
        <w:rPr>
          <w:lang w:val="fr-MA"/>
        </w:rPr>
        <w:t xml:space="preserve"> for </w:t>
      </w:r>
      <w:proofErr w:type="spellStart"/>
      <w:r w:rsidR="00A617F6" w:rsidRPr="00A617F6">
        <w:rPr>
          <w:lang w:val="fr-MA"/>
        </w:rPr>
        <w:t>paediatric</w:t>
      </w:r>
      <w:proofErr w:type="spellEnd"/>
      <w:r w:rsidR="00A617F6" w:rsidRPr="00A617F6">
        <w:rPr>
          <w:lang w:val="fr-MA"/>
        </w:rPr>
        <w:t xml:space="preserve"> </w:t>
      </w:r>
      <w:proofErr w:type="spellStart"/>
      <w:r w:rsidR="00A617F6" w:rsidRPr="00A617F6">
        <w:rPr>
          <w:lang w:val="fr-MA"/>
        </w:rPr>
        <w:t>Behçet's</w:t>
      </w:r>
      <w:proofErr w:type="spellEnd"/>
      <w:r w:rsidR="00A617F6" w:rsidRPr="00A617F6">
        <w:rPr>
          <w:lang w:val="fr-MA"/>
        </w:rPr>
        <w:t xml:space="preserve"> </w:t>
      </w:r>
      <w:proofErr w:type="spellStart"/>
      <w:r w:rsidR="00A617F6" w:rsidRPr="00A617F6">
        <w:rPr>
          <w:lang w:val="fr-MA"/>
        </w:rPr>
        <w:t>disease</w:t>
      </w:r>
      <w:proofErr w:type="spellEnd"/>
      <w:r w:rsidR="00A617F6" w:rsidRPr="00A617F6">
        <w:rPr>
          <w:lang w:val="fr-MA"/>
        </w:rPr>
        <w:t xml:space="preserve"> </w:t>
      </w:r>
      <w:proofErr w:type="spellStart"/>
      <w:r w:rsidR="00A617F6" w:rsidRPr="00A617F6">
        <w:rPr>
          <w:lang w:val="fr-MA"/>
        </w:rPr>
        <w:t>from</w:t>
      </w:r>
      <w:proofErr w:type="spellEnd"/>
      <w:r w:rsidR="00A617F6" w:rsidRPr="00A617F6">
        <w:rPr>
          <w:lang w:val="fr-MA"/>
        </w:rPr>
        <w:t xml:space="preserve"> a prospective </w:t>
      </w:r>
      <w:proofErr w:type="spellStart"/>
      <w:r w:rsidR="00A617F6" w:rsidRPr="00A617F6">
        <w:rPr>
          <w:lang w:val="fr-MA"/>
        </w:rPr>
        <w:t>observational</w:t>
      </w:r>
      <w:proofErr w:type="spellEnd"/>
      <w:r w:rsidR="00A617F6" w:rsidRPr="00A617F6">
        <w:rPr>
          <w:lang w:val="fr-MA"/>
        </w:rPr>
        <w:t xml:space="preserve"> </w:t>
      </w:r>
      <w:proofErr w:type="spellStart"/>
      <w:proofErr w:type="gramStart"/>
      <w:r w:rsidR="00A617F6" w:rsidRPr="00A617F6">
        <w:rPr>
          <w:lang w:val="fr-MA"/>
        </w:rPr>
        <w:t>cohort</w:t>
      </w:r>
      <w:proofErr w:type="spellEnd"/>
      <w:r w:rsidR="00A617F6" w:rsidRPr="00A617F6">
        <w:rPr>
          <w:lang w:val="fr-MA"/>
        </w:rPr>
        <w:t>:</w:t>
      </w:r>
      <w:proofErr w:type="gramEnd"/>
      <w:r w:rsidR="00A617F6" w:rsidRPr="00A617F6">
        <w:rPr>
          <w:lang w:val="fr-MA"/>
        </w:rPr>
        <w:t xml:space="preserve"> PEDBD. </w:t>
      </w:r>
      <w:proofErr w:type="spellStart"/>
      <w:r w:rsidR="00A617F6" w:rsidRPr="00A617F6">
        <w:rPr>
          <w:lang w:val="fr-MA"/>
        </w:rPr>
        <w:t>Annals</w:t>
      </w:r>
      <w:proofErr w:type="spellEnd"/>
      <w:r w:rsidR="00A617F6" w:rsidRPr="00A617F6">
        <w:rPr>
          <w:lang w:val="fr-MA"/>
        </w:rPr>
        <w:t xml:space="preserve"> of the </w:t>
      </w:r>
      <w:proofErr w:type="spellStart"/>
      <w:r w:rsidR="00A617F6" w:rsidRPr="00A617F6">
        <w:rPr>
          <w:lang w:val="fr-MA"/>
        </w:rPr>
        <w:t>rheumatic</w:t>
      </w:r>
      <w:proofErr w:type="spellEnd"/>
      <w:r w:rsidR="00A617F6" w:rsidRPr="00A617F6">
        <w:rPr>
          <w:lang w:val="fr-MA"/>
        </w:rPr>
        <w:t xml:space="preserve"> </w:t>
      </w:r>
      <w:proofErr w:type="spellStart"/>
      <w:r w:rsidR="00A617F6" w:rsidRPr="00A617F6">
        <w:rPr>
          <w:lang w:val="fr-MA"/>
        </w:rPr>
        <w:t>diseases</w:t>
      </w:r>
      <w:proofErr w:type="spellEnd"/>
      <w:r w:rsidR="00A617F6" w:rsidRPr="00A617F6">
        <w:rPr>
          <w:lang w:val="fr-MA"/>
        </w:rPr>
        <w:t>, 75(6), 958-964.</w:t>
      </w:r>
    </w:p>
    <w:p w14:paraId="7ABB2BD7" w14:textId="77777777" w:rsidR="00F84C7D" w:rsidRDefault="00DE7D93">
      <w:r>
        <w:t xml:space="preserve">5. </w:t>
      </w:r>
      <w:proofErr w:type="spellStart"/>
      <w:r>
        <w:t>Matucci-Cerinic</w:t>
      </w:r>
      <w:proofErr w:type="spellEnd"/>
      <w:r>
        <w:t xml:space="preserve"> C, et al. Validation of the PEDBD classification criteria in pediatric </w:t>
      </w:r>
      <w:proofErr w:type="spellStart"/>
      <w:r>
        <w:t>Behçet’s</w:t>
      </w:r>
      <w:proofErr w:type="spellEnd"/>
      <w:r>
        <w:t xml:space="preserve"> disease. Rheumatology. 2024;63(12):3422-3430.</w:t>
      </w:r>
    </w:p>
    <w:p w14:paraId="798DE205" w14:textId="6D1D6750" w:rsidR="00F84C7D" w:rsidRDefault="00DE7D93">
      <w:r>
        <w:t xml:space="preserve">6. </w:t>
      </w:r>
      <w:proofErr w:type="spellStart"/>
      <w:r w:rsidR="00A617F6" w:rsidRPr="00A617F6">
        <w:t>Akca</w:t>
      </w:r>
      <w:proofErr w:type="spellEnd"/>
      <w:r w:rsidR="00A617F6" w:rsidRPr="00A617F6">
        <w:t xml:space="preserve">, U. K., Shahram, F., </w:t>
      </w:r>
      <w:proofErr w:type="spellStart"/>
      <w:r w:rsidR="00A617F6" w:rsidRPr="00A617F6">
        <w:t>Karabulut</w:t>
      </w:r>
      <w:proofErr w:type="spellEnd"/>
      <w:r w:rsidR="00A617F6" w:rsidRPr="00A617F6">
        <w:t xml:space="preserve">, E., </w:t>
      </w:r>
      <w:proofErr w:type="spellStart"/>
      <w:r w:rsidR="00A617F6" w:rsidRPr="00A617F6">
        <w:t>Akhlaghi</w:t>
      </w:r>
      <w:proofErr w:type="spellEnd"/>
      <w:r w:rsidR="00A617F6" w:rsidRPr="00A617F6">
        <w:t xml:space="preserve">, M., </w:t>
      </w:r>
      <w:proofErr w:type="spellStart"/>
      <w:r w:rsidR="00A617F6" w:rsidRPr="00A617F6">
        <w:t>Faezi</w:t>
      </w:r>
      <w:proofErr w:type="spellEnd"/>
      <w:r w:rsidR="00A617F6" w:rsidRPr="00A617F6">
        <w:t xml:space="preserve">, S. T., </w:t>
      </w:r>
      <w:proofErr w:type="spellStart"/>
      <w:r w:rsidR="00A617F6" w:rsidRPr="00A617F6">
        <w:t>Akgun</w:t>
      </w:r>
      <w:proofErr w:type="spellEnd"/>
      <w:r w:rsidR="00A617F6" w:rsidRPr="00A617F6">
        <w:t xml:space="preserve">, O., ... &amp; </w:t>
      </w:r>
      <w:proofErr w:type="spellStart"/>
      <w:r w:rsidR="00A617F6" w:rsidRPr="00A617F6">
        <w:t>Ozen</w:t>
      </w:r>
      <w:proofErr w:type="spellEnd"/>
      <w:r w:rsidR="00A617F6" w:rsidRPr="00A617F6">
        <w:t xml:space="preserve">, S. (2025). Clusters in </w:t>
      </w:r>
      <w:proofErr w:type="spellStart"/>
      <w:r w:rsidR="00A617F6" w:rsidRPr="00A617F6">
        <w:t>paediatric</w:t>
      </w:r>
      <w:proofErr w:type="spellEnd"/>
      <w:r w:rsidR="00A617F6" w:rsidRPr="00A617F6">
        <w:t xml:space="preserve"> </w:t>
      </w:r>
      <w:proofErr w:type="spellStart"/>
      <w:r w:rsidR="00A617F6" w:rsidRPr="00A617F6">
        <w:t>Behçet’s</w:t>
      </w:r>
      <w:proofErr w:type="spellEnd"/>
      <w:r w:rsidR="00A617F6" w:rsidRPr="00A617F6">
        <w:t xml:space="preserve"> disease: a </w:t>
      </w:r>
      <w:proofErr w:type="spellStart"/>
      <w:r w:rsidR="00A617F6" w:rsidRPr="00A617F6">
        <w:t>multicentre</w:t>
      </w:r>
      <w:proofErr w:type="spellEnd"/>
      <w:r w:rsidR="00A617F6" w:rsidRPr="00A617F6">
        <w:t xml:space="preserve"> international study. RMD open, 11(3).</w:t>
      </w:r>
    </w:p>
    <w:p w14:paraId="5324D107" w14:textId="5953D7CC" w:rsidR="00F84C7D" w:rsidRDefault="00DE7D93">
      <w:r>
        <w:lastRenderedPageBreak/>
        <w:t xml:space="preserve">7. </w:t>
      </w:r>
      <w:proofErr w:type="spellStart"/>
      <w:r w:rsidR="00A617F6" w:rsidRPr="00A617F6">
        <w:t>Gaggiano</w:t>
      </w:r>
      <w:proofErr w:type="spellEnd"/>
      <w:r w:rsidR="00A617F6" w:rsidRPr="00A617F6">
        <w:t xml:space="preserve">, C., </w:t>
      </w:r>
      <w:proofErr w:type="spellStart"/>
      <w:r w:rsidR="00A617F6" w:rsidRPr="00A617F6">
        <w:t>Tufan</w:t>
      </w:r>
      <w:proofErr w:type="spellEnd"/>
      <w:r w:rsidR="00A617F6" w:rsidRPr="00A617F6">
        <w:t xml:space="preserve">, A., Guerriero, S., Ragab, G., </w:t>
      </w:r>
      <w:proofErr w:type="spellStart"/>
      <w:r w:rsidR="00A617F6" w:rsidRPr="00A617F6">
        <w:t>Sota</w:t>
      </w:r>
      <w:proofErr w:type="spellEnd"/>
      <w:r w:rsidR="00A617F6" w:rsidRPr="00A617F6">
        <w:t xml:space="preserve">, J., Gentileschi, S., ... &amp; AIDA Network. (2024). Ocular manifestations in juvenile </w:t>
      </w:r>
      <w:proofErr w:type="spellStart"/>
      <w:r w:rsidR="00A617F6" w:rsidRPr="00A617F6">
        <w:t>Behçet’s</w:t>
      </w:r>
      <w:proofErr w:type="spellEnd"/>
      <w:r w:rsidR="00A617F6" w:rsidRPr="00A617F6">
        <w:t xml:space="preserve"> disease: a registry-based analysis from the AIDA Network. Ophthalmology and Therapy, 13(6), 1479-1498.</w:t>
      </w:r>
    </w:p>
    <w:p w14:paraId="4673D315" w14:textId="77777777" w:rsidR="00F84C7D" w:rsidRDefault="00DE7D93">
      <w:bookmarkStart w:id="0" w:name="_GoBack"/>
      <w:bookmarkEnd w:id="0"/>
      <w:r>
        <w:t xml:space="preserve">8. </w:t>
      </w:r>
      <w:proofErr w:type="spellStart"/>
      <w:r>
        <w:t>Azri</w:t>
      </w:r>
      <w:proofErr w:type="spellEnd"/>
      <w:r>
        <w:t xml:space="preserve"> C, et al. Ocular involvement in pediatric </w:t>
      </w:r>
      <w:proofErr w:type="spellStart"/>
      <w:r>
        <w:t>Behçet’s</w:t>
      </w:r>
      <w:proofErr w:type="spellEnd"/>
      <w:r>
        <w:t xml:space="preserve"> disease: is it different than in adults? BMC </w:t>
      </w:r>
      <w:proofErr w:type="spellStart"/>
      <w:r>
        <w:t>Ophthalmol</w:t>
      </w:r>
      <w:proofErr w:type="spellEnd"/>
      <w:r>
        <w:t xml:space="preserve">. </w:t>
      </w:r>
      <w:proofErr w:type="gramStart"/>
      <w:r>
        <w:t>2023;23:197</w:t>
      </w:r>
      <w:proofErr w:type="gramEnd"/>
      <w:r>
        <w:t>.</w:t>
      </w:r>
    </w:p>
    <w:p w14:paraId="6475A8CA" w14:textId="77777777" w:rsidR="00F84C7D" w:rsidRDefault="00DE7D93">
      <w:r>
        <w:t xml:space="preserve">9. </w:t>
      </w:r>
      <w:proofErr w:type="spellStart"/>
      <w:r>
        <w:t>Giani</w:t>
      </w:r>
      <w:proofErr w:type="spellEnd"/>
      <w:r>
        <w:t xml:space="preserve"> T, et al. Treatment Options in Pediatric </w:t>
      </w:r>
      <w:proofErr w:type="spellStart"/>
      <w:r>
        <w:t>Behçet’s</w:t>
      </w:r>
      <w:proofErr w:type="spellEnd"/>
      <w:r>
        <w:t xml:space="preserve"> Disease. </w:t>
      </w:r>
      <w:proofErr w:type="spellStart"/>
      <w:r>
        <w:t>Pediatr</w:t>
      </w:r>
      <w:proofErr w:type="spellEnd"/>
      <w:r>
        <w:t xml:space="preserve"> </w:t>
      </w:r>
      <w:proofErr w:type="spellStart"/>
      <w:r>
        <w:t>Rheumatol</w:t>
      </w:r>
      <w:proofErr w:type="spellEnd"/>
      <w:r>
        <w:t xml:space="preserve">. </w:t>
      </w:r>
      <w:proofErr w:type="gramStart"/>
      <w:r>
        <w:t>2023;21:14</w:t>
      </w:r>
      <w:proofErr w:type="gramEnd"/>
      <w:r>
        <w:t>.</w:t>
      </w:r>
    </w:p>
    <w:p w14:paraId="10D93742" w14:textId="77777777" w:rsidR="00F84C7D" w:rsidRDefault="00DE7D93">
      <w:r>
        <w:t xml:space="preserve">10. </w:t>
      </w:r>
      <w:proofErr w:type="spellStart"/>
      <w:r>
        <w:t>Yildiz</w:t>
      </w:r>
      <w:proofErr w:type="spellEnd"/>
      <w:r>
        <w:t xml:space="preserve"> M, et al. Pediatric </w:t>
      </w:r>
      <w:proofErr w:type="spellStart"/>
      <w:r>
        <w:t>Behçet’s</w:t>
      </w:r>
      <w:proofErr w:type="spellEnd"/>
      <w:r>
        <w:t xml:space="preserve"> disease: clinical features, disease course and HLA-B51 association. Front Med. </w:t>
      </w:r>
      <w:proofErr w:type="gramStart"/>
      <w:r>
        <w:t>2021;8:627192</w:t>
      </w:r>
      <w:proofErr w:type="gramEnd"/>
      <w:r>
        <w:t>.</w:t>
      </w:r>
    </w:p>
    <w:p w14:paraId="7829ABB3" w14:textId="5C420CE5" w:rsidR="00F84C7D" w:rsidRDefault="00DE7D93">
      <w:r w:rsidRPr="00DE79D3">
        <w:rPr>
          <w:highlight w:val="red"/>
        </w:rPr>
        <w:t xml:space="preserve">11. </w:t>
      </w:r>
      <w:proofErr w:type="spellStart"/>
      <w:r w:rsidR="00A617F6" w:rsidRPr="00A617F6">
        <w:t>Costagliola</w:t>
      </w:r>
      <w:proofErr w:type="spellEnd"/>
      <w:r w:rsidR="00A617F6" w:rsidRPr="00A617F6">
        <w:t xml:space="preserve">, G., Cappelli, S., &amp; </w:t>
      </w:r>
      <w:proofErr w:type="spellStart"/>
      <w:r w:rsidR="00A617F6" w:rsidRPr="00A617F6">
        <w:t>Consolini</w:t>
      </w:r>
      <w:proofErr w:type="spellEnd"/>
      <w:r w:rsidR="00A617F6" w:rsidRPr="00A617F6">
        <w:t xml:space="preserve">, R. (2020). </w:t>
      </w:r>
      <w:proofErr w:type="spellStart"/>
      <w:r w:rsidR="00A617F6" w:rsidRPr="00A617F6">
        <w:t>Behçet’s</w:t>
      </w:r>
      <w:proofErr w:type="spellEnd"/>
      <w:r w:rsidR="00A617F6" w:rsidRPr="00A617F6">
        <w:t xml:space="preserve"> disease in children: diagnostic and management challenges. Therapeutics and Clinical Risk Management, 495-507.</w:t>
      </w:r>
    </w:p>
    <w:p w14:paraId="71ACF23A" w14:textId="77777777" w:rsidR="00F84C7D" w:rsidRDefault="00DE7D93">
      <w:r>
        <w:t xml:space="preserve">12. </w:t>
      </w:r>
      <w:proofErr w:type="spellStart"/>
      <w:r>
        <w:t>Koné-Paut</w:t>
      </w:r>
      <w:proofErr w:type="spellEnd"/>
      <w:r>
        <w:t xml:space="preserve"> I. </w:t>
      </w:r>
      <w:proofErr w:type="spellStart"/>
      <w:r>
        <w:t>Behçet’s</w:t>
      </w:r>
      <w:proofErr w:type="spellEnd"/>
      <w:r>
        <w:t xml:space="preserve"> disease in children, an overview. </w:t>
      </w:r>
      <w:proofErr w:type="spellStart"/>
      <w:r>
        <w:t>Pediatr</w:t>
      </w:r>
      <w:proofErr w:type="spellEnd"/>
      <w:r>
        <w:t xml:space="preserve"> </w:t>
      </w:r>
      <w:proofErr w:type="spellStart"/>
      <w:r>
        <w:t>Rheumatol</w:t>
      </w:r>
      <w:proofErr w:type="spellEnd"/>
      <w:r>
        <w:t xml:space="preserve">. </w:t>
      </w:r>
      <w:proofErr w:type="gramStart"/>
      <w:r>
        <w:t>2016;14:10</w:t>
      </w:r>
      <w:proofErr w:type="gramEnd"/>
      <w:r>
        <w:t>.</w:t>
      </w:r>
    </w:p>
    <w:p w14:paraId="12D5932F" w14:textId="78A50117" w:rsidR="00F84C7D" w:rsidRDefault="00DE7D93">
      <w:r w:rsidRPr="00DE79D3">
        <w:rPr>
          <w:highlight w:val="red"/>
        </w:rPr>
        <w:t xml:space="preserve">13. </w:t>
      </w:r>
      <w:proofErr w:type="spellStart"/>
      <w:r w:rsidR="00A617F6" w:rsidRPr="00A617F6">
        <w:t>Fazaa</w:t>
      </w:r>
      <w:proofErr w:type="spellEnd"/>
      <w:r w:rsidR="00A617F6" w:rsidRPr="00A617F6">
        <w:t xml:space="preserve">, A., </w:t>
      </w:r>
      <w:proofErr w:type="spellStart"/>
      <w:r w:rsidR="00A617F6" w:rsidRPr="00A617F6">
        <w:t>Makhlouf</w:t>
      </w:r>
      <w:proofErr w:type="spellEnd"/>
      <w:r w:rsidR="00A617F6" w:rsidRPr="00A617F6">
        <w:t xml:space="preserve">, Y., Ben </w:t>
      </w:r>
      <w:proofErr w:type="spellStart"/>
      <w:r w:rsidR="00A617F6" w:rsidRPr="00A617F6">
        <w:t>Massoud</w:t>
      </w:r>
      <w:proofErr w:type="spellEnd"/>
      <w:r w:rsidR="00A617F6" w:rsidRPr="00A617F6">
        <w:t xml:space="preserve">, F., </w:t>
      </w:r>
      <w:proofErr w:type="spellStart"/>
      <w:r w:rsidR="00A617F6" w:rsidRPr="00A617F6">
        <w:t>Miladi</w:t>
      </w:r>
      <w:proofErr w:type="spellEnd"/>
      <w:r w:rsidR="00A617F6" w:rsidRPr="00A617F6">
        <w:t xml:space="preserve">, S., </w:t>
      </w:r>
      <w:proofErr w:type="spellStart"/>
      <w:r w:rsidR="00A617F6" w:rsidRPr="00A617F6">
        <w:t>Boussaa</w:t>
      </w:r>
      <w:proofErr w:type="spellEnd"/>
      <w:r w:rsidR="00A617F6" w:rsidRPr="00A617F6">
        <w:t xml:space="preserve">, H., </w:t>
      </w:r>
      <w:proofErr w:type="spellStart"/>
      <w:r w:rsidR="00A617F6" w:rsidRPr="00A617F6">
        <w:t>Ouenniche</w:t>
      </w:r>
      <w:proofErr w:type="spellEnd"/>
      <w:r w:rsidR="00A617F6" w:rsidRPr="00A617F6">
        <w:t xml:space="preserve">, K., ... &amp; </w:t>
      </w:r>
      <w:proofErr w:type="spellStart"/>
      <w:r w:rsidR="00A617F6" w:rsidRPr="00A617F6">
        <w:t>Laatar</w:t>
      </w:r>
      <w:proofErr w:type="spellEnd"/>
      <w:r w:rsidR="00A617F6" w:rsidRPr="00A617F6">
        <w:t xml:space="preserve">, A. (2024). </w:t>
      </w:r>
      <w:proofErr w:type="spellStart"/>
      <w:r w:rsidR="00A617F6" w:rsidRPr="00A617F6">
        <w:t>Behçet</w:t>
      </w:r>
      <w:proofErr w:type="spellEnd"/>
      <w:r w:rsidR="00A617F6" w:rsidRPr="00A617F6">
        <w:t xml:space="preserve"> disease: epidemiology, classification criteria and treatment modalities. Expert Review of Clinical Immunology, 20(12), 1437-1448.</w:t>
      </w:r>
    </w:p>
    <w:sectPr w:rsidR="00F84C7D" w:rsidSect="00034616">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36F84" w14:textId="77777777" w:rsidR="00A97CB1" w:rsidRDefault="00A97CB1" w:rsidP="005F6C5D">
      <w:pPr>
        <w:spacing w:after="0" w:line="240" w:lineRule="auto"/>
      </w:pPr>
      <w:r>
        <w:separator/>
      </w:r>
    </w:p>
  </w:endnote>
  <w:endnote w:type="continuationSeparator" w:id="0">
    <w:p w14:paraId="4C8EC464" w14:textId="77777777" w:rsidR="00A97CB1" w:rsidRDefault="00A97CB1" w:rsidP="005F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C19CB" w14:textId="77777777" w:rsidR="005F6C5D" w:rsidRDefault="005F6C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70DDA" w14:textId="77777777" w:rsidR="005F6C5D" w:rsidRDefault="005F6C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846C6" w14:textId="77777777" w:rsidR="005F6C5D" w:rsidRDefault="005F6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284C2" w14:textId="77777777" w:rsidR="00A97CB1" w:rsidRDefault="00A97CB1" w:rsidP="005F6C5D">
      <w:pPr>
        <w:spacing w:after="0" w:line="240" w:lineRule="auto"/>
      </w:pPr>
      <w:r>
        <w:separator/>
      </w:r>
    </w:p>
  </w:footnote>
  <w:footnote w:type="continuationSeparator" w:id="0">
    <w:p w14:paraId="0B55407C" w14:textId="77777777" w:rsidR="00A97CB1" w:rsidRDefault="00A97CB1" w:rsidP="005F6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6BF78" w14:textId="77777777" w:rsidR="005F6C5D" w:rsidRDefault="00A617F6">
    <w:pPr>
      <w:pStyle w:val="Header"/>
    </w:pPr>
    <w:r>
      <w:rPr>
        <w:noProof/>
      </w:rPr>
      <w:pict w14:anchorId="1967BD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492985" o:spid="_x0000_s2051" type="#_x0000_t136" alt="" style="position:absolute;margin-left:0;margin-top:0;width:541.4pt;height:67.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D0D7B" w14:textId="77777777" w:rsidR="005F6C5D" w:rsidRDefault="00A617F6">
    <w:pPr>
      <w:pStyle w:val="Header"/>
    </w:pPr>
    <w:r>
      <w:rPr>
        <w:noProof/>
      </w:rPr>
      <w:pict w14:anchorId="1AC9BD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492986" o:spid="_x0000_s2050" type="#_x0000_t136" alt="" style="position:absolute;margin-left:0;margin-top:0;width:541.4pt;height:67.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2BE72" w14:textId="77777777" w:rsidR="005F6C5D" w:rsidRDefault="00A617F6">
    <w:pPr>
      <w:pStyle w:val="Header"/>
    </w:pPr>
    <w:r>
      <w:rPr>
        <w:noProof/>
      </w:rPr>
      <w:pict w14:anchorId="52F8FF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492984" o:spid="_x0000_s2049" type="#_x0000_t136" alt="" style="position:absolute;margin-left:0;margin-top:0;width:541.4pt;height:67.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3MTIzMzG0NDY3N7ZU0lEKTi0uzszPAykwrAUAwlIrgCwAAAA="/>
  </w:docVars>
  <w:rsids>
    <w:rsidRoot w:val="00B47730"/>
    <w:rsid w:val="000041A2"/>
    <w:rsid w:val="00034616"/>
    <w:rsid w:val="0006063C"/>
    <w:rsid w:val="000B3BFE"/>
    <w:rsid w:val="00142F05"/>
    <w:rsid w:val="0015074B"/>
    <w:rsid w:val="00244701"/>
    <w:rsid w:val="0029639D"/>
    <w:rsid w:val="00326F90"/>
    <w:rsid w:val="003520F0"/>
    <w:rsid w:val="0039239F"/>
    <w:rsid w:val="003B57E7"/>
    <w:rsid w:val="003C2075"/>
    <w:rsid w:val="004061B8"/>
    <w:rsid w:val="00430F72"/>
    <w:rsid w:val="004D49AB"/>
    <w:rsid w:val="005427EC"/>
    <w:rsid w:val="005F6C5D"/>
    <w:rsid w:val="00650F4D"/>
    <w:rsid w:val="006F63CA"/>
    <w:rsid w:val="00735A83"/>
    <w:rsid w:val="0083103F"/>
    <w:rsid w:val="008C0BF8"/>
    <w:rsid w:val="008E7F7D"/>
    <w:rsid w:val="0091572E"/>
    <w:rsid w:val="00A617F6"/>
    <w:rsid w:val="00A668E6"/>
    <w:rsid w:val="00A97CB1"/>
    <w:rsid w:val="00AA1D8D"/>
    <w:rsid w:val="00B47730"/>
    <w:rsid w:val="00B64BBD"/>
    <w:rsid w:val="00BD58E4"/>
    <w:rsid w:val="00BF448F"/>
    <w:rsid w:val="00C0495C"/>
    <w:rsid w:val="00CB0664"/>
    <w:rsid w:val="00CE1460"/>
    <w:rsid w:val="00D01F8B"/>
    <w:rsid w:val="00D464FD"/>
    <w:rsid w:val="00D50B01"/>
    <w:rsid w:val="00D55A58"/>
    <w:rsid w:val="00D57B01"/>
    <w:rsid w:val="00D85702"/>
    <w:rsid w:val="00D94D6C"/>
    <w:rsid w:val="00DE0FA3"/>
    <w:rsid w:val="00DE79D3"/>
    <w:rsid w:val="00DE7D93"/>
    <w:rsid w:val="00E1169F"/>
    <w:rsid w:val="00E32DDB"/>
    <w:rsid w:val="00E907BD"/>
    <w:rsid w:val="00EA7D71"/>
    <w:rsid w:val="00EB1E27"/>
    <w:rsid w:val="00ED5157"/>
    <w:rsid w:val="00F2551B"/>
    <w:rsid w:val="00F357CC"/>
    <w:rsid w:val="00F84C7D"/>
    <w:rsid w:val="00FA235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2AB7082"/>
  <w14:defaultImageDpi w14:val="300"/>
  <w15:docId w15:val="{D2E15063-006B-A94E-A129-B43311D4D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E0FA3"/>
    <w:rPr>
      <w:color w:val="0000FF" w:themeColor="hyperlink"/>
      <w:u w:val="single"/>
    </w:rPr>
  </w:style>
  <w:style w:type="character" w:styleId="UnresolvedMention">
    <w:name w:val="Unresolved Mention"/>
    <w:basedOn w:val="DefaultParagraphFont"/>
    <w:uiPriority w:val="99"/>
    <w:semiHidden/>
    <w:unhideWhenUsed/>
    <w:rsid w:val="00DE0FA3"/>
    <w:rPr>
      <w:color w:val="605E5C"/>
      <w:shd w:val="clear" w:color="auto" w:fill="E1DFDD"/>
    </w:rPr>
  </w:style>
  <w:style w:type="paragraph" w:styleId="NormalWeb">
    <w:name w:val="Normal (Web)"/>
    <w:basedOn w:val="Normal"/>
    <w:uiPriority w:val="99"/>
    <w:semiHidden/>
    <w:unhideWhenUsed/>
    <w:rsid w:val="000041A2"/>
    <w:pPr>
      <w:spacing w:before="100" w:beforeAutospacing="1" w:after="100" w:afterAutospacing="1" w:line="240" w:lineRule="auto"/>
    </w:pPr>
    <w:rPr>
      <w:rFonts w:ascii="Times New Roman" w:eastAsia="Times New Roman" w:hAnsi="Times New Roman" w:cs="Times New Roman"/>
      <w:sz w:val="24"/>
      <w:szCs w:val="24"/>
      <w:lang w:val="fr-MA"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327449">
      <w:bodyDiv w:val="1"/>
      <w:marLeft w:val="0"/>
      <w:marRight w:val="0"/>
      <w:marTop w:val="0"/>
      <w:marBottom w:val="0"/>
      <w:divBdr>
        <w:top w:val="none" w:sz="0" w:space="0" w:color="auto"/>
        <w:left w:val="none" w:sz="0" w:space="0" w:color="auto"/>
        <w:bottom w:val="none" w:sz="0" w:space="0" w:color="auto"/>
        <w:right w:val="none" w:sz="0" w:space="0" w:color="auto"/>
      </w:divBdr>
    </w:div>
    <w:div w:id="685713276">
      <w:bodyDiv w:val="1"/>
      <w:marLeft w:val="0"/>
      <w:marRight w:val="0"/>
      <w:marTop w:val="0"/>
      <w:marBottom w:val="0"/>
      <w:divBdr>
        <w:top w:val="none" w:sz="0" w:space="0" w:color="auto"/>
        <w:left w:val="none" w:sz="0" w:space="0" w:color="auto"/>
        <w:bottom w:val="none" w:sz="0" w:space="0" w:color="auto"/>
        <w:right w:val="none" w:sz="0" w:space="0" w:color="auto"/>
      </w:divBdr>
    </w:div>
    <w:div w:id="912276955">
      <w:bodyDiv w:val="1"/>
      <w:marLeft w:val="0"/>
      <w:marRight w:val="0"/>
      <w:marTop w:val="0"/>
      <w:marBottom w:val="0"/>
      <w:divBdr>
        <w:top w:val="none" w:sz="0" w:space="0" w:color="auto"/>
        <w:left w:val="none" w:sz="0" w:space="0" w:color="auto"/>
        <w:bottom w:val="none" w:sz="0" w:space="0" w:color="auto"/>
        <w:right w:val="none" w:sz="0" w:space="0" w:color="auto"/>
      </w:divBdr>
    </w:div>
    <w:div w:id="1059017279">
      <w:bodyDiv w:val="1"/>
      <w:marLeft w:val="0"/>
      <w:marRight w:val="0"/>
      <w:marTop w:val="0"/>
      <w:marBottom w:val="0"/>
      <w:divBdr>
        <w:top w:val="none" w:sz="0" w:space="0" w:color="auto"/>
        <w:left w:val="none" w:sz="0" w:space="0" w:color="auto"/>
        <w:bottom w:val="none" w:sz="0" w:space="0" w:color="auto"/>
        <w:right w:val="none" w:sz="0" w:space="0" w:color="auto"/>
      </w:divBdr>
    </w:div>
    <w:div w:id="1345522787">
      <w:bodyDiv w:val="1"/>
      <w:marLeft w:val="0"/>
      <w:marRight w:val="0"/>
      <w:marTop w:val="0"/>
      <w:marBottom w:val="0"/>
      <w:divBdr>
        <w:top w:val="none" w:sz="0" w:space="0" w:color="auto"/>
        <w:left w:val="none" w:sz="0" w:space="0" w:color="auto"/>
        <w:bottom w:val="none" w:sz="0" w:space="0" w:color="auto"/>
        <w:right w:val="none" w:sz="0" w:space="0" w:color="auto"/>
      </w:divBdr>
    </w:div>
    <w:div w:id="1593008889">
      <w:bodyDiv w:val="1"/>
      <w:marLeft w:val="0"/>
      <w:marRight w:val="0"/>
      <w:marTop w:val="0"/>
      <w:marBottom w:val="0"/>
      <w:divBdr>
        <w:top w:val="none" w:sz="0" w:space="0" w:color="auto"/>
        <w:left w:val="none" w:sz="0" w:space="0" w:color="auto"/>
        <w:bottom w:val="none" w:sz="0" w:space="0" w:color="auto"/>
        <w:right w:val="none" w:sz="0" w:space="0" w:color="auto"/>
      </w:divBdr>
    </w:div>
    <w:div w:id="1749688261">
      <w:bodyDiv w:val="1"/>
      <w:marLeft w:val="0"/>
      <w:marRight w:val="0"/>
      <w:marTop w:val="0"/>
      <w:marBottom w:val="0"/>
      <w:divBdr>
        <w:top w:val="none" w:sz="0" w:space="0" w:color="auto"/>
        <w:left w:val="none" w:sz="0" w:space="0" w:color="auto"/>
        <w:bottom w:val="none" w:sz="0" w:space="0" w:color="auto"/>
        <w:right w:val="none" w:sz="0" w:space="0" w:color="auto"/>
      </w:divBdr>
    </w:div>
    <w:div w:id="2006199643">
      <w:bodyDiv w:val="1"/>
      <w:marLeft w:val="0"/>
      <w:marRight w:val="0"/>
      <w:marTop w:val="0"/>
      <w:marBottom w:val="0"/>
      <w:divBdr>
        <w:top w:val="none" w:sz="0" w:space="0" w:color="auto"/>
        <w:left w:val="none" w:sz="0" w:space="0" w:color="auto"/>
        <w:bottom w:val="none" w:sz="0" w:space="0" w:color="auto"/>
        <w:right w:val="none" w:sz="0" w:space="0" w:color="auto"/>
      </w:divBdr>
    </w:div>
    <w:div w:id="21222566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19DD4-6CD3-4F23-86D1-5EB98FEF4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2148</Words>
  <Characters>12249</Characters>
  <Application>Microsoft Office Word</Application>
  <DocSecurity>0</DocSecurity>
  <Lines>102</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PC New 16</cp:lastModifiedBy>
  <cp:revision>26</cp:revision>
  <dcterms:created xsi:type="dcterms:W3CDTF">2013-12-23T23:15:00Z</dcterms:created>
  <dcterms:modified xsi:type="dcterms:W3CDTF">2025-09-19T08:07:00Z</dcterms:modified>
  <cp:category/>
</cp:coreProperties>
</file>