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E70" w:rsidRDefault="00F76E70" w:rsidP="00906D73">
      <w:pPr>
        <w:pStyle w:val="NormalWeb"/>
        <w:spacing w:line="360" w:lineRule="auto"/>
        <w:rPr>
          <w:rStyle w:val="Strong"/>
          <w:sz w:val="32"/>
          <w:lang w:val="en-US"/>
        </w:rPr>
      </w:pPr>
      <w:r w:rsidRPr="00F76E70">
        <w:rPr>
          <w:rStyle w:val="Strong"/>
          <w:sz w:val="32"/>
          <w:lang w:val="en-US"/>
        </w:rPr>
        <w:t>Case report</w:t>
      </w:r>
    </w:p>
    <w:p w:rsidR="00906D73" w:rsidRPr="00906D73" w:rsidRDefault="00906D73" w:rsidP="00906D73">
      <w:pPr>
        <w:pStyle w:val="NormalWeb"/>
        <w:spacing w:line="360" w:lineRule="auto"/>
        <w:rPr>
          <w:sz w:val="32"/>
          <w:lang w:val="en-US"/>
        </w:rPr>
      </w:pPr>
      <w:r w:rsidRPr="00906D73">
        <w:rPr>
          <w:rStyle w:val="Strong"/>
          <w:sz w:val="32"/>
          <w:lang w:val="en-US"/>
        </w:rPr>
        <w:t>Tuberculosis of the Submandibular Gland: A Diagnostic Pitfall</w:t>
      </w:r>
    </w:p>
    <w:p w:rsidR="00C17D28" w:rsidRDefault="00C17D28" w:rsidP="004A0144">
      <w:pPr>
        <w:spacing w:before="100" w:beforeAutospacing="1" w:after="100" w:afterAutospacing="1" w:line="360" w:lineRule="auto"/>
        <w:jc w:val="both"/>
        <w:rPr>
          <w:rStyle w:val="Strong"/>
          <w:rFonts w:ascii="Times New Roman" w:hAnsi="Times New Roman" w:cs="Times New Roman"/>
          <w:sz w:val="32"/>
          <w:szCs w:val="24"/>
          <w:lang w:val="en-US"/>
        </w:rPr>
      </w:pPr>
    </w:p>
    <w:p w:rsidR="004A0144" w:rsidRPr="004A0144" w:rsidRDefault="00FD0E43" w:rsidP="004A014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4A0144">
        <w:rPr>
          <w:rStyle w:val="Strong"/>
          <w:rFonts w:ascii="Times New Roman" w:hAnsi="Times New Roman" w:cs="Times New Roman"/>
          <w:sz w:val="32"/>
          <w:szCs w:val="24"/>
          <w:lang w:val="en-US"/>
        </w:rPr>
        <w:t>Abstract:</w:t>
      </w:r>
      <w:r w:rsidR="004A0144" w:rsidRPr="004A0144">
        <w:rPr>
          <w:rFonts w:ascii="Times New Roman" w:eastAsia="Times New Roman" w:hAnsi="Times New Roman" w:cs="Times New Roman"/>
          <w:sz w:val="24"/>
          <w:szCs w:val="24"/>
          <w:lang w:val="en-US" w:eastAsia="fr-FR"/>
        </w:rPr>
        <w:br/>
      </w:r>
      <w:r w:rsidR="004A0144" w:rsidRPr="004A0144">
        <w:rPr>
          <w:rFonts w:ascii="Times New Roman" w:eastAsia="Times New Roman" w:hAnsi="Times New Roman" w:cs="Times New Roman"/>
          <w:b/>
          <w:bCs/>
          <w:sz w:val="24"/>
          <w:szCs w:val="24"/>
          <w:lang w:val="en-US" w:eastAsia="fr-FR"/>
        </w:rPr>
        <w:t>Background:</w:t>
      </w:r>
      <w:r w:rsidR="004A0144" w:rsidRPr="004A0144">
        <w:rPr>
          <w:rFonts w:ascii="Times New Roman" w:eastAsia="Times New Roman" w:hAnsi="Times New Roman" w:cs="Times New Roman"/>
          <w:sz w:val="24"/>
          <w:szCs w:val="24"/>
          <w:lang w:val="en-US" w:eastAsia="fr-FR"/>
        </w:rPr>
        <w:t xml:space="preserve"> Tuberculosis remains a major public health problem worldwide, with persistent endemicity in Morocco. While cervical lymph node involvement is the most frequent EN</w:t>
      </w:r>
      <w:r w:rsidR="00296B05">
        <w:rPr>
          <w:rFonts w:ascii="Times New Roman" w:eastAsia="Times New Roman" w:hAnsi="Times New Roman" w:cs="Times New Roman"/>
          <w:sz w:val="24"/>
          <w:szCs w:val="24"/>
          <w:lang w:val="en-US" w:eastAsia="fr-FR"/>
        </w:rPr>
        <w:t xml:space="preserve">T localization, </w:t>
      </w:r>
      <w:proofErr w:type="spellStart"/>
      <w:r w:rsidR="00296B05" w:rsidRPr="00296B05">
        <w:rPr>
          <w:rFonts w:ascii="Times New Roman" w:eastAsia="Times New Roman" w:hAnsi="Times New Roman" w:cs="Times New Roman"/>
          <w:b/>
          <w:bCs/>
          <w:sz w:val="24"/>
          <w:szCs w:val="24"/>
          <w:lang w:val="en-US" w:eastAsia="fr-FR"/>
        </w:rPr>
        <w:t>extranodal</w:t>
      </w:r>
      <w:proofErr w:type="spellEnd"/>
      <w:r w:rsidR="004A0144" w:rsidRPr="00296B05">
        <w:rPr>
          <w:rFonts w:ascii="Times New Roman" w:eastAsia="Times New Roman" w:hAnsi="Times New Roman" w:cs="Times New Roman"/>
          <w:b/>
          <w:bCs/>
          <w:sz w:val="24"/>
          <w:szCs w:val="24"/>
          <w:lang w:val="en-US" w:eastAsia="fr-FR"/>
        </w:rPr>
        <w:t xml:space="preserve"> </w:t>
      </w:r>
      <w:r w:rsidR="004A0144" w:rsidRPr="004A0144">
        <w:rPr>
          <w:rFonts w:ascii="Times New Roman" w:eastAsia="Times New Roman" w:hAnsi="Times New Roman" w:cs="Times New Roman"/>
          <w:sz w:val="24"/>
          <w:szCs w:val="24"/>
          <w:lang w:val="en-US" w:eastAsia="fr-FR"/>
        </w:rPr>
        <w:t xml:space="preserve">presentations such as salivary gland tuberculosis </w:t>
      </w:r>
      <w:proofErr w:type="gramStart"/>
      <w:r w:rsidR="004A0144" w:rsidRPr="004A0144">
        <w:rPr>
          <w:rFonts w:ascii="Times New Roman" w:eastAsia="Times New Roman" w:hAnsi="Times New Roman" w:cs="Times New Roman"/>
          <w:sz w:val="24"/>
          <w:szCs w:val="24"/>
          <w:lang w:val="en-US" w:eastAsia="fr-FR"/>
        </w:rPr>
        <w:t>are</w:t>
      </w:r>
      <w:proofErr w:type="gramEnd"/>
      <w:r w:rsidR="004A0144" w:rsidRPr="004A0144">
        <w:rPr>
          <w:rFonts w:ascii="Times New Roman" w:eastAsia="Times New Roman" w:hAnsi="Times New Roman" w:cs="Times New Roman"/>
          <w:sz w:val="24"/>
          <w:szCs w:val="24"/>
          <w:lang w:val="en-US" w:eastAsia="fr-FR"/>
        </w:rPr>
        <w:t xml:space="preserve"> rare and often misleading, raising diagnostic challenges with neoplastic pathologies.</w:t>
      </w:r>
    </w:p>
    <w:p w:rsidR="004A0144" w:rsidRPr="004A0144" w:rsidRDefault="004A0144" w:rsidP="004A014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4A0144">
        <w:rPr>
          <w:rFonts w:ascii="Times New Roman" w:eastAsia="Times New Roman" w:hAnsi="Times New Roman" w:cs="Times New Roman"/>
          <w:b/>
          <w:bCs/>
          <w:sz w:val="24"/>
          <w:szCs w:val="24"/>
          <w:lang w:val="en-US" w:eastAsia="fr-FR"/>
        </w:rPr>
        <w:t>Case presentation:</w:t>
      </w:r>
      <w:r w:rsidRPr="004A0144">
        <w:rPr>
          <w:rFonts w:ascii="Times New Roman" w:eastAsia="Times New Roman" w:hAnsi="Times New Roman" w:cs="Times New Roman"/>
          <w:sz w:val="24"/>
          <w:szCs w:val="24"/>
          <w:lang w:val="en-US" w:eastAsia="fr-FR"/>
        </w:rPr>
        <w:t xml:space="preserve"> We report the case of an 11-year-old girl presenting with a painless, firm left submandibular swelling evolving over 21 days, unresponsive to antibiotic therapy. Initial laboratory tests revealed an elevated erythrocyte sedimentation rate, with no other abnormalities. Ultrasound suggested a suppurative </w:t>
      </w:r>
      <w:proofErr w:type="spellStart"/>
      <w:r w:rsidRPr="004A0144">
        <w:rPr>
          <w:rFonts w:ascii="Times New Roman" w:eastAsia="Times New Roman" w:hAnsi="Times New Roman" w:cs="Times New Roman"/>
          <w:sz w:val="24"/>
          <w:szCs w:val="24"/>
          <w:lang w:val="en-US" w:eastAsia="fr-FR"/>
        </w:rPr>
        <w:t>submandibulitis</w:t>
      </w:r>
      <w:proofErr w:type="spellEnd"/>
      <w:r w:rsidRPr="004A0144">
        <w:rPr>
          <w:rFonts w:ascii="Times New Roman" w:eastAsia="Times New Roman" w:hAnsi="Times New Roman" w:cs="Times New Roman"/>
          <w:sz w:val="24"/>
          <w:szCs w:val="24"/>
          <w:lang w:val="en-US" w:eastAsia="fr-FR"/>
        </w:rPr>
        <w:t xml:space="preserve"> of bacterial origin, while cervical CT scan showed heterogeneous submandibular involvement with necrotic lymph nodes, suggestive of tuberculosis. Diagnosis was confirmed by GeneXpert detection of </w:t>
      </w:r>
      <w:r w:rsidRPr="004A0144">
        <w:rPr>
          <w:rFonts w:ascii="Times New Roman" w:eastAsia="Times New Roman" w:hAnsi="Times New Roman" w:cs="Times New Roman"/>
          <w:i/>
          <w:iCs/>
          <w:sz w:val="24"/>
          <w:szCs w:val="24"/>
          <w:lang w:val="en-US" w:eastAsia="fr-FR"/>
        </w:rPr>
        <w:t>Mycobacterium tuberculosis</w:t>
      </w:r>
      <w:r w:rsidRPr="004A0144">
        <w:rPr>
          <w:rFonts w:ascii="Times New Roman" w:eastAsia="Times New Roman" w:hAnsi="Times New Roman" w:cs="Times New Roman"/>
          <w:sz w:val="24"/>
          <w:szCs w:val="24"/>
          <w:lang w:val="en-US" w:eastAsia="fr-FR"/>
        </w:rPr>
        <w:t xml:space="preserve"> from pus, and histopathological findings of epithelioid giant-cell granulomas with caseous necrosis. The patient tested HIV-negative and had no other tuberculous localizations. She received a six-month anti-tuberculous treatment with favorable clinical outcome.</w:t>
      </w:r>
    </w:p>
    <w:p w:rsidR="004A0144" w:rsidRPr="004A0144" w:rsidRDefault="004A0144" w:rsidP="004A014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4A0144">
        <w:rPr>
          <w:rFonts w:ascii="Times New Roman" w:eastAsia="Times New Roman" w:hAnsi="Times New Roman" w:cs="Times New Roman"/>
          <w:b/>
          <w:bCs/>
          <w:sz w:val="24"/>
          <w:szCs w:val="24"/>
          <w:lang w:val="en-US" w:eastAsia="fr-FR"/>
        </w:rPr>
        <w:t>Discussion:</w:t>
      </w:r>
      <w:r w:rsidRPr="004A0144">
        <w:rPr>
          <w:rFonts w:ascii="Times New Roman" w:eastAsia="Times New Roman" w:hAnsi="Times New Roman" w:cs="Times New Roman"/>
          <w:sz w:val="24"/>
          <w:szCs w:val="24"/>
          <w:lang w:val="en-US" w:eastAsia="fr-FR"/>
        </w:rPr>
        <w:t xml:space="preserve"> Submandibular gland tuberculosis is exceptionally rare, with fewer than 40 cases reported in the literature. Its clinical presentation mimics benign or malignant tumors, often leading to misdiagnosis. Imaging can provide suggestive features, but histopathology and microbiological confirmation remain the diagnostic gold standards.</w:t>
      </w:r>
    </w:p>
    <w:p w:rsidR="004A0144" w:rsidRPr="004A0144" w:rsidRDefault="004A0144" w:rsidP="004A014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4A0144">
        <w:rPr>
          <w:rFonts w:ascii="Times New Roman" w:eastAsia="Times New Roman" w:hAnsi="Times New Roman" w:cs="Times New Roman"/>
          <w:b/>
          <w:bCs/>
          <w:sz w:val="24"/>
          <w:szCs w:val="24"/>
          <w:lang w:val="en-US" w:eastAsia="fr-FR"/>
        </w:rPr>
        <w:t>Conclusion:</w:t>
      </w:r>
      <w:r w:rsidRPr="004A0144">
        <w:rPr>
          <w:rFonts w:ascii="Times New Roman" w:eastAsia="Times New Roman" w:hAnsi="Times New Roman" w:cs="Times New Roman"/>
          <w:sz w:val="24"/>
          <w:szCs w:val="24"/>
          <w:lang w:val="en-US" w:eastAsia="fr-FR"/>
        </w:rPr>
        <w:t xml:space="preserve"> Extra-ganglionic tuberculosis of the submandibular gland is a diagnostic pitfall due to its rarity and misleading clinical presentation. Histopathological confirmation is essential, and medical management with anti-tuberculous therapy ensures favorable prognosis.</w:t>
      </w:r>
    </w:p>
    <w:p w:rsidR="004A0144" w:rsidRPr="004A0144" w:rsidRDefault="004A0144" w:rsidP="004A014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4A0144">
        <w:rPr>
          <w:rFonts w:ascii="Times New Roman" w:eastAsia="Times New Roman" w:hAnsi="Times New Roman" w:cs="Times New Roman"/>
          <w:b/>
          <w:bCs/>
          <w:sz w:val="24"/>
          <w:szCs w:val="24"/>
          <w:lang w:val="en-US" w:eastAsia="fr-FR"/>
        </w:rPr>
        <w:t>Keywords:</w:t>
      </w:r>
      <w:r w:rsidRPr="004A0144">
        <w:rPr>
          <w:rFonts w:ascii="Times New Roman" w:eastAsia="Times New Roman" w:hAnsi="Times New Roman" w:cs="Times New Roman"/>
          <w:sz w:val="24"/>
          <w:szCs w:val="24"/>
          <w:lang w:val="en-US" w:eastAsia="fr-FR"/>
        </w:rPr>
        <w:t xml:space="preserve"> Tuberculosis, Submandibular gland, Pediatric case, Differential diagnosis, Salivary gland tuberculosis</w:t>
      </w:r>
    </w:p>
    <w:p w:rsidR="004A0144" w:rsidRPr="004A0144" w:rsidRDefault="004A0144" w:rsidP="004A0144">
      <w:pPr>
        <w:spacing w:before="100" w:beforeAutospacing="1" w:after="100" w:afterAutospacing="1" w:line="360" w:lineRule="auto"/>
        <w:jc w:val="both"/>
        <w:rPr>
          <w:rFonts w:ascii="Times New Roman" w:eastAsia="Times New Roman" w:hAnsi="Times New Roman" w:cs="Times New Roman"/>
          <w:sz w:val="24"/>
          <w:szCs w:val="24"/>
          <w:lang w:val="en-US" w:eastAsia="fr-FR"/>
        </w:rPr>
      </w:pPr>
    </w:p>
    <w:p w:rsidR="00906D73" w:rsidRPr="00906D73" w:rsidRDefault="00906D73" w:rsidP="00906D73">
      <w:pPr>
        <w:pStyle w:val="NormalWeb"/>
        <w:spacing w:line="360" w:lineRule="auto"/>
        <w:jc w:val="both"/>
        <w:rPr>
          <w:lang w:val="en-US"/>
        </w:rPr>
      </w:pPr>
      <w:r w:rsidRPr="00906D73">
        <w:rPr>
          <w:rStyle w:val="Strong"/>
          <w:sz w:val="32"/>
          <w:lang w:val="en-US"/>
        </w:rPr>
        <w:t>Introduction:</w:t>
      </w:r>
      <w:r w:rsidRPr="00906D73">
        <w:rPr>
          <w:sz w:val="32"/>
          <w:lang w:val="en-US"/>
        </w:rPr>
        <w:br/>
      </w:r>
      <w:r w:rsidRPr="00906D73">
        <w:rPr>
          <w:lang w:val="en-US"/>
        </w:rPr>
        <w:t>Tuberculosis is one of the most widespread infectious diseases worldwide. In Morocco, it still remains endemic. ENT localizations are mainly dominated by lymph node involvement; however, extra-nodal forms are not uncommon. Clinical symptoms and paraclinical findings are often misleading, raising the problem of differential diagnosis with tumoral diseases [1]. We report a case of tuberculosis of the submandibular gland in a young girl hospitalized at the Department of Pediatrics 4, Children’s Hospital of Rabat.</w:t>
      </w:r>
    </w:p>
    <w:p w:rsidR="00906D73" w:rsidRPr="00906D73" w:rsidRDefault="00906D73" w:rsidP="00906D73">
      <w:pPr>
        <w:pStyle w:val="NormalWeb"/>
        <w:spacing w:line="360" w:lineRule="auto"/>
        <w:rPr>
          <w:lang w:val="en-US"/>
        </w:rPr>
      </w:pPr>
      <w:r w:rsidRPr="00906D73">
        <w:rPr>
          <w:rStyle w:val="Strong"/>
          <w:sz w:val="32"/>
          <w:lang w:val="en-US"/>
        </w:rPr>
        <w:t xml:space="preserve">Case </w:t>
      </w:r>
      <w:r w:rsidR="00AD6DC3">
        <w:rPr>
          <w:rStyle w:val="Strong"/>
          <w:sz w:val="32"/>
          <w:lang w:val="en-US"/>
        </w:rPr>
        <w:t>Presentation</w:t>
      </w:r>
      <w:r w:rsidRPr="00906D73">
        <w:rPr>
          <w:rStyle w:val="Strong"/>
          <w:sz w:val="32"/>
          <w:lang w:val="en-US"/>
        </w:rPr>
        <w:t>:</w:t>
      </w:r>
      <w:r w:rsidRPr="00906D73">
        <w:rPr>
          <w:sz w:val="32"/>
          <w:lang w:val="en-US"/>
        </w:rPr>
        <w:br/>
      </w:r>
      <w:r w:rsidRPr="00906D73">
        <w:rPr>
          <w:lang w:val="en-US"/>
        </w:rPr>
        <w:t>The patient was an 11-year-old girl, with no significant past medical history, who presented with a left maxillary swelling evolving for 21 days. She had been treated with amoxicillin–clavulanate without improvement. The condition evolved without fever and with preserved general health status.</w:t>
      </w:r>
      <w:bookmarkStart w:id="0" w:name="_GoBack"/>
      <w:bookmarkEnd w:id="0"/>
    </w:p>
    <w:p w:rsidR="00906D73" w:rsidRPr="00906D73" w:rsidRDefault="00906D73" w:rsidP="00906D73">
      <w:pPr>
        <w:pStyle w:val="NormalWeb"/>
        <w:spacing w:line="360" w:lineRule="auto"/>
        <w:jc w:val="both"/>
        <w:rPr>
          <w:lang w:val="en-US"/>
        </w:rPr>
      </w:pPr>
      <w:r w:rsidRPr="00906D73">
        <w:rPr>
          <w:lang w:val="en-US"/>
        </w:rPr>
        <w:t xml:space="preserve">On admission, examination revealed a firm, painless left maxillary swelling with no overlying inflammatory signs. Laboratory investigations showed an elevated erythrocyte sedimentation rate of 45 mm in the first hour, negative C-reactive protein, a normal blood count, and sterile pus culture. Cervical ultrasound showed a suppurative bacterial-looking left </w:t>
      </w:r>
      <w:proofErr w:type="spellStart"/>
      <w:r w:rsidRPr="00906D73">
        <w:rPr>
          <w:lang w:val="en-US"/>
        </w:rPr>
        <w:t>submaxillitis</w:t>
      </w:r>
      <w:proofErr w:type="spellEnd"/>
      <w:r w:rsidRPr="00906D73">
        <w:rPr>
          <w:lang w:val="en-US"/>
        </w:rPr>
        <w:t>. The patient was started on intravenous Ceftriaxone combined with Metronidazole.</w:t>
      </w:r>
    </w:p>
    <w:p w:rsidR="00906D73" w:rsidRDefault="00906D73" w:rsidP="00906D73">
      <w:pPr>
        <w:pStyle w:val="NormalWeb"/>
        <w:spacing w:line="360" w:lineRule="auto"/>
        <w:jc w:val="both"/>
        <w:rPr>
          <w:lang w:val="en-US"/>
        </w:rPr>
      </w:pPr>
      <w:r w:rsidRPr="00906D73">
        <w:rPr>
          <w:lang w:val="en-US"/>
        </w:rPr>
        <w:t xml:space="preserve">Due to the lack of improvement, a cervical CT scan was performed, revealing a heterogeneous left </w:t>
      </w:r>
      <w:proofErr w:type="spellStart"/>
      <w:r w:rsidRPr="00906D73">
        <w:rPr>
          <w:lang w:val="en-US"/>
        </w:rPr>
        <w:t>submaxillitis</w:t>
      </w:r>
      <w:proofErr w:type="spellEnd"/>
      <w:r w:rsidRPr="00906D73">
        <w:rPr>
          <w:lang w:val="en-US"/>
        </w:rPr>
        <w:t xml:space="preserve"> communicating with necrotic lymphadenopathies, suggesting a tuberculous origin (Figure 1).</w:t>
      </w:r>
    </w:p>
    <w:p w:rsidR="00C17D28" w:rsidRDefault="00C17D28" w:rsidP="00906D73">
      <w:pPr>
        <w:pStyle w:val="NormalWeb"/>
        <w:spacing w:line="360" w:lineRule="auto"/>
        <w:jc w:val="both"/>
        <w:rPr>
          <w:lang w:val="en-US"/>
        </w:rPr>
      </w:pPr>
    </w:p>
    <w:p w:rsidR="00C17D28" w:rsidRDefault="00C17D28" w:rsidP="00906D73">
      <w:pPr>
        <w:pStyle w:val="NormalWeb"/>
        <w:spacing w:line="360" w:lineRule="auto"/>
        <w:jc w:val="both"/>
        <w:rPr>
          <w:lang w:val="en-US"/>
        </w:rPr>
      </w:pPr>
    </w:p>
    <w:p w:rsidR="00C17D28" w:rsidRDefault="00C17D28" w:rsidP="00906D73">
      <w:pPr>
        <w:pStyle w:val="NormalWeb"/>
        <w:spacing w:line="360" w:lineRule="auto"/>
        <w:jc w:val="both"/>
        <w:rPr>
          <w:lang w:val="en-US"/>
        </w:rPr>
      </w:pPr>
    </w:p>
    <w:p w:rsidR="00906D73" w:rsidRDefault="00906D73" w:rsidP="00906D73">
      <w:pPr>
        <w:pStyle w:val="NormalWeb"/>
        <w:spacing w:line="360" w:lineRule="auto"/>
        <w:jc w:val="both"/>
        <w:rPr>
          <w:lang w:val="en-US"/>
        </w:rPr>
      </w:pPr>
    </w:p>
    <w:p w:rsidR="00906D73" w:rsidRDefault="00906D73" w:rsidP="00906D73">
      <w:pPr>
        <w:pStyle w:val="NormalWeb"/>
        <w:spacing w:line="360" w:lineRule="auto"/>
        <w:jc w:val="both"/>
        <w:rPr>
          <w:lang w:val="en-US"/>
        </w:rPr>
      </w:pPr>
    </w:p>
    <w:p w:rsidR="00906D73" w:rsidRDefault="009D0A1C" w:rsidP="00906D73">
      <w:pPr>
        <w:pStyle w:val="NormalWeb"/>
        <w:spacing w:line="360" w:lineRule="auto"/>
        <w:jc w:val="center"/>
        <w:rPr>
          <w:lang w:val="en-US"/>
        </w:rPr>
      </w:pPr>
      <w:r>
        <w:rPr>
          <w:noProof/>
        </w:rPr>
        <w:lastRenderedPageBreak/>
        <w:drawing>
          <wp:inline distT="0" distB="0" distL="0" distR="0">
            <wp:extent cx="4105102" cy="3848986"/>
            <wp:effectExtent l="19050" t="0" r="0" b="0"/>
            <wp:docPr id="2" name="Image 1" descr="TDM massif faci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DM massif facial 2.jpg"/>
                    <pic:cNvPicPr/>
                  </pic:nvPicPr>
                  <pic:blipFill>
                    <a:blip r:embed="rId7" cstate="print"/>
                    <a:stretch>
                      <a:fillRect/>
                    </a:stretch>
                  </pic:blipFill>
                  <pic:spPr>
                    <a:xfrm>
                      <a:off x="0" y="0"/>
                      <a:ext cx="4113814" cy="3857154"/>
                    </a:xfrm>
                    <a:prstGeom prst="rect">
                      <a:avLst/>
                    </a:prstGeom>
                  </pic:spPr>
                </pic:pic>
              </a:graphicData>
            </a:graphic>
          </wp:inline>
        </w:drawing>
      </w:r>
    </w:p>
    <w:p w:rsidR="00906D73" w:rsidRPr="00906D73" w:rsidRDefault="00906D73" w:rsidP="00906D73">
      <w:pPr>
        <w:pStyle w:val="NormalWeb"/>
        <w:spacing w:before="0" w:beforeAutospacing="0"/>
        <w:jc w:val="both"/>
        <w:rPr>
          <w:sz w:val="20"/>
          <w:lang w:val="en-US"/>
        </w:rPr>
      </w:pPr>
      <w:r w:rsidRPr="00906D73">
        <w:rPr>
          <w:rStyle w:val="Strong"/>
          <w:sz w:val="20"/>
          <w:lang w:val="en-US"/>
        </w:rPr>
        <w:t>Figure 1:</w:t>
      </w:r>
      <w:r w:rsidRPr="00906D73">
        <w:rPr>
          <w:sz w:val="20"/>
          <w:lang w:val="en-US"/>
        </w:rPr>
        <w:t xml:space="preserve"> Facial CT scan showing </w:t>
      </w:r>
      <w:proofErr w:type="spellStart"/>
      <w:r w:rsidRPr="00906D73">
        <w:rPr>
          <w:sz w:val="20"/>
          <w:lang w:val="en-US"/>
        </w:rPr>
        <w:t>submaxillitis</w:t>
      </w:r>
      <w:proofErr w:type="spellEnd"/>
      <w:r w:rsidRPr="00906D73">
        <w:rPr>
          <w:sz w:val="20"/>
          <w:lang w:val="en-US"/>
        </w:rPr>
        <w:t xml:space="preserve"> with necrotic lymphadenopathies and superficial cellulitis</w:t>
      </w:r>
    </w:p>
    <w:p w:rsidR="00906D73" w:rsidRDefault="00906D73" w:rsidP="00906D73">
      <w:pPr>
        <w:pStyle w:val="NormalWeb"/>
        <w:spacing w:before="0" w:beforeAutospacing="0" w:line="360" w:lineRule="auto"/>
        <w:jc w:val="both"/>
        <w:rPr>
          <w:lang w:val="en-US"/>
        </w:rPr>
      </w:pPr>
    </w:p>
    <w:p w:rsidR="00906D73" w:rsidRPr="00906D73" w:rsidRDefault="00906D73" w:rsidP="00906D73">
      <w:pPr>
        <w:pStyle w:val="NormalWeb"/>
        <w:spacing w:before="0" w:beforeAutospacing="0" w:line="360" w:lineRule="auto"/>
        <w:jc w:val="both"/>
        <w:rPr>
          <w:lang w:val="en-US"/>
        </w:rPr>
      </w:pPr>
      <w:r w:rsidRPr="00906D73">
        <w:rPr>
          <w:lang w:val="en-US"/>
        </w:rPr>
        <w:t xml:space="preserve">The diagnosis was based on the detection of </w:t>
      </w:r>
      <w:r w:rsidRPr="00906D73">
        <w:rPr>
          <w:rStyle w:val="Emphasis"/>
          <w:lang w:val="en-US"/>
        </w:rPr>
        <w:t>Mycobacterium tuberculosis</w:t>
      </w:r>
      <w:r w:rsidRPr="00906D73">
        <w:rPr>
          <w:lang w:val="en-US"/>
        </w:rPr>
        <w:t xml:space="preserve"> by GeneXpert on pus, supported by histological confirmation showing epithelioid giant-cell granulomas with caseous necrosis.</w:t>
      </w:r>
    </w:p>
    <w:p w:rsidR="00906D73" w:rsidRPr="00906D73" w:rsidRDefault="00906D73" w:rsidP="00906D73">
      <w:pPr>
        <w:pStyle w:val="NormalWeb"/>
        <w:spacing w:line="360" w:lineRule="auto"/>
        <w:jc w:val="both"/>
        <w:rPr>
          <w:lang w:val="en-US"/>
        </w:rPr>
      </w:pPr>
      <w:r w:rsidRPr="00906D73">
        <w:rPr>
          <w:lang w:val="en-US"/>
        </w:rPr>
        <w:t>A thoraco-</w:t>
      </w:r>
      <w:proofErr w:type="spellStart"/>
      <w:r w:rsidRPr="00906D73">
        <w:rPr>
          <w:lang w:val="en-US"/>
        </w:rPr>
        <w:t>abdomino</w:t>
      </w:r>
      <w:proofErr w:type="spellEnd"/>
      <w:r w:rsidRPr="00906D73">
        <w:rPr>
          <w:lang w:val="en-US"/>
        </w:rPr>
        <w:t>-pelvic CT scan and GeneXpert testing on sputum were also performed, revealing no other tuberculosis localizations. HIV serology was negative.</w:t>
      </w:r>
    </w:p>
    <w:p w:rsidR="000C6C76" w:rsidRDefault="00906D73" w:rsidP="000C6C76">
      <w:pPr>
        <w:pStyle w:val="NormalWeb"/>
        <w:spacing w:line="360" w:lineRule="auto"/>
        <w:jc w:val="both"/>
        <w:rPr>
          <w:rFonts w:ascii="Cambria" w:hAnsi="Cambria"/>
          <w:color w:val="1B1B1B"/>
          <w:sz w:val="28"/>
          <w:szCs w:val="28"/>
          <w:shd w:val="clear" w:color="auto" w:fill="FFFFFF"/>
          <w:lang w:val="en-US"/>
        </w:rPr>
      </w:pPr>
      <w:r w:rsidRPr="00906D73">
        <w:rPr>
          <w:lang w:val="en-US"/>
        </w:rPr>
        <w:t>She was treated with anti-tuber</w:t>
      </w:r>
      <w:r w:rsidR="00FD08BB">
        <w:rPr>
          <w:lang w:val="en-US"/>
        </w:rPr>
        <w:t>culosis therapy for six months.</w:t>
      </w:r>
      <w:r w:rsidR="000C6C76">
        <w:rPr>
          <w:lang w:val="en-US"/>
        </w:rPr>
        <w:t xml:space="preserve"> The </w:t>
      </w:r>
      <w:r w:rsidR="000C6C76" w:rsidRPr="00AB5F03">
        <w:rPr>
          <w:rFonts w:asciiTheme="majorBidi" w:hAnsiTheme="majorBidi" w:cstheme="majorBidi"/>
          <w:shd w:val="clear" w:color="auto" w:fill="FFFFFF"/>
          <w:lang w:val="en-US"/>
        </w:rPr>
        <w:t>treatment regimen consisted of combination of four drugs- i</w:t>
      </w:r>
      <w:r w:rsidR="00BD789E">
        <w:rPr>
          <w:rFonts w:asciiTheme="majorBidi" w:hAnsiTheme="majorBidi" w:cstheme="majorBidi"/>
          <w:shd w:val="clear" w:color="auto" w:fill="FFFFFF"/>
          <w:lang w:val="en-US"/>
        </w:rPr>
        <w:t>soniazid (5 mg/kg</w:t>
      </w:r>
      <w:r w:rsidR="000C6C76" w:rsidRPr="00AB5F03">
        <w:rPr>
          <w:rFonts w:asciiTheme="majorBidi" w:hAnsiTheme="majorBidi" w:cstheme="majorBidi"/>
          <w:shd w:val="clear" w:color="auto" w:fill="FFFFFF"/>
          <w:lang w:val="en-US"/>
        </w:rPr>
        <w:t>/day), r</w:t>
      </w:r>
      <w:r w:rsidR="00BD789E">
        <w:rPr>
          <w:rFonts w:asciiTheme="majorBidi" w:hAnsiTheme="majorBidi" w:cstheme="majorBidi"/>
          <w:shd w:val="clear" w:color="auto" w:fill="FFFFFF"/>
          <w:lang w:val="en-US"/>
        </w:rPr>
        <w:t>ifampicin (10 mg/kg</w:t>
      </w:r>
      <w:r w:rsidR="000C6C76" w:rsidRPr="00AB5F03">
        <w:rPr>
          <w:rFonts w:asciiTheme="majorBidi" w:hAnsiTheme="majorBidi" w:cstheme="majorBidi"/>
          <w:shd w:val="clear" w:color="auto" w:fill="FFFFFF"/>
          <w:lang w:val="en-US"/>
        </w:rPr>
        <w:t>/day), p</w:t>
      </w:r>
      <w:r w:rsidR="00BD789E">
        <w:rPr>
          <w:rFonts w:asciiTheme="majorBidi" w:hAnsiTheme="majorBidi" w:cstheme="majorBidi"/>
          <w:shd w:val="clear" w:color="auto" w:fill="FFFFFF"/>
          <w:lang w:val="en-US"/>
        </w:rPr>
        <w:t>yrazinamide (30 mg/kg</w:t>
      </w:r>
      <w:r w:rsidR="000C6C76" w:rsidRPr="00AB5F03">
        <w:rPr>
          <w:rFonts w:asciiTheme="majorBidi" w:hAnsiTheme="majorBidi" w:cstheme="majorBidi"/>
          <w:shd w:val="clear" w:color="auto" w:fill="FFFFFF"/>
          <w:lang w:val="en-US"/>
        </w:rPr>
        <w:t xml:space="preserve">/day), </w:t>
      </w:r>
      <w:r w:rsidR="00D707EA">
        <w:rPr>
          <w:rFonts w:asciiTheme="majorBidi" w:hAnsiTheme="majorBidi" w:cstheme="majorBidi"/>
          <w:shd w:val="clear" w:color="auto" w:fill="FFFFFF"/>
          <w:lang w:val="en-US"/>
        </w:rPr>
        <w:t xml:space="preserve">and </w:t>
      </w:r>
      <w:r w:rsidR="000C6C76" w:rsidRPr="00AB5F03">
        <w:rPr>
          <w:rFonts w:asciiTheme="majorBidi" w:hAnsiTheme="majorBidi" w:cstheme="majorBidi"/>
          <w:shd w:val="clear" w:color="auto" w:fill="FFFFFF"/>
          <w:lang w:val="en-US"/>
        </w:rPr>
        <w:t>e</w:t>
      </w:r>
      <w:r w:rsidR="00BD789E">
        <w:rPr>
          <w:rFonts w:asciiTheme="majorBidi" w:hAnsiTheme="majorBidi" w:cstheme="majorBidi"/>
          <w:shd w:val="clear" w:color="auto" w:fill="FFFFFF"/>
          <w:lang w:val="en-US"/>
        </w:rPr>
        <w:t>thambutol (20 mg/kg</w:t>
      </w:r>
      <w:r w:rsidR="000C6C76" w:rsidRPr="00AB5F03">
        <w:rPr>
          <w:rFonts w:asciiTheme="majorBidi" w:hAnsiTheme="majorBidi" w:cstheme="majorBidi"/>
          <w:shd w:val="clear" w:color="auto" w:fill="FFFFFF"/>
          <w:lang w:val="en-US"/>
        </w:rPr>
        <w:t>/day) for 2 months, subsequently isoniazid and rifampicin for 4 months</w:t>
      </w:r>
      <w:r w:rsidR="000C6C76">
        <w:rPr>
          <w:rFonts w:asciiTheme="majorBidi" w:hAnsiTheme="majorBidi" w:cstheme="majorBidi"/>
          <w:color w:val="FF0000"/>
          <w:shd w:val="clear" w:color="auto" w:fill="FFFFFF"/>
          <w:lang w:val="en-US"/>
        </w:rPr>
        <w:t>.</w:t>
      </w:r>
      <w:r w:rsidR="000C6C76">
        <w:rPr>
          <w:lang w:val="en-US"/>
        </w:rPr>
        <w:t xml:space="preserve"> We noticed a </w:t>
      </w:r>
      <w:r w:rsidRPr="00906D73">
        <w:rPr>
          <w:lang w:val="en-US"/>
        </w:rPr>
        <w:t>good clinical outcome and no suspicion of local or regional recurrence.</w:t>
      </w:r>
      <w:r w:rsidR="00F74826" w:rsidRPr="00F74826">
        <w:rPr>
          <w:rFonts w:ascii="Cambria" w:hAnsi="Cambria"/>
          <w:color w:val="1B1B1B"/>
          <w:sz w:val="28"/>
          <w:szCs w:val="28"/>
          <w:shd w:val="clear" w:color="auto" w:fill="FFFFFF"/>
          <w:lang w:val="en-US"/>
        </w:rPr>
        <w:t xml:space="preserve"> </w:t>
      </w:r>
    </w:p>
    <w:p w:rsidR="00893E62" w:rsidRDefault="00893E62" w:rsidP="000C6C76">
      <w:pPr>
        <w:pStyle w:val="NormalWeb"/>
        <w:spacing w:line="360" w:lineRule="auto"/>
        <w:jc w:val="both"/>
        <w:rPr>
          <w:rFonts w:ascii="Cambria" w:hAnsi="Cambria"/>
          <w:color w:val="1B1B1B"/>
          <w:sz w:val="28"/>
          <w:szCs w:val="28"/>
          <w:shd w:val="clear" w:color="auto" w:fill="FFFFFF"/>
          <w:lang w:val="en-US"/>
        </w:rPr>
      </w:pPr>
    </w:p>
    <w:p w:rsidR="00893E62" w:rsidRDefault="00893E62" w:rsidP="000C6C76">
      <w:pPr>
        <w:pStyle w:val="NormalWeb"/>
        <w:spacing w:line="360" w:lineRule="auto"/>
        <w:jc w:val="both"/>
        <w:rPr>
          <w:rFonts w:ascii="Cambria" w:hAnsi="Cambria"/>
          <w:color w:val="1B1B1B"/>
          <w:sz w:val="28"/>
          <w:szCs w:val="28"/>
          <w:shd w:val="clear" w:color="auto" w:fill="FFFFFF"/>
          <w:lang w:val="en-US"/>
        </w:rPr>
      </w:pPr>
    </w:p>
    <w:p w:rsidR="00893E62" w:rsidRDefault="00893E62" w:rsidP="000C6C76">
      <w:pPr>
        <w:pStyle w:val="NormalWeb"/>
        <w:spacing w:line="360" w:lineRule="auto"/>
        <w:jc w:val="both"/>
        <w:rPr>
          <w:rFonts w:ascii="Cambria" w:hAnsi="Cambria"/>
          <w:color w:val="1B1B1B"/>
          <w:sz w:val="28"/>
          <w:szCs w:val="28"/>
          <w:shd w:val="clear" w:color="auto" w:fill="FFFFFF"/>
          <w:lang w:val="en-US"/>
        </w:rPr>
      </w:pPr>
    </w:p>
    <w:p w:rsidR="00906D73" w:rsidRPr="00906D73" w:rsidRDefault="00906D73" w:rsidP="00906D73">
      <w:pPr>
        <w:pStyle w:val="NormalWeb"/>
        <w:spacing w:line="360" w:lineRule="auto"/>
        <w:jc w:val="both"/>
        <w:rPr>
          <w:sz w:val="32"/>
          <w:lang w:val="en-US"/>
        </w:rPr>
      </w:pPr>
      <w:r w:rsidRPr="00906D73">
        <w:rPr>
          <w:rStyle w:val="Strong"/>
          <w:sz w:val="32"/>
          <w:lang w:val="en-US"/>
        </w:rPr>
        <w:t>Discussion</w:t>
      </w:r>
    </w:p>
    <w:p w:rsidR="00906D73" w:rsidRPr="00906D73" w:rsidRDefault="00906D73" w:rsidP="00906D73">
      <w:pPr>
        <w:pStyle w:val="NormalWeb"/>
        <w:spacing w:line="360" w:lineRule="auto"/>
        <w:jc w:val="both"/>
        <w:rPr>
          <w:lang w:val="en-US"/>
        </w:rPr>
      </w:pPr>
      <w:r w:rsidRPr="003D412B">
        <w:rPr>
          <w:rStyle w:val="Strong"/>
          <w:color w:val="548DD4" w:themeColor="text2" w:themeTint="99"/>
          <w:sz w:val="28"/>
          <w:lang w:val="en-US"/>
        </w:rPr>
        <w:t>Epidemiology:</w:t>
      </w:r>
      <w:r w:rsidRPr="003D412B">
        <w:rPr>
          <w:color w:val="548DD4" w:themeColor="text2" w:themeTint="99"/>
          <w:sz w:val="28"/>
          <w:lang w:val="en-US"/>
        </w:rPr>
        <w:br/>
      </w:r>
      <w:r w:rsidRPr="00906D73">
        <w:rPr>
          <w:lang w:val="en-US"/>
        </w:rPr>
        <w:t xml:space="preserve">Current data show a global resurgence of tuberculosis. Approximately 8.7 million new cases are reported annually, 13% of which are co-infected with HIV, with nearly 1.4 million related deaths [2]. This increase is mainly due to growing immunocompromised populations, unfavorable socioeconomic conditions, and the emergence of multidrug-resistant strains of </w:t>
      </w:r>
      <w:r w:rsidRPr="00906D73">
        <w:rPr>
          <w:rStyle w:val="Emphasis"/>
          <w:lang w:val="en-US"/>
        </w:rPr>
        <w:t>M. tuberculosis</w:t>
      </w:r>
      <w:r w:rsidRPr="00906D73">
        <w:rPr>
          <w:lang w:val="en-US"/>
        </w:rPr>
        <w:t xml:space="preserve"> [1]. ENT localizations, apart from lymph node involvement, account for about 1.8% of all TB cases.</w:t>
      </w:r>
    </w:p>
    <w:p w:rsidR="00906D73" w:rsidRPr="00906D73" w:rsidRDefault="00906D73" w:rsidP="00906D73">
      <w:pPr>
        <w:pStyle w:val="NormalWeb"/>
        <w:spacing w:line="360" w:lineRule="auto"/>
        <w:jc w:val="both"/>
        <w:rPr>
          <w:lang w:val="en-US"/>
        </w:rPr>
      </w:pPr>
      <w:r w:rsidRPr="00906D73">
        <w:rPr>
          <w:lang w:val="en-US"/>
        </w:rPr>
        <w:t xml:space="preserve">Historically, </w:t>
      </w:r>
      <w:r w:rsidRPr="00906D73">
        <w:rPr>
          <w:rStyle w:val="Emphasis"/>
          <w:lang w:val="en-US"/>
        </w:rPr>
        <w:t xml:space="preserve">Mycobacterium </w:t>
      </w:r>
      <w:proofErr w:type="spellStart"/>
      <w:r w:rsidRPr="00906D73">
        <w:rPr>
          <w:rStyle w:val="Emphasis"/>
          <w:lang w:val="en-US"/>
        </w:rPr>
        <w:t>bovis</w:t>
      </w:r>
      <w:proofErr w:type="spellEnd"/>
      <w:r w:rsidRPr="00906D73">
        <w:rPr>
          <w:lang w:val="en-US"/>
        </w:rPr>
        <w:t xml:space="preserve"> was often implicated, particularly in cervical lymph node TB, due to consumption of contaminated milk or dairy products. However, with widespread pasteurization and veterinary controls, this route of transmission has become rare. Today, </w:t>
      </w:r>
      <w:r w:rsidRPr="00906D73">
        <w:rPr>
          <w:rStyle w:val="Emphasis"/>
          <w:lang w:val="en-US"/>
        </w:rPr>
        <w:t>Mycobacterium tuberculosis</w:t>
      </w:r>
      <w:r w:rsidRPr="00906D73">
        <w:rPr>
          <w:lang w:val="en-US"/>
        </w:rPr>
        <w:t xml:space="preserve"> is the predominant species, followed by </w:t>
      </w:r>
      <w:r w:rsidRPr="00906D73">
        <w:rPr>
          <w:rStyle w:val="Emphasis"/>
          <w:lang w:val="en-US"/>
        </w:rPr>
        <w:t xml:space="preserve">M. </w:t>
      </w:r>
      <w:proofErr w:type="spellStart"/>
      <w:r w:rsidRPr="00906D73">
        <w:rPr>
          <w:rStyle w:val="Emphasis"/>
          <w:lang w:val="en-US"/>
        </w:rPr>
        <w:t>bovis</w:t>
      </w:r>
      <w:proofErr w:type="spellEnd"/>
      <w:r w:rsidRPr="00906D73">
        <w:rPr>
          <w:lang w:val="en-US"/>
        </w:rPr>
        <w:t xml:space="preserve">, </w:t>
      </w:r>
      <w:r w:rsidRPr="00906D73">
        <w:rPr>
          <w:rStyle w:val="Emphasis"/>
          <w:lang w:val="en-US"/>
        </w:rPr>
        <w:t xml:space="preserve">M. </w:t>
      </w:r>
      <w:proofErr w:type="spellStart"/>
      <w:r w:rsidRPr="00906D73">
        <w:rPr>
          <w:rStyle w:val="Emphasis"/>
          <w:lang w:val="en-US"/>
        </w:rPr>
        <w:t>africanum</w:t>
      </w:r>
      <w:proofErr w:type="spellEnd"/>
      <w:r w:rsidRPr="00906D73">
        <w:rPr>
          <w:lang w:val="en-US"/>
        </w:rPr>
        <w:t>, and some atypical mycobacteria.</w:t>
      </w:r>
    </w:p>
    <w:p w:rsidR="00906D73" w:rsidRPr="00906D73" w:rsidRDefault="00906D73" w:rsidP="00924DB7">
      <w:pPr>
        <w:pStyle w:val="NormalWeb"/>
        <w:spacing w:line="360" w:lineRule="auto"/>
        <w:jc w:val="both"/>
        <w:rPr>
          <w:lang w:val="en-US"/>
        </w:rPr>
      </w:pPr>
      <w:r w:rsidRPr="00906D73">
        <w:rPr>
          <w:lang w:val="en-US"/>
        </w:rPr>
        <w:t>Tuberculosis of the salivary glands remains exceptional: fewer than one hundred cases have been reported in the literature, with fewer than 40 affecting the submandibular gland. The first case was described by De Paoli in 1893 [3], while the most recent was reported by Rawle in 2004 [4]. The most documented series, published by Redon in 1955, included 24 cases—75% involving the parotid gland and 25% the submandibular gland [5].</w:t>
      </w:r>
      <w:r w:rsidR="009F313C" w:rsidRPr="009F313C">
        <w:rPr>
          <w:rFonts w:ascii="Cambria" w:hAnsi="Cambria"/>
          <w:color w:val="1B1B1B"/>
          <w:sz w:val="28"/>
          <w:szCs w:val="28"/>
          <w:shd w:val="clear" w:color="auto" w:fill="FFFFFF"/>
          <w:lang w:val="en-US"/>
        </w:rPr>
        <w:t xml:space="preserve"> </w:t>
      </w:r>
      <w:r w:rsidRPr="00906D73">
        <w:rPr>
          <w:lang w:val="en-US"/>
        </w:rPr>
        <w:t>TB may affect the glandular parenchyma directly or, more rarely, the adjacent lymph nodes.</w:t>
      </w:r>
    </w:p>
    <w:p w:rsidR="00906D73" w:rsidRPr="00906D73" w:rsidRDefault="00906D73" w:rsidP="00906D73">
      <w:pPr>
        <w:pStyle w:val="NormalWeb"/>
        <w:spacing w:line="360" w:lineRule="auto"/>
        <w:jc w:val="both"/>
        <w:rPr>
          <w:lang w:val="en-US"/>
        </w:rPr>
      </w:pPr>
      <w:r w:rsidRPr="00906D73">
        <w:rPr>
          <w:lang w:val="en-US"/>
        </w:rPr>
        <w:t>Two mechanisms of contamination are proposed: retrograde spread via salivary ducts from the oral cavity, or hematogenous/lymphatic dissemination. In these reinfection forms, pulmonary TB is usually healed, with radiological sequelae preceding glandular swelling [3].</w:t>
      </w:r>
    </w:p>
    <w:p w:rsidR="001E5666" w:rsidRDefault="00906D73" w:rsidP="001E5666">
      <w:pPr>
        <w:pStyle w:val="NormalWeb"/>
        <w:spacing w:line="360" w:lineRule="auto"/>
        <w:jc w:val="both"/>
        <w:rPr>
          <w:rStyle w:val="Strong"/>
          <w:color w:val="548DD4" w:themeColor="text2" w:themeTint="99"/>
          <w:lang w:val="en-US"/>
        </w:rPr>
      </w:pPr>
      <w:r w:rsidRPr="003D412B">
        <w:rPr>
          <w:rStyle w:val="Strong"/>
          <w:color w:val="548DD4" w:themeColor="text2" w:themeTint="99"/>
          <w:sz w:val="28"/>
          <w:lang w:val="en-US"/>
        </w:rPr>
        <w:t>Diagnosis and Treatment</w:t>
      </w:r>
      <w:r w:rsidRPr="003D412B">
        <w:rPr>
          <w:rStyle w:val="Strong"/>
          <w:color w:val="548DD4" w:themeColor="text2" w:themeTint="99"/>
          <w:lang w:val="en-US"/>
        </w:rPr>
        <w:t>:</w:t>
      </w:r>
    </w:p>
    <w:p w:rsidR="00906D73" w:rsidRPr="00906D73" w:rsidRDefault="00906D73" w:rsidP="001E5666">
      <w:pPr>
        <w:pStyle w:val="NormalWeb"/>
        <w:spacing w:line="360" w:lineRule="auto"/>
        <w:jc w:val="both"/>
        <w:rPr>
          <w:lang w:val="en-US"/>
        </w:rPr>
      </w:pPr>
      <w:r w:rsidRPr="00906D73">
        <w:rPr>
          <w:lang w:val="en-US"/>
        </w:rPr>
        <w:t xml:space="preserve">The clinical presentation of submandibular TB is often misleading, especially since active pulmonary TB is rarely associated. It typically begins with a slowly progressive cervical swelling, sometimes with inflammatory signs. General symptoms (fever, fatigue, weight loss, anorexia) are seen in fewer than 20% of patients. Clinically, it is initially suggestive of a </w:t>
      </w:r>
      <w:r w:rsidRPr="00906D73">
        <w:rPr>
          <w:lang w:val="en-US"/>
        </w:rPr>
        <w:lastRenderedPageBreak/>
        <w:t xml:space="preserve">benign glandular tumor (e.g., pleomorphic adenoma) or metastatic lymphadenopathy, but later progression—with caseous necrosis and fistula formation—resembles inflammatory </w:t>
      </w:r>
      <w:proofErr w:type="spellStart"/>
      <w:r w:rsidRPr="00906D73">
        <w:rPr>
          <w:lang w:val="en-US"/>
        </w:rPr>
        <w:t>adenopathies</w:t>
      </w:r>
      <w:proofErr w:type="spellEnd"/>
      <w:r w:rsidRPr="00906D73">
        <w:rPr>
          <w:lang w:val="en-US"/>
        </w:rPr>
        <w:t xml:space="preserve"> (sarcoidosis, cat-scratch disease, etc.).</w:t>
      </w:r>
    </w:p>
    <w:p w:rsidR="00906D73" w:rsidRPr="00906D73" w:rsidRDefault="00906D73" w:rsidP="00906D73">
      <w:pPr>
        <w:pStyle w:val="NormalWeb"/>
        <w:spacing w:line="360" w:lineRule="auto"/>
        <w:jc w:val="both"/>
        <w:rPr>
          <w:lang w:val="en-US"/>
        </w:rPr>
      </w:pPr>
      <w:r w:rsidRPr="00906D73">
        <w:rPr>
          <w:lang w:val="en-US"/>
        </w:rPr>
        <w:t>Pulmonary abnormalities suggestive of TB (primary infection, active or sequelae) are f</w:t>
      </w:r>
      <w:r w:rsidR="00036DD9">
        <w:rPr>
          <w:lang w:val="en-US"/>
        </w:rPr>
        <w:t>ound in only 24–46% of cases</w:t>
      </w:r>
      <w:r w:rsidRPr="00906D73">
        <w:rPr>
          <w:lang w:val="en-US"/>
        </w:rPr>
        <w:t>. Tuberculin skin test is positive in 90% of cases, except in HIV-positive patients [6]. Locally, ultrasound is the most frequently performed test, showing an enlarged, heterogeneous gland with possible satellite lymphadenopathies. Panoramic or cervical radiography may show old calcifications, though interpretation is limited. Cervical CT scan is more sensitive, revealing a rounded mass with a thick wall and clear center, suggestive of TB [7]. However, caseous necrosis may also occur in some lymphomas, complicating the differential diagnosis.</w:t>
      </w:r>
    </w:p>
    <w:p w:rsidR="00E63FDF" w:rsidRDefault="00906D73" w:rsidP="00E63FDF">
      <w:pPr>
        <w:pStyle w:val="NormalWeb"/>
        <w:spacing w:line="360" w:lineRule="auto"/>
        <w:jc w:val="both"/>
        <w:rPr>
          <w:lang w:val="en-US"/>
        </w:rPr>
      </w:pPr>
      <w:r w:rsidRPr="00906D73">
        <w:rPr>
          <w:lang w:val="en-US"/>
        </w:rPr>
        <w:t xml:space="preserve">Fine-needle aspiration cytology (FNAC) is helpful, often revealing epithelioid granulomatous cells, sometimes with multinucleated giant cells and caseous necrosis [3,4,6,8]. Its sensitivity is estimated at 88% and specificity at 96% [9], leading some authors to advocate medical treatment alone in selected cases. </w:t>
      </w:r>
    </w:p>
    <w:p w:rsidR="00906D73" w:rsidRDefault="00027F78" w:rsidP="00924DB7">
      <w:pPr>
        <w:pStyle w:val="NormalWeb"/>
        <w:spacing w:line="360" w:lineRule="auto"/>
        <w:jc w:val="both"/>
        <w:rPr>
          <w:lang w:val="en-US"/>
        </w:rPr>
      </w:pPr>
      <w:r w:rsidRPr="00BD529D">
        <w:rPr>
          <w:rFonts w:asciiTheme="majorBidi" w:hAnsiTheme="majorBidi" w:cstheme="majorBidi"/>
          <w:shd w:val="clear" w:color="auto" w:fill="FFFFFF"/>
          <w:lang w:val="en-US"/>
        </w:rPr>
        <w:t>The saliva, aspirate and tissue can be used fo</w:t>
      </w:r>
      <w:r w:rsidR="00E63FDF" w:rsidRPr="00BD529D">
        <w:rPr>
          <w:rFonts w:asciiTheme="majorBidi" w:hAnsiTheme="majorBidi" w:cstheme="majorBidi"/>
          <w:shd w:val="clear" w:color="auto" w:fill="FFFFFF"/>
          <w:lang w:val="en-US"/>
        </w:rPr>
        <w:t xml:space="preserve">r </w:t>
      </w:r>
      <w:r w:rsidR="00C31525">
        <w:rPr>
          <w:rFonts w:asciiTheme="majorBidi" w:hAnsiTheme="majorBidi" w:cstheme="majorBidi"/>
          <w:shd w:val="clear" w:color="auto" w:fill="FFFFFF"/>
          <w:lang w:val="en-US"/>
        </w:rPr>
        <w:t xml:space="preserve">acid-fast bacilli </w:t>
      </w:r>
      <w:r w:rsidR="00E63FDF" w:rsidRPr="00BD529D">
        <w:rPr>
          <w:rFonts w:asciiTheme="majorBidi" w:hAnsiTheme="majorBidi" w:cstheme="majorBidi"/>
          <w:shd w:val="clear" w:color="auto" w:fill="FFFFFF"/>
          <w:lang w:val="en-US"/>
        </w:rPr>
        <w:t>staining</w:t>
      </w:r>
      <w:r w:rsidR="00C31525">
        <w:rPr>
          <w:rFonts w:asciiTheme="majorBidi" w:hAnsiTheme="majorBidi" w:cstheme="majorBidi"/>
          <w:shd w:val="clear" w:color="auto" w:fill="FFFFFF"/>
          <w:lang w:val="en-US"/>
        </w:rPr>
        <w:t xml:space="preserve"> </w:t>
      </w:r>
      <w:proofErr w:type="gramStart"/>
      <w:r w:rsidR="00C31525">
        <w:rPr>
          <w:rFonts w:asciiTheme="majorBidi" w:hAnsiTheme="majorBidi" w:cstheme="majorBidi"/>
          <w:shd w:val="clear" w:color="auto" w:fill="FFFFFF"/>
          <w:lang w:val="en-US"/>
        </w:rPr>
        <w:t>( AFB</w:t>
      </w:r>
      <w:proofErr w:type="gramEnd"/>
      <w:r w:rsidR="00C31525">
        <w:rPr>
          <w:rFonts w:asciiTheme="majorBidi" w:hAnsiTheme="majorBidi" w:cstheme="majorBidi"/>
          <w:shd w:val="clear" w:color="auto" w:fill="FFFFFF"/>
          <w:lang w:val="en-US"/>
        </w:rPr>
        <w:t>)</w:t>
      </w:r>
      <w:r w:rsidR="00E63FDF" w:rsidRPr="00BD529D">
        <w:rPr>
          <w:rFonts w:asciiTheme="majorBidi" w:hAnsiTheme="majorBidi" w:cstheme="majorBidi"/>
          <w:shd w:val="clear" w:color="auto" w:fill="FFFFFF"/>
          <w:lang w:val="en-US"/>
        </w:rPr>
        <w:t xml:space="preserve">, culture and polymerase chain reaction </w:t>
      </w:r>
      <w:r w:rsidRPr="00BD529D">
        <w:rPr>
          <w:rFonts w:asciiTheme="majorBidi" w:hAnsiTheme="majorBidi" w:cstheme="majorBidi"/>
          <w:shd w:val="clear" w:color="auto" w:fill="FFFFFF"/>
          <w:lang w:val="en-US"/>
        </w:rPr>
        <w:t>assay</w:t>
      </w:r>
      <w:r w:rsidR="00E63FDF" w:rsidRPr="00BD529D">
        <w:rPr>
          <w:rFonts w:asciiTheme="majorBidi" w:hAnsiTheme="majorBidi" w:cstheme="majorBidi"/>
          <w:shd w:val="clear" w:color="auto" w:fill="FFFFFF"/>
          <w:lang w:val="en-US"/>
        </w:rPr>
        <w:t xml:space="preserve"> (PCR)</w:t>
      </w:r>
      <w:r w:rsidRPr="00BD529D">
        <w:rPr>
          <w:rFonts w:asciiTheme="majorBidi" w:hAnsiTheme="majorBidi" w:cstheme="majorBidi"/>
          <w:shd w:val="clear" w:color="auto" w:fill="FFFFFF"/>
          <w:lang w:val="en-US"/>
        </w:rPr>
        <w:t xml:space="preserve">. The sensitivity of AFB staining and culture is </w:t>
      </w:r>
      <w:r w:rsidR="00EB46FD" w:rsidRPr="00BD529D">
        <w:rPr>
          <w:rFonts w:asciiTheme="majorBidi" w:hAnsiTheme="majorBidi" w:cstheme="majorBidi"/>
          <w:shd w:val="clear" w:color="auto" w:fill="FFFFFF"/>
          <w:lang w:val="en-US"/>
        </w:rPr>
        <w:t xml:space="preserve">28.6%; low for diagnosis of Extrapulmonary </w:t>
      </w:r>
      <w:proofErr w:type="gramStart"/>
      <w:r w:rsidR="00EB46FD" w:rsidRPr="00BD529D">
        <w:rPr>
          <w:rFonts w:asciiTheme="majorBidi" w:hAnsiTheme="majorBidi" w:cstheme="majorBidi"/>
          <w:shd w:val="clear" w:color="auto" w:fill="FFFFFF"/>
          <w:lang w:val="en-US"/>
        </w:rPr>
        <w:t>TB </w:t>
      </w:r>
      <w:r w:rsidRPr="00BD529D">
        <w:rPr>
          <w:rFonts w:asciiTheme="majorBidi" w:hAnsiTheme="majorBidi" w:cstheme="majorBidi"/>
          <w:shd w:val="clear" w:color="auto" w:fill="FFFFFF"/>
          <w:lang w:val="en-US"/>
        </w:rPr>
        <w:t>.</w:t>
      </w:r>
      <w:proofErr w:type="gramEnd"/>
      <w:r w:rsidRPr="00BD529D">
        <w:rPr>
          <w:rFonts w:asciiTheme="majorBidi" w:hAnsiTheme="majorBidi" w:cstheme="majorBidi"/>
          <w:shd w:val="clear" w:color="auto" w:fill="FFFFFF"/>
          <w:lang w:val="en-US"/>
        </w:rPr>
        <w:t xml:space="preserve"> Combining FNAC and culture increase the diagnostic yield to 85.7% [</w:t>
      </w:r>
      <w:hyperlink r:id="rId8" w:anchor="CR4" w:history="1">
        <w:r w:rsidR="00924DB7" w:rsidRPr="00BD529D">
          <w:rPr>
            <w:rStyle w:val="Hyperlink"/>
            <w:rFonts w:asciiTheme="majorBidi" w:hAnsiTheme="majorBidi" w:cstheme="majorBidi"/>
            <w:color w:val="auto"/>
            <w:u w:val="none"/>
            <w:shd w:val="clear" w:color="auto" w:fill="FFFFFF"/>
            <w:lang w:val="en-US"/>
          </w:rPr>
          <w:t>10</w:t>
        </w:r>
      </w:hyperlink>
      <w:r w:rsidRPr="00BD529D">
        <w:rPr>
          <w:rFonts w:asciiTheme="majorBidi" w:hAnsiTheme="majorBidi" w:cstheme="majorBidi"/>
          <w:shd w:val="clear" w:color="auto" w:fill="FFFFFF"/>
          <w:lang w:val="en-US"/>
        </w:rPr>
        <w:t>]. The sensitivity and specificity can reach to 90% if FNAC is combined with PCR [</w:t>
      </w:r>
      <w:hyperlink r:id="rId9" w:anchor="CR10" w:history="1">
        <w:r w:rsidR="00924DB7" w:rsidRPr="00BD529D">
          <w:rPr>
            <w:rStyle w:val="Hyperlink"/>
            <w:rFonts w:asciiTheme="majorBidi" w:hAnsiTheme="majorBidi" w:cstheme="majorBidi"/>
            <w:color w:val="auto"/>
            <w:u w:val="none"/>
            <w:shd w:val="clear" w:color="auto" w:fill="FFFFFF"/>
            <w:lang w:val="en-US"/>
          </w:rPr>
          <w:t>11</w:t>
        </w:r>
      </w:hyperlink>
      <w:r w:rsidRPr="00BD529D">
        <w:rPr>
          <w:rFonts w:asciiTheme="majorBidi" w:hAnsiTheme="majorBidi" w:cstheme="majorBidi"/>
          <w:shd w:val="clear" w:color="auto" w:fill="FFFFFF"/>
          <w:lang w:val="en-US"/>
        </w:rPr>
        <w:t>].</w:t>
      </w:r>
      <w:r w:rsidRPr="00BD529D">
        <w:rPr>
          <w:rFonts w:ascii="Cambria" w:hAnsi="Cambria"/>
          <w:sz w:val="28"/>
          <w:szCs w:val="28"/>
          <w:shd w:val="clear" w:color="auto" w:fill="FFFFFF"/>
          <w:lang w:val="en-US"/>
        </w:rPr>
        <w:t xml:space="preserve"> </w:t>
      </w:r>
      <w:r w:rsidR="00906D73" w:rsidRPr="00BD529D">
        <w:rPr>
          <w:lang w:val="en-US"/>
        </w:rPr>
        <w:t>However, definitive confirmation most often relies on surgical excision, which allows reliable histopathological and/or bacteriological analysis in 100% of cases [5,6,9].</w:t>
      </w:r>
    </w:p>
    <w:p w:rsidR="00893E62" w:rsidRPr="00893E62" w:rsidRDefault="00893E62" w:rsidP="00D707EA">
      <w:pPr>
        <w:pStyle w:val="NormalWeb"/>
        <w:spacing w:line="360" w:lineRule="auto"/>
        <w:jc w:val="both"/>
        <w:rPr>
          <w:lang w:val="en-US"/>
        </w:rPr>
      </w:pPr>
      <w:r w:rsidRPr="00893E62">
        <w:rPr>
          <w:lang w:val="en-US"/>
        </w:rPr>
        <w:t xml:space="preserve">Due to its rarity, there are no established guidelines for the management of submandibular gland tuberculosis. However, once accurately diagnosed, the condition responds well to conventional short-course </w:t>
      </w:r>
      <w:proofErr w:type="spellStart"/>
      <w:r w:rsidRPr="00893E62">
        <w:rPr>
          <w:lang w:val="en-US"/>
        </w:rPr>
        <w:t>antituberculous</w:t>
      </w:r>
      <w:proofErr w:type="spellEnd"/>
      <w:r w:rsidRPr="00893E62">
        <w:rPr>
          <w:lang w:val="en-US"/>
        </w:rPr>
        <w:t xml:space="preserve"> therapy (ATT) [10]. Consequently, it is important to prioritize medical treatment and avoid unnecessary surgical procedures. The therapeutic protocol typically involves a four-drug regimen—isoniazid (5 mg/kg/day), rifampicin (10 mg/kg/day), pyrazinamide (30 mg/kg/day), and ethambutol (20 mg/kg/day)—administered for 2–4 months, followed by isoniazid and rifampicin for an additional 4–12 months [12].</w:t>
      </w:r>
    </w:p>
    <w:p w:rsidR="00893E62" w:rsidRDefault="00893E62" w:rsidP="00D707EA">
      <w:pPr>
        <w:pStyle w:val="NormalWeb"/>
        <w:spacing w:line="360" w:lineRule="auto"/>
        <w:jc w:val="both"/>
        <w:rPr>
          <w:rStyle w:val="Strong"/>
          <w:sz w:val="32"/>
          <w:lang w:val="en-US"/>
        </w:rPr>
      </w:pPr>
    </w:p>
    <w:p w:rsidR="00906D73" w:rsidRDefault="00906D73" w:rsidP="00906D73">
      <w:pPr>
        <w:pStyle w:val="NormalWeb"/>
        <w:spacing w:line="360" w:lineRule="auto"/>
        <w:jc w:val="both"/>
        <w:rPr>
          <w:lang w:val="en-US"/>
        </w:rPr>
      </w:pPr>
      <w:r w:rsidRPr="00906D73">
        <w:rPr>
          <w:rStyle w:val="Strong"/>
          <w:sz w:val="32"/>
          <w:lang w:val="en-US"/>
        </w:rPr>
        <w:lastRenderedPageBreak/>
        <w:t>Conclusion:</w:t>
      </w:r>
      <w:r w:rsidRPr="00906D73">
        <w:rPr>
          <w:lang w:val="en-US"/>
        </w:rPr>
        <w:br/>
      </w:r>
      <w:proofErr w:type="spellStart"/>
      <w:r w:rsidRPr="00906D73">
        <w:rPr>
          <w:lang w:val="en-US"/>
        </w:rPr>
        <w:t>Extranodal</w:t>
      </w:r>
      <w:proofErr w:type="spellEnd"/>
      <w:r w:rsidRPr="00906D73">
        <w:rPr>
          <w:lang w:val="en-US"/>
        </w:rPr>
        <w:t xml:space="preserve"> tuberculosis of the ENT sphere is rare. Clinically, it poses diagnostic difficulties with neoplastic diseases. Diagnosis is essentially histopathological. Treatment is based on anti-tuberculosis therapy, and the prognosis is generally favorable.</w:t>
      </w:r>
    </w:p>
    <w:p w:rsidR="005F0CEC" w:rsidRPr="005F0CEC" w:rsidRDefault="005F0CEC" w:rsidP="00F7768C">
      <w:pPr>
        <w:pStyle w:val="NormalWeb"/>
        <w:spacing w:before="0" w:beforeAutospacing="0" w:after="0" w:afterAutospacing="0" w:line="276" w:lineRule="auto"/>
        <w:jc w:val="both"/>
        <w:rPr>
          <w:b/>
          <w:sz w:val="32"/>
          <w:lang w:val="en-US"/>
        </w:rPr>
      </w:pPr>
      <w:r w:rsidRPr="005F0CEC">
        <w:rPr>
          <w:b/>
          <w:sz w:val="32"/>
          <w:lang w:val="en-US"/>
        </w:rPr>
        <w:t>Consent</w:t>
      </w:r>
      <w:r>
        <w:rPr>
          <w:b/>
          <w:sz w:val="32"/>
          <w:lang w:val="en-US"/>
        </w:rPr>
        <w:t>:</w:t>
      </w:r>
    </w:p>
    <w:p w:rsidR="005F0CEC" w:rsidRDefault="005F0CEC" w:rsidP="00F7768C">
      <w:pPr>
        <w:pStyle w:val="NormalWeb"/>
        <w:spacing w:before="0" w:beforeAutospacing="0" w:after="0" w:afterAutospacing="0" w:line="276" w:lineRule="auto"/>
        <w:jc w:val="both"/>
        <w:rPr>
          <w:lang w:val="en-US"/>
        </w:rPr>
      </w:pPr>
      <w:r w:rsidRPr="005F0CEC">
        <w:rPr>
          <w:lang w:val="en-US"/>
        </w:rPr>
        <w:t xml:space="preserve">As per international standard or university standard, patient(s) written consent has been collected and preserved by the author(s). </w:t>
      </w:r>
    </w:p>
    <w:p w:rsidR="005F0CEC" w:rsidRDefault="005F0CEC" w:rsidP="00F7768C">
      <w:pPr>
        <w:pStyle w:val="NormalWeb"/>
        <w:spacing w:before="0" w:beforeAutospacing="0" w:after="0" w:afterAutospacing="0" w:line="276" w:lineRule="auto"/>
        <w:jc w:val="both"/>
        <w:rPr>
          <w:lang w:val="en-US"/>
        </w:rPr>
      </w:pPr>
    </w:p>
    <w:p w:rsidR="005F0CEC" w:rsidRDefault="005F0CEC" w:rsidP="00F7768C">
      <w:pPr>
        <w:pStyle w:val="NormalWeb"/>
        <w:spacing w:before="0" w:beforeAutospacing="0" w:after="0" w:afterAutospacing="0" w:line="276" w:lineRule="auto"/>
        <w:jc w:val="both"/>
        <w:rPr>
          <w:b/>
          <w:sz w:val="32"/>
          <w:lang w:val="en-US"/>
        </w:rPr>
      </w:pPr>
      <w:r w:rsidRPr="005F0CEC">
        <w:rPr>
          <w:b/>
          <w:sz w:val="32"/>
          <w:lang w:val="en-US"/>
        </w:rPr>
        <w:t>Ethical approval</w:t>
      </w:r>
      <w:r>
        <w:rPr>
          <w:b/>
          <w:sz w:val="32"/>
          <w:lang w:val="en-US"/>
        </w:rPr>
        <w:t>:</w:t>
      </w:r>
    </w:p>
    <w:p w:rsidR="005F0CEC" w:rsidRDefault="005F0CEC" w:rsidP="00F7768C">
      <w:pPr>
        <w:pStyle w:val="NormalWeb"/>
        <w:spacing w:before="0" w:beforeAutospacing="0" w:after="0" w:afterAutospacing="0" w:line="276" w:lineRule="auto"/>
        <w:jc w:val="both"/>
        <w:rPr>
          <w:lang w:val="en-US"/>
        </w:rPr>
      </w:pPr>
      <w:r w:rsidRPr="005F0CEC">
        <w:rPr>
          <w:lang w:val="en-US"/>
        </w:rPr>
        <w:t xml:space="preserve">As per international standard or university standard written ethical approval has been collected and preserved by the author(s). </w:t>
      </w:r>
    </w:p>
    <w:p w:rsidR="005F0CEC" w:rsidRPr="005F0CEC" w:rsidRDefault="005F0CEC" w:rsidP="00F7768C">
      <w:pPr>
        <w:pStyle w:val="NormalWeb"/>
        <w:spacing w:before="0" w:beforeAutospacing="0" w:after="0" w:afterAutospacing="0" w:line="276" w:lineRule="auto"/>
        <w:jc w:val="both"/>
        <w:rPr>
          <w:b/>
          <w:sz w:val="32"/>
          <w:lang w:val="en-US"/>
        </w:rPr>
      </w:pPr>
    </w:p>
    <w:p w:rsidR="005F0CEC" w:rsidRPr="005F0CEC" w:rsidRDefault="005F0CEC" w:rsidP="00F7768C">
      <w:pPr>
        <w:pStyle w:val="NormalWeb"/>
        <w:spacing w:before="0" w:beforeAutospacing="0" w:after="0" w:afterAutospacing="0" w:line="276" w:lineRule="auto"/>
        <w:jc w:val="both"/>
        <w:rPr>
          <w:b/>
          <w:sz w:val="32"/>
          <w:lang w:val="en-US"/>
        </w:rPr>
      </w:pPr>
      <w:r w:rsidRPr="005F0CEC">
        <w:rPr>
          <w:b/>
          <w:sz w:val="32"/>
          <w:lang w:val="en-US"/>
        </w:rPr>
        <w:t>Competing interests</w:t>
      </w:r>
      <w:r>
        <w:rPr>
          <w:b/>
          <w:sz w:val="32"/>
          <w:lang w:val="en-US"/>
        </w:rPr>
        <w:t>:</w:t>
      </w:r>
    </w:p>
    <w:p w:rsidR="005F0CEC" w:rsidRDefault="005F0CEC" w:rsidP="00F7768C">
      <w:pPr>
        <w:pStyle w:val="NormalWeb"/>
        <w:spacing w:before="0" w:beforeAutospacing="0" w:after="0" w:afterAutospacing="0" w:line="276" w:lineRule="auto"/>
        <w:jc w:val="both"/>
        <w:rPr>
          <w:lang w:val="en-US"/>
        </w:rPr>
      </w:pPr>
      <w:r w:rsidRPr="005F0CEC">
        <w:rPr>
          <w:lang w:val="en-US"/>
        </w:rPr>
        <w:t>Authors have declared that no competing interests exist.</w:t>
      </w:r>
    </w:p>
    <w:p w:rsidR="00B01C34" w:rsidRDefault="00B01C34" w:rsidP="00F7768C">
      <w:pPr>
        <w:pStyle w:val="NormalWeb"/>
        <w:spacing w:before="0" w:beforeAutospacing="0" w:after="0" w:afterAutospacing="0" w:line="276" w:lineRule="auto"/>
        <w:jc w:val="both"/>
        <w:rPr>
          <w:lang w:val="en-US"/>
        </w:rPr>
      </w:pPr>
    </w:p>
    <w:p w:rsidR="00B01C34" w:rsidRPr="00F7768C" w:rsidRDefault="00F7768C" w:rsidP="00F7768C">
      <w:pPr>
        <w:rPr>
          <w:rFonts w:asciiTheme="majorBidi" w:eastAsia="Calibri" w:hAnsiTheme="majorBidi" w:cstheme="majorBidi"/>
          <w:kern w:val="2"/>
          <w:sz w:val="32"/>
          <w:szCs w:val="32"/>
          <w:lang w:val="en-US"/>
        </w:rPr>
      </w:pPr>
      <w:bookmarkStart w:id="1" w:name="_Hlk201835975"/>
      <w:bookmarkStart w:id="2" w:name="_Hlk193540946"/>
      <w:bookmarkStart w:id="3" w:name="_Hlk180402183"/>
      <w:bookmarkStart w:id="4" w:name="_Hlk183680988"/>
      <w:bookmarkStart w:id="5" w:name="_Hlk197173371"/>
      <w:proofErr w:type="gramStart"/>
      <w:r w:rsidRPr="00F7768C">
        <w:rPr>
          <w:rFonts w:asciiTheme="majorBidi" w:eastAsia="Calibri" w:hAnsiTheme="majorBidi" w:cstheme="majorBidi"/>
          <w:b/>
          <w:bCs/>
          <w:kern w:val="2"/>
          <w:sz w:val="32"/>
          <w:szCs w:val="32"/>
          <w:lang w:val="en-US"/>
        </w:rPr>
        <w:t xml:space="preserve">Disclaimer </w:t>
      </w:r>
      <w:r w:rsidRPr="00F7768C">
        <w:rPr>
          <w:rFonts w:asciiTheme="majorBidi" w:eastAsia="Calibri" w:hAnsiTheme="majorBidi" w:cstheme="majorBidi"/>
          <w:kern w:val="2"/>
          <w:sz w:val="32"/>
          <w:szCs w:val="32"/>
          <w:lang w:val="en-US"/>
        </w:rPr>
        <w:t>:</w:t>
      </w:r>
      <w:proofErr w:type="gramEnd"/>
    </w:p>
    <w:bookmarkEnd w:id="1"/>
    <w:bookmarkEnd w:id="2"/>
    <w:bookmarkEnd w:id="3"/>
    <w:bookmarkEnd w:id="4"/>
    <w:bookmarkEnd w:id="5"/>
    <w:p w:rsidR="00D374ED" w:rsidRDefault="00D374ED" w:rsidP="00906D73">
      <w:pPr>
        <w:pStyle w:val="NormalWeb"/>
        <w:spacing w:line="360" w:lineRule="auto"/>
        <w:jc w:val="both"/>
        <w:rPr>
          <w:rFonts w:asciiTheme="majorBidi" w:eastAsia="Calibri" w:hAnsiTheme="majorBidi" w:cstheme="majorBidi"/>
          <w:kern w:val="2"/>
          <w:lang w:val="en-US" w:eastAsia="en-US"/>
        </w:rPr>
      </w:pPr>
      <w:r w:rsidRPr="00D374ED">
        <w:rPr>
          <w:rFonts w:asciiTheme="majorBidi" w:eastAsia="Calibri" w:hAnsiTheme="majorBidi" w:cstheme="majorBidi"/>
          <w:kern w:val="2"/>
          <w:lang w:val="en-US" w:eastAsia="en-US"/>
        </w:rPr>
        <w:t>Author(s) hereby declare that NO generative AI technologies such as Large Language Models (</w:t>
      </w:r>
      <w:proofErr w:type="spellStart"/>
      <w:r w:rsidRPr="00D374ED">
        <w:rPr>
          <w:rFonts w:asciiTheme="majorBidi" w:eastAsia="Calibri" w:hAnsiTheme="majorBidi" w:cstheme="majorBidi"/>
          <w:kern w:val="2"/>
          <w:lang w:val="en-US" w:eastAsia="en-US"/>
        </w:rPr>
        <w:t>ChatGPT</w:t>
      </w:r>
      <w:proofErr w:type="spellEnd"/>
      <w:r w:rsidRPr="00D374ED">
        <w:rPr>
          <w:rFonts w:asciiTheme="majorBidi" w:eastAsia="Calibri" w:hAnsiTheme="majorBidi" w:cstheme="majorBidi"/>
          <w:kern w:val="2"/>
          <w:lang w:val="en-US" w:eastAsia="en-US"/>
        </w:rPr>
        <w:t xml:space="preserve">, COPILOT, etc.) and text-to-image generators have been used during the writing or editing of this manuscript. </w:t>
      </w:r>
    </w:p>
    <w:p w:rsidR="00906D73" w:rsidRDefault="00906D73" w:rsidP="00906D73">
      <w:pPr>
        <w:pStyle w:val="NormalWeb"/>
        <w:spacing w:line="360" w:lineRule="auto"/>
        <w:jc w:val="both"/>
        <w:rPr>
          <w:b/>
          <w:sz w:val="32"/>
          <w:lang w:val="en-US"/>
        </w:rPr>
      </w:pPr>
      <w:r w:rsidRPr="00906D73">
        <w:rPr>
          <w:b/>
          <w:sz w:val="32"/>
          <w:lang w:val="en-US"/>
        </w:rPr>
        <w:t>References:</w:t>
      </w:r>
    </w:p>
    <w:p w:rsidR="00777BDD" w:rsidRPr="00240C8E" w:rsidRDefault="00777BDD" w:rsidP="00861275">
      <w:pPr>
        <w:pStyle w:val="NormalWeb"/>
        <w:spacing w:line="360" w:lineRule="auto"/>
        <w:jc w:val="both"/>
        <w:rPr>
          <w:rFonts w:eastAsiaTheme="minorHAnsi"/>
          <w:sz w:val="16"/>
          <w:szCs w:val="18"/>
          <w:lang w:val="en-US" w:eastAsia="en-US"/>
        </w:rPr>
      </w:pPr>
      <w:r w:rsidRPr="00240C8E">
        <w:rPr>
          <w:sz w:val="20"/>
          <w:szCs w:val="20"/>
          <w:lang w:val="en-US"/>
        </w:rPr>
        <w:t xml:space="preserve">1. </w:t>
      </w:r>
      <w:proofErr w:type="spellStart"/>
      <w:r w:rsidRPr="00240C8E">
        <w:rPr>
          <w:sz w:val="20"/>
          <w:szCs w:val="20"/>
          <w:lang w:val="en-US"/>
        </w:rPr>
        <w:t>Bengamra</w:t>
      </w:r>
      <w:proofErr w:type="spellEnd"/>
      <w:r w:rsidRPr="00240C8E">
        <w:rPr>
          <w:sz w:val="20"/>
          <w:szCs w:val="20"/>
          <w:lang w:val="en-US"/>
        </w:rPr>
        <w:t xml:space="preserve"> O, </w:t>
      </w:r>
      <w:proofErr w:type="spellStart"/>
      <w:r w:rsidRPr="00240C8E">
        <w:rPr>
          <w:sz w:val="20"/>
          <w:szCs w:val="20"/>
          <w:lang w:val="en-US"/>
        </w:rPr>
        <w:t>Benammour</w:t>
      </w:r>
      <w:proofErr w:type="spellEnd"/>
      <w:r w:rsidRPr="00240C8E">
        <w:rPr>
          <w:sz w:val="20"/>
          <w:szCs w:val="20"/>
          <w:lang w:val="en-US"/>
        </w:rPr>
        <w:t xml:space="preserve"> A, </w:t>
      </w:r>
      <w:proofErr w:type="spellStart"/>
      <w:r w:rsidRPr="00240C8E">
        <w:rPr>
          <w:sz w:val="20"/>
          <w:szCs w:val="20"/>
          <w:lang w:val="en-US"/>
        </w:rPr>
        <w:t>Bouzouita</w:t>
      </w:r>
      <w:proofErr w:type="spellEnd"/>
      <w:r w:rsidRPr="00240C8E">
        <w:rPr>
          <w:sz w:val="20"/>
          <w:szCs w:val="20"/>
          <w:lang w:val="en-US"/>
        </w:rPr>
        <w:t xml:space="preserve"> K, </w:t>
      </w:r>
      <w:proofErr w:type="spellStart"/>
      <w:r w:rsidRPr="00240C8E">
        <w:rPr>
          <w:sz w:val="20"/>
          <w:szCs w:val="20"/>
          <w:lang w:val="en-US"/>
        </w:rPr>
        <w:t>Saidani</w:t>
      </w:r>
      <w:proofErr w:type="spellEnd"/>
      <w:r w:rsidRPr="00240C8E">
        <w:rPr>
          <w:sz w:val="20"/>
          <w:szCs w:val="20"/>
          <w:lang w:val="en-US"/>
        </w:rPr>
        <w:t xml:space="preserve"> M, </w:t>
      </w:r>
      <w:proofErr w:type="spellStart"/>
      <w:r w:rsidRPr="00240C8E">
        <w:rPr>
          <w:sz w:val="20"/>
          <w:szCs w:val="20"/>
          <w:lang w:val="en-US"/>
        </w:rPr>
        <w:t>Abdelmalek</w:t>
      </w:r>
      <w:proofErr w:type="spellEnd"/>
      <w:r w:rsidRPr="00240C8E">
        <w:rPr>
          <w:sz w:val="20"/>
          <w:szCs w:val="20"/>
          <w:lang w:val="en-US"/>
        </w:rPr>
        <w:t xml:space="preserve"> R, </w:t>
      </w:r>
      <w:proofErr w:type="spellStart"/>
      <w:r w:rsidRPr="00240C8E">
        <w:rPr>
          <w:sz w:val="20"/>
          <w:szCs w:val="20"/>
          <w:lang w:val="en-US"/>
        </w:rPr>
        <w:t>Bouzaidi</w:t>
      </w:r>
      <w:proofErr w:type="spellEnd"/>
      <w:r w:rsidRPr="00240C8E">
        <w:rPr>
          <w:sz w:val="20"/>
          <w:szCs w:val="20"/>
          <w:lang w:val="en-US"/>
        </w:rPr>
        <w:t xml:space="preserve"> K, et al. Tuberculosis of the upper aerodigestive tract. Rev Tun </w:t>
      </w:r>
      <w:proofErr w:type="spellStart"/>
      <w:r w:rsidRPr="00240C8E">
        <w:rPr>
          <w:sz w:val="20"/>
          <w:szCs w:val="20"/>
          <w:lang w:val="en-US"/>
        </w:rPr>
        <w:t>Infectiol</w:t>
      </w:r>
      <w:proofErr w:type="spellEnd"/>
      <w:r w:rsidRPr="00240C8E">
        <w:rPr>
          <w:sz w:val="20"/>
          <w:szCs w:val="20"/>
          <w:lang w:val="en-US"/>
        </w:rPr>
        <w:t>. 2008 Jul;2(3):21-5.</w:t>
      </w:r>
    </w:p>
    <w:p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 xml:space="preserve">2. </w:t>
      </w:r>
      <w:proofErr w:type="spellStart"/>
      <w:r w:rsidRPr="00861275">
        <w:rPr>
          <w:rFonts w:eastAsiaTheme="minorHAnsi"/>
          <w:sz w:val="20"/>
          <w:szCs w:val="22"/>
          <w:lang w:val="en-US" w:eastAsia="en-US"/>
        </w:rPr>
        <w:t>Blanie</w:t>
      </w:r>
      <w:proofErr w:type="spellEnd"/>
      <w:r w:rsidRPr="00861275">
        <w:rPr>
          <w:rFonts w:eastAsiaTheme="minorHAnsi"/>
          <w:sz w:val="20"/>
          <w:szCs w:val="22"/>
          <w:lang w:val="en-US" w:eastAsia="en-US"/>
        </w:rPr>
        <w:t xml:space="preserve"> M, </w:t>
      </w:r>
      <w:proofErr w:type="spellStart"/>
      <w:r w:rsidRPr="00861275">
        <w:rPr>
          <w:rFonts w:eastAsiaTheme="minorHAnsi"/>
          <w:sz w:val="20"/>
          <w:szCs w:val="22"/>
          <w:lang w:val="en-US" w:eastAsia="en-US"/>
        </w:rPr>
        <w:t>Pellegrin</w:t>
      </w:r>
      <w:proofErr w:type="spellEnd"/>
      <w:r w:rsidRPr="00861275">
        <w:rPr>
          <w:rFonts w:eastAsiaTheme="minorHAnsi"/>
          <w:sz w:val="20"/>
          <w:szCs w:val="22"/>
          <w:lang w:val="en-US" w:eastAsia="en-US"/>
        </w:rPr>
        <w:t xml:space="preserve"> JL, </w:t>
      </w:r>
      <w:proofErr w:type="spellStart"/>
      <w:r w:rsidRPr="00861275">
        <w:rPr>
          <w:rFonts w:eastAsiaTheme="minorHAnsi"/>
          <w:sz w:val="20"/>
          <w:szCs w:val="22"/>
          <w:lang w:val="en-US" w:eastAsia="en-US"/>
        </w:rPr>
        <w:t>Maugein</w:t>
      </w:r>
      <w:proofErr w:type="spellEnd"/>
      <w:r w:rsidRPr="00861275">
        <w:rPr>
          <w:rFonts w:eastAsiaTheme="minorHAnsi"/>
          <w:sz w:val="20"/>
          <w:szCs w:val="22"/>
          <w:lang w:val="en-US" w:eastAsia="en-US"/>
        </w:rPr>
        <w:t xml:space="preserve"> J. Contribution of PCR in the diagnosis of extrapulmonary tuberculosis. Medicine and infectious diseases. 2005;35(1):17-22. PubMed | Google Scholar</w:t>
      </w:r>
    </w:p>
    <w:p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 xml:space="preserve">3. </w:t>
      </w:r>
      <w:proofErr w:type="spellStart"/>
      <w:r w:rsidRPr="00861275">
        <w:rPr>
          <w:rFonts w:eastAsiaTheme="minorHAnsi"/>
          <w:sz w:val="20"/>
          <w:szCs w:val="22"/>
          <w:lang w:val="en-US" w:eastAsia="en-US"/>
        </w:rPr>
        <w:t>Manipoud</w:t>
      </w:r>
      <w:proofErr w:type="spellEnd"/>
      <w:r w:rsidRPr="00861275">
        <w:rPr>
          <w:rFonts w:eastAsiaTheme="minorHAnsi"/>
          <w:sz w:val="20"/>
          <w:szCs w:val="22"/>
          <w:lang w:val="en-US" w:eastAsia="en-US"/>
        </w:rPr>
        <w:t xml:space="preserve"> P, </w:t>
      </w:r>
      <w:proofErr w:type="spellStart"/>
      <w:r w:rsidRPr="00861275">
        <w:rPr>
          <w:rFonts w:eastAsiaTheme="minorHAnsi"/>
          <w:sz w:val="20"/>
          <w:szCs w:val="22"/>
          <w:lang w:val="en-US" w:eastAsia="en-US"/>
        </w:rPr>
        <w:t>Rerolle</w:t>
      </w:r>
      <w:proofErr w:type="spellEnd"/>
      <w:r w:rsidRPr="00861275">
        <w:rPr>
          <w:rFonts w:eastAsiaTheme="minorHAnsi"/>
          <w:sz w:val="20"/>
          <w:szCs w:val="22"/>
          <w:lang w:val="en-US" w:eastAsia="en-US"/>
        </w:rPr>
        <w:t xml:space="preserve"> S, </w:t>
      </w:r>
      <w:proofErr w:type="spellStart"/>
      <w:r w:rsidRPr="00861275">
        <w:rPr>
          <w:rFonts w:eastAsiaTheme="minorHAnsi"/>
          <w:sz w:val="20"/>
          <w:szCs w:val="22"/>
          <w:lang w:val="en-US" w:eastAsia="en-US"/>
        </w:rPr>
        <w:t>Kemeny</w:t>
      </w:r>
      <w:proofErr w:type="spellEnd"/>
      <w:r w:rsidRPr="00861275">
        <w:rPr>
          <w:rFonts w:eastAsiaTheme="minorHAnsi"/>
          <w:sz w:val="20"/>
          <w:szCs w:val="22"/>
          <w:lang w:val="en-US" w:eastAsia="en-US"/>
        </w:rPr>
        <w:t xml:space="preserve"> JL, </w:t>
      </w:r>
      <w:proofErr w:type="spellStart"/>
      <w:r w:rsidRPr="00861275">
        <w:rPr>
          <w:rFonts w:eastAsiaTheme="minorHAnsi"/>
          <w:sz w:val="20"/>
          <w:szCs w:val="22"/>
          <w:lang w:val="en-US" w:eastAsia="en-US"/>
        </w:rPr>
        <w:t>Lafaye</w:t>
      </w:r>
      <w:proofErr w:type="spellEnd"/>
      <w:r w:rsidRPr="00861275">
        <w:rPr>
          <w:rFonts w:eastAsiaTheme="minorHAnsi"/>
          <w:sz w:val="20"/>
          <w:szCs w:val="22"/>
          <w:lang w:val="en-US" w:eastAsia="en-US"/>
        </w:rPr>
        <w:t xml:space="preserve"> M. Tuberculosis of the submandibular gland: a case report and review of the literature. Ann </w:t>
      </w:r>
      <w:proofErr w:type="spellStart"/>
      <w:r w:rsidRPr="00861275">
        <w:rPr>
          <w:rFonts w:eastAsiaTheme="minorHAnsi"/>
          <w:sz w:val="20"/>
          <w:szCs w:val="22"/>
          <w:lang w:val="en-US" w:eastAsia="en-US"/>
        </w:rPr>
        <w:t>Otolaryng</w:t>
      </w:r>
      <w:proofErr w:type="spellEnd"/>
      <w:r w:rsidRPr="00861275">
        <w:rPr>
          <w:rFonts w:eastAsiaTheme="minorHAnsi"/>
          <w:sz w:val="20"/>
          <w:szCs w:val="22"/>
          <w:lang w:val="en-US" w:eastAsia="en-US"/>
        </w:rPr>
        <w:t xml:space="preserve"> </w:t>
      </w:r>
      <w:proofErr w:type="spellStart"/>
      <w:r w:rsidRPr="00861275">
        <w:rPr>
          <w:rFonts w:eastAsiaTheme="minorHAnsi"/>
          <w:sz w:val="20"/>
          <w:szCs w:val="22"/>
          <w:lang w:val="en-US" w:eastAsia="en-US"/>
        </w:rPr>
        <w:t>Chir</w:t>
      </w:r>
      <w:proofErr w:type="spellEnd"/>
      <w:r w:rsidRPr="00861275">
        <w:rPr>
          <w:rFonts w:eastAsiaTheme="minorHAnsi"/>
          <w:sz w:val="20"/>
          <w:szCs w:val="22"/>
          <w:lang w:val="en-US" w:eastAsia="en-US"/>
        </w:rPr>
        <w:t xml:space="preserve"> </w:t>
      </w:r>
      <w:proofErr w:type="spellStart"/>
      <w:r w:rsidRPr="00861275">
        <w:rPr>
          <w:rFonts w:eastAsiaTheme="minorHAnsi"/>
          <w:sz w:val="20"/>
          <w:szCs w:val="22"/>
          <w:lang w:val="en-US" w:eastAsia="en-US"/>
        </w:rPr>
        <w:t>Cervico</w:t>
      </w:r>
      <w:proofErr w:type="spellEnd"/>
      <w:r w:rsidRPr="00861275">
        <w:rPr>
          <w:rFonts w:eastAsiaTheme="minorHAnsi"/>
          <w:sz w:val="20"/>
          <w:szCs w:val="22"/>
          <w:lang w:val="en-US" w:eastAsia="en-US"/>
        </w:rPr>
        <w:t xml:space="preserve"> Fac, 1993;110:482-4.</w:t>
      </w:r>
    </w:p>
    <w:p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 xml:space="preserve">4. </w:t>
      </w:r>
      <w:proofErr w:type="spellStart"/>
      <w:r w:rsidRPr="00861275">
        <w:rPr>
          <w:rFonts w:eastAsiaTheme="minorHAnsi"/>
          <w:sz w:val="20"/>
          <w:szCs w:val="22"/>
          <w:lang w:val="en-US" w:eastAsia="en-US"/>
        </w:rPr>
        <w:t>Philbert</w:t>
      </w:r>
      <w:proofErr w:type="spellEnd"/>
      <w:r w:rsidRPr="00861275">
        <w:rPr>
          <w:rFonts w:eastAsiaTheme="minorHAnsi"/>
          <w:sz w:val="20"/>
          <w:szCs w:val="22"/>
          <w:lang w:val="en-US" w:eastAsia="en-US"/>
        </w:rPr>
        <w:t xml:space="preserve"> RF, Kim AK, Chung DP. Cervical tuberculosis (scrofula): a case report. J Oral </w:t>
      </w:r>
      <w:proofErr w:type="spellStart"/>
      <w:r w:rsidRPr="00861275">
        <w:rPr>
          <w:rFonts w:eastAsiaTheme="minorHAnsi"/>
          <w:sz w:val="20"/>
          <w:szCs w:val="22"/>
          <w:lang w:val="en-US" w:eastAsia="en-US"/>
        </w:rPr>
        <w:t>Maxillofac</w:t>
      </w:r>
      <w:proofErr w:type="spellEnd"/>
      <w:r w:rsidRPr="00861275">
        <w:rPr>
          <w:rFonts w:eastAsiaTheme="minorHAnsi"/>
          <w:sz w:val="20"/>
          <w:szCs w:val="22"/>
          <w:lang w:val="en-US" w:eastAsia="en-US"/>
        </w:rPr>
        <w:t xml:space="preserve"> Surg, 2004;62:94-7.</w:t>
      </w:r>
    </w:p>
    <w:p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 xml:space="preserve">5. Zheng JW, Zhang QH. Tuberculosis of the parotid gland: a report of 12 cases. J Oral </w:t>
      </w:r>
      <w:proofErr w:type="spellStart"/>
      <w:r w:rsidRPr="00861275">
        <w:rPr>
          <w:rFonts w:eastAsiaTheme="minorHAnsi"/>
          <w:sz w:val="20"/>
          <w:szCs w:val="22"/>
          <w:lang w:val="en-US" w:eastAsia="en-US"/>
        </w:rPr>
        <w:t>Maxillofac</w:t>
      </w:r>
      <w:proofErr w:type="spellEnd"/>
      <w:r w:rsidRPr="00861275">
        <w:rPr>
          <w:rFonts w:eastAsiaTheme="minorHAnsi"/>
          <w:sz w:val="20"/>
          <w:szCs w:val="22"/>
          <w:lang w:val="en-US" w:eastAsia="en-US"/>
        </w:rPr>
        <w:t xml:space="preserve"> Surg </w:t>
      </w:r>
      <w:proofErr w:type="gramStart"/>
      <w:r w:rsidRPr="00861275">
        <w:rPr>
          <w:rFonts w:eastAsiaTheme="minorHAnsi"/>
          <w:sz w:val="20"/>
          <w:szCs w:val="22"/>
          <w:lang w:val="en-US" w:eastAsia="en-US"/>
        </w:rPr>
        <w:t>1995;53:849</w:t>
      </w:r>
      <w:proofErr w:type="gramEnd"/>
      <w:r w:rsidRPr="00861275">
        <w:rPr>
          <w:rFonts w:eastAsiaTheme="minorHAnsi"/>
          <w:sz w:val="20"/>
          <w:szCs w:val="22"/>
          <w:lang w:val="en-US" w:eastAsia="en-US"/>
        </w:rPr>
        <w:t>-51.</w:t>
      </w:r>
    </w:p>
    <w:p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lastRenderedPageBreak/>
        <w:t xml:space="preserve">6. </w:t>
      </w:r>
      <w:proofErr w:type="spellStart"/>
      <w:r w:rsidRPr="00861275">
        <w:rPr>
          <w:rFonts w:eastAsiaTheme="minorHAnsi"/>
          <w:sz w:val="20"/>
          <w:szCs w:val="22"/>
          <w:lang w:val="en-US" w:eastAsia="en-US"/>
        </w:rPr>
        <w:t>Lacut</w:t>
      </w:r>
      <w:proofErr w:type="spellEnd"/>
      <w:r w:rsidRPr="00861275">
        <w:rPr>
          <w:rFonts w:eastAsiaTheme="minorHAnsi"/>
          <w:sz w:val="20"/>
          <w:szCs w:val="22"/>
          <w:lang w:val="en-US" w:eastAsia="en-US"/>
        </w:rPr>
        <w:t xml:space="preserve"> JY, </w:t>
      </w:r>
      <w:proofErr w:type="spellStart"/>
      <w:r w:rsidRPr="00861275">
        <w:rPr>
          <w:rFonts w:eastAsiaTheme="minorHAnsi"/>
          <w:sz w:val="20"/>
          <w:szCs w:val="22"/>
          <w:lang w:val="en-US" w:eastAsia="en-US"/>
        </w:rPr>
        <w:t>Dupon</w:t>
      </w:r>
      <w:proofErr w:type="spellEnd"/>
      <w:r w:rsidRPr="00861275">
        <w:rPr>
          <w:rFonts w:eastAsiaTheme="minorHAnsi"/>
          <w:sz w:val="20"/>
          <w:szCs w:val="22"/>
          <w:lang w:val="en-US" w:eastAsia="en-US"/>
        </w:rPr>
        <w:t xml:space="preserve"> M, </w:t>
      </w:r>
      <w:proofErr w:type="spellStart"/>
      <w:r w:rsidRPr="00861275">
        <w:rPr>
          <w:rFonts w:eastAsiaTheme="minorHAnsi"/>
          <w:sz w:val="20"/>
          <w:szCs w:val="22"/>
          <w:lang w:val="en-US" w:eastAsia="en-US"/>
        </w:rPr>
        <w:t>Paty</w:t>
      </w:r>
      <w:proofErr w:type="spellEnd"/>
      <w:r w:rsidRPr="00861275">
        <w:rPr>
          <w:rFonts w:eastAsiaTheme="minorHAnsi"/>
          <w:sz w:val="20"/>
          <w:szCs w:val="22"/>
          <w:lang w:val="en-US" w:eastAsia="en-US"/>
        </w:rPr>
        <w:t xml:space="preserve"> MC. Extrapulmonary tuberculosis: review and possibilities for reducing therapeutic intervention times. Med Mal Infect, 1995;25:304-20.</w:t>
      </w:r>
    </w:p>
    <w:p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 xml:space="preserve">7. Fain O. </w:t>
      </w:r>
      <w:proofErr w:type="spellStart"/>
      <w:r w:rsidRPr="00861275">
        <w:rPr>
          <w:rFonts w:eastAsiaTheme="minorHAnsi"/>
          <w:sz w:val="20"/>
          <w:szCs w:val="22"/>
          <w:lang w:val="en-US" w:eastAsia="en-US"/>
        </w:rPr>
        <w:t>Extrathoracic</w:t>
      </w:r>
      <w:proofErr w:type="spellEnd"/>
      <w:r w:rsidRPr="00861275">
        <w:rPr>
          <w:rFonts w:eastAsiaTheme="minorHAnsi"/>
          <w:sz w:val="20"/>
          <w:szCs w:val="22"/>
          <w:lang w:val="en-US" w:eastAsia="en-US"/>
        </w:rPr>
        <w:t xml:space="preserve"> tuberculosis. Rev Prat, 2002;52:2127-32</w:t>
      </w:r>
    </w:p>
    <w:p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 xml:space="preserve">8. </w:t>
      </w:r>
      <w:proofErr w:type="spellStart"/>
      <w:r w:rsidRPr="00861275">
        <w:rPr>
          <w:rFonts w:eastAsiaTheme="minorHAnsi"/>
          <w:sz w:val="20"/>
          <w:szCs w:val="22"/>
          <w:lang w:val="en-US" w:eastAsia="en-US"/>
        </w:rPr>
        <w:t>Weiler</w:t>
      </w:r>
      <w:proofErr w:type="spellEnd"/>
      <w:r w:rsidRPr="00861275">
        <w:rPr>
          <w:rFonts w:eastAsiaTheme="minorHAnsi"/>
          <w:sz w:val="20"/>
          <w:szCs w:val="22"/>
          <w:lang w:val="en-US" w:eastAsia="en-US"/>
        </w:rPr>
        <w:t xml:space="preserve"> Z, Nelly P, </w:t>
      </w:r>
      <w:proofErr w:type="spellStart"/>
      <w:r w:rsidRPr="00861275">
        <w:rPr>
          <w:rFonts w:eastAsiaTheme="minorHAnsi"/>
          <w:sz w:val="20"/>
          <w:szCs w:val="22"/>
          <w:lang w:val="en-US" w:eastAsia="en-US"/>
        </w:rPr>
        <w:t>Baruchin</w:t>
      </w:r>
      <w:proofErr w:type="spellEnd"/>
      <w:r w:rsidRPr="00861275">
        <w:rPr>
          <w:rFonts w:eastAsiaTheme="minorHAnsi"/>
          <w:sz w:val="20"/>
          <w:szCs w:val="22"/>
          <w:lang w:val="en-US" w:eastAsia="en-US"/>
        </w:rPr>
        <w:t xml:space="preserve"> AM, Oren S. Diagnosis and treatment of cervical tuberculous lymphadenitis. J Oral </w:t>
      </w:r>
      <w:proofErr w:type="spellStart"/>
      <w:r w:rsidRPr="00861275">
        <w:rPr>
          <w:rFonts w:eastAsiaTheme="minorHAnsi"/>
          <w:sz w:val="20"/>
          <w:szCs w:val="22"/>
          <w:lang w:val="en-US" w:eastAsia="en-US"/>
        </w:rPr>
        <w:t>Maxillofac</w:t>
      </w:r>
      <w:proofErr w:type="spellEnd"/>
      <w:r w:rsidRPr="00861275">
        <w:rPr>
          <w:rFonts w:eastAsiaTheme="minorHAnsi"/>
          <w:sz w:val="20"/>
          <w:szCs w:val="22"/>
          <w:lang w:val="en-US" w:eastAsia="en-US"/>
        </w:rPr>
        <w:t xml:space="preserve"> Surg, 2000;58:477-81</w:t>
      </w:r>
    </w:p>
    <w:p w:rsidR="00FE7BB6" w:rsidRDefault="00861275" w:rsidP="00FE7BB6">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 xml:space="preserve">9. Bodner L, Lewin-Epstein J, </w:t>
      </w:r>
      <w:proofErr w:type="spellStart"/>
      <w:r w:rsidRPr="00861275">
        <w:rPr>
          <w:rFonts w:eastAsiaTheme="minorHAnsi"/>
          <w:sz w:val="20"/>
          <w:szCs w:val="22"/>
          <w:lang w:val="en-US" w:eastAsia="en-US"/>
        </w:rPr>
        <w:t>Shteyer</w:t>
      </w:r>
      <w:proofErr w:type="spellEnd"/>
      <w:r w:rsidRPr="00861275">
        <w:rPr>
          <w:rFonts w:eastAsiaTheme="minorHAnsi"/>
          <w:sz w:val="20"/>
          <w:szCs w:val="22"/>
          <w:lang w:val="en-US" w:eastAsia="en-US"/>
        </w:rPr>
        <w:t xml:space="preserve"> A. Submandibular tuberculous lymphadenitis (scrofula): report of two cases. J Oral </w:t>
      </w:r>
      <w:proofErr w:type="spellStart"/>
      <w:r w:rsidRPr="00861275">
        <w:rPr>
          <w:rFonts w:eastAsiaTheme="minorHAnsi"/>
          <w:sz w:val="20"/>
          <w:szCs w:val="22"/>
          <w:lang w:val="en-US" w:eastAsia="en-US"/>
        </w:rPr>
        <w:t>Maxillofac</w:t>
      </w:r>
      <w:proofErr w:type="spellEnd"/>
      <w:r w:rsidRPr="00861275">
        <w:rPr>
          <w:rFonts w:eastAsiaTheme="minorHAnsi"/>
          <w:sz w:val="20"/>
          <w:szCs w:val="22"/>
          <w:lang w:val="en-US" w:eastAsia="en-US"/>
        </w:rPr>
        <w:t xml:space="preserve"> Surg, 1990;48:192-6</w:t>
      </w:r>
    </w:p>
    <w:p w:rsidR="00FE7BB6" w:rsidRPr="00B17E7F" w:rsidRDefault="00924DB7" w:rsidP="00B17E7F">
      <w:pPr>
        <w:pStyle w:val="NormalWeb"/>
        <w:spacing w:line="360" w:lineRule="auto"/>
        <w:jc w:val="both"/>
        <w:rPr>
          <w:rFonts w:eastAsiaTheme="minorHAnsi"/>
          <w:sz w:val="20"/>
          <w:szCs w:val="20"/>
          <w:lang w:val="en-US" w:eastAsia="en-US"/>
        </w:rPr>
      </w:pPr>
      <w:r w:rsidRPr="00B17E7F">
        <w:rPr>
          <w:rFonts w:eastAsiaTheme="minorHAnsi"/>
          <w:sz w:val="20"/>
          <w:szCs w:val="20"/>
          <w:lang w:val="en-US" w:eastAsia="en-US"/>
        </w:rPr>
        <w:t>10</w:t>
      </w:r>
      <w:r w:rsidR="002F1F37" w:rsidRPr="00B17E7F">
        <w:rPr>
          <w:rFonts w:eastAsiaTheme="minorHAnsi"/>
          <w:sz w:val="20"/>
          <w:szCs w:val="20"/>
          <w:lang w:val="en-US" w:eastAsia="en-US"/>
        </w:rPr>
        <w:t>.</w:t>
      </w:r>
      <w:r w:rsidR="00D707EA">
        <w:rPr>
          <w:rFonts w:eastAsiaTheme="minorHAnsi"/>
          <w:sz w:val="20"/>
          <w:szCs w:val="20"/>
          <w:lang w:val="en-US" w:eastAsia="en-US"/>
        </w:rPr>
        <w:t xml:space="preserve"> </w:t>
      </w:r>
      <w:proofErr w:type="spellStart"/>
      <w:r w:rsidR="002F1F37" w:rsidRPr="00B17E7F">
        <w:rPr>
          <w:sz w:val="20"/>
          <w:szCs w:val="20"/>
          <w:lang w:val="en-US"/>
        </w:rPr>
        <w:t>Virmani</w:t>
      </w:r>
      <w:proofErr w:type="spellEnd"/>
      <w:r w:rsidR="002F1F37" w:rsidRPr="00B17E7F">
        <w:rPr>
          <w:sz w:val="20"/>
          <w:szCs w:val="20"/>
          <w:lang w:val="en-US"/>
        </w:rPr>
        <w:t xml:space="preserve"> N, Dabholkar J. Primary tubercular sialadenitis—a diagnostic dilemma. Iran J </w:t>
      </w:r>
      <w:proofErr w:type="spellStart"/>
      <w:r w:rsidR="002F1F37" w:rsidRPr="00B17E7F">
        <w:rPr>
          <w:sz w:val="20"/>
          <w:szCs w:val="20"/>
          <w:lang w:val="en-US"/>
        </w:rPr>
        <w:t>Otorhinolaryngol</w:t>
      </w:r>
      <w:proofErr w:type="spellEnd"/>
      <w:r w:rsidR="002F1F37" w:rsidRPr="00B17E7F">
        <w:rPr>
          <w:sz w:val="20"/>
          <w:szCs w:val="20"/>
          <w:lang w:val="en-US"/>
        </w:rPr>
        <w:t>. 2019;31(102):45-50.</w:t>
      </w:r>
    </w:p>
    <w:p w:rsidR="002F1F37" w:rsidRPr="00B17E7F" w:rsidRDefault="00924DB7" w:rsidP="00B17E7F">
      <w:pPr>
        <w:pStyle w:val="NormalWeb"/>
        <w:spacing w:line="360" w:lineRule="auto"/>
        <w:jc w:val="both"/>
        <w:rPr>
          <w:sz w:val="20"/>
          <w:szCs w:val="20"/>
          <w:lang w:val="en-US"/>
        </w:rPr>
      </w:pPr>
      <w:r w:rsidRPr="00B17E7F">
        <w:rPr>
          <w:rFonts w:eastAsiaTheme="minorHAnsi"/>
          <w:sz w:val="20"/>
          <w:szCs w:val="20"/>
          <w:lang w:val="en-US" w:eastAsia="en-US"/>
        </w:rPr>
        <w:t>11</w:t>
      </w:r>
      <w:r w:rsidR="00FE7BB6" w:rsidRPr="00B17E7F">
        <w:rPr>
          <w:rFonts w:eastAsiaTheme="minorHAnsi"/>
          <w:sz w:val="20"/>
          <w:szCs w:val="20"/>
          <w:lang w:val="en-US" w:eastAsia="en-US"/>
        </w:rPr>
        <w:t xml:space="preserve">. </w:t>
      </w:r>
      <w:r w:rsidR="002F1F37" w:rsidRPr="00B17E7F">
        <w:rPr>
          <w:sz w:val="20"/>
          <w:szCs w:val="20"/>
          <w:lang w:val="en-US"/>
        </w:rPr>
        <w:t xml:space="preserve">Kasim SK, </w:t>
      </w:r>
      <w:proofErr w:type="spellStart"/>
      <w:r w:rsidR="002F1F37" w:rsidRPr="00B17E7F">
        <w:rPr>
          <w:sz w:val="20"/>
          <w:szCs w:val="20"/>
          <w:lang w:val="en-US"/>
        </w:rPr>
        <w:t>Namawar</w:t>
      </w:r>
      <w:proofErr w:type="spellEnd"/>
      <w:r w:rsidR="002F1F37" w:rsidRPr="00B17E7F">
        <w:rPr>
          <w:sz w:val="20"/>
          <w:szCs w:val="20"/>
          <w:lang w:val="en-US"/>
        </w:rPr>
        <w:t xml:space="preserve"> E, </w:t>
      </w:r>
      <w:proofErr w:type="spellStart"/>
      <w:r w:rsidR="002F1F37" w:rsidRPr="00B17E7F">
        <w:rPr>
          <w:sz w:val="20"/>
          <w:szCs w:val="20"/>
          <w:lang w:val="en-US"/>
        </w:rPr>
        <w:t>Yunus</w:t>
      </w:r>
      <w:proofErr w:type="spellEnd"/>
      <w:r w:rsidR="002F1F37" w:rsidRPr="00B17E7F">
        <w:rPr>
          <w:sz w:val="20"/>
          <w:szCs w:val="20"/>
          <w:lang w:val="en-US"/>
        </w:rPr>
        <w:t xml:space="preserve"> MRM. A rare case of primary tuberculosis of the submandibular gland. Egypt J </w:t>
      </w:r>
      <w:proofErr w:type="spellStart"/>
      <w:r w:rsidR="002F1F37" w:rsidRPr="00B17E7F">
        <w:rPr>
          <w:sz w:val="20"/>
          <w:szCs w:val="20"/>
          <w:lang w:val="en-US"/>
        </w:rPr>
        <w:t>Otolaryngol</w:t>
      </w:r>
      <w:proofErr w:type="spellEnd"/>
      <w:r w:rsidR="002F1F37" w:rsidRPr="00B17E7F">
        <w:rPr>
          <w:sz w:val="20"/>
          <w:szCs w:val="20"/>
          <w:lang w:val="en-US"/>
        </w:rPr>
        <w:t>. 2015;16(2):87-9.</w:t>
      </w:r>
    </w:p>
    <w:p w:rsidR="00FD08BB" w:rsidRPr="00B17E7F" w:rsidRDefault="00FD08BB" w:rsidP="00B17E7F">
      <w:pPr>
        <w:pStyle w:val="NormalWeb"/>
        <w:spacing w:line="360" w:lineRule="auto"/>
        <w:jc w:val="both"/>
        <w:rPr>
          <w:rFonts w:asciiTheme="majorBidi" w:eastAsiaTheme="minorHAnsi" w:hAnsiTheme="majorBidi" w:cstheme="majorBidi"/>
          <w:sz w:val="20"/>
          <w:szCs w:val="20"/>
          <w:lang w:val="en-US" w:eastAsia="en-US"/>
        </w:rPr>
      </w:pPr>
      <w:r w:rsidRPr="00B17E7F">
        <w:rPr>
          <w:sz w:val="20"/>
          <w:szCs w:val="20"/>
          <w:lang w:val="en-US"/>
        </w:rPr>
        <w:t>12</w:t>
      </w:r>
      <w:r w:rsidRPr="00B17E7F">
        <w:rPr>
          <w:rFonts w:asciiTheme="majorBidi" w:hAnsiTheme="majorBidi" w:cstheme="majorBidi"/>
          <w:sz w:val="20"/>
          <w:szCs w:val="20"/>
          <w:lang w:val="en-US"/>
        </w:rPr>
        <w:t xml:space="preserve">. </w:t>
      </w:r>
      <w:r w:rsidRPr="00B17E7F">
        <w:rPr>
          <w:rFonts w:asciiTheme="majorBidi" w:hAnsiTheme="majorBidi" w:cstheme="majorBidi"/>
          <w:sz w:val="20"/>
          <w:szCs w:val="20"/>
          <w:shd w:val="clear" w:color="auto" w:fill="FFFFFF"/>
          <w:lang w:val="en-US"/>
        </w:rPr>
        <w:t xml:space="preserve">Chaudhary P, Chaudhary B, </w:t>
      </w:r>
      <w:proofErr w:type="spellStart"/>
      <w:r w:rsidRPr="00B17E7F">
        <w:rPr>
          <w:rFonts w:asciiTheme="majorBidi" w:hAnsiTheme="majorBidi" w:cstheme="majorBidi"/>
          <w:sz w:val="20"/>
          <w:szCs w:val="20"/>
          <w:shd w:val="clear" w:color="auto" w:fill="FFFFFF"/>
          <w:lang w:val="en-US"/>
        </w:rPr>
        <w:t>Munjewar</w:t>
      </w:r>
      <w:proofErr w:type="spellEnd"/>
      <w:r w:rsidRPr="00B17E7F">
        <w:rPr>
          <w:rFonts w:asciiTheme="majorBidi" w:hAnsiTheme="majorBidi" w:cstheme="majorBidi"/>
          <w:sz w:val="20"/>
          <w:szCs w:val="20"/>
          <w:shd w:val="clear" w:color="auto" w:fill="FFFFFF"/>
          <w:lang w:val="en-US"/>
        </w:rPr>
        <w:t xml:space="preserve"> CK. </w:t>
      </w:r>
      <w:proofErr w:type="spellStart"/>
      <w:r w:rsidRPr="00B17E7F">
        <w:rPr>
          <w:rFonts w:asciiTheme="majorBidi" w:hAnsiTheme="majorBidi" w:cstheme="majorBidi"/>
          <w:sz w:val="20"/>
          <w:szCs w:val="20"/>
          <w:shd w:val="clear" w:color="auto" w:fill="FFFFFF"/>
        </w:rPr>
        <w:t>Parotid</w:t>
      </w:r>
      <w:proofErr w:type="spellEnd"/>
      <w:r w:rsidRPr="00B17E7F">
        <w:rPr>
          <w:rFonts w:asciiTheme="majorBidi" w:hAnsiTheme="majorBidi" w:cstheme="majorBidi"/>
          <w:sz w:val="20"/>
          <w:szCs w:val="20"/>
          <w:shd w:val="clear" w:color="auto" w:fill="FFFFFF"/>
        </w:rPr>
        <w:t xml:space="preserve"> </w:t>
      </w:r>
      <w:proofErr w:type="spellStart"/>
      <w:r w:rsidRPr="00B17E7F">
        <w:rPr>
          <w:rFonts w:asciiTheme="majorBidi" w:hAnsiTheme="majorBidi" w:cstheme="majorBidi"/>
          <w:sz w:val="20"/>
          <w:szCs w:val="20"/>
          <w:shd w:val="clear" w:color="auto" w:fill="FFFFFF"/>
        </w:rPr>
        <w:t>tuberculosis</w:t>
      </w:r>
      <w:proofErr w:type="spellEnd"/>
      <w:r w:rsidRPr="00B17E7F">
        <w:rPr>
          <w:rFonts w:asciiTheme="majorBidi" w:hAnsiTheme="majorBidi" w:cstheme="majorBidi"/>
          <w:sz w:val="20"/>
          <w:szCs w:val="20"/>
          <w:shd w:val="clear" w:color="auto" w:fill="FFFFFF"/>
        </w:rPr>
        <w:t xml:space="preserve">. </w:t>
      </w:r>
      <w:proofErr w:type="spellStart"/>
      <w:r w:rsidRPr="00B17E7F">
        <w:rPr>
          <w:rFonts w:asciiTheme="majorBidi" w:hAnsiTheme="majorBidi" w:cstheme="majorBidi"/>
          <w:sz w:val="20"/>
          <w:szCs w:val="20"/>
          <w:shd w:val="clear" w:color="auto" w:fill="FFFFFF"/>
        </w:rPr>
        <w:t>Indian</w:t>
      </w:r>
      <w:proofErr w:type="spellEnd"/>
      <w:r w:rsidRPr="00B17E7F">
        <w:rPr>
          <w:rFonts w:asciiTheme="majorBidi" w:hAnsiTheme="majorBidi" w:cstheme="majorBidi"/>
          <w:sz w:val="20"/>
          <w:szCs w:val="20"/>
          <w:shd w:val="clear" w:color="auto" w:fill="FFFFFF"/>
        </w:rPr>
        <w:t xml:space="preserve"> J </w:t>
      </w:r>
      <w:proofErr w:type="spellStart"/>
      <w:r w:rsidRPr="00B17E7F">
        <w:rPr>
          <w:rFonts w:asciiTheme="majorBidi" w:hAnsiTheme="majorBidi" w:cstheme="majorBidi"/>
          <w:sz w:val="20"/>
          <w:szCs w:val="20"/>
          <w:shd w:val="clear" w:color="auto" w:fill="FFFFFF"/>
        </w:rPr>
        <w:t>Tuberc</w:t>
      </w:r>
      <w:proofErr w:type="spellEnd"/>
      <w:r w:rsidRPr="00B17E7F">
        <w:rPr>
          <w:rFonts w:asciiTheme="majorBidi" w:hAnsiTheme="majorBidi" w:cstheme="majorBidi"/>
          <w:sz w:val="20"/>
          <w:szCs w:val="20"/>
          <w:shd w:val="clear" w:color="auto" w:fill="FFFFFF"/>
        </w:rPr>
        <w:t xml:space="preserve">. </w:t>
      </w:r>
      <w:proofErr w:type="gramStart"/>
      <w:r w:rsidRPr="00B17E7F">
        <w:rPr>
          <w:rFonts w:asciiTheme="majorBidi" w:hAnsiTheme="majorBidi" w:cstheme="majorBidi"/>
          <w:sz w:val="20"/>
          <w:szCs w:val="20"/>
          <w:shd w:val="clear" w:color="auto" w:fill="FFFFFF"/>
        </w:rPr>
        <w:t>2017;</w:t>
      </w:r>
      <w:proofErr w:type="gramEnd"/>
      <w:r w:rsidRPr="00B17E7F">
        <w:rPr>
          <w:rFonts w:asciiTheme="majorBidi" w:hAnsiTheme="majorBidi" w:cstheme="majorBidi"/>
          <w:sz w:val="20"/>
          <w:szCs w:val="20"/>
          <w:shd w:val="clear" w:color="auto" w:fill="FFFFFF"/>
        </w:rPr>
        <w:t>64:161–166. </w:t>
      </w:r>
    </w:p>
    <w:p w:rsidR="002F1F37" w:rsidRDefault="002F1F37" w:rsidP="002F1F37">
      <w:pPr>
        <w:pStyle w:val="NormalWeb"/>
        <w:spacing w:line="360" w:lineRule="auto"/>
        <w:jc w:val="both"/>
        <w:rPr>
          <w:rFonts w:eastAsiaTheme="minorHAnsi"/>
          <w:sz w:val="20"/>
          <w:szCs w:val="22"/>
          <w:lang w:val="en-US" w:eastAsia="en-US"/>
        </w:rPr>
      </w:pPr>
    </w:p>
    <w:p w:rsidR="009F313C" w:rsidRPr="009F313C" w:rsidRDefault="009F313C" w:rsidP="002F1F37">
      <w:pPr>
        <w:pStyle w:val="NormalWeb"/>
        <w:spacing w:line="360" w:lineRule="auto"/>
        <w:jc w:val="both"/>
        <w:rPr>
          <w:rFonts w:eastAsiaTheme="minorHAnsi"/>
          <w:sz w:val="20"/>
          <w:szCs w:val="22"/>
          <w:lang w:val="en-US" w:eastAsia="en-US"/>
        </w:rPr>
      </w:pPr>
    </w:p>
    <w:p w:rsidR="00906D73" w:rsidRPr="00906D73" w:rsidRDefault="00906D73" w:rsidP="00906D73">
      <w:pPr>
        <w:pStyle w:val="NormalWeb"/>
        <w:spacing w:line="360" w:lineRule="auto"/>
        <w:jc w:val="both"/>
        <w:rPr>
          <w:b/>
          <w:sz w:val="32"/>
          <w:lang w:val="en-US"/>
        </w:rPr>
      </w:pPr>
    </w:p>
    <w:p w:rsidR="00503416" w:rsidRPr="00906D73" w:rsidRDefault="00503416" w:rsidP="00906D73">
      <w:pPr>
        <w:spacing w:line="360" w:lineRule="auto"/>
        <w:jc w:val="both"/>
        <w:rPr>
          <w:lang w:val="en-US"/>
        </w:rPr>
      </w:pPr>
    </w:p>
    <w:sectPr w:rsidR="00503416" w:rsidRPr="00906D73" w:rsidSect="0050341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965" w:rsidRDefault="00E46965" w:rsidP="00C17D28">
      <w:pPr>
        <w:spacing w:after="0" w:line="240" w:lineRule="auto"/>
      </w:pPr>
      <w:r>
        <w:separator/>
      </w:r>
    </w:p>
  </w:endnote>
  <w:endnote w:type="continuationSeparator" w:id="0">
    <w:p w:rsidR="00E46965" w:rsidRDefault="00E46965" w:rsidP="00C1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D28" w:rsidRDefault="00C17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D28" w:rsidRDefault="00C17D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D28" w:rsidRDefault="00C17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965" w:rsidRDefault="00E46965" w:rsidP="00C17D28">
      <w:pPr>
        <w:spacing w:after="0" w:line="240" w:lineRule="auto"/>
      </w:pPr>
      <w:r>
        <w:separator/>
      </w:r>
    </w:p>
  </w:footnote>
  <w:footnote w:type="continuationSeparator" w:id="0">
    <w:p w:rsidR="00E46965" w:rsidRDefault="00E46965" w:rsidP="00C17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D28" w:rsidRDefault="00E469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9039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D28" w:rsidRDefault="00E469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9039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D28" w:rsidRDefault="00E469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9039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D01C2"/>
    <w:multiLevelType w:val="multilevel"/>
    <w:tmpl w:val="61F467DC"/>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7940638F"/>
    <w:multiLevelType w:val="multilevel"/>
    <w:tmpl w:val="86F4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079A"/>
    <w:rsid w:val="00027F78"/>
    <w:rsid w:val="00036DD9"/>
    <w:rsid w:val="000C6C76"/>
    <w:rsid w:val="001E4488"/>
    <w:rsid w:val="001E5666"/>
    <w:rsid w:val="001F568B"/>
    <w:rsid w:val="00240C8E"/>
    <w:rsid w:val="00262444"/>
    <w:rsid w:val="00267982"/>
    <w:rsid w:val="002844B9"/>
    <w:rsid w:val="00296B05"/>
    <w:rsid w:val="002F1F37"/>
    <w:rsid w:val="00330832"/>
    <w:rsid w:val="00333B09"/>
    <w:rsid w:val="00382B02"/>
    <w:rsid w:val="003D412B"/>
    <w:rsid w:val="004A0144"/>
    <w:rsid w:val="004D1A00"/>
    <w:rsid w:val="00503416"/>
    <w:rsid w:val="005F0CEC"/>
    <w:rsid w:val="006374A8"/>
    <w:rsid w:val="0075079A"/>
    <w:rsid w:val="0075594B"/>
    <w:rsid w:val="00777BDD"/>
    <w:rsid w:val="00861275"/>
    <w:rsid w:val="00893E62"/>
    <w:rsid w:val="008F0296"/>
    <w:rsid w:val="00906D73"/>
    <w:rsid w:val="00924DB7"/>
    <w:rsid w:val="009554B7"/>
    <w:rsid w:val="009A32FE"/>
    <w:rsid w:val="009D0A1C"/>
    <w:rsid w:val="009D4EF9"/>
    <w:rsid w:val="009F313C"/>
    <w:rsid w:val="00A0411F"/>
    <w:rsid w:val="00AA2D3D"/>
    <w:rsid w:val="00AB5F03"/>
    <w:rsid w:val="00AD6DC3"/>
    <w:rsid w:val="00B01C34"/>
    <w:rsid w:val="00B13537"/>
    <w:rsid w:val="00B17E7F"/>
    <w:rsid w:val="00BD529D"/>
    <w:rsid w:val="00BD789E"/>
    <w:rsid w:val="00C17D28"/>
    <w:rsid w:val="00C21997"/>
    <w:rsid w:val="00C31525"/>
    <w:rsid w:val="00C46F1B"/>
    <w:rsid w:val="00D374ED"/>
    <w:rsid w:val="00D707EA"/>
    <w:rsid w:val="00E46965"/>
    <w:rsid w:val="00E63FDF"/>
    <w:rsid w:val="00E82321"/>
    <w:rsid w:val="00E8676B"/>
    <w:rsid w:val="00EB46FD"/>
    <w:rsid w:val="00F55A35"/>
    <w:rsid w:val="00F74826"/>
    <w:rsid w:val="00F76E70"/>
    <w:rsid w:val="00F7768C"/>
    <w:rsid w:val="00FD08BB"/>
    <w:rsid w:val="00FD0E43"/>
    <w:rsid w:val="00FE7B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D517F4"/>
  <w15:docId w15:val="{373DEE0F-F97B-4550-9746-EA2AFDA1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416"/>
  </w:style>
  <w:style w:type="paragraph" w:styleId="Heading4">
    <w:name w:val="heading 4"/>
    <w:basedOn w:val="Normal"/>
    <w:link w:val="Heading4Char"/>
    <w:uiPriority w:val="9"/>
    <w:qFormat/>
    <w:rsid w:val="009F313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6D7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06D73"/>
    <w:rPr>
      <w:b/>
      <w:bCs/>
    </w:rPr>
  </w:style>
  <w:style w:type="character" w:styleId="Emphasis">
    <w:name w:val="Emphasis"/>
    <w:basedOn w:val="DefaultParagraphFont"/>
    <w:uiPriority w:val="20"/>
    <w:qFormat/>
    <w:rsid w:val="00906D73"/>
    <w:rPr>
      <w:i/>
      <w:iCs/>
    </w:rPr>
  </w:style>
  <w:style w:type="character" w:styleId="Hyperlink">
    <w:name w:val="Hyperlink"/>
    <w:basedOn w:val="DefaultParagraphFont"/>
    <w:uiPriority w:val="99"/>
    <w:unhideWhenUsed/>
    <w:rsid w:val="00AA2D3D"/>
    <w:rPr>
      <w:color w:val="0000FF" w:themeColor="hyperlink"/>
      <w:u w:val="single"/>
    </w:rPr>
  </w:style>
  <w:style w:type="character" w:customStyle="1" w:styleId="UnresolvedMention1">
    <w:name w:val="Unresolved Mention1"/>
    <w:basedOn w:val="DefaultParagraphFont"/>
    <w:uiPriority w:val="99"/>
    <w:semiHidden/>
    <w:unhideWhenUsed/>
    <w:rsid w:val="00AA2D3D"/>
    <w:rPr>
      <w:color w:val="605E5C"/>
      <w:shd w:val="clear" w:color="auto" w:fill="E1DFDD"/>
    </w:rPr>
  </w:style>
  <w:style w:type="paragraph" w:styleId="Header">
    <w:name w:val="header"/>
    <w:basedOn w:val="Normal"/>
    <w:link w:val="HeaderChar"/>
    <w:uiPriority w:val="99"/>
    <w:unhideWhenUsed/>
    <w:rsid w:val="00C17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D28"/>
  </w:style>
  <w:style w:type="paragraph" w:styleId="Footer">
    <w:name w:val="footer"/>
    <w:basedOn w:val="Normal"/>
    <w:link w:val="FooterChar"/>
    <w:uiPriority w:val="99"/>
    <w:unhideWhenUsed/>
    <w:rsid w:val="00C17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D28"/>
  </w:style>
  <w:style w:type="character" w:customStyle="1" w:styleId="Heading4Char">
    <w:name w:val="Heading 4 Char"/>
    <w:basedOn w:val="DefaultParagraphFont"/>
    <w:link w:val="Heading4"/>
    <w:uiPriority w:val="9"/>
    <w:rsid w:val="009F313C"/>
    <w:rPr>
      <w:rFonts w:ascii="Times New Roman" w:eastAsia="Times New Roman" w:hAnsi="Times New Roman" w:cs="Times New Roman"/>
      <w:b/>
      <w:bCs/>
      <w:sz w:val="24"/>
      <w:szCs w:val="24"/>
      <w:lang w:eastAsia="fr-FR"/>
    </w:rPr>
  </w:style>
  <w:style w:type="character" w:customStyle="1" w:styleId="ms-1">
    <w:name w:val="ms-1"/>
    <w:basedOn w:val="DefaultParagraphFont"/>
    <w:rsid w:val="009F313C"/>
  </w:style>
  <w:style w:type="character" w:customStyle="1" w:styleId="max-w-full">
    <w:name w:val="max-w-full"/>
    <w:basedOn w:val="DefaultParagraphFont"/>
    <w:rsid w:val="009F313C"/>
  </w:style>
  <w:style w:type="character" w:customStyle="1" w:styleId="label">
    <w:name w:val="label"/>
    <w:basedOn w:val="DefaultParagraphFont"/>
    <w:rsid w:val="00EB46FD"/>
  </w:style>
  <w:style w:type="character" w:styleId="HTMLCite">
    <w:name w:val="HTML Cite"/>
    <w:basedOn w:val="DefaultParagraphFont"/>
    <w:uiPriority w:val="99"/>
    <w:semiHidden/>
    <w:unhideWhenUsed/>
    <w:rsid w:val="00EB46FD"/>
    <w:rPr>
      <w:i/>
      <w:iCs/>
    </w:rPr>
  </w:style>
  <w:style w:type="paragraph" w:styleId="BalloonText">
    <w:name w:val="Balloon Text"/>
    <w:basedOn w:val="Normal"/>
    <w:link w:val="BalloonTextChar"/>
    <w:uiPriority w:val="99"/>
    <w:semiHidden/>
    <w:unhideWhenUsed/>
    <w:rsid w:val="009D0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90861">
      <w:bodyDiv w:val="1"/>
      <w:marLeft w:val="0"/>
      <w:marRight w:val="0"/>
      <w:marTop w:val="0"/>
      <w:marBottom w:val="0"/>
      <w:divBdr>
        <w:top w:val="none" w:sz="0" w:space="0" w:color="auto"/>
        <w:left w:val="none" w:sz="0" w:space="0" w:color="auto"/>
        <w:bottom w:val="none" w:sz="0" w:space="0" w:color="auto"/>
        <w:right w:val="none" w:sz="0" w:space="0" w:color="auto"/>
      </w:divBdr>
    </w:div>
    <w:div w:id="620301926">
      <w:bodyDiv w:val="1"/>
      <w:marLeft w:val="0"/>
      <w:marRight w:val="0"/>
      <w:marTop w:val="0"/>
      <w:marBottom w:val="0"/>
      <w:divBdr>
        <w:top w:val="none" w:sz="0" w:space="0" w:color="auto"/>
        <w:left w:val="none" w:sz="0" w:space="0" w:color="auto"/>
        <w:bottom w:val="none" w:sz="0" w:space="0" w:color="auto"/>
        <w:right w:val="none" w:sz="0" w:space="0" w:color="auto"/>
      </w:divBdr>
    </w:div>
    <w:div w:id="851184756">
      <w:bodyDiv w:val="1"/>
      <w:marLeft w:val="0"/>
      <w:marRight w:val="0"/>
      <w:marTop w:val="0"/>
      <w:marBottom w:val="0"/>
      <w:divBdr>
        <w:top w:val="none" w:sz="0" w:space="0" w:color="auto"/>
        <w:left w:val="none" w:sz="0" w:space="0" w:color="auto"/>
        <w:bottom w:val="none" w:sz="0" w:space="0" w:color="auto"/>
        <w:right w:val="none" w:sz="0" w:space="0" w:color="auto"/>
      </w:divBdr>
    </w:div>
    <w:div w:id="1775128325">
      <w:bodyDiv w:val="1"/>
      <w:marLeft w:val="0"/>
      <w:marRight w:val="0"/>
      <w:marTop w:val="0"/>
      <w:marBottom w:val="0"/>
      <w:divBdr>
        <w:top w:val="none" w:sz="0" w:space="0" w:color="auto"/>
        <w:left w:val="none" w:sz="0" w:space="0" w:color="auto"/>
        <w:bottom w:val="none" w:sz="0" w:space="0" w:color="auto"/>
        <w:right w:val="none" w:sz="0" w:space="0" w:color="auto"/>
      </w:divBdr>
    </w:div>
    <w:div w:id="180931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9701941/?utm_source=chatgp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mc.ncbi.nlm.nih.gov/articles/PMC9701941/?utm_source=chatgpt.co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7</Pages>
  <Words>1722</Words>
  <Characters>9818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halimy</dc:creator>
  <cp:lastModifiedBy>SDI 1089</cp:lastModifiedBy>
  <cp:revision>33</cp:revision>
  <dcterms:created xsi:type="dcterms:W3CDTF">2025-09-02T15:34:00Z</dcterms:created>
  <dcterms:modified xsi:type="dcterms:W3CDTF">2025-09-15T07:02:00Z</dcterms:modified>
</cp:coreProperties>
</file>