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CE0" w:rsidRDefault="00DE3A4A">
      <w:pPr>
        <w:rPr>
          <w:b/>
          <w:bCs/>
          <w:sz w:val="28"/>
          <w:szCs w:val="28"/>
        </w:rPr>
      </w:pPr>
      <w:r>
        <w:rPr>
          <w:rFonts w:hint="eastAsia"/>
          <w:b/>
          <w:bCs/>
          <w:sz w:val="28"/>
          <w:szCs w:val="28"/>
        </w:rPr>
        <w:t>Clinical Characteristics Analysis of Bronchopneumonia in Children: A Retrospective Study Based on 418 Cases</w:t>
      </w:r>
    </w:p>
    <w:p w:rsidR="00E41CE0" w:rsidRDefault="00E41CE0" w:rsidP="00DE3A4A"/>
    <w:p w:rsidR="00E41CE0" w:rsidRDefault="00E41CE0"/>
    <w:p w:rsidR="00E41CE0" w:rsidRDefault="00DE3A4A">
      <w:r>
        <w:rPr>
          <w:rFonts w:hint="eastAsia"/>
          <w:b/>
          <w:bCs/>
        </w:rPr>
        <w:t>Objective</w:t>
      </w:r>
      <w:r>
        <w:rPr>
          <w:rFonts w:hint="eastAsia"/>
        </w:rPr>
        <w:t xml:space="preserve">: To analyze the clinical characteristics of 418 children with bronchopneumonia and provide evidence for early clinical identification and intervention.  </w:t>
      </w:r>
    </w:p>
    <w:p w:rsidR="00E41CE0" w:rsidRDefault="00DE3A4A">
      <w:r>
        <w:rPr>
          <w:rFonts w:hint="eastAsia"/>
          <w:b/>
          <w:bCs/>
        </w:rPr>
        <w:t>Methods</w:t>
      </w:r>
      <w:r>
        <w:rPr>
          <w:rFonts w:hint="eastAsia"/>
        </w:rPr>
        <w:t xml:space="preserve">: A retrospective analysis was conducted on 418 children with bronchopneumonia who were admitted to the Traditional Chinese Medicine Hospital of </w:t>
      </w:r>
      <w:proofErr w:type="spellStart"/>
      <w:r>
        <w:rPr>
          <w:rFonts w:hint="eastAsia"/>
        </w:rPr>
        <w:t>Yulin</w:t>
      </w:r>
      <w:proofErr w:type="spellEnd"/>
      <w:r>
        <w:rPr>
          <w:rFonts w:hint="eastAsia"/>
        </w:rPr>
        <w:t xml:space="preserve"> City and underwent six respiratory pathogen tests (fluorescent PCR method) and chest X-rays. The diagnostic criteria were based on the Zhu </w:t>
      </w:r>
      <w:proofErr w:type="spellStart"/>
      <w:r>
        <w:rPr>
          <w:rFonts w:hint="eastAsia"/>
        </w:rPr>
        <w:t>Futang</w:t>
      </w:r>
      <w:proofErr w:type="spellEnd"/>
      <w:r>
        <w:rPr>
          <w:rFonts w:hint="eastAsia"/>
        </w:rPr>
        <w:t xml:space="preserve"> Practical Pediatrics (8th edition) [2]. Statistical analysis included age distribution, primary initial symptoms (fever, cough, fever with cough), laboratory results (bacterial, mycoplasma, viral), and imaging findings (chest X-ray).  </w:t>
      </w:r>
    </w:p>
    <w:p w:rsidR="00E41CE0" w:rsidRDefault="00DE3A4A">
      <w:r>
        <w:rPr>
          <w:rFonts w:hint="eastAsia"/>
          <w:b/>
          <w:bCs/>
        </w:rPr>
        <w:t>Results</w:t>
      </w:r>
      <w:r>
        <w:rPr>
          <w:rFonts w:hint="eastAsia"/>
        </w:rPr>
        <w:t>: In this study, children aged 1</w:t>
      </w:r>
      <w:r>
        <w:rPr>
          <w:rFonts w:hint="eastAsia"/>
        </w:rPr>
        <w:t>–</w:t>
      </w:r>
      <w:r>
        <w:rPr>
          <w:rFonts w:hint="eastAsia"/>
        </w:rPr>
        <w:t>7 years accounted for the highest proportion of bronchopneumonia cases (67.2%), followed by those aged 8</w:t>
      </w:r>
      <w:r>
        <w:rPr>
          <w:rFonts w:hint="eastAsia"/>
        </w:rPr>
        <w:t>–</w:t>
      </w:r>
      <w:r>
        <w:rPr>
          <w:rFonts w:hint="eastAsia"/>
        </w:rPr>
        <w:t xml:space="preserve">14 years (25.1%), &lt;1 year (7.2%), and &gt;14 years (1.0%). The most common initial symptom was cough (59.57%), followed by fever with cough (30.38%). Viral infections were the most prevalent (55.98%), followed by mycoplasma infections (38.28%). Bilateral lung involvement (67.2%) was more common than unilateral involvement (32.8%).  </w:t>
      </w:r>
    </w:p>
    <w:p w:rsidR="00E41CE0" w:rsidRDefault="00DE3A4A">
      <w:r>
        <w:rPr>
          <w:rFonts w:hint="eastAsia"/>
          <w:b/>
          <w:bCs/>
        </w:rPr>
        <w:t>Conclusion</w:t>
      </w:r>
      <w:r>
        <w:rPr>
          <w:rFonts w:hint="eastAsia"/>
        </w:rPr>
        <w:t>: Bronchopneumonia is most prevalent in children aged 1</w:t>
      </w:r>
      <w:r>
        <w:rPr>
          <w:rFonts w:hint="eastAsia"/>
        </w:rPr>
        <w:t>–</w:t>
      </w:r>
      <w:r>
        <w:rPr>
          <w:rFonts w:hint="eastAsia"/>
        </w:rPr>
        <w:t xml:space="preserve">7 years, and cough is the most common initial symptom. Clinical attention should focus on early diagnosis and treatment for this age group. Viral infections are the leading cause of bronchopneumonia, and bilateral lung involvement is common.  </w:t>
      </w:r>
    </w:p>
    <w:p w:rsidR="00E41CE0" w:rsidRDefault="00DE3A4A">
      <w:r>
        <w:rPr>
          <w:rFonts w:hint="eastAsia"/>
          <w:b/>
          <w:bCs/>
        </w:rPr>
        <w:t>Keywords</w:t>
      </w:r>
      <w:r>
        <w:rPr>
          <w:rFonts w:hint="eastAsia"/>
        </w:rPr>
        <w:t xml:space="preserve">: Bronchopneumonia; Children; Clinical Symptoms; Retrospective Analysis  </w:t>
      </w:r>
    </w:p>
    <w:p w:rsidR="00CA260D" w:rsidRDefault="00CA260D"/>
    <w:p w:rsidR="00CA260D" w:rsidRPr="00CA260D" w:rsidRDefault="00CA260D" w:rsidP="00CA260D">
      <w:pPr>
        <w:rPr>
          <w:b/>
        </w:rPr>
      </w:pPr>
      <w:r w:rsidRPr="00CA260D">
        <w:rPr>
          <w:b/>
        </w:rPr>
        <w:t>Introduction</w:t>
      </w:r>
    </w:p>
    <w:p w:rsidR="00E41CE0" w:rsidRDefault="00CA260D" w:rsidP="00CA260D">
      <w:r>
        <w:t xml:space="preserve">Bronchopneumonia is a common lower respiratory tract infection in children, primarily caused by bacterial, viral, or mycoplasma infections. Clinical manifestations include fever, cough, shortness of breath, etc., and severe cases may lead to respiratory failure. </w:t>
      </w:r>
      <w:proofErr w:type="spellStart"/>
      <w:r>
        <w:t>Yulin</w:t>
      </w:r>
      <w:proofErr w:type="spellEnd"/>
      <w:r>
        <w:t xml:space="preserve"> City is located in a mid-temperate semi-arid continental monsoon climate zone with a dry climate</w:t>
      </w:r>
      <w:r w:rsidR="00E443A5">
        <w:t xml:space="preserve"> </w:t>
      </w:r>
      <w:r w:rsidR="00E443A5" w:rsidRPr="00E443A5">
        <w:t>(</w:t>
      </w:r>
      <w:proofErr w:type="spellStart"/>
      <w:r w:rsidR="00E443A5" w:rsidRPr="00E443A5">
        <w:t>Su</w:t>
      </w:r>
      <w:proofErr w:type="spellEnd"/>
      <w:r w:rsidR="00E443A5" w:rsidRPr="00E443A5">
        <w:t xml:space="preserve"> et al., 2024</w:t>
      </w:r>
      <w:r w:rsidR="00E443A5">
        <w:t xml:space="preserve">; </w:t>
      </w:r>
      <w:bookmarkStart w:id="0" w:name="_GoBack"/>
      <w:bookmarkEnd w:id="0"/>
      <w:r w:rsidR="00E443A5" w:rsidRPr="00E443A5">
        <w:t>A</w:t>
      </w:r>
      <w:proofErr w:type="spellStart"/>
      <w:r w:rsidR="00E443A5" w:rsidRPr="00E443A5">
        <w:t xml:space="preserve">lfarizi </w:t>
      </w:r>
      <w:proofErr w:type="spellEnd"/>
      <w:r w:rsidR="00E443A5" w:rsidRPr="00E443A5">
        <w:t>et al., 2024)</w:t>
      </w:r>
      <w:r>
        <w:t xml:space="preserve">. Coal resource development contributes to environmental pollution, which may exacerbate the frequency of extreme weather events (heatwaves, cold spells). Numerous studies have highlighted the association between meteorological factors and population health indicators under different climate change scenarios [1]. This study analyzes the clinical data of 418 children with bronchopneumonia to explore their age distribution and clinical characteristics, aiming to improve early diagnosis and intervention for pediatric bronchopneumonia.  </w:t>
      </w:r>
    </w:p>
    <w:p w:rsidR="00CA260D" w:rsidRDefault="00CA260D" w:rsidP="00CA260D"/>
    <w:p w:rsidR="00E41CE0" w:rsidRDefault="00DE3A4A">
      <w:pPr>
        <w:rPr>
          <w:b/>
          <w:bCs/>
        </w:rPr>
      </w:pPr>
      <w:r>
        <w:rPr>
          <w:rFonts w:hint="eastAsia"/>
          <w:b/>
          <w:bCs/>
        </w:rPr>
        <w:t xml:space="preserve">1. Materials and Methods </w:t>
      </w:r>
    </w:p>
    <w:p w:rsidR="00E41CE0" w:rsidRDefault="00DE3A4A">
      <w:pPr>
        <w:rPr>
          <w:b/>
          <w:bCs/>
        </w:rPr>
      </w:pPr>
      <w:r>
        <w:rPr>
          <w:rFonts w:hint="eastAsia"/>
          <w:b/>
          <w:bCs/>
        </w:rPr>
        <w:t>1.1 Study Subjects</w:t>
      </w:r>
    </w:p>
    <w:p w:rsidR="00E41CE0" w:rsidRDefault="00DE3A4A">
      <w:r>
        <w:rPr>
          <w:rFonts w:hint="eastAsia"/>
        </w:rPr>
        <w:t xml:space="preserve">Inclusion criteria: Children with bronchopneumonia admitted to the Traditional Chinese Medicine Hospital of </w:t>
      </w:r>
      <w:proofErr w:type="spellStart"/>
      <w:r>
        <w:rPr>
          <w:rFonts w:hint="eastAsia"/>
        </w:rPr>
        <w:t>Yulin</w:t>
      </w:r>
      <w:proofErr w:type="spellEnd"/>
      <w:r>
        <w:rPr>
          <w:rFonts w:hint="eastAsia"/>
        </w:rPr>
        <w:t xml:space="preserve"> City between January 2024 and December 2024, all of whom underwent chest X-rays and six respiratory pathogen tests. All cases met the diagnostic criteria of </w:t>
      </w:r>
      <w:r>
        <w:rPr>
          <w:rFonts w:hint="eastAsia"/>
          <w:b/>
          <w:bCs/>
        </w:rPr>
        <w:t xml:space="preserve">Zhu </w:t>
      </w:r>
      <w:proofErr w:type="spellStart"/>
      <w:r>
        <w:rPr>
          <w:rFonts w:hint="eastAsia"/>
          <w:b/>
          <w:bCs/>
        </w:rPr>
        <w:t>Futang</w:t>
      </w:r>
      <w:proofErr w:type="spellEnd"/>
      <w:r>
        <w:rPr>
          <w:rFonts w:hint="eastAsia"/>
          <w:b/>
          <w:bCs/>
        </w:rPr>
        <w:t xml:space="preserve"> Practical Pediatrics.  </w:t>
      </w:r>
    </w:p>
    <w:p w:rsidR="00E41CE0" w:rsidRDefault="00DE3A4A">
      <w:r>
        <w:rPr>
          <w:rFonts w:hint="eastAsia"/>
        </w:rPr>
        <w:t xml:space="preserve">Exclusion criteria: Patients with underlying respiratory diseases such as tuberculosis, bronchopulmonary dysplasia, congenital respiratory tract malformations, lung tumors, bronchiolitis obliterans, airway foreign bodies, or ciliary dyskinesia; those with other severe systemic diseases; and those with congenital immune deficiencies, congenital heart disease, malnutrition, or congenital genetic metabolic diseases.  </w:t>
      </w:r>
    </w:p>
    <w:p w:rsidR="00E41CE0" w:rsidRDefault="00DE3A4A">
      <w:pPr>
        <w:rPr>
          <w:b/>
          <w:bCs/>
        </w:rPr>
      </w:pPr>
      <w:r>
        <w:rPr>
          <w:rFonts w:hint="eastAsia"/>
          <w:b/>
          <w:bCs/>
        </w:rPr>
        <w:lastRenderedPageBreak/>
        <w:t>1.2 Research Methods</w:t>
      </w:r>
    </w:p>
    <w:p w:rsidR="00E41CE0" w:rsidRDefault="00DE3A4A">
      <w:r>
        <w:rPr>
          <w:rFonts w:hint="eastAsia"/>
        </w:rPr>
        <w:t xml:space="preserve">A retrospective analysis was conducted on 418 children with bronchopneumonia who met the study criteria. Data collected included age and initial symptoms. All patients underwent six respiratory pathogen tests (fluorescent PCR method) and chest X-rays upon admission.  </w:t>
      </w:r>
    </w:p>
    <w:p w:rsidR="00E41CE0" w:rsidRDefault="00DE3A4A">
      <w:pPr>
        <w:rPr>
          <w:b/>
          <w:bCs/>
        </w:rPr>
      </w:pPr>
      <w:r>
        <w:rPr>
          <w:rFonts w:hint="eastAsia"/>
          <w:b/>
          <w:bCs/>
        </w:rPr>
        <w:t xml:space="preserve">1.3 Statistical Methods </w:t>
      </w:r>
    </w:p>
    <w:p w:rsidR="00E41CE0" w:rsidRDefault="00DE3A4A">
      <w:r>
        <w:rPr>
          <w:rFonts w:hint="eastAsia"/>
        </w:rPr>
        <w:t xml:space="preserve">Descriptive statistical analysis was performed using SPSS 26.0 software. Categorical data were expressed as numbers/percentages (n/%).  </w:t>
      </w:r>
    </w:p>
    <w:p w:rsidR="00E41CE0" w:rsidRDefault="00E41CE0"/>
    <w:p w:rsidR="00E41CE0" w:rsidRDefault="00DE3A4A">
      <w:pPr>
        <w:rPr>
          <w:b/>
          <w:bCs/>
        </w:rPr>
      </w:pPr>
      <w:r>
        <w:rPr>
          <w:rFonts w:hint="eastAsia"/>
          <w:b/>
          <w:bCs/>
        </w:rPr>
        <w:t xml:space="preserve">2. Results </w:t>
      </w:r>
    </w:p>
    <w:p w:rsidR="00E41CE0" w:rsidRDefault="00DE3A4A">
      <w:pPr>
        <w:rPr>
          <w:b/>
          <w:bCs/>
        </w:rPr>
      </w:pPr>
      <w:r>
        <w:rPr>
          <w:rFonts w:hint="eastAsia"/>
          <w:b/>
          <w:bCs/>
        </w:rPr>
        <w:t>2.1 Age Distribution</w:t>
      </w:r>
    </w:p>
    <w:p w:rsidR="00E41CE0" w:rsidRDefault="00DE3A4A">
      <w:pPr>
        <w:jc w:val="center"/>
        <w:rPr>
          <w:b/>
          <w:bCs/>
        </w:rPr>
      </w:pPr>
      <w:r>
        <w:rPr>
          <w:rFonts w:hint="eastAsia"/>
          <w:b/>
          <w:bCs/>
        </w:rPr>
        <w:t>Table 1 Age Distribution Characteristics of Children with Bronchopneumonia</w:t>
      </w:r>
    </w:p>
    <w:tbl>
      <w:tblPr>
        <w:tblStyle w:val="TableGrid"/>
        <w:tblW w:w="9456" w:type="dxa"/>
        <w:tblLayout w:type="fixed"/>
        <w:tblLook w:val="04A0" w:firstRow="1" w:lastRow="0" w:firstColumn="1" w:lastColumn="0" w:noHBand="0" w:noVBand="1"/>
      </w:tblPr>
      <w:tblGrid>
        <w:gridCol w:w="3152"/>
        <w:gridCol w:w="3152"/>
        <w:gridCol w:w="3152"/>
      </w:tblGrid>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Age group</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Case count</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Percentage(</w:t>
            </w:r>
            <w:r>
              <w:rPr>
                <w:color w:val="000000"/>
              </w:rPr>
              <w:t>％</w:t>
            </w:r>
            <w:r>
              <w:rPr>
                <w:color w:val="000000"/>
              </w:rPr>
              <w:t>)</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&lt;1 year</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30</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7.18</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1-7 years</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279</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66.75</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8-14years</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105</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25.12</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&gt;14years</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4</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0.96</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Total</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418</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100.00</w:t>
            </w:r>
          </w:p>
        </w:tc>
      </w:tr>
    </w:tbl>
    <w:p w:rsidR="00E41CE0" w:rsidRDefault="00DE3A4A">
      <w:r>
        <w:rPr>
          <w:rFonts w:hint="eastAsia"/>
        </w:rPr>
        <w:t>High-risk age group: 1</w:t>
      </w:r>
      <w:r>
        <w:rPr>
          <w:rFonts w:hint="eastAsia"/>
        </w:rPr>
        <w:t>–</w:t>
      </w:r>
      <w:r>
        <w:rPr>
          <w:rFonts w:hint="eastAsia"/>
        </w:rPr>
        <w:t>7 years (66.75%), followed by 8</w:t>
      </w:r>
      <w:r>
        <w:rPr>
          <w:rFonts w:hint="eastAsia"/>
        </w:rPr>
        <w:t>–</w:t>
      </w:r>
      <w:r>
        <w:rPr>
          <w:rFonts w:hint="eastAsia"/>
        </w:rPr>
        <w:t xml:space="preserve">14 years (25.12%).  </w:t>
      </w:r>
    </w:p>
    <w:p w:rsidR="00E41CE0" w:rsidRDefault="00DE3A4A">
      <w:pPr>
        <w:rPr>
          <w:b/>
          <w:bCs/>
        </w:rPr>
      </w:pPr>
      <w:r>
        <w:rPr>
          <w:rFonts w:hint="eastAsia"/>
          <w:b/>
          <w:bCs/>
        </w:rPr>
        <w:t>2.2 Initial Clinical Symptom</w:t>
      </w:r>
    </w:p>
    <w:p w:rsidR="00E41CE0" w:rsidRDefault="00DE3A4A">
      <w:pPr>
        <w:jc w:val="center"/>
        <w:rPr>
          <w:b/>
          <w:bCs/>
        </w:rPr>
      </w:pPr>
      <w:r>
        <w:rPr>
          <w:rFonts w:hint="eastAsia"/>
          <w:b/>
          <w:bCs/>
        </w:rPr>
        <w:t>Table 2 Distribution Characteristics of Initial Symptoms in Children with Bronchopneumonia</w:t>
      </w:r>
    </w:p>
    <w:tbl>
      <w:tblPr>
        <w:tblStyle w:val="TableGrid"/>
        <w:tblW w:w="9456" w:type="dxa"/>
        <w:tblLayout w:type="fixed"/>
        <w:tblLook w:val="04A0" w:firstRow="1" w:lastRow="0" w:firstColumn="1" w:lastColumn="0" w:noHBand="0" w:noVBand="1"/>
      </w:tblPr>
      <w:tblGrid>
        <w:gridCol w:w="3152"/>
        <w:gridCol w:w="3152"/>
        <w:gridCol w:w="3152"/>
      </w:tblGrid>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Chief Complaint</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Case count</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Percentage(</w:t>
            </w:r>
            <w:r>
              <w:rPr>
                <w:color w:val="000000"/>
              </w:rPr>
              <w:t>％</w:t>
            </w:r>
            <w:r>
              <w:rPr>
                <w:color w:val="000000"/>
              </w:rPr>
              <w:t>)</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proofErr w:type="spellStart"/>
            <w:r>
              <w:rPr>
                <w:color w:val="000000"/>
              </w:rPr>
              <w:t>Pyreia</w:t>
            </w:r>
            <w:proofErr w:type="spellEnd"/>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42</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10.05</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Cough</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249</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59.57</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Fever accompanied by cough</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157</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30.38</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Total</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418</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100.00</w:t>
            </w:r>
          </w:p>
        </w:tc>
      </w:tr>
    </w:tbl>
    <w:p w:rsidR="00E41CE0" w:rsidRDefault="00DE3A4A">
      <w:r>
        <w:rPr>
          <w:rFonts w:hint="eastAsia"/>
        </w:rPr>
        <w:t xml:space="preserve">Cough alone (59.57%) was the most common initial symptom, followed by fever with cough (30.38%).  </w:t>
      </w:r>
    </w:p>
    <w:p w:rsidR="00E41CE0" w:rsidRDefault="00DE3A4A">
      <w:pPr>
        <w:rPr>
          <w:b/>
          <w:bCs/>
        </w:rPr>
      </w:pPr>
      <w:r>
        <w:rPr>
          <w:rFonts w:hint="eastAsia"/>
          <w:b/>
          <w:bCs/>
        </w:rPr>
        <w:t xml:space="preserve">2.3 Etiological </w:t>
      </w:r>
      <w:proofErr w:type="spellStart"/>
      <w:r>
        <w:rPr>
          <w:rFonts w:hint="eastAsia"/>
          <w:b/>
          <w:bCs/>
        </w:rPr>
        <w:t>Examina</w:t>
      </w:r>
      <w:proofErr w:type="spellEnd"/>
    </w:p>
    <w:p w:rsidR="00E41CE0" w:rsidRDefault="00DE3A4A">
      <w:pPr>
        <w:jc w:val="center"/>
        <w:rPr>
          <w:b/>
          <w:bCs/>
        </w:rPr>
      </w:pPr>
      <w:r>
        <w:rPr>
          <w:rFonts w:hint="eastAsia"/>
          <w:b/>
          <w:bCs/>
        </w:rPr>
        <w:t>Table 3 Etiological Distribution Characteristics of Children with Bronchopneumonia</w:t>
      </w:r>
    </w:p>
    <w:tbl>
      <w:tblPr>
        <w:tblStyle w:val="TableGrid"/>
        <w:tblW w:w="9456" w:type="dxa"/>
        <w:tblLayout w:type="fixed"/>
        <w:tblLook w:val="04A0" w:firstRow="1" w:lastRow="0" w:firstColumn="1" w:lastColumn="0" w:noHBand="0" w:noVBand="1"/>
      </w:tblPr>
      <w:tblGrid>
        <w:gridCol w:w="3152"/>
        <w:gridCol w:w="3152"/>
        <w:gridCol w:w="3152"/>
      </w:tblGrid>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Etiological testing</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Case count</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proofErr w:type="gramStart"/>
            <w:r>
              <w:rPr>
                <w:color w:val="000000"/>
              </w:rPr>
              <w:t>Percentage(</w:t>
            </w:r>
            <w:proofErr w:type="gramEnd"/>
            <w:r>
              <w:rPr>
                <w:color w:val="000000"/>
              </w:rPr>
              <w:t>%)</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Virus</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234</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55.98</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Mycoplasma</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160</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38.28</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Bacteria</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24</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5.74</w:t>
            </w:r>
          </w:p>
        </w:tc>
      </w:tr>
      <w:tr w:rsidR="00E41CE0">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Total</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418</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rsidR="00E41CE0" w:rsidRDefault="00DE3A4A">
            <w:pPr>
              <w:rPr>
                <w:color w:val="000000"/>
              </w:rPr>
            </w:pPr>
            <w:r>
              <w:rPr>
                <w:color w:val="000000"/>
              </w:rPr>
              <w:t>100.00</w:t>
            </w:r>
          </w:p>
        </w:tc>
      </w:tr>
    </w:tbl>
    <w:p w:rsidR="00E41CE0" w:rsidRDefault="00DE3A4A">
      <w:r>
        <w:rPr>
          <w:rFonts w:hint="eastAsia"/>
        </w:rPr>
        <w:t>Viral infection was the most prevalent (55.98%), followed by Mycoplasma pneumoniae infection (38.28%).</w:t>
      </w:r>
    </w:p>
    <w:p w:rsidR="00E41CE0" w:rsidRDefault="00DE3A4A">
      <w:pPr>
        <w:rPr>
          <w:b/>
          <w:bCs/>
        </w:rPr>
      </w:pPr>
      <w:r>
        <w:rPr>
          <w:rFonts w:hint="eastAsia"/>
          <w:b/>
          <w:bCs/>
        </w:rPr>
        <w:t>2.4 Laboratory Findings (Chest X-ray)</w:t>
      </w:r>
    </w:p>
    <w:p w:rsidR="00E41CE0" w:rsidRDefault="00DE3A4A">
      <w:r>
        <w:rPr>
          <w:rFonts w:hint="eastAsia"/>
        </w:rPr>
        <w:t xml:space="preserve">Typical Manifestations: Bilateral patchy infiltrates accounted for 67.2%, while unilateral patchy infiltrates accounted for 32.8%.  </w:t>
      </w:r>
    </w:p>
    <w:p w:rsidR="00E41CE0" w:rsidRDefault="00E41CE0"/>
    <w:p w:rsidR="00E41CE0" w:rsidRDefault="00DE3A4A">
      <w:pPr>
        <w:rPr>
          <w:b/>
          <w:bCs/>
        </w:rPr>
      </w:pPr>
      <w:r>
        <w:rPr>
          <w:rFonts w:hint="eastAsia"/>
          <w:b/>
          <w:bCs/>
        </w:rPr>
        <w:t xml:space="preserve">3. Discussion </w:t>
      </w:r>
    </w:p>
    <w:p w:rsidR="00E41CE0" w:rsidRDefault="00DE3A4A">
      <w:pPr>
        <w:rPr>
          <w:b/>
          <w:bCs/>
        </w:rPr>
      </w:pPr>
      <w:r>
        <w:rPr>
          <w:rFonts w:hint="eastAsia"/>
          <w:b/>
          <w:bCs/>
        </w:rPr>
        <w:t>3.1 Age Distribution Characteristics</w:t>
      </w:r>
    </w:p>
    <w:p w:rsidR="00E41CE0" w:rsidRDefault="00DE3A4A">
      <w:r>
        <w:rPr>
          <w:rFonts w:hint="eastAsia"/>
        </w:rPr>
        <w:t>The results of this study indicate that bronchopneumonia is most prevalent in children aged 1</w:t>
      </w:r>
      <w:r>
        <w:rPr>
          <w:rFonts w:hint="eastAsia"/>
        </w:rPr>
        <w:t>–</w:t>
      </w:r>
      <w:r>
        <w:rPr>
          <w:rFonts w:hint="eastAsia"/>
        </w:rPr>
        <w:t>7 years (67.2%), followed by those aged 8</w:t>
      </w:r>
      <w:r>
        <w:rPr>
          <w:rFonts w:hint="eastAsia"/>
        </w:rPr>
        <w:t>–</w:t>
      </w:r>
      <w:r>
        <w:rPr>
          <w:rFonts w:hint="eastAsia"/>
        </w:rPr>
        <w:t xml:space="preserve">14 years (25.1%), which is consistent with multiple domestic and international studies. The incidence of pneumonia in urban Chinese children under 5 years is 65.8 per 1,000 child-years, higher than that in high-income countries (44.6 per 1,000 child-years), while the incidence in </w:t>
      </w:r>
      <w:r>
        <w:rPr>
          <w:rFonts w:hint="eastAsia"/>
        </w:rPr>
        <w:lastRenderedPageBreak/>
        <w:t>children aged 5</w:t>
      </w:r>
      <w:r>
        <w:rPr>
          <w:rFonts w:hint="eastAsia"/>
        </w:rPr>
        <w:t>–</w:t>
      </w:r>
      <w:r>
        <w:rPr>
          <w:rFonts w:hint="eastAsia"/>
        </w:rPr>
        <w:t>9 years is 17.37 per 1,000 child-years and 3.07 per 1,000 child-years in those aged 10</w:t>
      </w:r>
      <w:r>
        <w:rPr>
          <w:rFonts w:hint="eastAsia"/>
        </w:rPr>
        <w:t>–</w:t>
      </w:r>
      <w:r>
        <w:rPr>
          <w:rFonts w:hint="eastAsia"/>
        </w:rPr>
        <w:t xml:space="preserve">17 [3]. This age distribution may be related to the following factors:  </w:t>
      </w:r>
    </w:p>
    <w:p w:rsidR="00E41CE0" w:rsidRDefault="00DE3A4A">
      <w:r>
        <w:rPr>
          <w:rFonts w:hint="eastAsia"/>
          <w:b/>
          <w:bCs/>
        </w:rPr>
        <w:t xml:space="preserve">Immune System Development Characteristics: </w:t>
      </w:r>
      <w:r>
        <w:rPr>
          <w:rFonts w:hint="eastAsia"/>
        </w:rPr>
        <w:t>The immune system of children aged 1</w:t>
      </w:r>
      <w:r>
        <w:rPr>
          <w:rFonts w:hint="eastAsia"/>
        </w:rPr>
        <w:t>–</w:t>
      </w:r>
      <w:r>
        <w:rPr>
          <w:rFonts w:hint="eastAsia"/>
        </w:rPr>
        <w:t xml:space="preserve">7 years is not fully mature, particularly the respiratory mucosal immune function, which is weak and susceptible to pathogen invasion.  </w:t>
      </w:r>
    </w:p>
    <w:p w:rsidR="00E41CE0" w:rsidRDefault="00DE3A4A">
      <w:r>
        <w:rPr>
          <w:rFonts w:hint="eastAsia"/>
          <w:b/>
          <w:bCs/>
        </w:rPr>
        <w:t>Collective Living Environment:</w:t>
      </w:r>
      <w:r>
        <w:rPr>
          <w:rFonts w:hint="eastAsia"/>
        </w:rPr>
        <w:t xml:space="preserve"> Children in this age group are often in daycare or primary school settings, where group gatherings increase the risk of cross-infection.  </w:t>
      </w:r>
    </w:p>
    <w:p w:rsidR="00E41CE0" w:rsidRDefault="00DE3A4A">
      <w:pPr>
        <w:rPr>
          <w:b/>
          <w:bCs/>
        </w:rPr>
      </w:pPr>
      <w:r>
        <w:rPr>
          <w:rFonts w:hint="eastAsia"/>
          <w:b/>
          <w:bCs/>
        </w:rPr>
        <w:t>Respiratory Anatomical Characteristics:</w:t>
      </w:r>
      <w:r>
        <w:rPr>
          <w:rFonts w:hint="eastAsia"/>
        </w:rPr>
        <w:t xml:space="preserve"> The bronchial tubes of infants and young children are relatively narrow, with poor ciliary movement function and weak sputum expulsion ability, which can easily lead to aggravated infections.  </w:t>
      </w:r>
    </w:p>
    <w:p w:rsidR="00E41CE0" w:rsidRDefault="00DE3A4A">
      <w:pPr>
        <w:rPr>
          <w:b/>
          <w:bCs/>
        </w:rPr>
      </w:pPr>
      <w:r>
        <w:rPr>
          <w:rFonts w:hint="eastAsia"/>
          <w:b/>
          <w:bCs/>
        </w:rPr>
        <w:t xml:space="preserve">3.2 Analysis of Clinical Symptom Characteristics </w:t>
      </w:r>
    </w:p>
    <w:p w:rsidR="00E41CE0" w:rsidRDefault="00DE3A4A">
      <w:r>
        <w:rPr>
          <w:rFonts w:hint="eastAsia"/>
        </w:rPr>
        <w:t xml:space="preserve">In this study, cough (59.57%) was the most common initial symptom, followed by fever with cough (30.38%) and fever alone (10.05%), suggesting that cough may be an important indicator for early identification of bronchopneumonia. Some children (16.5%) presented only with cough or low-grade fever, which could easily be misdiagnosed as a common cold. Clinical differentiation requires combining lung auscultation (moist rales, wheezing) and imaging findings (patchy infiltrates). Notably, 29 cases (6.9%) exhibited wheezing symptoms, suggesting possible viral infection (e.g., respiratory syncytial virus) or allergic factors, necessitating differentiation from bronchial asthma. Additionally, some children (11.2%) presented with systemic symptoms such as loss of appetite and lethargy, indicating more severe conditions and requiring vigilance for complications (e.g., empyema, respiratory failure).  </w:t>
      </w:r>
    </w:p>
    <w:p w:rsidR="00E41CE0" w:rsidRDefault="00DE3A4A">
      <w:pPr>
        <w:rPr>
          <w:b/>
          <w:bCs/>
        </w:rPr>
      </w:pPr>
      <w:r>
        <w:rPr>
          <w:rFonts w:hint="eastAsia"/>
          <w:b/>
          <w:bCs/>
        </w:rPr>
        <w:t>3.3 Etiological Analysis and Optimization of Treatment Strategies</w:t>
      </w:r>
    </w:p>
    <w:p w:rsidR="00E41CE0" w:rsidRDefault="00DE3A4A">
      <w:r>
        <w:rPr>
          <w:rFonts w:hint="eastAsia"/>
        </w:rPr>
        <w:t>In this study, bacterial infections accounted for 5.74% (24/418), viral infections accounted for 55.98% (234/418), and Mycoplasma pneumoniae (MP) accounted for 38.28% (160/418). Among hospitalized children with pneumonia, the proportion of viral infections can reach 46.9%</w:t>
      </w:r>
      <w:r>
        <w:rPr>
          <w:rFonts w:hint="eastAsia"/>
        </w:rPr>
        <w:t>–</w:t>
      </w:r>
      <w:r>
        <w:rPr>
          <w:rFonts w:hint="eastAsia"/>
        </w:rPr>
        <w:t>73% [4]. MP is one of the main pathogens of pneumonia in China, with a detection rate of 8%</w:t>
      </w:r>
      <w:r>
        <w:rPr>
          <w:rFonts w:hint="eastAsia"/>
        </w:rPr>
        <w:t>–</w:t>
      </w:r>
      <w:r>
        <w:rPr>
          <w:rFonts w:hint="eastAsia"/>
        </w:rPr>
        <w:t xml:space="preserve">60% [5]. Among the 124 children aged 7 years and older, 99 cases were MP-positive, accounting for 79.84% (99/124), which may be related to the nationwide MP epidemic that year. Based on clinical practice, the following treatment optimization suggestions are proposed:  </w:t>
      </w:r>
    </w:p>
    <w:p w:rsidR="00E41CE0" w:rsidRDefault="00DE3A4A">
      <w:pPr>
        <w:rPr>
          <w:b/>
          <w:bCs/>
        </w:rPr>
      </w:pPr>
      <w:r>
        <w:rPr>
          <w:rFonts w:hint="eastAsia"/>
          <w:b/>
          <w:bCs/>
        </w:rPr>
        <w:t xml:space="preserve">3.3.1 Bacterial Infections </w:t>
      </w:r>
    </w:p>
    <w:p w:rsidR="00E41CE0" w:rsidRDefault="00DE3A4A">
      <w:r>
        <w:rPr>
          <w:rFonts w:hint="eastAsia"/>
        </w:rPr>
        <w:t>Mild Cases: First-line treatment with amoxicillin or cefixime for 5</w:t>
      </w:r>
      <w:r>
        <w:rPr>
          <w:rFonts w:hint="eastAsia"/>
        </w:rPr>
        <w:t>–</w:t>
      </w:r>
      <w:r>
        <w:rPr>
          <w:rFonts w:hint="eastAsia"/>
        </w:rPr>
        <w:t xml:space="preserve">7 days, with a clinical efficacy rate of over 85%.  </w:t>
      </w:r>
    </w:p>
    <w:p w:rsidR="00E41CE0" w:rsidRDefault="00DE3A4A">
      <w:r>
        <w:rPr>
          <w:rFonts w:hint="eastAsia"/>
        </w:rPr>
        <w:t xml:space="preserve">Severe Cases or Those at High Risk of Drug Resistance: Upgrade to piperacillin-tazobactam or cefotaxime, with azithromycin added if necessary to cover atypical pathogens.  </w:t>
      </w:r>
    </w:p>
    <w:p w:rsidR="00E41CE0" w:rsidRDefault="00DE3A4A">
      <w:pPr>
        <w:rPr>
          <w:b/>
          <w:bCs/>
        </w:rPr>
      </w:pPr>
      <w:r>
        <w:rPr>
          <w:rFonts w:hint="eastAsia"/>
          <w:b/>
          <w:bCs/>
        </w:rPr>
        <w:t xml:space="preserve">3.3.2 Viral Infections </w:t>
      </w:r>
    </w:p>
    <w:p w:rsidR="00E41CE0" w:rsidRDefault="00DE3A4A">
      <w:r>
        <w:rPr>
          <w:rFonts w:hint="eastAsia"/>
        </w:rPr>
        <w:t xml:space="preserve">Respiratory Syncytial Virus (RSV): Supportive care is primary; severe cases may consider nebulized ribavirin or interferon.  </w:t>
      </w:r>
    </w:p>
    <w:p w:rsidR="00E41CE0" w:rsidRDefault="00DE3A4A">
      <w:r>
        <w:rPr>
          <w:rFonts w:hint="eastAsia"/>
        </w:rPr>
        <w:t xml:space="preserve">Influenza Virus: Early administration of oseltamivir can shorten the disease course and reduce the risk of complications.  </w:t>
      </w:r>
    </w:p>
    <w:p w:rsidR="00E41CE0" w:rsidRDefault="00DE3A4A">
      <w:pPr>
        <w:rPr>
          <w:b/>
          <w:bCs/>
        </w:rPr>
      </w:pPr>
      <w:r>
        <w:rPr>
          <w:rFonts w:hint="eastAsia"/>
          <w:b/>
          <w:bCs/>
        </w:rPr>
        <w:t>3.3.3 Mycoplasma Infections</w:t>
      </w:r>
    </w:p>
    <w:p w:rsidR="00E41CE0" w:rsidRDefault="00DE3A4A">
      <w:r>
        <w:rPr>
          <w:rFonts w:hint="eastAsia"/>
        </w:rPr>
        <w:t>First-line treatment with azithromycin (10 mg/kg/d for 3</w:t>
      </w:r>
      <w:r>
        <w:rPr>
          <w:rFonts w:hint="eastAsia"/>
        </w:rPr>
        <w:t>–</w:t>
      </w:r>
      <w:r>
        <w:rPr>
          <w:rFonts w:hint="eastAsia"/>
        </w:rPr>
        <w:t xml:space="preserve">5 days). For drug-resistant cases, doxycycline (for children </w:t>
      </w:r>
      <w:r>
        <w:rPr>
          <w:rFonts w:hint="eastAsia"/>
        </w:rPr>
        <w:t>≥</w:t>
      </w:r>
      <w:r>
        <w:rPr>
          <w:rFonts w:hint="eastAsia"/>
        </w:rPr>
        <w:t xml:space="preserve">8 years) or moxifloxacin may be used (with strict risk assessment).  </w:t>
      </w:r>
    </w:p>
    <w:p w:rsidR="00E41CE0" w:rsidRDefault="00DE3A4A">
      <w:pPr>
        <w:rPr>
          <w:b/>
          <w:bCs/>
        </w:rPr>
      </w:pPr>
      <w:r>
        <w:rPr>
          <w:rFonts w:hint="eastAsia"/>
          <w:b/>
          <w:bCs/>
        </w:rPr>
        <w:t xml:space="preserve">3.4 Impact of Environment and Nursing on Prognosis </w:t>
      </w:r>
    </w:p>
    <w:p w:rsidR="00E41CE0" w:rsidRDefault="00DE3A4A">
      <w:r>
        <w:rPr>
          <w:rFonts w:hint="eastAsia"/>
        </w:rPr>
        <w:t xml:space="preserve">Extreme low temperatures in </w:t>
      </w:r>
      <w:proofErr w:type="spellStart"/>
      <w:r>
        <w:rPr>
          <w:rFonts w:hint="eastAsia"/>
        </w:rPr>
        <w:t>Yulin</w:t>
      </w:r>
      <w:proofErr w:type="spellEnd"/>
      <w:r>
        <w:rPr>
          <w:rFonts w:hint="eastAsia"/>
        </w:rPr>
        <w:t xml:space="preserve"> City during winter (-20</w:t>
      </w:r>
      <w:r>
        <w:rPr>
          <w:rFonts w:hint="eastAsia"/>
        </w:rPr>
        <w:t>°</w:t>
      </w:r>
      <w:r>
        <w:rPr>
          <w:rFonts w:hint="eastAsia"/>
        </w:rPr>
        <w:t>C to -33.7</w:t>
      </w:r>
      <w:r>
        <w:rPr>
          <w:rFonts w:hint="eastAsia"/>
        </w:rPr>
        <w:t>°</w:t>
      </w:r>
      <w:r>
        <w:rPr>
          <w:rFonts w:hint="eastAsia"/>
        </w:rPr>
        <w:t xml:space="preserve">C) can cause constriction of respiratory mucosal blood vessels, reduce local immunity, and increase infection risk. This study recommends:  </w:t>
      </w:r>
    </w:p>
    <w:p w:rsidR="00E41CE0" w:rsidRDefault="00E41CE0"/>
    <w:p w:rsidR="00E41CE0" w:rsidRDefault="00DE3A4A">
      <w:r>
        <w:rPr>
          <w:rFonts w:hint="eastAsia"/>
          <w:b/>
          <w:bCs/>
        </w:rPr>
        <w:t>Home Care</w:t>
      </w:r>
      <w:r>
        <w:rPr>
          <w:rFonts w:hint="eastAsia"/>
        </w:rPr>
        <w:t>: Maintain appropriate temperature and humidity (20</w:t>
      </w:r>
      <w:r>
        <w:rPr>
          <w:rFonts w:hint="eastAsia"/>
        </w:rPr>
        <w:t>–</w:t>
      </w:r>
      <w:r>
        <w:rPr>
          <w:rFonts w:hint="eastAsia"/>
        </w:rPr>
        <w:t>24</w:t>
      </w:r>
      <w:r>
        <w:rPr>
          <w:rFonts w:hint="eastAsia"/>
        </w:rPr>
        <w:t>°</w:t>
      </w:r>
      <w:r>
        <w:rPr>
          <w:rFonts w:hint="eastAsia"/>
        </w:rPr>
        <w:t>C, 50%</w:t>
      </w:r>
      <w:r>
        <w:rPr>
          <w:rFonts w:hint="eastAsia"/>
        </w:rPr>
        <w:t>–</w:t>
      </w:r>
      <w:r>
        <w:rPr>
          <w:rFonts w:hint="eastAsia"/>
        </w:rPr>
        <w:t xml:space="preserve">60%), and avoid smoke and cold air irritation.  </w:t>
      </w:r>
    </w:p>
    <w:p w:rsidR="00E41CE0" w:rsidRDefault="00DE3A4A">
      <w:r>
        <w:rPr>
          <w:rFonts w:hint="eastAsia"/>
          <w:b/>
          <w:bCs/>
        </w:rPr>
        <w:t>Nutritional Support</w:t>
      </w:r>
      <w:r>
        <w:rPr>
          <w:rFonts w:hint="eastAsia"/>
        </w:rPr>
        <w:t xml:space="preserve">: Provide high-calorie, easily digestible meals and supplement with vitamins A and D to enhance mucosal repair </w:t>
      </w:r>
      <w:proofErr w:type="gramStart"/>
      <w:r>
        <w:t xml:space="preserve">capacity </w:t>
      </w:r>
      <w:r>
        <w:rPr>
          <w:rFonts w:hint="eastAsia"/>
        </w:rPr>
        <w:t>.</w:t>
      </w:r>
      <w:proofErr w:type="gramEnd"/>
      <w:r>
        <w:rPr>
          <w:rFonts w:hint="eastAsia"/>
        </w:rPr>
        <w:t xml:space="preserve">  </w:t>
      </w:r>
    </w:p>
    <w:p w:rsidR="00E41CE0" w:rsidRDefault="00DE3A4A">
      <w:r>
        <w:rPr>
          <w:rFonts w:hint="eastAsia"/>
          <w:b/>
          <w:bCs/>
        </w:rPr>
        <w:t>Complication Monitoring</w:t>
      </w:r>
      <w:r>
        <w:rPr>
          <w:rFonts w:hint="eastAsia"/>
        </w:rPr>
        <w:t xml:space="preserve">: Closely monitor respiratory rate, blood oxygen saturation, and mental response, and be vigilant for signs of severe progression.  </w:t>
      </w:r>
    </w:p>
    <w:p w:rsidR="00E41CE0" w:rsidRDefault="00E41CE0"/>
    <w:p w:rsidR="00E41CE0" w:rsidRDefault="00DE3A4A">
      <w:pPr>
        <w:rPr>
          <w:b/>
          <w:bCs/>
        </w:rPr>
      </w:pPr>
      <w:r>
        <w:rPr>
          <w:rFonts w:hint="eastAsia"/>
          <w:b/>
          <w:bCs/>
        </w:rPr>
        <w:t>4. Conclusion</w:t>
      </w:r>
    </w:p>
    <w:p w:rsidR="00E41CE0" w:rsidRDefault="00DE3A4A">
      <w:r>
        <w:rPr>
          <w:rFonts w:hint="eastAsia"/>
        </w:rPr>
        <w:t>The clinical characteristics of bronchopneumonia in children are closely related to age, environment, and other factors. It is most prevalent in children aged 1</w:t>
      </w:r>
      <w:r>
        <w:rPr>
          <w:rFonts w:hint="eastAsia"/>
        </w:rPr>
        <w:t>–</w:t>
      </w:r>
      <w:r>
        <w:rPr>
          <w:rFonts w:hint="eastAsia"/>
        </w:rPr>
        <w:t>7 years, and cough is the most common initial symptom. Clinicians should focus on early diagnosis in children aged 1</w:t>
      </w:r>
      <w:r>
        <w:rPr>
          <w:rFonts w:hint="eastAsia"/>
        </w:rPr>
        <w:t>–</w:t>
      </w:r>
      <w:r>
        <w:rPr>
          <w:rFonts w:hint="eastAsia"/>
        </w:rPr>
        <w:t xml:space="preserve">7 years, and statistical analysis shows that viral infections are significantly more common in this age group. Individualized treatment plans should be developed based on clinical symptoms, imaging, and laboratory findings. Mycoplasma infections are more common in children over 7 years old, and resistance to macrolides has increased significantly. Studies have shown that short-term use of doxycycline in children under 8 years old does not cause tooth staining or enamel hypoplasia [6]. In cases of treatment failure with first-line antibiotics or severe conditions, doxycycline may be considered after fully informed parental consent, with appropriate dosage and duration [7, 8]. Simultaneously, strengthen respiratory care and complication prevention to improve cure rates and prognosis.  </w:t>
      </w:r>
    </w:p>
    <w:p w:rsidR="00E41CE0" w:rsidRDefault="00E41CE0"/>
    <w:p w:rsidR="00E41CE0" w:rsidRDefault="00DE3A4A">
      <w:pPr>
        <w:rPr>
          <w:b/>
          <w:bCs/>
        </w:rPr>
      </w:pPr>
      <w:r>
        <w:rPr>
          <w:rFonts w:hint="eastAsia"/>
          <w:b/>
          <w:bCs/>
        </w:rPr>
        <w:t xml:space="preserve">5. Limitations and Prospects </w:t>
      </w:r>
    </w:p>
    <w:p w:rsidR="00E41CE0" w:rsidRDefault="00DE3A4A">
      <w:pPr>
        <w:rPr>
          <w:b/>
          <w:bCs/>
        </w:rPr>
      </w:pPr>
      <w:r>
        <w:rPr>
          <w:rFonts w:hint="eastAsia"/>
          <w:b/>
          <w:bCs/>
        </w:rPr>
        <w:t xml:space="preserve">5.1 Limitations  </w:t>
      </w:r>
    </w:p>
    <w:p w:rsidR="00E41CE0" w:rsidRDefault="00DE3A4A">
      <w:pPr>
        <w:rPr>
          <w:b/>
          <w:bCs/>
        </w:rPr>
      </w:pPr>
      <w:r>
        <w:rPr>
          <w:rFonts w:hint="eastAsia"/>
        </w:rPr>
        <w:t xml:space="preserve">This study only collected data from the pediatric inpatient department of the Traditional Chinese Medicine Hospital of </w:t>
      </w:r>
      <w:proofErr w:type="spellStart"/>
      <w:r>
        <w:rPr>
          <w:rFonts w:hint="eastAsia"/>
        </w:rPr>
        <w:t>Yulin</w:t>
      </w:r>
      <w:proofErr w:type="spellEnd"/>
      <w:r>
        <w:rPr>
          <w:rFonts w:hint="eastAsia"/>
        </w:rPr>
        <w:t xml:space="preserve"> City, making it a single-center study with a small sample size and limited representativeness. More prospective research data are needed. As a retrospective study, recall bias may exist.  </w:t>
      </w:r>
    </w:p>
    <w:p w:rsidR="00E41CE0" w:rsidRDefault="00DE3A4A">
      <w:pPr>
        <w:rPr>
          <w:b/>
          <w:bCs/>
        </w:rPr>
      </w:pPr>
      <w:r>
        <w:rPr>
          <w:rFonts w:hint="eastAsia"/>
          <w:b/>
          <w:bCs/>
        </w:rPr>
        <w:t xml:space="preserve">5.2 Prospects </w:t>
      </w:r>
    </w:p>
    <w:p w:rsidR="00E41CE0" w:rsidRDefault="00DE3A4A">
      <w:r>
        <w:rPr>
          <w:rFonts w:hint="eastAsia"/>
        </w:rPr>
        <w:t xml:space="preserve">Future multicenter studies could further explore the distribution of pathogens and changes in drug resistance to provide a basis for precise treatment.  </w:t>
      </w:r>
    </w:p>
    <w:p w:rsidR="00E233A9" w:rsidRDefault="00E233A9"/>
    <w:p w:rsidR="00E233A9" w:rsidRDefault="00E233A9" w:rsidP="00E233A9">
      <w:r>
        <w:t xml:space="preserve">Consent </w:t>
      </w:r>
    </w:p>
    <w:p w:rsidR="00E233A9" w:rsidRDefault="00E233A9" w:rsidP="00E233A9">
      <w:r>
        <w:t>As per international standards, parental written consent has been collected and preserved by the author(s).</w:t>
      </w:r>
    </w:p>
    <w:p w:rsidR="00DB7BD3" w:rsidRDefault="00DB7BD3"/>
    <w:p w:rsidR="00DB7BD3" w:rsidRDefault="00DB7BD3" w:rsidP="00DB7BD3">
      <w:r>
        <w:t>Disclaimer (Artificial intelligence)</w:t>
      </w:r>
    </w:p>
    <w:p w:rsidR="00DB7BD3" w:rsidRDefault="00DB7BD3" w:rsidP="00DB7BD3">
      <w:r>
        <w:t xml:space="preserve">Option 1: </w:t>
      </w:r>
    </w:p>
    <w:p w:rsidR="00DB7BD3" w:rsidRDefault="00DB7BD3" w:rsidP="00DB7BD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B7BD3" w:rsidRDefault="00DB7BD3" w:rsidP="00DB7BD3">
      <w:r>
        <w:t xml:space="preserve">Option 2: </w:t>
      </w:r>
    </w:p>
    <w:p w:rsidR="00DB7BD3" w:rsidRDefault="00DB7BD3" w:rsidP="00DB7BD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B7BD3" w:rsidRDefault="00DB7BD3" w:rsidP="00DB7BD3">
      <w:r>
        <w:t>Details of the AI usage are given below:</w:t>
      </w:r>
    </w:p>
    <w:p w:rsidR="00DB7BD3" w:rsidRDefault="00DB7BD3" w:rsidP="00DB7BD3">
      <w:r>
        <w:t>1.</w:t>
      </w:r>
    </w:p>
    <w:p w:rsidR="00DB7BD3" w:rsidRDefault="00DB7BD3" w:rsidP="00DB7BD3">
      <w:r>
        <w:t>2.</w:t>
      </w:r>
    </w:p>
    <w:p w:rsidR="00DB7BD3" w:rsidRDefault="00DB7BD3" w:rsidP="00DB7BD3">
      <w:r>
        <w:lastRenderedPageBreak/>
        <w:t>3.</w:t>
      </w:r>
    </w:p>
    <w:p w:rsidR="00DB7BD3" w:rsidRDefault="00DB7BD3" w:rsidP="00DB7BD3"/>
    <w:p w:rsidR="00E41CE0" w:rsidRDefault="00DE3A4A">
      <w:pPr>
        <w:rPr>
          <w:b/>
          <w:bCs/>
        </w:rPr>
      </w:pPr>
      <w:r>
        <w:rPr>
          <w:rFonts w:hint="eastAsia"/>
          <w:b/>
          <w:bCs/>
        </w:rPr>
        <w:t>References</w:t>
      </w:r>
    </w:p>
    <w:p w:rsidR="00E41CE0" w:rsidRDefault="00DE3A4A">
      <w:r>
        <w:rPr>
          <w:rFonts w:hint="eastAsia"/>
        </w:rPr>
        <w:t>1</w:t>
      </w:r>
      <w:r w:rsidRPr="00852787">
        <w:rPr>
          <w:rFonts w:hint="eastAsia"/>
          <w:highlight w:val="red"/>
        </w:rPr>
        <w:t>.</w:t>
      </w:r>
      <w:r w:rsidR="00A42F80" w:rsidRPr="00A42F80">
        <w:t xml:space="preserve">Liu Cong, Chen </w:t>
      </w:r>
      <w:proofErr w:type="spellStart"/>
      <w:r w:rsidR="00A42F80" w:rsidRPr="00A42F80">
        <w:t>Renjie</w:t>
      </w:r>
      <w:proofErr w:type="spellEnd"/>
      <w:r w:rsidR="00A42F80" w:rsidRPr="00A42F80">
        <w:t xml:space="preserve">, Kan </w:t>
      </w:r>
      <w:proofErr w:type="spellStart"/>
      <w:r w:rsidR="00A42F80" w:rsidRPr="00A42F80">
        <w:t>Haidong</w:t>
      </w:r>
      <w:proofErr w:type="spellEnd"/>
      <w:r w:rsidR="00A42F80" w:rsidRPr="00A42F80">
        <w:t>. Progress and future perspective of epidemiological research of air pollution and climate change in the context of achieving carbon peaking and carbon neutrality goals. Chinese Journal of Epidemiology, 2023, 44(3): 353-359.</w:t>
      </w:r>
      <w:r w:rsidR="00A42F80">
        <w:t xml:space="preserve"> </w:t>
      </w:r>
      <w:hyperlink r:id="rId4" w:history="1">
        <w:r w:rsidR="00A42F80" w:rsidRPr="00BD6DE1">
          <w:rPr>
            <w:rStyle w:val="Hyperlink"/>
          </w:rPr>
          <w:t>https://html.rhhz.net/zhlxbx/20230301.htm</w:t>
        </w:r>
      </w:hyperlink>
      <w:r w:rsidR="00A42F80">
        <w:t xml:space="preserve"> </w:t>
      </w:r>
    </w:p>
    <w:p w:rsidR="00E41CE0" w:rsidRDefault="00DE3A4A">
      <w:r>
        <w:rPr>
          <w:rFonts w:hint="eastAsia"/>
        </w:rPr>
        <w:t xml:space="preserve">2. Hu Y, Jiang Z. Zhu </w:t>
      </w:r>
      <w:proofErr w:type="spellStart"/>
      <w:r>
        <w:rPr>
          <w:rFonts w:hint="eastAsia"/>
        </w:rPr>
        <w:t>Futang</w:t>
      </w:r>
      <w:proofErr w:type="spellEnd"/>
      <w:r>
        <w:rPr>
          <w:rFonts w:hint="eastAsia"/>
        </w:rPr>
        <w:t xml:space="preserve"> Practical Pediatrics (8th Edition) [M]. Beijing: People's Medical Publishing House, 2015.  </w:t>
      </w:r>
    </w:p>
    <w:p w:rsidR="00E41CE0" w:rsidRDefault="00DE3A4A">
      <w:r>
        <w:rPr>
          <w:rFonts w:hint="eastAsia"/>
        </w:rPr>
        <w:t xml:space="preserve">3. Respiratory Group of the Pediatric Branch of the Chinese Medical Association, et al. Guidelines for the Management of Community-Acquired Pneumonia in Children (2024 Revision) [J]. Chinese Journal of Pediatrics, 2024, 62(10).  </w:t>
      </w:r>
    </w:p>
    <w:p w:rsidR="00E41CE0" w:rsidRDefault="00DE3A4A">
      <w:r>
        <w:rPr>
          <w:rFonts w:hint="eastAsia"/>
        </w:rPr>
        <w:t xml:space="preserve">4. Zhu Y, Xu B, Li C, et al. A Multicenter Study of Viral </w:t>
      </w:r>
      <w:proofErr w:type="spellStart"/>
      <w:r>
        <w:rPr>
          <w:rFonts w:hint="eastAsia"/>
        </w:rPr>
        <w:t>Aetiology</w:t>
      </w:r>
      <w:proofErr w:type="spellEnd"/>
      <w:r>
        <w:rPr>
          <w:rFonts w:hint="eastAsia"/>
        </w:rPr>
        <w:t xml:space="preserve"> of Community-Acquired Pneumonia in Hospitalized Children in Chinese Mainland [J]. </w:t>
      </w:r>
      <w:proofErr w:type="spellStart"/>
      <w:r>
        <w:rPr>
          <w:rFonts w:hint="eastAsia"/>
        </w:rPr>
        <w:t>Virologica</w:t>
      </w:r>
      <w:proofErr w:type="spellEnd"/>
      <w:r>
        <w:rPr>
          <w:rFonts w:hint="eastAsia"/>
        </w:rPr>
        <w:t xml:space="preserve"> </w:t>
      </w:r>
      <w:proofErr w:type="spellStart"/>
      <w:r>
        <w:rPr>
          <w:rFonts w:hint="eastAsia"/>
        </w:rPr>
        <w:t>Sinica</w:t>
      </w:r>
      <w:proofErr w:type="spellEnd"/>
      <w:r>
        <w:rPr>
          <w:rFonts w:hint="eastAsia"/>
        </w:rPr>
        <w:t>, 2021, 36(6): 1543</w:t>
      </w:r>
      <w:r>
        <w:rPr>
          <w:rFonts w:hint="eastAsia"/>
        </w:rPr>
        <w:t>–</w:t>
      </w:r>
      <w:r>
        <w:rPr>
          <w:rFonts w:hint="eastAsia"/>
        </w:rPr>
        <w:t xml:space="preserve">1553.  </w:t>
      </w:r>
    </w:p>
    <w:p w:rsidR="00E41CE0" w:rsidRDefault="00DE3A4A">
      <w:r>
        <w:rPr>
          <w:rFonts w:hint="eastAsia"/>
        </w:rPr>
        <w:t>5. Zhang L, Cao L, Meng L. Pathogenic Changes of Community-Acquired Pneumonia in a Children's Hospital in Beijing, China Before and After COVID-19 Onset: A Retrospective Study [J]. World Journal of Pediatrics, 2022, 18(11): 746</w:t>
      </w:r>
      <w:r>
        <w:rPr>
          <w:rFonts w:hint="eastAsia"/>
        </w:rPr>
        <w:t>–</w:t>
      </w:r>
      <w:r>
        <w:rPr>
          <w:rFonts w:hint="eastAsia"/>
        </w:rPr>
        <w:t xml:space="preserve">752.  </w:t>
      </w:r>
    </w:p>
    <w:p w:rsidR="00E41CE0" w:rsidRDefault="00DE3A4A">
      <w:r>
        <w:rPr>
          <w:rFonts w:hint="eastAsia"/>
        </w:rPr>
        <w:t xml:space="preserve">6. </w:t>
      </w:r>
      <w:proofErr w:type="spellStart"/>
      <w:r>
        <w:rPr>
          <w:rFonts w:hint="eastAsia"/>
        </w:rPr>
        <w:t>Ahn</w:t>
      </w:r>
      <w:proofErr w:type="spellEnd"/>
      <w:r>
        <w:rPr>
          <w:rFonts w:hint="eastAsia"/>
        </w:rPr>
        <w:t xml:space="preserve"> J, Cho H, Li D, et al. Efficacy of Tetracyclines and Fluoroquinolones for the Treatment of Macrolide-Refractory Mycoplasma pneumoniae Pneumonia in Children: A Systematic Review and Meta-Analysis [J]. BMC Infectious Diseases, 2021, 21(1): 1003.  </w:t>
      </w:r>
    </w:p>
    <w:p w:rsidR="00E41CE0" w:rsidRDefault="00DE3A4A">
      <w:r w:rsidRPr="00A42F80">
        <w:rPr>
          <w:rFonts w:hint="eastAsia"/>
        </w:rPr>
        <w:t>7. Zhao S, Chen Z, Liu H, et al. Key Interpretation of the National Health Commission's "Guidelines for the Diagnosis and Treatment of Mycoplasma pneumoniae Pneumonia in Children (2023 Edition)" [J]. Journal of Clinical Pediatrics, 2023, 41(3): 224</w:t>
      </w:r>
      <w:r w:rsidRPr="00A42F80">
        <w:rPr>
          <w:rFonts w:hint="eastAsia"/>
        </w:rPr>
        <w:t>–</w:t>
      </w:r>
      <w:r w:rsidRPr="00A42F80">
        <w:rPr>
          <w:rFonts w:hint="eastAsia"/>
        </w:rPr>
        <w:t xml:space="preserve">228.  </w:t>
      </w:r>
      <w:hyperlink r:id="rId5" w:history="1">
        <w:r w:rsidR="00A42F80" w:rsidRPr="00A42F80">
          <w:rPr>
            <w:rStyle w:val="Hyperlink"/>
          </w:rPr>
          <w:t>https://www.icuguideline.com/wp-content/uploads/2023/10/%E5%84%BF%E7%AB%A5%E8%82%BA%E7%82%8E%E6%94%AF%E5%8E%9F%E4%BD%93%E8%82%BA%E7%82%8E%E8%AF%8A%E7%96%97%E6%8C%87%E5%8D%97%EF%BC%882023%E5%B9%B4%E7%89%88%EF%BC%89.pdf</w:t>
        </w:r>
      </w:hyperlink>
      <w:r w:rsidR="00A42F80">
        <w:t xml:space="preserve"> </w:t>
      </w:r>
    </w:p>
    <w:p w:rsidR="00E41CE0" w:rsidRDefault="00DE3A4A">
      <w:r>
        <w:rPr>
          <w:rFonts w:hint="eastAsia"/>
        </w:rPr>
        <w:t>8. Yang H. Benefits and Risks of Therapeutic Alternatives for Macrolide-Resistant Mycoplasma pneumoniae Pneumonia in Children [J]. Korean Journal of Pediatrics, 2019, 62(6): 199</w:t>
      </w:r>
      <w:r>
        <w:rPr>
          <w:rFonts w:hint="eastAsia"/>
        </w:rPr>
        <w:t>–</w:t>
      </w:r>
      <w:r>
        <w:rPr>
          <w:rFonts w:hint="eastAsia"/>
        </w:rPr>
        <w:t>205.</w:t>
      </w:r>
    </w:p>
    <w:p w:rsidR="00E443A5" w:rsidRDefault="00E443A5">
      <w:r>
        <w:t xml:space="preserve">9. </w:t>
      </w:r>
      <w:proofErr w:type="spellStart"/>
      <w:r w:rsidRPr="00E443A5">
        <w:t>Su</w:t>
      </w:r>
      <w:proofErr w:type="spellEnd"/>
      <w:r w:rsidRPr="00E443A5">
        <w:t>, Y., Tian, X., Zhao, T., Li, H., Gao, X., &amp; Li, R. (2024, September). Exploring the application of family centered comprehensive nursing in the treatment of pediatric bronchopneumonia. In 2024 14th International Conference on Information Technology in Medicine and Education (ITME) (pp. 233-237). IEEE.</w:t>
      </w:r>
    </w:p>
    <w:p w:rsidR="00E443A5" w:rsidRDefault="00E443A5">
      <w:r>
        <w:t xml:space="preserve">10. </w:t>
      </w:r>
      <w:proofErr w:type="spellStart"/>
      <w:r w:rsidRPr="00E443A5">
        <w:t>Alfarizi</w:t>
      </w:r>
      <w:proofErr w:type="spellEnd"/>
      <w:r w:rsidRPr="00E443A5">
        <w:t xml:space="preserve">, M., </w:t>
      </w:r>
      <w:proofErr w:type="spellStart"/>
      <w:r w:rsidRPr="00E443A5">
        <w:t>Juliningrum</w:t>
      </w:r>
      <w:proofErr w:type="spellEnd"/>
      <w:r w:rsidRPr="00E443A5">
        <w:t xml:space="preserve">, P. P., </w:t>
      </w:r>
      <w:proofErr w:type="spellStart"/>
      <w:r w:rsidRPr="00E443A5">
        <w:t>Sulistyorini</w:t>
      </w:r>
      <w:proofErr w:type="spellEnd"/>
      <w:r w:rsidRPr="00E443A5">
        <w:t xml:space="preserve">, L., &amp; </w:t>
      </w:r>
      <w:proofErr w:type="spellStart"/>
      <w:r w:rsidRPr="00E443A5">
        <w:t>Primirti</w:t>
      </w:r>
      <w:proofErr w:type="spellEnd"/>
      <w:r w:rsidRPr="00E443A5">
        <w:t xml:space="preserve">, I. D. (2024). Combination of Chest Physiotherapy and Postural Drainage for Airway Clearance in Bronchopneumonia: A Case Study. </w:t>
      </w:r>
      <w:proofErr w:type="spellStart"/>
      <w:r w:rsidRPr="00E443A5">
        <w:t>Jurnal</w:t>
      </w:r>
      <w:proofErr w:type="spellEnd"/>
      <w:r w:rsidRPr="00E443A5">
        <w:t xml:space="preserve"> </w:t>
      </w:r>
      <w:proofErr w:type="spellStart"/>
      <w:r w:rsidRPr="00E443A5">
        <w:t>Kegawatdaruratan</w:t>
      </w:r>
      <w:proofErr w:type="spellEnd"/>
      <w:r w:rsidRPr="00E443A5">
        <w:t xml:space="preserve"> </w:t>
      </w:r>
      <w:proofErr w:type="spellStart"/>
      <w:r w:rsidRPr="00E443A5">
        <w:t>Medis</w:t>
      </w:r>
      <w:proofErr w:type="spellEnd"/>
      <w:r w:rsidRPr="00E443A5">
        <w:t xml:space="preserve"> Indonesia, 3(1), 76-89.</w:t>
      </w:r>
    </w:p>
    <w:sectPr w:rsidR="00E443A5">
      <w:pgSz w:w="11906" w:h="16838"/>
      <w:pgMar w:top="1440" w:right="1286" w:bottom="1440"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SimHei"/>
    <w:panose1 w:val="0201060003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E0"/>
    <w:rsid w:val="00852787"/>
    <w:rsid w:val="00A42F80"/>
    <w:rsid w:val="00CA260D"/>
    <w:rsid w:val="00DB7BD3"/>
    <w:rsid w:val="00DE0D7E"/>
    <w:rsid w:val="00DE3A4A"/>
    <w:rsid w:val="00E233A9"/>
    <w:rsid w:val="00E41CE0"/>
    <w:rsid w:val="00E443A5"/>
    <w:rsid w:val="706A5CE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A4B9D"/>
  <w15:docId w15:val="{C1938131-6A42-4100-A306-0D31EB8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cs="Arial"/>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ambria" w:eastAsia="SimHei" w:hAnsi="Cambria" w:cs="Times New Roman"/>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Hyperlink">
    <w:name w:val="Hyperlink"/>
    <w:basedOn w:val="DefaultParagraphFont"/>
    <w:rPr>
      <w:color w:val="0000FF"/>
      <w:u w:val="single"/>
    </w:rPr>
  </w:style>
  <w:style w:type="paragraph" w:customStyle="1" w:styleId="ListParagraph0d7f9a3b-91c4-4811-aad5-51e250d7a25e">
    <w:name w:val="List Paragraph_0d7f9a3b-91c4-4811-aad5-51e250d7a25e"/>
    <w:basedOn w:val="Normal"/>
    <w:uiPriority w:val="34"/>
    <w:qFormat/>
    <w:pPr>
      <w:ind w:firstLineChars="200" w:firstLine="420"/>
    </w:pPr>
  </w:style>
  <w:style w:type="character" w:styleId="UnresolvedMention">
    <w:name w:val="Unresolved Mention"/>
    <w:basedOn w:val="DefaultParagraphFont"/>
    <w:uiPriority w:val="99"/>
    <w:semiHidden/>
    <w:unhideWhenUsed/>
    <w:rsid w:val="00A42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cuguideline.com/wp-content/uploads/2023/10/%E5%84%BF%E7%AB%A5%E8%82%BA%E7%82%8E%E6%94%AF%E5%8E%9F%E4%BD%93%E8%82%BA%E7%82%8E%E8%AF%8A%E7%96%97%E6%8C%87%E5%8D%97%EF%BC%882023%E5%B9%B4%E7%89%88%EF%BC%89.pdf" TargetMode="External"/><Relationship Id="rId4" Type="http://schemas.openxmlformats.org/officeDocument/2006/relationships/hyperlink" Target="https://html.rhhz.net/zhlxbx/202303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1994</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PKT110</dc:creator>
  <cp:lastModifiedBy>SDI PC New 16</cp:lastModifiedBy>
  <cp:revision>11</cp:revision>
  <dcterms:created xsi:type="dcterms:W3CDTF">2025-06-13T16:42:00Z</dcterms:created>
  <dcterms:modified xsi:type="dcterms:W3CDTF">2025-09-01T11:27:00Z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035C630FE3F940F6913741BB7CE1509D_13</vt:lpwstr>
  </property>
  <property fmtid="{D5CDD505-2E9C-101B-9397-08002B2CF9AE}" pid="3" name="KSOTemplateDocerSaveRecord">
    <vt:lpwstr>eyJoZGlkIjoiNmQ5M2VlNDhhZGEyMTQxYWExMmIwNjI2OTRmNDBjMWQifQ==</vt:lpwstr>
  </property>
  <property fmtid="{D5CDD505-2E9C-101B-9397-08002B2CF9AE}" pid="4" name="KSOProductBuildVer">
    <vt:lpwstr>2052-12.1.0.22529</vt:lpwstr>
  </property>
</Properties>
</file>