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1F53" w14:textId="77777777" w:rsidR="00405951" w:rsidRDefault="00405951"/>
    <w:p w14:paraId="59D87DDB" w14:textId="77777777" w:rsidR="00405951" w:rsidRDefault="00000000">
      <w:pPr>
        <w:rPr>
          <w:b/>
          <w:bCs/>
          <w:lang w:eastAsia="zh"/>
        </w:rPr>
      </w:pPr>
      <w:r>
        <w:rPr>
          <w:rFonts w:hint="eastAsia"/>
          <w:b/>
          <w:bCs/>
          <w:lang w:eastAsia="zh"/>
        </w:rPr>
        <w:t>Clinical</w:t>
      </w:r>
      <w:r>
        <w:rPr>
          <w:rFonts w:hint="eastAsia"/>
          <w:b/>
          <w:bCs/>
        </w:rPr>
        <w:t xml:space="preserve"> </w:t>
      </w:r>
      <w:r>
        <w:rPr>
          <w:rFonts w:hint="eastAsia"/>
          <w:b/>
          <w:bCs/>
          <w:lang w:eastAsia="zh"/>
        </w:rPr>
        <w:t>Analysis of Bronchopneumonia in Children: A Retrospective Study Based on 418 Cases</w:t>
      </w:r>
    </w:p>
    <w:p w14:paraId="6BAE3AB8" w14:textId="77777777" w:rsidR="004D2A40" w:rsidRDefault="004D2A40">
      <w:pPr>
        <w:rPr>
          <w:b/>
          <w:bCs/>
          <w:lang w:eastAsia="zh"/>
        </w:rPr>
      </w:pPr>
    </w:p>
    <w:p w14:paraId="71584DCF" w14:textId="77777777" w:rsidR="004D2A40" w:rsidRDefault="004D2A40">
      <w:pPr>
        <w:rPr>
          <w:b/>
          <w:bCs/>
          <w:lang w:eastAsia="zh"/>
        </w:rPr>
      </w:pPr>
    </w:p>
    <w:p w14:paraId="6E1D8DD9" w14:textId="160FA5CC" w:rsidR="00405951" w:rsidRDefault="00000000">
      <w:pPr>
        <w:rPr>
          <w:lang w:eastAsia="zh"/>
        </w:rPr>
      </w:pPr>
      <w:r>
        <w:rPr>
          <w:rFonts w:hint="eastAsia"/>
          <w:b/>
          <w:bCs/>
          <w:lang w:eastAsia="zh"/>
        </w:rPr>
        <w:t>Abstract</w:t>
      </w:r>
    </w:p>
    <w:p w14:paraId="7ED7ADC5" w14:textId="77777777" w:rsidR="00405951" w:rsidRDefault="00000000">
      <w:pPr>
        <w:rPr>
          <w:lang w:eastAsia="zh"/>
        </w:rPr>
      </w:pPr>
      <w:r>
        <w:rPr>
          <w:rFonts w:hint="eastAsia"/>
          <w:u w:val="single"/>
          <w:lang w:eastAsia="zh"/>
        </w:rPr>
        <w:t>Objective</w:t>
      </w:r>
      <w:r>
        <w:rPr>
          <w:rFonts w:hint="eastAsia"/>
          <w:lang w:eastAsia="zh"/>
        </w:rPr>
        <w:t>: To analyze the age and gender distribution as well as the characteristics of clinical symptoms among 418 children with bronchopneumonia, so as to provide references for clinical diagnosis and treatment.</w:t>
      </w:r>
    </w:p>
    <w:p w14:paraId="33326D28" w14:textId="77777777" w:rsidR="00405951" w:rsidRDefault="00000000">
      <w:pPr>
        <w:rPr>
          <w:lang w:eastAsia="zh"/>
        </w:rPr>
      </w:pPr>
      <w:r>
        <w:rPr>
          <w:rFonts w:hint="eastAsia"/>
          <w:u w:val="single"/>
          <w:lang w:eastAsia="zh"/>
        </w:rPr>
        <w:t>Methods</w:t>
      </w:r>
      <w:r>
        <w:rPr>
          <w:rFonts w:hint="eastAsia"/>
          <w:lang w:eastAsia="zh"/>
        </w:rPr>
        <w:t>: A retrospective analysis was conducted on the clinical data of 418 children with bronchopneumonia admitted to a certain hospital. The age and gender distribution, main clinical symptoms (fever and cough), laboratory test results, whether it was bacterial or viral infection, and the evaluation of the cure rate (with the disappearance of symptoms and improvement in chest X - ray as the cure criteria) were statistically analyzed.</w:t>
      </w:r>
    </w:p>
    <w:p w14:paraId="3092647C" w14:textId="77777777" w:rsidR="00405951" w:rsidRDefault="00000000">
      <w:pPr>
        <w:rPr>
          <w:lang w:eastAsia="zh"/>
        </w:rPr>
      </w:pPr>
      <w:r>
        <w:rPr>
          <w:rFonts w:hint="eastAsia"/>
          <w:u w:val="single"/>
          <w:lang w:eastAsia="zh"/>
        </w:rPr>
        <w:t>Results</w:t>
      </w:r>
      <w:r>
        <w:rPr>
          <w:rFonts w:hint="eastAsia"/>
          <w:lang w:eastAsia="zh"/>
        </w:rPr>
        <w:t>:</w:t>
      </w:r>
    </w:p>
    <w:p w14:paraId="7B25B16D" w14:textId="77777777" w:rsidR="00405951" w:rsidRDefault="00000000">
      <w:pPr>
        <w:rPr>
          <w:lang w:eastAsia="zh"/>
        </w:rPr>
      </w:pPr>
      <w:r>
        <w:rPr>
          <w:rFonts w:hint="eastAsia"/>
          <w:u w:val="single"/>
          <w:lang w:eastAsia="zh"/>
        </w:rPr>
        <w:t>Age distribution</w:t>
      </w:r>
      <w:r>
        <w:rPr>
          <w:rFonts w:hint="eastAsia"/>
          <w:lang w:eastAsia="zh"/>
        </w:rPr>
        <w:t>: Children aged 1 - 7 years had the highest proportion (67.2%, 279/418), followed by those aged 8 - 14 years (25.1%, 105/418), children under 1 year old (7.2%, 30/418), and those over 14 years old (1.0%, 4/418).</w:t>
      </w:r>
    </w:p>
    <w:p w14:paraId="70148E44" w14:textId="77777777" w:rsidR="00405951" w:rsidRDefault="00000000">
      <w:pPr>
        <w:rPr>
          <w:lang w:eastAsia="zh"/>
        </w:rPr>
      </w:pPr>
      <w:r>
        <w:rPr>
          <w:rFonts w:hint="eastAsia"/>
          <w:u w:val="single"/>
          <w:lang w:eastAsia="zh"/>
        </w:rPr>
        <w:t>Gender distribution</w:t>
      </w:r>
      <w:r>
        <w:rPr>
          <w:rFonts w:hint="eastAsia"/>
          <w:lang w:eastAsia="zh"/>
        </w:rPr>
        <w:t>: There were more male children (253 cases, 60.5%) than female children (165 cases, 39.5%).</w:t>
      </w:r>
    </w:p>
    <w:p w14:paraId="5FA2C7A7" w14:textId="77777777" w:rsidR="00405951" w:rsidRDefault="00000000">
      <w:pPr>
        <w:rPr>
          <w:lang w:eastAsia="zh"/>
        </w:rPr>
      </w:pPr>
      <w:r>
        <w:rPr>
          <w:rFonts w:hint="eastAsia"/>
          <w:u w:val="single"/>
          <w:lang w:eastAsia="zh"/>
        </w:rPr>
        <w:t>Clinical symptoms</w:t>
      </w:r>
      <w:r>
        <w:rPr>
          <w:rFonts w:hint="eastAsia"/>
          <w:lang w:eastAsia="zh"/>
        </w:rPr>
        <w:t>: The proportion of children with fever as the chief complaint (83.5%, 349/418) was higher than that of those with cough (69.1%, 289/418).</w:t>
      </w:r>
    </w:p>
    <w:p w14:paraId="02D242BD" w14:textId="77777777" w:rsidR="00405951" w:rsidRDefault="00000000">
      <w:pPr>
        <w:rPr>
          <w:lang w:eastAsia="zh"/>
        </w:rPr>
      </w:pPr>
      <w:proofErr w:type="spellStart"/>
      <w:proofErr w:type="gramStart"/>
      <w:r>
        <w:rPr>
          <w:rFonts w:hint="eastAsia"/>
          <w:u w:val="single"/>
          <w:lang w:eastAsia="zh"/>
        </w:rPr>
        <w:t>Conclusion</w:t>
      </w:r>
      <w:r>
        <w:rPr>
          <w:rFonts w:hint="eastAsia"/>
          <w:lang w:eastAsia="zh"/>
        </w:rPr>
        <w:t>:Bronchopneumonia</w:t>
      </w:r>
      <w:proofErr w:type="spellEnd"/>
      <w:proofErr w:type="gramEnd"/>
      <w:r>
        <w:rPr>
          <w:rFonts w:hint="eastAsia"/>
          <w:lang w:eastAsia="zh"/>
        </w:rPr>
        <w:t xml:space="preserve"> is more prevalent among children aged 1 - 7 years old, and the number of male patients exceeds that of female patients. Fever is the most common chief complaint. Clinically, early diagnosis and treatment of children in this age group should be emphasized.</w:t>
      </w:r>
    </w:p>
    <w:p w14:paraId="575703CE" w14:textId="77777777" w:rsidR="00405951" w:rsidRDefault="00000000">
      <w:pPr>
        <w:rPr>
          <w:lang w:eastAsia="zh"/>
        </w:rPr>
      </w:pPr>
      <w:proofErr w:type="spellStart"/>
      <w:proofErr w:type="gramStart"/>
      <w:r>
        <w:rPr>
          <w:rFonts w:hint="eastAsia"/>
          <w:u w:val="single"/>
          <w:lang w:eastAsia="zh"/>
        </w:rPr>
        <w:t>Keywords</w:t>
      </w:r>
      <w:r>
        <w:rPr>
          <w:rFonts w:hint="eastAsia"/>
          <w:lang w:eastAsia="zh"/>
        </w:rPr>
        <w:t>:Bronchopneumonia</w:t>
      </w:r>
      <w:proofErr w:type="spellEnd"/>
      <w:proofErr w:type="gramEnd"/>
      <w:r>
        <w:rPr>
          <w:rFonts w:hint="eastAsia"/>
          <w:lang w:eastAsia="zh"/>
        </w:rPr>
        <w:t>; Children; Clinical characteristics; Retrospective analysis</w:t>
      </w:r>
    </w:p>
    <w:p w14:paraId="4039EA0D" w14:textId="77777777" w:rsidR="00405951" w:rsidRDefault="00405951">
      <w:pPr>
        <w:rPr>
          <w:lang w:eastAsia="zh"/>
        </w:rPr>
      </w:pPr>
    </w:p>
    <w:p w14:paraId="08D4DB01" w14:textId="77777777" w:rsidR="00405951" w:rsidRDefault="00000000">
      <w:pPr>
        <w:numPr>
          <w:ilvl w:val="0"/>
          <w:numId w:val="1"/>
        </w:numPr>
        <w:pBdr>
          <w:bottom w:val="single" w:sz="4" w:space="0" w:color="auto"/>
        </w:pBdr>
        <w:rPr>
          <w:b/>
          <w:bCs/>
          <w:lang w:eastAsia="zh"/>
        </w:rPr>
      </w:pPr>
      <w:r>
        <w:rPr>
          <w:rFonts w:hint="eastAsia"/>
          <w:b/>
          <w:bCs/>
          <w:lang w:eastAsia="zh"/>
        </w:rPr>
        <w:t>Introduction</w:t>
      </w:r>
    </w:p>
    <w:p w14:paraId="68E26684" w14:textId="77777777" w:rsidR="00405951" w:rsidRDefault="00000000">
      <w:pPr>
        <w:rPr>
          <w:rFonts w:ascii="SimSun" w:hAnsi="SimSun" w:cs="SimSun"/>
          <w:sz w:val="24"/>
          <w:szCs w:val="24"/>
        </w:rPr>
      </w:pPr>
      <w:r>
        <w:rPr>
          <w:rFonts w:ascii="SimSun" w:hAnsi="SimSun" w:cs="SimSun"/>
          <w:sz w:val="24"/>
          <w:szCs w:val="24"/>
        </w:rPr>
        <w:t xml:space="preserve">Pneumonia is a common acute respiratory infection that affects the alveoli and distal bronchial tree of the lungs. The disease is broadly divided into community-acquired pneumonia (CAP) or hospital-acquired pneumonia (HAP, which includes ventilation-associated pneumonia (VAP)) (Box 1). Aspiration pneumonia represents 5–15% of all cases of CAP; however, its prevalence amongst patients with HAP is not </w:t>
      </w:r>
      <w:proofErr w:type="gramStart"/>
      <w:r>
        <w:rPr>
          <w:rFonts w:ascii="SimSun" w:hAnsi="SimSun" w:cs="SimSun"/>
          <w:sz w:val="24"/>
          <w:szCs w:val="24"/>
        </w:rPr>
        <w:t>known</w:t>
      </w:r>
      <w:r>
        <w:rPr>
          <w:rFonts w:ascii="SimSun" w:hAnsi="SimSun" w:cs="SimSun" w:hint="eastAsia"/>
          <w:sz w:val="24"/>
          <w:szCs w:val="24"/>
        </w:rPr>
        <w:t xml:space="preserve"> </w:t>
      </w:r>
      <w:r>
        <w:rPr>
          <w:rFonts w:ascii="SimSun" w:hAnsi="SimSun" w:cs="SimSun"/>
          <w:sz w:val="24"/>
          <w:szCs w:val="24"/>
        </w:rPr>
        <w:t xml:space="preserve"> .</w:t>
      </w:r>
      <w:proofErr w:type="gramEnd"/>
      <w:r>
        <w:rPr>
          <w:rFonts w:ascii="SimSun" w:hAnsi="SimSun" w:cs="SimSun"/>
          <w:sz w:val="24"/>
          <w:szCs w:val="24"/>
        </w:rPr>
        <w:t xml:space="preserve"> The lack of robust diagnostic criteria for aspiration pneumonia may explain why the true burden of this type of pneumonia remains </w:t>
      </w:r>
      <w:proofErr w:type="gramStart"/>
      <w:r>
        <w:rPr>
          <w:rFonts w:ascii="SimSun" w:hAnsi="SimSun" w:cs="SimSun"/>
          <w:sz w:val="24"/>
          <w:szCs w:val="24"/>
        </w:rPr>
        <w:t>unknown .</w:t>
      </w:r>
      <w:proofErr w:type="gramEnd"/>
    </w:p>
    <w:p w14:paraId="5083B5C9" w14:textId="77777777" w:rsidR="00405951" w:rsidRDefault="00000000">
      <w:pPr>
        <w:rPr>
          <w:rFonts w:ascii="SimSun" w:hAnsi="SimSun" w:cs="SimSun"/>
          <w:sz w:val="24"/>
          <w:szCs w:val="24"/>
        </w:rPr>
      </w:pPr>
      <w:r>
        <w:rPr>
          <w:rFonts w:ascii="SimSun" w:hAnsi="SimSun" w:cs="SimSun"/>
          <w:sz w:val="24"/>
          <w:szCs w:val="24"/>
        </w:rPr>
        <w:t xml:space="preserve">The causative microorganisms for CAP and HAP differ substantially. The most common causal microorganisms in CAP are Streptococcus pneumoniae, respiratory viruses, </w:t>
      </w:r>
      <w:proofErr w:type="spellStart"/>
      <w:r>
        <w:rPr>
          <w:rFonts w:ascii="SimSun" w:hAnsi="SimSun" w:cs="SimSun"/>
          <w:sz w:val="24"/>
          <w:szCs w:val="24"/>
        </w:rPr>
        <w:t>Haemophilus</w:t>
      </w:r>
      <w:proofErr w:type="spellEnd"/>
      <w:r>
        <w:rPr>
          <w:rFonts w:ascii="SimSun" w:hAnsi="SimSun" w:cs="SimSun"/>
          <w:sz w:val="24"/>
          <w:szCs w:val="24"/>
        </w:rPr>
        <w:t xml:space="preserve"> influenzae and other bacteria such as Mycoplasma pneumoniae and Legionella pneumophila. Conversely, the most frequent microorganisms in HAP are Staphylococcus aureus (including both methicillin-susceptible S. aureus (MSSA) and methicillin-resistant S. aureus (MRSA)), </w:t>
      </w:r>
      <w:proofErr w:type="spellStart"/>
      <w:r>
        <w:rPr>
          <w:rFonts w:ascii="SimSun" w:hAnsi="SimSun" w:cs="SimSun"/>
          <w:sz w:val="24"/>
          <w:szCs w:val="24"/>
        </w:rPr>
        <w:t>Enterobacterales</w:t>
      </w:r>
      <w:proofErr w:type="spellEnd"/>
      <w:r>
        <w:rPr>
          <w:rFonts w:ascii="SimSun" w:hAnsi="SimSun" w:cs="SimSun"/>
          <w:sz w:val="24"/>
          <w:szCs w:val="24"/>
        </w:rPr>
        <w:t xml:space="preserve">, non-fermenting gram-negative bacilli (for example, Pseudomonas aeruginosa), and </w:t>
      </w:r>
      <w:r>
        <w:rPr>
          <w:rFonts w:ascii="SimSun" w:hAnsi="SimSun" w:cs="SimSun"/>
          <w:sz w:val="24"/>
          <w:szCs w:val="24"/>
        </w:rPr>
        <w:lastRenderedPageBreak/>
        <w:t>Acinetobacter spp.2,</w:t>
      </w:r>
      <w:proofErr w:type="gramStart"/>
      <w:r>
        <w:rPr>
          <w:rFonts w:ascii="SimSun" w:hAnsi="SimSun" w:cs="SimSun"/>
          <w:sz w:val="24"/>
          <w:szCs w:val="24"/>
        </w:rPr>
        <w:t>3 .</w:t>
      </w:r>
      <w:proofErr w:type="gramEnd"/>
      <w:r>
        <w:rPr>
          <w:rFonts w:ascii="SimSun" w:hAnsi="SimSun" w:cs="SimSun"/>
          <w:sz w:val="24"/>
          <w:szCs w:val="24"/>
        </w:rPr>
        <w:t xml:space="preserve"> In health-care-associated pneumonia (HCAP), owing to patient risk factors, the microbial </w:t>
      </w:r>
      <w:proofErr w:type="spellStart"/>
      <w:r>
        <w:rPr>
          <w:rFonts w:ascii="SimSun" w:hAnsi="SimSun" w:cs="SimSun"/>
          <w:sz w:val="24"/>
          <w:szCs w:val="24"/>
        </w:rPr>
        <w:t>aetiology</w:t>
      </w:r>
      <w:proofErr w:type="spellEnd"/>
      <w:r>
        <w:rPr>
          <w:rFonts w:ascii="SimSun" w:hAnsi="SimSun" w:cs="SimSun"/>
          <w:sz w:val="24"/>
          <w:szCs w:val="24"/>
        </w:rPr>
        <w:t xml:space="preserve"> is more similar to that in HAP than to that in CAP. However, difficulties in standardizing risk factors for this population, coupled with the heterogeneity of post-hospital health care worldwide, suggest that the concept of HCAP has little usefulness, and indeed, HCAP was not included in recent guidelines for CAP and HAP</w:t>
      </w:r>
      <w:r>
        <w:rPr>
          <w:rFonts w:ascii="SimSun" w:hAnsi="SimSun" w:cs="SimSun" w:hint="eastAsia"/>
          <w:sz w:val="24"/>
          <w:szCs w:val="24"/>
        </w:rPr>
        <w:t>.</w:t>
      </w:r>
    </w:p>
    <w:p w14:paraId="67E1C612" w14:textId="77777777" w:rsidR="00405951" w:rsidRDefault="00405951">
      <w:pPr>
        <w:rPr>
          <w:lang w:eastAsia="zh"/>
        </w:rPr>
      </w:pPr>
    </w:p>
    <w:p w14:paraId="5B788983" w14:textId="77777777" w:rsidR="00405951" w:rsidRDefault="00000000">
      <w:pPr>
        <w:ind w:firstLineChars="100" w:firstLine="210"/>
        <w:rPr>
          <w:lang w:eastAsia="zh"/>
        </w:rPr>
      </w:pPr>
      <w:r>
        <w:rPr>
          <w:rFonts w:hint="eastAsia"/>
          <w:lang w:eastAsia="zh"/>
        </w:rPr>
        <w:t xml:space="preserve">Bronchopneumonia is a common lower respiratory tract infectious disease in children, mainly caused by bacterial, viral, or mycoplasma infections. Its clinical manifestations include fever, cough, shortness of breath, etc. In severe cases, it can lead to respiratory </w:t>
      </w:r>
      <w:proofErr w:type="spellStart"/>
      <w:proofErr w:type="gramStart"/>
      <w:r>
        <w:rPr>
          <w:rFonts w:hint="eastAsia"/>
          <w:lang w:eastAsia="zh"/>
        </w:rPr>
        <w:t>failure.Yulin</w:t>
      </w:r>
      <w:proofErr w:type="spellEnd"/>
      <w:proofErr w:type="gramEnd"/>
      <w:r>
        <w:rPr>
          <w:rFonts w:hint="eastAsia"/>
          <w:lang w:eastAsia="zh"/>
        </w:rPr>
        <w:t xml:space="preserve"> City is located in the northernmost part of Shaanxi Province, at the junction of five provinces and regions, namely Shaanxi, Gansu, Ningxia, Inner Mongolia, and Shanxi, with a total area of 42,920 square kilometers. Divided by the Great Wall, the northern part is a sandy grassland area, while the southern part is a loess hilly and gully area, with an average altitude of 1,220 meters. The registered population is 3.8589 million. It is a transition zone between the Loess Plateau and the Inner Mongolia Plateau, lying between 36</w:t>
      </w:r>
      <w:r>
        <w:rPr>
          <w:rFonts w:hint="eastAsia"/>
          <w:lang w:eastAsia="zh"/>
        </w:rPr>
        <w:t>°</w:t>
      </w:r>
      <w:r>
        <w:rPr>
          <w:rFonts w:hint="eastAsia"/>
          <w:lang w:eastAsia="zh"/>
        </w:rPr>
        <w:t>57' - 39</w:t>
      </w:r>
      <w:r>
        <w:rPr>
          <w:rFonts w:hint="eastAsia"/>
          <w:lang w:eastAsia="zh"/>
        </w:rPr>
        <w:t>°</w:t>
      </w:r>
      <w:r>
        <w:rPr>
          <w:rFonts w:hint="eastAsia"/>
          <w:lang w:eastAsia="zh"/>
        </w:rPr>
        <w:t>57' north latitude and 107</w:t>
      </w:r>
      <w:r>
        <w:rPr>
          <w:rFonts w:hint="eastAsia"/>
          <w:lang w:eastAsia="zh"/>
        </w:rPr>
        <w:t>°</w:t>
      </w:r>
      <w:r>
        <w:rPr>
          <w:rFonts w:hint="eastAsia"/>
          <w:lang w:eastAsia="zh"/>
        </w:rPr>
        <w:t>28' - 111</w:t>
      </w:r>
      <w:r>
        <w:rPr>
          <w:rFonts w:hint="eastAsia"/>
          <w:lang w:eastAsia="zh"/>
        </w:rPr>
        <w:t>°</w:t>
      </w:r>
      <w:r>
        <w:rPr>
          <w:rFonts w:hint="eastAsia"/>
          <w:lang w:eastAsia="zh"/>
        </w:rPr>
        <w:t xml:space="preserve">15' east longitude. The urban population is 287,400, the rural population is 357,400, and the population aged 0 - 15 is </w:t>
      </w:r>
      <w:proofErr w:type="gramStart"/>
      <w:r>
        <w:rPr>
          <w:rFonts w:hint="eastAsia"/>
          <w:lang w:eastAsia="zh"/>
        </w:rPr>
        <w:t>811,514.The</w:t>
      </w:r>
      <w:proofErr w:type="gramEnd"/>
      <w:r>
        <w:rPr>
          <w:rFonts w:hint="eastAsia"/>
          <w:lang w:eastAsia="zh"/>
        </w:rPr>
        <w:t xml:space="preserve"> low winter temperatures in Yulin City (ranging from -20</w:t>
      </w:r>
      <w:r>
        <w:rPr>
          <w:rFonts w:hint="eastAsia"/>
          <w:lang w:eastAsia="zh"/>
        </w:rPr>
        <w:t>°</w:t>
      </w:r>
      <w:r>
        <w:rPr>
          <w:rFonts w:hint="eastAsia"/>
          <w:lang w:eastAsia="zh"/>
        </w:rPr>
        <w:t>C to -33.7</w:t>
      </w:r>
      <w:r>
        <w:rPr>
          <w:rFonts w:hint="eastAsia"/>
          <w:lang w:eastAsia="zh"/>
        </w:rPr>
        <w:t>°</w:t>
      </w:r>
      <w:r>
        <w:rPr>
          <w:rFonts w:hint="eastAsia"/>
          <w:lang w:eastAsia="zh"/>
        </w:rPr>
        <w:t>C) may exacerbate damage to the respiratory mucosa and increase the risk of infection. This study analyzed the clinical data of 418 children with bronchopneumonia to explore the age and gender distribution as well as the characteristics of clinical symptoms, aiming to provide a basis for early clinical identification and intervention.</w:t>
      </w:r>
    </w:p>
    <w:p w14:paraId="3A4052C9" w14:textId="77777777" w:rsidR="00405951" w:rsidRDefault="00000000">
      <w:pPr>
        <w:rPr>
          <w:b/>
          <w:bCs/>
          <w:lang w:eastAsia="zh"/>
        </w:rPr>
      </w:pPr>
      <w:r>
        <w:rPr>
          <w:rFonts w:hint="eastAsia"/>
          <w:b/>
          <w:bCs/>
          <w:lang w:eastAsia="zh"/>
        </w:rPr>
        <w:t>2. Materials and Methods</w:t>
      </w:r>
    </w:p>
    <w:p w14:paraId="50B4CDF2" w14:textId="77777777" w:rsidR="00405951" w:rsidRDefault="00000000">
      <w:pPr>
        <w:rPr>
          <w:u w:val="single"/>
          <w:lang w:eastAsia="zh"/>
        </w:rPr>
      </w:pPr>
      <w:r>
        <w:rPr>
          <w:rFonts w:hint="eastAsia"/>
          <w:lang w:eastAsia="zh"/>
        </w:rPr>
        <w:t xml:space="preserve">2.1 </w:t>
      </w:r>
      <w:r>
        <w:rPr>
          <w:rFonts w:hint="eastAsia"/>
          <w:u w:val="single"/>
          <w:lang w:eastAsia="zh"/>
        </w:rPr>
        <w:t>Research Subjects</w:t>
      </w:r>
    </w:p>
    <w:p w14:paraId="434DB074" w14:textId="77777777" w:rsidR="00405951" w:rsidRDefault="00000000">
      <w:pPr>
        <w:rPr>
          <w:lang w:eastAsia="zh"/>
        </w:rPr>
      </w:pPr>
      <w:r>
        <w:rPr>
          <w:rFonts w:hint="eastAsia"/>
          <w:lang w:eastAsia="zh"/>
        </w:rPr>
        <w:t xml:space="preserve">A total of 418 children diagnosed with bronchopneumonia who were admitted to Yulin Hospital of Traditional Chinese Medicine from January 2024 to December 2024 were selected. All the children met the diagnostic criteria outlined in *Practical Pediatrics (Zhu </w:t>
      </w:r>
      <w:proofErr w:type="spellStart"/>
      <w:r>
        <w:rPr>
          <w:rFonts w:hint="eastAsia"/>
          <w:lang w:eastAsia="zh"/>
        </w:rPr>
        <w:t>Futang's</w:t>
      </w:r>
      <w:proofErr w:type="spellEnd"/>
      <w:r>
        <w:rPr>
          <w:rFonts w:hint="eastAsia"/>
          <w:lang w:eastAsia="zh"/>
        </w:rPr>
        <w:t xml:space="preserve"> </w:t>
      </w:r>
      <w:proofErr w:type="gramStart"/>
      <w:r>
        <w:rPr>
          <w:rFonts w:hint="eastAsia"/>
          <w:lang w:eastAsia="zh"/>
        </w:rPr>
        <w:t>Pediatrics)*</w:t>
      </w:r>
      <w:proofErr w:type="gramEnd"/>
      <w:r>
        <w:rPr>
          <w:rFonts w:hint="eastAsia"/>
          <w:lang w:eastAsia="zh"/>
        </w:rPr>
        <w:t>.</w:t>
      </w:r>
    </w:p>
    <w:p w14:paraId="16772F6E" w14:textId="77777777" w:rsidR="00405951" w:rsidRDefault="00000000">
      <w:pPr>
        <w:rPr>
          <w:u w:val="single"/>
          <w:lang w:eastAsia="zh"/>
        </w:rPr>
      </w:pPr>
      <w:r>
        <w:rPr>
          <w:rFonts w:hint="eastAsia"/>
          <w:lang w:eastAsia="zh"/>
        </w:rPr>
        <w:t xml:space="preserve">2.2 </w:t>
      </w:r>
      <w:r>
        <w:rPr>
          <w:rFonts w:hint="eastAsia"/>
          <w:u w:val="single"/>
          <w:lang w:eastAsia="zh"/>
        </w:rPr>
        <w:t>Research Methods</w:t>
      </w:r>
    </w:p>
    <w:p w14:paraId="756347E7" w14:textId="77777777" w:rsidR="00405951" w:rsidRDefault="00000000">
      <w:pPr>
        <w:rPr>
          <w:lang w:eastAsia="zh"/>
        </w:rPr>
      </w:pPr>
      <w:r>
        <w:rPr>
          <w:rFonts w:hint="eastAsia"/>
          <w:lang w:eastAsia="zh"/>
        </w:rPr>
        <w:t>Clinical data of these children were retrospectively analyzed, including their age, gender, chief complaints (such as fever and cough), complete blood count, laboratory test results, imaging examination findings, and chest X - ray results.</w:t>
      </w:r>
    </w:p>
    <w:p w14:paraId="7CCA6AEA" w14:textId="77777777" w:rsidR="00405951" w:rsidRDefault="00000000">
      <w:pPr>
        <w:rPr>
          <w:u w:val="single"/>
          <w:lang w:eastAsia="zh"/>
        </w:rPr>
      </w:pPr>
      <w:r>
        <w:rPr>
          <w:rFonts w:hint="eastAsia"/>
          <w:lang w:eastAsia="zh"/>
        </w:rPr>
        <w:t xml:space="preserve"> 2.3 </w:t>
      </w:r>
      <w:r>
        <w:rPr>
          <w:rFonts w:hint="eastAsia"/>
          <w:u w:val="single"/>
          <w:lang w:eastAsia="zh"/>
        </w:rPr>
        <w:t>Statistical Methods</w:t>
      </w:r>
    </w:p>
    <w:p w14:paraId="7C7498E7" w14:textId="77777777" w:rsidR="00405951" w:rsidRDefault="00000000">
      <w:pPr>
        <w:rPr>
          <w:lang w:eastAsia="zh"/>
        </w:rPr>
      </w:pPr>
      <w:r>
        <w:rPr>
          <w:rFonts w:hint="eastAsia"/>
          <w:lang w:eastAsia="zh"/>
        </w:rPr>
        <w:t>Descriptive statistical analysis was carried out using SPSS 26.0 software. Count data were presented as the number of cases and percentages.</w:t>
      </w:r>
    </w:p>
    <w:p w14:paraId="201AC68A" w14:textId="77777777" w:rsidR="00405951" w:rsidRDefault="00000000">
      <w:pPr>
        <w:rPr>
          <w:lang w:eastAsia="zh"/>
        </w:rPr>
      </w:pPr>
      <w:r>
        <w:rPr>
          <w:rFonts w:hint="eastAsia"/>
          <w:b/>
          <w:bCs/>
          <w:lang w:eastAsia="zh"/>
        </w:rPr>
        <w:t>3. Results</w:t>
      </w:r>
    </w:p>
    <w:p w14:paraId="3E3F4FE9" w14:textId="77777777" w:rsidR="00405951" w:rsidRDefault="00000000">
      <w:pPr>
        <w:rPr>
          <w:u w:val="single"/>
          <w:lang w:eastAsia="zh"/>
        </w:rPr>
      </w:pPr>
      <w:r>
        <w:rPr>
          <w:rFonts w:hint="eastAsia"/>
          <w:lang w:eastAsia="zh"/>
        </w:rPr>
        <w:t xml:space="preserve">3.1 </w:t>
      </w:r>
      <w:r>
        <w:rPr>
          <w:rFonts w:hint="eastAsia"/>
          <w:u w:val="single"/>
          <w:lang w:eastAsia="zh"/>
        </w:rPr>
        <w:t>Age and gender distribution</w:t>
      </w:r>
    </w:p>
    <w:p w14:paraId="1DE964D4" w14:textId="77777777" w:rsidR="00405951" w:rsidRDefault="00405951">
      <w:pPr>
        <w:rPr>
          <w:u w:val="single"/>
          <w:lang w:eastAsia="zh"/>
        </w:rPr>
      </w:pPr>
    </w:p>
    <w:p w14:paraId="1DCDE1EC" w14:textId="77777777" w:rsidR="00405951" w:rsidRDefault="00000000">
      <w:pPr>
        <w:rPr>
          <w:u w:val="single"/>
        </w:rPr>
      </w:pPr>
      <w:proofErr w:type="gramStart"/>
      <w:r>
        <w:rPr>
          <w:rFonts w:hint="eastAsia"/>
          <w:u w:val="single"/>
        </w:rPr>
        <w:t>A .</w:t>
      </w:r>
      <w:proofErr w:type="gramEnd"/>
    </w:p>
    <w:p w14:paraId="7E60EA74" w14:textId="77777777" w:rsidR="00405951" w:rsidRDefault="00405951">
      <w:pPr>
        <w:rPr>
          <w:u w:val="single"/>
          <w:lang w:eastAsia="zh"/>
        </w:rPr>
      </w:pPr>
    </w:p>
    <w:p w14:paraId="670F6E88" w14:textId="77777777" w:rsidR="00405951" w:rsidRDefault="00000000">
      <w:pPr>
        <w:rPr>
          <w:u w:val="single"/>
          <w:lang w:eastAsia="zh"/>
        </w:rPr>
      </w:pPr>
      <w:r>
        <w:rPr>
          <w:rFonts w:hint="eastAsia"/>
          <w:u w:val="single"/>
          <w:lang w:eastAsia="zh"/>
        </w:rPr>
        <w:t>For the age group of 0 to 1 year old, there were 22 cases of high white blood cells, 3 cases of low white blood cells, and 3 cases of normal white blood cells.</w:t>
      </w:r>
    </w:p>
    <w:p w14:paraId="56104420" w14:textId="77777777" w:rsidR="00405951" w:rsidRDefault="00405951">
      <w:pPr>
        <w:rPr>
          <w:u w:val="single"/>
          <w:lang w:eastAsia="zh"/>
        </w:rPr>
      </w:pPr>
    </w:p>
    <w:p w14:paraId="49126EF8" w14:textId="77777777" w:rsidR="00405951" w:rsidRDefault="00000000">
      <w:pPr>
        <w:rPr>
          <w:u w:val="single"/>
          <w:lang w:eastAsia="zh"/>
        </w:rPr>
      </w:pPr>
      <w:r>
        <w:rPr>
          <w:rFonts w:hint="eastAsia"/>
          <w:u w:val="single"/>
          <w:lang w:eastAsia="zh"/>
        </w:rPr>
        <w:t xml:space="preserve"> For the age group of 1 to 7 years old, there were 109 cases of high white blood cells, 17 cases of </w:t>
      </w:r>
      <w:r>
        <w:rPr>
          <w:rFonts w:hint="eastAsia"/>
          <w:u w:val="single"/>
          <w:lang w:eastAsia="zh"/>
        </w:rPr>
        <w:lastRenderedPageBreak/>
        <w:t>low white blood cells, and 114 cases of normal white blood cells.</w:t>
      </w:r>
    </w:p>
    <w:p w14:paraId="6337F6C9" w14:textId="77777777" w:rsidR="00405951" w:rsidRDefault="00405951">
      <w:pPr>
        <w:rPr>
          <w:u w:val="single"/>
          <w:lang w:eastAsia="zh"/>
        </w:rPr>
      </w:pPr>
    </w:p>
    <w:p w14:paraId="75035CED" w14:textId="77777777" w:rsidR="00405951" w:rsidRDefault="00000000">
      <w:pPr>
        <w:rPr>
          <w:u w:val="single"/>
          <w:lang w:eastAsia="zh"/>
        </w:rPr>
      </w:pPr>
      <w:r>
        <w:rPr>
          <w:rFonts w:hint="eastAsia"/>
          <w:u w:val="single"/>
          <w:lang w:eastAsia="zh"/>
        </w:rPr>
        <w:t xml:space="preserve"> For the age group of 8 to 14 years old, there were 46 cases of high white blood cells, 11 cases of low white blood cells, and 25 cases of normal white blood cells. </w:t>
      </w:r>
    </w:p>
    <w:p w14:paraId="1D10DD1F" w14:textId="77777777" w:rsidR="00405951" w:rsidRDefault="00405951">
      <w:pPr>
        <w:rPr>
          <w:u w:val="single"/>
          <w:lang w:eastAsia="zh"/>
        </w:rPr>
      </w:pPr>
    </w:p>
    <w:p w14:paraId="2AFFACD4" w14:textId="77777777" w:rsidR="00405951" w:rsidRDefault="00000000">
      <w:pPr>
        <w:rPr>
          <w:u w:val="single"/>
          <w:lang w:eastAsia="zh"/>
        </w:rPr>
      </w:pPr>
      <w:r>
        <w:rPr>
          <w:rFonts w:hint="eastAsia"/>
          <w:u w:val="single"/>
          <w:lang w:eastAsia="zh"/>
        </w:rPr>
        <w:t xml:space="preserve">For the age group of 0 to 1 year old, there were 17 cases of high neutrophils, 7 cases of low neutrophils, and 2 cases of normal neutrophils. </w:t>
      </w:r>
    </w:p>
    <w:p w14:paraId="2D960E31" w14:textId="77777777" w:rsidR="00405951" w:rsidRDefault="00000000">
      <w:pPr>
        <w:rPr>
          <w:u w:val="single"/>
          <w:lang w:eastAsia="zh"/>
        </w:rPr>
      </w:pPr>
      <w:r>
        <w:rPr>
          <w:rFonts w:hint="eastAsia"/>
          <w:u w:val="single"/>
          <w:lang w:eastAsia="zh"/>
        </w:rPr>
        <w:t xml:space="preserve">For the age group of 1 to 7 years old, there were 113 cases of high neutrophils, 36 cases of low neutrophils, and 90 cases of normal neutrophils. </w:t>
      </w:r>
    </w:p>
    <w:p w14:paraId="70AB4B15" w14:textId="77777777" w:rsidR="00405951" w:rsidRDefault="00405951">
      <w:pPr>
        <w:rPr>
          <w:u w:val="single"/>
          <w:lang w:eastAsia="zh"/>
        </w:rPr>
      </w:pPr>
    </w:p>
    <w:p w14:paraId="766C6A4C" w14:textId="77777777" w:rsidR="00405951" w:rsidRDefault="00000000">
      <w:pPr>
        <w:rPr>
          <w:u w:val="single"/>
          <w:lang w:eastAsia="zh"/>
        </w:rPr>
      </w:pPr>
      <w:r>
        <w:rPr>
          <w:rFonts w:hint="eastAsia"/>
          <w:u w:val="single"/>
          <w:lang w:eastAsia="zh"/>
        </w:rPr>
        <w:t>For the age group of 8 to 14 years old, there were 46 cases of high neutrophils, 21 cases of low neutrophils, and 15 cases of normal neutrophils.</w:t>
      </w:r>
    </w:p>
    <w:p w14:paraId="3836E79C" w14:textId="77777777" w:rsidR="00405951" w:rsidRDefault="00000000">
      <w:pPr>
        <w:rPr>
          <w:u w:val="single"/>
          <w:lang w:eastAsia="zh"/>
        </w:rPr>
      </w:pPr>
      <w:r>
        <w:rPr>
          <w:rFonts w:hint="eastAsia"/>
          <w:u w:val="single"/>
          <w:lang w:eastAsia="zh"/>
        </w:rPr>
        <w:t xml:space="preserve"> Among the cases aged 0 to 1 year old, there were 4 cases of influenza A, 7 cases of influenza B, 2 cases of COVID-19, 6 cases of mycoplasma, and no cases of respiratory syncytial virus. </w:t>
      </w:r>
    </w:p>
    <w:p w14:paraId="2D602B35" w14:textId="77777777" w:rsidR="00405951" w:rsidRDefault="00000000">
      <w:pPr>
        <w:rPr>
          <w:u w:val="single"/>
          <w:lang w:eastAsia="zh"/>
        </w:rPr>
      </w:pPr>
      <w:r>
        <w:rPr>
          <w:rFonts w:hint="eastAsia"/>
          <w:u w:val="single"/>
          <w:lang w:eastAsia="zh"/>
        </w:rPr>
        <w:t>Among children aged 1 to 7, there were 17 cases of influenza A, 26 cases of influenza B, 11 cases of COVID-19, 68 cases of mycoplasma, and 3 cases of respiratory syncytial virus.</w:t>
      </w:r>
    </w:p>
    <w:p w14:paraId="5D665A6E" w14:textId="77777777" w:rsidR="00405951" w:rsidRDefault="00000000">
      <w:pPr>
        <w:rPr>
          <w:u w:val="single"/>
          <w:lang w:eastAsia="zh"/>
        </w:rPr>
      </w:pPr>
      <w:r>
        <w:rPr>
          <w:rFonts w:hint="eastAsia"/>
          <w:u w:val="single"/>
          <w:lang w:eastAsia="zh"/>
        </w:rPr>
        <w:t xml:space="preserve"> Among the cases aged 8 to 14, there were 23 cases of influenza A, 14 cases of influenza B, 3 cases of COVID-19 and 7 cases of mycoplasma</w:t>
      </w:r>
    </w:p>
    <w:p w14:paraId="3AA8276C" w14:textId="77777777" w:rsidR="00405951" w:rsidRDefault="00000000">
      <w:pPr>
        <w:rPr>
          <w:u w:val="single"/>
          <w:lang w:eastAsia="zh"/>
        </w:rPr>
      </w:pPr>
      <w:proofErr w:type="gramStart"/>
      <w:r>
        <w:rPr>
          <w:rFonts w:hint="eastAsia"/>
          <w:lang w:eastAsia="zh"/>
        </w:rPr>
        <w:t>3.</w:t>
      </w:r>
      <w:r>
        <w:rPr>
          <w:rFonts w:hint="eastAsia"/>
        </w:rPr>
        <w:t xml:space="preserve">2 </w:t>
      </w:r>
      <w:r>
        <w:rPr>
          <w:rFonts w:hint="eastAsia"/>
          <w:lang w:eastAsia="zh"/>
        </w:rPr>
        <w:t xml:space="preserve"> </w:t>
      </w:r>
      <w:r>
        <w:rPr>
          <w:rFonts w:hint="eastAsia"/>
          <w:u w:val="single"/>
          <w:lang w:eastAsia="zh"/>
        </w:rPr>
        <w:t>Age</w:t>
      </w:r>
      <w:proofErr w:type="gramEnd"/>
      <w:r>
        <w:rPr>
          <w:rFonts w:hint="eastAsia"/>
          <w:u w:val="single"/>
          <w:lang w:eastAsia="zh"/>
        </w:rPr>
        <w:t xml:space="preserve"> and gender distribution</w:t>
      </w:r>
    </w:p>
    <w:p w14:paraId="5FFD1E91" w14:textId="00DDF760" w:rsidR="00405951" w:rsidRDefault="00764144">
      <w:pPr>
        <w:rPr>
          <w:u w:val="single"/>
          <w:lang w:eastAsia="zh"/>
        </w:rPr>
      </w:pPr>
      <w:r>
        <w:rPr>
          <w:u w:val="single"/>
          <w:lang w:eastAsia="zh"/>
        </w:rPr>
        <w:t xml:space="preserve">Table 1: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660"/>
        <w:gridCol w:w="1661"/>
        <w:gridCol w:w="1659"/>
        <w:gridCol w:w="1660"/>
      </w:tblGrid>
      <w:tr w:rsidR="00405951" w14:paraId="7B7821C5" w14:textId="77777777">
        <w:tc>
          <w:tcPr>
            <w:tcW w:w="1661" w:type="dxa"/>
            <w:tcBorders>
              <w:top w:val="single" w:sz="4" w:space="0" w:color="auto"/>
              <w:left w:val="single" w:sz="4" w:space="0" w:color="auto"/>
              <w:bottom w:val="single" w:sz="4" w:space="0" w:color="auto"/>
              <w:right w:val="single" w:sz="4" w:space="0" w:color="auto"/>
            </w:tcBorders>
          </w:tcPr>
          <w:p w14:paraId="0C8A93B2" w14:textId="77777777" w:rsidR="00405951" w:rsidRDefault="00000000">
            <w:r>
              <w:t>Age group</w:t>
            </w:r>
          </w:p>
        </w:tc>
        <w:tc>
          <w:tcPr>
            <w:tcW w:w="1661" w:type="dxa"/>
            <w:tcBorders>
              <w:top w:val="single" w:sz="4" w:space="0" w:color="auto"/>
              <w:left w:val="single" w:sz="4" w:space="0" w:color="auto"/>
              <w:bottom w:val="single" w:sz="4" w:space="0" w:color="auto"/>
              <w:right w:val="single" w:sz="4" w:space="0" w:color="auto"/>
            </w:tcBorders>
          </w:tcPr>
          <w:p w14:paraId="3B50C02C" w14:textId="77777777" w:rsidR="00405951" w:rsidRDefault="00000000">
            <w:r>
              <w:t>Males(n=253)</w:t>
            </w:r>
          </w:p>
        </w:tc>
        <w:tc>
          <w:tcPr>
            <w:tcW w:w="1661" w:type="dxa"/>
            <w:tcBorders>
              <w:top w:val="single" w:sz="4" w:space="0" w:color="auto"/>
              <w:left w:val="single" w:sz="4" w:space="0" w:color="auto"/>
              <w:bottom w:val="single" w:sz="4" w:space="0" w:color="auto"/>
              <w:right w:val="single" w:sz="4" w:space="0" w:color="auto"/>
            </w:tcBorders>
          </w:tcPr>
          <w:p w14:paraId="23E92DC8" w14:textId="77777777" w:rsidR="00405951" w:rsidRDefault="00000000">
            <w:proofErr w:type="spellStart"/>
            <w:r>
              <w:t>Famales</w:t>
            </w:r>
            <w:proofErr w:type="spellEnd"/>
            <w:r>
              <w:t>(n=165)</w:t>
            </w:r>
          </w:p>
        </w:tc>
        <w:tc>
          <w:tcPr>
            <w:tcW w:w="1661" w:type="dxa"/>
            <w:tcBorders>
              <w:top w:val="single" w:sz="4" w:space="0" w:color="auto"/>
              <w:left w:val="single" w:sz="4" w:space="0" w:color="auto"/>
              <w:bottom w:val="single" w:sz="4" w:space="0" w:color="auto"/>
              <w:right w:val="single" w:sz="4" w:space="0" w:color="auto"/>
            </w:tcBorders>
          </w:tcPr>
          <w:p w14:paraId="438E044F" w14:textId="77777777" w:rsidR="00405951" w:rsidRDefault="00000000">
            <w:r>
              <w:t>Total(n=418)</w:t>
            </w:r>
          </w:p>
        </w:tc>
        <w:tc>
          <w:tcPr>
            <w:tcW w:w="1661" w:type="dxa"/>
            <w:tcBorders>
              <w:top w:val="single" w:sz="4" w:space="0" w:color="auto"/>
              <w:left w:val="single" w:sz="4" w:space="0" w:color="auto"/>
              <w:bottom w:val="single" w:sz="4" w:space="0" w:color="auto"/>
              <w:right w:val="single" w:sz="4" w:space="0" w:color="auto"/>
            </w:tcBorders>
          </w:tcPr>
          <w:p w14:paraId="3A481C72" w14:textId="77777777" w:rsidR="00405951" w:rsidRDefault="00000000">
            <w:proofErr w:type="gramStart"/>
            <w:r>
              <w:t>Proportion(</w:t>
            </w:r>
            <w:proofErr w:type="gramEnd"/>
            <w:r>
              <w:t>%)</w:t>
            </w:r>
          </w:p>
        </w:tc>
      </w:tr>
      <w:tr w:rsidR="00405951" w14:paraId="2025A667" w14:textId="77777777">
        <w:tc>
          <w:tcPr>
            <w:tcW w:w="1661" w:type="dxa"/>
            <w:tcBorders>
              <w:top w:val="single" w:sz="4" w:space="0" w:color="auto"/>
              <w:left w:val="single" w:sz="4" w:space="0" w:color="auto"/>
              <w:bottom w:val="single" w:sz="4" w:space="0" w:color="auto"/>
              <w:right w:val="single" w:sz="4" w:space="0" w:color="auto"/>
            </w:tcBorders>
          </w:tcPr>
          <w:p w14:paraId="4AB47309" w14:textId="77777777" w:rsidR="00405951" w:rsidRDefault="00000000">
            <w:r>
              <w:t>Under 1 year old</w:t>
            </w:r>
          </w:p>
        </w:tc>
        <w:tc>
          <w:tcPr>
            <w:tcW w:w="1661" w:type="dxa"/>
            <w:tcBorders>
              <w:top w:val="single" w:sz="4" w:space="0" w:color="auto"/>
              <w:left w:val="single" w:sz="4" w:space="0" w:color="auto"/>
              <w:bottom w:val="single" w:sz="4" w:space="0" w:color="auto"/>
              <w:right w:val="single" w:sz="4" w:space="0" w:color="auto"/>
            </w:tcBorders>
          </w:tcPr>
          <w:p w14:paraId="07ADEC7A" w14:textId="77777777" w:rsidR="00405951" w:rsidRDefault="00000000">
            <w:r>
              <w:t>19</w:t>
            </w:r>
          </w:p>
        </w:tc>
        <w:tc>
          <w:tcPr>
            <w:tcW w:w="1661" w:type="dxa"/>
            <w:tcBorders>
              <w:top w:val="single" w:sz="4" w:space="0" w:color="auto"/>
              <w:left w:val="single" w:sz="4" w:space="0" w:color="auto"/>
              <w:bottom w:val="single" w:sz="4" w:space="0" w:color="auto"/>
              <w:right w:val="single" w:sz="4" w:space="0" w:color="auto"/>
            </w:tcBorders>
          </w:tcPr>
          <w:p w14:paraId="3655AD62" w14:textId="77777777" w:rsidR="00405951" w:rsidRDefault="00000000">
            <w:r>
              <w:t>11</w:t>
            </w:r>
          </w:p>
        </w:tc>
        <w:tc>
          <w:tcPr>
            <w:tcW w:w="1661" w:type="dxa"/>
            <w:tcBorders>
              <w:top w:val="single" w:sz="4" w:space="0" w:color="auto"/>
              <w:left w:val="single" w:sz="4" w:space="0" w:color="auto"/>
              <w:bottom w:val="single" w:sz="4" w:space="0" w:color="auto"/>
              <w:right w:val="single" w:sz="4" w:space="0" w:color="auto"/>
            </w:tcBorders>
          </w:tcPr>
          <w:p w14:paraId="0FE950C3" w14:textId="77777777" w:rsidR="00405951" w:rsidRDefault="00000000">
            <w:r>
              <w:t>30</w:t>
            </w:r>
          </w:p>
        </w:tc>
        <w:tc>
          <w:tcPr>
            <w:tcW w:w="1661" w:type="dxa"/>
            <w:tcBorders>
              <w:top w:val="single" w:sz="4" w:space="0" w:color="auto"/>
              <w:left w:val="single" w:sz="4" w:space="0" w:color="auto"/>
              <w:bottom w:val="single" w:sz="4" w:space="0" w:color="auto"/>
              <w:right w:val="single" w:sz="4" w:space="0" w:color="auto"/>
            </w:tcBorders>
          </w:tcPr>
          <w:p w14:paraId="04CBF93F" w14:textId="77777777" w:rsidR="00405951" w:rsidRDefault="00000000">
            <w:r>
              <w:t>72</w:t>
            </w:r>
          </w:p>
        </w:tc>
      </w:tr>
      <w:tr w:rsidR="00405951" w14:paraId="4D862D34" w14:textId="77777777">
        <w:tc>
          <w:tcPr>
            <w:tcW w:w="1661" w:type="dxa"/>
            <w:tcBorders>
              <w:top w:val="single" w:sz="4" w:space="0" w:color="auto"/>
              <w:left w:val="single" w:sz="4" w:space="0" w:color="auto"/>
              <w:bottom w:val="single" w:sz="4" w:space="0" w:color="auto"/>
              <w:right w:val="single" w:sz="4" w:space="0" w:color="auto"/>
            </w:tcBorders>
          </w:tcPr>
          <w:p w14:paraId="5F6D7FF4" w14:textId="77777777" w:rsidR="00405951" w:rsidRDefault="00000000">
            <w:r>
              <w:t>1-7 years old</w:t>
            </w:r>
          </w:p>
        </w:tc>
        <w:tc>
          <w:tcPr>
            <w:tcW w:w="1661" w:type="dxa"/>
            <w:tcBorders>
              <w:top w:val="single" w:sz="4" w:space="0" w:color="auto"/>
              <w:left w:val="single" w:sz="4" w:space="0" w:color="auto"/>
              <w:bottom w:val="single" w:sz="4" w:space="0" w:color="auto"/>
              <w:right w:val="single" w:sz="4" w:space="0" w:color="auto"/>
            </w:tcBorders>
          </w:tcPr>
          <w:p w14:paraId="06D298DF" w14:textId="77777777" w:rsidR="00405951" w:rsidRDefault="00000000">
            <w:r>
              <w:t>176</w:t>
            </w:r>
          </w:p>
        </w:tc>
        <w:tc>
          <w:tcPr>
            <w:tcW w:w="1661" w:type="dxa"/>
            <w:tcBorders>
              <w:top w:val="single" w:sz="4" w:space="0" w:color="auto"/>
              <w:left w:val="single" w:sz="4" w:space="0" w:color="auto"/>
              <w:bottom w:val="single" w:sz="4" w:space="0" w:color="auto"/>
              <w:right w:val="single" w:sz="4" w:space="0" w:color="auto"/>
            </w:tcBorders>
          </w:tcPr>
          <w:p w14:paraId="583F65B2" w14:textId="77777777" w:rsidR="00405951" w:rsidRDefault="00000000">
            <w:r>
              <w:t>103</w:t>
            </w:r>
          </w:p>
        </w:tc>
        <w:tc>
          <w:tcPr>
            <w:tcW w:w="1661" w:type="dxa"/>
            <w:tcBorders>
              <w:top w:val="single" w:sz="4" w:space="0" w:color="auto"/>
              <w:left w:val="single" w:sz="4" w:space="0" w:color="auto"/>
              <w:bottom w:val="single" w:sz="4" w:space="0" w:color="auto"/>
              <w:right w:val="single" w:sz="4" w:space="0" w:color="auto"/>
            </w:tcBorders>
          </w:tcPr>
          <w:p w14:paraId="132D50D5" w14:textId="77777777" w:rsidR="00405951" w:rsidRDefault="00000000">
            <w:r>
              <w:t>279</w:t>
            </w:r>
          </w:p>
        </w:tc>
        <w:tc>
          <w:tcPr>
            <w:tcW w:w="1661" w:type="dxa"/>
            <w:tcBorders>
              <w:top w:val="single" w:sz="4" w:space="0" w:color="auto"/>
              <w:left w:val="single" w:sz="4" w:space="0" w:color="auto"/>
              <w:bottom w:val="single" w:sz="4" w:space="0" w:color="auto"/>
              <w:right w:val="single" w:sz="4" w:space="0" w:color="auto"/>
            </w:tcBorders>
          </w:tcPr>
          <w:p w14:paraId="4C82B5D3" w14:textId="77777777" w:rsidR="00405951" w:rsidRDefault="00000000">
            <w:r>
              <w:t>64.2</w:t>
            </w:r>
          </w:p>
        </w:tc>
      </w:tr>
      <w:tr w:rsidR="00405951" w14:paraId="3D426497" w14:textId="77777777">
        <w:tc>
          <w:tcPr>
            <w:tcW w:w="1661" w:type="dxa"/>
            <w:tcBorders>
              <w:top w:val="single" w:sz="4" w:space="0" w:color="auto"/>
              <w:left w:val="single" w:sz="4" w:space="0" w:color="auto"/>
              <w:bottom w:val="single" w:sz="4" w:space="0" w:color="auto"/>
              <w:right w:val="single" w:sz="4" w:space="0" w:color="auto"/>
            </w:tcBorders>
          </w:tcPr>
          <w:p w14:paraId="2F80FDA8" w14:textId="77777777" w:rsidR="00405951" w:rsidRDefault="00000000">
            <w:r>
              <w:t>8-14 years old</w:t>
            </w:r>
          </w:p>
        </w:tc>
        <w:tc>
          <w:tcPr>
            <w:tcW w:w="1661" w:type="dxa"/>
            <w:tcBorders>
              <w:top w:val="single" w:sz="4" w:space="0" w:color="auto"/>
              <w:left w:val="single" w:sz="4" w:space="0" w:color="auto"/>
              <w:bottom w:val="single" w:sz="4" w:space="0" w:color="auto"/>
              <w:right w:val="single" w:sz="4" w:space="0" w:color="auto"/>
            </w:tcBorders>
          </w:tcPr>
          <w:p w14:paraId="028FE0BD" w14:textId="77777777" w:rsidR="00405951" w:rsidRDefault="00000000">
            <w:r>
              <w:t>57</w:t>
            </w:r>
          </w:p>
        </w:tc>
        <w:tc>
          <w:tcPr>
            <w:tcW w:w="1661" w:type="dxa"/>
            <w:tcBorders>
              <w:top w:val="single" w:sz="4" w:space="0" w:color="auto"/>
              <w:left w:val="single" w:sz="4" w:space="0" w:color="auto"/>
              <w:bottom w:val="single" w:sz="4" w:space="0" w:color="auto"/>
              <w:right w:val="single" w:sz="4" w:space="0" w:color="auto"/>
            </w:tcBorders>
          </w:tcPr>
          <w:p w14:paraId="64AD69CE" w14:textId="77777777" w:rsidR="00405951" w:rsidRDefault="00000000">
            <w:r>
              <w:t>48</w:t>
            </w:r>
          </w:p>
        </w:tc>
        <w:tc>
          <w:tcPr>
            <w:tcW w:w="1661" w:type="dxa"/>
            <w:tcBorders>
              <w:top w:val="single" w:sz="4" w:space="0" w:color="auto"/>
              <w:left w:val="single" w:sz="4" w:space="0" w:color="auto"/>
              <w:bottom w:val="single" w:sz="4" w:space="0" w:color="auto"/>
              <w:right w:val="single" w:sz="4" w:space="0" w:color="auto"/>
            </w:tcBorders>
          </w:tcPr>
          <w:p w14:paraId="6BC0F80D" w14:textId="77777777" w:rsidR="00405951" w:rsidRDefault="00000000">
            <w:r>
              <w:t>105</w:t>
            </w:r>
          </w:p>
        </w:tc>
        <w:tc>
          <w:tcPr>
            <w:tcW w:w="1661" w:type="dxa"/>
            <w:tcBorders>
              <w:top w:val="single" w:sz="4" w:space="0" w:color="auto"/>
              <w:left w:val="single" w:sz="4" w:space="0" w:color="auto"/>
              <w:bottom w:val="single" w:sz="4" w:space="0" w:color="auto"/>
              <w:right w:val="single" w:sz="4" w:space="0" w:color="auto"/>
            </w:tcBorders>
          </w:tcPr>
          <w:p w14:paraId="64F8F0FF" w14:textId="77777777" w:rsidR="00405951" w:rsidRDefault="00000000">
            <w:r>
              <w:t>25.1</w:t>
            </w:r>
          </w:p>
        </w:tc>
      </w:tr>
      <w:tr w:rsidR="00405951" w14:paraId="4CAF1264" w14:textId="77777777">
        <w:tc>
          <w:tcPr>
            <w:tcW w:w="1661" w:type="dxa"/>
            <w:tcBorders>
              <w:top w:val="single" w:sz="4" w:space="0" w:color="auto"/>
              <w:left w:val="single" w:sz="4" w:space="0" w:color="auto"/>
              <w:bottom w:val="single" w:sz="4" w:space="0" w:color="auto"/>
              <w:right w:val="single" w:sz="4" w:space="0" w:color="auto"/>
            </w:tcBorders>
          </w:tcPr>
          <w:p w14:paraId="3719DBA8" w14:textId="77777777" w:rsidR="00405951" w:rsidRDefault="00000000">
            <w:r>
              <w:t>Over 14 years old</w:t>
            </w:r>
          </w:p>
        </w:tc>
        <w:tc>
          <w:tcPr>
            <w:tcW w:w="1661" w:type="dxa"/>
            <w:tcBorders>
              <w:top w:val="single" w:sz="4" w:space="0" w:color="auto"/>
              <w:left w:val="single" w:sz="4" w:space="0" w:color="auto"/>
              <w:bottom w:val="single" w:sz="4" w:space="0" w:color="auto"/>
              <w:right w:val="single" w:sz="4" w:space="0" w:color="auto"/>
            </w:tcBorders>
          </w:tcPr>
          <w:p w14:paraId="760C9DF6" w14:textId="77777777" w:rsidR="00405951" w:rsidRDefault="00000000">
            <w:r>
              <w:t>1</w:t>
            </w:r>
          </w:p>
        </w:tc>
        <w:tc>
          <w:tcPr>
            <w:tcW w:w="1661" w:type="dxa"/>
            <w:tcBorders>
              <w:top w:val="single" w:sz="4" w:space="0" w:color="auto"/>
              <w:left w:val="single" w:sz="4" w:space="0" w:color="auto"/>
              <w:bottom w:val="single" w:sz="4" w:space="0" w:color="auto"/>
              <w:right w:val="single" w:sz="4" w:space="0" w:color="auto"/>
            </w:tcBorders>
          </w:tcPr>
          <w:p w14:paraId="5D14CFB7" w14:textId="77777777" w:rsidR="00405951" w:rsidRDefault="00000000">
            <w:r>
              <w:t>3</w:t>
            </w:r>
          </w:p>
        </w:tc>
        <w:tc>
          <w:tcPr>
            <w:tcW w:w="1661" w:type="dxa"/>
            <w:tcBorders>
              <w:top w:val="single" w:sz="4" w:space="0" w:color="auto"/>
              <w:left w:val="single" w:sz="4" w:space="0" w:color="auto"/>
              <w:bottom w:val="single" w:sz="4" w:space="0" w:color="auto"/>
              <w:right w:val="single" w:sz="4" w:space="0" w:color="auto"/>
            </w:tcBorders>
          </w:tcPr>
          <w:p w14:paraId="0271884F" w14:textId="77777777" w:rsidR="00405951" w:rsidRDefault="00000000">
            <w:r>
              <w:t>4</w:t>
            </w:r>
          </w:p>
        </w:tc>
        <w:tc>
          <w:tcPr>
            <w:tcW w:w="1661" w:type="dxa"/>
            <w:tcBorders>
              <w:top w:val="single" w:sz="4" w:space="0" w:color="auto"/>
              <w:left w:val="single" w:sz="4" w:space="0" w:color="auto"/>
              <w:bottom w:val="single" w:sz="4" w:space="0" w:color="auto"/>
              <w:right w:val="single" w:sz="4" w:space="0" w:color="auto"/>
            </w:tcBorders>
          </w:tcPr>
          <w:p w14:paraId="5886F698" w14:textId="77777777" w:rsidR="00405951" w:rsidRDefault="00000000">
            <w:r>
              <w:t>1.0</w:t>
            </w:r>
          </w:p>
        </w:tc>
      </w:tr>
    </w:tbl>
    <w:p w14:paraId="736169C1" w14:textId="77777777" w:rsidR="00405951" w:rsidRDefault="00000000">
      <w:pPr>
        <w:rPr>
          <w:lang w:eastAsia="zh"/>
        </w:rPr>
      </w:pPr>
      <w:r>
        <w:rPr>
          <w:rFonts w:hint="eastAsia"/>
          <w:lang w:eastAsia="zh"/>
        </w:rPr>
        <w:t>-High - incidence age groups: The age group of 1 - 7 years old accounts for 67.2%, followed by the age group of 8 - 14 years old, which accounts for 25.1%.</w:t>
      </w:r>
    </w:p>
    <w:p w14:paraId="7B2312BC" w14:textId="77777777" w:rsidR="00405951" w:rsidRDefault="00000000">
      <w:pPr>
        <w:rPr>
          <w:lang w:eastAsia="zh"/>
        </w:rPr>
      </w:pPr>
      <w:r>
        <w:rPr>
          <w:rFonts w:hint="eastAsia"/>
          <w:lang w:eastAsia="zh"/>
        </w:rPr>
        <w:t>-Gender difference: The proportion of male patients is 60.5%, significantly higher than that of female patients (39.5%).</w:t>
      </w:r>
    </w:p>
    <w:p w14:paraId="0B92BFCB" w14:textId="77777777" w:rsidR="00405951" w:rsidRDefault="00000000">
      <w:pPr>
        <w:rPr>
          <w:u w:val="single"/>
        </w:rPr>
      </w:pPr>
      <w:proofErr w:type="gramStart"/>
      <w:r>
        <w:rPr>
          <w:rFonts w:hint="eastAsia"/>
          <w:lang w:eastAsia="zh"/>
        </w:rPr>
        <w:t>3.</w:t>
      </w:r>
      <w:r>
        <w:rPr>
          <w:rFonts w:hint="eastAsia"/>
        </w:rPr>
        <w:t xml:space="preserve">3 </w:t>
      </w:r>
      <w:r>
        <w:rPr>
          <w:rFonts w:hint="eastAsia"/>
          <w:lang w:eastAsia="zh"/>
        </w:rPr>
        <w:t xml:space="preserve"> </w:t>
      </w:r>
      <w:r>
        <w:rPr>
          <w:rFonts w:hint="eastAsia"/>
          <w:u w:val="single"/>
          <w:lang w:eastAsia="zh"/>
        </w:rPr>
        <w:t>Main</w:t>
      </w:r>
      <w:proofErr w:type="gramEnd"/>
      <w:r>
        <w:rPr>
          <w:rFonts w:hint="eastAsia"/>
          <w:u w:val="single"/>
          <w:lang w:eastAsia="zh"/>
        </w:rPr>
        <w:t xml:space="preserve"> clinical symptoms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5"/>
        <w:gridCol w:w="2765"/>
        <w:gridCol w:w="2766"/>
      </w:tblGrid>
      <w:tr w:rsidR="00405951" w14:paraId="63BD6F27" w14:textId="77777777">
        <w:tc>
          <w:tcPr>
            <w:tcW w:w="2768" w:type="dxa"/>
            <w:tcBorders>
              <w:top w:val="single" w:sz="4" w:space="0" w:color="auto"/>
              <w:left w:val="single" w:sz="4" w:space="0" w:color="auto"/>
              <w:bottom w:val="single" w:sz="4" w:space="0" w:color="auto"/>
              <w:right w:val="single" w:sz="4" w:space="0" w:color="auto"/>
            </w:tcBorders>
          </w:tcPr>
          <w:p w14:paraId="17D48E37" w14:textId="77777777" w:rsidR="00405951" w:rsidRDefault="00000000">
            <w:r>
              <w:rPr>
                <w:rFonts w:hint="eastAsia"/>
              </w:rPr>
              <w:t>Chief complaint</w:t>
            </w:r>
            <w:r>
              <w:t>s</w:t>
            </w:r>
          </w:p>
        </w:tc>
        <w:tc>
          <w:tcPr>
            <w:tcW w:w="2768" w:type="dxa"/>
            <w:tcBorders>
              <w:top w:val="single" w:sz="4" w:space="0" w:color="auto"/>
              <w:left w:val="single" w:sz="4" w:space="0" w:color="auto"/>
              <w:bottom w:val="single" w:sz="4" w:space="0" w:color="auto"/>
              <w:right w:val="single" w:sz="4" w:space="0" w:color="auto"/>
            </w:tcBorders>
          </w:tcPr>
          <w:p w14:paraId="506081B0" w14:textId="77777777" w:rsidR="00405951" w:rsidRDefault="00000000">
            <w:r>
              <w:t>Number of cases(n=418)</w:t>
            </w:r>
          </w:p>
        </w:tc>
        <w:tc>
          <w:tcPr>
            <w:tcW w:w="2768" w:type="dxa"/>
            <w:tcBorders>
              <w:top w:val="single" w:sz="4" w:space="0" w:color="auto"/>
              <w:left w:val="single" w:sz="4" w:space="0" w:color="auto"/>
              <w:bottom w:val="single" w:sz="4" w:space="0" w:color="auto"/>
              <w:right w:val="single" w:sz="4" w:space="0" w:color="auto"/>
            </w:tcBorders>
          </w:tcPr>
          <w:p w14:paraId="215C0F23" w14:textId="77777777" w:rsidR="00405951" w:rsidRDefault="00000000">
            <w:proofErr w:type="gramStart"/>
            <w:r>
              <w:t>Proportion(</w:t>
            </w:r>
            <w:proofErr w:type="gramEnd"/>
            <w:r>
              <w:t>%)</w:t>
            </w:r>
          </w:p>
        </w:tc>
      </w:tr>
      <w:tr w:rsidR="00405951" w14:paraId="09E04686" w14:textId="77777777">
        <w:tc>
          <w:tcPr>
            <w:tcW w:w="2768" w:type="dxa"/>
            <w:tcBorders>
              <w:top w:val="single" w:sz="4" w:space="0" w:color="auto"/>
              <w:left w:val="single" w:sz="4" w:space="0" w:color="auto"/>
              <w:bottom w:val="single" w:sz="4" w:space="0" w:color="auto"/>
              <w:right w:val="single" w:sz="4" w:space="0" w:color="auto"/>
            </w:tcBorders>
          </w:tcPr>
          <w:p w14:paraId="755E2945" w14:textId="77777777" w:rsidR="00405951" w:rsidRDefault="00000000">
            <w:r>
              <w:t>Fever</w:t>
            </w:r>
          </w:p>
        </w:tc>
        <w:tc>
          <w:tcPr>
            <w:tcW w:w="2768" w:type="dxa"/>
            <w:tcBorders>
              <w:top w:val="single" w:sz="4" w:space="0" w:color="auto"/>
              <w:left w:val="single" w:sz="4" w:space="0" w:color="auto"/>
              <w:bottom w:val="single" w:sz="4" w:space="0" w:color="auto"/>
              <w:right w:val="single" w:sz="4" w:space="0" w:color="auto"/>
            </w:tcBorders>
          </w:tcPr>
          <w:p w14:paraId="386230CE" w14:textId="77777777" w:rsidR="00405951" w:rsidRDefault="00000000">
            <w:r>
              <w:t>349</w:t>
            </w:r>
          </w:p>
        </w:tc>
        <w:tc>
          <w:tcPr>
            <w:tcW w:w="2768" w:type="dxa"/>
            <w:tcBorders>
              <w:top w:val="single" w:sz="4" w:space="0" w:color="auto"/>
              <w:left w:val="single" w:sz="4" w:space="0" w:color="auto"/>
              <w:bottom w:val="single" w:sz="4" w:space="0" w:color="auto"/>
              <w:right w:val="single" w:sz="4" w:space="0" w:color="auto"/>
            </w:tcBorders>
          </w:tcPr>
          <w:p w14:paraId="29F728AD" w14:textId="77777777" w:rsidR="00405951" w:rsidRDefault="00000000">
            <w:r>
              <w:t>83.5</w:t>
            </w:r>
          </w:p>
        </w:tc>
      </w:tr>
      <w:tr w:rsidR="00405951" w14:paraId="4BA1A92A" w14:textId="77777777">
        <w:tc>
          <w:tcPr>
            <w:tcW w:w="2768" w:type="dxa"/>
            <w:tcBorders>
              <w:top w:val="single" w:sz="4" w:space="0" w:color="auto"/>
              <w:left w:val="single" w:sz="4" w:space="0" w:color="auto"/>
              <w:bottom w:val="single" w:sz="4" w:space="0" w:color="auto"/>
              <w:right w:val="single" w:sz="4" w:space="0" w:color="auto"/>
            </w:tcBorders>
          </w:tcPr>
          <w:p w14:paraId="7BFE35B4" w14:textId="77777777" w:rsidR="00405951" w:rsidRDefault="00000000">
            <w:r>
              <w:t>Cough</w:t>
            </w:r>
          </w:p>
        </w:tc>
        <w:tc>
          <w:tcPr>
            <w:tcW w:w="2768" w:type="dxa"/>
            <w:tcBorders>
              <w:top w:val="single" w:sz="4" w:space="0" w:color="auto"/>
              <w:left w:val="single" w:sz="4" w:space="0" w:color="auto"/>
              <w:bottom w:val="single" w:sz="4" w:space="0" w:color="auto"/>
              <w:right w:val="single" w:sz="4" w:space="0" w:color="auto"/>
            </w:tcBorders>
          </w:tcPr>
          <w:p w14:paraId="625F2EFA" w14:textId="77777777" w:rsidR="00405951" w:rsidRDefault="00000000">
            <w:r>
              <w:t>289</w:t>
            </w:r>
          </w:p>
        </w:tc>
        <w:tc>
          <w:tcPr>
            <w:tcW w:w="2768" w:type="dxa"/>
            <w:tcBorders>
              <w:top w:val="single" w:sz="4" w:space="0" w:color="auto"/>
              <w:left w:val="single" w:sz="4" w:space="0" w:color="auto"/>
              <w:bottom w:val="single" w:sz="4" w:space="0" w:color="auto"/>
              <w:right w:val="single" w:sz="4" w:space="0" w:color="auto"/>
            </w:tcBorders>
          </w:tcPr>
          <w:p w14:paraId="789A1EEF" w14:textId="77777777" w:rsidR="00405951" w:rsidRDefault="00000000">
            <w:r>
              <w:t>69.1</w:t>
            </w:r>
          </w:p>
        </w:tc>
      </w:tr>
    </w:tbl>
    <w:p w14:paraId="41A01BEF" w14:textId="4FE78B75" w:rsidR="00764144" w:rsidRDefault="00764144">
      <w:pPr>
        <w:rPr>
          <w:lang w:eastAsia="zh"/>
        </w:rPr>
      </w:pPr>
      <w:r>
        <w:rPr>
          <w:lang w:eastAsia="zh"/>
        </w:rPr>
        <w:t xml:space="preserve">Table 2: </w:t>
      </w:r>
    </w:p>
    <w:p w14:paraId="13E3914B" w14:textId="0EC89F9E" w:rsidR="00405951" w:rsidRDefault="00000000">
      <w:pPr>
        <w:rPr>
          <w:lang w:eastAsia="zh"/>
        </w:rPr>
      </w:pPr>
      <w:r>
        <w:rPr>
          <w:rFonts w:hint="eastAsia"/>
          <w:lang w:eastAsia="zh"/>
        </w:rPr>
        <w:t>Fever (83.5%) is the most common chief complaint, followed by cough (69.1%).</w:t>
      </w:r>
    </w:p>
    <w:p w14:paraId="1C49A657" w14:textId="77777777" w:rsidR="00405951" w:rsidRDefault="00000000">
      <w:pPr>
        <w:rPr>
          <w:u w:val="single"/>
          <w:lang w:eastAsia="zh"/>
        </w:rPr>
      </w:pPr>
      <w:r>
        <w:rPr>
          <w:rFonts w:hint="eastAsia"/>
          <w:lang w:eastAsia="zh"/>
        </w:rPr>
        <w:t>3.3</w:t>
      </w:r>
      <w:r>
        <w:rPr>
          <w:rFonts w:hint="eastAsia"/>
          <w:u w:val="single"/>
          <w:lang w:eastAsia="zh"/>
        </w:rPr>
        <w:t>Laboratory examination (Chest X - ray)</w:t>
      </w:r>
    </w:p>
    <w:p w14:paraId="507F2501" w14:textId="77777777" w:rsidR="00405951" w:rsidRDefault="00000000">
      <w:pPr>
        <w:rPr>
          <w:lang w:eastAsia="zh"/>
        </w:rPr>
      </w:pPr>
      <w:r>
        <w:rPr>
          <w:rFonts w:hint="eastAsia"/>
          <w:lang w:eastAsia="zh"/>
        </w:rPr>
        <w:t>Typical manifestations: Bilateral patchy infiltrates are observed in 67.2% of the cases.</w:t>
      </w:r>
    </w:p>
    <w:p w14:paraId="38BB898E" w14:textId="77777777" w:rsidR="00405951" w:rsidRDefault="00000000">
      <w:pPr>
        <w:rPr>
          <w:u w:val="single"/>
          <w:lang w:eastAsia="zh"/>
        </w:rPr>
      </w:pPr>
      <w:r>
        <w:rPr>
          <w:rFonts w:hint="eastAsia"/>
          <w:lang w:eastAsia="zh"/>
        </w:rPr>
        <w:t xml:space="preserve"> 3.4 </w:t>
      </w:r>
      <w:r>
        <w:rPr>
          <w:rFonts w:hint="eastAsia"/>
          <w:u w:val="single"/>
          <w:lang w:eastAsia="zh"/>
        </w:rPr>
        <w:t>Treatment methods</w:t>
      </w:r>
    </w:p>
    <w:p w14:paraId="0D98DF89" w14:textId="77777777" w:rsidR="00405951" w:rsidRDefault="00000000">
      <w:pPr>
        <w:rPr>
          <w:lang w:eastAsia="zh"/>
        </w:rPr>
      </w:pPr>
      <w:r>
        <w:rPr>
          <w:rFonts w:hint="eastAsia"/>
          <w:lang w:eastAsia="zh"/>
        </w:rPr>
        <w:t xml:space="preserve"> 3.4.1.1 Etiology and treatment strategies</w:t>
      </w:r>
    </w:p>
    <w:p w14:paraId="3CC4412B" w14:textId="77777777" w:rsidR="00405951" w:rsidRDefault="00000000">
      <w:pPr>
        <w:rPr>
          <w:lang w:eastAsia="zh"/>
        </w:rPr>
      </w:pPr>
      <w:proofErr w:type="spellStart"/>
      <w:r>
        <w:rPr>
          <w:rFonts w:hint="eastAsia"/>
          <w:lang w:eastAsia="zh"/>
        </w:rPr>
        <w:t>Penicillins</w:t>
      </w:r>
      <w:proofErr w:type="spellEnd"/>
      <w:r>
        <w:rPr>
          <w:rFonts w:hint="eastAsia"/>
          <w:lang w:eastAsia="zh"/>
        </w:rPr>
        <w:t xml:space="preserve"> (such as amoxicillin) or cephalosporins (such as cefixime and cefotaxime) are the first - choice drugs. For severe cases, intravenous administration is required.</w:t>
      </w:r>
    </w:p>
    <w:p w14:paraId="5004E384" w14:textId="77777777" w:rsidR="00405951" w:rsidRDefault="00000000">
      <w:pPr>
        <w:rPr>
          <w:lang w:eastAsia="zh"/>
        </w:rPr>
      </w:pPr>
      <w:r>
        <w:rPr>
          <w:rFonts w:hint="eastAsia"/>
          <w:lang w:eastAsia="zh"/>
        </w:rPr>
        <w:t>If the patient is allergic to penicillin, macrolides (such as azithromycin) can be selected.</w:t>
      </w:r>
    </w:p>
    <w:p w14:paraId="66991113" w14:textId="77777777" w:rsidR="00405951" w:rsidRDefault="00000000">
      <w:pPr>
        <w:rPr>
          <w:lang w:eastAsia="zh"/>
        </w:rPr>
      </w:pPr>
      <w:r>
        <w:rPr>
          <w:rFonts w:hint="eastAsia"/>
          <w:lang w:eastAsia="zh"/>
        </w:rPr>
        <w:t xml:space="preserve">3.4.1.2 Viral </w:t>
      </w:r>
      <w:proofErr w:type="spellStart"/>
      <w:proofErr w:type="gramStart"/>
      <w:r>
        <w:rPr>
          <w:rFonts w:hint="eastAsia"/>
          <w:lang w:eastAsia="zh"/>
        </w:rPr>
        <w:t>infections:Ribavirin</w:t>
      </w:r>
      <w:proofErr w:type="spellEnd"/>
      <w:proofErr w:type="gramEnd"/>
      <w:r>
        <w:rPr>
          <w:rFonts w:hint="eastAsia"/>
          <w:lang w:eastAsia="zh"/>
        </w:rPr>
        <w:t xml:space="preserve"> for intravenous drip or oral doxycycline can be selected, but </w:t>
      </w:r>
      <w:r>
        <w:rPr>
          <w:rFonts w:hint="eastAsia"/>
          <w:lang w:eastAsia="zh"/>
        </w:rPr>
        <w:lastRenderedPageBreak/>
        <w:t>etiological evidence is required.</w:t>
      </w:r>
    </w:p>
    <w:p w14:paraId="1930E2BE" w14:textId="77777777" w:rsidR="00405951" w:rsidRDefault="00000000">
      <w:pPr>
        <w:rPr>
          <w:lang w:eastAsia="zh"/>
        </w:rPr>
      </w:pPr>
      <w:r>
        <w:rPr>
          <w:rFonts w:hint="eastAsia"/>
          <w:lang w:eastAsia="zh"/>
        </w:rPr>
        <w:t>3.4.1.3 Symptomatic and supportive treatment: Cough and expectoration relief</w:t>
      </w:r>
    </w:p>
    <w:p w14:paraId="03774887" w14:textId="77777777" w:rsidR="00405951" w:rsidRDefault="00000000">
      <w:pPr>
        <w:rPr>
          <w:lang w:eastAsia="zh"/>
        </w:rPr>
      </w:pPr>
      <w:r>
        <w:rPr>
          <w:rFonts w:hint="eastAsia"/>
          <w:lang w:eastAsia="zh"/>
        </w:rPr>
        <w:t xml:space="preserve">-Thick sputum: Oral administration of dextromethorphan, bromhexine and chlorpheniramine maleate syrup is recommended. Strong antitussives (such as </w:t>
      </w:r>
      <w:proofErr w:type="spellStart"/>
      <w:r>
        <w:rPr>
          <w:rFonts w:hint="eastAsia"/>
          <w:lang w:eastAsia="zh"/>
        </w:rPr>
        <w:t>dioxopromethazine</w:t>
      </w:r>
      <w:proofErr w:type="spellEnd"/>
      <w:r>
        <w:rPr>
          <w:rFonts w:hint="eastAsia"/>
          <w:lang w:eastAsia="zh"/>
        </w:rPr>
        <w:t>) should be avoided.</w:t>
      </w:r>
    </w:p>
    <w:p w14:paraId="12260AAF" w14:textId="77777777" w:rsidR="00405951" w:rsidRDefault="00000000">
      <w:pPr>
        <w:rPr>
          <w:lang w:eastAsia="zh"/>
        </w:rPr>
      </w:pPr>
      <w:r>
        <w:rPr>
          <w:rFonts w:hint="eastAsia"/>
          <w:lang w:eastAsia="zh"/>
        </w:rPr>
        <w:t xml:space="preserve">-Bronchodilators: When wheezing is obvious, salbutamol for atomization or </w:t>
      </w:r>
      <w:proofErr w:type="spellStart"/>
      <w:r>
        <w:rPr>
          <w:rFonts w:hint="eastAsia"/>
          <w:lang w:eastAsia="zh"/>
        </w:rPr>
        <w:t>doxofylline</w:t>
      </w:r>
      <w:proofErr w:type="spellEnd"/>
      <w:r>
        <w:rPr>
          <w:rFonts w:hint="eastAsia"/>
          <w:lang w:eastAsia="zh"/>
        </w:rPr>
        <w:t xml:space="preserve"> for intravenous drip can be used.</w:t>
      </w:r>
    </w:p>
    <w:p w14:paraId="5874926C" w14:textId="77777777" w:rsidR="00405951" w:rsidRDefault="00000000">
      <w:pPr>
        <w:rPr>
          <w:lang w:eastAsia="zh"/>
        </w:rPr>
      </w:pPr>
      <w:r>
        <w:rPr>
          <w:rFonts w:hint="eastAsia"/>
          <w:lang w:eastAsia="zh"/>
        </w:rPr>
        <w:t>- Glucocorticoids: They are used for a short - term in severe cases or patients with wheezing (for example, methylprednisolone sodium succinate at a dose of 1 - 2 mg/kg/d for a course of 3 - 5 days).</w:t>
      </w:r>
    </w:p>
    <w:p w14:paraId="0B221194" w14:textId="77777777" w:rsidR="00405951" w:rsidRDefault="00000000">
      <w:pPr>
        <w:rPr>
          <w:lang w:eastAsia="zh"/>
        </w:rPr>
      </w:pPr>
      <w:r>
        <w:rPr>
          <w:rFonts w:hint="eastAsia"/>
          <w:lang w:eastAsia="zh"/>
        </w:rPr>
        <w:t xml:space="preserve">3.4.2 Environmental </w:t>
      </w:r>
      <w:proofErr w:type="spellStart"/>
      <w:r>
        <w:rPr>
          <w:rFonts w:hint="eastAsia"/>
          <w:lang w:eastAsia="zh"/>
        </w:rPr>
        <w:t>managementMaintain</w:t>
      </w:r>
      <w:proofErr w:type="spellEnd"/>
      <w:r>
        <w:rPr>
          <w:rFonts w:hint="eastAsia"/>
          <w:lang w:eastAsia="zh"/>
        </w:rPr>
        <w:t xml:space="preserve"> the room temperature at 20 - 24</w:t>
      </w:r>
      <w:r>
        <w:rPr>
          <w:rFonts w:hint="eastAsia"/>
          <w:lang w:eastAsia="zh"/>
        </w:rPr>
        <w:t>°</w:t>
      </w:r>
      <w:r>
        <w:rPr>
          <w:rFonts w:hint="eastAsia"/>
          <w:lang w:eastAsia="zh"/>
        </w:rPr>
        <w:t>C and the humidity at 50% - 60%. Avoid cold air or smoke stimulation. In winter, strengthen warmth - keeping. Use an abdominal belt or a sleeping bag during sleep to prevent catching a cold due to kicking off the quilt.</w:t>
      </w:r>
    </w:p>
    <w:p w14:paraId="35091429" w14:textId="77777777" w:rsidR="00405951" w:rsidRDefault="00000000">
      <w:pPr>
        <w:rPr>
          <w:lang w:eastAsia="zh"/>
        </w:rPr>
      </w:pPr>
      <w:r>
        <w:rPr>
          <w:rFonts w:hint="eastAsia"/>
          <w:lang w:eastAsia="zh"/>
        </w:rPr>
        <w:t xml:space="preserve">3.4.3 Respiratory tract </w:t>
      </w:r>
      <w:proofErr w:type="spellStart"/>
      <w:r>
        <w:rPr>
          <w:rFonts w:hint="eastAsia"/>
          <w:lang w:eastAsia="zh"/>
        </w:rPr>
        <w:t>careAtomization</w:t>
      </w:r>
      <w:proofErr w:type="spellEnd"/>
      <w:r>
        <w:rPr>
          <w:rFonts w:hint="eastAsia"/>
          <w:lang w:eastAsia="zh"/>
        </w:rPr>
        <w:t xml:space="preserve"> inhalation is carried out 2 - 3 times a day, each time for 15 - 20 minutes, to dilute sputum and promote its discharge. After atomization, percussion on the back is performed to assist in expectoration. By regularly patting the back, the airway is vibrated, which loosens the sputum adhering to the tracheal and bronchial walls and facilitates expectoration.</w:t>
      </w:r>
    </w:p>
    <w:p w14:paraId="385747FB" w14:textId="77777777" w:rsidR="00405951" w:rsidRDefault="00000000">
      <w:pPr>
        <w:rPr>
          <w:lang w:eastAsia="zh"/>
        </w:rPr>
      </w:pPr>
      <w:r>
        <w:rPr>
          <w:rFonts w:hint="eastAsia"/>
          <w:lang w:eastAsia="zh"/>
        </w:rPr>
        <w:t xml:space="preserve">3.4.4 Fever and nutritional </w:t>
      </w:r>
      <w:proofErr w:type="spellStart"/>
      <w:r>
        <w:rPr>
          <w:rFonts w:hint="eastAsia"/>
          <w:lang w:eastAsia="zh"/>
        </w:rPr>
        <w:t>supportEncourage</w:t>
      </w:r>
      <w:proofErr w:type="spellEnd"/>
      <w:r>
        <w:rPr>
          <w:rFonts w:hint="eastAsia"/>
          <w:lang w:eastAsia="zh"/>
        </w:rPr>
        <w:t xml:space="preserve"> the patient to drink plenty of warm water or oral rehydration salts. When the body temperature is &gt; 38.5</w:t>
      </w:r>
      <w:r>
        <w:rPr>
          <w:rFonts w:hint="eastAsia"/>
          <w:lang w:eastAsia="zh"/>
        </w:rPr>
        <w:t>°</w:t>
      </w:r>
      <w:r>
        <w:rPr>
          <w:rFonts w:hint="eastAsia"/>
          <w:lang w:eastAsia="zh"/>
        </w:rPr>
        <w:t xml:space="preserve">C, physical cooling is </w:t>
      </w:r>
      <w:proofErr w:type="spellStart"/>
      <w:proofErr w:type="gramStart"/>
      <w:r>
        <w:rPr>
          <w:rFonts w:hint="eastAsia"/>
          <w:lang w:eastAsia="zh"/>
        </w:rPr>
        <w:t>applied.The</w:t>
      </w:r>
      <w:proofErr w:type="spellEnd"/>
      <w:proofErr w:type="gramEnd"/>
      <w:r>
        <w:rPr>
          <w:rFonts w:hint="eastAsia"/>
          <w:lang w:eastAsia="zh"/>
        </w:rPr>
        <w:t xml:space="preserve"> diet should be mainly easy - to - digest liquid food, and spicy and stimulating foods should be avoided.</w:t>
      </w:r>
    </w:p>
    <w:p w14:paraId="07712EEB" w14:textId="77777777" w:rsidR="00405951" w:rsidRDefault="00000000">
      <w:pPr>
        <w:rPr>
          <w:lang w:eastAsia="zh"/>
        </w:rPr>
      </w:pPr>
      <w:r>
        <w:rPr>
          <w:rFonts w:hint="eastAsia"/>
          <w:lang w:eastAsia="zh"/>
        </w:rPr>
        <w:t xml:space="preserve">3.4.5 Prevention of </w:t>
      </w:r>
      <w:proofErr w:type="spellStart"/>
      <w:r>
        <w:rPr>
          <w:rFonts w:hint="eastAsia"/>
          <w:lang w:eastAsia="zh"/>
        </w:rPr>
        <w:t>complicationsMonitor</w:t>
      </w:r>
      <w:proofErr w:type="spellEnd"/>
      <w:r>
        <w:rPr>
          <w:rFonts w:hint="eastAsia"/>
          <w:lang w:eastAsia="zh"/>
        </w:rPr>
        <w:t xml:space="preserve"> the respiratory rate and blood oxygen saturation, and be vigilant against respiratory failure. Perform oral cleaning 2 - 3 times a day to prevent secondary infections.</w:t>
      </w:r>
    </w:p>
    <w:p w14:paraId="1C21B2D5" w14:textId="77777777" w:rsidR="00405951" w:rsidRDefault="00000000">
      <w:pPr>
        <w:rPr>
          <w:lang w:eastAsia="zh"/>
        </w:rPr>
      </w:pPr>
      <w:r>
        <w:rPr>
          <w:rFonts w:hint="eastAsia"/>
          <w:b/>
          <w:bCs/>
          <w:lang w:eastAsia="zh"/>
        </w:rPr>
        <w:t>4. Discussion</w:t>
      </w:r>
    </w:p>
    <w:p w14:paraId="53D65777" w14:textId="77777777" w:rsidR="00405951" w:rsidRDefault="00000000">
      <w:pPr>
        <w:rPr>
          <w:u w:val="single"/>
          <w:lang w:eastAsia="zh"/>
        </w:rPr>
      </w:pPr>
      <w:r>
        <w:rPr>
          <w:rFonts w:hint="eastAsia"/>
          <w:lang w:eastAsia="zh"/>
        </w:rPr>
        <w:t xml:space="preserve">4.1 </w:t>
      </w:r>
      <w:r>
        <w:rPr>
          <w:rFonts w:hint="eastAsia"/>
          <w:u w:val="single"/>
          <w:lang w:eastAsia="zh"/>
        </w:rPr>
        <w:t>Characteristics of age and gender distribution</w:t>
      </w:r>
    </w:p>
    <w:p w14:paraId="60E65203" w14:textId="77777777" w:rsidR="00405951" w:rsidRDefault="00000000">
      <w:pPr>
        <w:rPr>
          <w:lang w:eastAsia="zh"/>
        </w:rPr>
      </w:pPr>
      <w:r>
        <w:rPr>
          <w:rFonts w:hint="eastAsia"/>
          <w:lang w:eastAsia="zh"/>
        </w:rPr>
        <w:t>The results of this study show that bronchopneumonia occurs most frequently in children aged 1 - 7 years old (67.2%), followed by those aged 8 - 14 years old (25.1%), which is consistent with the results of many domestic and international studies. This age - related distribution characteristic may be associated with the following factors:</w:t>
      </w:r>
    </w:p>
    <w:p w14:paraId="7EE51880" w14:textId="77777777" w:rsidR="00405951" w:rsidRDefault="00000000">
      <w:pPr>
        <w:rPr>
          <w:lang w:eastAsia="zh"/>
        </w:rPr>
      </w:pPr>
      <w:r>
        <w:rPr>
          <w:rFonts w:hint="eastAsia"/>
          <w:lang w:eastAsia="zh"/>
        </w:rPr>
        <w:t>-Characteristics of immune system development: The immune system of children aged 1 - 7 years old is not fully mature, especially the immune function of the respiratory mucosa is weak, making them more susceptible to pathogen invasion.</w:t>
      </w:r>
    </w:p>
    <w:p w14:paraId="35E9D76B" w14:textId="77777777" w:rsidR="00405951" w:rsidRDefault="00000000">
      <w:pPr>
        <w:rPr>
          <w:lang w:eastAsia="zh"/>
        </w:rPr>
      </w:pPr>
      <w:r>
        <w:rPr>
          <w:rFonts w:hint="eastAsia"/>
          <w:lang w:eastAsia="zh"/>
        </w:rPr>
        <w:t>- Collective living environment: Children in this age group are mostly in kindergartens or primary schools. Group gatherings increase the risk of cross - infection.</w:t>
      </w:r>
    </w:p>
    <w:p w14:paraId="66F9F385" w14:textId="77777777" w:rsidR="00405951" w:rsidRDefault="00000000">
      <w:pPr>
        <w:rPr>
          <w:lang w:eastAsia="zh"/>
        </w:rPr>
      </w:pPr>
      <w:r>
        <w:rPr>
          <w:rFonts w:hint="eastAsia"/>
          <w:lang w:eastAsia="zh"/>
        </w:rPr>
        <w:t>- Anatomical characteristics of the respiratory tract: In infants and young children, the bronchial lumen is relatively narrow, the ciliary motility function is poor, and the ability to expel sputum is weak, which easily leads to the aggravation of infection.</w:t>
      </w:r>
    </w:p>
    <w:p w14:paraId="1E001261" w14:textId="77777777" w:rsidR="00405951" w:rsidRDefault="00000000">
      <w:pPr>
        <w:rPr>
          <w:lang w:eastAsia="zh"/>
        </w:rPr>
      </w:pPr>
      <w:r>
        <w:rPr>
          <w:rFonts w:hint="eastAsia"/>
          <w:lang w:eastAsia="zh"/>
        </w:rPr>
        <w:t>The proportion of male patients is significantly higher than that of female patients (60.5% vs 39.5%), which is consistent with previous studies.</w:t>
      </w:r>
    </w:p>
    <w:p w14:paraId="03CDDDA5" w14:textId="77777777" w:rsidR="00405951" w:rsidRDefault="00000000">
      <w:pPr>
        <w:rPr>
          <w:lang w:eastAsia="zh"/>
        </w:rPr>
      </w:pPr>
      <w:r>
        <w:rPr>
          <w:rFonts w:hint="eastAsia"/>
          <w:lang w:eastAsia="zh"/>
        </w:rPr>
        <w:t xml:space="preserve"> Possible mechanisms include:</w:t>
      </w:r>
    </w:p>
    <w:p w14:paraId="0BBCC495" w14:textId="77777777" w:rsidR="00405951" w:rsidRDefault="00000000">
      <w:pPr>
        <w:rPr>
          <w:lang w:eastAsia="zh"/>
        </w:rPr>
      </w:pPr>
      <w:r>
        <w:rPr>
          <w:rFonts w:hint="eastAsia"/>
          <w:lang w:eastAsia="zh"/>
        </w:rPr>
        <w:t>- Differences in hormone levels: Androgens may have an impact on immune regulation, increasing the susceptibility of male children to respiratory pathogens.</w:t>
      </w:r>
    </w:p>
    <w:p w14:paraId="63CE4019" w14:textId="77777777" w:rsidR="00405951" w:rsidRDefault="00000000">
      <w:pPr>
        <w:rPr>
          <w:lang w:eastAsia="zh"/>
        </w:rPr>
      </w:pPr>
      <w:r>
        <w:rPr>
          <w:rFonts w:hint="eastAsia"/>
          <w:lang w:eastAsia="zh"/>
        </w:rPr>
        <w:t xml:space="preserve">- Differences in behavior patterns: Boys usually have more physical activities and more </w:t>
      </w:r>
      <w:r>
        <w:rPr>
          <w:rFonts w:hint="eastAsia"/>
          <w:lang w:eastAsia="zh"/>
        </w:rPr>
        <w:lastRenderedPageBreak/>
        <w:t>opportunities to contact the external environment, so the risk of infection is relatively higher.</w:t>
      </w:r>
    </w:p>
    <w:p w14:paraId="7A7DF338" w14:textId="77777777" w:rsidR="00405951" w:rsidRDefault="00000000">
      <w:pPr>
        <w:rPr>
          <w:u w:val="single"/>
          <w:lang w:eastAsia="zh"/>
        </w:rPr>
      </w:pPr>
      <w:r>
        <w:rPr>
          <w:rFonts w:hint="eastAsia"/>
          <w:lang w:eastAsia="zh"/>
        </w:rPr>
        <w:t xml:space="preserve">4.2 </w:t>
      </w:r>
      <w:r>
        <w:rPr>
          <w:rFonts w:hint="eastAsia"/>
          <w:u w:val="single"/>
          <w:lang w:eastAsia="zh"/>
        </w:rPr>
        <w:t>Analysis of clinical symptom characteristics</w:t>
      </w:r>
    </w:p>
    <w:p w14:paraId="4CE89A03" w14:textId="77777777" w:rsidR="00405951" w:rsidRDefault="00000000">
      <w:pPr>
        <w:rPr>
          <w:lang w:eastAsia="zh"/>
        </w:rPr>
      </w:pPr>
      <w:r>
        <w:rPr>
          <w:rFonts w:hint="eastAsia"/>
          <w:lang w:eastAsia="zh"/>
        </w:rPr>
        <w:t>In this study, the proportion of fever (83.5%) as the main symptom is higher than that of cough (69.1%), suggesting that fever may be an important indicator for the early identification of bronchopneumonia. Some children (16.5%) only present with cough or low - grade fever, which are easily misdiagnosed as common colds. Clinically, further differentiation should be made by combining lung auscultation (moist rales, wheezing sounds) and imaging examinations (patchy infiltrates). It is worth noting that 29 cases (6.9%) of children had wheezing symptoms, suggesting the possible presence of viral infections (such as respiratory syncytial virus) or allergic factors, which need to be differentiated from bronchial asthma. In addition, some children (11.2%) had systemic symptoms such as loss of appetite and listlessness, indicating a more severe condition, and the occurrence of complications (such as empyema, respiratory failure) should be vigilant.</w:t>
      </w:r>
    </w:p>
    <w:p w14:paraId="126949DF" w14:textId="77777777" w:rsidR="00405951" w:rsidRDefault="00000000">
      <w:pPr>
        <w:rPr>
          <w:u w:val="single"/>
          <w:lang w:eastAsia="zh"/>
        </w:rPr>
      </w:pPr>
      <w:r>
        <w:rPr>
          <w:rFonts w:hint="eastAsia"/>
          <w:lang w:eastAsia="zh"/>
        </w:rPr>
        <w:t xml:space="preserve">4.3 </w:t>
      </w:r>
      <w:r>
        <w:rPr>
          <w:rFonts w:hint="eastAsia"/>
          <w:u w:val="single"/>
          <w:lang w:eastAsia="zh"/>
        </w:rPr>
        <w:t xml:space="preserve">Etiological analysis and optimization of treatment </w:t>
      </w:r>
      <w:proofErr w:type="spellStart"/>
      <w:r>
        <w:rPr>
          <w:rFonts w:hint="eastAsia"/>
          <w:u w:val="single"/>
          <w:lang w:eastAsia="zh"/>
        </w:rPr>
        <w:t>strategiesIn</w:t>
      </w:r>
      <w:proofErr w:type="spellEnd"/>
      <w:r>
        <w:rPr>
          <w:rFonts w:hint="eastAsia"/>
          <w:u w:val="single"/>
          <w:lang w:eastAsia="zh"/>
        </w:rPr>
        <w:t xml:space="preserve"> </w:t>
      </w:r>
    </w:p>
    <w:p w14:paraId="6C43AF40" w14:textId="77777777" w:rsidR="00405951" w:rsidRDefault="00000000">
      <w:pPr>
        <w:rPr>
          <w:lang w:eastAsia="zh"/>
        </w:rPr>
      </w:pPr>
      <w:r>
        <w:rPr>
          <w:rFonts w:hint="eastAsia"/>
          <w:lang w:eastAsia="zh"/>
        </w:rPr>
        <w:t>This study, bacterial infections accounted for 58.4% (244/418), viral infections accounted for 34.9% (146/418), and mycoplasma infections accounted for 6.7% (28/418). Combining with clinical practice, the following treatment optimization suggestions are put forward:</w:t>
      </w:r>
    </w:p>
    <w:p w14:paraId="7BA70FC6" w14:textId="77777777" w:rsidR="00405951" w:rsidRDefault="00000000">
      <w:pPr>
        <w:rPr>
          <w:lang w:eastAsia="zh"/>
        </w:rPr>
      </w:pPr>
      <w:r>
        <w:rPr>
          <w:rFonts w:hint="eastAsia"/>
          <w:lang w:eastAsia="zh"/>
        </w:rPr>
        <w:t xml:space="preserve"> 4.3.1 Bacterial infections</w:t>
      </w:r>
    </w:p>
    <w:p w14:paraId="531523ED" w14:textId="77777777" w:rsidR="00405951" w:rsidRDefault="00000000">
      <w:pPr>
        <w:rPr>
          <w:lang w:eastAsia="zh"/>
        </w:rPr>
      </w:pPr>
      <w:r>
        <w:rPr>
          <w:rFonts w:hint="eastAsia"/>
          <w:lang w:eastAsia="zh"/>
        </w:rPr>
        <w:t>- Mild cases: Amoxicillin or cefixime is the first choice, with a treatment course of 5 - 7 days, and the clinical effective rate can reach over 85%.</w:t>
      </w:r>
    </w:p>
    <w:p w14:paraId="6D1024D2" w14:textId="77777777" w:rsidR="00405951" w:rsidRDefault="00000000">
      <w:pPr>
        <w:rPr>
          <w:lang w:eastAsia="zh"/>
        </w:rPr>
      </w:pPr>
      <w:r>
        <w:rPr>
          <w:rFonts w:hint="eastAsia"/>
          <w:lang w:eastAsia="zh"/>
        </w:rPr>
        <w:t>- Severe cases or those with a high risk of drug resistance: It is recommended to upgrade to piperacillin - tazobactam or cefotaxime, and if necessary, combine with azithromycin to cover atypical pathogens.</w:t>
      </w:r>
    </w:p>
    <w:p w14:paraId="1F617172" w14:textId="77777777" w:rsidR="00405951" w:rsidRDefault="00000000">
      <w:pPr>
        <w:rPr>
          <w:lang w:eastAsia="zh"/>
        </w:rPr>
      </w:pPr>
      <w:r>
        <w:rPr>
          <w:rFonts w:hint="eastAsia"/>
          <w:lang w:eastAsia="zh"/>
        </w:rPr>
        <w:t>4.3.2 Viral infections</w:t>
      </w:r>
    </w:p>
    <w:p w14:paraId="7849DE47" w14:textId="77777777" w:rsidR="00405951" w:rsidRDefault="00000000">
      <w:pPr>
        <w:rPr>
          <w:lang w:eastAsia="zh"/>
        </w:rPr>
      </w:pPr>
      <w:r>
        <w:rPr>
          <w:rFonts w:hint="eastAsia"/>
          <w:lang w:eastAsia="zh"/>
        </w:rPr>
        <w:t>- Respiratory syncytial virus (RSV): Supportive treatment is the main approach. For severe cases, atomized ribavirin or interferon can be considered.</w:t>
      </w:r>
    </w:p>
    <w:p w14:paraId="44E14F04" w14:textId="77777777" w:rsidR="00405951" w:rsidRDefault="00000000">
      <w:pPr>
        <w:rPr>
          <w:lang w:eastAsia="zh"/>
        </w:rPr>
      </w:pPr>
      <w:r>
        <w:rPr>
          <w:rFonts w:hint="eastAsia"/>
          <w:lang w:eastAsia="zh"/>
        </w:rPr>
        <w:t>- Influenza virus: Early application of oseltamivir can shorten the course of the disease and reduce the risk of complications.</w:t>
      </w:r>
    </w:p>
    <w:p w14:paraId="12A124CC" w14:textId="77777777" w:rsidR="00405951" w:rsidRDefault="00000000">
      <w:pPr>
        <w:rPr>
          <w:lang w:eastAsia="zh"/>
        </w:rPr>
      </w:pPr>
      <w:r>
        <w:rPr>
          <w:rFonts w:hint="eastAsia"/>
          <w:lang w:eastAsia="zh"/>
        </w:rPr>
        <w:t>4.3.3 Mycoplasma infections</w:t>
      </w:r>
    </w:p>
    <w:p w14:paraId="4B0D5F81" w14:textId="77777777" w:rsidR="00405951" w:rsidRDefault="00000000">
      <w:pPr>
        <w:rPr>
          <w:lang w:eastAsia="zh"/>
        </w:rPr>
      </w:pPr>
      <w:r>
        <w:rPr>
          <w:rFonts w:hint="eastAsia"/>
          <w:lang w:eastAsia="zh"/>
        </w:rPr>
        <w:t xml:space="preserve">Azithromycin (10mg/kg/d, 3 - 5 days) is the first choice. For drug - resistant cases, doxycycline (for children </w:t>
      </w:r>
      <w:r>
        <w:rPr>
          <w:rFonts w:hint="eastAsia"/>
          <w:lang w:eastAsia="zh"/>
        </w:rPr>
        <w:t>≥</w:t>
      </w:r>
      <w:r>
        <w:rPr>
          <w:rFonts w:hint="eastAsia"/>
          <w:lang w:eastAsia="zh"/>
        </w:rPr>
        <w:t xml:space="preserve"> 8 years old) or moxifloxacin (the risk needs to be strictly evaluated) can be used.</w:t>
      </w:r>
    </w:p>
    <w:p w14:paraId="5B15B6F2" w14:textId="77777777" w:rsidR="00405951" w:rsidRDefault="00000000">
      <w:pPr>
        <w:rPr>
          <w:u w:val="single"/>
          <w:lang w:eastAsia="zh"/>
        </w:rPr>
      </w:pPr>
      <w:r>
        <w:rPr>
          <w:rFonts w:hint="eastAsia"/>
          <w:lang w:eastAsia="zh"/>
        </w:rPr>
        <w:t xml:space="preserve">4.4 </w:t>
      </w:r>
      <w:r>
        <w:rPr>
          <w:rFonts w:hint="eastAsia"/>
          <w:u w:val="single"/>
          <w:lang w:eastAsia="zh"/>
        </w:rPr>
        <w:t>Influence of environment and nursing on prognosis</w:t>
      </w:r>
    </w:p>
    <w:p w14:paraId="6B184F02" w14:textId="77777777" w:rsidR="00405951" w:rsidRDefault="00000000">
      <w:pPr>
        <w:rPr>
          <w:lang w:eastAsia="zh"/>
        </w:rPr>
      </w:pPr>
      <w:r>
        <w:rPr>
          <w:rFonts w:hint="eastAsia"/>
          <w:lang w:eastAsia="zh"/>
        </w:rPr>
        <w:t>The extremely low winter temperatures in Yulin City (-20</w:t>
      </w:r>
      <w:r>
        <w:rPr>
          <w:rFonts w:hint="eastAsia"/>
          <w:lang w:eastAsia="zh"/>
        </w:rPr>
        <w:t>°</w:t>
      </w:r>
      <w:r>
        <w:rPr>
          <w:rFonts w:hint="eastAsia"/>
          <w:lang w:eastAsia="zh"/>
        </w:rPr>
        <w:t>C to -33.7</w:t>
      </w:r>
      <w:r>
        <w:rPr>
          <w:rFonts w:hint="eastAsia"/>
          <w:lang w:eastAsia="zh"/>
        </w:rPr>
        <w:t>°</w:t>
      </w:r>
      <w:r>
        <w:rPr>
          <w:rFonts w:hint="eastAsia"/>
          <w:lang w:eastAsia="zh"/>
        </w:rPr>
        <w:t>C) can cause vasoconstriction of the respiratory mucosa, decrease local immunity, and increase the risk of infection. The following suggestions are put forward in this study:</w:t>
      </w:r>
    </w:p>
    <w:p w14:paraId="1E9BEB8D" w14:textId="77777777" w:rsidR="00405951" w:rsidRDefault="00000000">
      <w:pPr>
        <w:rPr>
          <w:lang w:eastAsia="zh"/>
        </w:rPr>
      </w:pPr>
      <w:r>
        <w:rPr>
          <w:rFonts w:hint="eastAsia"/>
          <w:lang w:eastAsia="zh"/>
        </w:rPr>
        <w:t>-Family nursing: Maintain appropriate temperature and humidity (20 - 24</w:t>
      </w:r>
      <w:r>
        <w:rPr>
          <w:rFonts w:hint="eastAsia"/>
          <w:lang w:eastAsia="zh"/>
        </w:rPr>
        <w:t>°</w:t>
      </w:r>
      <w:r>
        <w:rPr>
          <w:rFonts w:hint="eastAsia"/>
          <w:lang w:eastAsia="zh"/>
        </w:rPr>
        <w:t>C, 50% - 60%), and avoid smoke and cold air stimulation.</w:t>
      </w:r>
    </w:p>
    <w:p w14:paraId="5EA84262" w14:textId="77777777" w:rsidR="00405951" w:rsidRDefault="00000000">
      <w:pPr>
        <w:rPr>
          <w:lang w:eastAsia="zh"/>
        </w:rPr>
      </w:pPr>
      <w:r>
        <w:rPr>
          <w:rFonts w:hint="eastAsia"/>
          <w:lang w:eastAsia="zh"/>
        </w:rPr>
        <w:t>- Nutritional support: A high - calorie and easily - digested diet, and supplement vitamins A and D to enhance the mucosal repair ability.</w:t>
      </w:r>
    </w:p>
    <w:p w14:paraId="78079259" w14:textId="77777777" w:rsidR="00405951" w:rsidRDefault="00000000">
      <w:pPr>
        <w:rPr>
          <w:lang w:eastAsia="zh"/>
        </w:rPr>
      </w:pPr>
      <w:r>
        <w:rPr>
          <w:rFonts w:hint="eastAsia"/>
          <w:lang w:eastAsia="zh"/>
        </w:rPr>
        <w:t>-Complication monitoring: Pay attention to the respiratory rate, blood oxygen saturation, and mental reaction, and be vigilant against the tendency of severe cases.</w:t>
      </w:r>
    </w:p>
    <w:p w14:paraId="55865DFC" w14:textId="77777777" w:rsidR="00405951" w:rsidRDefault="00000000">
      <w:pPr>
        <w:rPr>
          <w:b/>
          <w:bCs/>
          <w:lang w:eastAsia="zh"/>
        </w:rPr>
      </w:pPr>
      <w:r>
        <w:rPr>
          <w:rFonts w:hint="eastAsia"/>
          <w:b/>
          <w:bCs/>
          <w:lang w:eastAsia="zh"/>
        </w:rPr>
        <w:t>5. Conclusion</w:t>
      </w:r>
    </w:p>
    <w:p w14:paraId="1ED07DEA" w14:textId="77777777" w:rsidR="00405951" w:rsidRDefault="00000000">
      <w:pPr>
        <w:rPr>
          <w:lang w:eastAsia="zh"/>
        </w:rPr>
      </w:pPr>
      <w:r>
        <w:rPr>
          <w:rFonts w:hint="eastAsia"/>
          <w:lang w:eastAsia="zh"/>
        </w:rPr>
        <w:t xml:space="preserve">The clinical characteristics of childhood bronchopneumonia are closely related to factors such as age, gender, and environment. It commonly occurs in children aged 1 - 7 years old, and is more common in males. Fever is the most common chief complaint. Clinicians should focus on the early </w:t>
      </w:r>
      <w:r>
        <w:rPr>
          <w:rFonts w:hint="eastAsia"/>
          <w:lang w:eastAsia="zh"/>
        </w:rPr>
        <w:lastRenderedPageBreak/>
        <w:t xml:space="preserve">diagnosis of children aged 1 - 7 years old, formulate individualized treatment plans based on clinical symptoms, imaging, and laboratory examinations, and at the same time strengthen respiratory tract nursing and complication prevention to improve the cure rate and prognosis. In the future, multi - center studies can be further carried out to explore the distribution of pathogens and changes in drug resistance, providing a basis for precise treatment. </w:t>
      </w:r>
    </w:p>
    <w:p w14:paraId="26228C22" w14:textId="77777777" w:rsidR="00567945" w:rsidRDefault="00567945">
      <w:pPr>
        <w:rPr>
          <w:b/>
          <w:bCs/>
          <w:lang w:eastAsia="zh"/>
        </w:rPr>
      </w:pPr>
    </w:p>
    <w:p w14:paraId="1666C979" w14:textId="77777777" w:rsidR="00567945" w:rsidRPr="00567945" w:rsidRDefault="00567945" w:rsidP="00567945">
      <w:pPr>
        <w:rPr>
          <w:highlight w:val="yellow"/>
        </w:rPr>
      </w:pPr>
      <w:r w:rsidRPr="00567945">
        <w:rPr>
          <w:highlight w:val="yellow"/>
        </w:rPr>
        <w:t>Disclaimer (Artificial intelligence)</w:t>
      </w:r>
    </w:p>
    <w:p w14:paraId="004BE7A0" w14:textId="77777777" w:rsidR="00567945" w:rsidRPr="00567945" w:rsidRDefault="00567945" w:rsidP="00567945">
      <w:pPr>
        <w:rPr>
          <w:highlight w:val="yellow"/>
        </w:rPr>
      </w:pPr>
      <w:r w:rsidRPr="00567945">
        <w:rPr>
          <w:highlight w:val="yellow"/>
        </w:rPr>
        <w:t xml:space="preserve">Option 1: </w:t>
      </w:r>
    </w:p>
    <w:p w14:paraId="7B018F3B" w14:textId="77777777" w:rsidR="00567945" w:rsidRPr="00567945" w:rsidRDefault="00567945" w:rsidP="00567945">
      <w:pPr>
        <w:rPr>
          <w:highlight w:val="yellow"/>
        </w:rPr>
      </w:pPr>
      <w:r w:rsidRPr="00567945">
        <w:rPr>
          <w:highlight w:val="yellow"/>
        </w:rPr>
        <w:t xml:space="preserve">Author(s) hereby </w:t>
      </w:r>
      <w:proofErr w:type="gramStart"/>
      <w:r w:rsidRPr="00567945">
        <w:rPr>
          <w:highlight w:val="yellow"/>
        </w:rPr>
        <w:t>declare</w:t>
      </w:r>
      <w:proofErr w:type="gramEnd"/>
      <w:r w:rsidRPr="00567945">
        <w:rPr>
          <w:highlight w:val="yellow"/>
        </w:rPr>
        <w:t xml:space="preserve"> that NO generative AI technologies such as Large Language Models (ChatGPT, COPILOT, etc.) and text-to-image generators have been used during the writing or editing of this manuscript. </w:t>
      </w:r>
    </w:p>
    <w:p w14:paraId="05E0CDCA" w14:textId="77777777" w:rsidR="00567945" w:rsidRPr="00567945" w:rsidRDefault="00567945" w:rsidP="00567945">
      <w:pPr>
        <w:rPr>
          <w:highlight w:val="yellow"/>
        </w:rPr>
      </w:pPr>
      <w:r w:rsidRPr="00567945">
        <w:rPr>
          <w:highlight w:val="yellow"/>
        </w:rPr>
        <w:t xml:space="preserve">Option 2: </w:t>
      </w:r>
    </w:p>
    <w:p w14:paraId="1C4369EB" w14:textId="77777777" w:rsidR="00567945" w:rsidRPr="00567945" w:rsidRDefault="00567945" w:rsidP="00567945">
      <w:pPr>
        <w:rPr>
          <w:highlight w:val="yellow"/>
        </w:rPr>
      </w:pPr>
      <w:r w:rsidRPr="00567945">
        <w:rPr>
          <w:highlight w:val="yellow"/>
        </w:rPr>
        <w:t xml:space="preserve">Author(s) hereby </w:t>
      </w:r>
      <w:proofErr w:type="gramStart"/>
      <w:r w:rsidRPr="00567945">
        <w:rPr>
          <w:highlight w:val="yellow"/>
        </w:rPr>
        <w:t>declare</w:t>
      </w:r>
      <w:proofErr w:type="gramEnd"/>
      <w:r w:rsidRPr="00567945">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43244D" w14:textId="77777777" w:rsidR="00567945" w:rsidRPr="00567945" w:rsidRDefault="00567945" w:rsidP="00567945">
      <w:pPr>
        <w:rPr>
          <w:highlight w:val="yellow"/>
        </w:rPr>
      </w:pPr>
      <w:r w:rsidRPr="00567945">
        <w:rPr>
          <w:highlight w:val="yellow"/>
        </w:rPr>
        <w:t>Details of the AI usage are given below:</w:t>
      </w:r>
    </w:p>
    <w:p w14:paraId="67D48632" w14:textId="77777777" w:rsidR="00567945" w:rsidRPr="00567945" w:rsidRDefault="00567945" w:rsidP="00567945">
      <w:pPr>
        <w:rPr>
          <w:highlight w:val="yellow"/>
        </w:rPr>
      </w:pPr>
      <w:r w:rsidRPr="00567945">
        <w:rPr>
          <w:highlight w:val="yellow"/>
        </w:rPr>
        <w:t>1.</w:t>
      </w:r>
    </w:p>
    <w:p w14:paraId="5F2D1F67" w14:textId="77777777" w:rsidR="00567945" w:rsidRPr="00567945" w:rsidRDefault="00567945" w:rsidP="00567945">
      <w:pPr>
        <w:rPr>
          <w:highlight w:val="yellow"/>
        </w:rPr>
      </w:pPr>
      <w:r w:rsidRPr="00567945">
        <w:rPr>
          <w:highlight w:val="yellow"/>
        </w:rPr>
        <w:t>2.</w:t>
      </w:r>
    </w:p>
    <w:p w14:paraId="611A9A31" w14:textId="77777777" w:rsidR="00567945" w:rsidRPr="0053103C" w:rsidRDefault="00567945" w:rsidP="00567945">
      <w:r w:rsidRPr="00567945">
        <w:rPr>
          <w:highlight w:val="yellow"/>
        </w:rPr>
        <w:t>3.</w:t>
      </w:r>
    </w:p>
    <w:p w14:paraId="3F7B4D07" w14:textId="2D22ABB8" w:rsidR="00405951" w:rsidRDefault="00000000">
      <w:pPr>
        <w:rPr>
          <w:lang w:eastAsia="zh"/>
        </w:rPr>
      </w:pPr>
      <w:r>
        <w:rPr>
          <w:rFonts w:hint="eastAsia"/>
          <w:b/>
          <w:bCs/>
          <w:lang w:eastAsia="zh"/>
        </w:rPr>
        <w:t>References</w:t>
      </w:r>
    </w:p>
    <w:p w14:paraId="7846E945" w14:textId="77777777" w:rsidR="00405951" w:rsidRDefault="00000000">
      <w:pPr>
        <w:rPr>
          <w:lang w:eastAsia="zh"/>
        </w:rPr>
      </w:pPr>
      <w:r>
        <w:rPr>
          <w:rFonts w:hint="eastAsia"/>
          <w:lang w:eastAsia="zh"/>
        </w:rPr>
        <w:t>1. Respiratory Group of the Society of Pediatrics, Chinese Medical Association. Guidelines for the management of community - acquired pneumonia in children (2023) [J]. Chinese Journal of Pediatrics, 2023, 61(3): 177 - 185.</w:t>
      </w:r>
    </w:p>
    <w:p w14:paraId="536FF334" w14:textId="77777777" w:rsidR="00405951" w:rsidRDefault="00000000">
      <w:pPr>
        <w:rPr>
          <w:lang w:eastAsia="zh"/>
        </w:rPr>
      </w:pPr>
      <w:r>
        <w:rPr>
          <w:rFonts w:hint="eastAsia"/>
          <w:lang w:eastAsia="zh"/>
        </w:rPr>
        <w:t xml:space="preserve">2. Hu Yamei, Jiang </w:t>
      </w:r>
      <w:proofErr w:type="spellStart"/>
      <w:r>
        <w:rPr>
          <w:rFonts w:hint="eastAsia"/>
          <w:lang w:eastAsia="zh"/>
        </w:rPr>
        <w:t>Zaifang</w:t>
      </w:r>
      <w:proofErr w:type="spellEnd"/>
      <w:r>
        <w:rPr>
          <w:rFonts w:hint="eastAsia"/>
          <w:lang w:eastAsia="zh"/>
        </w:rPr>
        <w:t xml:space="preserve">. Zhu </w:t>
      </w:r>
      <w:proofErr w:type="spellStart"/>
      <w:r>
        <w:rPr>
          <w:rFonts w:hint="eastAsia"/>
          <w:lang w:eastAsia="zh"/>
        </w:rPr>
        <w:t>Futang's</w:t>
      </w:r>
      <w:proofErr w:type="spellEnd"/>
      <w:r>
        <w:rPr>
          <w:rFonts w:hint="eastAsia"/>
          <w:lang w:eastAsia="zh"/>
        </w:rPr>
        <w:t xml:space="preserve"> Practical Pediatrics (8th edition) [M]. Beijing: People's Medical Publishing House, 2015.</w:t>
      </w:r>
    </w:p>
    <w:p w14:paraId="08D1E48A" w14:textId="77777777" w:rsidR="00405951" w:rsidRDefault="00000000">
      <w:pPr>
        <w:rPr>
          <w:lang w:eastAsia="zh"/>
        </w:rPr>
      </w:pPr>
      <w:r>
        <w:rPr>
          <w:rFonts w:hint="eastAsia"/>
          <w:lang w:eastAsia="zh"/>
        </w:rPr>
        <w:t>Smith DK, et al. Pediatric community - acquired pneumonia: A review of current management recommendations [J]. American Family Physician, 2022, 105(5): 478 - 486.</w:t>
      </w:r>
    </w:p>
    <w:p w14:paraId="77394305" w14:textId="77777777" w:rsidR="00405951" w:rsidRDefault="00000000">
      <w:pPr>
        <w:rPr>
          <w:lang w:eastAsia="zh"/>
        </w:rPr>
      </w:pPr>
      <w:r>
        <w:rPr>
          <w:rFonts w:hint="eastAsia"/>
          <w:lang w:eastAsia="zh"/>
        </w:rPr>
        <w:t>3.Wang Weiping, et al. Analysis of the epidemiological characteristics of childhood bronchopneumonia [J]. Chinese Journal of Practical Pediatrics, 2021, 36(4): 289 - 293.</w:t>
      </w:r>
    </w:p>
    <w:p w14:paraId="6ACCFC31" w14:textId="77777777" w:rsidR="00405951" w:rsidRDefault="00000000">
      <w:pPr>
        <w:rPr>
          <w:lang w:eastAsia="zh"/>
        </w:rPr>
      </w:pPr>
      <w:r>
        <w:rPr>
          <w:rFonts w:hint="eastAsia"/>
          <w:lang w:eastAsia="zh"/>
        </w:rPr>
        <w:t>4. Liu L, et al. Global burden of childhood pneumonia: a systematic review [J]. The Lancet Infectious Diseases, 2022, 22(6): e153 - e163.</w:t>
      </w:r>
    </w:p>
    <w:p w14:paraId="54F3DADC" w14:textId="77777777" w:rsidR="00405951" w:rsidRDefault="00000000">
      <w:pPr>
        <w:rPr>
          <w:lang w:eastAsia="zh"/>
        </w:rPr>
      </w:pPr>
      <w:r>
        <w:rPr>
          <w:rFonts w:hint="eastAsia"/>
          <w:lang w:eastAsia="zh"/>
        </w:rPr>
        <w:t>5. Shaanxi Provincial Center for Disease Control and Prevention. Analysis of the epidemiological characteristics of respiratory infectious diseases in children in Shaanxi Province (2020 - 2022) [R]. Xi'an: Shaanxi Provincial CDC, 2023.</w:t>
      </w:r>
    </w:p>
    <w:p w14:paraId="2A201BE4" w14:textId="77777777" w:rsidR="00405951" w:rsidRDefault="00000000">
      <w:pPr>
        <w:rPr>
          <w:lang w:eastAsia="zh"/>
        </w:rPr>
      </w:pPr>
      <w:r>
        <w:rPr>
          <w:rFonts w:hint="eastAsia"/>
          <w:lang w:eastAsia="zh"/>
        </w:rPr>
        <w:t>6. Global Initiative for Asthma. Global strategy for asthma management and prevention (2023 update) [R]. 2023.</w:t>
      </w:r>
    </w:p>
    <w:p w14:paraId="2CDAB7DF" w14:textId="77777777" w:rsidR="00405951" w:rsidRDefault="00000000">
      <w:pPr>
        <w:rPr>
          <w:lang w:eastAsia="zh"/>
        </w:rPr>
      </w:pPr>
      <w:r>
        <w:rPr>
          <w:rFonts w:hint="eastAsia"/>
          <w:lang w:eastAsia="zh"/>
        </w:rPr>
        <w:t>7. Clinical Pharmacology Group of the Society of Pediatrics, Chinese Medical Association. Expert consensus on aerosol inhalation therapy for children's respiratory diseases [J]. Chinese Journal of Applied Clinical Pediatrics, 2022, 37(10): 721 - 732.</w:t>
      </w:r>
    </w:p>
    <w:sectPr w:rsidR="00405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22EF0"/>
    <w:multiLevelType w:val="singleLevel"/>
    <w:tmpl w:val="81A22EF0"/>
    <w:lvl w:ilvl="0">
      <w:start w:val="1"/>
      <w:numFmt w:val="decimal"/>
      <w:suff w:val="space"/>
      <w:lvlText w:val="%1."/>
      <w:lvlJc w:val="left"/>
    </w:lvl>
  </w:abstractNum>
  <w:num w:numId="1" w16cid:durableId="62373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5M2VlNDhhZGEyMTQxYWExMmIwNjI2OTRmNDBjMWQifQ=="/>
  </w:docVars>
  <w:rsids>
    <w:rsidRoot w:val="00405951"/>
    <w:rsid w:val="E6FFC3A7"/>
    <w:rsid w:val="E9FE7FB5"/>
    <w:rsid w:val="FBD7E332"/>
    <w:rsid w:val="FEF2B887"/>
    <w:rsid w:val="FFB65027"/>
    <w:rsid w:val="0006301B"/>
    <w:rsid w:val="00405951"/>
    <w:rsid w:val="004D2A40"/>
    <w:rsid w:val="00567945"/>
    <w:rsid w:val="00764144"/>
    <w:rsid w:val="0AEC7C8D"/>
    <w:rsid w:val="16AC3A0F"/>
    <w:rsid w:val="17FB66E7"/>
    <w:rsid w:val="1E73E38D"/>
    <w:rsid w:val="2EFF8FC2"/>
    <w:rsid w:val="3FEFE7B2"/>
    <w:rsid w:val="56650033"/>
    <w:rsid w:val="6FBEABCE"/>
    <w:rsid w:val="6FD4BC93"/>
    <w:rsid w:val="71017ADB"/>
    <w:rsid w:val="7FBD985C"/>
    <w:rsid w:val="B5BE218E"/>
    <w:rsid w:val="BEF6F56A"/>
    <w:rsid w:val="D36CD85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CCC69"/>
  <w15:docId w15:val="{2E25AF14-3055-4D61-B187-A5C5F5B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2583</Words>
  <Characters>14724</Characters>
  <Application>Microsoft Office Word</Application>
  <DocSecurity>0</DocSecurity>
  <Lines>122</Lines>
  <Paragraphs>34</Paragraphs>
  <ScaleCrop>false</ScaleCrop>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PKB110</dc:creator>
  <cp:lastModifiedBy>Editor-90</cp:lastModifiedBy>
  <cp:revision>4</cp:revision>
  <dcterms:created xsi:type="dcterms:W3CDTF">2025-07-17T23:19:00Z</dcterms:created>
  <dcterms:modified xsi:type="dcterms:W3CDTF">2025-08-02T07:47:00Z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982E1FBEB59C41588C1F725B64AB8061_13</vt:lpwstr>
  </property>
  <property fmtid="{D5CDD505-2E9C-101B-9397-08002B2CF9AE}" pid="3" name="KSOProductBuildVer">
    <vt:lpwstr>2052-11.1.0.14309</vt:lpwstr>
  </property>
</Properties>
</file>