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B40B" w14:textId="52A8422C" w:rsidR="00770313" w:rsidRPr="00770313" w:rsidRDefault="00770313" w:rsidP="00B124DB">
      <w:pPr>
        <w:jc w:val="center"/>
        <w:rPr>
          <w:rFonts w:ascii="Arial" w:hAnsi="Arial" w:cs="Arial"/>
          <w:b/>
          <w:bCs/>
          <w:sz w:val="28"/>
          <w:szCs w:val="28"/>
        </w:rPr>
      </w:pPr>
      <w:r w:rsidRPr="00770313">
        <w:rPr>
          <w:rFonts w:ascii="Arial" w:hAnsi="Arial" w:cs="Arial"/>
          <w:b/>
          <w:bCs/>
          <w:sz w:val="28"/>
          <w:szCs w:val="28"/>
        </w:rPr>
        <w:t>Original Research Article</w:t>
      </w:r>
    </w:p>
    <w:p w14:paraId="1A9C0F5C" w14:textId="61C43E52" w:rsidR="003641A1" w:rsidRPr="00C54F0B" w:rsidRDefault="003641A1" w:rsidP="00B124DB">
      <w:pPr>
        <w:jc w:val="center"/>
        <w:rPr>
          <w:rFonts w:ascii="Arial" w:hAnsi="Arial" w:cs="Arial"/>
          <w:sz w:val="28"/>
          <w:szCs w:val="28"/>
        </w:rPr>
      </w:pPr>
      <w:r w:rsidRPr="00C54F0B">
        <w:rPr>
          <w:rFonts w:ascii="Arial" w:hAnsi="Arial" w:cs="Arial"/>
          <w:sz w:val="28"/>
          <w:szCs w:val="28"/>
        </w:rPr>
        <w:t>Relationship between Maternal Knowledge and Feeding Practices in Relation to Infant Malnutrition among Breastfeeding Women in Savannah Region of Ghana</w:t>
      </w:r>
    </w:p>
    <w:p w14:paraId="5E26DCE8" w14:textId="77777777" w:rsidR="00B124DB" w:rsidRPr="00C54F0B" w:rsidRDefault="00B124DB" w:rsidP="00B124DB">
      <w:pPr>
        <w:jc w:val="center"/>
        <w:rPr>
          <w:rFonts w:ascii="Arial" w:hAnsi="Arial" w:cs="Arial"/>
          <w:sz w:val="28"/>
          <w:szCs w:val="28"/>
        </w:rPr>
      </w:pPr>
    </w:p>
    <w:p w14:paraId="4CE57BF6" w14:textId="70C6EDC2" w:rsidR="00695031" w:rsidRPr="00695031" w:rsidRDefault="00695031" w:rsidP="00695031">
      <w:pPr>
        <w:rPr>
          <w:rFonts w:ascii="Arial" w:hAnsi="Arial" w:cs="Arial"/>
          <w:sz w:val="20"/>
          <w:szCs w:val="20"/>
        </w:rPr>
      </w:pPr>
      <w:r w:rsidRPr="00C54F0B">
        <w:rPr>
          <w:rFonts w:ascii="Arial" w:hAnsi="Arial" w:cs="Arial"/>
          <w:sz w:val="20"/>
          <w:szCs w:val="20"/>
        </w:rPr>
        <w:t>Abstract</w:t>
      </w:r>
    </w:p>
    <w:p w14:paraId="1AD16EE7" w14:textId="6D64F80E" w:rsidR="00695031" w:rsidRPr="00695031" w:rsidRDefault="00724239" w:rsidP="00695031">
      <w:pPr>
        <w:rPr>
          <w:rFonts w:ascii="Arial" w:hAnsi="Arial" w:cs="Arial"/>
          <w:sz w:val="20"/>
          <w:szCs w:val="20"/>
        </w:rPr>
      </w:pPr>
      <w:r w:rsidRPr="00724239">
        <w:rPr>
          <w:rFonts w:ascii="Arial" w:hAnsi="Arial" w:cs="Arial"/>
          <w:b/>
          <w:bCs/>
          <w:i/>
          <w:iCs/>
          <w:sz w:val="20"/>
          <w:szCs w:val="20"/>
        </w:rPr>
        <w:t>Introduction:</w:t>
      </w:r>
      <w:r>
        <w:rPr>
          <w:rFonts w:ascii="Arial" w:hAnsi="Arial" w:cs="Arial"/>
          <w:sz w:val="20"/>
          <w:szCs w:val="20"/>
        </w:rPr>
        <w:t xml:space="preserve"> </w:t>
      </w:r>
      <w:r w:rsidR="00695031" w:rsidRPr="00695031">
        <w:rPr>
          <w:rFonts w:ascii="Arial" w:hAnsi="Arial" w:cs="Arial"/>
          <w:sz w:val="20"/>
          <w:szCs w:val="20"/>
        </w:rPr>
        <w:t>Child malnutrition remains a major public health concern in sub-Saharan Africa, disproportionately affecting Northern Ghana. Maternal knowledge and feeding practices are central determinants of child nutritional outcomes, yet little is known about their role in the Savannah Region. This study examined the relationship between maternal knowledge, infant feeding practices, and malnutrition among breastfeeding mothers in West Gonja District Hospital.</w:t>
      </w:r>
    </w:p>
    <w:p w14:paraId="6F9841EC" w14:textId="3E71547F" w:rsidR="00695031" w:rsidRPr="00695031" w:rsidRDefault="00695031" w:rsidP="00695031">
      <w:pPr>
        <w:rPr>
          <w:rFonts w:ascii="Arial" w:hAnsi="Arial" w:cs="Arial"/>
          <w:sz w:val="20"/>
          <w:szCs w:val="20"/>
        </w:rPr>
      </w:pPr>
      <w:r w:rsidRPr="00695031">
        <w:rPr>
          <w:rFonts w:ascii="Arial" w:hAnsi="Arial" w:cs="Arial"/>
          <w:b/>
          <w:bCs/>
          <w:i/>
          <w:iCs/>
          <w:sz w:val="20"/>
          <w:szCs w:val="20"/>
        </w:rPr>
        <w:t>Methods</w:t>
      </w:r>
      <w:r w:rsidR="00724239">
        <w:rPr>
          <w:rFonts w:ascii="Arial" w:hAnsi="Arial" w:cs="Arial"/>
          <w:sz w:val="20"/>
          <w:szCs w:val="20"/>
        </w:rPr>
        <w:t xml:space="preserve">: </w:t>
      </w:r>
      <w:r w:rsidRPr="00695031">
        <w:rPr>
          <w:rFonts w:ascii="Arial" w:hAnsi="Arial" w:cs="Arial"/>
          <w:sz w:val="20"/>
          <w:szCs w:val="20"/>
        </w:rPr>
        <w:t>A hospital-based cross-sectional study was conducted among 405 breastfeeding mothers with infants aged 0–23 months. Participants were selected using systematic random sampling. Data were collected through a structured interviewer-administered questionnaire adapted from WHO Infant and Young Child Feeding (IYCF) indicators and FAO Knowledge, Attitudes, and Practices guidelines. Anthropometric measurements were analyzed using WHO Anthro software. Descriptive statistics summarized maternal knowledge, feeding practices, and infant nutritional status. Binary logistic regression identified predictors of infant malnutrition, with results expressed as adjusted odds ratios (AORs) and 95% confidence intervals (CIs).</w:t>
      </w:r>
    </w:p>
    <w:p w14:paraId="3F25E8CE" w14:textId="209B4AF0" w:rsidR="00695031" w:rsidRPr="00695031" w:rsidRDefault="00695031" w:rsidP="00695031">
      <w:pPr>
        <w:rPr>
          <w:rFonts w:ascii="Arial" w:hAnsi="Arial" w:cs="Arial"/>
          <w:sz w:val="20"/>
          <w:szCs w:val="20"/>
        </w:rPr>
      </w:pPr>
      <w:r w:rsidRPr="00695031">
        <w:rPr>
          <w:rFonts w:ascii="Arial" w:hAnsi="Arial" w:cs="Arial"/>
          <w:b/>
          <w:bCs/>
          <w:i/>
          <w:iCs/>
          <w:sz w:val="20"/>
          <w:szCs w:val="20"/>
        </w:rPr>
        <w:t>Results</w:t>
      </w:r>
      <w:r w:rsidR="00724239">
        <w:rPr>
          <w:rFonts w:ascii="Arial" w:hAnsi="Arial" w:cs="Arial"/>
          <w:sz w:val="20"/>
          <w:szCs w:val="20"/>
        </w:rPr>
        <w:t>: O</w:t>
      </w:r>
      <w:r w:rsidRPr="00695031">
        <w:rPr>
          <w:rFonts w:ascii="Arial" w:hAnsi="Arial" w:cs="Arial"/>
          <w:sz w:val="20"/>
          <w:szCs w:val="20"/>
        </w:rPr>
        <w:t>nly 34.0% of mothers demonstrated high knowledge of infant feeding, while 26.7% had low knowledge. Good feeding practices were reported by 29.1%, with dietary diversity and timely complementary feeding being the most deficient indicators. The prevalence of infant malnutrition was high, with 22.2% stunted, 16.3% underweight, and 9.4% wasted. In multivariable analysis, low maternal knowledge was associated with higher odds of malnutrition (AOR = 3.42; 95% CI: 1.88–6.21; p &lt; 0.001), as were poor feeding practices (AOR = 4.51; 95% CI: 2.37–8.59; p &lt; 0.001). Additional significant predictors included no formal education (AOR = 2.67; 95% CI: 1.41–5.06), farmer occupation (AOR = 2.15; 95% CI: 1.16–3.99), housewife/unemployed status (AOR = 2.48; 95% CI: 1.22–4.99), parity ≥4 (AOR = 2.94; 95% CI: 1.43–6.03), home delivery (AOR = 2.63; 95% CI: 1.28–5.39), fewer than four ANC visits (AOR = 2.71; 95% CI: 1.39–5.31), and infant age 12–23 months (AOR = 3.26; 95% CI: 1.57–6.75).</w:t>
      </w:r>
    </w:p>
    <w:p w14:paraId="2C60FA3C" w14:textId="4240F5D8" w:rsidR="00695031" w:rsidRPr="00695031" w:rsidRDefault="00695031" w:rsidP="00695031">
      <w:pPr>
        <w:rPr>
          <w:rFonts w:ascii="Arial" w:hAnsi="Arial" w:cs="Arial"/>
          <w:sz w:val="20"/>
          <w:szCs w:val="20"/>
        </w:rPr>
      </w:pPr>
      <w:r w:rsidRPr="00695031">
        <w:rPr>
          <w:rFonts w:ascii="Arial" w:hAnsi="Arial" w:cs="Arial"/>
          <w:b/>
          <w:bCs/>
          <w:sz w:val="20"/>
          <w:szCs w:val="20"/>
        </w:rPr>
        <w:t>Conclusion</w:t>
      </w:r>
      <w:r w:rsidR="00724239" w:rsidRPr="00724239">
        <w:rPr>
          <w:rFonts w:ascii="Arial" w:hAnsi="Arial" w:cs="Arial"/>
          <w:b/>
          <w:bCs/>
          <w:sz w:val="20"/>
          <w:szCs w:val="20"/>
        </w:rPr>
        <w:t>:</w:t>
      </w:r>
      <w:r w:rsidR="00724239">
        <w:rPr>
          <w:rFonts w:ascii="Arial" w:hAnsi="Arial" w:cs="Arial"/>
          <w:sz w:val="20"/>
          <w:szCs w:val="20"/>
        </w:rPr>
        <w:t xml:space="preserve"> </w:t>
      </w:r>
      <w:r w:rsidRPr="00695031">
        <w:rPr>
          <w:rFonts w:ascii="Arial" w:hAnsi="Arial" w:cs="Arial"/>
          <w:sz w:val="20"/>
          <w:szCs w:val="20"/>
        </w:rPr>
        <w:t>Maternal knowledge and feeding practices are critical determinants of infant malnutrition in West Gonja District. Interventions should prioritize improving complementary feeding quality and dietary diversity, particularly during the 6–</w:t>
      </w:r>
      <w:proofErr w:type="gramStart"/>
      <w:r w:rsidRPr="00695031">
        <w:rPr>
          <w:rFonts w:ascii="Arial" w:hAnsi="Arial" w:cs="Arial"/>
          <w:sz w:val="20"/>
          <w:szCs w:val="20"/>
        </w:rPr>
        <w:t>23 month</w:t>
      </w:r>
      <w:proofErr w:type="gramEnd"/>
      <w:r w:rsidRPr="00695031">
        <w:rPr>
          <w:rFonts w:ascii="Arial" w:hAnsi="Arial" w:cs="Arial"/>
          <w:sz w:val="20"/>
          <w:szCs w:val="20"/>
        </w:rPr>
        <w:t xml:space="preserve"> period, while strengthening maternal health service utilization and targeting high-risk groups such as low-education and high-parity mothers. Addressing these gaps is essential to reducing regional disparities in child malnutrition and advancing Ghana’s child health goals.</w:t>
      </w:r>
    </w:p>
    <w:p w14:paraId="1F6C89A5" w14:textId="77777777" w:rsidR="00695031" w:rsidRPr="00695031" w:rsidRDefault="00695031" w:rsidP="00695031">
      <w:pPr>
        <w:rPr>
          <w:rFonts w:ascii="Arial" w:hAnsi="Arial" w:cs="Arial"/>
          <w:sz w:val="20"/>
          <w:szCs w:val="20"/>
        </w:rPr>
      </w:pPr>
      <w:r w:rsidRPr="00695031">
        <w:rPr>
          <w:rFonts w:ascii="Arial" w:hAnsi="Arial" w:cs="Arial"/>
          <w:b/>
          <w:bCs/>
          <w:sz w:val="20"/>
          <w:szCs w:val="20"/>
        </w:rPr>
        <w:t>Keywords:</w:t>
      </w:r>
      <w:r w:rsidRPr="00695031">
        <w:rPr>
          <w:rFonts w:ascii="Arial" w:hAnsi="Arial" w:cs="Arial"/>
          <w:sz w:val="20"/>
          <w:szCs w:val="20"/>
        </w:rPr>
        <w:t xml:space="preserve"> maternal knowledge, infant feeding practices, malnutrition, breastfeeding, Ghana, West Gonja District</w:t>
      </w:r>
    </w:p>
    <w:p w14:paraId="4A0A33E0" w14:textId="77777777" w:rsidR="00695031" w:rsidRPr="00C54F0B" w:rsidRDefault="00695031" w:rsidP="002776E5">
      <w:pPr>
        <w:rPr>
          <w:rFonts w:ascii="Arial" w:hAnsi="Arial" w:cs="Arial"/>
          <w:sz w:val="20"/>
          <w:szCs w:val="20"/>
        </w:rPr>
      </w:pPr>
    </w:p>
    <w:p w14:paraId="4F5DDC5E" w14:textId="77777777" w:rsidR="00695031" w:rsidRPr="00C54F0B" w:rsidRDefault="00695031" w:rsidP="002776E5">
      <w:pPr>
        <w:rPr>
          <w:rFonts w:ascii="Arial" w:hAnsi="Arial" w:cs="Arial"/>
          <w:sz w:val="20"/>
          <w:szCs w:val="20"/>
        </w:rPr>
      </w:pPr>
    </w:p>
    <w:p w14:paraId="374D9FA6" w14:textId="77777777" w:rsidR="00695031" w:rsidRDefault="00695031" w:rsidP="002776E5">
      <w:pPr>
        <w:rPr>
          <w:rFonts w:ascii="Arial" w:hAnsi="Arial" w:cs="Arial"/>
          <w:sz w:val="20"/>
          <w:szCs w:val="20"/>
        </w:rPr>
      </w:pPr>
    </w:p>
    <w:p w14:paraId="72ADD063" w14:textId="77777777" w:rsidR="00724239" w:rsidRDefault="00724239" w:rsidP="002776E5">
      <w:pPr>
        <w:rPr>
          <w:rFonts w:ascii="Arial" w:hAnsi="Arial" w:cs="Arial"/>
          <w:sz w:val="20"/>
          <w:szCs w:val="20"/>
        </w:rPr>
      </w:pPr>
    </w:p>
    <w:p w14:paraId="23C58851" w14:textId="77777777" w:rsidR="00724239" w:rsidRDefault="00724239" w:rsidP="002776E5">
      <w:pPr>
        <w:rPr>
          <w:rFonts w:ascii="Arial" w:hAnsi="Arial" w:cs="Arial"/>
          <w:sz w:val="20"/>
          <w:szCs w:val="20"/>
        </w:rPr>
      </w:pPr>
    </w:p>
    <w:p w14:paraId="0A362A87" w14:textId="77777777" w:rsidR="00724239" w:rsidRDefault="00724239" w:rsidP="002776E5">
      <w:pPr>
        <w:rPr>
          <w:rFonts w:ascii="Arial" w:hAnsi="Arial" w:cs="Arial"/>
          <w:sz w:val="20"/>
          <w:szCs w:val="20"/>
        </w:rPr>
      </w:pPr>
    </w:p>
    <w:p w14:paraId="1F562F6C" w14:textId="3621CEE0" w:rsidR="0081530F" w:rsidRPr="00724239" w:rsidRDefault="0081530F" w:rsidP="002776E5">
      <w:pPr>
        <w:rPr>
          <w:rFonts w:ascii="Arial" w:hAnsi="Arial" w:cs="Arial"/>
          <w:b/>
          <w:bCs/>
          <w:sz w:val="20"/>
          <w:szCs w:val="20"/>
        </w:rPr>
      </w:pPr>
      <w:r w:rsidRPr="00724239">
        <w:rPr>
          <w:rFonts w:ascii="Arial" w:hAnsi="Arial" w:cs="Arial"/>
          <w:b/>
          <w:bCs/>
          <w:sz w:val="20"/>
          <w:szCs w:val="20"/>
        </w:rPr>
        <w:t>Introduction</w:t>
      </w:r>
    </w:p>
    <w:p w14:paraId="5D262E9B" w14:textId="614482BA" w:rsidR="0081530F" w:rsidRPr="0081530F" w:rsidRDefault="0081530F" w:rsidP="0081530F">
      <w:pPr>
        <w:rPr>
          <w:rFonts w:ascii="Arial" w:hAnsi="Arial" w:cs="Arial"/>
          <w:sz w:val="20"/>
          <w:szCs w:val="20"/>
        </w:rPr>
      </w:pPr>
      <w:r w:rsidRPr="0081530F">
        <w:rPr>
          <w:rFonts w:ascii="Arial" w:hAnsi="Arial" w:cs="Arial"/>
          <w:sz w:val="20"/>
          <w:szCs w:val="20"/>
        </w:rPr>
        <w:t>Child malnutrition remains one of the most pressing public health challenges globally. Despite decades of intervention, malnutrition continues to contribute substantially to morbidity, mortality, and impaired human development</w:t>
      </w:r>
      <w:r w:rsidR="00EB7F79">
        <w:rPr>
          <w:rFonts w:ascii="Arial" w:hAnsi="Arial" w:cs="Arial"/>
          <w:sz w:val="20"/>
          <w:szCs w:val="20"/>
        </w:rPr>
        <w:fldChar w:fldCharType="begin"/>
      </w:r>
      <w:r w:rsidR="0036204D">
        <w:rPr>
          <w:rFonts w:ascii="Arial" w:hAnsi="Arial" w:cs="Arial"/>
          <w:sz w:val="20"/>
          <w:szCs w:val="20"/>
        </w:rPr>
        <w:instrText xml:space="preserve"> ADDIN ZOTERO_ITEM CSL_CITATION {"citationID":"QCqNdwQZ","properties":{"formattedCitation":"(1\\uc0\\u8211{}3)","plainCitation":"(1–3)","noteIndex":0},"citationItems":[{"id":6564,"uris":["http://zotero.org/users/15244130/items/TDR59S6K"],"itemData":{"id":6564,"type":"webpage","abstract":"This report summarizes the discussion and consensus reached on 8 core indicators and 7 optional indicators for assessing infant and young child \nfeeding practices that are population-based and can be derived from household survey data.","language":"en","title":"Indicators for assessing infant and young child feeding practices: part 1 definition","title-short":"Indicators for assessing infant and young child feeding practices","URL":"https://www.who.int/publications/i/item/9789241596664","author":[{"literal":"World Health Organization"}],"accessed":{"date-parts":[["2025",8,29]]},"issued":{"date-parts":[["2008"]]}}},{"id":6605,"uris":["http://zotero.org/users/15244130/items/XHKSFNFD"],"itemData":{"id":6605,"type":"article-journal","abstract":"In this study, we outlined the types of malnutrition amongst children, the causes of malnutrition intervention at the primary health care level and some recommendations to alleviate childhood malnutrition in South Africa.","container-title":"South African Family Practice","DOI":"10.4102/safp.v63i1.5337","ISSN":"2078-6190","issue":"1","journalAbbreviation":"S Afr Fam Pract (2004)","note":"PMID: 34677078\nPMCID: PMC8517826","page":"5337","source":"PubMed Central","title":"Malnutrition in children under the age of 5 years in a primary health care setting","volume":"63","author":[{"family":"Govender","given":"Indiran"},{"family":"Rangiah","given":"Selvandran"},{"family":"Kaswa","given":"Ramprakash"},{"family":"Nzaumvila","given":"Doudou"}],"issued":{"date-parts":[["2021",9,7]]}}},{"id":6538,"uris":["http://zotero.org/users/15244130/items/NP9HACYA"],"itemData":{"id":6538,"type":"webpage","abstract":"The Joint Child Malnutrition Estimates (JME) released in 2023 reveal insufficient progress to reach the 2025 World Health Assembly (WHA) global nutrition targets and SDG target 2.2. Only about one third of all countries are ‘on track’ to halve the number of children affected by stunting by 2030, and assessment of progress to date not being possible for about one quarter of countries. Even fewer countries are expected to achieve the 2030 target of 3 per cent prevalence for overweight, with just 1 in 6 countries currently ‘on track’. Further, an assessment of progress towards the wasting target is not possible for nearly half of countries.","language":"en","title":"Levels and trends in child malnutrition: UNICEF/WHO/World Bank Group joint child malnutrition estimates: key findings of the 2023 edition","title-short":"Levels and trends in child malnutrition","URL":"https://www.who.int/publications/i/item/9789240073791","author":[{"literal":"World Health Organisation"}],"accessed":{"date-parts":[["2025",8,29]]},"issued":{"date-parts":[["2023"]]}}}],"schema":"https://github.com/citation-style-language/schema/raw/master/csl-citation.json"} </w:instrText>
      </w:r>
      <w:r w:rsidR="00EB7F79">
        <w:rPr>
          <w:rFonts w:ascii="Arial" w:hAnsi="Arial" w:cs="Arial"/>
          <w:sz w:val="20"/>
          <w:szCs w:val="20"/>
        </w:rPr>
        <w:fldChar w:fldCharType="separate"/>
      </w:r>
      <w:r w:rsidR="0036204D" w:rsidRPr="0036204D">
        <w:rPr>
          <w:rFonts w:ascii="Arial" w:hAnsi="Arial" w:cs="Arial"/>
          <w:kern w:val="0"/>
          <w:sz w:val="20"/>
        </w:rPr>
        <w:t>(1–3)</w:t>
      </w:r>
      <w:r w:rsidR="00EB7F79">
        <w:rPr>
          <w:rFonts w:ascii="Arial" w:hAnsi="Arial" w:cs="Arial"/>
          <w:sz w:val="20"/>
          <w:szCs w:val="20"/>
        </w:rPr>
        <w:fldChar w:fldCharType="end"/>
      </w:r>
      <w:r w:rsidRPr="0081530F">
        <w:rPr>
          <w:rFonts w:ascii="Arial" w:hAnsi="Arial" w:cs="Arial"/>
          <w:sz w:val="20"/>
          <w:szCs w:val="20"/>
        </w:rPr>
        <w:t xml:space="preserve">. According to UNICEF, WHO, and the World Bank, in 2022 an estimated 148 million children under five years were stunted, 45 million were wasted, and 37 million were overweight worldwide </w:t>
      </w:r>
      <w:r w:rsidR="00EB7F79">
        <w:rPr>
          <w:rFonts w:ascii="Arial" w:hAnsi="Arial" w:cs="Arial"/>
          <w:sz w:val="20"/>
          <w:szCs w:val="20"/>
        </w:rPr>
        <w:fldChar w:fldCharType="begin"/>
      </w:r>
      <w:r w:rsidR="0036204D">
        <w:rPr>
          <w:rFonts w:ascii="Arial" w:hAnsi="Arial" w:cs="Arial"/>
          <w:sz w:val="20"/>
          <w:szCs w:val="20"/>
        </w:rPr>
        <w:instrText xml:space="preserve"> ADDIN ZOTERO_ITEM CSL_CITATION {"citationID":"nMZKb0dG","properties":{"formattedCitation":"(3)","plainCitation":"(3)","noteIndex":0},"citationItems":[{"id":6538,"uris":["http://zotero.org/users/15244130/items/NP9HACYA"],"itemData":{"id":6538,"type":"webpage","abstract":"The Joint Child Malnutrition Estimates (JME) released in 2023 reveal insufficient progress to reach the 2025 World Health Assembly (WHA) global nutrition targets and SDG target 2.2. Only about one third of all countries are ‘on track’ to halve the number of children affected by stunting by 2030, and assessment of progress to date not being possible for about one quarter of countries. Even fewer countries are expected to achieve the 2030 target of 3 per cent prevalence for overweight, with just 1 in 6 countries currently ‘on track’. Further, an assessment of progress towards the wasting target is not possible for nearly half of countries.","language":"en","title":"Levels and trends in child malnutrition: UNICEF/WHO/World Bank Group joint child malnutrition estimates: key findings of the 2023 edition","title-short":"Levels and trends in child malnutrition","URL":"https://www.who.int/publications/i/item/9789240073791","author":[{"literal":"World Health Organisation"}],"accessed":{"date-parts":[["2025",8,29]]},"issued":{"date-parts":[["2023"]]}}}],"schema":"https://github.com/citation-style-language/schema/raw/master/csl-citation.json"} </w:instrText>
      </w:r>
      <w:r w:rsidR="00EB7F79">
        <w:rPr>
          <w:rFonts w:ascii="Arial" w:hAnsi="Arial" w:cs="Arial"/>
          <w:sz w:val="20"/>
          <w:szCs w:val="20"/>
        </w:rPr>
        <w:fldChar w:fldCharType="separate"/>
      </w:r>
      <w:r w:rsidR="0036204D" w:rsidRPr="0036204D">
        <w:rPr>
          <w:rFonts w:ascii="Arial" w:hAnsi="Arial" w:cs="Arial"/>
          <w:sz w:val="20"/>
        </w:rPr>
        <w:t>(3)</w:t>
      </w:r>
      <w:r w:rsidR="00EB7F79">
        <w:rPr>
          <w:rFonts w:ascii="Arial" w:hAnsi="Arial" w:cs="Arial"/>
          <w:sz w:val="20"/>
          <w:szCs w:val="20"/>
        </w:rPr>
        <w:fldChar w:fldCharType="end"/>
      </w:r>
      <w:r w:rsidRPr="0081530F">
        <w:rPr>
          <w:rFonts w:ascii="Arial" w:hAnsi="Arial" w:cs="Arial"/>
          <w:sz w:val="20"/>
          <w:szCs w:val="20"/>
        </w:rPr>
        <w:t xml:space="preserve">. Malnutrition, particularly during the first two years of life, is associated with delayed cognitive development, weakened immunity, increased susceptibility to infectious diseases, and reduced productivity in adulthood </w:t>
      </w:r>
      <w:r w:rsidR="00DC00DF">
        <w:rPr>
          <w:rFonts w:ascii="Arial" w:hAnsi="Arial" w:cs="Arial"/>
          <w:sz w:val="20"/>
          <w:szCs w:val="20"/>
        </w:rPr>
        <w:fldChar w:fldCharType="begin"/>
      </w:r>
      <w:r w:rsidR="0036204D">
        <w:rPr>
          <w:rFonts w:ascii="Arial" w:hAnsi="Arial" w:cs="Arial"/>
          <w:sz w:val="20"/>
          <w:szCs w:val="20"/>
        </w:rPr>
        <w:instrText xml:space="preserve"> ADDIN ZOTERO_ITEM CSL_CITATION {"citationID":"EkkIC7is","properties":{"formattedCitation":"(4)","plainCitation":"(4)","noteIndex":0},"citationItems":[{"id":6545,"uris":["http://zotero.org/users/15244130/items/Y99EI62Z"],"itemData":{"id":6545,"type":"article-journal","container-title":"The Lancet","DOI":"10.1016/S0140-6736(13)60937-X","ISSN":"01406736","issue":"9890","journalAbbreviation":"The Lancet","language":"en","page":"427-451","source":"DOI.org (Crossref)","title":"Maternal and child undernutrition and overweight in low-income and middle-income countries","volume":"382","author":[{"family":"Black","given":"Robert E"},{"family":"Victora","given":"Cesar G"},{"family":"Walker","given":"Susan P"},{"family":"Bhutta","given":"Zulfiqar A"},{"family":"Christian","given":"Parul"},{"family":"De Onis","given":"Mercedes"},{"family":"Ezzati","given":"Majid"},{"family":"Grantham-McGregor","given":"Sally"},{"family":"Katz","given":"Joanne"},{"family":"Martorell","given":"Reynaldo"},{"family":"Uauy","given":"Ricardo"}],"issued":{"date-parts":[["2013",8]]}}}],"schema":"https://github.com/citation-style-language/schema/raw/master/csl-citation.json"} </w:instrText>
      </w:r>
      <w:r w:rsidR="00DC00DF">
        <w:rPr>
          <w:rFonts w:ascii="Arial" w:hAnsi="Arial" w:cs="Arial"/>
          <w:sz w:val="20"/>
          <w:szCs w:val="20"/>
        </w:rPr>
        <w:fldChar w:fldCharType="separate"/>
      </w:r>
      <w:r w:rsidR="0036204D" w:rsidRPr="0036204D">
        <w:rPr>
          <w:rFonts w:ascii="Arial" w:hAnsi="Arial" w:cs="Arial"/>
          <w:sz w:val="20"/>
        </w:rPr>
        <w:t>(4)</w:t>
      </w:r>
      <w:r w:rsidR="00DC00DF">
        <w:rPr>
          <w:rFonts w:ascii="Arial" w:hAnsi="Arial" w:cs="Arial"/>
          <w:sz w:val="20"/>
          <w:szCs w:val="20"/>
        </w:rPr>
        <w:fldChar w:fldCharType="end"/>
      </w:r>
      <w:r w:rsidRPr="0081530F">
        <w:rPr>
          <w:rFonts w:ascii="Arial" w:hAnsi="Arial" w:cs="Arial"/>
          <w:sz w:val="20"/>
          <w:szCs w:val="20"/>
        </w:rPr>
        <w:t>. The first 1,000 days of life</w:t>
      </w:r>
      <w:r w:rsidR="00B73223">
        <w:rPr>
          <w:rFonts w:ascii="Arial" w:hAnsi="Arial" w:cs="Arial"/>
          <w:sz w:val="20"/>
          <w:szCs w:val="20"/>
        </w:rPr>
        <w:t xml:space="preserve">, </w:t>
      </w:r>
      <w:r w:rsidRPr="0081530F">
        <w:rPr>
          <w:rFonts w:ascii="Arial" w:hAnsi="Arial" w:cs="Arial"/>
          <w:sz w:val="20"/>
          <w:szCs w:val="20"/>
        </w:rPr>
        <w:t>from conception through the first two years</w:t>
      </w:r>
      <w:r w:rsidR="00B73223">
        <w:rPr>
          <w:rFonts w:ascii="Arial" w:hAnsi="Arial" w:cs="Arial"/>
          <w:sz w:val="20"/>
          <w:szCs w:val="20"/>
        </w:rPr>
        <w:t xml:space="preserve">, </w:t>
      </w:r>
      <w:r w:rsidRPr="0081530F">
        <w:rPr>
          <w:rFonts w:ascii="Arial" w:hAnsi="Arial" w:cs="Arial"/>
          <w:sz w:val="20"/>
          <w:szCs w:val="20"/>
        </w:rPr>
        <w:t>are thus recognized as a critical window of opportunity to prevent malnutrition and promote optimal growth and development</w:t>
      </w:r>
      <w:r w:rsidR="0036204D">
        <w:rPr>
          <w:rFonts w:ascii="Arial" w:hAnsi="Arial" w:cs="Arial"/>
          <w:sz w:val="20"/>
          <w:szCs w:val="20"/>
        </w:rPr>
        <w:fldChar w:fldCharType="begin"/>
      </w:r>
      <w:r w:rsidR="0036204D">
        <w:rPr>
          <w:rFonts w:ascii="Arial" w:hAnsi="Arial" w:cs="Arial"/>
          <w:sz w:val="20"/>
          <w:szCs w:val="20"/>
        </w:rPr>
        <w:instrText xml:space="preserve"> ADDIN ZOTERO_ITEM CSL_CITATION {"citationID":"CJr9VNY6","properties":{"formattedCitation":"(5)","plainCitation":"(5)","noteIndex":0},"citationItems":[{"id":6608,"uris":["http://zotero.org/users/15244130/items/YBV4SQTL"],"itemData":{"id":6608,"type":"article-journal","abstract":"Maternal nutrition needs to be addressed during pregnancy for the child’s first 1,000 days of life, or roughly between conception and a child’s second birthday. The infant requires just breast milk for the first six months of life. The production of breastmilk and its nutritional value is essentially unaffected by maternal privation. The child’s health suffers when the mother’s diet and health are impaired. This review aims to discuss the importance of pregnant women’s nutrition and how it impacts the development and expansion of a child during this critical period of development, which is supported by the most recent literature. Throughout the child’s growth in the mother’s womb and outside, four distinct stages have been identified: (1) nine months to zero months: pregnancy; (2) zero to six months: breastfeeding; (3) six to 12 months: introduction of solid food; and (4) &gt;12 months: transition to family diet, appreciation of nutritious food offered within each period for the child’s development. Moreover, there is a strong link between nutrition, well-being, and learning. The nutritional intake of infants, children, and adolescents maintains the body weight and is sufficient to sustain their normal growth and development. One of the crucial factors influencing a child’s development is nutrition. Rapid growth occurs during infancy. Compared to other growth phases, this phase has the largest relative energy and food needs for body size.","container-title":"Cureus","DOI":"10.7759/cureus.30083","ISSN":"2168-8184","issue":"10","journalAbbreviation":"Cureus","note":"PMID: 36381799\nPMCID: PMC9640361","page":"e30083","source":"PubMed Central","title":"Importance of Maternal Nutrition in the First 1,000 Days of Life and Its Effects on Child Development: A Narrative Review","title-short":"Importance of Maternal Nutrition in the First 1,000 Days of Life and Its Effects on Child Development","volume":"14","author":[{"family":"Likhar","given":"Akanksha"},{"family":"Patil","given":"Manoj S"}]}}],"schema":"https://github.com/citation-style-language/schema/raw/master/csl-citation.json"} </w:instrText>
      </w:r>
      <w:r w:rsidR="0036204D">
        <w:rPr>
          <w:rFonts w:ascii="Arial" w:hAnsi="Arial" w:cs="Arial"/>
          <w:sz w:val="20"/>
          <w:szCs w:val="20"/>
        </w:rPr>
        <w:fldChar w:fldCharType="separate"/>
      </w:r>
      <w:r w:rsidR="0036204D" w:rsidRPr="0036204D">
        <w:rPr>
          <w:rFonts w:ascii="Arial" w:hAnsi="Arial" w:cs="Arial"/>
          <w:sz w:val="20"/>
        </w:rPr>
        <w:t>(5)</w:t>
      </w:r>
      <w:r w:rsidR="0036204D">
        <w:rPr>
          <w:rFonts w:ascii="Arial" w:hAnsi="Arial" w:cs="Arial"/>
          <w:sz w:val="20"/>
          <w:szCs w:val="20"/>
        </w:rPr>
        <w:fldChar w:fldCharType="end"/>
      </w:r>
      <w:r w:rsidRPr="0081530F">
        <w:rPr>
          <w:rFonts w:ascii="Arial" w:hAnsi="Arial" w:cs="Arial"/>
          <w:sz w:val="20"/>
          <w:szCs w:val="20"/>
        </w:rPr>
        <w:t>.</w:t>
      </w:r>
    </w:p>
    <w:p w14:paraId="1CD6C6A1" w14:textId="66A23058" w:rsidR="0081530F" w:rsidRPr="0081530F" w:rsidRDefault="0081530F" w:rsidP="0081530F">
      <w:pPr>
        <w:rPr>
          <w:rFonts w:ascii="Arial" w:hAnsi="Arial" w:cs="Arial"/>
          <w:sz w:val="20"/>
          <w:szCs w:val="20"/>
        </w:rPr>
      </w:pPr>
      <w:r w:rsidRPr="0081530F">
        <w:rPr>
          <w:rFonts w:ascii="Arial" w:hAnsi="Arial" w:cs="Arial"/>
          <w:sz w:val="20"/>
          <w:szCs w:val="20"/>
        </w:rPr>
        <w:t>In sub-Saharan Africa, the burden of malnutrition remains disproportionately high. Stunting prevalence in the region stands at 31% and wasting at 6%, among the highest globally</w:t>
      </w:r>
      <w:r w:rsidR="006D50E4">
        <w:rPr>
          <w:rFonts w:ascii="Arial" w:hAnsi="Arial" w:cs="Arial"/>
          <w:sz w:val="20"/>
          <w:szCs w:val="20"/>
        </w:rPr>
        <w:fldChar w:fldCharType="begin"/>
      </w:r>
      <w:r w:rsidR="006D50E4">
        <w:rPr>
          <w:rFonts w:ascii="Arial" w:hAnsi="Arial" w:cs="Arial"/>
          <w:sz w:val="20"/>
          <w:szCs w:val="20"/>
        </w:rPr>
        <w:instrText xml:space="preserve"> ADDIN ZOTERO_ITEM CSL_CITATION {"citationID":"IRKVEwa1","properties":{"formattedCitation":"(6)","plainCitation":"(6)","noteIndex":0},"citationItems":[{"id":6551,"uris":["http://zotero.org/users/15244130/items/9EFI5XLX"],"itemData":{"id":6551,"type":"webpage","title":"Guidelines for assessing nutrition-related knowledge, attitudes and practices","URL":"https://www.fao.org/4/i3545e/i3545e00.htm","author":[{"literal":"Food and Agriculture Organization of the United Nations"}],"accessed":{"date-parts":[["2025",8,29]]},"issued":{"date-parts":[["2014"]]}}}],"schema":"https://github.com/citation-style-language/schema/raw/master/csl-citation.json"} </w:instrText>
      </w:r>
      <w:r w:rsidR="006D50E4">
        <w:rPr>
          <w:rFonts w:ascii="Arial" w:hAnsi="Arial" w:cs="Arial"/>
          <w:sz w:val="20"/>
          <w:szCs w:val="20"/>
        </w:rPr>
        <w:fldChar w:fldCharType="separate"/>
      </w:r>
      <w:r w:rsidR="006D50E4" w:rsidRPr="006D50E4">
        <w:rPr>
          <w:rFonts w:ascii="Arial" w:hAnsi="Arial" w:cs="Arial"/>
          <w:sz w:val="20"/>
        </w:rPr>
        <w:t>(6)</w:t>
      </w:r>
      <w:r w:rsidR="006D50E4">
        <w:rPr>
          <w:rFonts w:ascii="Arial" w:hAnsi="Arial" w:cs="Arial"/>
          <w:sz w:val="20"/>
          <w:szCs w:val="20"/>
        </w:rPr>
        <w:fldChar w:fldCharType="end"/>
      </w:r>
      <w:r w:rsidRPr="0081530F">
        <w:rPr>
          <w:rFonts w:ascii="Arial" w:hAnsi="Arial" w:cs="Arial"/>
          <w:sz w:val="20"/>
          <w:szCs w:val="20"/>
        </w:rPr>
        <w:t>. West Africa, including Ghana, contributes significantly to these figures, with structural inequalities, food insecurity, and health system challenges perpetuating child malnutrition</w:t>
      </w:r>
      <w:r w:rsidR="006D50E4">
        <w:rPr>
          <w:rFonts w:ascii="Arial" w:hAnsi="Arial" w:cs="Arial"/>
          <w:sz w:val="20"/>
          <w:szCs w:val="20"/>
        </w:rPr>
        <w:fldChar w:fldCharType="begin"/>
      </w:r>
      <w:r w:rsidR="00C240B6">
        <w:rPr>
          <w:rFonts w:ascii="Arial" w:hAnsi="Arial" w:cs="Arial"/>
          <w:sz w:val="20"/>
          <w:szCs w:val="20"/>
        </w:rPr>
        <w:instrText xml:space="preserve"> ADDIN ZOTERO_ITEM CSL_CITATION {"citationID":"dX3mUEpN","properties":{"formattedCitation":"(7)","plainCitation":"(7)","noteIndex":0},"citationItems":[{"id":6521,"uris":["http://zotero.org/users/15244130/items/B3VUJMUX"],"itemData":{"id":6521,"type":"article-journal","abstract":"Background\n              Stunting and overweight are nutritional problems affecting most of sub-Saharan Africa. The region now has the world's highest rate of stunting among children (43%), while overweight and obesity are becoming a global epidemic, and Africa is not spared. The past two decades have seen a dramatic increase in obesity in sub-Saharan Africa.\n            \n            \n              Objective\n              The purpose of this systematic review is to explore the determinants of stunting and overweight in sub-Saharan Africa.\n            \n            \n              Methods\n              A literature search was conducted in PubMed using the key words stunting, overweight, obesity, Africa, sub-Saharan Africa, determinants, and prevalence. Limits were set to include articles published between 1990 and 2012. The systematic review resulted in 38 studies, and after selection based on title, content, and country of the study, 18 studies were eligible for this review. Data were analyzed by the chi-square test.\n            \n            \n              Results\n              The prevalence rates of stunting and over-weight were dependent on socioeconomic, demographic, and environmental factors. Many studies indicate that male children and those living in a rural setting are more likely to be stunted, whereas overweight among children depends more on age, household composition, occupation of the mother, and the mother's body mass index. Stunting occurred together with overweight among both boys and girls from 1 to 5 years of age. Stunting was more prevalent among boys than among girls. Indicators of socioeconomic status, such as mother's education, mother's occupation, and household income, were some of the determinants directly linked to stunting, whereas environmental factors, such as rural or urban setting and sanitation, influenced both stunting and overweight. Concurrent stunting and overweight is influenced by maternal and household factors, such as maternal height, age, and education, large household size, and lower socioeconomic status.\n            \n            \n              Conclusions\n              Although socioeconomic, demographic, and environmental factors were significant in determining stunting and overweight, other factors, such as nutrition and lifestyle, were important risk factors. Stunting in childhood is a risk factor that may result in overweight and obesity later in adolescence and adulthood, indicating the need to screen children below 1 year of age to identify stunting early in life. Promoting exclusive breastfeeding is reported to be important in preventing both stunting and overweight among children. More research is needed to explore the relationship between stunting and overweight and to explore policy guidelines to address the phenomenon.","container-title":"Food and Nutrition Bulletin","DOI":"10.1177/156482651403500203","ISSN":"0379-5721, 1564-8265","issue":"2","journalAbbreviation":"Food Nutr Bull","language":"en","page":"167-178","source":"DOI.org (Crossref)","title":"Determinants of Stunting and Overweight among Young Children and Adolescents in Sub-Saharan Africa","volume":"35","author":[{"family":"Keino","given":"Susan"},{"family":"Plasqui","given":"Guy"},{"family":"Ettyang","given":"Grace"},{"family":"Van Den Borne","given":"Bart"}],"issued":{"date-parts":[["2014",6]]}}}],"schema":"https://github.com/citation-style-language/schema/raw/master/csl-citation.json"} </w:instrText>
      </w:r>
      <w:r w:rsidR="006D50E4">
        <w:rPr>
          <w:rFonts w:ascii="Arial" w:hAnsi="Arial" w:cs="Arial"/>
          <w:sz w:val="20"/>
          <w:szCs w:val="20"/>
        </w:rPr>
        <w:fldChar w:fldCharType="separate"/>
      </w:r>
      <w:r w:rsidR="00C240B6" w:rsidRPr="00C240B6">
        <w:rPr>
          <w:rFonts w:ascii="Arial" w:hAnsi="Arial" w:cs="Arial"/>
          <w:sz w:val="20"/>
        </w:rPr>
        <w:t>(7)</w:t>
      </w:r>
      <w:r w:rsidR="006D50E4">
        <w:rPr>
          <w:rFonts w:ascii="Arial" w:hAnsi="Arial" w:cs="Arial"/>
          <w:sz w:val="20"/>
          <w:szCs w:val="20"/>
        </w:rPr>
        <w:fldChar w:fldCharType="end"/>
      </w:r>
      <w:r w:rsidRPr="0081530F">
        <w:rPr>
          <w:rFonts w:ascii="Arial" w:hAnsi="Arial" w:cs="Arial"/>
          <w:sz w:val="20"/>
          <w:szCs w:val="20"/>
        </w:rPr>
        <w:t>. Ghana has made progress over the past two decades in reducing stunting, but regional disparities persist. The Ghana Demographic and Health Survey (GDHS)</w:t>
      </w:r>
      <w:r w:rsidR="00C240B6">
        <w:rPr>
          <w:rFonts w:ascii="Arial" w:hAnsi="Arial" w:cs="Arial"/>
          <w:sz w:val="20"/>
          <w:szCs w:val="20"/>
        </w:rPr>
        <w:t xml:space="preserve"> </w:t>
      </w:r>
      <w:r w:rsidRPr="0081530F">
        <w:rPr>
          <w:rFonts w:ascii="Arial" w:hAnsi="Arial" w:cs="Arial"/>
          <w:sz w:val="20"/>
          <w:szCs w:val="20"/>
        </w:rPr>
        <w:t>reported that 17% of children under five years were stunted, 12% were underweight, and 6% were wasted nationally</w:t>
      </w:r>
      <w:r w:rsidR="00C240B6">
        <w:rPr>
          <w:rFonts w:ascii="Arial" w:hAnsi="Arial" w:cs="Arial"/>
          <w:sz w:val="20"/>
          <w:szCs w:val="20"/>
        </w:rPr>
        <w:fldChar w:fldCharType="begin"/>
      </w:r>
      <w:r w:rsidR="00CC1511">
        <w:rPr>
          <w:rFonts w:ascii="Arial" w:hAnsi="Arial" w:cs="Arial"/>
          <w:sz w:val="20"/>
          <w:szCs w:val="20"/>
        </w:rPr>
        <w:instrText xml:space="preserve"> ADDIN ZOTERO_ITEM CSL_CITATION {"citationID":"F09YOxcc","properties":{"formattedCitation":"(8)","plainCitation":"(8)","noteIndex":0},"citationItems":[{"id":6611,"uris":["http://zotero.org/users/15244130/items/LR3225WY"],"itemData":{"id":6611,"type":"report","event-place":"Accra, Ghana; Rockville, Maryland, USA","genre":"Government report / DHS report","number":"PR149","publisher":"Ghana Statistical Service (GSS) &amp; ICF","publisher-place":"Accra, Ghana; Rockville, Maryland, USA","title":"Ghana Demographic and Health Survey 2022: Key Indicators Report","URL":"https://www.dhsprogram.com/pubs/pdf/FR387/FR387.pdf","author":[{"literal":"Ghana Statistical Service; ICF"}],"accessed":{"date-parts":[["2025",8,29]]},"issued":{"date-parts":[["2024"]]}}}],"schema":"https://github.com/citation-style-language/schema/raw/master/csl-citation.json"} </w:instrText>
      </w:r>
      <w:r w:rsidR="00C240B6">
        <w:rPr>
          <w:rFonts w:ascii="Arial" w:hAnsi="Arial" w:cs="Arial"/>
          <w:sz w:val="20"/>
          <w:szCs w:val="20"/>
        </w:rPr>
        <w:fldChar w:fldCharType="separate"/>
      </w:r>
      <w:r w:rsidR="00CC1511" w:rsidRPr="00CC1511">
        <w:rPr>
          <w:rFonts w:ascii="Arial" w:hAnsi="Arial" w:cs="Arial"/>
          <w:sz w:val="20"/>
        </w:rPr>
        <w:t>(8)</w:t>
      </w:r>
      <w:r w:rsidR="00C240B6">
        <w:rPr>
          <w:rFonts w:ascii="Arial" w:hAnsi="Arial" w:cs="Arial"/>
          <w:sz w:val="20"/>
          <w:szCs w:val="20"/>
        </w:rPr>
        <w:fldChar w:fldCharType="end"/>
      </w:r>
      <w:r w:rsidRPr="0081530F">
        <w:rPr>
          <w:rFonts w:ascii="Arial" w:hAnsi="Arial" w:cs="Arial"/>
          <w:sz w:val="20"/>
          <w:szCs w:val="20"/>
        </w:rPr>
        <w:t xml:space="preserve">. However, in the Northern, Upper East, Upper West, Savannah, and North East regions, stunting rates are consistently higher, reaching over 25% in some districts </w:t>
      </w:r>
      <w:r w:rsidR="00C240B6">
        <w:rPr>
          <w:rFonts w:ascii="Arial" w:hAnsi="Arial" w:cs="Arial"/>
          <w:sz w:val="20"/>
          <w:szCs w:val="20"/>
        </w:rPr>
        <w:fldChar w:fldCharType="begin"/>
      </w:r>
      <w:r w:rsidR="00CC1511">
        <w:rPr>
          <w:rFonts w:ascii="Arial" w:hAnsi="Arial" w:cs="Arial"/>
          <w:sz w:val="20"/>
          <w:szCs w:val="20"/>
        </w:rPr>
        <w:instrText xml:space="preserve"> ADDIN ZOTERO_ITEM CSL_CITATION {"citationID":"Bod4A7R2","properties":{"formattedCitation":"(8)","plainCitation":"(8)","noteIndex":0},"citationItems":[{"id":6611,"uris":["http://zotero.org/users/15244130/items/LR3225WY"],"itemData":{"id":6611,"type":"report","event-place":"Accra, Ghana; Rockville, Maryland, USA","genre":"Government report / DHS report","number":"PR149","publisher":"Ghana Statistical Service (GSS) &amp; ICF","publisher-place":"Accra, Ghana; Rockville, Maryland, USA","title":"Ghana Demographic and Health Survey 2022: Key Indicators Report","URL":"https://www.dhsprogram.com/pubs/pdf/FR387/FR387.pdf","author":[{"literal":"Ghana Statistical Service; ICF"}],"accessed":{"date-parts":[["2025",8,29]]},"issued":{"date-parts":[["2024"]]}}}],"schema":"https://github.com/citation-style-language/schema/raw/master/csl-citation.json"} </w:instrText>
      </w:r>
      <w:r w:rsidR="00C240B6">
        <w:rPr>
          <w:rFonts w:ascii="Arial" w:hAnsi="Arial" w:cs="Arial"/>
          <w:sz w:val="20"/>
          <w:szCs w:val="20"/>
        </w:rPr>
        <w:fldChar w:fldCharType="separate"/>
      </w:r>
      <w:r w:rsidR="00CC1511" w:rsidRPr="00CC1511">
        <w:rPr>
          <w:rFonts w:ascii="Arial" w:hAnsi="Arial" w:cs="Arial"/>
          <w:sz w:val="20"/>
        </w:rPr>
        <w:t>(8)</w:t>
      </w:r>
      <w:r w:rsidR="00C240B6">
        <w:rPr>
          <w:rFonts w:ascii="Arial" w:hAnsi="Arial" w:cs="Arial"/>
          <w:sz w:val="20"/>
          <w:szCs w:val="20"/>
        </w:rPr>
        <w:fldChar w:fldCharType="end"/>
      </w:r>
      <w:r w:rsidRPr="0081530F">
        <w:rPr>
          <w:rFonts w:ascii="Arial" w:hAnsi="Arial" w:cs="Arial"/>
          <w:sz w:val="20"/>
          <w:szCs w:val="20"/>
        </w:rPr>
        <w:t>. These figures underscore persistent inequities in child health, disproportionately affecting rural and agrarian populations.</w:t>
      </w:r>
    </w:p>
    <w:p w14:paraId="768ECB8D" w14:textId="791A5B6D" w:rsidR="0081530F" w:rsidRPr="0081530F" w:rsidRDefault="0081530F" w:rsidP="0081530F">
      <w:pPr>
        <w:rPr>
          <w:rFonts w:ascii="Arial" w:hAnsi="Arial" w:cs="Arial"/>
          <w:sz w:val="20"/>
          <w:szCs w:val="20"/>
        </w:rPr>
      </w:pPr>
      <w:r w:rsidRPr="0081530F">
        <w:rPr>
          <w:rFonts w:ascii="Arial" w:hAnsi="Arial" w:cs="Arial"/>
          <w:sz w:val="20"/>
          <w:szCs w:val="20"/>
        </w:rPr>
        <w:t xml:space="preserve">Maternal knowledge and infant feeding practices are central to child nutritional outcomes. The World Health Organization </w:t>
      </w:r>
      <w:r w:rsidR="00284117">
        <w:rPr>
          <w:rFonts w:ascii="Arial" w:hAnsi="Arial" w:cs="Arial"/>
          <w:sz w:val="20"/>
          <w:szCs w:val="20"/>
        </w:rPr>
        <w:fldChar w:fldCharType="begin"/>
      </w:r>
      <w:r w:rsidR="00284117">
        <w:rPr>
          <w:rFonts w:ascii="Arial" w:hAnsi="Arial" w:cs="Arial"/>
          <w:sz w:val="20"/>
          <w:szCs w:val="20"/>
        </w:rPr>
        <w:instrText xml:space="preserve"> ADDIN ZOTERO_ITEM CSL_CITATION {"citationID":"5zE60H9a","properties":{"formattedCitation":"(1)","plainCitation":"(1)","noteIndex":0},"citationItems":[{"id":6564,"uris":["http://zotero.org/users/15244130/items/TDR59S6K"],"itemData":{"id":6564,"type":"webpage","abstract":"This report summarizes the discussion and consensus reached on 8 core indicators and 7 optional indicators for assessing infant and young child \nfeeding practices that are population-based and can be derived from household survey data.","language":"en","title":"Indicators for assessing infant and young child feeding practices: part 1 definition","title-short":"Indicators for assessing infant and young child feeding practices","URL":"https://www.who.int/publications/i/item/9789241596664","author":[{"literal":"World Health Organization"}],"accessed":{"date-parts":[["2025",8,29]]},"issued":{"date-parts":[["2008"]]}}}],"schema":"https://github.com/citation-style-language/schema/raw/master/csl-citation.json"} </w:instrText>
      </w:r>
      <w:r w:rsidR="00284117">
        <w:rPr>
          <w:rFonts w:ascii="Arial" w:hAnsi="Arial" w:cs="Arial"/>
          <w:sz w:val="20"/>
          <w:szCs w:val="20"/>
        </w:rPr>
        <w:fldChar w:fldCharType="separate"/>
      </w:r>
      <w:r w:rsidR="00284117" w:rsidRPr="00284117">
        <w:rPr>
          <w:rFonts w:ascii="Arial" w:hAnsi="Arial" w:cs="Arial"/>
          <w:sz w:val="20"/>
        </w:rPr>
        <w:t>(1)</w:t>
      </w:r>
      <w:r w:rsidR="00284117">
        <w:rPr>
          <w:rFonts w:ascii="Arial" w:hAnsi="Arial" w:cs="Arial"/>
          <w:sz w:val="20"/>
          <w:szCs w:val="20"/>
        </w:rPr>
        <w:fldChar w:fldCharType="end"/>
      </w:r>
      <w:r w:rsidRPr="0081530F">
        <w:rPr>
          <w:rFonts w:ascii="Arial" w:hAnsi="Arial" w:cs="Arial"/>
          <w:sz w:val="20"/>
          <w:szCs w:val="20"/>
        </w:rPr>
        <w:t xml:space="preserve"> emphasizes that exclusive breastfeeding for the first six months, followed by the timely introduction of safe and nutritionally adequate complementary foods while continuing breastfeeding up to two years or beyond, are key to preventing malnutrition. Evidence shows that poor infant and young child feeding (IYCF) practices contribute more to malnutrition than food insecurity alone</w:t>
      </w:r>
      <w:r w:rsidR="00284117">
        <w:rPr>
          <w:rFonts w:ascii="Arial" w:hAnsi="Arial" w:cs="Arial"/>
          <w:sz w:val="20"/>
          <w:szCs w:val="20"/>
        </w:rPr>
        <w:fldChar w:fldCharType="begin"/>
      </w:r>
      <w:r w:rsidR="00284117">
        <w:rPr>
          <w:rFonts w:ascii="Arial" w:hAnsi="Arial" w:cs="Arial"/>
          <w:sz w:val="20"/>
          <w:szCs w:val="20"/>
        </w:rPr>
        <w:instrText xml:space="preserve"> ADDIN ZOTERO_ITEM CSL_CITATION {"citationID":"ZkPH8lvv","properties":{"formattedCitation":"(4)","plainCitation":"(4)","noteIndex":0},"citationItems":[{"id":6545,"uris":["http://zotero.org/users/15244130/items/Y99EI62Z"],"itemData":{"id":6545,"type":"article-journal","container-title":"The Lancet","DOI":"10.1016/S0140-6736(13)60937-X","ISSN":"01406736","issue":"9890","journalAbbreviation":"The Lancet","language":"en","page":"427-451","source":"DOI.org (Crossref)","title":"Maternal and child undernutrition and overweight in low-income and middle-income countries","volume":"382","author":[{"family":"Black","given":"Robert E"},{"family":"Victora","given":"Cesar G"},{"family":"Walker","given":"Susan P"},{"family":"Bhutta","given":"Zulfiqar A"},{"family":"Christian","given":"Parul"},{"family":"De Onis","given":"Mercedes"},{"family":"Ezzati","given":"Majid"},{"family":"Grantham-McGregor","given":"Sally"},{"family":"Katz","given":"Joanne"},{"family":"Martorell","given":"Reynaldo"},{"family":"Uauy","given":"Ricardo"}],"issued":{"date-parts":[["2013",8]]}}}],"schema":"https://github.com/citation-style-language/schema/raw/master/csl-citation.json"} </w:instrText>
      </w:r>
      <w:r w:rsidR="00284117">
        <w:rPr>
          <w:rFonts w:ascii="Arial" w:hAnsi="Arial" w:cs="Arial"/>
          <w:sz w:val="20"/>
          <w:szCs w:val="20"/>
        </w:rPr>
        <w:fldChar w:fldCharType="separate"/>
      </w:r>
      <w:r w:rsidR="00284117" w:rsidRPr="00284117">
        <w:rPr>
          <w:rFonts w:ascii="Arial" w:hAnsi="Arial" w:cs="Arial"/>
          <w:sz w:val="20"/>
        </w:rPr>
        <w:t>(4)</w:t>
      </w:r>
      <w:r w:rsidR="00284117">
        <w:rPr>
          <w:rFonts w:ascii="Arial" w:hAnsi="Arial" w:cs="Arial"/>
          <w:sz w:val="20"/>
          <w:szCs w:val="20"/>
        </w:rPr>
        <w:fldChar w:fldCharType="end"/>
      </w:r>
      <w:r w:rsidRPr="0081530F">
        <w:rPr>
          <w:rFonts w:ascii="Arial" w:hAnsi="Arial" w:cs="Arial"/>
          <w:sz w:val="20"/>
          <w:szCs w:val="20"/>
        </w:rPr>
        <w:t xml:space="preserve">. Yet, studies in Ghana and other low- and middle-income countries reveal that exclusive breastfeeding, timely initiation of complementary feeding, minimum dietary diversity, and minimum acceptable diet remain suboptimal </w:t>
      </w:r>
      <w:r w:rsidR="00284117">
        <w:rPr>
          <w:rFonts w:ascii="Arial" w:hAnsi="Arial" w:cs="Arial"/>
          <w:sz w:val="20"/>
          <w:szCs w:val="20"/>
        </w:rPr>
        <w:fldChar w:fldCharType="begin"/>
      </w:r>
      <w:r w:rsidR="00CC1511">
        <w:rPr>
          <w:rFonts w:ascii="Arial" w:hAnsi="Arial" w:cs="Arial"/>
          <w:sz w:val="20"/>
          <w:szCs w:val="20"/>
        </w:rPr>
        <w:instrText xml:space="preserve"> ADDIN ZOTERO_ITEM CSL_CITATION {"citationID":"vkenR3ik","properties":{"formattedCitation":"(9\\uc0\\u8211{}11)","plainCitation":"(9–11)","noteIndex":0},"citationItems":[{"id":6536,"uris":["http://zotero.org/users/15244130/items/JQNMNGPL"],"itemData":{"id":6536,"type":"article-journal","abstract":"Objective\n              . The main aim of the study was to assess the magnitude of concurrent wasting and stunting among Ghanaian preschool children. Secondly, we investigated the relationship between wasting and stunting as well as factors associated with these conditions.\n              Methods\n              . This paper is based on reanalysis of anthropometric and other relevant data which was collected in the 2014 Ghana Demographic and Health Survey. The data set consisted of 2,720 preschool children aged 0–59 months. We conducted three-step moderated hierarchical multiple regression analyses to determine independent predictors and moderators of height-for-age\n              \n                \n                  Z\n                \n              \n              -score.\n              Results\n              . Nationally, the prevalence of concurrent wasting and stunting among children aged 0–59 months was low at 1.4% but it varied geographically with the Upper East Region having the highest prevalence of 3.2% (95% CI: 1.7–5.8). Children who had low weight-for-height\n              \n                \n                  Z\n                \n              \n              -scores were at a higher risk of linear growth retardation (stunting) especially among children aged less than three years. A 1-unit increase in weight-for-height\n              \n                \n                  Z\n                \n              \n              -score (WHZ) was associated with 0.07 standard units’ increase in height-for-age\n              \n                \n                  Z\n                \n              \n              -score (HAZ) [\n              β\n              = 0.071 (95% CI: 0.03, 0.15)].\n              Conclusions\n              . The study results suggest that weight-for-height relates to linear growth but this relationship is moderated by age of child. Stunting and wasting share some common risk factors. Therefore, measures to prevent wasting may positively influence linear growth.","container-title":"Journal of Nutrition and Metabolism","DOI":"10.1155/2016/4654920","ISSN":"2090-0724, 2090-0732","journalAbbreviation":"Journal of Nutrition and Metabolism","language":"en","license":"http://creativecommons.org/licenses/by/4.0/","page":"1-11","source":"DOI.org (Crossref)","title":"Relationships between Wasting and Stunting and Their Concurrent Occurrence in Ghanaian Preschool Children","volume":"2016","author":[{"family":"Saaka","given":"Mahama"},{"family":"Galaa","given":"Sylvester Zackaria"}],"issued":{"date-parts":[["2016"]]}}},{"id":6523,"uris":["http://zotero.org/users/15244130/items/YD3T25AD"],"itemData":{"id":6523,"type":"article-journal","abstract":"BACKGROUND: The World Health Organisation (WHO) recommends exclusive breastfeeding during the first six months of life for optimal growth, development and health. Breastfeeding should continue up to two years or more and nutritionally adequate, safe, and appropriately-fed complementary foods should be introduced at the age of six months to meet the evolving needs of the growing infant. Little evidence exists on breastfeeding and infant feeding practices in urban slums in sub-Saharan Africa. Our aim was to assess breastfeeding and infant feeding practices in Nairobi slums with reference to WHO recommendations.\nMETHODS: Data from a longitudinal study conducted in two Nairobi slums are used. The study used information on the first year of life of 4299 children born between September 2006 and January 2010. All women who gave birth during this period were interviewed on breastfeeding and complementary feeding practices at recruitment and this information was updated twice, at four-monthly intervals. Cox proportional hazard analysis was used to determine factors associated with cessation of breastfeeding in infancy and early introduction of complementary foods.\nRESULTS: There was universal breastfeeding with almost all children (99%) having ever been breastfed. However, more than a third (37%) were not breastfed in the first hour following delivery, and 40% were given something to drink other than the mothers' breast milk within 3 days after delivery. About 85% of infants were still breastfeeding by the end of the 11th month. Exclusive breastfeeding for the first six months was rare as only about 2% of infants were exclusively breastfed for six months. Factors associated with sub-optimal infant breastfeeding and feeding practices in these settings include child's sex; perceived size at birth; mother's marital status, ethnicity; education level; family planning (pregnancy desirability); health seeking behaviour (place of delivery) and; neighbourhood (slum of residence).\nCONCLUSIONS: The study indicates poor adherence to WHO recommendations for breastfeeding and infant feeding practices. Interventions and further research should pay attention to factors such as cultural practices, access to and utilization of health care facilities, child feeding education, and family planning.","container-title":"BMC public health","DOI":"10.1186/1471-2458-11-396","ISSN":"1471-2458","journalAbbreviation":"BMC Public Health","language":"eng","note":"PMID: 21615957\nPMCID: PMC3118248","page":"396","source":"PubMed","title":"Patterns and determinants of breastfeeding and complementary feeding practices in urban informal settlements, Nairobi Kenya","volume":"11","author":[{"family":"Kimani-Murage","given":"Elizabeth W."},{"family":"Madise","given":"Nyovani J."},{"family":"Fotso","given":"Jean-Christophe"},{"family":"Kyobutungi","given":"Catherine"},{"family":"Mutua","given":"Martin K."},{"family":"Gitau","given":"Tabither M."},{"family":"Yatich","given":"Nelly"}],"issued":{"date-parts":[["2011",5,26]]}}},{"id":1505,"uris":["http://zotero.org/users/15244130/items/RWPG6JVN"],"itemData":{"id":1505,"type":"article-journal","container-title":"International breastfeeding journal","ISSN":"1746-4358","issue":"1","note":"publisher: Springer","page":"1-9","title":"Breastfeeding practices and determinants of exclusive breastfeeding in a cross-sectional study at a child welfare clinic in Tema Manhean, Ghana","volume":"13","author":[{"family":"Asare","given":"Bernard Yeboah-Asiamah"},{"family":"Preko","given":"Joyce Veronica"},{"family":"Baafi","given":"Diana"},{"family":"Dwumfour-Asare","given":"Bismark"}],"issued":{"date-parts":[["2018"]]}}}],"schema":"https://github.com/citation-style-language/schema/raw/master/csl-citation.json"} </w:instrText>
      </w:r>
      <w:r w:rsidR="00284117">
        <w:rPr>
          <w:rFonts w:ascii="Arial" w:hAnsi="Arial" w:cs="Arial"/>
          <w:sz w:val="20"/>
          <w:szCs w:val="20"/>
        </w:rPr>
        <w:fldChar w:fldCharType="separate"/>
      </w:r>
      <w:r w:rsidR="00CC1511" w:rsidRPr="00CC1511">
        <w:rPr>
          <w:rFonts w:ascii="Arial" w:hAnsi="Arial" w:cs="Arial"/>
          <w:kern w:val="0"/>
          <w:sz w:val="20"/>
        </w:rPr>
        <w:t>(9–11)</w:t>
      </w:r>
      <w:r w:rsidR="00284117">
        <w:rPr>
          <w:rFonts w:ascii="Arial" w:hAnsi="Arial" w:cs="Arial"/>
          <w:sz w:val="20"/>
          <w:szCs w:val="20"/>
        </w:rPr>
        <w:fldChar w:fldCharType="end"/>
      </w:r>
      <w:r w:rsidRPr="0081530F">
        <w:rPr>
          <w:rFonts w:ascii="Arial" w:hAnsi="Arial" w:cs="Arial"/>
          <w:sz w:val="20"/>
          <w:szCs w:val="20"/>
        </w:rPr>
        <w:t>. The 2022 GDHS reported that only 41% of Ghanaian children aged 6–23 months met minimum dietary diversity, with the lowest rates in the northern regions</w:t>
      </w:r>
      <w:r w:rsidR="00EF2EB4">
        <w:rPr>
          <w:rFonts w:ascii="Arial" w:hAnsi="Arial" w:cs="Arial"/>
          <w:sz w:val="20"/>
          <w:szCs w:val="20"/>
        </w:rPr>
        <w:fldChar w:fldCharType="begin"/>
      </w:r>
      <w:r w:rsidR="009C6D18">
        <w:rPr>
          <w:rFonts w:ascii="Arial" w:hAnsi="Arial" w:cs="Arial"/>
          <w:sz w:val="20"/>
          <w:szCs w:val="20"/>
        </w:rPr>
        <w:instrText xml:space="preserve"> ADDIN ZOTERO_ITEM CSL_CITATION {"citationID":"EYP078OU","properties":{"formattedCitation":"(8)","plainCitation":"(8)","noteIndex":0},"citationItems":[{"id":6611,"uris":["http://zotero.org/users/15244130/items/LR3225WY"],"itemData":{"id":6611,"type":"report","event-place":"Accra, Ghana; Rockville, Maryland, USA","genre":"Government report / DHS report","number":"PR149","publisher":"Ghana Statistical Service (GSS) &amp; ICF","publisher-place":"Accra, Ghana; Rockville, Maryland, USA","title":"Ghana Demographic and Health Survey 2022: Key Indicators Report","URL":"https://www.dhsprogram.com/pubs/pdf/FR387/FR387.pdf","author":[{"literal":"Ghana Statistical Service; ICF"}],"accessed":{"date-parts":[["2025",8,29]]},"issued":{"date-parts":[["2024"]]}}}],"schema":"https://github.com/citation-style-language/schema/raw/master/csl-citation.json"} </w:instrText>
      </w:r>
      <w:r w:rsidR="00EF2EB4">
        <w:rPr>
          <w:rFonts w:ascii="Arial" w:hAnsi="Arial" w:cs="Arial"/>
          <w:sz w:val="20"/>
          <w:szCs w:val="20"/>
        </w:rPr>
        <w:fldChar w:fldCharType="separate"/>
      </w:r>
      <w:r w:rsidR="009C6D18" w:rsidRPr="009C6D18">
        <w:rPr>
          <w:rFonts w:ascii="Arial" w:hAnsi="Arial" w:cs="Arial"/>
          <w:sz w:val="20"/>
        </w:rPr>
        <w:t>(8)</w:t>
      </w:r>
      <w:r w:rsidR="00EF2EB4">
        <w:rPr>
          <w:rFonts w:ascii="Arial" w:hAnsi="Arial" w:cs="Arial"/>
          <w:sz w:val="20"/>
          <w:szCs w:val="20"/>
        </w:rPr>
        <w:fldChar w:fldCharType="end"/>
      </w:r>
      <w:r w:rsidRPr="0081530F">
        <w:rPr>
          <w:rFonts w:ascii="Arial" w:hAnsi="Arial" w:cs="Arial"/>
          <w:sz w:val="20"/>
          <w:szCs w:val="20"/>
        </w:rPr>
        <w:t>.</w:t>
      </w:r>
    </w:p>
    <w:p w14:paraId="5F23E1D9" w14:textId="029769CF" w:rsidR="0081530F" w:rsidRPr="0081530F" w:rsidRDefault="0081530F" w:rsidP="0081530F">
      <w:pPr>
        <w:rPr>
          <w:rFonts w:ascii="Arial" w:hAnsi="Arial" w:cs="Arial"/>
          <w:sz w:val="20"/>
          <w:szCs w:val="20"/>
        </w:rPr>
      </w:pPr>
      <w:r w:rsidRPr="0081530F">
        <w:rPr>
          <w:rFonts w:ascii="Arial" w:hAnsi="Arial" w:cs="Arial"/>
          <w:sz w:val="20"/>
          <w:szCs w:val="20"/>
        </w:rPr>
        <w:t>Maternal knowledge is a crucial determinant of feeding practices and child nutrition. In Northern Ghana, Saaka</w:t>
      </w:r>
      <w:r w:rsidR="00EF2EB4">
        <w:rPr>
          <w:rFonts w:ascii="Arial" w:hAnsi="Arial" w:cs="Arial"/>
          <w:sz w:val="20"/>
          <w:szCs w:val="20"/>
        </w:rPr>
        <w:fldChar w:fldCharType="begin"/>
      </w:r>
      <w:r w:rsidR="009C6D18">
        <w:rPr>
          <w:rFonts w:ascii="Arial" w:hAnsi="Arial" w:cs="Arial"/>
          <w:sz w:val="20"/>
          <w:szCs w:val="20"/>
        </w:rPr>
        <w:instrText xml:space="preserve"> ADDIN ZOTERO_ITEM CSL_CITATION {"citationID":"x6cgb5FW","properties":{"formattedCitation":"(12)","plainCitation":"(12)","noteIndex":0},"citationItems":[{"id":6534,"uris":["http://zotero.org/users/15244130/items/ZEHEJMHA"],"itemData":{"id":6534,"type":"article-journal","abstract":"This study assessed the relationship between maternal nutritional knowledge in childcare practices and growth of children living in impoverished rural communities. This was an analytical cross-sectional study which covered a random sample of 991 children aged 0-36 month(s). Multivariate analysis showed that, after adjusting for potential confounders, there was a significant positive association between the childcare knowledge index and mean HAZ (beta = 0.10, p = 0.005) but was not associated with mean WHZ. The strength of association increased among women of high socioeconomic status (beta = 0.15, p = 0.014) but there was no significant association among women of low socioeconomic status. Increase in maternal childcare knowledge may contribute significantly to child's nutritional status in Ghana if there is concurrent improvement in socioeconomic circumstances of women living in deprived rural communities.","container-title":"Journal of Health, Population, and Nutrition","ISSN":"1606-0997","issue":"2","journalAbbreviation":"J Health Popul Nutr","language":"eng","note":"PMID: 25076661\nPMCID: PMC4216960","page":"237-248","source":"PubMed","title":"Relationship between mothers' nutritional knowledge in childcare practices and the growth of children living in impoverished rural communities","volume":"32","author":[{"family":"Saaka","given":"Mahama"}],"issued":{"date-parts":[["2014",6]]}}}],"schema":"https://github.com/citation-style-language/schema/raw/master/csl-citation.json"} </w:instrText>
      </w:r>
      <w:r w:rsidR="00EF2EB4">
        <w:rPr>
          <w:rFonts w:ascii="Arial" w:hAnsi="Arial" w:cs="Arial"/>
          <w:sz w:val="20"/>
          <w:szCs w:val="20"/>
        </w:rPr>
        <w:fldChar w:fldCharType="separate"/>
      </w:r>
      <w:r w:rsidR="009C6D18" w:rsidRPr="009C6D18">
        <w:rPr>
          <w:rFonts w:ascii="Arial" w:hAnsi="Arial" w:cs="Arial"/>
          <w:sz w:val="20"/>
        </w:rPr>
        <w:t>(12)</w:t>
      </w:r>
      <w:r w:rsidR="00EF2EB4">
        <w:rPr>
          <w:rFonts w:ascii="Arial" w:hAnsi="Arial" w:cs="Arial"/>
          <w:sz w:val="20"/>
          <w:szCs w:val="20"/>
        </w:rPr>
        <w:fldChar w:fldCharType="end"/>
      </w:r>
      <w:r w:rsidRPr="0081530F">
        <w:rPr>
          <w:rFonts w:ascii="Arial" w:hAnsi="Arial" w:cs="Arial"/>
          <w:sz w:val="20"/>
          <w:szCs w:val="20"/>
        </w:rPr>
        <w:t xml:space="preserve"> found that low maternal knowledge of complementary feeding was significantly associated with stunting and wasting. Similar findings have been reported in Ethiopia, Nigeria, and Tanzania, where inadequate knowledge increased the risk of undernutrition </w:t>
      </w:r>
      <w:r w:rsidR="003C3479">
        <w:rPr>
          <w:rFonts w:ascii="Arial" w:hAnsi="Arial" w:cs="Arial"/>
          <w:sz w:val="20"/>
          <w:szCs w:val="20"/>
        </w:rPr>
        <w:fldChar w:fldCharType="begin"/>
      </w:r>
      <w:r w:rsidR="009C6D18">
        <w:rPr>
          <w:rFonts w:ascii="Arial" w:hAnsi="Arial" w:cs="Arial"/>
          <w:sz w:val="20"/>
          <w:szCs w:val="20"/>
        </w:rPr>
        <w:instrText xml:space="preserve"> ADDIN ZOTERO_ITEM CSL_CITATION {"citationID":"tfBO2zIx","properties":{"formattedCitation":"(13\\uc0\\u8211{}16)","plainCitation":"(13–16)","noteIndex":0},"citationItems":[{"id":1776,"uris":["http://zotero.org/users/15244130/items/ZMT2YDSP"],"itemData":{"id":1776,"type":"article-journal","container-title":"BMC Health Services Research","ISSN":"1472-6963","issue":"1","note":"publisher: Springer","page":"600","title":"Knowledge, attitude, and practice of health professionals for oxygen therapy working in South Gondar zone hospitals, 2021: multicenter cross-sectional study","volume":"22","author":[{"family":"Demilew","given":"Basazinew Chekol"},{"family":"Mekonen","given":"Agegnehu"},{"family":"Aemro","given":"Agazhe"},{"family":"Sewnet","given":"Nakachew"},{"family":"Hailu","given":"Banchiayehu Alebachew"}],"issued":{"date-parts":[["2022"]]}}},{"id":6542,"uris":["http://zotero.org/users/15244130/items/FVVEGN6I"],"itemData":{"id":6542,"type":"article-journal","abstract":"Inappropriate complementary feeding is one of the major causes of undernutrition among young children in Tanzania. Prevalence of newly developed World Health Organization complementary feeding indicators and their associated factors were determined among 2402 children aged 6-23 months in Tanzania using data from the 2010 Tanzania Demographic and Health Survey. The survey used a multistage cluster sample of 10 300 households from the eight geographical zones in the country. The prevalence of the introduction of soft, semi-solid or solid foods among infants aged 6-8 months was 92.3%. Of all the children aged 6-23 months, the prevalence of minimum dietary diversity, meal frequency and acceptable diet were 38.2%, 38.6% and 15.9%, respectively. Results from multivariate analyses indicated that the main risk factors for inappropriate complementary feeding practices in Tanzania include young child's age (6-11 months), lower level of paternal/maternal education, limited access to mass media, lack of post-natal check-ups, and poor economic status. Overall, complementary feeding practices in Tanzania, as measured by dietary diversity, meal frequency and acceptable diet, are not adequately met, and there is a need for interventions to improve the nutritional status of young children in Tanzania.","container-title":"Maternal &amp; Child Nutrition","DOI":"10.1111/j.1740-8709.2012.00435.x","ISSN":"1740-8709","issue":"4","journalAbbreviation":"Matern Child Nutr","language":"eng","note":"PMID: 22925557\nPMCID: PMC6860229","page":"545-561","source":"PubMed","title":"Factors associated with inappropriate complementary feeding practices among children aged 6-23 months in Tanzania","volume":"10","author":[{"family":"Victor","given":"Rose"},{"family":"Baines","given":"Surinder K."},{"family":"Agho","given":"Kingsley E."},{"family":"Dibley","given":"Michael J."}],"issued":{"date-parts":[["2014",10]]}}},{"id":6512,"uris":["http://zotero.org/users/15244130/items/HZQUUN45"],"itemData":{"id":6512,"type":"article-journal","abstract":"Undernutrition during pregnancy affects birth outcomes adversely. In Ethiopia, despite nutrition counseling on the maternal diet being given by the health workers during pregnancy, maternal undernutrition is still high in the country. Hence, this study aimed to assess the effect of guided counseling using the health belief model and the theory of planned behavior on the nutritional status of pregnant women.","container-title":"Nutrition Journal","DOI":"10.1186/s12937-020-00536-w","ISSN":"1475-2891","issue":"1","journalAbbreviation":"Nutrition Journal","page":"38","source":"BioMed Central","title":"Effect of guided counseling on nutritional status of pregnant women in West Gojjam zone, Ethiopia: a cluster-randomized controlled trial","title-short":"Effect of guided counseling on nutritional status of pregnant women in West Gojjam zone, Ethiopia","volume":"19","author":[{"family":"Demilew","given":"Yeshalem Mulugeta"},{"family":"Alene","given":"Getu Degu"},{"family":"Belachew","given":"Tefera"}],"issued":{"date-parts":[["2020",4,28]]}}},{"id":6531,"uris":["http://zotero.org/users/15244130/items/ZQBV8PC7"],"itemData":{"id":6531,"type":"article-journal","abstract":"BACKGROUND: The success of breastfeeding promotion is influenced by maternal factors. Therefore, it is vital to examine the influence of basic maternal demographic factors on breastfeeding practices.\nOBJECTIVE: To determine the influence of maternal socio-demographic factors on the initiation and exclusivity of breastfeeding.\nMETHOD: A cross-sectional survey of mothers of children aged from 1 to 24 months attending a Nigerian Infant Welfare Clinic was conducted. Respondents were grouped according to age, parity, education, occupation, sites of antenatal care and delivery. These groups were compared for breastfeeding indices using bivariate and multivariate analysis.\nRESULTS: All the 262 respondents breastfed their children. The exclusive breastfeeding rate was 33.3% for children aged 0-3 months, 22.2% for children aged 4-6 months and 19.4% for children aged 7-24 months at the time of the study. Significantly higher proportions of mothers with at least secondary education, clinic-based antenatal care and delivery in health facilities initiated breastfeeding within 1 h of birth, avoided pre-lacteal feeding and practiced exclusive breastfeeding for the first 6 months of life. Maternal age and parity did not confer any advantage on breastfeeding practices. Delivery of children outside health facilities strongly contributed to delayed initiation of breastfeeding (P &lt; 0.001), pre-lacteal feeding (P = 0.003) and failure to breastfeed exclusively (P = 0.049). Maternal education below secondary level strongly contributed to pre-lacteal feeding (P = 0.004) and failure to practice exclusive breastfeeding (P = 0.008).\nCONCLUSION: Low maternal education and non-utilization of orthodox obstetric facilities impairs early initiation and exclusivity of breastfeeding.","container-title":"Maternal and Child Health Journal","DOI":"10.1007/s10995-008-0440-3","ISSN":"1573-6628","issue":"3","journalAbbreviation":"Matern Child Health J","language":"eng","note":"PMID: 19156508","page":"459-465","source":"PubMed","title":"Maternal socio-demographic factors influencing the initiation and exclusivity of breastfeeding in a Nigerian semi-urban setting","volume":"14","author":[{"family":"Ogunlesi","given":"Tinuade A."}],"issued":{"date-parts":[["2010",5]]}}}],"schema":"https://github.com/citation-style-language/schema/raw/master/csl-citation.json"} </w:instrText>
      </w:r>
      <w:r w:rsidR="003C3479">
        <w:rPr>
          <w:rFonts w:ascii="Arial" w:hAnsi="Arial" w:cs="Arial"/>
          <w:sz w:val="20"/>
          <w:szCs w:val="20"/>
        </w:rPr>
        <w:fldChar w:fldCharType="separate"/>
      </w:r>
      <w:r w:rsidR="009C6D18" w:rsidRPr="009C6D18">
        <w:rPr>
          <w:rFonts w:ascii="Arial" w:hAnsi="Arial" w:cs="Arial"/>
          <w:kern w:val="0"/>
          <w:sz w:val="20"/>
        </w:rPr>
        <w:t>(13–16)</w:t>
      </w:r>
      <w:r w:rsidR="003C3479">
        <w:rPr>
          <w:rFonts w:ascii="Arial" w:hAnsi="Arial" w:cs="Arial"/>
          <w:sz w:val="20"/>
          <w:szCs w:val="20"/>
        </w:rPr>
        <w:fldChar w:fldCharType="end"/>
      </w:r>
      <w:r w:rsidRPr="0081530F">
        <w:rPr>
          <w:rFonts w:ascii="Arial" w:hAnsi="Arial" w:cs="Arial"/>
          <w:sz w:val="20"/>
          <w:szCs w:val="20"/>
        </w:rPr>
        <w:t>. Conversely, when mothers are adequately informed and supported, improvements in feeding practices and nutritional status are consistently observed</w:t>
      </w:r>
      <w:r w:rsidR="003C3479">
        <w:rPr>
          <w:rFonts w:ascii="Arial" w:hAnsi="Arial" w:cs="Arial"/>
          <w:sz w:val="20"/>
          <w:szCs w:val="20"/>
        </w:rPr>
        <w:fldChar w:fldCharType="begin"/>
      </w:r>
      <w:r w:rsidR="009C6D18">
        <w:rPr>
          <w:rFonts w:ascii="Arial" w:hAnsi="Arial" w:cs="Arial"/>
          <w:sz w:val="20"/>
          <w:szCs w:val="20"/>
        </w:rPr>
        <w:instrText xml:space="preserve"> ADDIN ZOTERO_ITEM CSL_CITATION {"citationID":"9PtMXzbL","properties":{"formattedCitation":"(17)","plainCitation":"(17)","noteIndex":0},"citationItems":[{"id":6566,"uris":["http://zotero.org/users/15244130/items/S45GUM8M"],"itemData":{"id":6566,"type":"article-journal","abstract":"BACKGROUND: Stunting reflects chronic undernutrition during the most critical periods of growth and development in early life. The study was aimed at assessing the magnitude of stunting and associated factors among children aged 6-59 month in central Ethiopia.\nMETHODS: A community-based cross-sectional study was conducted among 410 children aged between 6 and 59 months. Systematic random sampling technique was employed to select study participants. Interviewer-administered structured questionnaire was used to collect data. The data were entered using EPI INFO version 3.5.1, and analysis was done by SPSS version 21 and ENA, 2007 software for anthropometric calculation. World Health Organization standard 2006 was used to analyse anthropometric data. Bivariate and multivariable logistic regression analyses were also carried out to identify predictors of stunting. Statistical significance was declared at p &lt; 0.05 and 95% CI.\nRESULTS: Overall magnitude of stunting was 52.4 (95% CI: 47.6-57.2). Being female (AOR: 2.8, 95% CI: 1.503-5.099), belonging to age group of 25-59 months (AOR: 4, 95% CI: 1.881-8.424) and birth weight of &lt;2.5 kg (AOR: 5, 95% CI: 1.450-17.309), mothers' lack of ANC visits (AOR: 3.2 95% CI: 1.40-7.10), and mistimed complementary feeding initiation (AOR: 2.4, 95% CI: 1.266-4.606) were positively associated with child stunting, whereas educational status of the mother (AOR: 0.01, 95% CI: 0.001-0.063) showed negative association.\nCONCLUSION: Stunting was a highly prevalent problem in the study area. Low weight at birth, female sex, older age, mistimed initiation of complimentary feeding, and mothers' lack of ANC visit were found to have significant relation with children's chronic malnutrition. Thus, interventions shall effectively address those factors to alleviate the problem.","container-title":"Journal of Nutrition and Metabolism","DOI":"10.1155/2018/1078480","ISSN":"2090-0724","journalAbbreviation":"J Nutr Metab","language":"eng","note":"PMID: 30046469\nPMCID: PMC6036796","page":"1078480","source":"PubMed","title":"Stunting and Its Determinants among Children Aged 6-59 Months in Northern Ethiopia: A Cross-Sectional Study","title-short":"Stunting and Its Determinants among Children Aged 6-59 Months in Northern Ethiopia","volume":"2018","author":[{"family":"Abeway","given":"Shiferaw"},{"family":"Gebremichael","given":"Bereket"},{"family":"Murugan","given":"Rajalakshmi"},{"family":"Assefa","given":"Masresha"},{"family":"Adinew","given":"Yohannes Mehretie"}],"issued":{"date-parts":[["2018"]]}}}],"schema":"https://github.com/citation-style-language/schema/raw/master/csl-citation.json"} </w:instrText>
      </w:r>
      <w:r w:rsidR="003C3479">
        <w:rPr>
          <w:rFonts w:ascii="Arial" w:hAnsi="Arial" w:cs="Arial"/>
          <w:sz w:val="20"/>
          <w:szCs w:val="20"/>
        </w:rPr>
        <w:fldChar w:fldCharType="separate"/>
      </w:r>
      <w:r w:rsidR="009C6D18" w:rsidRPr="009C6D18">
        <w:rPr>
          <w:rFonts w:ascii="Arial" w:hAnsi="Arial" w:cs="Arial"/>
          <w:sz w:val="20"/>
        </w:rPr>
        <w:t>(17)</w:t>
      </w:r>
      <w:r w:rsidR="003C3479">
        <w:rPr>
          <w:rFonts w:ascii="Arial" w:hAnsi="Arial" w:cs="Arial"/>
          <w:sz w:val="20"/>
          <w:szCs w:val="20"/>
        </w:rPr>
        <w:fldChar w:fldCharType="end"/>
      </w:r>
      <w:r w:rsidRPr="0081530F">
        <w:rPr>
          <w:rFonts w:ascii="Arial" w:hAnsi="Arial" w:cs="Arial"/>
          <w:sz w:val="20"/>
          <w:szCs w:val="20"/>
        </w:rPr>
        <w:t xml:space="preserve">. However, knowledge does not always translate directly into practice; social norms, poverty, food availability, and household decision-making dynamics often mediate the relationship </w:t>
      </w:r>
      <w:r w:rsidR="00097CDC">
        <w:rPr>
          <w:rFonts w:ascii="Arial" w:hAnsi="Arial" w:cs="Arial"/>
          <w:sz w:val="20"/>
          <w:szCs w:val="20"/>
        </w:rPr>
        <w:fldChar w:fldCharType="begin"/>
      </w:r>
      <w:r w:rsidR="009C6D18">
        <w:rPr>
          <w:rFonts w:ascii="Arial" w:hAnsi="Arial" w:cs="Arial"/>
          <w:sz w:val="20"/>
          <w:szCs w:val="20"/>
        </w:rPr>
        <w:instrText xml:space="preserve"> ADDIN ZOTERO_ITEM CSL_CITATION {"citationID":"lSEtOISF","properties":{"formattedCitation":"(18)","plainCitation":"(18)","noteIndex":0},"citationItems":[{"id":6528,"uris":["http://zotero.org/users/15244130/items/YZYTMAE4"],"itemData":{"id":6528,"type":"article-journal","abstract":"OBJECTIVE: Most babies receive at least some formula milk. Variations in formula-feeding practices can have both short- and long-term health consequences. The literature on parents' experiences of bottle-feeding was systematically reviewed to understand how formula-feeding decisions are made.\nMETHODS: Relevant English-language papers, identified by searching 12 electronic databases, reference lists and related articles and by contacting first authors of included papers, were systematically searched for and appraised. The included studies were analysed and synthesised using a combination of narrative and thematic approaches. Consensus on the final inclusion, interpretation and synthesis of studies was reached across the research team.\nRESULTS: Six qualitative studies and 17 quantitative studies (involving 13 263 participants) were included. Despite wide differences in study design, context, focus and quality, several consistent themes emerged. Mothers who bottle-fed their babies experienced negative emotions such as guilt, anger, worry, uncertainty and a sense of failure. Mothers reported receiving little information on bottle-feeding and did not feel empowered to make decisions. Mistakes in preparation of bottle-feeds were common. No studies examined how mothers made decisions about the frequency or quantity of bottle-feeds.\nCONCLUSIONS: Inadequate information and support for mothers who decide to bottle-feed may put the health of their babies at risk. While it is important to promote breastfeeding, it is also necessary to ensure that the needs of bottle-feeding mothers are met.","container-title":"Archives of Disease in Childhood","DOI":"10.1136/adc.2008.151910","ISSN":"1468-2044","issue":"8","journalAbbreviation":"Arch Dis Child","language":"eng","note":"PMID: 19602520\nPMCID: PMC3697301","page":"596-601","source":"PubMed","title":"Mothers' experiences of bottle-feeding: a systematic review of qualitative and quantitative studies","title-short":"Mothers' experiences of bottle-feeding","volume":"94","author":[{"family":"Lakshman","given":"R."},{"family":"Ogilvie","given":"D."},{"family":"Ong","given":"K. K."}],"issued":{"date-parts":[["2009",8]]}}}],"schema":"https://github.com/citation-style-language/schema/raw/master/csl-citation.json"} </w:instrText>
      </w:r>
      <w:r w:rsidR="00097CDC">
        <w:rPr>
          <w:rFonts w:ascii="Arial" w:hAnsi="Arial" w:cs="Arial"/>
          <w:sz w:val="20"/>
          <w:szCs w:val="20"/>
        </w:rPr>
        <w:fldChar w:fldCharType="separate"/>
      </w:r>
      <w:r w:rsidR="009C6D18" w:rsidRPr="009C6D18">
        <w:rPr>
          <w:rFonts w:ascii="Arial" w:hAnsi="Arial" w:cs="Arial"/>
          <w:sz w:val="20"/>
        </w:rPr>
        <w:t>(18)</w:t>
      </w:r>
      <w:r w:rsidR="00097CDC">
        <w:rPr>
          <w:rFonts w:ascii="Arial" w:hAnsi="Arial" w:cs="Arial"/>
          <w:sz w:val="20"/>
          <w:szCs w:val="20"/>
        </w:rPr>
        <w:fldChar w:fldCharType="end"/>
      </w:r>
      <w:r w:rsidRPr="0081530F">
        <w:rPr>
          <w:rFonts w:ascii="Arial" w:hAnsi="Arial" w:cs="Arial"/>
          <w:sz w:val="20"/>
          <w:szCs w:val="20"/>
        </w:rPr>
        <w:t>. This highlights the importance of examining not only maternal knowledge but also actual feeding practices within the sociocultural and economic contexts of Northern Ghana.</w:t>
      </w:r>
    </w:p>
    <w:p w14:paraId="7E9C24F5" w14:textId="77777777" w:rsidR="0081530F" w:rsidRPr="0081530F" w:rsidRDefault="0081530F" w:rsidP="0081530F">
      <w:pPr>
        <w:rPr>
          <w:rFonts w:ascii="Arial" w:hAnsi="Arial" w:cs="Arial"/>
          <w:sz w:val="20"/>
          <w:szCs w:val="20"/>
        </w:rPr>
      </w:pPr>
      <w:r w:rsidRPr="0081530F">
        <w:rPr>
          <w:rFonts w:ascii="Arial" w:hAnsi="Arial" w:cs="Arial"/>
          <w:sz w:val="20"/>
          <w:szCs w:val="20"/>
        </w:rPr>
        <w:t>The West Gonja District, located in the Savannah Region, is characterized by high levels of poverty, reliance on subsistence farming, and limited access to diversified foods. These conditions contribute to poor feeding practices and high malnutrition rates. Yet, little is known about the relationship between maternal knowledge, feeding practices, and child nutritional status in this specific context. Understanding these linkages is vital for designing effective nutrition interventions tailored to local realities.</w:t>
      </w:r>
    </w:p>
    <w:p w14:paraId="4742D71F" w14:textId="77777777" w:rsidR="0081530F" w:rsidRPr="0081530F" w:rsidRDefault="0081530F" w:rsidP="0081530F">
      <w:pPr>
        <w:rPr>
          <w:rFonts w:ascii="Arial" w:hAnsi="Arial" w:cs="Arial"/>
          <w:sz w:val="20"/>
          <w:szCs w:val="20"/>
        </w:rPr>
      </w:pPr>
      <w:r w:rsidRPr="0081530F">
        <w:rPr>
          <w:rFonts w:ascii="Arial" w:hAnsi="Arial" w:cs="Arial"/>
          <w:sz w:val="20"/>
          <w:szCs w:val="20"/>
        </w:rPr>
        <w:t xml:space="preserve">This study therefore sought to examine the relationship between maternal knowledge and feeding practices in relation to infant malnutrition among breastfeeding mothers attending West Gonja District Hospital. By focusing on this high-burden setting, the study aimed to generate evidence that can inform </w:t>
      </w:r>
      <w:r w:rsidRPr="0081530F">
        <w:rPr>
          <w:rFonts w:ascii="Arial" w:hAnsi="Arial" w:cs="Arial"/>
          <w:sz w:val="20"/>
          <w:szCs w:val="20"/>
        </w:rPr>
        <w:lastRenderedPageBreak/>
        <w:t>targeted interventions to improve maternal knowledge, strengthen infant feeding practices, and reduce malnutrition in Northern Ghana.</w:t>
      </w:r>
    </w:p>
    <w:p w14:paraId="171C58F5" w14:textId="77777777" w:rsidR="0081530F" w:rsidRPr="00C54F0B" w:rsidRDefault="0081530F" w:rsidP="002776E5">
      <w:pPr>
        <w:rPr>
          <w:rFonts w:ascii="Arial" w:hAnsi="Arial" w:cs="Arial"/>
          <w:sz w:val="20"/>
          <w:szCs w:val="20"/>
        </w:rPr>
      </w:pPr>
    </w:p>
    <w:p w14:paraId="63A9D6A3" w14:textId="506851A0" w:rsidR="002776E5" w:rsidRPr="002776E5" w:rsidRDefault="009965B7" w:rsidP="002776E5">
      <w:pPr>
        <w:rPr>
          <w:rFonts w:ascii="Arial" w:hAnsi="Arial" w:cs="Arial"/>
          <w:b/>
          <w:bCs/>
          <w:sz w:val="20"/>
          <w:szCs w:val="20"/>
        </w:rPr>
      </w:pPr>
      <w:r w:rsidRPr="009965B7">
        <w:rPr>
          <w:rFonts w:ascii="Arial" w:hAnsi="Arial" w:cs="Arial"/>
          <w:b/>
          <w:bCs/>
          <w:sz w:val="20"/>
          <w:szCs w:val="20"/>
        </w:rPr>
        <w:t>Methods</w:t>
      </w:r>
    </w:p>
    <w:p w14:paraId="059C25CD"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Study Design</w:t>
      </w:r>
    </w:p>
    <w:p w14:paraId="5262E33E" w14:textId="46F0480E" w:rsidR="002776E5" w:rsidRPr="002776E5" w:rsidRDefault="002776E5" w:rsidP="002776E5">
      <w:pPr>
        <w:rPr>
          <w:rFonts w:ascii="Arial" w:hAnsi="Arial" w:cs="Arial"/>
          <w:sz w:val="20"/>
          <w:szCs w:val="20"/>
        </w:rPr>
      </w:pPr>
      <w:r w:rsidRPr="002776E5">
        <w:rPr>
          <w:rFonts w:ascii="Arial" w:hAnsi="Arial" w:cs="Arial"/>
          <w:sz w:val="20"/>
          <w:szCs w:val="20"/>
        </w:rPr>
        <w:t xml:space="preserve">This was a hospital-based cross-sectional quantitative study. The cross-sectional design was chosen because it is suitable for assessing prevalence and exploring associations between variables at a single point in time without requiring follow-up </w:t>
      </w:r>
      <w:r w:rsidR="00E1373E">
        <w:rPr>
          <w:rFonts w:ascii="Arial" w:hAnsi="Arial" w:cs="Arial"/>
          <w:sz w:val="20"/>
          <w:szCs w:val="20"/>
        </w:rPr>
        <w:fldChar w:fldCharType="begin"/>
      </w:r>
      <w:r w:rsidR="009C6D18">
        <w:rPr>
          <w:rFonts w:ascii="Arial" w:hAnsi="Arial" w:cs="Arial"/>
          <w:sz w:val="20"/>
          <w:szCs w:val="20"/>
        </w:rPr>
        <w:instrText xml:space="preserve"> ADDIN ZOTERO_ITEM CSL_CITATION {"citationID":"hoS3yxQ8","properties":{"formattedCitation":"(19)","plainCitation":"(19)","noteIndex":0},"citationItems":[{"id":68,"uris":["http://zotero.org/users/15244130/items/SJFS9LW6"],"itemData":{"id":68,"type":"article-journal","container-title":"Indian journal of dermatology","issue":"3","note":"publisher: Wolters Kluwer--Medknow Publications","page":"261","title":"Methodology series module 3: Cross-sectional studies","volume":"61","author":[{"family":"Setia","given":"Maninder Singh"}],"issued":{"date-parts":[["2016"]]}}}],"schema":"https://github.com/citation-style-language/schema/raw/master/csl-citation.json"} </w:instrText>
      </w:r>
      <w:r w:rsidR="00E1373E">
        <w:rPr>
          <w:rFonts w:ascii="Arial" w:hAnsi="Arial" w:cs="Arial"/>
          <w:sz w:val="20"/>
          <w:szCs w:val="20"/>
        </w:rPr>
        <w:fldChar w:fldCharType="separate"/>
      </w:r>
      <w:r w:rsidR="009C6D18" w:rsidRPr="009C6D18">
        <w:rPr>
          <w:rFonts w:ascii="Arial" w:hAnsi="Arial" w:cs="Arial"/>
          <w:sz w:val="20"/>
        </w:rPr>
        <w:t>(19)</w:t>
      </w:r>
      <w:r w:rsidR="00E1373E">
        <w:rPr>
          <w:rFonts w:ascii="Arial" w:hAnsi="Arial" w:cs="Arial"/>
          <w:sz w:val="20"/>
          <w:szCs w:val="20"/>
        </w:rPr>
        <w:fldChar w:fldCharType="end"/>
      </w:r>
      <w:r w:rsidRPr="002776E5">
        <w:rPr>
          <w:rFonts w:ascii="Arial" w:hAnsi="Arial" w:cs="Arial"/>
          <w:sz w:val="20"/>
          <w:szCs w:val="20"/>
        </w:rPr>
        <w:t>.</w:t>
      </w:r>
    </w:p>
    <w:p w14:paraId="49FB2D7B"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Study Setting</w:t>
      </w:r>
    </w:p>
    <w:p w14:paraId="440CB561" w14:textId="77777777" w:rsidR="002776E5" w:rsidRPr="002776E5" w:rsidRDefault="002776E5" w:rsidP="002776E5">
      <w:pPr>
        <w:rPr>
          <w:rFonts w:ascii="Arial" w:hAnsi="Arial" w:cs="Arial"/>
          <w:sz w:val="20"/>
          <w:szCs w:val="20"/>
        </w:rPr>
      </w:pPr>
      <w:r w:rsidRPr="002776E5">
        <w:rPr>
          <w:rFonts w:ascii="Arial" w:hAnsi="Arial" w:cs="Arial"/>
          <w:sz w:val="20"/>
          <w:szCs w:val="20"/>
        </w:rPr>
        <w:t xml:space="preserve">The study was conducted at the West Gonja District Hospital, located in Damongo, the capital of the Savannah Region of Ghana. The hospital is the largest health facility in the municipality and serves as the referral </w:t>
      </w:r>
      <w:proofErr w:type="spellStart"/>
      <w:r w:rsidRPr="002776E5">
        <w:rPr>
          <w:rFonts w:ascii="Arial" w:hAnsi="Arial" w:cs="Arial"/>
          <w:sz w:val="20"/>
          <w:szCs w:val="20"/>
        </w:rPr>
        <w:t>centre</w:t>
      </w:r>
      <w:proofErr w:type="spellEnd"/>
      <w:r w:rsidRPr="002776E5">
        <w:rPr>
          <w:rFonts w:ascii="Arial" w:hAnsi="Arial" w:cs="Arial"/>
          <w:sz w:val="20"/>
          <w:szCs w:val="20"/>
        </w:rPr>
        <w:t xml:space="preserve"> for surrounding rural communities. It offers comprehensive maternal and child health services including antenatal care, skilled delivery, postnatal care, immunization, nutritional counselling, and growth monitoring.</w:t>
      </w:r>
    </w:p>
    <w:p w14:paraId="36972115" w14:textId="4E6F391F" w:rsidR="002776E5" w:rsidRPr="002776E5" w:rsidRDefault="002776E5" w:rsidP="002776E5">
      <w:pPr>
        <w:rPr>
          <w:rFonts w:ascii="Arial" w:hAnsi="Arial" w:cs="Arial"/>
          <w:sz w:val="20"/>
          <w:szCs w:val="20"/>
        </w:rPr>
      </w:pPr>
      <w:r w:rsidRPr="002776E5">
        <w:rPr>
          <w:rFonts w:ascii="Arial" w:hAnsi="Arial" w:cs="Arial"/>
          <w:sz w:val="20"/>
          <w:szCs w:val="20"/>
        </w:rPr>
        <w:t>The child welfare clinic of the hospital operates on specific days of the week and typically records an attendance of 70–90 mothers with infants per session. The majority of clients are from agrarian households where farming and petty trading are the main occupations. The West Gonja Municipality has one of the higher burdens of childhood undernutrition in the region, which makes the facility an ideal setting for this study.</w:t>
      </w:r>
    </w:p>
    <w:p w14:paraId="5C0E18F3"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Study Population</w:t>
      </w:r>
    </w:p>
    <w:p w14:paraId="23E007E2" w14:textId="77777777" w:rsidR="002776E5" w:rsidRPr="002776E5" w:rsidRDefault="002776E5" w:rsidP="002776E5">
      <w:pPr>
        <w:rPr>
          <w:rFonts w:ascii="Arial" w:hAnsi="Arial" w:cs="Arial"/>
          <w:sz w:val="20"/>
          <w:szCs w:val="20"/>
        </w:rPr>
      </w:pPr>
      <w:r w:rsidRPr="002776E5">
        <w:rPr>
          <w:rFonts w:ascii="Arial" w:hAnsi="Arial" w:cs="Arial"/>
          <w:sz w:val="20"/>
          <w:szCs w:val="20"/>
        </w:rPr>
        <w:t>The target population comprised breastfeeding mothers aged 15–49 years who attended maternal and child health clinics at the hospital during the study period.</w:t>
      </w:r>
    </w:p>
    <w:p w14:paraId="649B2844"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Inclusion Criteria</w:t>
      </w:r>
    </w:p>
    <w:p w14:paraId="2F649744" w14:textId="77777777" w:rsidR="002776E5" w:rsidRPr="002776E5" w:rsidRDefault="002776E5" w:rsidP="002776E5">
      <w:pPr>
        <w:numPr>
          <w:ilvl w:val="0"/>
          <w:numId w:val="4"/>
        </w:numPr>
        <w:rPr>
          <w:rFonts w:ascii="Arial" w:hAnsi="Arial" w:cs="Arial"/>
          <w:sz w:val="20"/>
          <w:szCs w:val="20"/>
        </w:rPr>
      </w:pPr>
      <w:r w:rsidRPr="002776E5">
        <w:rPr>
          <w:rFonts w:ascii="Arial" w:hAnsi="Arial" w:cs="Arial"/>
          <w:sz w:val="20"/>
          <w:szCs w:val="20"/>
        </w:rPr>
        <w:t>Biological mothers aged 15–49 years.</w:t>
      </w:r>
    </w:p>
    <w:p w14:paraId="410BC805" w14:textId="77777777" w:rsidR="002776E5" w:rsidRPr="002776E5" w:rsidRDefault="002776E5" w:rsidP="002776E5">
      <w:pPr>
        <w:numPr>
          <w:ilvl w:val="0"/>
          <w:numId w:val="4"/>
        </w:numPr>
        <w:rPr>
          <w:rFonts w:ascii="Arial" w:hAnsi="Arial" w:cs="Arial"/>
          <w:sz w:val="20"/>
          <w:szCs w:val="20"/>
        </w:rPr>
      </w:pPr>
      <w:r w:rsidRPr="002776E5">
        <w:rPr>
          <w:rFonts w:ascii="Arial" w:hAnsi="Arial" w:cs="Arial"/>
          <w:sz w:val="20"/>
          <w:szCs w:val="20"/>
        </w:rPr>
        <w:t>Currently breastfeeding an infant aged 0–23 months.</w:t>
      </w:r>
    </w:p>
    <w:p w14:paraId="7C054A1E" w14:textId="77777777" w:rsidR="002776E5" w:rsidRPr="002776E5" w:rsidRDefault="002776E5" w:rsidP="002776E5">
      <w:pPr>
        <w:numPr>
          <w:ilvl w:val="0"/>
          <w:numId w:val="4"/>
        </w:numPr>
        <w:rPr>
          <w:rFonts w:ascii="Arial" w:hAnsi="Arial" w:cs="Arial"/>
          <w:sz w:val="20"/>
          <w:szCs w:val="20"/>
        </w:rPr>
      </w:pPr>
      <w:r w:rsidRPr="002776E5">
        <w:rPr>
          <w:rFonts w:ascii="Arial" w:hAnsi="Arial" w:cs="Arial"/>
          <w:sz w:val="20"/>
          <w:szCs w:val="20"/>
        </w:rPr>
        <w:t>Provided written informed consent.</w:t>
      </w:r>
    </w:p>
    <w:p w14:paraId="71F96D16"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Exclusion Criteria</w:t>
      </w:r>
    </w:p>
    <w:p w14:paraId="08DADF81" w14:textId="77777777" w:rsidR="002776E5" w:rsidRPr="002776E5" w:rsidRDefault="002776E5" w:rsidP="002776E5">
      <w:pPr>
        <w:numPr>
          <w:ilvl w:val="0"/>
          <w:numId w:val="5"/>
        </w:numPr>
        <w:rPr>
          <w:rFonts w:ascii="Arial" w:hAnsi="Arial" w:cs="Arial"/>
          <w:sz w:val="20"/>
          <w:szCs w:val="20"/>
        </w:rPr>
      </w:pPr>
      <w:r w:rsidRPr="002776E5">
        <w:rPr>
          <w:rFonts w:ascii="Arial" w:hAnsi="Arial" w:cs="Arial"/>
          <w:sz w:val="20"/>
          <w:szCs w:val="20"/>
        </w:rPr>
        <w:t>Mothers with critically ill infants at the time of data collection.</w:t>
      </w:r>
    </w:p>
    <w:p w14:paraId="4FBD0ABD" w14:textId="77777777" w:rsidR="002776E5" w:rsidRPr="002776E5" w:rsidRDefault="002776E5" w:rsidP="002776E5">
      <w:pPr>
        <w:numPr>
          <w:ilvl w:val="0"/>
          <w:numId w:val="5"/>
        </w:numPr>
        <w:rPr>
          <w:rFonts w:ascii="Arial" w:hAnsi="Arial" w:cs="Arial"/>
          <w:sz w:val="20"/>
          <w:szCs w:val="20"/>
        </w:rPr>
      </w:pPr>
      <w:r w:rsidRPr="002776E5">
        <w:rPr>
          <w:rFonts w:ascii="Arial" w:hAnsi="Arial" w:cs="Arial"/>
          <w:sz w:val="20"/>
          <w:szCs w:val="20"/>
        </w:rPr>
        <w:t>Mothers unable to provide reliable responses due to illness or cognitive limitations.</w:t>
      </w:r>
    </w:p>
    <w:p w14:paraId="2251DB50" w14:textId="77777777" w:rsidR="002776E5" w:rsidRPr="002776E5" w:rsidRDefault="002776E5" w:rsidP="002776E5">
      <w:pPr>
        <w:rPr>
          <w:rFonts w:ascii="Arial" w:hAnsi="Arial" w:cs="Arial"/>
          <w:sz w:val="20"/>
          <w:szCs w:val="20"/>
        </w:rPr>
      </w:pPr>
      <w:r w:rsidRPr="002776E5">
        <w:rPr>
          <w:rFonts w:ascii="Arial" w:hAnsi="Arial" w:cs="Arial"/>
          <w:sz w:val="20"/>
          <w:szCs w:val="20"/>
        </w:rPr>
        <w:t>These criteria were applied to ensure valid and reliable reporting of maternal knowledge, infant feeding practices, and infant nutritional outcomes.</w:t>
      </w:r>
    </w:p>
    <w:p w14:paraId="680CEAAD"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Sample Size and Sampling Procedure</w:t>
      </w:r>
    </w:p>
    <w:p w14:paraId="5293D6C6" w14:textId="77777777" w:rsidR="002776E5" w:rsidRPr="002776E5" w:rsidRDefault="002776E5" w:rsidP="002776E5">
      <w:pPr>
        <w:rPr>
          <w:rFonts w:ascii="Arial" w:hAnsi="Arial" w:cs="Arial"/>
          <w:sz w:val="20"/>
          <w:szCs w:val="20"/>
        </w:rPr>
      </w:pPr>
      <w:r w:rsidRPr="002776E5">
        <w:rPr>
          <w:rFonts w:ascii="Arial" w:hAnsi="Arial" w:cs="Arial"/>
          <w:sz w:val="20"/>
          <w:szCs w:val="20"/>
        </w:rPr>
        <w:t>The sample size was calculated using the Cochran formula for single proportions at a 95% confidence level and 5% margin of error. Since the true prevalence of malnutrition was not known, a prevalence of 50% was assumed to maximize variability. After adjusting for a potential 10% non-response, the final sample size was 405 mothers.</w:t>
      </w:r>
    </w:p>
    <w:p w14:paraId="0CA3414D" w14:textId="217BDE43" w:rsidR="002776E5" w:rsidRPr="002776E5" w:rsidRDefault="002776E5" w:rsidP="002776E5">
      <w:pPr>
        <w:rPr>
          <w:rFonts w:ascii="Arial" w:hAnsi="Arial" w:cs="Arial"/>
          <w:sz w:val="20"/>
          <w:szCs w:val="20"/>
        </w:rPr>
      </w:pPr>
      <w:r w:rsidRPr="002776E5">
        <w:rPr>
          <w:rFonts w:ascii="Arial" w:hAnsi="Arial" w:cs="Arial"/>
          <w:sz w:val="20"/>
          <w:szCs w:val="20"/>
        </w:rPr>
        <w:t>A systematic random sampling technique was applied. Clinic registers provided the sampling frame. The sampling interval (</w:t>
      </w:r>
      <w:r w:rsidRPr="002776E5">
        <w:rPr>
          <w:rFonts w:ascii="Arial" w:hAnsi="Arial" w:cs="Arial"/>
          <w:i/>
          <w:iCs/>
          <w:sz w:val="20"/>
          <w:szCs w:val="20"/>
        </w:rPr>
        <w:t>k</w:t>
      </w:r>
      <w:r w:rsidRPr="002776E5">
        <w:rPr>
          <w:rFonts w:ascii="Arial" w:hAnsi="Arial" w:cs="Arial"/>
          <w:sz w:val="20"/>
          <w:szCs w:val="20"/>
        </w:rPr>
        <w:t xml:space="preserve">) was determined by dividing the estimated number of attendees during the study period by the required sample size. The first respondent was selected randomly, and then every kth </w:t>
      </w:r>
      <w:r w:rsidRPr="002776E5">
        <w:rPr>
          <w:rFonts w:ascii="Arial" w:hAnsi="Arial" w:cs="Arial"/>
          <w:sz w:val="20"/>
          <w:szCs w:val="20"/>
        </w:rPr>
        <w:lastRenderedPageBreak/>
        <w:t xml:space="preserve">mother was recruited. Systematic sampling was chosen because it reduces interviewer bias and ensures representative coverage in high-attendance clinics </w:t>
      </w:r>
      <w:r w:rsidR="00EB4C27">
        <w:rPr>
          <w:rFonts w:ascii="Arial" w:hAnsi="Arial" w:cs="Arial"/>
          <w:sz w:val="20"/>
          <w:szCs w:val="20"/>
        </w:rPr>
        <w:fldChar w:fldCharType="begin"/>
      </w:r>
      <w:r w:rsidR="009C6D18">
        <w:rPr>
          <w:rFonts w:ascii="Arial" w:hAnsi="Arial" w:cs="Arial"/>
          <w:sz w:val="20"/>
          <w:szCs w:val="20"/>
        </w:rPr>
        <w:instrText xml:space="preserve"> ADDIN ZOTERO_ITEM CSL_CITATION {"citationID":"E2BRxCpx","properties":{"formattedCitation":"(20)","plainCitation":"(20)","noteIndex":0},"citationItems":[{"id":5113,"uris":["http://zotero.org/users/15244130/items/YEXQSMHB"],"itemData":{"id":5113,"type":"article-journal","abstract":"Background: Respectful maternity care is acknowledged as necessary for reaching higher levels of care quality for women during labour and delivery. In Nigeria, the problem of disrespect and maltreatment during childbirth is quite high; midwives have been acclaimed as agents in this regard. Understanding the experiences of midwives in providing respectful maternity care during childbirth is critical to its promotion. This study therefore aimed at exploring and documenting the experiences of midwives in providing respectful maternity care during the birth of a child. Methods: This research was performed using a qualitative, phenomenological approach involving in-depth interviews conducted on purposefully selected midwives providing services in the labour ward of a Nigerian hospital. The thematic analysis procedure was used to create descriptive accounts of the study information, which was analysed using NVivo software. Study Sample: In total, 10 nurses or midwives currently working in the labour ward of the selected hospital participated in the study. Results: Midwives expressed expectations from pregnant women during childbirth that aligned with their belief in the preservation of patients’ dignity. Additionally, the opinion of the midwives pointed to the justification of disrespect with some patients acting outside of acceptable behaviours and composure in labour. Furthermore, health system constraints were also expressed to influence the experience of the midwives. Conclusion: Midwives are favourably disposed to providing respectful care during childbirth, but when their expectations are not met, their care becomes limited, and there are health system constraints. Several strategies could improve the experiences of midwives, including system-level changes and a collaborative shared model of care delivery between the antenatal clinic and labour wards.","container-title":"Malaysian Journal of Nursing","DOI":"10.31674/mjn.2023.v14i04.004","ISSN":"2462246X","issue":"04","journalAbbreviation":"MJN","page":"35-45","source":"DOI.org (Crossref)","title":"Experiences of Midwives in Providing Respectful Maternity Care During Childbirth in Jos, Nigeria","volume":"14","author":[{"family":"Daniel","given":"Grace"},{"family":"Afolaranmi","given":"Tolulope"},{"family":"Mfuh","given":"Anita"},{"family":"Wina","given":"Folashade"},{"family":"Iii Dioso","given":"Regidor"}],"issued":{"date-parts":[["2023"]]}}}],"schema":"https://github.com/citation-style-language/schema/raw/master/csl-citation.json"} </w:instrText>
      </w:r>
      <w:r w:rsidR="00EB4C27">
        <w:rPr>
          <w:rFonts w:ascii="Arial" w:hAnsi="Arial" w:cs="Arial"/>
          <w:sz w:val="20"/>
          <w:szCs w:val="20"/>
        </w:rPr>
        <w:fldChar w:fldCharType="separate"/>
      </w:r>
      <w:r w:rsidR="009C6D18" w:rsidRPr="009C6D18">
        <w:rPr>
          <w:rFonts w:ascii="Arial" w:hAnsi="Arial" w:cs="Arial"/>
          <w:sz w:val="20"/>
        </w:rPr>
        <w:t>(20)</w:t>
      </w:r>
      <w:r w:rsidR="00EB4C27">
        <w:rPr>
          <w:rFonts w:ascii="Arial" w:hAnsi="Arial" w:cs="Arial"/>
          <w:sz w:val="20"/>
          <w:szCs w:val="20"/>
        </w:rPr>
        <w:fldChar w:fldCharType="end"/>
      </w:r>
      <w:r w:rsidRPr="002776E5">
        <w:rPr>
          <w:rFonts w:ascii="Arial" w:hAnsi="Arial" w:cs="Arial"/>
          <w:sz w:val="20"/>
          <w:szCs w:val="20"/>
        </w:rPr>
        <w:t>.</w:t>
      </w:r>
    </w:p>
    <w:p w14:paraId="7CF48D28"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Data Collection Tools</w:t>
      </w:r>
    </w:p>
    <w:p w14:paraId="4CD81FC2" w14:textId="77777777" w:rsidR="002776E5" w:rsidRPr="002776E5" w:rsidRDefault="002776E5" w:rsidP="002776E5">
      <w:pPr>
        <w:rPr>
          <w:rFonts w:ascii="Arial" w:hAnsi="Arial" w:cs="Arial"/>
          <w:sz w:val="20"/>
          <w:szCs w:val="20"/>
        </w:rPr>
      </w:pPr>
      <w:r w:rsidRPr="002776E5">
        <w:rPr>
          <w:rFonts w:ascii="Arial" w:hAnsi="Arial" w:cs="Arial"/>
          <w:sz w:val="20"/>
          <w:szCs w:val="20"/>
        </w:rPr>
        <w:t>Data were collected using a structured interviewer-administered questionnaire adapted from validated instruments. It consisted of four sections:</w:t>
      </w:r>
    </w:p>
    <w:p w14:paraId="1A47226E" w14:textId="141511AF" w:rsidR="002776E5" w:rsidRPr="002776E5" w:rsidRDefault="002776E5" w:rsidP="002776E5">
      <w:pPr>
        <w:numPr>
          <w:ilvl w:val="0"/>
          <w:numId w:val="6"/>
        </w:numPr>
        <w:rPr>
          <w:rFonts w:ascii="Arial" w:hAnsi="Arial" w:cs="Arial"/>
          <w:sz w:val="20"/>
          <w:szCs w:val="20"/>
        </w:rPr>
      </w:pPr>
      <w:r w:rsidRPr="002776E5">
        <w:rPr>
          <w:rFonts w:ascii="Arial" w:hAnsi="Arial" w:cs="Arial"/>
          <w:sz w:val="20"/>
          <w:szCs w:val="20"/>
        </w:rPr>
        <w:t xml:space="preserve">Socio-demographic and obstetric information: maternal age, marital status, education, occupation, parity, antenatal care (ANC) attendance, place and mode of delivery, and infant feeding counselling. These items were adapted from the </w:t>
      </w:r>
      <w:r w:rsidRPr="002776E5">
        <w:rPr>
          <w:rFonts w:ascii="Arial" w:hAnsi="Arial" w:cs="Arial"/>
          <w:i/>
          <w:iCs/>
          <w:sz w:val="20"/>
          <w:szCs w:val="20"/>
        </w:rPr>
        <w:t>Ghana Demographic and Health Survey</w:t>
      </w:r>
      <w:r w:rsidRPr="002776E5">
        <w:rPr>
          <w:rFonts w:ascii="Arial" w:hAnsi="Arial" w:cs="Arial"/>
          <w:sz w:val="20"/>
          <w:szCs w:val="20"/>
        </w:rPr>
        <w:t xml:space="preserve"> </w:t>
      </w:r>
      <w:r w:rsidR="00CC1511">
        <w:rPr>
          <w:rFonts w:ascii="Arial" w:hAnsi="Arial" w:cs="Arial"/>
          <w:sz w:val="20"/>
          <w:szCs w:val="20"/>
        </w:rPr>
        <w:fldChar w:fldCharType="begin"/>
      </w:r>
      <w:r w:rsidR="00CC1511">
        <w:rPr>
          <w:rFonts w:ascii="Arial" w:hAnsi="Arial" w:cs="Arial"/>
          <w:sz w:val="20"/>
          <w:szCs w:val="20"/>
        </w:rPr>
        <w:instrText xml:space="preserve"> ADDIN ZOTERO_ITEM CSL_CITATION {"citationID":"ACKxUyMT","properties":{"formattedCitation":"(8)","plainCitation":"(8)","noteIndex":0},"citationItems":[{"id":6611,"uris":["http://zotero.org/users/15244130/items/LR3225WY"],"itemData":{"id":6611,"type":"report","event-place":"Accra, Ghana; Rockville, Maryland, USA","genre":"Government report / DHS report","number":"PR149","publisher":"Ghana Statistical Service (GSS) &amp; ICF","publisher-place":"Accra, Ghana; Rockville, Maryland, USA","title":"Ghana Demographic and Health Survey 2022: Key Indicators Report","URL":"https://www.dhsprogram.com/pubs/pdf/FR387/FR387.pdf","author":[{"literal":"Ghana Statistical Service; ICF"}],"accessed":{"date-parts":[["2025",8,29]]},"issued":{"date-parts":[["2024"]]}}}],"schema":"https://github.com/citation-style-language/schema/raw/master/csl-citation.json"} </w:instrText>
      </w:r>
      <w:r w:rsidR="00CC1511">
        <w:rPr>
          <w:rFonts w:ascii="Arial" w:hAnsi="Arial" w:cs="Arial"/>
          <w:sz w:val="20"/>
          <w:szCs w:val="20"/>
        </w:rPr>
        <w:fldChar w:fldCharType="separate"/>
      </w:r>
      <w:r w:rsidR="00CC1511" w:rsidRPr="00CC1511">
        <w:rPr>
          <w:rFonts w:ascii="Arial" w:hAnsi="Arial" w:cs="Arial"/>
          <w:sz w:val="20"/>
        </w:rPr>
        <w:t>(8)</w:t>
      </w:r>
      <w:r w:rsidR="00CC1511">
        <w:rPr>
          <w:rFonts w:ascii="Arial" w:hAnsi="Arial" w:cs="Arial"/>
          <w:sz w:val="20"/>
          <w:szCs w:val="20"/>
        </w:rPr>
        <w:fldChar w:fldCharType="end"/>
      </w:r>
      <w:r w:rsidRPr="002776E5">
        <w:rPr>
          <w:rFonts w:ascii="Arial" w:hAnsi="Arial" w:cs="Arial"/>
          <w:sz w:val="20"/>
          <w:szCs w:val="20"/>
        </w:rPr>
        <w:t>.</w:t>
      </w:r>
    </w:p>
    <w:p w14:paraId="36009E58" w14:textId="413AFD16" w:rsidR="002776E5" w:rsidRPr="002776E5" w:rsidRDefault="002776E5" w:rsidP="002776E5">
      <w:pPr>
        <w:numPr>
          <w:ilvl w:val="0"/>
          <w:numId w:val="6"/>
        </w:numPr>
        <w:rPr>
          <w:rFonts w:ascii="Arial" w:hAnsi="Arial" w:cs="Arial"/>
          <w:sz w:val="20"/>
          <w:szCs w:val="20"/>
        </w:rPr>
      </w:pPr>
      <w:r w:rsidRPr="002776E5">
        <w:rPr>
          <w:rFonts w:ascii="Arial" w:hAnsi="Arial" w:cs="Arial"/>
          <w:sz w:val="20"/>
          <w:szCs w:val="20"/>
        </w:rPr>
        <w:t xml:space="preserve">Maternal knowledge: assessed using items adapted from the WHO/UNICEF Infant and Young Child Feeding (IYCF) indicators </w:t>
      </w:r>
      <w:r w:rsidR="009C6D18">
        <w:rPr>
          <w:rFonts w:ascii="Arial" w:hAnsi="Arial" w:cs="Arial"/>
          <w:sz w:val="20"/>
          <w:szCs w:val="20"/>
        </w:rPr>
        <w:fldChar w:fldCharType="begin"/>
      </w:r>
      <w:r w:rsidR="009C6D18">
        <w:rPr>
          <w:rFonts w:ascii="Arial" w:hAnsi="Arial" w:cs="Arial"/>
          <w:sz w:val="20"/>
          <w:szCs w:val="20"/>
        </w:rPr>
        <w:instrText xml:space="preserve"> ADDIN ZOTERO_ITEM CSL_CITATION {"citationID":"crK3tF5k","properties":{"formattedCitation":"(1)","plainCitation":"(1)","noteIndex":0},"citationItems":[{"id":6564,"uris":["http://zotero.org/users/15244130/items/TDR59S6K"],"itemData":{"id":6564,"type":"webpage","abstract":"This report summarizes the discussion and consensus reached on 8 core indicators and 7 optional indicators for assessing infant and young child \nfeeding practices that are population-based and can be derived from household survey data.","language":"en","title":"Indicators for assessing infant and young child feeding practices: part 1 definition","title-short":"Indicators for assessing infant and young child feeding practices","URL":"https://www.who.int/publications/i/item/9789241596664","author":[{"literal":"World Health Organization"}],"accessed":{"date-parts":[["2025",8,29]]},"issued":{"date-parts":[["2008"]]}}}],"schema":"https://github.com/citation-style-language/schema/raw/master/csl-citation.json"} </w:instrText>
      </w:r>
      <w:r w:rsidR="009C6D18">
        <w:rPr>
          <w:rFonts w:ascii="Arial" w:hAnsi="Arial" w:cs="Arial"/>
          <w:sz w:val="20"/>
          <w:szCs w:val="20"/>
        </w:rPr>
        <w:fldChar w:fldCharType="separate"/>
      </w:r>
      <w:r w:rsidR="009C6D18" w:rsidRPr="009C6D18">
        <w:rPr>
          <w:rFonts w:ascii="Arial" w:hAnsi="Arial" w:cs="Arial"/>
          <w:sz w:val="20"/>
        </w:rPr>
        <w:t>(1)</w:t>
      </w:r>
      <w:r w:rsidR="009C6D18">
        <w:rPr>
          <w:rFonts w:ascii="Arial" w:hAnsi="Arial" w:cs="Arial"/>
          <w:sz w:val="20"/>
          <w:szCs w:val="20"/>
        </w:rPr>
        <w:fldChar w:fldCharType="end"/>
      </w:r>
      <w:r w:rsidRPr="002776E5">
        <w:rPr>
          <w:rFonts w:ascii="Arial" w:hAnsi="Arial" w:cs="Arial"/>
          <w:sz w:val="20"/>
          <w:szCs w:val="20"/>
        </w:rPr>
        <w:t xml:space="preserve"> and the FAO Knowledge, Attitudes and Practices (KAP) manual </w:t>
      </w:r>
      <w:r w:rsidR="009C6D18">
        <w:rPr>
          <w:rFonts w:ascii="Arial" w:hAnsi="Arial" w:cs="Arial"/>
          <w:sz w:val="20"/>
          <w:szCs w:val="20"/>
        </w:rPr>
        <w:fldChar w:fldCharType="begin"/>
      </w:r>
      <w:r w:rsidR="004D7245">
        <w:rPr>
          <w:rFonts w:ascii="Arial" w:hAnsi="Arial" w:cs="Arial"/>
          <w:sz w:val="20"/>
          <w:szCs w:val="20"/>
        </w:rPr>
        <w:instrText xml:space="preserve"> ADDIN ZOTERO_ITEM CSL_CITATION {"citationID":"pVK3S425","properties":{"formattedCitation":"(6)","plainCitation":"(6)","noteIndex":0},"citationItems":[{"id":6551,"uris":["http://zotero.org/users/15244130/items/9EFI5XLX"],"itemData":{"id":6551,"type":"webpage","title":"Guidelines for assessing nutrition-related knowledge, attitudes and practices","URL":"https://www.fao.org/4/i3545e/i3545e00.htm","author":[{"literal":"Food and Agriculture Organization of the United Nations"}],"accessed":{"date-parts":[["2025",8,29]]},"issued":{"date-parts":[["2014"]]}}}],"schema":"https://github.com/citation-style-language/schema/raw/master/csl-citation.json"} </w:instrText>
      </w:r>
      <w:r w:rsidR="009C6D18">
        <w:rPr>
          <w:rFonts w:ascii="Arial" w:hAnsi="Arial" w:cs="Arial"/>
          <w:sz w:val="20"/>
          <w:szCs w:val="20"/>
        </w:rPr>
        <w:fldChar w:fldCharType="separate"/>
      </w:r>
      <w:r w:rsidR="004D7245" w:rsidRPr="004D7245">
        <w:rPr>
          <w:rFonts w:ascii="Arial" w:hAnsi="Arial" w:cs="Arial"/>
          <w:sz w:val="20"/>
        </w:rPr>
        <w:t>(6)</w:t>
      </w:r>
      <w:r w:rsidR="009C6D18">
        <w:rPr>
          <w:rFonts w:ascii="Arial" w:hAnsi="Arial" w:cs="Arial"/>
          <w:sz w:val="20"/>
          <w:szCs w:val="20"/>
        </w:rPr>
        <w:fldChar w:fldCharType="end"/>
      </w:r>
      <w:r w:rsidRPr="002776E5">
        <w:rPr>
          <w:rFonts w:ascii="Arial" w:hAnsi="Arial" w:cs="Arial"/>
          <w:sz w:val="20"/>
          <w:szCs w:val="20"/>
        </w:rPr>
        <w:t>. Questions included knowledge of exclusive breastfeeding duration, timing of complementary feeding, benefits of breastfeeding, and recognition of malnutrition signs. Similar items have been applied in maternal KAP studies globally</w:t>
      </w:r>
      <w:r w:rsidR="004D7245">
        <w:rPr>
          <w:rFonts w:ascii="Arial" w:hAnsi="Arial" w:cs="Arial"/>
          <w:sz w:val="20"/>
          <w:szCs w:val="20"/>
        </w:rPr>
        <w:fldChar w:fldCharType="begin"/>
      </w:r>
      <w:r w:rsidR="00474D94">
        <w:rPr>
          <w:rFonts w:ascii="Arial" w:hAnsi="Arial" w:cs="Arial"/>
          <w:sz w:val="20"/>
          <w:szCs w:val="20"/>
        </w:rPr>
        <w:instrText xml:space="preserve"> ADDIN ZOTERO_ITEM CSL_CITATION {"citationID":"ZiZdUyNy","properties":{"formattedCitation":"(18,21,22)","plainCitation":"(18,21,22)","noteIndex":0},"citationItems":[{"id":6528,"uris":["http://zotero.org/users/15244130/items/YZYTMAE4"],"itemData":{"id":6528,"type":"article-journal","abstract":"OBJECTIVE: Most babies receive at least some formula milk. Variations in formula-feeding practices can have both short- and long-term health consequences. The literature on parents' experiences of bottle-feeding was systematically reviewed to understand how formula-feeding decisions are made.\nMETHODS: Relevant English-language papers, identified by searching 12 electronic databases, reference lists and related articles and by contacting first authors of included papers, were systematically searched for and appraised. The included studies were analysed and synthesised using a combination of narrative and thematic approaches. Consensus on the final inclusion, interpretation and synthesis of studies was reached across the research team.\nRESULTS: Six qualitative studies and 17 quantitative studies (involving 13 263 participants) were included. Despite wide differences in study design, context, focus and quality, several consistent themes emerged. Mothers who bottle-fed their babies experienced negative emotions such as guilt, anger, worry, uncertainty and a sense of failure. Mothers reported receiving little information on bottle-feeding and did not feel empowered to make decisions. Mistakes in preparation of bottle-feeds were common. No studies examined how mothers made decisions about the frequency or quantity of bottle-feeds.\nCONCLUSIONS: Inadequate information and support for mothers who decide to bottle-feed may put the health of their babies at risk. While it is important to promote breastfeeding, it is also necessary to ensure that the needs of bottle-feeding mothers are met.","container-title":"Archives of Disease in Childhood","DOI":"10.1136/adc.2008.151910","ISSN":"1468-2044","issue":"8","journalAbbreviation":"Arch Dis Child","language":"eng","note":"PMID: 19602520\nPMCID: PMC3697301","page":"596-601","source":"PubMed","title":"Mothers' experiences of bottle-feeding: a systematic review of qualitative and quantitative studies","title-short":"Mothers' experiences of bottle-feeding","volume":"94","author":[{"family":"Lakshman","given":"R."},{"family":"Ogilvie","given":"D."},{"family":"Ong","given":"K. K."}],"issued":{"date-parts":[["2009",8]]}}},{"id":6586,"uris":["http://zotero.org/users/15244130/items/S8B6NSGV"],"itemData":{"id":6586,"type":"article-journal","abstract":"Background:\nBreastfeeding is essential for infant health, yet various factors influence mothers’ decisions to initiate and sustain this practice. Understanding the insights into mothers’ knowledge, attitudes, and practices (KAP) towards breastfeeding is critical, particularly in Jeddah, Saudi Arabia.\n\nMethods:\nA cross-sectional survey was conducted among mothers in the hospital, assessing their knowledge of breastfeeding, attitudes towards breastfeeding practices, and actual breastfeeding behaviors. Data were collected through structured questionnaires, from 334 mothers attending King Abdulaziz University Hospital between December 2022 and December 2023. Participants included mothers who gave birth within the past 1-5 years. Statistical analysis was conducted using JMP software, along with thematic analysis for qualitative data.\n\nResult:\nThe study analyzed data from 334 mothers, revealing that 88% initiated breastfeeding, but only 39% practiced exclusive breastfeeding for six months. Working mothers exhibited greater knowledge and earlier initiation compared to non-working mothers. Barriers included lack of private breastfeeding spaces and feelings of inadequate milk supply, highlighting challenges that could affect breastfeeding duration and practice.\n\nConclusion:\nThis research underscored the importance of improving maternal knowledge and addressing common barriers to breastfeeding. By developing targeted strategies and policy recommendations based on the findings, the study aimed to enhance breastfeeding practices among mothers at King Abdulaziz University Hospital. Ultimately, these efforts contributed to promoting breastfeeding as a crucial public health initiative in Saudi Arabia, positively influencing the health and well-being of mothers and infants.","container-title":"Journal of Family Medicine and Primary Care","DOI":"10.4103/jfmpc.jfmpc_1465_24","ISSN":"2249-4863","issue":"4","journalAbbreviation":"J Family Med Prim Care","note":"PMID: 40396100\nPMCID: PMC12088536","page":"1295-1306","source":"PubMed Central","title":"Knowledge, attitude, and practice of breastfeeding among mothers attending King Abdulaziz University Hospital, Jeddah, Saudi Arabia","volume":"14","author":[{"family":"Alhamedi","given":"Nesrain Mubarak"},{"family":"Alshoaibi","given":"Nura Fikri"},{"family":"Alamri","given":"Rahaf Mansour Saad"},{"family":"Alamri","given":"Somaia A."},{"family":"Alsulami","given":"Salhah S."},{"family":"Ghulam","given":"Enas"},{"family":"Shawish","given":"Shahad Hussain"}],"issued":{"date-parts":[["2025",4]]}}},{"id":6589,"uris":["http://zotero.org/users/15244130/items/QCRLH8W7"],"itemData":{"id":6589,"type":"article-journal","abstract":"Objective:\nThis study aims at understanding the level of knowledge, attitude, and practice of breastfeeding among mothers and the factors associated with good knowledge about breastfeeding.\n\nMaterials and methods:\nA cross-sectional study among 251 mothers of infants admitted in the pediatric wards of SAT Hospital, Thiruvananthapuram was conducted during November–December 2019. The mothers of infants born between 37 and 42 weeks of gestation and without major birth defects were included in the study. The data were entered into an MS Excel sheet and analyzed using Statistical Package of Social Sciences version 26.0. Significance of association was tested using Chi-square test and multivariate analysis was done using binary logistic regression test.\n\nResults:\nThe mean age of the participants was 26.25 (SD 4) years. On multivariable analysis, higher education and older age were found to be significantly associated with good knowledge. Independent sample T-Test results show that there was a statistically significant difference between the mean age of mothers with good knowledge (26.4(±4), 25.14(±3.7)), p-0.015 and statistically significant association was found between the mean attitude scores (34.07(5.58)) with current breastfeeding practices (p=0.002). Chi-square test shows that exclusive breastfeeding was significantly associated with the mother’s age (p=0.006); 64.2% of women practicing exclusive breastfeeding were less than 25 years of age. This study also demonstrated a significant association between the initiation of breastfeeding within an hour and exclusive breastfeeding (p=0.003).\n\nConclusion:\nThis study shows that mothers with higher age and higher educational qualifications were significantly associated with good knowledge about breastfeeding. Even though mothers have good knowledge, nearly half the mothers only exclusively breastfeed their infants for six months. Improving the educational qualification of women and increasing awareness about the benefits of breastfeeding among young women will promote breastfeeding practices.","container-title":"Journal of Family &amp; Reproductive Health","DOI":"10.18502/jfrh.v17i3.13536","ISSN":"1735-8949","issue":"3","journalAbbreviation":"J Family Reprod Health","note":"PMID: 38716288\nPMCID: PMC11070740","page":"136-141","source":"PubMed Central","title":"Knowledge, Attitude and Practices Among Mothers of Infants Regarding Breastfeeding","volume":"17","author":[{"family":"Manjapallikkunnel","given":"Shema Raj"},{"family":"Nair","given":"Anjana Nalinakumari Kesavan"},{"family":"Sujatha","given":"Chintha"}],"issued":{"date-parts":[["2023",9]]}}}],"schema":"https://github.com/citation-style-language/schema/raw/master/csl-citation.json"} </w:instrText>
      </w:r>
      <w:r w:rsidR="004D7245">
        <w:rPr>
          <w:rFonts w:ascii="Arial" w:hAnsi="Arial" w:cs="Arial"/>
          <w:sz w:val="20"/>
          <w:szCs w:val="20"/>
        </w:rPr>
        <w:fldChar w:fldCharType="separate"/>
      </w:r>
      <w:r w:rsidR="00474D94" w:rsidRPr="00474D94">
        <w:rPr>
          <w:rFonts w:ascii="Arial" w:hAnsi="Arial" w:cs="Arial"/>
          <w:sz w:val="20"/>
        </w:rPr>
        <w:t>(18,21,22)</w:t>
      </w:r>
      <w:r w:rsidR="004D7245">
        <w:rPr>
          <w:rFonts w:ascii="Arial" w:hAnsi="Arial" w:cs="Arial"/>
          <w:sz w:val="20"/>
          <w:szCs w:val="20"/>
        </w:rPr>
        <w:fldChar w:fldCharType="end"/>
      </w:r>
      <w:r w:rsidR="00474D94">
        <w:rPr>
          <w:rFonts w:ascii="Arial" w:hAnsi="Arial" w:cs="Arial"/>
          <w:sz w:val="20"/>
          <w:szCs w:val="20"/>
        </w:rPr>
        <w:t xml:space="preserve">. </w:t>
      </w:r>
    </w:p>
    <w:p w14:paraId="50C75B47" w14:textId="01A39253" w:rsidR="002776E5" w:rsidRPr="002776E5" w:rsidRDefault="002776E5" w:rsidP="002776E5">
      <w:pPr>
        <w:numPr>
          <w:ilvl w:val="0"/>
          <w:numId w:val="6"/>
        </w:numPr>
        <w:rPr>
          <w:rFonts w:ascii="Arial" w:hAnsi="Arial" w:cs="Arial"/>
          <w:sz w:val="20"/>
          <w:szCs w:val="20"/>
        </w:rPr>
      </w:pPr>
      <w:r w:rsidRPr="002776E5">
        <w:rPr>
          <w:rFonts w:ascii="Arial" w:hAnsi="Arial" w:cs="Arial"/>
          <w:sz w:val="20"/>
          <w:szCs w:val="20"/>
        </w:rPr>
        <w:t xml:space="preserve">Infant feeding practices: assessed using WHO IYCF indicators such as early initiation of breastfeeding, exclusive breastfeeding, minimum meal frequency, and dietary diversity </w:t>
      </w:r>
      <w:r w:rsidR="00474D94">
        <w:rPr>
          <w:rFonts w:ascii="Arial" w:hAnsi="Arial" w:cs="Arial"/>
          <w:sz w:val="20"/>
          <w:szCs w:val="20"/>
        </w:rPr>
        <w:fldChar w:fldCharType="begin"/>
      </w:r>
      <w:r w:rsidR="00474D94">
        <w:rPr>
          <w:rFonts w:ascii="Arial" w:hAnsi="Arial" w:cs="Arial"/>
          <w:sz w:val="20"/>
          <w:szCs w:val="20"/>
        </w:rPr>
        <w:instrText xml:space="preserve"> ADDIN ZOTERO_ITEM CSL_CITATION {"citationID":"yfK7pJDx","properties":{"formattedCitation":"(1)","plainCitation":"(1)","noteIndex":0},"citationItems":[{"id":6564,"uris":["http://zotero.org/users/15244130/items/TDR59S6K"],"itemData":{"id":6564,"type":"webpage","abstract":"This report summarizes the discussion and consensus reached on 8 core indicators and 7 optional indicators for assessing infant and young child \nfeeding practices that are population-based and can be derived from household survey data.","language":"en","title":"Indicators for assessing infant and young child feeding practices: part 1 definition","title-short":"Indicators for assessing infant and young child feeding practices","URL":"https://www.who.int/publications/i/item/9789241596664","author":[{"literal":"World Health Organization"}],"accessed":{"date-parts":[["2025",8,29]]},"issued":{"date-parts":[["2008"]]}}}],"schema":"https://github.com/citation-style-language/schema/raw/master/csl-citation.json"} </w:instrText>
      </w:r>
      <w:r w:rsidR="00474D94">
        <w:rPr>
          <w:rFonts w:ascii="Arial" w:hAnsi="Arial" w:cs="Arial"/>
          <w:sz w:val="20"/>
          <w:szCs w:val="20"/>
        </w:rPr>
        <w:fldChar w:fldCharType="separate"/>
      </w:r>
      <w:r w:rsidR="00474D94" w:rsidRPr="00474D94">
        <w:rPr>
          <w:rFonts w:ascii="Arial" w:hAnsi="Arial" w:cs="Arial"/>
          <w:sz w:val="20"/>
        </w:rPr>
        <w:t>(1)</w:t>
      </w:r>
      <w:r w:rsidR="00474D94">
        <w:rPr>
          <w:rFonts w:ascii="Arial" w:hAnsi="Arial" w:cs="Arial"/>
          <w:sz w:val="20"/>
          <w:szCs w:val="20"/>
        </w:rPr>
        <w:fldChar w:fldCharType="end"/>
      </w:r>
      <w:r w:rsidRPr="002776E5">
        <w:rPr>
          <w:rFonts w:ascii="Arial" w:hAnsi="Arial" w:cs="Arial"/>
          <w:sz w:val="20"/>
          <w:szCs w:val="20"/>
        </w:rPr>
        <w:t>. Additional constructs were adapted from the Feeding Practices and Structure Questionnaire (FPSQ), which has been validated in infant feeding research</w:t>
      </w:r>
      <w:r w:rsidR="00474D94">
        <w:rPr>
          <w:rFonts w:ascii="Arial" w:hAnsi="Arial" w:cs="Arial"/>
          <w:sz w:val="20"/>
          <w:szCs w:val="20"/>
        </w:rPr>
        <w:fldChar w:fldCharType="begin"/>
      </w:r>
      <w:r w:rsidR="002A4456">
        <w:rPr>
          <w:rFonts w:ascii="Arial" w:hAnsi="Arial" w:cs="Arial"/>
          <w:sz w:val="20"/>
          <w:szCs w:val="20"/>
        </w:rPr>
        <w:instrText xml:space="preserve"> ADDIN ZOTERO_ITEM CSL_CITATION {"citationID":"RE1x55jm","properties":{"formattedCitation":"(23)","plainCitation":"(23)","noteIndex":0},"citationItems":[{"id":6553,"uris":["http://zotero.org/users/15244130/items/BKHGVLCH"],"itemData":{"id":6553,"type":"article-journal","abstract":"BACKGROUND: In order to measure and understand trajectories of parental feeding practices and their relationship with child eating and weight, it is desirable to perform assessment from infancy and across time, in age-appropriate ways. While many feeding practices questionnaires exist, none is presently available that enables tracking of feeding practices from infancy through childhood. The aim of the study was to develop a version of the Feeding Practices and Structure Questionnaire (FPSQ) for parents with infants and toddlers (&lt; 2 years) to be used in conjunction with the original FPSQ for older children (≥2 years) to measure feeding practices related to non-responsiveness and structure across childhood.\nMETHODS: Constructs and items for the FPSQ for infants and toddlers were derived from the existing and validated FPSQ for older children and supplemented by a review of the literature on infant feeding questionnaires. Following expert review, two versions of the questionnaire were developed, one for milk feeding parents and one for solid feeding parents. Data from two studies were combined (child ages 0-24 months) to test the derived constructs with Confirmatory Factor Analysis for the milk feeding (N = 731) and solid feeding (N = 611) versions.\nRESULTS: The milk feeding version consisted of four factors (18 items) and showed acceptable model fit and good internal reliability: 'feeding on demand vs. feeding routine' (α = 0.87), 'using food to calm' (α = 0.87), 'persuasive feeding' (α = 0.71), 'parent-led feeding' (α = 0.79). The same four factors showed acceptable model fit for the solid feeding version (21 items), likewise with good internal reliability (α = 0.74, 0.86, 0.85, 0.84 respectively). Two additional factors (13 items) were developed for the solid feeding version that appeared developmentally appropriate only for children aged 12 months or older: 'family meal environment' (α = 0.81) and 'using (non-)food rewards' (α = 0.92). The majority of factor-factor correlations were in line with those of the original FPSQ.\nCONCLUSIONS: The FPSQ milk and solid feeding versions are the first measures specifically developed as precursors to the FPSQ to measure parental feeding practices in children &lt; 2 years, particularly practices related to non-responsiveness and structure. Further validation in more diverse samples is required.","container-title":"The International Journal of Behavioral Nutrition and Physical Activity","DOI":"10.1186/s12966-021-01079-x","ISSN":"1479-5868","issue":"1","journalAbbreviation":"Int J Behav Nutr Phys Act","language":"eng","note":"PMID: 33468156\nPMCID: PMC7814443","page":"13","source":"PubMed","title":"The Feeding Practices and Structure Questionnaire: development and validation of age appropriate versions for infants and toddlers","title-short":"The Feeding Practices and Structure Questionnaire","volume":"18","author":[{"family":"Jansen","given":"E."},{"family":"Russell","given":"C. G."},{"family":"Appleton","given":"J."},{"family":"Byrne","given":"R."},{"family":"Daniels","given":"L. A."},{"family":"Fowler","given":"C."},{"family":"Rossiter","given":"C."},{"family":"Mallan","given":"K. M."}],"issued":{"date-parts":[["2021",1,19]]}}}],"schema":"https://github.com/citation-style-language/schema/raw/master/csl-citation.json"} </w:instrText>
      </w:r>
      <w:r w:rsidR="00474D94">
        <w:rPr>
          <w:rFonts w:ascii="Arial" w:hAnsi="Arial" w:cs="Arial"/>
          <w:sz w:val="20"/>
          <w:szCs w:val="20"/>
        </w:rPr>
        <w:fldChar w:fldCharType="separate"/>
      </w:r>
      <w:r w:rsidR="002A4456" w:rsidRPr="002A4456">
        <w:rPr>
          <w:rFonts w:ascii="Arial" w:hAnsi="Arial" w:cs="Arial"/>
          <w:sz w:val="20"/>
        </w:rPr>
        <w:t>(23)</w:t>
      </w:r>
      <w:r w:rsidR="00474D94">
        <w:rPr>
          <w:rFonts w:ascii="Arial" w:hAnsi="Arial" w:cs="Arial"/>
          <w:sz w:val="20"/>
          <w:szCs w:val="20"/>
        </w:rPr>
        <w:fldChar w:fldCharType="end"/>
      </w:r>
      <w:r w:rsidRPr="002776E5">
        <w:rPr>
          <w:rFonts w:ascii="Arial" w:hAnsi="Arial" w:cs="Arial"/>
          <w:sz w:val="20"/>
          <w:szCs w:val="20"/>
        </w:rPr>
        <w:t>.</w:t>
      </w:r>
    </w:p>
    <w:p w14:paraId="0B058D4F" w14:textId="2FFAC54F" w:rsidR="002776E5" w:rsidRPr="002776E5" w:rsidRDefault="002776E5" w:rsidP="002776E5">
      <w:pPr>
        <w:numPr>
          <w:ilvl w:val="0"/>
          <w:numId w:val="6"/>
        </w:numPr>
        <w:rPr>
          <w:rFonts w:ascii="Arial" w:hAnsi="Arial" w:cs="Arial"/>
          <w:sz w:val="20"/>
          <w:szCs w:val="20"/>
        </w:rPr>
      </w:pPr>
      <w:r w:rsidRPr="002776E5">
        <w:rPr>
          <w:rFonts w:ascii="Arial" w:hAnsi="Arial" w:cs="Arial"/>
          <w:sz w:val="20"/>
          <w:szCs w:val="20"/>
        </w:rPr>
        <w:t xml:space="preserve">Infant nutritional status: weight, length/height, and age were obtained from health records or measured using calibrated digital scales and </w:t>
      </w:r>
      <w:proofErr w:type="spellStart"/>
      <w:r w:rsidRPr="002776E5">
        <w:rPr>
          <w:rFonts w:ascii="Arial" w:hAnsi="Arial" w:cs="Arial"/>
          <w:sz w:val="20"/>
          <w:szCs w:val="20"/>
        </w:rPr>
        <w:t>infantometers</w:t>
      </w:r>
      <w:proofErr w:type="spellEnd"/>
      <w:r w:rsidRPr="002776E5">
        <w:rPr>
          <w:rFonts w:ascii="Arial" w:hAnsi="Arial" w:cs="Arial"/>
          <w:sz w:val="20"/>
          <w:szCs w:val="20"/>
        </w:rPr>
        <w:t xml:space="preserve">. Anthropometric Z-scores (WAZ, LAZ, WLZ) were calculated using WHO Anthro software version 3.2.2. Classification of underweight, stunting, and wasting followed WHO guidelines (&lt; −2 SD) </w:t>
      </w:r>
      <w:r w:rsidR="002A4456">
        <w:rPr>
          <w:rFonts w:ascii="Arial" w:hAnsi="Arial" w:cs="Arial"/>
          <w:sz w:val="20"/>
          <w:szCs w:val="20"/>
        </w:rPr>
        <w:fldChar w:fldCharType="begin"/>
      </w:r>
      <w:r w:rsidR="002A4456">
        <w:rPr>
          <w:rFonts w:ascii="Arial" w:hAnsi="Arial" w:cs="Arial"/>
          <w:sz w:val="20"/>
          <w:szCs w:val="20"/>
        </w:rPr>
        <w:instrText xml:space="preserve"> ADDIN ZOTERO_ITEM CSL_CITATION {"citationID":"WeyxIBnp","properties":{"formattedCitation":"(1)","plainCitation":"(1)","noteIndex":0},"citationItems":[{"id":6564,"uris":["http://zotero.org/users/15244130/items/TDR59S6K"],"itemData":{"id":6564,"type":"webpage","abstract":"This report summarizes the discussion and consensus reached on 8 core indicators and 7 optional indicators for assessing infant and young child \nfeeding practices that are population-based and can be derived from household survey data.","language":"en","title":"Indicators for assessing infant and young child feeding practices: part 1 definition","title-short":"Indicators for assessing infant and young child feeding practices","URL":"https://www.who.int/publications/i/item/9789241596664","author":[{"literal":"World Health Organization"}],"accessed":{"date-parts":[["2025",8,29]]},"issued":{"date-parts":[["2008"]]}}}],"schema":"https://github.com/citation-style-language/schema/raw/master/csl-citation.json"} </w:instrText>
      </w:r>
      <w:r w:rsidR="002A4456">
        <w:rPr>
          <w:rFonts w:ascii="Arial" w:hAnsi="Arial" w:cs="Arial"/>
          <w:sz w:val="20"/>
          <w:szCs w:val="20"/>
        </w:rPr>
        <w:fldChar w:fldCharType="separate"/>
      </w:r>
      <w:r w:rsidR="002A4456" w:rsidRPr="002A4456">
        <w:rPr>
          <w:rFonts w:ascii="Arial" w:hAnsi="Arial" w:cs="Arial"/>
          <w:sz w:val="20"/>
        </w:rPr>
        <w:t>(1)</w:t>
      </w:r>
      <w:r w:rsidR="002A4456">
        <w:rPr>
          <w:rFonts w:ascii="Arial" w:hAnsi="Arial" w:cs="Arial"/>
          <w:sz w:val="20"/>
          <w:szCs w:val="20"/>
        </w:rPr>
        <w:fldChar w:fldCharType="end"/>
      </w:r>
      <w:r w:rsidRPr="002776E5">
        <w:rPr>
          <w:rFonts w:ascii="Arial" w:hAnsi="Arial" w:cs="Arial"/>
          <w:sz w:val="20"/>
          <w:szCs w:val="20"/>
        </w:rPr>
        <w:t>.</w:t>
      </w:r>
    </w:p>
    <w:p w14:paraId="6F0AD35B" w14:textId="2AEFFC82" w:rsidR="002776E5" w:rsidRPr="002776E5" w:rsidRDefault="002776E5" w:rsidP="002776E5">
      <w:pPr>
        <w:rPr>
          <w:rFonts w:ascii="Arial" w:hAnsi="Arial" w:cs="Arial"/>
          <w:sz w:val="20"/>
          <w:szCs w:val="20"/>
        </w:rPr>
      </w:pPr>
      <w:r w:rsidRPr="002776E5">
        <w:rPr>
          <w:rFonts w:ascii="Arial" w:hAnsi="Arial" w:cs="Arial"/>
          <w:sz w:val="20"/>
          <w:szCs w:val="20"/>
        </w:rPr>
        <w:t>The tool was pretested on 5% of the sample in a nearby facility. Minor revisions were made to improve clarity. Internal consistency was checked, and Cronbach’s alpha values exceeded 0.70, indicating acceptable reliability</w:t>
      </w:r>
      <w:r w:rsidR="002A4456">
        <w:rPr>
          <w:rFonts w:ascii="Arial" w:hAnsi="Arial" w:cs="Arial"/>
          <w:sz w:val="20"/>
          <w:szCs w:val="20"/>
        </w:rPr>
        <w:fldChar w:fldCharType="begin"/>
      </w:r>
      <w:r w:rsidR="00CE4BB6">
        <w:rPr>
          <w:rFonts w:ascii="Arial" w:hAnsi="Arial" w:cs="Arial"/>
          <w:sz w:val="20"/>
          <w:szCs w:val="20"/>
        </w:rPr>
        <w:instrText xml:space="preserve"> ADDIN ZOTERO_ITEM CSL_CITATION {"citationID":"7zPkVbEx","properties":{"formattedCitation":"(24)","plainCitation":"(24)","noteIndex":0},"citationItems":[{"id":6562,"uris":["http://zotero.org/users/15244130/items/FFTSSIPC"],"itemData":{"id":6562,"type":"article-journal","abstract":"IntroductionMalnutrition contributes to approximately 45% of deaths among under 5 years children in low and middle-income countries. Poor maternal knowledge and failure to comply with recommended Infant and Young Child Feeding (IYCF) practices are known risk factors for malnutrition but there are inconsistencies in the literature. Therefore, this cross-sectional study of 100 mother–child pairs in district Gujranwala aimed to assess maternal nutritional literacy (MNL) and maternal feeding practices (MFP) and their ultimate impacts on child growth.MethodsA researcher administered questionnaire that was the combination of WHO model questionnaires and FAO Nutrition-related KAP model questionnaires was used to collect the data from mothers while and anthropometric measurements of children were taken by following the standard methods.ResultsResults showed that 57% of mothers had average nutritional knowledge and feeding practices were not satisfactory. Only 12% of mothers-initiated breastfeeding within the first hour of birth, 7% of infants were exclusively breastfed, while 27.27% continued to be breastfed beyond 1 year. Complementary foods were timely introduced to 53% of infants, 47% received minimum meal frequency and 34% met the minimum dietary diversity criteria. Additionally, the consumption of unhealthy foods, sugar-sweetened beverages, and zero consumption of fruits and vegetables was practiced by 71, 23, and 27% of infants and young children, respectively. Prevalence of stunting, wasting, underweight and overweight was 19, 9, 12, and 12%, respectively. A non-significant association was observed between MNL and MFP with growth outcomes with a few exceptions. The odds of being wasted (β = 1.903, OR = 6.706, p &lt; 0.05) and underweight (β = 1.732, OR = 5.654, p &lt; 0.05) are higher among children who had vaginal birth. Higher odds of being stunted (β = 2.173, OR = 8.788, p &lt; 0.05) were observed among those whose mothers had middle school education compared to those having higher education.ConclusionOverall results indicated a dire need not only to create nutritional awareness among mothers in Gujranwala but also to provide a support system for mothers to help them implement standard feeding practices.","container-title":"Frontiers in Nutrition","ISSN":"2296-861X","journalAbbreviation":"Frontiers in Nutrition","title":"Impact of maternal nutritional literacy and feeding practices on the growth outcomes of children (6–23 months) in Gujranwala: a cross-sectional study","URL":"https://www.frontiersin.org/journals/nutrition/articles/10.3389/fnut.2024.1460200","volume":"Volume 11 - 2024","author":[{"family":"Tahreem","given":"Aaiza"},{"family":"Rakha","given":"Allah"},{"family":"Anwar","given":"Rimsha"},{"family":"Rabail","given":"Roshina"},{"family":"Maerescu","given":"Cristina Maria"},{"family":"Socol","given":"Claudia Terezia"},{"family":"Criste","given":"Florin Leontin"},{"family":"Abdi","given":"Gholamreza"},{"family":"Aadil","given":"Rana Muhammad"}],"issued":{"date-parts":[["2025"]]}}}],"schema":"https://github.com/citation-style-language/schema/raw/master/csl-citation.json"} </w:instrText>
      </w:r>
      <w:r w:rsidR="002A4456">
        <w:rPr>
          <w:rFonts w:ascii="Arial" w:hAnsi="Arial" w:cs="Arial"/>
          <w:sz w:val="20"/>
          <w:szCs w:val="20"/>
        </w:rPr>
        <w:fldChar w:fldCharType="separate"/>
      </w:r>
      <w:r w:rsidR="00CE4BB6" w:rsidRPr="00CE4BB6">
        <w:rPr>
          <w:rFonts w:ascii="Arial" w:hAnsi="Arial" w:cs="Arial"/>
          <w:sz w:val="20"/>
        </w:rPr>
        <w:t>(24)</w:t>
      </w:r>
      <w:r w:rsidR="002A4456">
        <w:rPr>
          <w:rFonts w:ascii="Arial" w:hAnsi="Arial" w:cs="Arial"/>
          <w:sz w:val="20"/>
          <w:szCs w:val="20"/>
        </w:rPr>
        <w:fldChar w:fldCharType="end"/>
      </w:r>
      <w:r w:rsidR="00CE4BB6">
        <w:rPr>
          <w:rFonts w:ascii="Arial" w:hAnsi="Arial" w:cs="Arial"/>
          <w:sz w:val="20"/>
          <w:szCs w:val="20"/>
        </w:rPr>
        <w:t>.</w:t>
      </w:r>
    </w:p>
    <w:p w14:paraId="025C5CBE"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Data Collection Procedure</w:t>
      </w:r>
    </w:p>
    <w:p w14:paraId="2C5E9F05" w14:textId="77777777" w:rsidR="002776E5" w:rsidRPr="002776E5" w:rsidRDefault="002776E5" w:rsidP="002776E5">
      <w:pPr>
        <w:rPr>
          <w:rFonts w:ascii="Arial" w:hAnsi="Arial" w:cs="Arial"/>
          <w:sz w:val="20"/>
          <w:szCs w:val="20"/>
        </w:rPr>
      </w:pPr>
      <w:r w:rsidRPr="002776E5">
        <w:rPr>
          <w:rFonts w:ascii="Arial" w:hAnsi="Arial" w:cs="Arial"/>
          <w:sz w:val="20"/>
          <w:szCs w:val="20"/>
        </w:rPr>
        <w:t>Data collection was conducted over a six-week period by trained research assistants who were fluent in English and Gonja, the dominant local language. Training sessions covered interview techniques, ethical issues, and anthropometric measurement according to WHO standards.</w:t>
      </w:r>
    </w:p>
    <w:p w14:paraId="45074CEC" w14:textId="77777777" w:rsidR="002776E5" w:rsidRPr="002776E5" w:rsidRDefault="002776E5" w:rsidP="002776E5">
      <w:pPr>
        <w:rPr>
          <w:rFonts w:ascii="Arial" w:hAnsi="Arial" w:cs="Arial"/>
          <w:sz w:val="20"/>
          <w:szCs w:val="20"/>
        </w:rPr>
      </w:pPr>
      <w:r w:rsidRPr="002776E5">
        <w:rPr>
          <w:rFonts w:ascii="Arial" w:hAnsi="Arial" w:cs="Arial"/>
          <w:sz w:val="20"/>
          <w:szCs w:val="20"/>
        </w:rPr>
        <w:t>Mothers were approached during child welfare clinic days and informed about the study. After consent, interviews were conducted in private spaces to ensure confidentiality. Anthropometric measurements were taken with children in light clothing and no shoes. Daily calibration of scales and measuring boards ensured accuracy. Supervisors checked completed questionnaires daily for errors and completeness.</w:t>
      </w:r>
    </w:p>
    <w:p w14:paraId="6F0BF009"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Data Management and Analysis</w:t>
      </w:r>
    </w:p>
    <w:p w14:paraId="38047CBC" w14:textId="77777777" w:rsidR="002776E5" w:rsidRPr="002776E5" w:rsidRDefault="002776E5" w:rsidP="002776E5">
      <w:pPr>
        <w:rPr>
          <w:rFonts w:ascii="Arial" w:hAnsi="Arial" w:cs="Arial"/>
          <w:sz w:val="20"/>
          <w:szCs w:val="20"/>
        </w:rPr>
      </w:pPr>
      <w:r w:rsidRPr="002776E5">
        <w:rPr>
          <w:rFonts w:ascii="Arial" w:hAnsi="Arial" w:cs="Arial"/>
          <w:sz w:val="20"/>
          <w:szCs w:val="20"/>
        </w:rPr>
        <w:t>Data were double-entered into EpiData and exported to SPSS version 26.0 for analysis. Z-scores were generated in WHO Anthro software.</w:t>
      </w:r>
    </w:p>
    <w:p w14:paraId="1F320EB1" w14:textId="77777777" w:rsidR="002776E5" w:rsidRPr="002776E5" w:rsidRDefault="002776E5" w:rsidP="002776E5">
      <w:pPr>
        <w:numPr>
          <w:ilvl w:val="0"/>
          <w:numId w:val="7"/>
        </w:numPr>
        <w:rPr>
          <w:rFonts w:ascii="Arial" w:hAnsi="Arial" w:cs="Arial"/>
          <w:sz w:val="20"/>
          <w:szCs w:val="20"/>
        </w:rPr>
      </w:pPr>
      <w:r w:rsidRPr="002776E5">
        <w:rPr>
          <w:rFonts w:ascii="Arial" w:hAnsi="Arial" w:cs="Arial"/>
          <w:sz w:val="20"/>
          <w:szCs w:val="20"/>
        </w:rPr>
        <w:t>Maternal knowledge: Each correct answer was coded 1, incorrect/don’t know as 0 (range 0–8). Categorized as low (0–2), moderate (3–5), and high (6–8).</w:t>
      </w:r>
    </w:p>
    <w:p w14:paraId="5E6A6056" w14:textId="77777777" w:rsidR="002776E5" w:rsidRPr="002776E5" w:rsidRDefault="002776E5" w:rsidP="002776E5">
      <w:pPr>
        <w:numPr>
          <w:ilvl w:val="0"/>
          <w:numId w:val="7"/>
        </w:numPr>
        <w:rPr>
          <w:rFonts w:ascii="Arial" w:hAnsi="Arial" w:cs="Arial"/>
          <w:sz w:val="20"/>
          <w:szCs w:val="20"/>
        </w:rPr>
      </w:pPr>
      <w:r w:rsidRPr="002776E5">
        <w:rPr>
          <w:rFonts w:ascii="Arial" w:hAnsi="Arial" w:cs="Arial"/>
          <w:sz w:val="20"/>
          <w:szCs w:val="20"/>
        </w:rPr>
        <w:t>Feeding practices: Scored across six indicators (range 0–6). Categorized as poor (≤2), fair (3–4), and good (≥5).</w:t>
      </w:r>
    </w:p>
    <w:p w14:paraId="31FE9A63" w14:textId="77777777" w:rsidR="002776E5" w:rsidRPr="002776E5" w:rsidRDefault="002776E5" w:rsidP="002776E5">
      <w:pPr>
        <w:numPr>
          <w:ilvl w:val="0"/>
          <w:numId w:val="7"/>
        </w:numPr>
        <w:rPr>
          <w:rFonts w:ascii="Arial" w:hAnsi="Arial" w:cs="Arial"/>
          <w:sz w:val="20"/>
          <w:szCs w:val="20"/>
        </w:rPr>
      </w:pPr>
      <w:r w:rsidRPr="002776E5">
        <w:rPr>
          <w:rFonts w:ascii="Arial" w:hAnsi="Arial" w:cs="Arial"/>
          <w:sz w:val="20"/>
          <w:szCs w:val="20"/>
        </w:rPr>
        <w:t>Infant nutritional status: Dichotomized into malnourished (underweight, stunted, or wasted) versus normal.</w:t>
      </w:r>
    </w:p>
    <w:p w14:paraId="0F7584F6" w14:textId="77777777" w:rsidR="002776E5" w:rsidRPr="002776E5" w:rsidRDefault="002776E5" w:rsidP="002776E5">
      <w:pPr>
        <w:rPr>
          <w:rFonts w:ascii="Arial" w:hAnsi="Arial" w:cs="Arial"/>
          <w:sz w:val="20"/>
          <w:szCs w:val="20"/>
        </w:rPr>
      </w:pPr>
      <w:r w:rsidRPr="002776E5">
        <w:rPr>
          <w:rFonts w:ascii="Arial" w:hAnsi="Arial" w:cs="Arial"/>
          <w:sz w:val="20"/>
          <w:szCs w:val="20"/>
        </w:rPr>
        <w:lastRenderedPageBreak/>
        <w:t>Descriptive statistics (means, standard deviations, frequencies, and percentages) summarized sample characteristics.</w:t>
      </w:r>
    </w:p>
    <w:p w14:paraId="2A7A7F4D" w14:textId="54212353" w:rsidR="002776E5" w:rsidRPr="002776E5" w:rsidRDefault="002776E5" w:rsidP="002776E5">
      <w:pPr>
        <w:rPr>
          <w:rFonts w:ascii="Arial" w:hAnsi="Arial" w:cs="Arial"/>
          <w:sz w:val="20"/>
          <w:szCs w:val="20"/>
        </w:rPr>
      </w:pPr>
      <w:r w:rsidRPr="002776E5">
        <w:rPr>
          <w:rFonts w:ascii="Arial" w:hAnsi="Arial" w:cs="Arial"/>
          <w:sz w:val="20"/>
          <w:szCs w:val="20"/>
        </w:rPr>
        <w:t>Multivariate binary logistic regression was performed to identify predictors of infant malnutrition. Independent variables included maternal knowledge score, feeding practice score, maternal age, marital status, education, occupation, parity, ANC attendance, place of delivery, mode of delivery, receipt of counselling, infant age, and infant sex. These variables were selected based on prior studies that identified their role in child nutrition outcomes</w:t>
      </w:r>
      <w:r w:rsidR="00CE4BB6">
        <w:rPr>
          <w:rFonts w:ascii="Arial" w:hAnsi="Arial" w:cs="Arial"/>
          <w:sz w:val="20"/>
          <w:szCs w:val="20"/>
        </w:rPr>
        <w:fldChar w:fldCharType="begin"/>
      </w:r>
      <w:r w:rsidR="00E81499">
        <w:rPr>
          <w:rFonts w:ascii="Arial" w:hAnsi="Arial" w:cs="Arial"/>
          <w:sz w:val="20"/>
          <w:szCs w:val="20"/>
        </w:rPr>
        <w:instrText xml:space="preserve"> ADDIN ZOTERO_ITEM CSL_CITATION {"citationID":"1Az46QLc","properties":{"formattedCitation":"(4,7,15)","plainCitation":"(4,7,15)","noteIndex":0},"citationItems":[{"id":6545,"uris":["http://zotero.org/users/15244130/items/Y99EI62Z"],"itemData":{"id":6545,"type":"article-journal","container-title":"The Lancet","DOI":"10.1016/S0140-6736(13)60937-X","ISSN":"01406736","issue":"9890","journalAbbreviation":"The Lancet","language":"en","page":"427-451","source":"DOI.org (Crossref)","title":"Maternal and child undernutrition and overweight in low-income and middle-income countries","volume":"382","author":[{"family":"Black","given":"Robert E"},{"family":"Victora","given":"Cesar G"},{"family":"Walker","given":"Susan P"},{"family":"Bhutta","given":"Zulfiqar A"},{"family":"Christian","given":"Parul"},{"family":"De Onis","given":"Mercedes"},{"family":"Ezzati","given":"Majid"},{"family":"Grantham-McGregor","given":"Sally"},{"family":"Katz","given":"Joanne"},{"family":"Martorell","given":"Reynaldo"},{"family":"Uauy","given":"Ricardo"}],"issued":{"date-parts":[["2013",8]]}}},{"id":6521,"uris":["http://zotero.org/users/15244130/items/B3VUJMUX"],"itemData":{"id":6521,"type":"article-journal","abstract":"Background\n              Stunting and overweight are nutritional problems affecting most of sub-Saharan Africa. The region now has the world's highest rate of stunting among children (43%), while overweight and obesity are becoming a global epidemic, and Africa is not spared. The past two decades have seen a dramatic increase in obesity in sub-Saharan Africa.\n            \n            \n              Objective\n              The purpose of this systematic review is to explore the determinants of stunting and overweight in sub-Saharan Africa.\n            \n            \n              Methods\n              A literature search was conducted in PubMed using the key words stunting, overweight, obesity, Africa, sub-Saharan Africa, determinants, and prevalence. Limits were set to include articles published between 1990 and 2012. The systematic review resulted in 38 studies, and after selection based on title, content, and country of the study, 18 studies were eligible for this review. Data were analyzed by the chi-square test.\n            \n            \n              Results\n              The prevalence rates of stunting and over-weight were dependent on socioeconomic, demographic, and environmental factors. Many studies indicate that male children and those living in a rural setting are more likely to be stunted, whereas overweight among children depends more on age, household composition, occupation of the mother, and the mother's body mass index. Stunting occurred together with overweight among both boys and girls from 1 to 5 years of age. Stunting was more prevalent among boys than among girls. Indicators of socioeconomic status, such as mother's education, mother's occupation, and household income, were some of the determinants directly linked to stunting, whereas environmental factors, such as rural or urban setting and sanitation, influenced both stunting and overweight. Concurrent stunting and overweight is influenced by maternal and household factors, such as maternal height, age, and education, large household size, and lower socioeconomic status.\n            \n            \n              Conclusions\n              Although socioeconomic, demographic, and environmental factors were significant in determining stunting and overweight, other factors, such as nutrition and lifestyle, were important risk factors. Stunting in childhood is a risk factor that may result in overweight and obesity later in adolescence and adulthood, indicating the need to screen children below 1 year of age to identify stunting early in life. Promoting exclusive breastfeeding is reported to be important in preventing both stunting and overweight among children. More research is needed to explore the relationship between stunting and overweight and to explore policy guidelines to address the phenomenon.","container-title":"Food and Nutrition Bulletin","DOI":"10.1177/156482651403500203","ISSN":"0379-5721, 1564-8265","issue":"2","journalAbbreviation":"Food Nutr Bull","language":"en","page":"167-178","source":"DOI.org (Crossref)","title":"Determinants of Stunting and Overweight among Young Children and Adolescents in Sub-Saharan Africa","volume":"35","author":[{"family":"Keino","given":"Susan"},{"family":"Plasqui","given":"Guy"},{"family":"Ettyang","given":"Grace"},{"family":"Van Den Borne","given":"Bart"}],"issued":{"date-parts":[["2014",6]]}}},{"id":6512,"uris":["http://zotero.org/users/15244130/items/HZQUUN45"],"itemData":{"id":6512,"type":"article-journal","abstract":"Undernutrition during pregnancy affects birth outcomes adversely. In Ethiopia, despite nutrition counseling on the maternal diet being given by the health workers during pregnancy, maternal undernutrition is still high in the country. Hence, this study aimed to assess the effect of guided counseling using the health belief model and the theory of planned behavior on the nutritional status of pregnant women.","container-title":"Nutrition Journal","DOI":"10.1186/s12937-020-00536-w","ISSN":"1475-2891","issue":"1","journalAbbreviation":"Nutrition Journal","page":"38","source":"BioMed Central","title":"Effect of guided counseling on nutritional status of pregnant women in West Gojjam zone, Ethiopia: a cluster-randomized controlled trial","title-short":"Effect of guided counseling on nutritional status of pregnant women in West Gojjam zone, Ethiopia","volume":"19","author":[{"family":"Demilew","given":"Yeshalem Mulugeta"},{"family":"Alene","given":"Getu Degu"},{"family":"Belachew","given":"Tefera"}],"issued":{"date-parts":[["2020",4,28]]}}}],"schema":"https://github.com/citation-style-language/schema/raw/master/csl-citation.json"} </w:instrText>
      </w:r>
      <w:r w:rsidR="00CE4BB6">
        <w:rPr>
          <w:rFonts w:ascii="Arial" w:hAnsi="Arial" w:cs="Arial"/>
          <w:sz w:val="20"/>
          <w:szCs w:val="20"/>
        </w:rPr>
        <w:fldChar w:fldCharType="separate"/>
      </w:r>
      <w:r w:rsidR="00E81499" w:rsidRPr="00E81499">
        <w:rPr>
          <w:rFonts w:ascii="Arial" w:hAnsi="Arial" w:cs="Arial"/>
          <w:sz w:val="20"/>
        </w:rPr>
        <w:t>(4,7,15)</w:t>
      </w:r>
      <w:r w:rsidR="00CE4BB6">
        <w:rPr>
          <w:rFonts w:ascii="Arial" w:hAnsi="Arial" w:cs="Arial"/>
          <w:sz w:val="20"/>
          <w:szCs w:val="20"/>
        </w:rPr>
        <w:fldChar w:fldCharType="end"/>
      </w:r>
      <w:r w:rsidRPr="002776E5">
        <w:rPr>
          <w:rFonts w:ascii="Arial" w:hAnsi="Arial" w:cs="Arial"/>
          <w:sz w:val="20"/>
          <w:szCs w:val="20"/>
        </w:rPr>
        <w:t>.</w:t>
      </w:r>
    </w:p>
    <w:p w14:paraId="38726DB6" w14:textId="77777777" w:rsidR="002776E5" w:rsidRPr="002776E5" w:rsidRDefault="002776E5" w:rsidP="002776E5">
      <w:pPr>
        <w:rPr>
          <w:rFonts w:ascii="Arial" w:hAnsi="Arial" w:cs="Arial"/>
          <w:sz w:val="20"/>
          <w:szCs w:val="20"/>
        </w:rPr>
      </w:pPr>
      <w:r w:rsidRPr="002776E5">
        <w:rPr>
          <w:rFonts w:ascii="Arial" w:hAnsi="Arial" w:cs="Arial"/>
          <w:sz w:val="20"/>
          <w:szCs w:val="20"/>
        </w:rPr>
        <w:t>Reference categories were set as the most favorable, such as high knowledge, good practices, tertiary education, formal employment, facility delivery, and ≥4 ANC visits. Model adequacy was tested using the Hosmer–</w:t>
      </w:r>
      <w:proofErr w:type="spellStart"/>
      <w:r w:rsidRPr="002776E5">
        <w:rPr>
          <w:rFonts w:ascii="Arial" w:hAnsi="Arial" w:cs="Arial"/>
          <w:sz w:val="20"/>
          <w:szCs w:val="20"/>
        </w:rPr>
        <w:t>Lemeshow</w:t>
      </w:r>
      <w:proofErr w:type="spellEnd"/>
      <w:r w:rsidRPr="002776E5">
        <w:rPr>
          <w:rFonts w:ascii="Arial" w:hAnsi="Arial" w:cs="Arial"/>
          <w:sz w:val="20"/>
          <w:szCs w:val="20"/>
        </w:rPr>
        <w:t xml:space="preserve"> test, and multicollinearity was assessed with variance inflation factors (VIFs). Results were expressed as adjusted odds ratios (AORs) with 95% confidence intervals (CIs).</w:t>
      </w:r>
    </w:p>
    <w:p w14:paraId="0C5364D1"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Ethical Considerations</w:t>
      </w:r>
    </w:p>
    <w:p w14:paraId="764F69BC" w14:textId="1A70DEEA" w:rsidR="002776E5" w:rsidRPr="002776E5" w:rsidRDefault="002776E5" w:rsidP="002776E5">
      <w:pPr>
        <w:rPr>
          <w:rFonts w:ascii="Arial" w:hAnsi="Arial" w:cs="Arial"/>
          <w:sz w:val="20"/>
          <w:szCs w:val="20"/>
        </w:rPr>
      </w:pPr>
      <w:r w:rsidRPr="002776E5">
        <w:rPr>
          <w:rFonts w:ascii="Arial" w:hAnsi="Arial" w:cs="Arial"/>
          <w:sz w:val="20"/>
          <w:szCs w:val="20"/>
        </w:rPr>
        <w:t>Permission was also obtained from the West Gonja District Health Directorate and hospital authorities. Written informed consent was obtained from all mothers. Confidentiality was maintained by anonymizing responses and securing data. Participation was voluntary, and mothers could withdraw at any stage without consequence. The study adhered to the principles of the Declaration of Helsinki (2013).</w:t>
      </w:r>
    </w:p>
    <w:p w14:paraId="7330EEED" w14:textId="77777777" w:rsidR="00E67457" w:rsidRPr="00C54F0B" w:rsidRDefault="00E67457" w:rsidP="00E67457">
      <w:pPr>
        <w:rPr>
          <w:rFonts w:ascii="Arial" w:hAnsi="Arial" w:cs="Arial"/>
          <w:sz w:val="20"/>
          <w:szCs w:val="20"/>
        </w:rPr>
      </w:pPr>
    </w:p>
    <w:p w14:paraId="2DCBE4CF" w14:textId="75E3BB9B" w:rsidR="00E67457" w:rsidRPr="00E67457" w:rsidRDefault="00BE5304" w:rsidP="00E67457">
      <w:pPr>
        <w:rPr>
          <w:rFonts w:ascii="Arial" w:hAnsi="Arial" w:cs="Arial"/>
          <w:b/>
          <w:bCs/>
          <w:sz w:val="20"/>
          <w:szCs w:val="20"/>
        </w:rPr>
      </w:pPr>
      <w:r w:rsidRPr="00BE5304">
        <w:rPr>
          <w:rFonts w:ascii="Arial" w:hAnsi="Arial" w:cs="Arial"/>
          <w:b/>
          <w:bCs/>
          <w:sz w:val="20"/>
          <w:szCs w:val="20"/>
        </w:rPr>
        <w:t>Results</w:t>
      </w:r>
    </w:p>
    <w:p w14:paraId="0215A2A2" w14:textId="3CA122EB" w:rsidR="00E67457" w:rsidRPr="00E67457" w:rsidRDefault="00E67457" w:rsidP="00E67457">
      <w:pPr>
        <w:rPr>
          <w:rFonts w:ascii="Arial" w:hAnsi="Arial" w:cs="Arial"/>
          <w:b/>
          <w:bCs/>
          <w:sz w:val="20"/>
          <w:szCs w:val="20"/>
        </w:rPr>
      </w:pPr>
      <w:r w:rsidRPr="00E67457">
        <w:rPr>
          <w:rFonts w:ascii="Arial" w:hAnsi="Arial" w:cs="Arial"/>
          <w:b/>
          <w:bCs/>
          <w:sz w:val="20"/>
          <w:szCs w:val="20"/>
        </w:rPr>
        <w:t>Socio-Demographic Characteristics of Participants</w:t>
      </w:r>
    </w:p>
    <w:p w14:paraId="130CD4A1" w14:textId="77777777" w:rsidR="00E67457" w:rsidRPr="00E67457" w:rsidRDefault="00E67457" w:rsidP="00E67457">
      <w:pPr>
        <w:rPr>
          <w:rFonts w:ascii="Arial" w:hAnsi="Arial" w:cs="Arial"/>
          <w:sz w:val="20"/>
          <w:szCs w:val="20"/>
        </w:rPr>
      </w:pPr>
      <w:r w:rsidRPr="00E67457">
        <w:rPr>
          <w:rFonts w:ascii="Arial" w:hAnsi="Arial" w:cs="Arial"/>
          <w:sz w:val="20"/>
          <w:szCs w:val="20"/>
        </w:rPr>
        <w:t>A total of 405 breastfeeding mothers attending the West Gonja District Hospital were enrolled. The mean age was 29.8 ± 5.7 years, with most mothers aged 20–29 years (52.6%). The majority were married (82.0%) and had at least some level of education (71.9%). Nearly two-fifths were farmers (39.3%), and 47.2% had two to three children. About 61.0% reported receiving counseling on infant feeding.</w:t>
      </w:r>
    </w:p>
    <w:p w14:paraId="6E45EBAC" w14:textId="77777777" w:rsidR="00E67457" w:rsidRDefault="00E67457" w:rsidP="00E67457">
      <w:pPr>
        <w:rPr>
          <w:rFonts w:ascii="Arial" w:hAnsi="Arial" w:cs="Arial"/>
          <w:sz w:val="20"/>
          <w:szCs w:val="20"/>
        </w:rPr>
      </w:pPr>
      <w:r w:rsidRPr="00E67457">
        <w:rPr>
          <w:rFonts w:ascii="Arial" w:hAnsi="Arial" w:cs="Arial"/>
          <w:sz w:val="20"/>
          <w:szCs w:val="20"/>
        </w:rPr>
        <w:t>Table 1: Socio-Demographic Characteristics of Mothers (N = 405)</w:t>
      </w:r>
    </w:p>
    <w:tbl>
      <w:tblPr>
        <w:tblW w:w="6210" w:type="dxa"/>
        <w:tblBorders>
          <w:bottom w:val="single" w:sz="4" w:space="0" w:color="auto"/>
        </w:tblBorders>
        <w:tblLook w:val="04A0" w:firstRow="1" w:lastRow="0" w:firstColumn="1" w:lastColumn="0" w:noHBand="0" w:noVBand="1"/>
      </w:tblPr>
      <w:tblGrid>
        <w:gridCol w:w="2720"/>
        <w:gridCol w:w="1635"/>
        <w:gridCol w:w="1855"/>
      </w:tblGrid>
      <w:tr w:rsidR="006828CA" w:rsidRPr="006828CA" w14:paraId="5A708829" w14:textId="77777777" w:rsidTr="003B7321">
        <w:trPr>
          <w:trHeight w:val="290"/>
        </w:trPr>
        <w:tc>
          <w:tcPr>
            <w:tcW w:w="2720" w:type="dxa"/>
            <w:tcBorders>
              <w:top w:val="single" w:sz="4" w:space="0" w:color="auto"/>
              <w:bottom w:val="single" w:sz="4" w:space="0" w:color="auto"/>
            </w:tcBorders>
            <w:noWrap/>
            <w:vAlign w:val="center"/>
            <w:hideMark/>
          </w:tcPr>
          <w:p w14:paraId="02602B1A"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Variable</w:t>
            </w:r>
          </w:p>
        </w:tc>
        <w:tc>
          <w:tcPr>
            <w:tcW w:w="1635" w:type="dxa"/>
            <w:tcBorders>
              <w:top w:val="single" w:sz="4" w:space="0" w:color="auto"/>
              <w:bottom w:val="single" w:sz="4" w:space="0" w:color="auto"/>
            </w:tcBorders>
            <w:noWrap/>
            <w:vAlign w:val="center"/>
            <w:hideMark/>
          </w:tcPr>
          <w:p w14:paraId="3E623C0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Frequency (n)</w:t>
            </w:r>
          </w:p>
        </w:tc>
        <w:tc>
          <w:tcPr>
            <w:tcW w:w="1855" w:type="dxa"/>
            <w:tcBorders>
              <w:top w:val="single" w:sz="4" w:space="0" w:color="auto"/>
              <w:bottom w:val="single" w:sz="4" w:space="0" w:color="auto"/>
            </w:tcBorders>
            <w:noWrap/>
            <w:vAlign w:val="center"/>
            <w:hideMark/>
          </w:tcPr>
          <w:p w14:paraId="59A6434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Percentage (%)</w:t>
            </w:r>
          </w:p>
        </w:tc>
      </w:tr>
      <w:tr w:rsidR="006828CA" w:rsidRPr="006828CA" w14:paraId="12CDCD13" w14:textId="77777777" w:rsidTr="003B7321">
        <w:trPr>
          <w:trHeight w:val="290"/>
        </w:trPr>
        <w:tc>
          <w:tcPr>
            <w:tcW w:w="2720" w:type="dxa"/>
            <w:tcBorders>
              <w:top w:val="single" w:sz="4" w:space="0" w:color="auto"/>
            </w:tcBorders>
            <w:noWrap/>
            <w:vAlign w:val="center"/>
            <w:hideMark/>
          </w:tcPr>
          <w:p w14:paraId="2A2466A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Age (years)</w:t>
            </w:r>
          </w:p>
        </w:tc>
        <w:tc>
          <w:tcPr>
            <w:tcW w:w="1635" w:type="dxa"/>
            <w:tcBorders>
              <w:top w:val="single" w:sz="4" w:space="0" w:color="auto"/>
            </w:tcBorders>
            <w:noWrap/>
            <w:vAlign w:val="center"/>
            <w:hideMark/>
          </w:tcPr>
          <w:p w14:paraId="51832C1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p>
        </w:tc>
        <w:tc>
          <w:tcPr>
            <w:tcW w:w="1855" w:type="dxa"/>
            <w:tcBorders>
              <w:top w:val="single" w:sz="4" w:space="0" w:color="auto"/>
            </w:tcBorders>
            <w:noWrap/>
            <w:vAlign w:val="center"/>
            <w:hideMark/>
          </w:tcPr>
          <w:p w14:paraId="303F9898" w14:textId="77777777" w:rsidR="006828CA" w:rsidRPr="006828CA" w:rsidRDefault="006828CA" w:rsidP="003B7321">
            <w:pPr>
              <w:spacing w:after="0" w:line="240" w:lineRule="auto"/>
              <w:rPr>
                <w:rFonts w:ascii="Times New Roman" w:eastAsia="Times New Roman" w:hAnsi="Times New Roman" w:cs="Times New Roman"/>
                <w:kern w:val="0"/>
                <w:sz w:val="20"/>
                <w:szCs w:val="20"/>
                <w14:ligatures w14:val="none"/>
              </w:rPr>
            </w:pPr>
          </w:p>
        </w:tc>
      </w:tr>
      <w:tr w:rsidR="006828CA" w:rsidRPr="006828CA" w14:paraId="3993D1C7" w14:textId="77777777" w:rsidTr="003B7321">
        <w:trPr>
          <w:trHeight w:val="290"/>
        </w:trPr>
        <w:tc>
          <w:tcPr>
            <w:tcW w:w="2720" w:type="dxa"/>
            <w:noWrap/>
            <w:vAlign w:val="center"/>
            <w:hideMark/>
          </w:tcPr>
          <w:p w14:paraId="7C40FACF"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&lt;20</w:t>
            </w:r>
          </w:p>
        </w:tc>
        <w:tc>
          <w:tcPr>
            <w:tcW w:w="1635" w:type="dxa"/>
            <w:noWrap/>
            <w:vAlign w:val="center"/>
            <w:hideMark/>
          </w:tcPr>
          <w:p w14:paraId="63E2DE25"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28</w:t>
            </w:r>
          </w:p>
        </w:tc>
        <w:tc>
          <w:tcPr>
            <w:tcW w:w="1855" w:type="dxa"/>
            <w:noWrap/>
            <w:vAlign w:val="center"/>
            <w:hideMark/>
          </w:tcPr>
          <w:p w14:paraId="11711087"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6.9</w:t>
            </w:r>
          </w:p>
        </w:tc>
      </w:tr>
      <w:tr w:rsidR="006828CA" w:rsidRPr="006828CA" w14:paraId="463851DA" w14:textId="77777777" w:rsidTr="003B7321">
        <w:trPr>
          <w:trHeight w:val="290"/>
        </w:trPr>
        <w:tc>
          <w:tcPr>
            <w:tcW w:w="2720" w:type="dxa"/>
            <w:noWrap/>
            <w:vAlign w:val="center"/>
            <w:hideMark/>
          </w:tcPr>
          <w:p w14:paraId="76E384C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20–29</w:t>
            </w:r>
          </w:p>
        </w:tc>
        <w:tc>
          <w:tcPr>
            <w:tcW w:w="1635" w:type="dxa"/>
            <w:noWrap/>
            <w:vAlign w:val="center"/>
            <w:hideMark/>
          </w:tcPr>
          <w:p w14:paraId="1168A234"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213</w:t>
            </w:r>
          </w:p>
        </w:tc>
        <w:tc>
          <w:tcPr>
            <w:tcW w:w="1855" w:type="dxa"/>
            <w:noWrap/>
            <w:vAlign w:val="center"/>
            <w:hideMark/>
          </w:tcPr>
          <w:p w14:paraId="76236075"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52.6</w:t>
            </w:r>
          </w:p>
        </w:tc>
      </w:tr>
      <w:tr w:rsidR="006828CA" w:rsidRPr="006828CA" w14:paraId="30A06612" w14:textId="77777777" w:rsidTr="003B7321">
        <w:trPr>
          <w:trHeight w:val="290"/>
        </w:trPr>
        <w:tc>
          <w:tcPr>
            <w:tcW w:w="2720" w:type="dxa"/>
            <w:noWrap/>
            <w:vAlign w:val="center"/>
            <w:hideMark/>
          </w:tcPr>
          <w:p w14:paraId="79A90104"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30–39</w:t>
            </w:r>
          </w:p>
        </w:tc>
        <w:tc>
          <w:tcPr>
            <w:tcW w:w="1635" w:type="dxa"/>
            <w:noWrap/>
            <w:vAlign w:val="center"/>
            <w:hideMark/>
          </w:tcPr>
          <w:p w14:paraId="6398FB13"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135</w:t>
            </w:r>
          </w:p>
        </w:tc>
        <w:tc>
          <w:tcPr>
            <w:tcW w:w="1855" w:type="dxa"/>
            <w:noWrap/>
            <w:vAlign w:val="center"/>
            <w:hideMark/>
          </w:tcPr>
          <w:p w14:paraId="7EE4F538"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33.3</w:t>
            </w:r>
          </w:p>
        </w:tc>
      </w:tr>
      <w:tr w:rsidR="006828CA" w:rsidRPr="006828CA" w14:paraId="28A10E0F" w14:textId="77777777" w:rsidTr="003B7321">
        <w:trPr>
          <w:trHeight w:val="290"/>
        </w:trPr>
        <w:tc>
          <w:tcPr>
            <w:tcW w:w="2720" w:type="dxa"/>
            <w:noWrap/>
            <w:vAlign w:val="center"/>
            <w:hideMark/>
          </w:tcPr>
          <w:p w14:paraId="14789CC7"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≥40</w:t>
            </w:r>
          </w:p>
        </w:tc>
        <w:tc>
          <w:tcPr>
            <w:tcW w:w="1635" w:type="dxa"/>
            <w:noWrap/>
            <w:vAlign w:val="center"/>
            <w:hideMark/>
          </w:tcPr>
          <w:p w14:paraId="722348C5"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29</w:t>
            </w:r>
          </w:p>
        </w:tc>
        <w:tc>
          <w:tcPr>
            <w:tcW w:w="1855" w:type="dxa"/>
            <w:noWrap/>
            <w:vAlign w:val="center"/>
            <w:hideMark/>
          </w:tcPr>
          <w:p w14:paraId="4EAB9C8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7.2</w:t>
            </w:r>
          </w:p>
        </w:tc>
      </w:tr>
      <w:tr w:rsidR="006828CA" w:rsidRPr="006828CA" w14:paraId="618F3B6B" w14:textId="77777777" w:rsidTr="003B7321">
        <w:trPr>
          <w:trHeight w:val="290"/>
        </w:trPr>
        <w:tc>
          <w:tcPr>
            <w:tcW w:w="2720" w:type="dxa"/>
            <w:noWrap/>
            <w:vAlign w:val="center"/>
            <w:hideMark/>
          </w:tcPr>
          <w:p w14:paraId="45A52A91"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Marital status</w:t>
            </w:r>
          </w:p>
        </w:tc>
        <w:tc>
          <w:tcPr>
            <w:tcW w:w="1635" w:type="dxa"/>
            <w:noWrap/>
            <w:vAlign w:val="center"/>
            <w:hideMark/>
          </w:tcPr>
          <w:p w14:paraId="6C5EE3B3"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p>
        </w:tc>
        <w:tc>
          <w:tcPr>
            <w:tcW w:w="1855" w:type="dxa"/>
            <w:noWrap/>
            <w:vAlign w:val="center"/>
            <w:hideMark/>
          </w:tcPr>
          <w:p w14:paraId="0F5240DE" w14:textId="77777777" w:rsidR="006828CA" w:rsidRPr="006828CA" w:rsidRDefault="006828CA" w:rsidP="003B7321">
            <w:pPr>
              <w:spacing w:after="0" w:line="240" w:lineRule="auto"/>
              <w:rPr>
                <w:rFonts w:ascii="Times New Roman" w:eastAsia="Times New Roman" w:hAnsi="Times New Roman" w:cs="Times New Roman"/>
                <w:kern w:val="0"/>
                <w:sz w:val="20"/>
                <w:szCs w:val="20"/>
                <w14:ligatures w14:val="none"/>
              </w:rPr>
            </w:pPr>
          </w:p>
        </w:tc>
      </w:tr>
      <w:tr w:rsidR="006828CA" w:rsidRPr="006828CA" w14:paraId="1D7B0510" w14:textId="77777777" w:rsidTr="003B7321">
        <w:trPr>
          <w:trHeight w:val="290"/>
        </w:trPr>
        <w:tc>
          <w:tcPr>
            <w:tcW w:w="2720" w:type="dxa"/>
            <w:noWrap/>
            <w:vAlign w:val="center"/>
            <w:hideMark/>
          </w:tcPr>
          <w:p w14:paraId="4EE76F9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Married</w:t>
            </w:r>
          </w:p>
        </w:tc>
        <w:tc>
          <w:tcPr>
            <w:tcW w:w="1635" w:type="dxa"/>
            <w:noWrap/>
            <w:vAlign w:val="center"/>
            <w:hideMark/>
          </w:tcPr>
          <w:p w14:paraId="1FB17131"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332</w:t>
            </w:r>
          </w:p>
        </w:tc>
        <w:tc>
          <w:tcPr>
            <w:tcW w:w="1855" w:type="dxa"/>
            <w:noWrap/>
            <w:vAlign w:val="center"/>
            <w:hideMark/>
          </w:tcPr>
          <w:p w14:paraId="75501D25"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82</w:t>
            </w:r>
          </w:p>
        </w:tc>
      </w:tr>
      <w:tr w:rsidR="006828CA" w:rsidRPr="006828CA" w14:paraId="36DBDFDB" w14:textId="77777777" w:rsidTr="003B7321">
        <w:trPr>
          <w:trHeight w:val="290"/>
        </w:trPr>
        <w:tc>
          <w:tcPr>
            <w:tcW w:w="2720" w:type="dxa"/>
            <w:noWrap/>
            <w:vAlign w:val="center"/>
            <w:hideMark/>
          </w:tcPr>
          <w:p w14:paraId="137DEA97"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Single</w:t>
            </w:r>
          </w:p>
        </w:tc>
        <w:tc>
          <w:tcPr>
            <w:tcW w:w="1635" w:type="dxa"/>
            <w:noWrap/>
            <w:vAlign w:val="center"/>
            <w:hideMark/>
          </w:tcPr>
          <w:p w14:paraId="609D6A0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47</w:t>
            </w:r>
          </w:p>
        </w:tc>
        <w:tc>
          <w:tcPr>
            <w:tcW w:w="1855" w:type="dxa"/>
            <w:noWrap/>
            <w:vAlign w:val="center"/>
            <w:hideMark/>
          </w:tcPr>
          <w:p w14:paraId="11F9CA8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11.6</w:t>
            </w:r>
          </w:p>
        </w:tc>
      </w:tr>
      <w:tr w:rsidR="006828CA" w:rsidRPr="006828CA" w14:paraId="79CFEF2A" w14:textId="77777777" w:rsidTr="003B7321">
        <w:trPr>
          <w:trHeight w:val="290"/>
        </w:trPr>
        <w:tc>
          <w:tcPr>
            <w:tcW w:w="2720" w:type="dxa"/>
            <w:noWrap/>
            <w:vAlign w:val="center"/>
            <w:hideMark/>
          </w:tcPr>
          <w:p w14:paraId="2C27B897"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Divorced/Separated</w:t>
            </w:r>
          </w:p>
        </w:tc>
        <w:tc>
          <w:tcPr>
            <w:tcW w:w="1635" w:type="dxa"/>
            <w:noWrap/>
            <w:vAlign w:val="center"/>
            <w:hideMark/>
          </w:tcPr>
          <w:p w14:paraId="0AE13F24"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19</w:t>
            </w:r>
          </w:p>
        </w:tc>
        <w:tc>
          <w:tcPr>
            <w:tcW w:w="1855" w:type="dxa"/>
            <w:noWrap/>
            <w:vAlign w:val="center"/>
            <w:hideMark/>
          </w:tcPr>
          <w:p w14:paraId="7E400A16"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4.7</w:t>
            </w:r>
          </w:p>
        </w:tc>
      </w:tr>
      <w:tr w:rsidR="006828CA" w:rsidRPr="006828CA" w14:paraId="0F9D3D36" w14:textId="77777777" w:rsidTr="003B7321">
        <w:trPr>
          <w:trHeight w:val="290"/>
        </w:trPr>
        <w:tc>
          <w:tcPr>
            <w:tcW w:w="2720" w:type="dxa"/>
            <w:noWrap/>
            <w:vAlign w:val="center"/>
            <w:hideMark/>
          </w:tcPr>
          <w:p w14:paraId="39172428"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Widowed</w:t>
            </w:r>
          </w:p>
        </w:tc>
        <w:tc>
          <w:tcPr>
            <w:tcW w:w="1635" w:type="dxa"/>
            <w:noWrap/>
            <w:vAlign w:val="center"/>
            <w:hideMark/>
          </w:tcPr>
          <w:p w14:paraId="47D2DCC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7</w:t>
            </w:r>
          </w:p>
        </w:tc>
        <w:tc>
          <w:tcPr>
            <w:tcW w:w="1855" w:type="dxa"/>
            <w:noWrap/>
            <w:vAlign w:val="center"/>
            <w:hideMark/>
          </w:tcPr>
          <w:p w14:paraId="7F6CE514"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1.7</w:t>
            </w:r>
          </w:p>
        </w:tc>
      </w:tr>
      <w:tr w:rsidR="006828CA" w:rsidRPr="006828CA" w14:paraId="13447D9A" w14:textId="77777777" w:rsidTr="003B7321">
        <w:trPr>
          <w:trHeight w:val="290"/>
        </w:trPr>
        <w:tc>
          <w:tcPr>
            <w:tcW w:w="2720" w:type="dxa"/>
            <w:noWrap/>
            <w:vAlign w:val="center"/>
            <w:hideMark/>
          </w:tcPr>
          <w:p w14:paraId="1E41E75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Education level</w:t>
            </w:r>
          </w:p>
        </w:tc>
        <w:tc>
          <w:tcPr>
            <w:tcW w:w="1635" w:type="dxa"/>
            <w:noWrap/>
            <w:vAlign w:val="center"/>
            <w:hideMark/>
          </w:tcPr>
          <w:p w14:paraId="6155646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p>
        </w:tc>
        <w:tc>
          <w:tcPr>
            <w:tcW w:w="1855" w:type="dxa"/>
            <w:noWrap/>
            <w:vAlign w:val="center"/>
            <w:hideMark/>
          </w:tcPr>
          <w:p w14:paraId="23F89A4F" w14:textId="77777777" w:rsidR="006828CA" w:rsidRPr="006828CA" w:rsidRDefault="006828CA" w:rsidP="003B7321">
            <w:pPr>
              <w:spacing w:after="0" w:line="240" w:lineRule="auto"/>
              <w:rPr>
                <w:rFonts w:ascii="Times New Roman" w:eastAsia="Times New Roman" w:hAnsi="Times New Roman" w:cs="Times New Roman"/>
                <w:kern w:val="0"/>
                <w:sz w:val="20"/>
                <w:szCs w:val="20"/>
                <w14:ligatures w14:val="none"/>
              </w:rPr>
            </w:pPr>
          </w:p>
        </w:tc>
      </w:tr>
      <w:tr w:rsidR="006828CA" w:rsidRPr="006828CA" w14:paraId="3B43C673" w14:textId="77777777" w:rsidTr="003B7321">
        <w:trPr>
          <w:trHeight w:val="290"/>
        </w:trPr>
        <w:tc>
          <w:tcPr>
            <w:tcW w:w="2720" w:type="dxa"/>
            <w:noWrap/>
            <w:vAlign w:val="center"/>
            <w:hideMark/>
          </w:tcPr>
          <w:p w14:paraId="4593399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No formal education</w:t>
            </w:r>
          </w:p>
        </w:tc>
        <w:tc>
          <w:tcPr>
            <w:tcW w:w="1635" w:type="dxa"/>
            <w:noWrap/>
            <w:vAlign w:val="center"/>
            <w:hideMark/>
          </w:tcPr>
          <w:p w14:paraId="3C142121"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114</w:t>
            </w:r>
          </w:p>
        </w:tc>
        <w:tc>
          <w:tcPr>
            <w:tcW w:w="1855" w:type="dxa"/>
            <w:noWrap/>
            <w:vAlign w:val="center"/>
            <w:hideMark/>
          </w:tcPr>
          <w:p w14:paraId="6B47C454"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28.1</w:t>
            </w:r>
          </w:p>
        </w:tc>
      </w:tr>
      <w:tr w:rsidR="006828CA" w:rsidRPr="006828CA" w14:paraId="4905834A" w14:textId="77777777" w:rsidTr="003B7321">
        <w:trPr>
          <w:trHeight w:val="290"/>
        </w:trPr>
        <w:tc>
          <w:tcPr>
            <w:tcW w:w="2720" w:type="dxa"/>
            <w:noWrap/>
            <w:vAlign w:val="center"/>
            <w:hideMark/>
          </w:tcPr>
          <w:p w14:paraId="3220EE0A"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Primary</w:t>
            </w:r>
          </w:p>
        </w:tc>
        <w:tc>
          <w:tcPr>
            <w:tcW w:w="1635" w:type="dxa"/>
            <w:noWrap/>
            <w:vAlign w:val="center"/>
            <w:hideMark/>
          </w:tcPr>
          <w:p w14:paraId="3458BB51"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156</w:t>
            </w:r>
          </w:p>
        </w:tc>
        <w:tc>
          <w:tcPr>
            <w:tcW w:w="1855" w:type="dxa"/>
            <w:noWrap/>
            <w:vAlign w:val="center"/>
            <w:hideMark/>
          </w:tcPr>
          <w:p w14:paraId="4B16E96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38.5</w:t>
            </w:r>
          </w:p>
        </w:tc>
      </w:tr>
      <w:tr w:rsidR="006828CA" w:rsidRPr="006828CA" w14:paraId="52267141" w14:textId="77777777" w:rsidTr="003B7321">
        <w:trPr>
          <w:trHeight w:val="290"/>
        </w:trPr>
        <w:tc>
          <w:tcPr>
            <w:tcW w:w="2720" w:type="dxa"/>
            <w:noWrap/>
            <w:vAlign w:val="center"/>
            <w:hideMark/>
          </w:tcPr>
          <w:p w14:paraId="738A8A6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Secondary</w:t>
            </w:r>
          </w:p>
        </w:tc>
        <w:tc>
          <w:tcPr>
            <w:tcW w:w="1635" w:type="dxa"/>
            <w:noWrap/>
            <w:vAlign w:val="center"/>
            <w:hideMark/>
          </w:tcPr>
          <w:p w14:paraId="24ED113A"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97</w:t>
            </w:r>
          </w:p>
        </w:tc>
        <w:tc>
          <w:tcPr>
            <w:tcW w:w="1855" w:type="dxa"/>
            <w:noWrap/>
            <w:vAlign w:val="center"/>
            <w:hideMark/>
          </w:tcPr>
          <w:p w14:paraId="35BA9658"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23.9</w:t>
            </w:r>
          </w:p>
        </w:tc>
      </w:tr>
      <w:tr w:rsidR="006828CA" w:rsidRPr="006828CA" w14:paraId="30B03DB4" w14:textId="77777777" w:rsidTr="003B7321">
        <w:trPr>
          <w:trHeight w:val="290"/>
        </w:trPr>
        <w:tc>
          <w:tcPr>
            <w:tcW w:w="2720" w:type="dxa"/>
            <w:noWrap/>
            <w:vAlign w:val="center"/>
            <w:hideMark/>
          </w:tcPr>
          <w:p w14:paraId="27D3A8CD"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Tertiary</w:t>
            </w:r>
          </w:p>
        </w:tc>
        <w:tc>
          <w:tcPr>
            <w:tcW w:w="1635" w:type="dxa"/>
            <w:noWrap/>
            <w:vAlign w:val="center"/>
            <w:hideMark/>
          </w:tcPr>
          <w:p w14:paraId="7DFF804F"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38</w:t>
            </w:r>
          </w:p>
        </w:tc>
        <w:tc>
          <w:tcPr>
            <w:tcW w:w="1855" w:type="dxa"/>
            <w:noWrap/>
            <w:vAlign w:val="center"/>
            <w:hideMark/>
          </w:tcPr>
          <w:p w14:paraId="4DEA4D9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9.4</w:t>
            </w:r>
          </w:p>
        </w:tc>
      </w:tr>
      <w:tr w:rsidR="006828CA" w:rsidRPr="006828CA" w14:paraId="443D5BB4" w14:textId="77777777" w:rsidTr="003B7321">
        <w:trPr>
          <w:trHeight w:val="290"/>
        </w:trPr>
        <w:tc>
          <w:tcPr>
            <w:tcW w:w="2720" w:type="dxa"/>
            <w:noWrap/>
            <w:vAlign w:val="center"/>
            <w:hideMark/>
          </w:tcPr>
          <w:p w14:paraId="743BE8A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Occupation</w:t>
            </w:r>
          </w:p>
        </w:tc>
        <w:tc>
          <w:tcPr>
            <w:tcW w:w="1635" w:type="dxa"/>
            <w:noWrap/>
            <w:vAlign w:val="center"/>
            <w:hideMark/>
          </w:tcPr>
          <w:p w14:paraId="3959F6D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p>
        </w:tc>
        <w:tc>
          <w:tcPr>
            <w:tcW w:w="1855" w:type="dxa"/>
            <w:noWrap/>
            <w:vAlign w:val="center"/>
            <w:hideMark/>
          </w:tcPr>
          <w:p w14:paraId="4B6030CF" w14:textId="77777777" w:rsidR="006828CA" w:rsidRPr="006828CA" w:rsidRDefault="006828CA" w:rsidP="003B7321">
            <w:pPr>
              <w:spacing w:after="0" w:line="240" w:lineRule="auto"/>
              <w:rPr>
                <w:rFonts w:ascii="Times New Roman" w:eastAsia="Times New Roman" w:hAnsi="Times New Roman" w:cs="Times New Roman"/>
                <w:kern w:val="0"/>
                <w:sz w:val="20"/>
                <w:szCs w:val="20"/>
                <w14:ligatures w14:val="none"/>
              </w:rPr>
            </w:pPr>
          </w:p>
        </w:tc>
      </w:tr>
      <w:tr w:rsidR="006828CA" w:rsidRPr="006828CA" w14:paraId="379D14B9" w14:textId="77777777" w:rsidTr="003B7321">
        <w:trPr>
          <w:trHeight w:val="290"/>
        </w:trPr>
        <w:tc>
          <w:tcPr>
            <w:tcW w:w="2720" w:type="dxa"/>
            <w:noWrap/>
            <w:vAlign w:val="center"/>
            <w:hideMark/>
          </w:tcPr>
          <w:p w14:paraId="00F3CE74"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Unemployed/Housewife</w:t>
            </w:r>
          </w:p>
        </w:tc>
        <w:tc>
          <w:tcPr>
            <w:tcW w:w="1635" w:type="dxa"/>
            <w:noWrap/>
            <w:vAlign w:val="center"/>
            <w:hideMark/>
          </w:tcPr>
          <w:p w14:paraId="2443E54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50</w:t>
            </w:r>
          </w:p>
        </w:tc>
        <w:tc>
          <w:tcPr>
            <w:tcW w:w="1855" w:type="dxa"/>
            <w:noWrap/>
            <w:vAlign w:val="center"/>
            <w:hideMark/>
          </w:tcPr>
          <w:p w14:paraId="5BBE891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12.3</w:t>
            </w:r>
          </w:p>
        </w:tc>
      </w:tr>
      <w:tr w:rsidR="006828CA" w:rsidRPr="006828CA" w14:paraId="10E29897" w14:textId="77777777" w:rsidTr="003B7321">
        <w:trPr>
          <w:trHeight w:val="290"/>
        </w:trPr>
        <w:tc>
          <w:tcPr>
            <w:tcW w:w="2720" w:type="dxa"/>
            <w:noWrap/>
            <w:vAlign w:val="center"/>
            <w:hideMark/>
          </w:tcPr>
          <w:p w14:paraId="2030E09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lastRenderedPageBreak/>
              <w:t>Farmer</w:t>
            </w:r>
          </w:p>
        </w:tc>
        <w:tc>
          <w:tcPr>
            <w:tcW w:w="1635" w:type="dxa"/>
            <w:noWrap/>
            <w:vAlign w:val="center"/>
            <w:hideMark/>
          </w:tcPr>
          <w:p w14:paraId="0E23C89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159</w:t>
            </w:r>
          </w:p>
        </w:tc>
        <w:tc>
          <w:tcPr>
            <w:tcW w:w="1855" w:type="dxa"/>
            <w:noWrap/>
            <w:vAlign w:val="center"/>
            <w:hideMark/>
          </w:tcPr>
          <w:p w14:paraId="0DD3C96A"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39.3</w:t>
            </w:r>
          </w:p>
        </w:tc>
      </w:tr>
      <w:tr w:rsidR="006828CA" w:rsidRPr="006828CA" w14:paraId="3F154EA0" w14:textId="77777777" w:rsidTr="003B7321">
        <w:trPr>
          <w:trHeight w:val="290"/>
        </w:trPr>
        <w:tc>
          <w:tcPr>
            <w:tcW w:w="2720" w:type="dxa"/>
            <w:noWrap/>
            <w:vAlign w:val="center"/>
            <w:hideMark/>
          </w:tcPr>
          <w:p w14:paraId="60048B5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Trader/Petty business</w:t>
            </w:r>
          </w:p>
        </w:tc>
        <w:tc>
          <w:tcPr>
            <w:tcW w:w="1635" w:type="dxa"/>
            <w:noWrap/>
            <w:vAlign w:val="center"/>
            <w:hideMark/>
          </w:tcPr>
          <w:p w14:paraId="29630C3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136</w:t>
            </w:r>
          </w:p>
        </w:tc>
        <w:tc>
          <w:tcPr>
            <w:tcW w:w="1855" w:type="dxa"/>
            <w:noWrap/>
            <w:vAlign w:val="center"/>
            <w:hideMark/>
          </w:tcPr>
          <w:p w14:paraId="57D91C08"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33.6</w:t>
            </w:r>
          </w:p>
        </w:tc>
      </w:tr>
      <w:tr w:rsidR="006828CA" w:rsidRPr="006828CA" w14:paraId="19522361" w14:textId="77777777" w:rsidTr="003B7321">
        <w:trPr>
          <w:trHeight w:val="290"/>
        </w:trPr>
        <w:tc>
          <w:tcPr>
            <w:tcW w:w="2720" w:type="dxa"/>
            <w:noWrap/>
            <w:vAlign w:val="center"/>
            <w:hideMark/>
          </w:tcPr>
          <w:p w14:paraId="2F76234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Formal employment</w:t>
            </w:r>
          </w:p>
        </w:tc>
        <w:tc>
          <w:tcPr>
            <w:tcW w:w="1635" w:type="dxa"/>
            <w:noWrap/>
            <w:vAlign w:val="center"/>
            <w:hideMark/>
          </w:tcPr>
          <w:p w14:paraId="6234E5E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60</w:t>
            </w:r>
          </w:p>
        </w:tc>
        <w:tc>
          <w:tcPr>
            <w:tcW w:w="1855" w:type="dxa"/>
            <w:noWrap/>
            <w:vAlign w:val="center"/>
            <w:hideMark/>
          </w:tcPr>
          <w:p w14:paraId="22650A8A"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14.8</w:t>
            </w:r>
          </w:p>
        </w:tc>
      </w:tr>
      <w:tr w:rsidR="006828CA" w:rsidRPr="006828CA" w14:paraId="27A49962" w14:textId="77777777" w:rsidTr="003B7321">
        <w:trPr>
          <w:trHeight w:val="290"/>
        </w:trPr>
        <w:tc>
          <w:tcPr>
            <w:tcW w:w="2720" w:type="dxa"/>
            <w:noWrap/>
            <w:vAlign w:val="center"/>
            <w:hideMark/>
          </w:tcPr>
          <w:p w14:paraId="7F241282"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Parity</w:t>
            </w:r>
          </w:p>
        </w:tc>
        <w:tc>
          <w:tcPr>
            <w:tcW w:w="1635" w:type="dxa"/>
            <w:noWrap/>
            <w:vAlign w:val="center"/>
            <w:hideMark/>
          </w:tcPr>
          <w:p w14:paraId="25E6F00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p>
        </w:tc>
        <w:tc>
          <w:tcPr>
            <w:tcW w:w="1855" w:type="dxa"/>
            <w:noWrap/>
            <w:vAlign w:val="center"/>
            <w:hideMark/>
          </w:tcPr>
          <w:p w14:paraId="279203B2" w14:textId="77777777" w:rsidR="006828CA" w:rsidRPr="006828CA" w:rsidRDefault="006828CA" w:rsidP="003B7321">
            <w:pPr>
              <w:spacing w:after="0" w:line="240" w:lineRule="auto"/>
              <w:rPr>
                <w:rFonts w:ascii="Times New Roman" w:eastAsia="Times New Roman" w:hAnsi="Times New Roman" w:cs="Times New Roman"/>
                <w:kern w:val="0"/>
                <w:sz w:val="20"/>
                <w:szCs w:val="20"/>
                <w14:ligatures w14:val="none"/>
              </w:rPr>
            </w:pPr>
          </w:p>
        </w:tc>
      </w:tr>
      <w:tr w:rsidR="006828CA" w:rsidRPr="006828CA" w14:paraId="552F4676" w14:textId="77777777" w:rsidTr="003B7321">
        <w:trPr>
          <w:trHeight w:val="290"/>
        </w:trPr>
        <w:tc>
          <w:tcPr>
            <w:tcW w:w="2720" w:type="dxa"/>
            <w:noWrap/>
            <w:vAlign w:val="center"/>
            <w:hideMark/>
          </w:tcPr>
          <w:p w14:paraId="709D16A5"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w:t>
            </w:r>
          </w:p>
        </w:tc>
        <w:tc>
          <w:tcPr>
            <w:tcW w:w="1635" w:type="dxa"/>
            <w:noWrap/>
            <w:vAlign w:val="center"/>
            <w:hideMark/>
          </w:tcPr>
          <w:p w14:paraId="557AB42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132</w:t>
            </w:r>
          </w:p>
        </w:tc>
        <w:tc>
          <w:tcPr>
            <w:tcW w:w="1855" w:type="dxa"/>
            <w:noWrap/>
            <w:vAlign w:val="center"/>
            <w:hideMark/>
          </w:tcPr>
          <w:p w14:paraId="5F5EDC1E"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32.6</w:t>
            </w:r>
          </w:p>
        </w:tc>
      </w:tr>
      <w:tr w:rsidR="006828CA" w:rsidRPr="006828CA" w14:paraId="7726D17C" w14:textId="77777777" w:rsidTr="003B7321">
        <w:trPr>
          <w:trHeight w:val="290"/>
        </w:trPr>
        <w:tc>
          <w:tcPr>
            <w:tcW w:w="2720" w:type="dxa"/>
            <w:noWrap/>
            <w:vAlign w:val="center"/>
            <w:hideMark/>
          </w:tcPr>
          <w:p w14:paraId="11AEF55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2–3</w:t>
            </w:r>
          </w:p>
        </w:tc>
        <w:tc>
          <w:tcPr>
            <w:tcW w:w="1635" w:type="dxa"/>
            <w:noWrap/>
            <w:vAlign w:val="center"/>
            <w:hideMark/>
          </w:tcPr>
          <w:p w14:paraId="000791C2"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191</w:t>
            </w:r>
          </w:p>
        </w:tc>
        <w:tc>
          <w:tcPr>
            <w:tcW w:w="1855" w:type="dxa"/>
            <w:noWrap/>
            <w:vAlign w:val="center"/>
            <w:hideMark/>
          </w:tcPr>
          <w:p w14:paraId="3D6F6FF5"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47.2</w:t>
            </w:r>
          </w:p>
        </w:tc>
      </w:tr>
      <w:tr w:rsidR="006828CA" w:rsidRPr="006828CA" w14:paraId="22598B6F" w14:textId="77777777" w:rsidTr="003B7321">
        <w:trPr>
          <w:trHeight w:val="290"/>
        </w:trPr>
        <w:tc>
          <w:tcPr>
            <w:tcW w:w="2720" w:type="dxa"/>
            <w:noWrap/>
            <w:vAlign w:val="center"/>
            <w:hideMark/>
          </w:tcPr>
          <w:p w14:paraId="273F7477"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≥4</w:t>
            </w:r>
          </w:p>
        </w:tc>
        <w:tc>
          <w:tcPr>
            <w:tcW w:w="1635" w:type="dxa"/>
            <w:noWrap/>
            <w:vAlign w:val="center"/>
            <w:hideMark/>
          </w:tcPr>
          <w:p w14:paraId="4863BAC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82</w:t>
            </w:r>
          </w:p>
        </w:tc>
        <w:tc>
          <w:tcPr>
            <w:tcW w:w="1855" w:type="dxa"/>
            <w:noWrap/>
            <w:vAlign w:val="center"/>
            <w:hideMark/>
          </w:tcPr>
          <w:p w14:paraId="3501D51D"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20.2</w:t>
            </w:r>
          </w:p>
        </w:tc>
      </w:tr>
      <w:tr w:rsidR="006828CA" w:rsidRPr="006828CA" w14:paraId="1796E6FC" w14:textId="77777777" w:rsidTr="003B7321">
        <w:trPr>
          <w:trHeight w:val="290"/>
        </w:trPr>
        <w:tc>
          <w:tcPr>
            <w:tcW w:w="4355" w:type="dxa"/>
            <w:gridSpan w:val="2"/>
            <w:noWrap/>
            <w:vAlign w:val="center"/>
            <w:hideMark/>
          </w:tcPr>
          <w:p w14:paraId="6046E941"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Received feeding counseling</w:t>
            </w:r>
          </w:p>
        </w:tc>
        <w:tc>
          <w:tcPr>
            <w:tcW w:w="1855" w:type="dxa"/>
            <w:noWrap/>
            <w:vAlign w:val="center"/>
            <w:hideMark/>
          </w:tcPr>
          <w:p w14:paraId="1B6F4AD7"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p>
        </w:tc>
      </w:tr>
      <w:tr w:rsidR="006828CA" w:rsidRPr="006828CA" w14:paraId="4B464A6E" w14:textId="77777777" w:rsidTr="003B7321">
        <w:trPr>
          <w:trHeight w:val="290"/>
        </w:trPr>
        <w:tc>
          <w:tcPr>
            <w:tcW w:w="2720" w:type="dxa"/>
            <w:noWrap/>
            <w:vAlign w:val="center"/>
            <w:hideMark/>
          </w:tcPr>
          <w:p w14:paraId="132812F6"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Yes</w:t>
            </w:r>
          </w:p>
        </w:tc>
        <w:tc>
          <w:tcPr>
            <w:tcW w:w="1635" w:type="dxa"/>
            <w:noWrap/>
            <w:vAlign w:val="center"/>
            <w:hideMark/>
          </w:tcPr>
          <w:p w14:paraId="036C30CD"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247</w:t>
            </w:r>
          </w:p>
        </w:tc>
        <w:tc>
          <w:tcPr>
            <w:tcW w:w="1855" w:type="dxa"/>
            <w:noWrap/>
            <w:vAlign w:val="center"/>
            <w:hideMark/>
          </w:tcPr>
          <w:p w14:paraId="6898DC3F"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61</w:t>
            </w:r>
          </w:p>
        </w:tc>
      </w:tr>
      <w:tr w:rsidR="006828CA" w:rsidRPr="006828CA" w14:paraId="48291498" w14:textId="77777777" w:rsidTr="003B7321">
        <w:trPr>
          <w:trHeight w:val="290"/>
        </w:trPr>
        <w:tc>
          <w:tcPr>
            <w:tcW w:w="2720" w:type="dxa"/>
            <w:noWrap/>
            <w:vAlign w:val="center"/>
            <w:hideMark/>
          </w:tcPr>
          <w:p w14:paraId="62A24D3A"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No</w:t>
            </w:r>
          </w:p>
        </w:tc>
        <w:tc>
          <w:tcPr>
            <w:tcW w:w="1635" w:type="dxa"/>
            <w:noWrap/>
            <w:vAlign w:val="center"/>
            <w:hideMark/>
          </w:tcPr>
          <w:p w14:paraId="0779A02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158</w:t>
            </w:r>
          </w:p>
        </w:tc>
        <w:tc>
          <w:tcPr>
            <w:tcW w:w="1855" w:type="dxa"/>
            <w:noWrap/>
            <w:vAlign w:val="center"/>
            <w:hideMark/>
          </w:tcPr>
          <w:p w14:paraId="6002028F"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39</w:t>
            </w:r>
          </w:p>
        </w:tc>
      </w:tr>
    </w:tbl>
    <w:p w14:paraId="5B8B9D4D" w14:textId="77777777" w:rsidR="00BE5304" w:rsidRPr="00E67457" w:rsidRDefault="00BE5304" w:rsidP="00E67457">
      <w:pPr>
        <w:rPr>
          <w:rFonts w:ascii="Arial" w:hAnsi="Arial" w:cs="Arial"/>
          <w:sz w:val="20"/>
          <w:szCs w:val="20"/>
        </w:rPr>
      </w:pPr>
    </w:p>
    <w:p w14:paraId="126FCB44" w14:textId="0A2863DA" w:rsidR="00E67457" w:rsidRPr="00E67457" w:rsidRDefault="00E67457" w:rsidP="00E67457">
      <w:pPr>
        <w:rPr>
          <w:rFonts w:ascii="Arial" w:hAnsi="Arial" w:cs="Arial"/>
          <w:b/>
          <w:bCs/>
          <w:sz w:val="20"/>
          <w:szCs w:val="20"/>
        </w:rPr>
      </w:pPr>
      <w:r w:rsidRPr="00E67457">
        <w:rPr>
          <w:rFonts w:ascii="Arial" w:hAnsi="Arial" w:cs="Arial"/>
          <w:b/>
          <w:bCs/>
          <w:sz w:val="20"/>
          <w:szCs w:val="20"/>
        </w:rPr>
        <w:t>Maternal Knowledge on Infant Feeding and Malnutrition</w:t>
      </w:r>
    </w:p>
    <w:p w14:paraId="65D59F81" w14:textId="77777777" w:rsidR="00E67457" w:rsidRPr="00E67457" w:rsidRDefault="00E67457" w:rsidP="00E67457">
      <w:pPr>
        <w:rPr>
          <w:rFonts w:ascii="Arial" w:hAnsi="Arial" w:cs="Arial"/>
          <w:sz w:val="20"/>
          <w:szCs w:val="20"/>
        </w:rPr>
      </w:pPr>
      <w:r w:rsidRPr="00E67457">
        <w:rPr>
          <w:rFonts w:ascii="Arial" w:hAnsi="Arial" w:cs="Arial"/>
          <w:sz w:val="20"/>
          <w:szCs w:val="20"/>
        </w:rPr>
        <w:t>The assessment of maternal knowledge is presented in Table 2. About 71.4% of mothers knew that exclusive breastfeeding should last six months, and 58.0% knew the correct timing for introducing complementary feeding. Recognition of benefits of breastfeeding and signs of malnutrition was also relatively high. A composite knowledge score was generated (range 0–8) and categorized: 26.7% of mothers had low knowledge (0–2), 39.3% had moderate knowledge (3–5), and 34.0% had high knowledge (6–8). The mean composite score was 5.2 ± 1.6.</w:t>
      </w:r>
    </w:p>
    <w:p w14:paraId="4F5513B8" w14:textId="77777777" w:rsidR="00E67457" w:rsidRDefault="00E67457" w:rsidP="00E67457">
      <w:pPr>
        <w:rPr>
          <w:rFonts w:ascii="Arial" w:hAnsi="Arial" w:cs="Arial"/>
          <w:sz w:val="20"/>
          <w:szCs w:val="20"/>
        </w:rPr>
      </w:pPr>
      <w:r w:rsidRPr="00E67457">
        <w:rPr>
          <w:rFonts w:ascii="Arial" w:hAnsi="Arial" w:cs="Arial"/>
          <w:sz w:val="20"/>
          <w:szCs w:val="20"/>
        </w:rPr>
        <w:t>Table 2: Maternal Knowledge on Infant Feeding and Malnutrition (N = 405)</w:t>
      </w:r>
    </w:p>
    <w:tbl>
      <w:tblPr>
        <w:tblW w:w="10459" w:type="dxa"/>
        <w:tblBorders>
          <w:top w:val="single" w:sz="4" w:space="0" w:color="auto"/>
          <w:bottom w:val="single" w:sz="4" w:space="0" w:color="auto"/>
        </w:tblBorders>
        <w:tblLook w:val="04A0" w:firstRow="1" w:lastRow="0" w:firstColumn="1" w:lastColumn="0" w:noHBand="0" w:noVBand="1"/>
      </w:tblPr>
      <w:tblGrid>
        <w:gridCol w:w="108"/>
        <w:gridCol w:w="5310"/>
        <w:gridCol w:w="450"/>
        <w:gridCol w:w="1530"/>
        <w:gridCol w:w="2953"/>
        <w:gridCol w:w="108"/>
      </w:tblGrid>
      <w:tr w:rsidR="005B48F6" w:rsidRPr="00C3249D" w14:paraId="70602E01" w14:textId="77777777" w:rsidTr="00434B0B">
        <w:trPr>
          <w:gridAfter w:val="1"/>
          <w:wAfter w:w="108" w:type="dxa"/>
          <w:trHeight w:val="290"/>
        </w:trPr>
        <w:tc>
          <w:tcPr>
            <w:tcW w:w="5418" w:type="dxa"/>
            <w:gridSpan w:val="2"/>
            <w:tcBorders>
              <w:top w:val="single" w:sz="4" w:space="0" w:color="auto"/>
              <w:bottom w:val="single" w:sz="4" w:space="0" w:color="auto"/>
            </w:tcBorders>
            <w:noWrap/>
            <w:vAlign w:val="center"/>
            <w:hideMark/>
          </w:tcPr>
          <w:p w14:paraId="5AF6B5CF" w14:textId="77777777" w:rsidR="00C3249D" w:rsidRPr="00C3249D" w:rsidRDefault="00C3249D" w:rsidP="006C247D">
            <w:pPr>
              <w:spacing w:after="0" w:line="240" w:lineRule="auto"/>
              <w:rPr>
                <w:rFonts w:ascii="Arial" w:eastAsia="Times New Roman" w:hAnsi="Arial" w:cs="Arial"/>
                <w:b/>
                <w:bCs/>
                <w:color w:val="000000"/>
                <w:kern w:val="0"/>
                <w:sz w:val="20"/>
                <w:szCs w:val="20"/>
                <w14:ligatures w14:val="none"/>
              </w:rPr>
            </w:pPr>
            <w:r w:rsidRPr="00C3249D">
              <w:rPr>
                <w:rFonts w:ascii="Arial" w:eastAsia="Times New Roman" w:hAnsi="Arial" w:cs="Arial"/>
                <w:b/>
                <w:bCs/>
                <w:color w:val="000000"/>
                <w:kern w:val="0"/>
                <w:sz w:val="20"/>
                <w:szCs w:val="20"/>
                <w14:ligatures w14:val="none"/>
              </w:rPr>
              <w:t>Knowledge Item</w:t>
            </w:r>
          </w:p>
        </w:tc>
        <w:tc>
          <w:tcPr>
            <w:tcW w:w="1980" w:type="dxa"/>
            <w:gridSpan w:val="2"/>
            <w:tcBorders>
              <w:top w:val="single" w:sz="4" w:space="0" w:color="auto"/>
              <w:bottom w:val="single" w:sz="4" w:space="0" w:color="auto"/>
            </w:tcBorders>
            <w:noWrap/>
            <w:vAlign w:val="center"/>
            <w:hideMark/>
          </w:tcPr>
          <w:p w14:paraId="45A99DCA" w14:textId="403EBD35" w:rsidR="00C3249D" w:rsidRPr="00C3249D" w:rsidRDefault="00C3249D" w:rsidP="006C247D">
            <w:pPr>
              <w:spacing w:after="0" w:line="240" w:lineRule="auto"/>
              <w:rPr>
                <w:rFonts w:ascii="Arial" w:eastAsia="Times New Roman" w:hAnsi="Arial" w:cs="Arial"/>
                <w:b/>
                <w:bCs/>
                <w:color w:val="000000"/>
                <w:kern w:val="0"/>
                <w:sz w:val="20"/>
                <w:szCs w:val="20"/>
                <w14:ligatures w14:val="none"/>
              </w:rPr>
            </w:pPr>
            <w:r w:rsidRPr="00C3249D">
              <w:rPr>
                <w:rFonts w:ascii="Arial" w:eastAsia="Times New Roman" w:hAnsi="Arial" w:cs="Arial"/>
                <w:b/>
                <w:bCs/>
                <w:color w:val="000000"/>
                <w:kern w:val="0"/>
                <w:sz w:val="20"/>
                <w:szCs w:val="20"/>
                <w14:ligatures w14:val="none"/>
              </w:rPr>
              <w:t>Correct (%)</w:t>
            </w:r>
          </w:p>
        </w:tc>
        <w:tc>
          <w:tcPr>
            <w:tcW w:w="2953" w:type="dxa"/>
            <w:tcBorders>
              <w:top w:val="single" w:sz="4" w:space="0" w:color="auto"/>
              <w:bottom w:val="single" w:sz="4" w:space="0" w:color="auto"/>
            </w:tcBorders>
            <w:noWrap/>
            <w:vAlign w:val="center"/>
            <w:hideMark/>
          </w:tcPr>
          <w:p w14:paraId="17173530" w14:textId="77777777" w:rsidR="00C3249D" w:rsidRPr="00C3249D" w:rsidRDefault="00C3249D" w:rsidP="006C247D">
            <w:pPr>
              <w:spacing w:after="0" w:line="240" w:lineRule="auto"/>
              <w:rPr>
                <w:rFonts w:ascii="Arial" w:eastAsia="Times New Roman" w:hAnsi="Arial" w:cs="Arial"/>
                <w:b/>
                <w:bCs/>
                <w:color w:val="000000"/>
                <w:kern w:val="0"/>
                <w:sz w:val="20"/>
                <w:szCs w:val="20"/>
                <w14:ligatures w14:val="none"/>
              </w:rPr>
            </w:pPr>
            <w:r w:rsidRPr="00C3249D">
              <w:rPr>
                <w:rFonts w:ascii="Arial" w:eastAsia="Times New Roman" w:hAnsi="Arial" w:cs="Arial"/>
                <w:b/>
                <w:bCs/>
                <w:color w:val="000000"/>
                <w:kern w:val="0"/>
                <w:sz w:val="20"/>
                <w:szCs w:val="20"/>
                <w14:ligatures w14:val="none"/>
              </w:rPr>
              <w:t>Incorrect/Don’t know (%)</w:t>
            </w:r>
          </w:p>
        </w:tc>
      </w:tr>
      <w:tr w:rsidR="005B48F6" w:rsidRPr="00C3249D" w14:paraId="58BC1885" w14:textId="77777777" w:rsidTr="00434B0B">
        <w:trPr>
          <w:gridBefore w:val="1"/>
          <w:wBefore w:w="108" w:type="dxa"/>
          <w:trHeight w:val="290"/>
        </w:trPr>
        <w:tc>
          <w:tcPr>
            <w:tcW w:w="5760" w:type="dxa"/>
            <w:gridSpan w:val="2"/>
            <w:tcBorders>
              <w:top w:val="single" w:sz="4" w:space="0" w:color="auto"/>
            </w:tcBorders>
            <w:noWrap/>
            <w:vAlign w:val="center"/>
            <w:hideMark/>
          </w:tcPr>
          <w:p w14:paraId="34D1C5B7"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Exclusive breastfeeding for 6 months</w:t>
            </w:r>
          </w:p>
        </w:tc>
        <w:tc>
          <w:tcPr>
            <w:tcW w:w="1530" w:type="dxa"/>
            <w:tcBorders>
              <w:top w:val="single" w:sz="4" w:space="0" w:color="auto"/>
            </w:tcBorders>
            <w:noWrap/>
            <w:vAlign w:val="center"/>
            <w:hideMark/>
          </w:tcPr>
          <w:p w14:paraId="6E9ABFF0"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71.4</w:t>
            </w:r>
          </w:p>
        </w:tc>
        <w:tc>
          <w:tcPr>
            <w:tcW w:w="3061" w:type="dxa"/>
            <w:gridSpan w:val="2"/>
            <w:tcBorders>
              <w:top w:val="single" w:sz="4" w:space="0" w:color="auto"/>
            </w:tcBorders>
            <w:noWrap/>
            <w:vAlign w:val="center"/>
            <w:hideMark/>
          </w:tcPr>
          <w:p w14:paraId="41C25ED0"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28.6</w:t>
            </w:r>
          </w:p>
        </w:tc>
      </w:tr>
      <w:tr w:rsidR="005B48F6" w:rsidRPr="00C3249D" w14:paraId="09762DCE" w14:textId="77777777" w:rsidTr="00434B0B">
        <w:trPr>
          <w:gridBefore w:val="1"/>
          <w:wBefore w:w="108" w:type="dxa"/>
          <w:trHeight w:val="290"/>
        </w:trPr>
        <w:tc>
          <w:tcPr>
            <w:tcW w:w="5760" w:type="dxa"/>
            <w:gridSpan w:val="2"/>
            <w:noWrap/>
            <w:vAlign w:val="center"/>
            <w:hideMark/>
          </w:tcPr>
          <w:p w14:paraId="430580AE"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Complementary feeding should start at 6 months</w:t>
            </w:r>
          </w:p>
        </w:tc>
        <w:tc>
          <w:tcPr>
            <w:tcW w:w="1530" w:type="dxa"/>
            <w:noWrap/>
            <w:vAlign w:val="center"/>
            <w:hideMark/>
          </w:tcPr>
          <w:p w14:paraId="45266F4C"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58</w:t>
            </w:r>
          </w:p>
        </w:tc>
        <w:tc>
          <w:tcPr>
            <w:tcW w:w="3061" w:type="dxa"/>
            <w:gridSpan w:val="2"/>
            <w:noWrap/>
            <w:vAlign w:val="center"/>
            <w:hideMark/>
          </w:tcPr>
          <w:p w14:paraId="6E889983"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42</w:t>
            </w:r>
          </w:p>
        </w:tc>
      </w:tr>
      <w:tr w:rsidR="005B48F6" w:rsidRPr="00C3249D" w14:paraId="18AA135B" w14:textId="77777777" w:rsidTr="00434B0B">
        <w:trPr>
          <w:gridBefore w:val="1"/>
          <w:wBefore w:w="108" w:type="dxa"/>
          <w:trHeight w:val="290"/>
        </w:trPr>
        <w:tc>
          <w:tcPr>
            <w:tcW w:w="5760" w:type="dxa"/>
            <w:gridSpan w:val="2"/>
            <w:noWrap/>
            <w:vAlign w:val="center"/>
            <w:hideMark/>
          </w:tcPr>
          <w:p w14:paraId="15C7EB04"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Breastfeeding protects against infections</w:t>
            </w:r>
          </w:p>
        </w:tc>
        <w:tc>
          <w:tcPr>
            <w:tcW w:w="1530" w:type="dxa"/>
            <w:noWrap/>
            <w:vAlign w:val="center"/>
            <w:hideMark/>
          </w:tcPr>
          <w:p w14:paraId="318FAE41"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76.8</w:t>
            </w:r>
          </w:p>
        </w:tc>
        <w:tc>
          <w:tcPr>
            <w:tcW w:w="3061" w:type="dxa"/>
            <w:gridSpan w:val="2"/>
            <w:noWrap/>
            <w:vAlign w:val="center"/>
            <w:hideMark/>
          </w:tcPr>
          <w:p w14:paraId="701CB71F"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23.2</w:t>
            </w:r>
          </w:p>
        </w:tc>
      </w:tr>
      <w:tr w:rsidR="005B48F6" w:rsidRPr="00C3249D" w14:paraId="20B5775A" w14:textId="77777777" w:rsidTr="00434B0B">
        <w:trPr>
          <w:gridBefore w:val="1"/>
          <w:wBefore w:w="108" w:type="dxa"/>
          <w:trHeight w:val="290"/>
        </w:trPr>
        <w:tc>
          <w:tcPr>
            <w:tcW w:w="5760" w:type="dxa"/>
            <w:gridSpan w:val="2"/>
            <w:noWrap/>
            <w:vAlign w:val="center"/>
            <w:hideMark/>
          </w:tcPr>
          <w:p w14:paraId="4FB53D89"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Breastfeeding promotes bonding and maternal recovery</w:t>
            </w:r>
          </w:p>
        </w:tc>
        <w:tc>
          <w:tcPr>
            <w:tcW w:w="1530" w:type="dxa"/>
            <w:noWrap/>
            <w:vAlign w:val="center"/>
            <w:hideMark/>
          </w:tcPr>
          <w:p w14:paraId="77068270"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69.6</w:t>
            </w:r>
          </w:p>
        </w:tc>
        <w:tc>
          <w:tcPr>
            <w:tcW w:w="3061" w:type="dxa"/>
            <w:gridSpan w:val="2"/>
            <w:noWrap/>
            <w:vAlign w:val="center"/>
            <w:hideMark/>
          </w:tcPr>
          <w:p w14:paraId="4FC70271"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30.4</w:t>
            </w:r>
          </w:p>
        </w:tc>
      </w:tr>
      <w:tr w:rsidR="005B48F6" w:rsidRPr="00C3249D" w14:paraId="0DEF37E3" w14:textId="77777777" w:rsidTr="00434B0B">
        <w:trPr>
          <w:gridBefore w:val="1"/>
          <w:wBefore w:w="108" w:type="dxa"/>
          <w:trHeight w:val="290"/>
        </w:trPr>
        <w:tc>
          <w:tcPr>
            <w:tcW w:w="5760" w:type="dxa"/>
            <w:gridSpan w:val="2"/>
            <w:noWrap/>
            <w:vAlign w:val="center"/>
            <w:hideMark/>
          </w:tcPr>
          <w:p w14:paraId="6CB08A6A"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Recognized signs of malnutrition (thinness, stunting, illness)</w:t>
            </w:r>
          </w:p>
        </w:tc>
        <w:tc>
          <w:tcPr>
            <w:tcW w:w="1530" w:type="dxa"/>
            <w:noWrap/>
            <w:vAlign w:val="center"/>
            <w:hideMark/>
          </w:tcPr>
          <w:p w14:paraId="4BBAF2BA"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67.7</w:t>
            </w:r>
          </w:p>
        </w:tc>
        <w:tc>
          <w:tcPr>
            <w:tcW w:w="3061" w:type="dxa"/>
            <w:gridSpan w:val="2"/>
            <w:noWrap/>
            <w:vAlign w:val="center"/>
            <w:hideMark/>
          </w:tcPr>
          <w:p w14:paraId="5DFEAAE7"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32.3</w:t>
            </w:r>
          </w:p>
        </w:tc>
      </w:tr>
      <w:tr w:rsidR="005B48F6" w:rsidRPr="00C3249D" w14:paraId="646A7BDB" w14:textId="77777777" w:rsidTr="00434B0B">
        <w:trPr>
          <w:gridBefore w:val="1"/>
          <w:wBefore w:w="108" w:type="dxa"/>
          <w:trHeight w:val="290"/>
        </w:trPr>
        <w:tc>
          <w:tcPr>
            <w:tcW w:w="5760" w:type="dxa"/>
            <w:gridSpan w:val="2"/>
            <w:noWrap/>
            <w:vAlign w:val="center"/>
            <w:hideMark/>
          </w:tcPr>
          <w:p w14:paraId="2D3FBC62"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Giving water before 6 months unnecessary</w:t>
            </w:r>
          </w:p>
        </w:tc>
        <w:tc>
          <w:tcPr>
            <w:tcW w:w="1530" w:type="dxa"/>
            <w:noWrap/>
            <w:vAlign w:val="center"/>
            <w:hideMark/>
          </w:tcPr>
          <w:p w14:paraId="012AC8EF"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63.2</w:t>
            </w:r>
          </w:p>
        </w:tc>
        <w:tc>
          <w:tcPr>
            <w:tcW w:w="3061" w:type="dxa"/>
            <w:gridSpan w:val="2"/>
            <w:noWrap/>
            <w:vAlign w:val="center"/>
            <w:hideMark/>
          </w:tcPr>
          <w:p w14:paraId="616B1751"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36.8</w:t>
            </w:r>
          </w:p>
        </w:tc>
      </w:tr>
      <w:tr w:rsidR="005B48F6" w:rsidRPr="00C3249D" w14:paraId="34354583" w14:textId="77777777" w:rsidTr="00434B0B">
        <w:trPr>
          <w:gridBefore w:val="1"/>
          <w:wBefore w:w="108" w:type="dxa"/>
          <w:trHeight w:val="290"/>
        </w:trPr>
        <w:tc>
          <w:tcPr>
            <w:tcW w:w="5760" w:type="dxa"/>
            <w:gridSpan w:val="2"/>
            <w:noWrap/>
            <w:vAlign w:val="center"/>
            <w:hideMark/>
          </w:tcPr>
          <w:p w14:paraId="641E6868"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Exclusive breastfeeding reduces infant mortality</w:t>
            </w:r>
          </w:p>
        </w:tc>
        <w:tc>
          <w:tcPr>
            <w:tcW w:w="1530" w:type="dxa"/>
            <w:noWrap/>
            <w:vAlign w:val="center"/>
            <w:hideMark/>
          </w:tcPr>
          <w:p w14:paraId="7D98548A"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74.1</w:t>
            </w:r>
          </w:p>
        </w:tc>
        <w:tc>
          <w:tcPr>
            <w:tcW w:w="3061" w:type="dxa"/>
            <w:gridSpan w:val="2"/>
            <w:noWrap/>
            <w:vAlign w:val="center"/>
            <w:hideMark/>
          </w:tcPr>
          <w:p w14:paraId="57F02E83"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25.9</w:t>
            </w:r>
          </w:p>
        </w:tc>
      </w:tr>
      <w:tr w:rsidR="005B48F6" w:rsidRPr="00C3249D" w14:paraId="4BC94243" w14:textId="77777777" w:rsidTr="00434B0B">
        <w:trPr>
          <w:gridBefore w:val="1"/>
          <w:wBefore w:w="108" w:type="dxa"/>
          <w:trHeight w:val="290"/>
        </w:trPr>
        <w:tc>
          <w:tcPr>
            <w:tcW w:w="5760" w:type="dxa"/>
            <w:gridSpan w:val="2"/>
            <w:noWrap/>
            <w:vAlign w:val="center"/>
            <w:hideMark/>
          </w:tcPr>
          <w:p w14:paraId="7AB877F8"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Feeding practices influence malnutrition risk</w:t>
            </w:r>
          </w:p>
        </w:tc>
        <w:tc>
          <w:tcPr>
            <w:tcW w:w="1530" w:type="dxa"/>
            <w:noWrap/>
            <w:vAlign w:val="center"/>
            <w:hideMark/>
          </w:tcPr>
          <w:p w14:paraId="11DF6CF1"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61.5</w:t>
            </w:r>
          </w:p>
        </w:tc>
        <w:tc>
          <w:tcPr>
            <w:tcW w:w="3061" w:type="dxa"/>
            <w:gridSpan w:val="2"/>
            <w:noWrap/>
            <w:vAlign w:val="center"/>
            <w:hideMark/>
          </w:tcPr>
          <w:p w14:paraId="4363192A"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38.5</w:t>
            </w:r>
          </w:p>
        </w:tc>
      </w:tr>
      <w:tr w:rsidR="005B48F6" w:rsidRPr="00C3249D" w14:paraId="70189654" w14:textId="77777777" w:rsidTr="00434B0B">
        <w:trPr>
          <w:gridBefore w:val="1"/>
          <w:wBefore w:w="108" w:type="dxa"/>
          <w:trHeight w:val="290"/>
        </w:trPr>
        <w:tc>
          <w:tcPr>
            <w:tcW w:w="5760" w:type="dxa"/>
            <w:gridSpan w:val="2"/>
            <w:noWrap/>
            <w:vAlign w:val="center"/>
            <w:hideMark/>
          </w:tcPr>
          <w:p w14:paraId="02FFF4A9"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Composite knowledge score</w:t>
            </w:r>
          </w:p>
        </w:tc>
        <w:tc>
          <w:tcPr>
            <w:tcW w:w="1530" w:type="dxa"/>
            <w:noWrap/>
            <w:vAlign w:val="center"/>
            <w:hideMark/>
          </w:tcPr>
          <w:p w14:paraId="3059B596"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p>
        </w:tc>
        <w:tc>
          <w:tcPr>
            <w:tcW w:w="3061" w:type="dxa"/>
            <w:gridSpan w:val="2"/>
            <w:noWrap/>
            <w:vAlign w:val="center"/>
            <w:hideMark/>
          </w:tcPr>
          <w:p w14:paraId="7C980C30" w14:textId="77777777" w:rsidR="00C3249D" w:rsidRPr="00C3249D" w:rsidRDefault="00C3249D" w:rsidP="006C247D">
            <w:pPr>
              <w:spacing w:after="0" w:line="240" w:lineRule="auto"/>
              <w:rPr>
                <w:rFonts w:ascii="Times New Roman" w:eastAsia="Times New Roman" w:hAnsi="Times New Roman" w:cs="Times New Roman"/>
                <w:kern w:val="0"/>
                <w:sz w:val="20"/>
                <w:szCs w:val="20"/>
                <w14:ligatures w14:val="none"/>
              </w:rPr>
            </w:pPr>
          </w:p>
        </w:tc>
      </w:tr>
      <w:tr w:rsidR="005B48F6" w:rsidRPr="00C3249D" w14:paraId="5E541E5B" w14:textId="77777777" w:rsidTr="00434B0B">
        <w:trPr>
          <w:gridBefore w:val="1"/>
          <w:wBefore w:w="108" w:type="dxa"/>
          <w:trHeight w:val="290"/>
        </w:trPr>
        <w:tc>
          <w:tcPr>
            <w:tcW w:w="5760" w:type="dxa"/>
            <w:gridSpan w:val="2"/>
            <w:noWrap/>
            <w:vAlign w:val="center"/>
            <w:hideMark/>
          </w:tcPr>
          <w:p w14:paraId="7A4C0F52"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High (6–8)</w:t>
            </w:r>
          </w:p>
        </w:tc>
        <w:tc>
          <w:tcPr>
            <w:tcW w:w="1530" w:type="dxa"/>
            <w:noWrap/>
            <w:vAlign w:val="center"/>
            <w:hideMark/>
          </w:tcPr>
          <w:p w14:paraId="52F4B1E7"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138</w:t>
            </w:r>
          </w:p>
        </w:tc>
        <w:tc>
          <w:tcPr>
            <w:tcW w:w="3061" w:type="dxa"/>
            <w:gridSpan w:val="2"/>
            <w:noWrap/>
            <w:vAlign w:val="center"/>
            <w:hideMark/>
          </w:tcPr>
          <w:p w14:paraId="1059C12A"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34</w:t>
            </w:r>
          </w:p>
        </w:tc>
      </w:tr>
      <w:tr w:rsidR="005B48F6" w:rsidRPr="00C3249D" w14:paraId="57A5092C" w14:textId="77777777" w:rsidTr="00434B0B">
        <w:trPr>
          <w:gridBefore w:val="1"/>
          <w:wBefore w:w="108" w:type="dxa"/>
          <w:trHeight w:val="290"/>
        </w:trPr>
        <w:tc>
          <w:tcPr>
            <w:tcW w:w="5760" w:type="dxa"/>
            <w:gridSpan w:val="2"/>
            <w:noWrap/>
            <w:vAlign w:val="center"/>
            <w:hideMark/>
          </w:tcPr>
          <w:p w14:paraId="5C1D6871"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Moderate (3–5)</w:t>
            </w:r>
          </w:p>
        </w:tc>
        <w:tc>
          <w:tcPr>
            <w:tcW w:w="1530" w:type="dxa"/>
            <w:noWrap/>
            <w:vAlign w:val="center"/>
            <w:hideMark/>
          </w:tcPr>
          <w:p w14:paraId="6F3C99A7"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159</w:t>
            </w:r>
          </w:p>
        </w:tc>
        <w:tc>
          <w:tcPr>
            <w:tcW w:w="3061" w:type="dxa"/>
            <w:gridSpan w:val="2"/>
            <w:noWrap/>
            <w:vAlign w:val="center"/>
            <w:hideMark/>
          </w:tcPr>
          <w:p w14:paraId="02DF9D5F"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39.3</w:t>
            </w:r>
          </w:p>
        </w:tc>
      </w:tr>
      <w:tr w:rsidR="005B48F6" w:rsidRPr="00C3249D" w14:paraId="3A781463" w14:textId="77777777" w:rsidTr="00434B0B">
        <w:trPr>
          <w:gridBefore w:val="1"/>
          <w:wBefore w:w="108" w:type="dxa"/>
          <w:trHeight w:val="290"/>
        </w:trPr>
        <w:tc>
          <w:tcPr>
            <w:tcW w:w="5760" w:type="dxa"/>
            <w:gridSpan w:val="2"/>
            <w:noWrap/>
            <w:vAlign w:val="center"/>
            <w:hideMark/>
          </w:tcPr>
          <w:p w14:paraId="715DB7A6"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Low (0–2)</w:t>
            </w:r>
          </w:p>
        </w:tc>
        <w:tc>
          <w:tcPr>
            <w:tcW w:w="1530" w:type="dxa"/>
            <w:noWrap/>
            <w:vAlign w:val="center"/>
            <w:hideMark/>
          </w:tcPr>
          <w:p w14:paraId="335B43E8"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108</w:t>
            </w:r>
          </w:p>
        </w:tc>
        <w:tc>
          <w:tcPr>
            <w:tcW w:w="3061" w:type="dxa"/>
            <w:gridSpan w:val="2"/>
            <w:noWrap/>
            <w:vAlign w:val="center"/>
            <w:hideMark/>
          </w:tcPr>
          <w:p w14:paraId="4F48E4A3"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26.7</w:t>
            </w:r>
          </w:p>
        </w:tc>
      </w:tr>
    </w:tbl>
    <w:p w14:paraId="49028428" w14:textId="77777777" w:rsidR="00831D8F" w:rsidRPr="00E67457" w:rsidRDefault="00831D8F" w:rsidP="00E67457">
      <w:pPr>
        <w:rPr>
          <w:rFonts w:ascii="Arial" w:hAnsi="Arial" w:cs="Arial"/>
          <w:sz w:val="20"/>
          <w:szCs w:val="20"/>
        </w:rPr>
      </w:pPr>
    </w:p>
    <w:p w14:paraId="538E0751" w14:textId="62F272BB" w:rsidR="00E67457" w:rsidRPr="00E67457" w:rsidRDefault="00E67457" w:rsidP="00E67457">
      <w:pPr>
        <w:rPr>
          <w:rFonts w:ascii="Arial" w:hAnsi="Arial" w:cs="Arial"/>
          <w:b/>
          <w:bCs/>
          <w:sz w:val="20"/>
          <w:szCs w:val="20"/>
        </w:rPr>
      </w:pPr>
      <w:r w:rsidRPr="00E67457">
        <w:rPr>
          <w:rFonts w:ascii="Arial" w:hAnsi="Arial" w:cs="Arial"/>
          <w:b/>
          <w:bCs/>
          <w:sz w:val="20"/>
          <w:szCs w:val="20"/>
        </w:rPr>
        <w:t>Feeding Practices of Mothers</w:t>
      </w:r>
    </w:p>
    <w:p w14:paraId="0ABB9D9F" w14:textId="77777777" w:rsidR="00E67457" w:rsidRPr="00E67457" w:rsidRDefault="00E67457" w:rsidP="00E67457">
      <w:pPr>
        <w:rPr>
          <w:rFonts w:ascii="Arial" w:hAnsi="Arial" w:cs="Arial"/>
          <w:sz w:val="20"/>
          <w:szCs w:val="20"/>
        </w:rPr>
      </w:pPr>
      <w:r w:rsidRPr="00E67457">
        <w:rPr>
          <w:rFonts w:ascii="Arial" w:hAnsi="Arial" w:cs="Arial"/>
          <w:sz w:val="20"/>
          <w:szCs w:val="20"/>
        </w:rPr>
        <w:t>Feeding practices are summarized in Table 3. Early initiation of breastfeeding was reported by 64.9%, and exclusive breastfeeding (≤6 months) was reported by 59.3%. Complementary feeding at six months was practiced by 44.2%, and minimum dietary diversity (≥3 food groups) by 38.5%. A composite practice score (range 0–6) was generated. About 29.1% of mothers had good feeding practices (≥5), 36.8% had fair practices (3–4), and 34.1% had poor practices (≤2).</w:t>
      </w:r>
    </w:p>
    <w:p w14:paraId="5A9AA584" w14:textId="77777777" w:rsidR="00E67457" w:rsidRPr="00E67457" w:rsidRDefault="00E67457" w:rsidP="00E67457">
      <w:pPr>
        <w:rPr>
          <w:rFonts w:ascii="Arial" w:hAnsi="Arial" w:cs="Arial"/>
          <w:sz w:val="20"/>
          <w:szCs w:val="20"/>
        </w:rPr>
      </w:pPr>
      <w:r w:rsidRPr="00E67457">
        <w:rPr>
          <w:rFonts w:ascii="Arial" w:hAnsi="Arial" w:cs="Arial"/>
          <w:sz w:val="20"/>
          <w:szCs w:val="20"/>
        </w:rPr>
        <w:t>Table 3: Feeding Practices among Mothers (N = 405)</w:t>
      </w:r>
    </w:p>
    <w:tbl>
      <w:tblPr>
        <w:tblW w:w="8400" w:type="dxa"/>
        <w:tblInd w:w="108" w:type="dxa"/>
        <w:tblLook w:val="04A0" w:firstRow="1" w:lastRow="0" w:firstColumn="1" w:lastColumn="0" w:noHBand="0" w:noVBand="1"/>
      </w:tblPr>
      <w:tblGrid>
        <w:gridCol w:w="4636"/>
        <w:gridCol w:w="1541"/>
        <w:gridCol w:w="2223"/>
      </w:tblGrid>
      <w:tr w:rsidR="00AB4660" w:rsidRPr="00AB4660" w14:paraId="54F31B05" w14:textId="77777777" w:rsidTr="00AB4660">
        <w:trPr>
          <w:trHeight w:val="284"/>
        </w:trPr>
        <w:tc>
          <w:tcPr>
            <w:tcW w:w="4636" w:type="dxa"/>
            <w:tcBorders>
              <w:top w:val="single" w:sz="8" w:space="0" w:color="auto"/>
              <w:left w:val="nil"/>
              <w:bottom w:val="single" w:sz="8" w:space="0" w:color="auto"/>
              <w:right w:val="nil"/>
            </w:tcBorders>
            <w:noWrap/>
            <w:vAlign w:val="center"/>
            <w:hideMark/>
          </w:tcPr>
          <w:p w14:paraId="163615F3"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Feeding Practice</w:t>
            </w:r>
          </w:p>
        </w:tc>
        <w:tc>
          <w:tcPr>
            <w:tcW w:w="1541" w:type="dxa"/>
            <w:tcBorders>
              <w:top w:val="single" w:sz="8" w:space="0" w:color="auto"/>
              <w:left w:val="nil"/>
              <w:bottom w:val="single" w:sz="8" w:space="0" w:color="auto"/>
              <w:right w:val="nil"/>
            </w:tcBorders>
            <w:noWrap/>
            <w:vAlign w:val="center"/>
            <w:hideMark/>
          </w:tcPr>
          <w:p w14:paraId="33F4C5DF"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Frequency (n)</w:t>
            </w:r>
          </w:p>
        </w:tc>
        <w:tc>
          <w:tcPr>
            <w:tcW w:w="2223" w:type="dxa"/>
            <w:tcBorders>
              <w:top w:val="single" w:sz="8" w:space="0" w:color="auto"/>
              <w:left w:val="nil"/>
              <w:bottom w:val="single" w:sz="8" w:space="0" w:color="auto"/>
              <w:right w:val="nil"/>
            </w:tcBorders>
            <w:noWrap/>
            <w:vAlign w:val="center"/>
            <w:hideMark/>
          </w:tcPr>
          <w:p w14:paraId="5057D780"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Percentage (%)</w:t>
            </w:r>
          </w:p>
        </w:tc>
      </w:tr>
      <w:tr w:rsidR="00AB4660" w:rsidRPr="00AB4660" w14:paraId="2CAEC7C5" w14:textId="77777777" w:rsidTr="00AB4660">
        <w:trPr>
          <w:trHeight w:val="274"/>
        </w:trPr>
        <w:tc>
          <w:tcPr>
            <w:tcW w:w="4636" w:type="dxa"/>
            <w:tcBorders>
              <w:top w:val="nil"/>
              <w:left w:val="nil"/>
              <w:bottom w:val="nil"/>
              <w:right w:val="nil"/>
            </w:tcBorders>
            <w:noWrap/>
            <w:vAlign w:val="center"/>
            <w:hideMark/>
          </w:tcPr>
          <w:p w14:paraId="0D6080A3"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Breastfed within 1 hour of birth</w:t>
            </w:r>
          </w:p>
        </w:tc>
        <w:tc>
          <w:tcPr>
            <w:tcW w:w="1541" w:type="dxa"/>
            <w:tcBorders>
              <w:top w:val="nil"/>
              <w:left w:val="nil"/>
              <w:bottom w:val="nil"/>
              <w:right w:val="nil"/>
            </w:tcBorders>
            <w:noWrap/>
            <w:vAlign w:val="center"/>
            <w:hideMark/>
          </w:tcPr>
          <w:p w14:paraId="4A339D52"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263</w:t>
            </w:r>
          </w:p>
        </w:tc>
        <w:tc>
          <w:tcPr>
            <w:tcW w:w="2223" w:type="dxa"/>
            <w:tcBorders>
              <w:top w:val="nil"/>
              <w:left w:val="nil"/>
              <w:bottom w:val="nil"/>
              <w:right w:val="nil"/>
            </w:tcBorders>
            <w:noWrap/>
            <w:vAlign w:val="center"/>
            <w:hideMark/>
          </w:tcPr>
          <w:p w14:paraId="39271DCB"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64.9</w:t>
            </w:r>
          </w:p>
        </w:tc>
      </w:tr>
      <w:tr w:rsidR="00AB4660" w:rsidRPr="00AB4660" w14:paraId="42BCC295" w14:textId="77777777" w:rsidTr="00AB4660">
        <w:trPr>
          <w:trHeight w:val="274"/>
        </w:trPr>
        <w:tc>
          <w:tcPr>
            <w:tcW w:w="4636" w:type="dxa"/>
            <w:tcBorders>
              <w:top w:val="nil"/>
              <w:left w:val="nil"/>
              <w:bottom w:val="nil"/>
              <w:right w:val="nil"/>
            </w:tcBorders>
            <w:noWrap/>
            <w:vAlign w:val="center"/>
            <w:hideMark/>
          </w:tcPr>
          <w:p w14:paraId="48328DEF"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lastRenderedPageBreak/>
              <w:t>Exclusive breastfeeding (≤6 months)</w:t>
            </w:r>
          </w:p>
        </w:tc>
        <w:tc>
          <w:tcPr>
            <w:tcW w:w="1541" w:type="dxa"/>
            <w:tcBorders>
              <w:top w:val="nil"/>
              <w:left w:val="nil"/>
              <w:bottom w:val="nil"/>
              <w:right w:val="nil"/>
            </w:tcBorders>
            <w:noWrap/>
            <w:vAlign w:val="center"/>
            <w:hideMark/>
          </w:tcPr>
          <w:p w14:paraId="567BDA99"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240</w:t>
            </w:r>
          </w:p>
        </w:tc>
        <w:tc>
          <w:tcPr>
            <w:tcW w:w="2223" w:type="dxa"/>
            <w:tcBorders>
              <w:top w:val="nil"/>
              <w:left w:val="nil"/>
              <w:bottom w:val="nil"/>
              <w:right w:val="nil"/>
            </w:tcBorders>
            <w:noWrap/>
            <w:vAlign w:val="center"/>
            <w:hideMark/>
          </w:tcPr>
          <w:p w14:paraId="687DF213"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59.3</w:t>
            </w:r>
          </w:p>
        </w:tc>
      </w:tr>
      <w:tr w:rsidR="00AB4660" w:rsidRPr="00AB4660" w14:paraId="59699128" w14:textId="77777777" w:rsidTr="00AB4660">
        <w:trPr>
          <w:trHeight w:val="274"/>
        </w:trPr>
        <w:tc>
          <w:tcPr>
            <w:tcW w:w="4636" w:type="dxa"/>
            <w:tcBorders>
              <w:top w:val="nil"/>
              <w:left w:val="nil"/>
              <w:bottom w:val="nil"/>
              <w:right w:val="nil"/>
            </w:tcBorders>
            <w:noWrap/>
            <w:vAlign w:val="center"/>
            <w:hideMark/>
          </w:tcPr>
          <w:p w14:paraId="5E819562"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Introduced complementary feeding at 6 months</w:t>
            </w:r>
          </w:p>
        </w:tc>
        <w:tc>
          <w:tcPr>
            <w:tcW w:w="1541" w:type="dxa"/>
            <w:tcBorders>
              <w:top w:val="nil"/>
              <w:left w:val="nil"/>
              <w:bottom w:val="nil"/>
              <w:right w:val="nil"/>
            </w:tcBorders>
            <w:noWrap/>
            <w:vAlign w:val="center"/>
            <w:hideMark/>
          </w:tcPr>
          <w:p w14:paraId="2C4CC6D7"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179</w:t>
            </w:r>
          </w:p>
        </w:tc>
        <w:tc>
          <w:tcPr>
            <w:tcW w:w="2223" w:type="dxa"/>
            <w:tcBorders>
              <w:top w:val="nil"/>
              <w:left w:val="nil"/>
              <w:bottom w:val="nil"/>
              <w:right w:val="nil"/>
            </w:tcBorders>
            <w:noWrap/>
            <w:vAlign w:val="center"/>
            <w:hideMark/>
          </w:tcPr>
          <w:p w14:paraId="1874F1B6"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44.2</w:t>
            </w:r>
          </w:p>
        </w:tc>
      </w:tr>
      <w:tr w:rsidR="00AB4660" w:rsidRPr="00AB4660" w14:paraId="1A38F7D3" w14:textId="77777777" w:rsidTr="00AB4660">
        <w:trPr>
          <w:trHeight w:val="274"/>
        </w:trPr>
        <w:tc>
          <w:tcPr>
            <w:tcW w:w="4636" w:type="dxa"/>
            <w:tcBorders>
              <w:top w:val="nil"/>
              <w:left w:val="nil"/>
              <w:bottom w:val="nil"/>
              <w:right w:val="nil"/>
            </w:tcBorders>
            <w:noWrap/>
            <w:vAlign w:val="center"/>
            <w:hideMark/>
          </w:tcPr>
          <w:p w14:paraId="41F294A8"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Feeding on demand</w:t>
            </w:r>
          </w:p>
        </w:tc>
        <w:tc>
          <w:tcPr>
            <w:tcW w:w="1541" w:type="dxa"/>
            <w:tcBorders>
              <w:top w:val="nil"/>
              <w:left w:val="nil"/>
              <w:bottom w:val="nil"/>
              <w:right w:val="nil"/>
            </w:tcBorders>
            <w:noWrap/>
            <w:vAlign w:val="center"/>
            <w:hideMark/>
          </w:tcPr>
          <w:p w14:paraId="123DC4CE"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281</w:t>
            </w:r>
          </w:p>
        </w:tc>
        <w:tc>
          <w:tcPr>
            <w:tcW w:w="2223" w:type="dxa"/>
            <w:tcBorders>
              <w:top w:val="nil"/>
              <w:left w:val="nil"/>
              <w:bottom w:val="nil"/>
              <w:right w:val="nil"/>
            </w:tcBorders>
            <w:noWrap/>
            <w:vAlign w:val="center"/>
            <w:hideMark/>
          </w:tcPr>
          <w:p w14:paraId="66B3C928"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69.4</w:t>
            </w:r>
          </w:p>
        </w:tc>
      </w:tr>
      <w:tr w:rsidR="00AB4660" w:rsidRPr="00AB4660" w14:paraId="50FB3B96" w14:textId="77777777" w:rsidTr="00AB4660">
        <w:trPr>
          <w:trHeight w:val="274"/>
        </w:trPr>
        <w:tc>
          <w:tcPr>
            <w:tcW w:w="4636" w:type="dxa"/>
            <w:tcBorders>
              <w:top w:val="nil"/>
              <w:left w:val="nil"/>
              <w:bottom w:val="nil"/>
              <w:right w:val="nil"/>
            </w:tcBorders>
            <w:noWrap/>
            <w:vAlign w:val="center"/>
            <w:hideMark/>
          </w:tcPr>
          <w:p w14:paraId="16880989"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Meal frequency ≥3/day (infants &gt;6 months)</w:t>
            </w:r>
          </w:p>
        </w:tc>
        <w:tc>
          <w:tcPr>
            <w:tcW w:w="1541" w:type="dxa"/>
            <w:tcBorders>
              <w:top w:val="nil"/>
              <w:left w:val="nil"/>
              <w:bottom w:val="nil"/>
              <w:right w:val="nil"/>
            </w:tcBorders>
            <w:noWrap/>
            <w:vAlign w:val="center"/>
            <w:hideMark/>
          </w:tcPr>
          <w:p w14:paraId="7BE282DD"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153</w:t>
            </w:r>
          </w:p>
        </w:tc>
        <w:tc>
          <w:tcPr>
            <w:tcW w:w="2223" w:type="dxa"/>
            <w:tcBorders>
              <w:top w:val="nil"/>
              <w:left w:val="nil"/>
              <w:bottom w:val="nil"/>
              <w:right w:val="nil"/>
            </w:tcBorders>
            <w:noWrap/>
            <w:vAlign w:val="center"/>
            <w:hideMark/>
          </w:tcPr>
          <w:p w14:paraId="3BC35E08"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37.8</w:t>
            </w:r>
          </w:p>
        </w:tc>
      </w:tr>
      <w:tr w:rsidR="00AB4660" w:rsidRPr="00AB4660" w14:paraId="7C56DB2B" w14:textId="77777777" w:rsidTr="00AB4660">
        <w:trPr>
          <w:trHeight w:val="274"/>
        </w:trPr>
        <w:tc>
          <w:tcPr>
            <w:tcW w:w="4636" w:type="dxa"/>
            <w:tcBorders>
              <w:top w:val="nil"/>
              <w:left w:val="nil"/>
              <w:bottom w:val="nil"/>
              <w:right w:val="nil"/>
            </w:tcBorders>
            <w:noWrap/>
            <w:vAlign w:val="center"/>
            <w:hideMark/>
          </w:tcPr>
          <w:p w14:paraId="5129CBCC"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Minimum dietary diversity (≥3 food groups)</w:t>
            </w:r>
          </w:p>
        </w:tc>
        <w:tc>
          <w:tcPr>
            <w:tcW w:w="1541" w:type="dxa"/>
            <w:tcBorders>
              <w:top w:val="nil"/>
              <w:left w:val="nil"/>
              <w:bottom w:val="nil"/>
              <w:right w:val="nil"/>
            </w:tcBorders>
            <w:noWrap/>
            <w:vAlign w:val="center"/>
            <w:hideMark/>
          </w:tcPr>
          <w:p w14:paraId="4B7C36F0"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156</w:t>
            </w:r>
          </w:p>
        </w:tc>
        <w:tc>
          <w:tcPr>
            <w:tcW w:w="2223" w:type="dxa"/>
            <w:tcBorders>
              <w:top w:val="nil"/>
              <w:left w:val="nil"/>
              <w:bottom w:val="nil"/>
              <w:right w:val="nil"/>
            </w:tcBorders>
            <w:noWrap/>
            <w:vAlign w:val="center"/>
            <w:hideMark/>
          </w:tcPr>
          <w:p w14:paraId="77546941"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38.5</w:t>
            </w:r>
          </w:p>
        </w:tc>
      </w:tr>
      <w:tr w:rsidR="00AB4660" w:rsidRPr="00AB4660" w14:paraId="40A27CC8" w14:textId="77777777" w:rsidTr="00AB4660">
        <w:trPr>
          <w:trHeight w:val="274"/>
        </w:trPr>
        <w:tc>
          <w:tcPr>
            <w:tcW w:w="4636" w:type="dxa"/>
            <w:tcBorders>
              <w:top w:val="nil"/>
              <w:left w:val="nil"/>
              <w:bottom w:val="nil"/>
              <w:right w:val="nil"/>
            </w:tcBorders>
            <w:noWrap/>
            <w:vAlign w:val="center"/>
            <w:hideMark/>
          </w:tcPr>
          <w:p w14:paraId="2B230ADE" w14:textId="77777777" w:rsidR="00AB4660" w:rsidRPr="00AB4660" w:rsidRDefault="00AB4660" w:rsidP="00AB4660">
            <w:pPr>
              <w:spacing w:after="0" w:line="240" w:lineRule="auto"/>
              <w:rPr>
                <w:rFonts w:ascii="Arial" w:eastAsia="Times New Roman" w:hAnsi="Arial" w:cs="Arial"/>
                <w:b/>
                <w:bCs/>
                <w:color w:val="000000"/>
                <w:kern w:val="0"/>
                <w:sz w:val="20"/>
                <w:szCs w:val="20"/>
                <w14:ligatures w14:val="none"/>
              </w:rPr>
            </w:pPr>
            <w:r w:rsidRPr="00AB4660">
              <w:rPr>
                <w:rFonts w:ascii="Arial" w:eastAsia="Times New Roman" w:hAnsi="Arial" w:cs="Arial"/>
                <w:b/>
                <w:bCs/>
                <w:color w:val="000000"/>
                <w:kern w:val="0"/>
                <w:sz w:val="20"/>
                <w:szCs w:val="20"/>
                <w14:ligatures w14:val="none"/>
              </w:rPr>
              <w:t>Composite practice score</w:t>
            </w:r>
          </w:p>
        </w:tc>
        <w:tc>
          <w:tcPr>
            <w:tcW w:w="1541" w:type="dxa"/>
            <w:tcBorders>
              <w:top w:val="nil"/>
              <w:left w:val="nil"/>
              <w:bottom w:val="nil"/>
              <w:right w:val="nil"/>
            </w:tcBorders>
            <w:noWrap/>
            <w:vAlign w:val="center"/>
            <w:hideMark/>
          </w:tcPr>
          <w:p w14:paraId="7A649F11"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p>
        </w:tc>
        <w:tc>
          <w:tcPr>
            <w:tcW w:w="2223" w:type="dxa"/>
            <w:tcBorders>
              <w:top w:val="nil"/>
              <w:left w:val="nil"/>
              <w:bottom w:val="nil"/>
              <w:right w:val="nil"/>
            </w:tcBorders>
            <w:noWrap/>
            <w:vAlign w:val="center"/>
            <w:hideMark/>
          </w:tcPr>
          <w:p w14:paraId="013746C4" w14:textId="77777777" w:rsidR="00AB4660" w:rsidRPr="00AB4660" w:rsidRDefault="00AB4660" w:rsidP="00AB4660">
            <w:pPr>
              <w:spacing w:after="0" w:line="240" w:lineRule="auto"/>
              <w:rPr>
                <w:rFonts w:ascii="Times New Roman" w:eastAsia="Times New Roman" w:hAnsi="Times New Roman" w:cs="Times New Roman"/>
                <w:kern w:val="0"/>
                <w:sz w:val="20"/>
                <w:szCs w:val="20"/>
                <w14:ligatures w14:val="none"/>
              </w:rPr>
            </w:pPr>
          </w:p>
        </w:tc>
      </w:tr>
      <w:tr w:rsidR="00AB4660" w:rsidRPr="00AB4660" w14:paraId="12EEE8D7" w14:textId="77777777" w:rsidTr="00AB4660">
        <w:trPr>
          <w:trHeight w:val="274"/>
        </w:trPr>
        <w:tc>
          <w:tcPr>
            <w:tcW w:w="4636" w:type="dxa"/>
            <w:tcBorders>
              <w:top w:val="nil"/>
              <w:left w:val="nil"/>
              <w:bottom w:val="nil"/>
              <w:right w:val="nil"/>
            </w:tcBorders>
            <w:noWrap/>
            <w:vAlign w:val="center"/>
            <w:hideMark/>
          </w:tcPr>
          <w:p w14:paraId="3499EB9C"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Good (≥5)</w:t>
            </w:r>
          </w:p>
        </w:tc>
        <w:tc>
          <w:tcPr>
            <w:tcW w:w="1541" w:type="dxa"/>
            <w:tcBorders>
              <w:top w:val="nil"/>
              <w:left w:val="nil"/>
              <w:bottom w:val="nil"/>
              <w:right w:val="nil"/>
            </w:tcBorders>
            <w:noWrap/>
            <w:vAlign w:val="center"/>
            <w:hideMark/>
          </w:tcPr>
          <w:p w14:paraId="0FF094A5"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118</w:t>
            </w:r>
          </w:p>
        </w:tc>
        <w:tc>
          <w:tcPr>
            <w:tcW w:w="2223" w:type="dxa"/>
            <w:tcBorders>
              <w:top w:val="nil"/>
              <w:left w:val="nil"/>
              <w:bottom w:val="nil"/>
              <w:right w:val="nil"/>
            </w:tcBorders>
            <w:noWrap/>
            <w:vAlign w:val="center"/>
            <w:hideMark/>
          </w:tcPr>
          <w:p w14:paraId="1B8330AC"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29.1</w:t>
            </w:r>
          </w:p>
        </w:tc>
      </w:tr>
      <w:tr w:rsidR="00AB4660" w:rsidRPr="00AB4660" w14:paraId="1BDC6BD1" w14:textId="77777777" w:rsidTr="00AB4660">
        <w:trPr>
          <w:trHeight w:val="274"/>
        </w:trPr>
        <w:tc>
          <w:tcPr>
            <w:tcW w:w="4636" w:type="dxa"/>
            <w:tcBorders>
              <w:top w:val="nil"/>
              <w:left w:val="nil"/>
              <w:bottom w:val="nil"/>
              <w:right w:val="nil"/>
            </w:tcBorders>
            <w:noWrap/>
            <w:vAlign w:val="center"/>
            <w:hideMark/>
          </w:tcPr>
          <w:p w14:paraId="726735FA"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Fair (3–4)</w:t>
            </w:r>
          </w:p>
        </w:tc>
        <w:tc>
          <w:tcPr>
            <w:tcW w:w="1541" w:type="dxa"/>
            <w:tcBorders>
              <w:top w:val="nil"/>
              <w:left w:val="nil"/>
              <w:bottom w:val="nil"/>
              <w:right w:val="nil"/>
            </w:tcBorders>
            <w:noWrap/>
            <w:vAlign w:val="center"/>
            <w:hideMark/>
          </w:tcPr>
          <w:p w14:paraId="7C8EA8A9"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149</w:t>
            </w:r>
          </w:p>
        </w:tc>
        <w:tc>
          <w:tcPr>
            <w:tcW w:w="2223" w:type="dxa"/>
            <w:tcBorders>
              <w:top w:val="nil"/>
              <w:left w:val="nil"/>
              <w:bottom w:val="nil"/>
              <w:right w:val="nil"/>
            </w:tcBorders>
            <w:noWrap/>
            <w:vAlign w:val="center"/>
            <w:hideMark/>
          </w:tcPr>
          <w:p w14:paraId="07E94A84"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36.8</w:t>
            </w:r>
          </w:p>
        </w:tc>
      </w:tr>
      <w:tr w:rsidR="00AB4660" w:rsidRPr="00AB4660" w14:paraId="36383E4C" w14:textId="77777777" w:rsidTr="00AB4660">
        <w:trPr>
          <w:trHeight w:val="284"/>
        </w:trPr>
        <w:tc>
          <w:tcPr>
            <w:tcW w:w="4636" w:type="dxa"/>
            <w:tcBorders>
              <w:top w:val="nil"/>
              <w:left w:val="nil"/>
              <w:bottom w:val="single" w:sz="8" w:space="0" w:color="auto"/>
              <w:right w:val="nil"/>
            </w:tcBorders>
            <w:noWrap/>
            <w:vAlign w:val="center"/>
            <w:hideMark/>
          </w:tcPr>
          <w:p w14:paraId="7220FDCD"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Poor (≤2)</w:t>
            </w:r>
          </w:p>
        </w:tc>
        <w:tc>
          <w:tcPr>
            <w:tcW w:w="1541" w:type="dxa"/>
            <w:tcBorders>
              <w:top w:val="nil"/>
              <w:left w:val="nil"/>
              <w:bottom w:val="single" w:sz="8" w:space="0" w:color="auto"/>
              <w:right w:val="nil"/>
            </w:tcBorders>
            <w:noWrap/>
            <w:vAlign w:val="center"/>
            <w:hideMark/>
          </w:tcPr>
          <w:p w14:paraId="76B5893F"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138</w:t>
            </w:r>
          </w:p>
        </w:tc>
        <w:tc>
          <w:tcPr>
            <w:tcW w:w="2223" w:type="dxa"/>
            <w:tcBorders>
              <w:top w:val="nil"/>
              <w:left w:val="nil"/>
              <w:bottom w:val="single" w:sz="8" w:space="0" w:color="auto"/>
              <w:right w:val="nil"/>
            </w:tcBorders>
            <w:noWrap/>
            <w:vAlign w:val="center"/>
            <w:hideMark/>
          </w:tcPr>
          <w:p w14:paraId="2D5F25C2"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34.1</w:t>
            </w:r>
          </w:p>
        </w:tc>
      </w:tr>
    </w:tbl>
    <w:p w14:paraId="5D6CB615" w14:textId="328C4013" w:rsidR="00E67457" w:rsidRPr="00E67457" w:rsidRDefault="00E67457" w:rsidP="00E67457">
      <w:pPr>
        <w:rPr>
          <w:rFonts w:ascii="Arial" w:hAnsi="Arial" w:cs="Arial"/>
          <w:sz w:val="20"/>
          <w:szCs w:val="20"/>
        </w:rPr>
      </w:pPr>
    </w:p>
    <w:p w14:paraId="2E923E96" w14:textId="72D14FE1" w:rsidR="00E67457" w:rsidRPr="00E67457" w:rsidRDefault="00E67457" w:rsidP="00E67457">
      <w:pPr>
        <w:rPr>
          <w:rFonts w:ascii="Arial" w:hAnsi="Arial" w:cs="Arial"/>
          <w:b/>
          <w:bCs/>
          <w:sz w:val="20"/>
          <w:szCs w:val="20"/>
        </w:rPr>
      </w:pPr>
      <w:r w:rsidRPr="00E67457">
        <w:rPr>
          <w:rFonts w:ascii="Arial" w:hAnsi="Arial" w:cs="Arial"/>
          <w:b/>
          <w:bCs/>
          <w:sz w:val="20"/>
          <w:szCs w:val="20"/>
        </w:rPr>
        <w:t>Nutritional Status of Infants</w:t>
      </w:r>
    </w:p>
    <w:p w14:paraId="3B77DD1B" w14:textId="77777777" w:rsidR="00E67457" w:rsidRPr="00E67457" w:rsidRDefault="00E67457" w:rsidP="00E67457">
      <w:pPr>
        <w:rPr>
          <w:rFonts w:ascii="Arial" w:hAnsi="Arial" w:cs="Arial"/>
          <w:sz w:val="20"/>
          <w:szCs w:val="20"/>
        </w:rPr>
      </w:pPr>
      <w:r w:rsidRPr="00E67457">
        <w:rPr>
          <w:rFonts w:ascii="Arial" w:hAnsi="Arial" w:cs="Arial"/>
          <w:sz w:val="20"/>
          <w:szCs w:val="20"/>
        </w:rPr>
        <w:t>Infant anthropometric data are shown in Table 4. The prevalence of underweight was 16.3%, stunting 22.2%, and wasting 9.4%.</w:t>
      </w:r>
    </w:p>
    <w:p w14:paraId="006A1BC5" w14:textId="77777777" w:rsidR="00E67457" w:rsidRPr="00E67457" w:rsidRDefault="00E67457" w:rsidP="00E67457">
      <w:pPr>
        <w:rPr>
          <w:rFonts w:ascii="Arial" w:hAnsi="Arial" w:cs="Arial"/>
          <w:sz w:val="20"/>
          <w:szCs w:val="20"/>
        </w:rPr>
      </w:pPr>
      <w:r w:rsidRPr="00E67457">
        <w:rPr>
          <w:rFonts w:ascii="Arial" w:hAnsi="Arial" w:cs="Arial"/>
          <w:sz w:val="20"/>
          <w:szCs w:val="20"/>
        </w:rPr>
        <w:t>Table 4: Nutritional Status of Infants (N = 405)</w:t>
      </w:r>
    </w:p>
    <w:tbl>
      <w:tblPr>
        <w:tblW w:w="7876" w:type="dxa"/>
        <w:tblBorders>
          <w:top w:val="single" w:sz="4" w:space="0" w:color="auto"/>
          <w:bottom w:val="single" w:sz="4" w:space="0" w:color="auto"/>
        </w:tblBorders>
        <w:tblLook w:val="04A0" w:firstRow="1" w:lastRow="0" w:firstColumn="1" w:lastColumn="0" w:noHBand="0" w:noVBand="1"/>
      </w:tblPr>
      <w:tblGrid>
        <w:gridCol w:w="3659"/>
        <w:gridCol w:w="1933"/>
        <w:gridCol w:w="2284"/>
      </w:tblGrid>
      <w:tr w:rsidR="001639A9" w:rsidRPr="0001148C" w14:paraId="23A1F4CE" w14:textId="77777777" w:rsidTr="001406EC">
        <w:trPr>
          <w:trHeight w:val="257"/>
        </w:trPr>
        <w:tc>
          <w:tcPr>
            <w:tcW w:w="3659" w:type="dxa"/>
            <w:tcBorders>
              <w:top w:val="single" w:sz="4" w:space="0" w:color="auto"/>
              <w:bottom w:val="single" w:sz="4" w:space="0" w:color="auto"/>
            </w:tcBorders>
            <w:vAlign w:val="center"/>
            <w:hideMark/>
          </w:tcPr>
          <w:p w14:paraId="452DB1A0"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Indicator (WHO cut-offs)</w:t>
            </w:r>
          </w:p>
        </w:tc>
        <w:tc>
          <w:tcPr>
            <w:tcW w:w="1933" w:type="dxa"/>
            <w:tcBorders>
              <w:top w:val="single" w:sz="4" w:space="0" w:color="auto"/>
              <w:bottom w:val="single" w:sz="4" w:space="0" w:color="auto"/>
            </w:tcBorders>
            <w:vAlign w:val="center"/>
            <w:hideMark/>
          </w:tcPr>
          <w:p w14:paraId="0504337A"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Frequency (n)</w:t>
            </w:r>
          </w:p>
        </w:tc>
        <w:tc>
          <w:tcPr>
            <w:tcW w:w="2284" w:type="dxa"/>
            <w:tcBorders>
              <w:top w:val="single" w:sz="4" w:space="0" w:color="auto"/>
              <w:bottom w:val="single" w:sz="4" w:space="0" w:color="auto"/>
            </w:tcBorders>
            <w:vAlign w:val="center"/>
            <w:hideMark/>
          </w:tcPr>
          <w:p w14:paraId="0D377576"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Percentage (%)</w:t>
            </w:r>
          </w:p>
        </w:tc>
      </w:tr>
      <w:tr w:rsidR="001639A9" w:rsidRPr="0001148C" w14:paraId="395B5685" w14:textId="77777777" w:rsidTr="001406EC">
        <w:trPr>
          <w:trHeight w:val="257"/>
        </w:trPr>
        <w:tc>
          <w:tcPr>
            <w:tcW w:w="3659" w:type="dxa"/>
            <w:tcBorders>
              <w:top w:val="single" w:sz="4" w:space="0" w:color="auto"/>
            </w:tcBorders>
            <w:vAlign w:val="center"/>
            <w:hideMark/>
          </w:tcPr>
          <w:p w14:paraId="17393A83"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Underweight (WAZ &lt; -2 SD)</w:t>
            </w:r>
          </w:p>
        </w:tc>
        <w:tc>
          <w:tcPr>
            <w:tcW w:w="1933" w:type="dxa"/>
            <w:tcBorders>
              <w:top w:val="single" w:sz="4" w:space="0" w:color="auto"/>
            </w:tcBorders>
            <w:vAlign w:val="center"/>
            <w:hideMark/>
          </w:tcPr>
          <w:p w14:paraId="0986657F"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66</w:t>
            </w:r>
          </w:p>
        </w:tc>
        <w:tc>
          <w:tcPr>
            <w:tcW w:w="2284" w:type="dxa"/>
            <w:tcBorders>
              <w:top w:val="single" w:sz="4" w:space="0" w:color="auto"/>
            </w:tcBorders>
            <w:vAlign w:val="center"/>
            <w:hideMark/>
          </w:tcPr>
          <w:p w14:paraId="03F06B91"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16.3</w:t>
            </w:r>
          </w:p>
        </w:tc>
      </w:tr>
      <w:tr w:rsidR="001639A9" w:rsidRPr="0001148C" w14:paraId="4CD23360" w14:textId="77777777" w:rsidTr="001406EC">
        <w:trPr>
          <w:trHeight w:val="257"/>
        </w:trPr>
        <w:tc>
          <w:tcPr>
            <w:tcW w:w="3659" w:type="dxa"/>
            <w:vAlign w:val="center"/>
            <w:hideMark/>
          </w:tcPr>
          <w:p w14:paraId="0012F2AE"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Normal weight (≥ -2 SD)</w:t>
            </w:r>
          </w:p>
        </w:tc>
        <w:tc>
          <w:tcPr>
            <w:tcW w:w="1933" w:type="dxa"/>
            <w:vAlign w:val="center"/>
            <w:hideMark/>
          </w:tcPr>
          <w:p w14:paraId="71F49FD3"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339</w:t>
            </w:r>
          </w:p>
        </w:tc>
        <w:tc>
          <w:tcPr>
            <w:tcW w:w="2284" w:type="dxa"/>
            <w:vAlign w:val="center"/>
            <w:hideMark/>
          </w:tcPr>
          <w:p w14:paraId="50A45EB5"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83.7</w:t>
            </w:r>
          </w:p>
        </w:tc>
      </w:tr>
      <w:tr w:rsidR="001639A9" w:rsidRPr="0001148C" w14:paraId="37745B35" w14:textId="77777777" w:rsidTr="001406EC">
        <w:trPr>
          <w:trHeight w:val="257"/>
        </w:trPr>
        <w:tc>
          <w:tcPr>
            <w:tcW w:w="3659" w:type="dxa"/>
            <w:vAlign w:val="center"/>
            <w:hideMark/>
          </w:tcPr>
          <w:p w14:paraId="3709B9C0"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Stunted (LAZ &lt; -2 SD)</w:t>
            </w:r>
          </w:p>
        </w:tc>
        <w:tc>
          <w:tcPr>
            <w:tcW w:w="1933" w:type="dxa"/>
            <w:vAlign w:val="center"/>
            <w:hideMark/>
          </w:tcPr>
          <w:p w14:paraId="0B27C65B"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90</w:t>
            </w:r>
          </w:p>
        </w:tc>
        <w:tc>
          <w:tcPr>
            <w:tcW w:w="2284" w:type="dxa"/>
            <w:vAlign w:val="center"/>
            <w:hideMark/>
          </w:tcPr>
          <w:p w14:paraId="0FF14F1A"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22.2</w:t>
            </w:r>
          </w:p>
        </w:tc>
      </w:tr>
      <w:tr w:rsidR="001639A9" w:rsidRPr="0001148C" w14:paraId="0C7DDDA6" w14:textId="77777777" w:rsidTr="001406EC">
        <w:trPr>
          <w:trHeight w:val="257"/>
        </w:trPr>
        <w:tc>
          <w:tcPr>
            <w:tcW w:w="3659" w:type="dxa"/>
            <w:vAlign w:val="center"/>
            <w:hideMark/>
          </w:tcPr>
          <w:p w14:paraId="05DBD407"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Not stunted (≥ -2 SD)</w:t>
            </w:r>
          </w:p>
        </w:tc>
        <w:tc>
          <w:tcPr>
            <w:tcW w:w="1933" w:type="dxa"/>
            <w:vAlign w:val="center"/>
            <w:hideMark/>
          </w:tcPr>
          <w:p w14:paraId="5D61C6DD"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315</w:t>
            </w:r>
          </w:p>
        </w:tc>
        <w:tc>
          <w:tcPr>
            <w:tcW w:w="2284" w:type="dxa"/>
            <w:vAlign w:val="center"/>
            <w:hideMark/>
          </w:tcPr>
          <w:p w14:paraId="0B170094"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77.8</w:t>
            </w:r>
          </w:p>
        </w:tc>
      </w:tr>
      <w:tr w:rsidR="001639A9" w:rsidRPr="0001148C" w14:paraId="5150C29A" w14:textId="77777777" w:rsidTr="001406EC">
        <w:trPr>
          <w:trHeight w:val="257"/>
        </w:trPr>
        <w:tc>
          <w:tcPr>
            <w:tcW w:w="3659" w:type="dxa"/>
            <w:vAlign w:val="center"/>
            <w:hideMark/>
          </w:tcPr>
          <w:p w14:paraId="53ACDF67"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Wasted (WLZ &lt; -2 SD)</w:t>
            </w:r>
          </w:p>
        </w:tc>
        <w:tc>
          <w:tcPr>
            <w:tcW w:w="1933" w:type="dxa"/>
            <w:vAlign w:val="center"/>
            <w:hideMark/>
          </w:tcPr>
          <w:p w14:paraId="2A0351CE"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38</w:t>
            </w:r>
          </w:p>
        </w:tc>
        <w:tc>
          <w:tcPr>
            <w:tcW w:w="2284" w:type="dxa"/>
            <w:vAlign w:val="center"/>
            <w:hideMark/>
          </w:tcPr>
          <w:p w14:paraId="5C660814"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9.4</w:t>
            </w:r>
          </w:p>
        </w:tc>
      </w:tr>
      <w:tr w:rsidR="001639A9" w:rsidRPr="0001148C" w14:paraId="3E64A61F" w14:textId="77777777" w:rsidTr="001406EC">
        <w:trPr>
          <w:trHeight w:val="257"/>
        </w:trPr>
        <w:tc>
          <w:tcPr>
            <w:tcW w:w="3659" w:type="dxa"/>
            <w:vAlign w:val="center"/>
            <w:hideMark/>
          </w:tcPr>
          <w:p w14:paraId="224677E5"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Not wasted (≥ -2 SD)</w:t>
            </w:r>
          </w:p>
        </w:tc>
        <w:tc>
          <w:tcPr>
            <w:tcW w:w="1933" w:type="dxa"/>
            <w:vAlign w:val="center"/>
            <w:hideMark/>
          </w:tcPr>
          <w:p w14:paraId="04725FE4"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367</w:t>
            </w:r>
          </w:p>
        </w:tc>
        <w:tc>
          <w:tcPr>
            <w:tcW w:w="2284" w:type="dxa"/>
            <w:vAlign w:val="center"/>
            <w:hideMark/>
          </w:tcPr>
          <w:p w14:paraId="32D55D2F"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90.6</w:t>
            </w:r>
          </w:p>
        </w:tc>
      </w:tr>
    </w:tbl>
    <w:p w14:paraId="2B7CEE5E" w14:textId="77777777" w:rsidR="001406EC" w:rsidRDefault="001406EC" w:rsidP="00E67457">
      <w:pPr>
        <w:rPr>
          <w:rFonts w:ascii="Arial" w:hAnsi="Arial" w:cs="Arial"/>
          <w:sz w:val="20"/>
          <w:szCs w:val="20"/>
        </w:rPr>
      </w:pPr>
    </w:p>
    <w:p w14:paraId="03E46100" w14:textId="402A2291" w:rsidR="00E67457" w:rsidRPr="00E67457" w:rsidRDefault="00E67457" w:rsidP="00E67457">
      <w:pPr>
        <w:rPr>
          <w:rFonts w:ascii="Arial" w:hAnsi="Arial" w:cs="Arial"/>
          <w:b/>
          <w:bCs/>
          <w:sz w:val="20"/>
          <w:szCs w:val="20"/>
        </w:rPr>
      </w:pPr>
      <w:r w:rsidRPr="00E67457">
        <w:rPr>
          <w:rFonts w:ascii="Arial" w:hAnsi="Arial" w:cs="Arial"/>
          <w:b/>
          <w:bCs/>
          <w:sz w:val="20"/>
          <w:szCs w:val="20"/>
        </w:rPr>
        <w:t>Multivariate Logistic Regression Analysis</w:t>
      </w:r>
    </w:p>
    <w:p w14:paraId="6B69E90E" w14:textId="77777777" w:rsidR="00E67457" w:rsidRPr="00E67457" w:rsidRDefault="00E67457" w:rsidP="00E67457">
      <w:pPr>
        <w:rPr>
          <w:rFonts w:ascii="Arial" w:hAnsi="Arial" w:cs="Arial"/>
          <w:sz w:val="20"/>
          <w:szCs w:val="20"/>
        </w:rPr>
      </w:pPr>
      <w:r w:rsidRPr="00E67457">
        <w:rPr>
          <w:rFonts w:ascii="Arial" w:hAnsi="Arial" w:cs="Arial"/>
          <w:sz w:val="20"/>
          <w:szCs w:val="20"/>
        </w:rPr>
        <w:t>A logistic regression model was fitted with infant malnutrition (any form: underweight, wasting, or stunting) as the dependent variable. Independent variables included maternal knowledge score, feeding practice score, age, marital status, education, occupation, parity, counseling, place of delivery, mode of delivery, antenatal care attendance, infant age, and infant sex.</w:t>
      </w:r>
    </w:p>
    <w:p w14:paraId="591EB6CB" w14:textId="1AB171E0" w:rsidR="00E67457" w:rsidRPr="00E67457" w:rsidRDefault="00E67457" w:rsidP="00E67457">
      <w:pPr>
        <w:rPr>
          <w:rFonts w:ascii="Arial" w:hAnsi="Arial" w:cs="Arial"/>
          <w:sz w:val="20"/>
          <w:szCs w:val="20"/>
        </w:rPr>
      </w:pPr>
      <w:r w:rsidRPr="00E67457">
        <w:rPr>
          <w:rFonts w:ascii="Arial" w:hAnsi="Arial" w:cs="Arial"/>
          <w:sz w:val="20"/>
          <w:szCs w:val="20"/>
        </w:rPr>
        <w:t>After adjustment, low knowledge, poor feeding practices, low maternal education, farming/housewife occupations, high parity (≥4), home delivery, &lt;4 ANC visits, and older infant age (12–23 months) were significant predictors of malnutrition</w:t>
      </w:r>
      <w:r w:rsidR="00A12D0C">
        <w:rPr>
          <w:rFonts w:ascii="Arial" w:hAnsi="Arial" w:cs="Arial"/>
          <w:sz w:val="20"/>
          <w:szCs w:val="20"/>
        </w:rPr>
        <w:t xml:space="preserve"> (Table 5)</w:t>
      </w:r>
      <w:r w:rsidRPr="00E67457">
        <w:rPr>
          <w:rFonts w:ascii="Arial" w:hAnsi="Arial" w:cs="Arial"/>
          <w:sz w:val="20"/>
          <w:szCs w:val="20"/>
        </w:rPr>
        <w:t>.</w:t>
      </w:r>
    </w:p>
    <w:p w14:paraId="0A577B91" w14:textId="77777777" w:rsidR="00E67457" w:rsidRPr="00E67457" w:rsidRDefault="00E67457" w:rsidP="00E67457">
      <w:pPr>
        <w:rPr>
          <w:rFonts w:ascii="Arial" w:hAnsi="Arial" w:cs="Arial"/>
          <w:sz w:val="20"/>
          <w:szCs w:val="20"/>
        </w:rPr>
      </w:pPr>
      <w:r w:rsidRPr="00E67457">
        <w:rPr>
          <w:rFonts w:ascii="Arial" w:hAnsi="Arial" w:cs="Arial"/>
          <w:sz w:val="20"/>
          <w:szCs w:val="20"/>
        </w:rPr>
        <w:t>Table 5: Multivariate Logistic Regression Predictors of Infant Malnutrition (N = 405)</w:t>
      </w:r>
    </w:p>
    <w:tbl>
      <w:tblPr>
        <w:tblW w:w="8879" w:type="dxa"/>
        <w:tblInd w:w="108" w:type="dxa"/>
        <w:tblBorders>
          <w:bottom w:val="single" w:sz="4" w:space="0" w:color="auto"/>
        </w:tblBorders>
        <w:tblLook w:val="04A0" w:firstRow="1" w:lastRow="0" w:firstColumn="1" w:lastColumn="0" w:noHBand="0" w:noVBand="1"/>
      </w:tblPr>
      <w:tblGrid>
        <w:gridCol w:w="2700"/>
        <w:gridCol w:w="2430"/>
        <w:gridCol w:w="1309"/>
        <w:gridCol w:w="1220"/>
        <w:gridCol w:w="1220"/>
      </w:tblGrid>
      <w:tr w:rsidR="004C6551" w:rsidRPr="00EB026E" w14:paraId="148B4434" w14:textId="77777777" w:rsidTr="004C6551">
        <w:trPr>
          <w:trHeight w:val="290"/>
        </w:trPr>
        <w:tc>
          <w:tcPr>
            <w:tcW w:w="2700" w:type="dxa"/>
            <w:tcBorders>
              <w:top w:val="single" w:sz="4" w:space="0" w:color="auto"/>
              <w:bottom w:val="single" w:sz="4" w:space="0" w:color="auto"/>
            </w:tcBorders>
            <w:noWrap/>
            <w:vAlign w:val="center"/>
            <w:hideMark/>
          </w:tcPr>
          <w:p w14:paraId="421A5CE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Variable</w:t>
            </w:r>
          </w:p>
        </w:tc>
        <w:tc>
          <w:tcPr>
            <w:tcW w:w="2430" w:type="dxa"/>
            <w:tcBorders>
              <w:top w:val="single" w:sz="4" w:space="0" w:color="auto"/>
              <w:bottom w:val="single" w:sz="4" w:space="0" w:color="auto"/>
            </w:tcBorders>
            <w:noWrap/>
            <w:vAlign w:val="center"/>
            <w:hideMark/>
          </w:tcPr>
          <w:p w14:paraId="086A6D3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Category</w:t>
            </w:r>
          </w:p>
        </w:tc>
        <w:tc>
          <w:tcPr>
            <w:tcW w:w="1309" w:type="dxa"/>
            <w:tcBorders>
              <w:top w:val="single" w:sz="4" w:space="0" w:color="auto"/>
              <w:bottom w:val="single" w:sz="4" w:space="0" w:color="auto"/>
            </w:tcBorders>
            <w:noWrap/>
            <w:vAlign w:val="center"/>
            <w:hideMark/>
          </w:tcPr>
          <w:p w14:paraId="75ECE7BD"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AOR</w:t>
            </w:r>
          </w:p>
        </w:tc>
        <w:tc>
          <w:tcPr>
            <w:tcW w:w="1220" w:type="dxa"/>
            <w:tcBorders>
              <w:top w:val="single" w:sz="4" w:space="0" w:color="auto"/>
              <w:bottom w:val="single" w:sz="4" w:space="0" w:color="auto"/>
            </w:tcBorders>
            <w:noWrap/>
            <w:vAlign w:val="center"/>
            <w:hideMark/>
          </w:tcPr>
          <w:p w14:paraId="1C833B2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95% CI</w:t>
            </w:r>
          </w:p>
        </w:tc>
        <w:tc>
          <w:tcPr>
            <w:tcW w:w="1220" w:type="dxa"/>
            <w:tcBorders>
              <w:top w:val="single" w:sz="4" w:space="0" w:color="auto"/>
              <w:bottom w:val="single" w:sz="4" w:space="0" w:color="auto"/>
            </w:tcBorders>
            <w:noWrap/>
            <w:vAlign w:val="center"/>
            <w:hideMark/>
          </w:tcPr>
          <w:p w14:paraId="71819DA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p-value</w:t>
            </w:r>
          </w:p>
        </w:tc>
      </w:tr>
      <w:tr w:rsidR="00EB026E" w:rsidRPr="00EB026E" w14:paraId="4C681D6E" w14:textId="77777777" w:rsidTr="004C6551">
        <w:trPr>
          <w:trHeight w:val="290"/>
        </w:trPr>
        <w:tc>
          <w:tcPr>
            <w:tcW w:w="2700" w:type="dxa"/>
            <w:tcBorders>
              <w:top w:val="single" w:sz="4" w:space="0" w:color="auto"/>
            </w:tcBorders>
            <w:noWrap/>
            <w:vAlign w:val="center"/>
            <w:hideMark/>
          </w:tcPr>
          <w:p w14:paraId="3DC43BA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Maternal knowledge score</w:t>
            </w:r>
          </w:p>
        </w:tc>
        <w:tc>
          <w:tcPr>
            <w:tcW w:w="2430" w:type="dxa"/>
            <w:tcBorders>
              <w:top w:val="single" w:sz="4" w:space="0" w:color="auto"/>
            </w:tcBorders>
            <w:noWrap/>
            <w:vAlign w:val="center"/>
            <w:hideMark/>
          </w:tcPr>
          <w:p w14:paraId="2C3181C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High (6–8) (Ref)</w:t>
            </w:r>
          </w:p>
        </w:tc>
        <w:tc>
          <w:tcPr>
            <w:tcW w:w="1309" w:type="dxa"/>
            <w:tcBorders>
              <w:top w:val="single" w:sz="4" w:space="0" w:color="auto"/>
            </w:tcBorders>
            <w:noWrap/>
            <w:vAlign w:val="center"/>
            <w:hideMark/>
          </w:tcPr>
          <w:p w14:paraId="024CC92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tcBorders>
              <w:top w:val="single" w:sz="4" w:space="0" w:color="auto"/>
            </w:tcBorders>
            <w:noWrap/>
            <w:vAlign w:val="center"/>
            <w:hideMark/>
          </w:tcPr>
          <w:p w14:paraId="56CC809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tcBorders>
              <w:top w:val="single" w:sz="4" w:space="0" w:color="auto"/>
            </w:tcBorders>
            <w:noWrap/>
            <w:vAlign w:val="center"/>
            <w:hideMark/>
          </w:tcPr>
          <w:p w14:paraId="7E6D9132"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10644A9B" w14:textId="77777777" w:rsidTr="004C6551">
        <w:trPr>
          <w:trHeight w:val="290"/>
        </w:trPr>
        <w:tc>
          <w:tcPr>
            <w:tcW w:w="2700" w:type="dxa"/>
            <w:noWrap/>
            <w:vAlign w:val="center"/>
            <w:hideMark/>
          </w:tcPr>
          <w:p w14:paraId="513DDEF3"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4D9EEFE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Moderate (3–5)</w:t>
            </w:r>
          </w:p>
        </w:tc>
        <w:tc>
          <w:tcPr>
            <w:tcW w:w="1309" w:type="dxa"/>
            <w:noWrap/>
            <w:vAlign w:val="center"/>
            <w:hideMark/>
          </w:tcPr>
          <w:p w14:paraId="6565A89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1.8</w:t>
            </w:r>
          </w:p>
        </w:tc>
        <w:tc>
          <w:tcPr>
            <w:tcW w:w="1220" w:type="dxa"/>
            <w:noWrap/>
            <w:vAlign w:val="center"/>
            <w:hideMark/>
          </w:tcPr>
          <w:p w14:paraId="08025E0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1.0 – 3.3</w:t>
            </w:r>
          </w:p>
        </w:tc>
        <w:tc>
          <w:tcPr>
            <w:tcW w:w="1220" w:type="dxa"/>
            <w:noWrap/>
            <w:vAlign w:val="center"/>
            <w:hideMark/>
          </w:tcPr>
          <w:p w14:paraId="5DDD5DC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0.048</w:t>
            </w:r>
          </w:p>
        </w:tc>
      </w:tr>
      <w:tr w:rsidR="00EB026E" w:rsidRPr="00EB026E" w14:paraId="3E2C9AE9" w14:textId="77777777" w:rsidTr="004C6551">
        <w:trPr>
          <w:trHeight w:val="290"/>
        </w:trPr>
        <w:tc>
          <w:tcPr>
            <w:tcW w:w="2700" w:type="dxa"/>
            <w:noWrap/>
            <w:vAlign w:val="center"/>
            <w:hideMark/>
          </w:tcPr>
          <w:p w14:paraId="728EDA92"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6D64111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Low (0–2)</w:t>
            </w:r>
          </w:p>
        </w:tc>
        <w:tc>
          <w:tcPr>
            <w:tcW w:w="1309" w:type="dxa"/>
            <w:noWrap/>
            <w:vAlign w:val="center"/>
            <w:hideMark/>
          </w:tcPr>
          <w:p w14:paraId="32EFA71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3.4</w:t>
            </w:r>
          </w:p>
        </w:tc>
        <w:tc>
          <w:tcPr>
            <w:tcW w:w="1220" w:type="dxa"/>
            <w:noWrap/>
            <w:vAlign w:val="center"/>
            <w:hideMark/>
          </w:tcPr>
          <w:p w14:paraId="2EEA2F8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1.7 – 6.6</w:t>
            </w:r>
          </w:p>
        </w:tc>
        <w:tc>
          <w:tcPr>
            <w:tcW w:w="1220" w:type="dxa"/>
            <w:noWrap/>
            <w:vAlign w:val="center"/>
            <w:hideMark/>
          </w:tcPr>
          <w:p w14:paraId="692EA99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0.001</w:t>
            </w:r>
          </w:p>
        </w:tc>
      </w:tr>
      <w:tr w:rsidR="00EB026E" w:rsidRPr="00EB026E" w14:paraId="670952B5" w14:textId="77777777" w:rsidTr="004C6551">
        <w:trPr>
          <w:trHeight w:val="290"/>
        </w:trPr>
        <w:tc>
          <w:tcPr>
            <w:tcW w:w="2700" w:type="dxa"/>
            <w:noWrap/>
            <w:vAlign w:val="center"/>
            <w:hideMark/>
          </w:tcPr>
          <w:p w14:paraId="503FB80E"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Feeding practice score</w:t>
            </w:r>
          </w:p>
        </w:tc>
        <w:tc>
          <w:tcPr>
            <w:tcW w:w="2430" w:type="dxa"/>
            <w:noWrap/>
            <w:vAlign w:val="center"/>
            <w:hideMark/>
          </w:tcPr>
          <w:p w14:paraId="3784E20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Good (≥5) (Ref)</w:t>
            </w:r>
          </w:p>
        </w:tc>
        <w:tc>
          <w:tcPr>
            <w:tcW w:w="1309" w:type="dxa"/>
            <w:noWrap/>
            <w:vAlign w:val="center"/>
            <w:hideMark/>
          </w:tcPr>
          <w:p w14:paraId="7FDF0FE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2B73404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7F75D8C1"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11E0E044" w14:textId="77777777" w:rsidTr="004C6551">
        <w:trPr>
          <w:trHeight w:val="290"/>
        </w:trPr>
        <w:tc>
          <w:tcPr>
            <w:tcW w:w="2700" w:type="dxa"/>
            <w:noWrap/>
            <w:vAlign w:val="center"/>
            <w:hideMark/>
          </w:tcPr>
          <w:p w14:paraId="6BB6C77D"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5E0FE92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Fair (3–4)</w:t>
            </w:r>
          </w:p>
        </w:tc>
        <w:tc>
          <w:tcPr>
            <w:tcW w:w="1309" w:type="dxa"/>
            <w:noWrap/>
            <w:vAlign w:val="center"/>
            <w:hideMark/>
          </w:tcPr>
          <w:p w14:paraId="2370D9A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2.2</w:t>
            </w:r>
          </w:p>
        </w:tc>
        <w:tc>
          <w:tcPr>
            <w:tcW w:w="1220" w:type="dxa"/>
            <w:noWrap/>
            <w:vAlign w:val="center"/>
            <w:hideMark/>
          </w:tcPr>
          <w:p w14:paraId="3B5BD7D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1.2 – 4.0</w:t>
            </w:r>
          </w:p>
        </w:tc>
        <w:tc>
          <w:tcPr>
            <w:tcW w:w="1220" w:type="dxa"/>
            <w:noWrap/>
            <w:vAlign w:val="center"/>
            <w:hideMark/>
          </w:tcPr>
          <w:p w14:paraId="4D74B8C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0.008</w:t>
            </w:r>
          </w:p>
        </w:tc>
      </w:tr>
      <w:tr w:rsidR="00EB026E" w:rsidRPr="00EB026E" w14:paraId="70319E2C" w14:textId="77777777" w:rsidTr="004C6551">
        <w:trPr>
          <w:trHeight w:val="290"/>
        </w:trPr>
        <w:tc>
          <w:tcPr>
            <w:tcW w:w="2700" w:type="dxa"/>
            <w:noWrap/>
            <w:vAlign w:val="center"/>
            <w:hideMark/>
          </w:tcPr>
          <w:p w14:paraId="7B0858D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0A45C6B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Poor (≤2)</w:t>
            </w:r>
          </w:p>
        </w:tc>
        <w:tc>
          <w:tcPr>
            <w:tcW w:w="1309" w:type="dxa"/>
            <w:noWrap/>
            <w:vAlign w:val="center"/>
            <w:hideMark/>
          </w:tcPr>
          <w:p w14:paraId="31E434F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4.5</w:t>
            </w:r>
          </w:p>
        </w:tc>
        <w:tc>
          <w:tcPr>
            <w:tcW w:w="1220" w:type="dxa"/>
            <w:noWrap/>
            <w:vAlign w:val="center"/>
            <w:hideMark/>
          </w:tcPr>
          <w:p w14:paraId="1AD0B83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2.3 – 8.8</w:t>
            </w:r>
          </w:p>
        </w:tc>
        <w:tc>
          <w:tcPr>
            <w:tcW w:w="1220" w:type="dxa"/>
            <w:noWrap/>
            <w:vAlign w:val="center"/>
            <w:hideMark/>
          </w:tcPr>
          <w:p w14:paraId="54377FE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&lt;0.001</w:t>
            </w:r>
          </w:p>
        </w:tc>
      </w:tr>
      <w:tr w:rsidR="00EB026E" w:rsidRPr="00EB026E" w14:paraId="663B27AA" w14:textId="77777777" w:rsidTr="004C6551">
        <w:trPr>
          <w:trHeight w:val="290"/>
        </w:trPr>
        <w:tc>
          <w:tcPr>
            <w:tcW w:w="2700" w:type="dxa"/>
            <w:noWrap/>
            <w:vAlign w:val="center"/>
            <w:hideMark/>
          </w:tcPr>
          <w:p w14:paraId="3A8DEA1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Maternal education</w:t>
            </w:r>
          </w:p>
        </w:tc>
        <w:tc>
          <w:tcPr>
            <w:tcW w:w="2430" w:type="dxa"/>
            <w:noWrap/>
            <w:vAlign w:val="center"/>
            <w:hideMark/>
          </w:tcPr>
          <w:p w14:paraId="715AEBD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Tertiary (Ref)</w:t>
            </w:r>
          </w:p>
        </w:tc>
        <w:tc>
          <w:tcPr>
            <w:tcW w:w="1309" w:type="dxa"/>
            <w:noWrap/>
            <w:vAlign w:val="center"/>
            <w:hideMark/>
          </w:tcPr>
          <w:p w14:paraId="481695B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257B263D"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0076BCF1"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1374DB52" w14:textId="77777777" w:rsidTr="004C6551">
        <w:trPr>
          <w:trHeight w:val="290"/>
        </w:trPr>
        <w:tc>
          <w:tcPr>
            <w:tcW w:w="2700" w:type="dxa"/>
            <w:noWrap/>
            <w:vAlign w:val="center"/>
            <w:hideMark/>
          </w:tcPr>
          <w:p w14:paraId="066D94DB"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34F44A4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Secondary</w:t>
            </w:r>
          </w:p>
        </w:tc>
        <w:tc>
          <w:tcPr>
            <w:tcW w:w="1309" w:type="dxa"/>
            <w:noWrap/>
            <w:vAlign w:val="center"/>
            <w:hideMark/>
          </w:tcPr>
          <w:p w14:paraId="1AD38DB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1.3</w:t>
            </w:r>
          </w:p>
        </w:tc>
        <w:tc>
          <w:tcPr>
            <w:tcW w:w="1220" w:type="dxa"/>
            <w:noWrap/>
            <w:vAlign w:val="center"/>
            <w:hideMark/>
          </w:tcPr>
          <w:p w14:paraId="40F1921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0.6 – 2.7</w:t>
            </w:r>
          </w:p>
        </w:tc>
        <w:tc>
          <w:tcPr>
            <w:tcW w:w="1220" w:type="dxa"/>
            <w:noWrap/>
            <w:vAlign w:val="center"/>
            <w:hideMark/>
          </w:tcPr>
          <w:p w14:paraId="0E7E043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0.492</w:t>
            </w:r>
          </w:p>
        </w:tc>
      </w:tr>
      <w:tr w:rsidR="00EB026E" w:rsidRPr="00EB026E" w14:paraId="5CE9B3B5" w14:textId="77777777" w:rsidTr="004C6551">
        <w:trPr>
          <w:trHeight w:val="290"/>
        </w:trPr>
        <w:tc>
          <w:tcPr>
            <w:tcW w:w="2700" w:type="dxa"/>
            <w:noWrap/>
            <w:vAlign w:val="center"/>
            <w:hideMark/>
          </w:tcPr>
          <w:p w14:paraId="050E9FC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1D133CC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Primary</w:t>
            </w:r>
          </w:p>
        </w:tc>
        <w:tc>
          <w:tcPr>
            <w:tcW w:w="1309" w:type="dxa"/>
            <w:noWrap/>
            <w:vAlign w:val="center"/>
            <w:hideMark/>
          </w:tcPr>
          <w:p w14:paraId="060E6DD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2.1</w:t>
            </w:r>
          </w:p>
        </w:tc>
        <w:tc>
          <w:tcPr>
            <w:tcW w:w="1220" w:type="dxa"/>
            <w:noWrap/>
            <w:vAlign w:val="center"/>
            <w:hideMark/>
          </w:tcPr>
          <w:p w14:paraId="72988DA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1.0 – 4.3</w:t>
            </w:r>
          </w:p>
        </w:tc>
        <w:tc>
          <w:tcPr>
            <w:tcW w:w="1220" w:type="dxa"/>
            <w:noWrap/>
            <w:vAlign w:val="center"/>
            <w:hideMark/>
          </w:tcPr>
          <w:p w14:paraId="617EEA2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0.041</w:t>
            </w:r>
          </w:p>
        </w:tc>
      </w:tr>
      <w:tr w:rsidR="00EB026E" w:rsidRPr="00EB026E" w14:paraId="519E3BD3" w14:textId="77777777" w:rsidTr="004C6551">
        <w:trPr>
          <w:trHeight w:val="290"/>
        </w:trPr>
        <w:tc>
          <w:tcPr>
            <w:tcW w:w="2700" w:type="dxa"/>
            <w:noWrap/>
            <w:vAlign w:val="center"/>
            <w:hideMark/>
          </w:tcPr>
          <w:p w14:paraId="0CA002E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719CB4E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No formal education</w:t>
            </w:r>
          </w:p>
        </w:tc>
        <w:tc>
          <w:tcPr>
            <w:tcW w:w="1309" w:type="dxa"/>
            <w:noWrap/>
            <w:vAlign w:val="center"/>
            <w:hideMark/>
          </w:tcPr>
          <w:p w14:paraId="23D40ED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2.9</w:t>
            </w:r>
          </w:p>
        </w:tc>
        <w:tc>
          <w:tcPr>
            <w:tcW w:w="1220" w:type="dxa"/>
            <w:noWrap/>
            <w:vAlign w:val="center"/>
            <w:hideMark/>
          </w:tcPr>
          <w:p w14:paraId="1949B4D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1.4 – 6.0</w:t>
            </w:r>
          </w:p>
        </w:tc>
        <w:tc>
          <w:tcPr>
            <w:tcW w:w="1220" w:type="dxa"/>
            <w:noWrap/>
            <w:vAlign w:val="center"/>
            <w:hideMark/>
          </w:tcPr>
          <w:p w14:paraId="3BAC073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0.004</w:t>
            </w:r>
          </w:p>
        </w:tc>
      </w:tr>
      <w:tr w:rsidR="00EB026E" w:rsidRPr="00EB026E" w14:paraId="47B0FDCF" w14:textId="77777777" w:rsidTr="004C6551">
        <w:trPr>
          <w:trHeight w:val="290"/>
        </w:trPr>
        <w:tc>
          <w:tcPr>
            <w:tcW w:w="2700" w:type="dxa"/>
            <w:noWrap/>
            <w:vAlign w:val="center"/>
            <w:hideMark/>
          </w:tcPr>
          <w:p w14:paraId="3E69DBE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lastRenderedPageBreak/>
              <w:t>Occupation</w:t>
            </w:r>
          </w:p>
        </w:tc>
        <w:tc>
          <w:tcPr>
            <w:tcW w:w="2430" w:type="dxa"/>
            <w:noWrap/>
            <w:vAlign w:val="center"/>
            <w:hideMark/>
          </w:tcPr>
          <w:p w14:paraId="7E25127D"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Formal employment (Ref)</w:t>
            </w:r>
          </w:p>
        </w:tc>
        <w:tc>
          <w:tcPr>
            <w:tcW w:w="1309" w:type="dxa"/>
            <w:noWrap/>
            <w:vAlign w:val="center"/>
            <w:hideMark/>
          </w:tcPr>
          <w:p w14:paraId="6F4337C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00BEA1C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2C515830"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1A5FC8BB" w14:textId="77777777" w:rsidTr="004C6551">
        <w:trPr>
          <w:trHeight w:val="290"/>
        </w:trPr>
        <w:tc>
          <w:tcPr>
            <w:tcW w:w="2700" w:type="dxa"/>
            <w:noWrap/>
            <w:vAlign w:val="center"/>
            <w:hideMark/>
          </w:tcPr>
          <w:p w14:paraId="6C05C168"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33D994C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Trader/Petty business</w:t>
            </w:r>
          </w:p>
        </w:tc>
        <w:tc>
          <w:tcPr>
            <w:tcW w:w="1309" w:type="dxa"/>
            <w:noWrap/>
            <w:vAlign w:val="center"/>
            <w:hideMark/>
          </w:tcPr>
          <w:p w14:paraId="3D2DD356"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1.7</w:t>
            </w:r>
          </w:p>
        </w:tc>
        <w:tc>
          <w:tcPr>
            <w:tcW w:w="1220" w:type="dxa"/>
            <w:noWrap/>
            <w:vAlign w:val="center"/>
            <w:hideMark/>
          </w:tcPr>
          <w:p w14:paraId="22116EC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0.9 – 3.2</w:t>
            </w:r>
          </w:p>
        </w:tc>
        <w:tc>
          <w:tcPr>
            <w:tcW w:w="1220" w:type="dxa"/>
            <w:noWrap/>
            <w:vAlign w:val="center"/>
            <w:hideMark/>
          </w:tcPr>
          <w:p w14:paraId="11D458C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0.092</w:t>
            </w:r>
          </w:p>
        </w:tc>
      </w:tr>
      <w:tr w:rsidR="00EB026E" w:rsidRPr="00EB026E" w14:paraId="799DCAB8" w14:textId="77777777" w:rsidTr="004C6551">
        <w:trPr>
          <w:trHeight w:val="290"/>
        </w:trPr>
        <w:tc>
          <w:tcPr>
            <w:tcW w:w="2700" w:type="dxa"/>
            <w:noWrap/>
            <w:vAlign w:val="center"/>
            <w:hideMark/>
          </w:tcPr>
          <w:p w14:paraId="67A4650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28C3C49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Farmer</w:t>
            </w:r>
          </w:p>
        </w:tc>
        <w:tc>
          <w:tcPr>
            <w:tcW w:w="1309" w:type="dxa"/>
            <w:noWrap/>
            <w:vAlign w:val="center"/>
            <w:hideMark/>
          </w:tcPr>
          <w:p w14:paraId="795A681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2.2</w:t>
            </w:r>
          </w:p>
        </w:tc>
        <w:tc>
          <w:tcPr>
            <w:tcW w:w="1220" w:type="dxa"/>
            <w:noWrap/>
            <w:vAlign w:val="center"/>
            <w:hideMark/>
          </w:tcPr>
          <w:p w14:paraId="1C57346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1.2 – 4.1</w:t>
            </w:r>
          </w:p>
        </w:tc>
        <w:tc>
          <w:tcPr>
            <w:tcW w:w="1220" w:type="dxa"/>
            <w:noWrap/>
            <w:vAlign w:val="center"/>
            <w:hideMark/>
          </w:tcPr>
          <w:p w14:paraId="58817622"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0.012</w:t>
            </w:r>
          </w:p>
        </w:tc>
      </w:tr>
      <w:tr w:rsidR="00EB026E" w:rsidRPr="00EB026E" w14:paraId="689218FE" w14:textId="77777777" w:rsidTr="004C6551">
        <w:trPr>
          <w:trHeight w:val="290"/>
        </w:trPr>
        <w:tc>
          <w:tcPr>
            <w:tcW w:w="2700" w:type="dxa"/>
            <w:noWrap/>
            <w:vAlign w:val="center"/>
            <w:hideMark/>
          </w:tcPr>
          <w:p w14:paraId="3576E2E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2CEBFE6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Housewife/Unemployed</w:t>
            </w:r>
          </w:p>
        </w:tc>
        <w:tc>
          <w:tcPr>
            <w:tcW w:w="1309" w:type="dxa"/>
            <w:noWrap/>
            <w:vAlign w:val="center"/>
            <w:hideMark/>
          </w:tcPr>
          <w:p w14:paraId="748B959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2.4</w:t>
            </w:r>
          </w:p>
        </w:tc>
        <w:tc>
          <w:tcPr>
            <w:tcW w:w="1220" w:type="dxa"/>
            <w:noWrap/>
            <w:vAlign w:val="center"/>
            <w:hideMark/>
          </w:tcPr>
          <w:p w14:paraId="29F7FDA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1.1 – 5.2</w:t>
            </w:r>
          </w:p>
        </w:tc>
        <w:tc>
          <w:tcPr>
            <w:tcW w:w="1220" w:type="dxa"/>
            <w:noWrap/>
            <w:vAlign w:val="center"/>
            <w:hideMark/>
          </w:tcPr>
          <w:p w14:paraId="29CAEA7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0.028</w:t>
            </w:r>
          </w:p>
        </w:tc>
      </w:tr>
      <w:tr w:rsidR="00EB026E" w:rsidRPr="00EB026E" w14:paraId="5FF97320" w14:textId="77777777" w:rsidTr="004C6551">
        <w:trPr>
          <w:trHeight w:val="290"/>
        </w:trPr>
        <w:tc>
          <w:tcPr>
            <w:tcW w:w="2700" w:type="dxa"/>
            <w:noWrap/>
            <w:vAlign w:val="center"/>
            <w:hideMark/>
          </w:tcPr>
          <w:p w14:paraId="47D5BDD6"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Parity</w:t>
            </w:r>
          </w:p>
        </w:tc>
        <w:tc>
          <w:tcPr>
            <w:tcW w:w="2430" w:type="dxa"/>
            <w:noWrap/>
            <w:vAlign w:val="center"/>
            <w:hideMark/>
          </w:tcPr>
          <w:p w14:paraId="6DE0945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 child (Ref)</w:t>
            </w:r>
          </w:p>
        </w:tc>
        <w:tc>
          <w:tcPr>
            <w:tcW w:w="1309" w:type="dxa"/>
            <w:noWrap/>
            <w:vAlign w:val="center"/>
            <w:hideMark/>
          </w:tcPr>
          <w:p w14:paraId="5BA84A3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6232F94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589179C6"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7C50D5EE" w14:textId="77777777" w:rsidTr="004C6551">
        <w:trPr>
          <w:trHeight w:val="290"/>
        </w:trPr>
        <w:tc>
          <w:tcPr>
            <w:tcW w:w="2700" w:type="dxa"/>
            <w:noWrap/>
            <w:vAlign w:val="center"/>
            <w:hideMark/>
          </w:tcPr>
          <w:p w14:paraId="7FC2766D"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624631B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2–3 children</w:t>
            </w:r>
          </w:p>
        </w:tc>
        <w:tc>
          <w:tcPr>
            <w:tcW w:w="1309" w:type="dxa"/>
            <w:noWrap/>
            <w:vAlign w:val="center"/>
            <w:hideMark/>
          </w:tcPr>
          <w:p w14:paraId="39ED94D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1.2</w:t>
            </w:r>
          </w:p>
        </w:tc>
        <w:tc>
          <w:tcPr>
            <w:tcW w:w="1220" w:type="dxa"/>
            <w:noWrap/>
            <w:vAlign w:val="center"/>
            <w:hideMark/>
          </w:tcPr>
          <w:p w14:paraId="6A73DCC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0.7 – 2.2</w:t>
            </w:r>
          </w:p>
        </w:tc>
        <w:tc>
          <w:tcPr>
            <w:tcW w:w="1220" w:type="dxa"/>
            <w:noWrap/>
            <w:vAlign w:val="center"/>
            <w:hideMark/>
          </w:tcPr>
          <w:p w14:paraId="79E90AD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0.441</w:t>
            </w:r>
          </w:p>
        </w:tc>
      </w:tr>
      <w:tr w:rsidR="00EB026E" w:rsidRPr="00EB026E" w14:paraId="7C310896" w14:textId="77777777" w:rsidTr="004C6551">
        <w:trPr>
          <w:trHeight w:val="290"/>
        </w:trPr>
        <w:tc>
          <w:tcPr>
            <w:tcW w:w="2700" w:type="dxa"/>
            <w:noWrap/>
            <w:vAlign w:val="center"/>
            <w:hideMark/>
          </w:tcPr>
          <w:p w14:paraId="442BFBC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6666E5E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≥4 children</w:t>
            </w:r>
          </w:p>
        </w:tc>
        <w:tc>
          <w:tcPr>
            <w:tcW w:w="1309" w:type="dxa"/>
            <w:noWrap/>
            <w:vAlign w:val="center"/>
            <w:hideMark/>
          </w:tcPr>
          <w:p w14:paraId="148F666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w:t>
            </w:r>
          </w:p>
        </w:tc>
        <w:tc>
          <w:tcPr>
            <w:tcW w:w="1220" w:type="dxa"/>
            <w:noWrap/>
            <w:vAlign w:val="center"/>
            <w:hideMark/>
          </w:tcPr>
          <w:p w14:paraId="5C5844D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1.0 – 3.9</w:t>
            </w:r>
          </w:p>
        </w:tc>
        <w:tc>
          <w:tcPr>
            <w:tcW w:w="1220" w:type="dxa"/>
            <w:noWrap/>
            <w:vAlign w:val="center"/>
            <w:hideMark/>
          </w:tcPr>
          <w:p w14:paraId="41553076"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0.049</w:t>
            </w:r>
          </w:p>
        </w:tc>
      </w:tr>
      <w:tr w:rsidR="00EB026E" w:rsidRPr="00EB026E" w14:paraId="37F79C6A" w14:textId="77777777" w:rsidTr="004C6551">
        <w:trPr>
          <w:trHeight w:val="290"/>
        </w:trPr>
        <w:tc>
          <w:tcPr>
            <w:tcW w:w="2700" w:type="dxa"/>
            <w:noWrap/>
            <w:vAlign w:val="center"/>
            <w:hideMark/>
          </w:tcPr>
          <w:p w14:paraId="00236E0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Feeding counseling</w:t>
            </w:r>
          </w:p>
        </w:tc>
        <w:tc>
          <w:tcPr>
            <w:tcW w:w="2430" w:type="dxa"/>
            <w:noWrap/>
            <w:vAlign w:val="center"/>
            <w:hideMark/>
          </w:tcPr>
          <w:p w14:paraId="6A4024F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Yes (Ref)</w:t>
            </w:r>
          </w:p>
        </w:tc>
        <w:tc>
          <w:tcPr>
            <w:tcW w:w="1309" w:type="dxa"/>
            <w:noWrap/>
            <w:vAlign w:val="center"/>
            <w:hideMark/>
          </w:tcPr>
          <w:p w14:paraId="39D6A9DE"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7B3F69D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4ACD1050"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554ACF0D" w14:textId="77777777" w:rsidTr="004C6551">
        <w:trPr>
          <w:trHeight w:val="290"/>
        </w:trPr>
        <w:tc>
          <w:tcPr>
            <w:tcW w:w="2700" w:type="dxa"/>
            <w:noWrap/>
            <w:vAlign w:val="center"/>
            <w:hideMark/>
          </w:tcPr>
          <w:p w14:paraId="31384FB2"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58563A8D"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No</w:t>
            </w:r>
          </w:p>
        </w:tc>
        <w:tc>
          <w:tcPr>
            <w:tcW w:w="1309" w:type="dxa"/>
            <w:noWrap/>
            <w:vAlign w:val="center"/>
            <w:hideMark/>
          </w:tcPr>
          <w:p w14:paraId="7F1119B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1.8</w:t>
            </w:r>
          </w:p>
        </w:tc>
        <w:tc>
          <w:tcPr>
            <w:tcW w:w="1220" w:type="dxa"/>
            <w:noWrap/>
            <w:vAlign w:val="center"/>
            <w:hideMark/>
          </w:tcPr>
          <w:p w14:paraId="4E14BAA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1.0 – 3.1</w:t>
            </w:r>
          </w:p>
        </w:tc>
        <w:tc>
          <w:tcPr>
            <w:tcW w:w="1220" w:type="dxa"/>
            <w:noWrap/>
            <w:vAlign w:val="center"/>
            <w:hideMark/>
          </w:tcPr>
          <w:p w14:paraId="0C48860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0.041</w:t>
            </w:r>
          </w:p>
        </w:tc>
      </w:tr>
      <w:tr w:rsidR="00EB026E" w:rsidRPr="00EB026E" w14:paraId="3C0CDED5" w14:textId="77777777" w:rsidTr="004C6551">
        <w:trPr>
          <w:trHeight w:val="290"/>
        </w:trPr>
        <w:tc>
          <w:tcPr>
            <w:tcW w:w="2700" w:type="dxa"/>
            <w:noWrap/>
            <w:vAlign w:val="center"/>
            <w:hideMark/>
          </w:tcPr>
          <w:p w14:paraId="31F6000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Place of delivery</w:t>
            </w:r>
          </w:p>
        </w:tc>
        <w:tc>
          <w:tcPr>
            <w:tcW w:w="2430" w:type="dxa"/>
            <w:noWrap/>
            <w:vAlign w:val="center"/>
            <w:hideMark/>
          </w:tcPr>
          <w:p w14:paraId="456B483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Facility (Ref)</w:t>
            </w:r>
          </w:p>
        </w:tc>
        <w:tc>
          <w:tcPr>
            <w:tcW w:w="1309" w:type="dxa"/>
            <w:noWrap/>
            <w:vAlign w:val="center"/>
            <w:hideMark/>
          </w:tcPr>
          <w:p w14:paraId="3FBE004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771D9AA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45C1EF79"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546D9B38" w14:textId="77777777" w:rsidTr="004C6551">
        <w:trPr>
          <w:trHeight w:val="290"/>
        </w:trPr>
        <w:tc>
          <w:tcPr>
            <w:tcW w:w="2700" w:type="dxa"/>
            <w:noWrap/>
            <w:vAlign w:val="center"/>
            <w:hideMark/>
          </w:tcPr>
          <w:p w14:paraId="54CD5E1B"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65A00BA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Home/TBA</w:t>
            </w:r>
          </w:p>
        </w:tc>
        <w:tc>
          <w:tcPr>
            <w:tcW w:w="1309" w:type="dxa"/>
            <w:noWrap/>
            <w:vAlign w:val="center"/>
            <w:hideMark/>
          </w:tcPr>
          <w:p w14:paraId="47EBB0F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2.7</w:t>
            </w:r>
          </w:p>
        </w:tc>
        <w:tc>
          <w:tcPr>
            <w:tcW w:w="1220" w:type="dxa"/>
            <w:noWrap/>
            <w:vAlign w:val="center"/>
            <w:hideMark/>
          </w:tcPr>
          <w:p w14:paraId="37F14036"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1.3 – 5.7</w:t>
            </w:r>
          </w:p>
        </w:tc>
        <w:tc>
          <w:tcPr>
            <w:tcW w:w="1220" w:type="dxa"/>
            <w:noWrap/>
            <w:vAlign w:val="center"/>
            <w:hideMark/>
          </w:tcPr>
          <w:p w14:paraId="3D3925D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0.006</w:t>
            </w:r>
          </w:p>
        </w:tc>
      </w:tr>
      <w:tr w:rsidR="00EB026E" w:rsidRPr="00EB026E" w14:paraId="0AE983CC" w14:textId="77777777" w:rsidTr="004C6551">
        <w:trPr>
          <w:trHeight w:val="290"/>
        </w:trPr>
        <w:tc>
          <w:tcPr>
            <w:tcW w:w="2700" w:type="dxa"/>
            <w:noWrap/>
            <w:vAlign w:val="center"/>
            <w:hideMark/>
          </w:tcPr>
          <w:p w14:paraId="0BE8A5B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ANC attendance</w:t>
            </w:r>
          </w:p>
        </w:tc>
        <w:tc>
          <w:tcPr>
            <w:tcW w:w="2430" w:type="dxa"/>
            <w:noWrap/>
            <w:vAlign w:val="center"/>
            <w:hideMark/>
          </w:tcPr>
          <w:p w14:paraId="77290B7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≥4 visits (Ref)</w:t>
            </w:r>
          </w:p>
        </w:tc>
        <w:tc>
          <w:tcPr>
            <w:tcW w:w="1309" w:type="dxa"/>
            <w:noWrap/>
            <w:vAlign w:val="center"/>
            <w:hideMark/>
          </w:tcPr>
          <w:p w14:paraId="7CA95C0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083C27D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06D094CF"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408113D0" w14:textId="77777777" w:rsidTr="004C6551">
        <w:trPr>
          <w:trHeight w:val="290"/>
        </w:trPr>
        <w:tc>
          <w:tcPr>
            <w:tcW w:w="2700" w:type="dxa"/>
            <w:noWrap/>
            <w:vAlign w:val="center"/>
            <w:hideMark/>
          </w:tcPr>
          <w:p w14:paraId="3B71DE3C"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1A677552"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&lt;4 visits</w:t>
            </w:r>
          </w:p>
        </w:tc>
        <w:tc>
          <w:tcPr>
            <w:tcW w:w="1309" w:type="dxa"/>
            <w:noWrap/>
            <w:vAlign w:val="center"/>
            <w:hideMark/>
          </w:tcPr>
          <w:p w14:paraId="0E0C963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w:t>
            </w:r>
          </w:p>
        </w:tc>
        <w:tc>
          <w:tcPr>
            <w:tcW w:w="1220" w:type="dxa"/>
            <w:noWrap/>
            <w:vAlign w:val="center"/>
            <w:hideMark/>
          </w:tcPr>
          <w:p w14:paraId="13EC9EFE"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1.1 – 3.8</w:t>
            </w:r>
          </w:p>
        </w:tc>
        <w:tc>
          <w:tcPr>
            <w:tcW w:w="1220" w:type="dxa"/>
            <w:noWrap/>
            <w:vAlign w:val="center"/>
            <w:hideMark/>
          </w:tcPr>
          <w:p w14:paraId="779C4146"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0.028</w:t>
            </w:r>
          </w:p>
        </w:tc>
      </w:tr>
      <w:tr w:rsidR="00EB026E" w:rsidRPr="00EB026E" w14:paraId="0BDBF404" w14:textId="77777777" w:rsidTr="004C6551">
        <w:trPr>
          <w:trHeight w:val="290"/>
        </w:trPr>
        <w:tc>
          <w:tcPr>
            <w:tcW w:w="2700" w:type="dxa"/>
            <w:noWrap/>
            <w:vAlign w:val="center"/>
            <w:hideMark/>
          </w:tcPr>
          <w:p w14:paraId="32E1F64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Infant age</w:t>
            </w:r>
          </w:p>
        </w:tc>
        <w:tc>
          <w:tcPr>
            <w:tcW w:w="2430" w:type="dxa"/>
            <w:noWrap/>
            <w:vAlign w:val="center"/>
            <w:hideMark/>
          </w:tcPr>
          <w:p w14:paraId="21B26C0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&lt;6 months (Ref)</w:t>
            </w:r>
          </w:p>
        </w:tc>
        <w:tc>
          <w:tcPr>
            <w:tcW w:w="1309" w:type="dxa"/>
            <w:noWrap/>
            <w:vAlign w:val="center"/>
            <w:hideMark/>
          </w:tcPr>
          <w:p w14:paraId="54E6CE5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3585AC6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6432CC7E"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4BC4211E" w14:textId="77777777" w:rsidTr="004C6551">
        <w:trPr>
          <w:trHeight w:val="290"/>
        </w:trPr>
        <w:tc>
          <w:tcPr>
            <w:tcW w:w="2700" w:type="dxa"/>
            <w:noWrap/>
            <w:vAlign w:val="center"/>
            <w:hideMark/>
          </w:tcPr>
          <w:p w14:paraId="102CE2B2"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250184B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6–11 months</w:t>
            </w:r>
          </w:p>
        </w:tc>
        <w:tc>
          <w:tcPr>
            <w:tcW w:w="1309" w:type="dxa"/>
            <w:noWrap/>
            <w:vAlign w:val="center"/>
            <w:hideMark/>
          </w:tcPr>
          <w:p w14:paraId="464CD68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1.7</w:t>
            </w:r>
          </w:p>
        </w:tc>
        <w:tc>
          <w:tcPr>
            <w:tcW w:w="1220" w:type="dxa"/>
            <w:noWrap/>
            <w:vAlign w:val="center"/>
            <w:hideMark/>
          </w:tcPr>
          <w:p w14:paraId="0CCE59B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0.9 – 3.1</w:t>
            </w:r>
          </w:p>
        </w:tc>
        <w:tc>
          <w:tcPr>
            <w:tcW w:w="1220" w:type="dxa"/>
            <w:noWrap/>
            <w:vAlign w:val="center"/>
            <w:hideMark/>
          </w:tcPr>
          <w:p w14:paraId="6354EAE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0.084</w:t>
            </w:r>
          </w:p>
        </w:tc>
      </w:tr>
      <w:tr w:rsidR="00EB026E" w:rsidRPr="00EB026E" w14:paraId="381CFF5C" w14:textId="77777777" w:rsidTr="004C6551">
        <w:trPr>
          <w:trHeight w:val="290"/>
        </w:trPr>
        <w:tc>
          <w:tcPr>
            <w:tcW w:w="2700" w:type="dxa"/>
            <w:noWrap/>
            <w:vAlign w:val="center"/>
            <w:hideMark/>
          </w:tcPr>
          <w:p w14:paraId="3E37522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6B570B8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12–23 months</w:t>
            </w:r>
          </w:p>
        </w:tc>
        <w:tc>
          <w:tcPr>
            <w:tcW w:w="1309" w:type="dxa"/>
            <w:noWrap/>
            <w:vAlign w:val="center"/>
            <w:hideMark/>
          </w:tcPr>
          <w:p w14:paraId="05628C8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2.5</w:t>
            </w:r>
          </w:p>
        </w:tc>
        <w:tc>
          <w:tcPr>
            <w:tcW w:w="1220" w:type="dxa"/>
            <w:noWrap/>
            <w:vAlign w:val="center"/>
            <w:hideMark/>
          </w:tcPr>
          <w:p w14:paraId="30B586A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1.3 – 4.8</w:t>
            </w:r>
          </w:p>
        </w:tc>
        <w:tc>
          <w:tcPr>
            <w:tcW w:w="1220" w:type="dxa"/>
            <w:noWrap/>
            <w:vAlign w:val="center"/>
            <w:hideMark/>
          </w:tcPr>
          <w:p w14:paraId="3EFAD72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0.006</w:t>
            </w:r>
          </w:p>
        </w:tc>
      </w:tr>
      <w:tr w:rsidR="00EB026E" w:rsidRPr="00EB026E" w14:paraId="3DB7153D" w14:textId="77777777" w:rsidTr="004C6551">
        <w:trPr>
          <w:trHeight w:val="290"/>
        </w:trPr>
        <w:tc>
          <w:tcPr>
            <w:tcW w:w="2700" w:type="dxa"/>
            <w:noWrap/>
            <w:vAlign w:val="center"/>
            <w:hideMark/>
          </w:tcPr>
          <w:p w14:paraId="4B7D407E"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Infant sex</w:t>
            </w:r>
          </w:p>
        </w:tc>
        <w:tc>
          <w:tcPr>
            <w:tcW w:w="2430" w:type="dxa"/>
            <w:noWrap/>
            <w:vAlign w:val="center"/>
            <w:hideMark/>
          </w:tcPr>
          <w:p w14:paraId="1F1FF3F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Female (Ref)</w:t>
            </w:r>
          </w:p>
        </w:tc>
        <w:tc>
          <w:tcPr>
            <w:tcW w:w="1309" w:type="dxa"/>
            <w:noWrap/>
            <w:vAlign w:val="center"/>
            <w:hideMark/>
          </w:tcPr>
          <w:p w14:paraId="27DF54E6"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3DC8D34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5C5ED8FC"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5AE6E262" w14:textId="77777777" w:rsidTr="004C6551">
        <w:trPr>
          <w:trHeight w:val="290"/>
        </w:trPr>
        <w:tc>
          <w:tcPr>
            <w:tcW w:w="2700" w:type="dxa"/>
            <w:noWrap/>
            <w:vAlign w:val="center"/>
            <w:hideMark/>
          </w:tcPr>
          <w:p w14:paraId="33B688E5"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7CAE9AD2"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Male</w:t>
            </w:r>
          </w:p>
        </w:tc>
        <w:tc>
          <w:tcPr>
            <w:tcW w:w="1309" w:type="dxa"/>
            <w:noWrap/>
            <w:vAlign w:val="center"/>
            <w:hideMark/>
          </w:tcPr>
          <w:p w14:paraId="51765E2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1.3</w:t>
            </w:r>
          </w:p>
        </w:tc>
        <w:tc>
          <w:tcPr>
            <w:tcW w:w="1220" w:type="dxa"/>
            <w:noWrap/>
            <w:vAlign w:val="center"/>
            <w:hideMark/>
          </w:tcPr>
          <w:p w14:paraId="4505EAE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0.8 – 2.2</w:t>
            </w:r>
          </w:p>
        </w:tc>
        <w:tc>
          <w:tcPr>
            <w:tcW w:w="1220" w:type="dxa"/>
            <w:noWrap/>
            <w:vAlign w:val="center"/>
            <w:hideMark/>
          </w:tcPr>
          <w:p w14:paraId="0F12AF9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0.272</w:t>
            </w:r>
          </w:p>
        </w:tc>
      </w:tr>
    </w:tbl>
    <w:p w14:paraId="18E5BBD0" w14:textId="77777777" w:rsidR="00FA4340" w:rsidRPr="00C54F0B" w:rsidRDefault="00FA4340">
      <w:pPr>
        <w:rPr>
          <w:rFonts w:ascii="Arial" w:hAnsi="Arial" w:cs="Arial"/>
          <w:sz w:val="20"/>
          <w:szCs w:val="20"/>
        </w:rPr>
      </w:pPr>
    </w:p>
    <w:p w14:paraId="7EBBC001" w14:textId="132FB556" w:rsidR="00FA4340" w:rsidRPr="00C54F0B" w:rsidRDefault="00FA4340">
      <w:pPr>
        <w:rPr>
          <w:rFonts w:ascii="Arial" w:hAnsi="Arial" w:cs="Arial"/>
          <w:sz w:val="20"/>
          <w:szCs w:val="20"/>
        </w:rPr>
      </w:pPr>
      <w:r w:rsidRPr="00C54F0B">
        <w:rPr>
          <w:rFonts w:ascii="Arial" w:hAnsi="Arial" w:cs="Arial"/>
          <w:sz w:val="20"/>
          <w:szCs w:val="20"/>
        </w:rPr>
        <w:t>Discussion</w:t>
      </w:r>
    </w:p>
    <w:p w14:paraId="74B7F18C" w14:textId="11B6992C" w:rsidR="00FA4340" w:rsidRPr="00C54F0B" w:rsidRDefault="00FA4340" w:rsidP="00FA4340">
      <w:pPr>
        <w:rPr>
          <w:rFonts w:ascii="Arial" w:hAnsi="Arial" w:cs="Arial"/>
          <w:sz w:val="20"/>
          <w:szCs w:val="20"/>
        </w:rPr>
      </w:pPr>
      <w:r w:rsidRPr="00C54F0B">
        <w:rPr>
          <w:rFonts w:ascii="Arial" w:hAnsi="Arial" w:cs="Arial"/>
          <w:sz w:val="20"/>
          <w:szCs w:val="20"/>
        </w:rPr>
        <w:t>This study assessed maternal knowledge, feeding practices, and infant nutritional status among breastfeeding mothers at West Gonja District Hospital. Approximately one-third of mothers demonstrated high knowledge of infant nutrition, but only one-third reported good feeding practices. Infant malnutrition was prevalent, with 16.3% underweight, 22.2% stunted, and 9.4% wasted. In the multivariable model, low maternal knowledge and poor feeding practices were the strongest predictors of infant malnutrition. Additional independent predictors included low educational attainment, farmer or housewife occupations, high parity (≥4 children), home delivery, inadequate ANC visits (&lt;4), and infant age 12–23 months</w:t>
      </w:r>
      <w:r w:rsidR="001F65C5" w:rsidRPr="00C54F0B">
        <w:rPr>
          <w:rFonts w:ascii="Arial" w:hAnsi="Arial" w:cs="Arial"/>
          <w:sz w:val="20"/>
          <w:szCs w:val="20"/>
        </w:rPr>
        <w:t>.</w:t>
      </w:r>
    </w:p>
    <w:p w14:paraId="2B39ACB8" w14:textId="598738F0" w:rsidR="00FA4340" w:rsidRPr="00FA4340" w:rsidRDefault="00FA4340" w:rsidP="00FA4340">
      <w:pPr>
        <w:rPr>
          <w:rFonts w:ascii="Arial" w:hAnsi="Arial" w:cs="Arial"/>
          <w:sz w:val="20"/>
          <w:szCs w:val="20"/>
        </w:rPr>
      </w:pPr>
      <w:r w:rsidRPr="00FA4340">
        <w:rPr>
          <w:rFonts w:ascii="Arial" w:hAnsi="Arial" w:cs="Arial"/>
          <w:sz w:val="20"/>
          <w:szCs w:val="20"/>
        </w:rPr>
        <w:t>The study demonstrated that maternal knowledge of infant feeding and malnutrition was suboptimal, with only about one-third of mothers achieving high knowledge scores. Low maternal knowledge was strongly associated with child malnutrition. This result is consistent with findings from Northern Ghana, where Saaka</w:t>
      </w:r>
      <w:r w:rsidR="00F60A0E">
        <w:rPr>
          <w:rFonts w:ascii="Arial" w:hAnsi="Arial" w:cs="Arial"/>
          <w:sz w:val="20"/>
          <w:szCs w:val="20"/>
        </w:rPr>
        <w:fldChar w:fldCharType="begin"/>
      </w:r>
      <w:r w:rsidR="00F60A0E">
        <w:rPr>
          <w:rFonts w:ascii="Arial" w:hAnsi="Arial" w:cs="Arial"/>
          <w:sz w:val="20"/>
          <w:szCs w:val="20"/>
        </w:rPr>
        <w:instrText xml:space="preserve"> ADDIN ZOTERO_ITEM CSL_CITATION {"citationID":"J9eSpoOd","properties":{"formattedCitation":"(12)","plainCitation":"(12)","noteIndex":0},"citationItems":[{"id":6534,"uris":["http://zotero.org/users/15244130/items/ZEHEJMHA"],"itemData":{"id":6534,"type":"article-journal","abstract":"This study assessed the relationship between maternal nutritional knowledge in childcare practices and growth of children living in impoverished rural communities. This was an analytical cross-sectional study which covered a random sample of 991 children aged 0-36 month(s). Multivariate analysis showed that, after adjusting for potential confounders, there was a significant positive association between the childcare knowledge index and mean HAZ (beta = 0.10, p = 0.005) but was not associated with mean WHZ. The strength of association increased among women of high socioeconomic status (beta = 0.15, p = 0.014) but there was no significant association among women of low socioeconomic status. Increase in maternal childcare knowledge may contribute significantly to child's nutritional status in Ghana if there is concurrent improvement in socioeconomic circumstances of women living in deprived rural communities.","container-title":"Journal of Health, Population, and Nutrition","ISSN":"1606-0997","issue":"2","journalAbbreviation":"J Health Popul Nutr","language":"eng","note":"PMID: 25076661\nPMCID: PMC4216960","page":"237-248","source":"PubMed","title":"Relationship between mothers' nutritional knowledge in childcare practices and the growth of children living in impoverished rural communities","volume":"32","author":[{"family":"Saaka","given":"Mahama"}],"issued":{"date-parts":[["2014",6]]}}}],"schema":"https://github.com/citation-style-language/schema/raw/master/csl-citation.json"} </w:instrText>
      </w:r>
      <w:r w:rsidR="00F60A0E">
        <w:rPr>
          <w:rFonts w:ascii="Arial" w:hAnsi="Arial" w:cs="Arial"/>
          <w:sz w:val="20"/>
          <w:szCs w:val="20"/>
        </w:rPr>
        <w:fldChar w:fldCharType="separate"/>
      </w:r>
      <w:r w:rsidR="00F60A0E" w:rsidRPr="00F60A0E">
        <w:rPr>
          <w:rFonts w:ascii="Arial" w:hAnsi="Arial" w:cs="Arial"/>
          <w:sz w:val="20"/>
        </w:rPr>
        <w:t>(12)</w:t>
      </w:r>
      <w:r w:rsidR="00F60A0E">
        <w:rPr>
          <w:rFonts w:ascii="Arial" w:hAnsi="Arial" w:cs="Arial"/>
          <w:sz w:val="20"/>
          <w:szCs w:val="20"/>
        </w:rPr>
        <w:fldChar w:fldCharType="end"/>
      </w:r>
      <w:r w:rsidRPr="00FA4340">
        <w:rPr>
          <w:rFonts w:ascii="Arial" w:hAnsi="Arial" w:cs="Arial"/>
          <w:sz w:val="20"/>
          <w:szCs w:val="20"/>
        </w:rPr>
        <w:t xml:space="preserve"> observed that inadequate maternal knowledge on complementary feeding was linked to poor growth outcomes in children. Similarly, studies in Ethiopia and Nigeria reported that low maternal nutritional knowledge significantly increased the risk of stunting and underweight </w:t>
      </w:r>
      <w:r w:rsidR="00F60A0E">
        <w:rPr>
          <w:rFonts w:ascii="Arial" w:hAnsi="Arial" w:cs="Arial"/>
          <w:sz w:val="20"/>
          <w:szCs w:val="20"/>
        </w:rPr>
        <w:fldChar w:fldCharType="begin"/>
      </w:r>
      <w:r w:rsidR="00F60A0E">
        <w:rPr>
          <w:rFonts w:ascii="Arial" w:hAnsi="Arial" w:cs="Arial"/>
          <w:sz w:val="20"/>
          <w:szCs w:val="20"/>
        </w:rPr>
        <w:instrText xml:space="preserve"> ADDIN ZOTERO_ITEM CSL_CITATION {"citationID":"KiUIa7ph","properties":{"formattedCitation":"(13,15,16)","plainCitation":"(13,15,16)","noteIndex":0},"citationItems":[{"id":1776,"uris":["http://zotero.org/users/15244130/items/ZMT2YDSP"],"itemData":{"id":1776,"type":"article-journal","container-title":"BMC Health Services Research","ISSN":"1472-6963","issue":"1","note":"publisher: Springer","page":"600","title":"Knowledge, attitude, and practice of health professionals for oxygen therapy working in South Gondar zone hospitals, 2021: multicenter cross-sectional study","volume":"22","author":[{"family":"Demilew","given":"Basazinew Chekol"},{"family":"Mekonen","given":"Agegnehu"},{"family":"Aemro","given":"Agazhe"},{"family":"Sewnet","given":"Nakachew"},{"family":"Hailu","given":"Banchiayehu Alebachew"}],"issued":{"date-parts":[["2022"]]}}},{"id":6512,"uris":["http://zotero.org/users/15244130/items/HZQUUN45"],"itemData":{"id":6512,"type":"article-journal","abstract":"Undernutrition during pregnancy affects birth outcomes adversely. In Ethiopia, despite nutrition counseling on the maternal diet being given by the health workers during pregnancy, maternal undernutrition is still high in the country. Hence, this study aimed to assess the effect of guided counseling using the health belief model and the theory of planned behavior on the nutritional status of pregnant women.","container-title":"Nutrition Journal","DOI":"10.1186/s12937-020-00536-w","ISSN":"1475-2891","issue":"1","journalAbbreviation":"Nutrition Journal","page":"38","source":"BioMed Central","title":"Effect of guided counseling on nutritional status of pregnant women in West Gojjam zone, Ethiopia: a cluster-randomized controlled trial","title-short":"Effect of guided counseling on nutritional status of pregnant women in West Gojjam zone, Ethiopia","volume":"19","author":[{"family":"Demilew","given":"Yeshalem Mulugeta"},{"family":"Alene","given":"Getu Degu"},{"family":"Belachew","given":"Tefera"}],"issued":{"date-parts":[["2020",4,28]]}}},{"id":6531,"uris":["http://zotero.org/users/15244130/items/ZQBV8PC7"],"itemData":{"id":6531,"type":"article-journal","abstract":"BACKGROUND: The success of breastfeeding promotion is influenced by maternal factors. Therefore, it is vital to examine the influence of basic maternal demographic factors on breastfeeding practices.\nOBJECTIVE: To determine the influence of maternal socio-demographic factors on the initiation and exclusivity of breastfeeding.\nMETHOD: A cross-sectional survey of mothers of children aged from 1 to 24 months attending a Nigerian Infant Welfare Clinic was conducted. Respondents were grouped according to age, parity, education, occupation, sites of antenatal care and delivery. These groups were compared for breastfeeding indices using bivariate and multivariate analysis.\nRESULTS: All the 262 respondents breastfed their children. The exclusive breastfeeding rate was 33.3% for children aged 0-3 months, 22.2% for children aged 4-6 months and 19.4% for children aged 7-24 months at the time of the study. Significantly higher proportions of mothers with at least secondary education, clinic-based antenatal care and delivery in health facilities initiated breastfeeding within 1 h of birth, avoided pre-lacteal feeding and practiced exclusive breastfeeding for the first 6 months of life. Maternal age and parity did not confer any advantage on breastfeeding practices. Delivery of children outside health facilities strongly contributed to delayed initiation of breastfeeding (P &lt; 0.001), pre-lacteal feeding (P = 0.003) and failure to breastfeed exclusively (P = 0.049). Maternal education below secondary level strongly contributed to pre-lacteal feeding (P = 0.004) and failure to practice exclusive breastfeeding (P = 0.008).\nCONCLUSION: Low maternal education and non-utilization of orthodox obstetric facilities impairs early initiation and exclusivity of breastfeeding.","container-title":"Maternal and Child Health Journal","DOI":"10.1007/s10995-008-0440-3","ISSN":"1573-6628","issue":"3","journalAbbreviation":"Matern Child Health J","language":"eng","note":"PMID: 19156508","page":"459-465","source":"PubMed","title":"Maternal socio-demographic factors influencing the initiation and exclusivity of breastfeeding in a Nigerian semi-urban setting","volume":"14","author":[{"family":"Ogunlesi","given":"Tinuade A."}],"issued":{"date-parts":[["2010",5]]}}}],"schema":"https://github.com/citation-style-language/schema/raw/master/csl-citation.json"} </w:instrText>
      </w:r>
      <w:r w:rsidR="00F60A0E">
        <w:rPr>
          <w:rFonts w:ascii="Arial" w:hAnsi="Arial" w:cs="Arial"/>
          <w:sz w:val="20"/>
          <w:szCs w:val="20"/>
        </w:rPr>
        <w:fldChar w:fldCharType="separate"/>
      </w:r>
      <w:r w:rsidR="00F60A0E" w:rsidRPr="00F60A0E">
        <w:rPr>
          <w:rFonts w:ascii="Arial" w:hAnsi="Arial" w:cs="Arial"/>
          <w:sz w:val="20"/>
        </w:rPr>
        <w:t>(13,15,16)</w:t>
      </w:r>
      <w:r w:rsidR="00F60A0E">
        <w:rPr>
          <w:rFonts w:ascii="Arial" w:hAnsi="Arial" w:cs="Arial"/>
          <w:sz w:val="20"/>
          <w:szCs w:val="20"/>
        </w:rPr>
        <w:fldChar w:fldCharType="end"/>
      </w:r>
      <w:r w:rsidRPr="00FA4340">
        <w:rPr>
          <w:rFonts w:ascii="Arial" w:hAnsi="Arial" w:cs="Arial"/>
          <w:sz w:val="20"/>
          <w:szCs w:val="20"/>
        </w:rPr>
        <w:t xml:space="preserve">. The consistency across different contexts can be explained by the fact that mothers with better knowledge are more likely to practice exclusive breastfeeding, recognize malnutrition early, and introduce age-appropriate complementary feeding. However, Lakshman et al. </w:t>
      </w:r>
      <w:r w:rsidR="00F60A0E">
        <w:rPr>
          <w:rFonts w:ascii="Arial" w:hAnsi="Arial" w:cs="Arial"/>
          <w:sz w:val="20"/>
          <w:szCs w:val="20"/>
        </w:rPr>
        <w:fldChar w:fldCharType="begin"/>
      </w:r>
      <w:r w:rsidR="005D4A4A">
        <w:rPr>
          <w:rFonts w:ascii="Arial" w:hAnsi="Arial" w:cs="Arial"/>
          <w:sz w:val="20"/>
          <w:szCs w:val="20"/>
        </w:rPr>
        <w:instrText xml:space="preserve"> ADDIN ZOTERO_ITEM CSL_CITATION {"citationID":"iRVesBND","properties":{"formattedCitation":"(18)","plainCitation":"(18)","noteIndex":0},"citationItems":[{"id":6528,"uris":["http://zotero.org/users/15244130/items/YZYTMAE4"],"itemData":{"id":6528,"type":"article-journal","abstract":"OBJECTIVE: Most babies receive at least some formula milk. Variations in formula-feeding practices can have both short- and long-term health consequences. The literature on parents' experiences of bottle-feeding was systematically reviewed to understand how formula-feeding decisions are made.\nMETHODS: Relevant English-language papers, identified by searching 12 electronic databases, reference lists and related articles and by contacting first authors of included papers, were systematically searched for and appraised. The included studies were analysed and synthesised using a combination of narrative and thematic approaches. Consensus on the final inclusion, interpretation and synthesis of studies was reached across the research team.\nRESULTS: Six qualitative studies and 17 quantitative studies (involving 13 263 participants) were included. Despite wide differences in study design, context, focus and quality, several consistent themes emerged. Mothers who bottle-fed their babies experienced negative emotions such as guilt, anger, worry, uncertainty and a sense of failure. Mothers reported receiving little information on bottle-feeding and did not feel empowered to make decisions. Mistakes in preparation of bottle-feeds were common. No studies examined how mothers made decisions about the frequency or quantity of bottle-feeds.\nCONCLUSIONS: Inadequate information and support for mothers who decide to bottle-feed may put the health of their babies at risk. While it is important to promote breastfeeding, it is also necessary to ensure that the needs of bottle-feeding mothers are met.","container-title":"Archives of Disease in Childhood","DOI":"10.1136/adc.2008.151910","ISSN":"1468-2044","issue":"8","journalAbbreviation":"Arch Dis Child","language":"eng","note":"PMID: 19602520\nPMCID: PMC3697301","page":"596-601","source":"PubMed","title":"Mothers' experiences of bottle-feeding: a systematic review of qualitative and quantitative studies","title-short":"Mothers' experiences of bottle-feeding","volume":"94","author":[{"family":"Lakshman","given":"R."},{"family":"Ogilvie","given":"D."},{"family":"Ong","given":"K. K."}],"issued":{"date-parts":[["2009",8]]}}}],"schema":"https://github.com/citation-style-language/schema/raw/master/csl-citation.json"} </w:instrText>
      </w:r>
      <w:r w:rsidR="00F60A0E">
        <w:rPr>
          <w:rFonts w:ascii="Arial" w:hAnsi="Arial" w:cs="Arial"/>
          <w:sz w:val="20"/>
          <w:szCs w:val="20"/>
        </w:rPr>
        <w:fldChar w:fldCharType="separate"/>
      </w:r>
      <w:r w:rsidR="005D4A4A" w:rsidRPr="005D4A4A">
        <w:rPr>
          <w:rFonts w:ascii="Arial" w:hAnsi="Arial" w:cs="Arial"/>
          <w:sz w:val="20"/>
        </w:rPr>
        <w:t>(18)</w:t>
      </w:r>
      <w:r w:rsidR="00F60A0E">
        <w:rPr>
          <w:rFonts w:ascii="Arial" w:hAnsi="Arial" w:cs="Arial"/>
          <w:sz w:val="20"/>
          <w:szCs w:val="20"/>
        </w:rPr>
        <w:fldChar w:fldCharType="end"/>
      </w:r>
      <w:r w:rsidRPr="00FA4340">
        <w:rPr>
          <w:rFonts w:ascii="Arial" w:hAnsi="Arial" w:cs="Arial"/>
          <w:sz w:val="20"/>
          <w:szCs w:val="20"/>
        </w:rPr>
        <w:t xml:space="preserve"> in the United Kingdom found that despite adequate knowledge, structural and cultural constraints still limited appropriate practices, suggesting that knowledge alone may not translate into improved outcomes in higher-income or working-class contexts. For West Gonja, the implication is that maternal education interventions must not only increase awareness but also be embedded within supportive environments, including community engagement and family support, to ensure knowledge is effectively applied.</w:t>
      </w:r>
    </w:p>
    <w:p w14:paraId="5EA3C970" w14:textId="70065EA1" w:rsidR="00FA4340" w:rsidRPr="00FA4340" w:rsidRDefault="00FA4340" w:rsidP="00FA4340">
      <w:pPr>
        <w:rPr>
          <w:rFonts w:ascii="Arial" w:hAnsi="Arial" w:cs="Arial"/>
          <w:sz w:val="20"/>
          <w:szCs w:val="20"/>
        </w:rPr>
      </w:pPr>
      <w:r w:rsidRPr="00FA4340">
        <w:rPr>
          <w:rFonts w:ascii="Arial" w:hAnsi="Arial" w:cs="Arial"/>
          <w:sz w:val="20"/>
          <w:szCs w:val="20"/>
        </w:rPr>
        <w:t xml:space="preserve">Feeding practices were generally poor, with only 29% of mothers meeting the good practice threshold, especially regarding complementary feeding and dietary diversity. Poor feeding practices were significantly associated with higher odds of infant malnutrition, which is consistent with evidence from the 2022 Ghana Demographic and Health Survey, which reported that only 41% of children aged 6–23 </w:t>
      </w:r>
      <w:r w:rsidRPr="00FA4340">
        <w:rPr>
          <w:rFonts w:ascii="Arial" w:hAnsi="Arial" w:cs="Arial"/>
          <w:sz w:val="20"/>
          <w:szCs w:val="20"/>
        </w:rPr>
        <w:lastRenderedPageBreak/>
        <w:t xml:space="preserve">months met minimum dietary diversity requirements </w:t>
      </w:r>
      <w:r w:rsidR="005D4A4A">
        <w:rPr>
          <w:rFonts w:ascii="Arial" w:hAnsi="Arial" w:cs="Arial"/>
          <w:sz w:val="20"/>
          <w:szCs w:val="20"/>
        </w:rPr>
        <w:fldChar w:fldCharType="begin"/>
      </w:r>
      <w:r w:rsidR="005D4A4A">
        <w:rPr>
          <w:rFonts w:ascii="Arial" w:hAnsi="Arial" w:cs="Arial"/>
          <w:sz w:val="20"/>
          <w:szCs w:val="20"/>
        </w:rPr>
        <w:instrText xml:space="preserve"> ADDIN ZOTERO_ITEM CSL_CITATION {"citationID":"815bltjN","properties":{"formattedCitation":"(8)","plainCitation":"(8)","noteIndex":0},"citationItems":[{"id":6611,"uris":["http://zotero.org/users/15244130/items/LR3225WY"],"itemData":{"id":6611,"type":"report","event-place":"Accra, Ghana; Rockville, Maryland, USA","genre":"Government report / DHS report","number":"PR149","publisher":"Ghana Statistical Service (GSS) &amp; ICF","publisher-place":"Accra, Ghana; Rockville, Maryland, USA","title":"Ghana Demographic and Health Survey 2022: Key Indicators Report","URL":"https://www.dhsprogram.com/pubs/pdf/FR387/FR387.pdf","author":[{"literal":"Ghana Statistical Service; ICF"}],"accessed":{"date-parts":[["2025",8,29]]},"issued":{"date-parts":[["2024"]]}}}],"schema":"https://github.com/citation-style-language/schema/raw/master/csl-citation.json"} </w:instrText>
      </w:r>
      <w:r w:rsidR="005D4A4A">
        <w:rPr>
          <w:rFonts w:ascii="Arial" w:hAnsi="Arial" w:cs="Arial"/>
          <w:sz w:val="20"/>
          <w:szCs w:val="20"/>
        </w:rPr>
        <w:fldChar w:fldCharType="separate"/>
      </w:r>
      <w:r w:rsidR="005D4A4A" w:rsidRPr="005D4A4A">
        <w:rPr>
          <w:rFonts w:ascii="Arial" w:hAnsi="Arial" w:cs="Arial"/>
          <w:sz w:val="20"/>
        </w:rPr>
        <w:t>(8)</w:t>
      </w:r>
      <w:r w:rsidR="005D4A4A">
        <w:rPr>
          <w:rFonts w:ascii="Arial" w:hAnsi="Arial" w:cs="Arial"/>
          <w:sz w:val="20"/>
          <w:szCs w:val="20"/>
        </w:rPr>
        <w:fldChar w:fldCharType="end"/>
      </w:r>
      <w:r w:rsidRPr="00FA4340">
        <w:rPr>
          <w:rFonts w:ascii="Arial" w:hAnsi="Arial" w:cs="Arial"/>
          <w:sz w:val="20"/>
          <w:szCs w:val="20"/>
        </w:rPr>
        <w:t xml:space="preserve">. </w:t>
      </w:r>
      <w:r w:rsidR="005D4A4A">
        <w:rPr>
          <w:rFonts w:ascii="Arial" w:hAnsi="Arial" w:cs="Arial"/>
          <w:sz w:val="20"/>
          <w:szCs w:val="20"/>
        </w:rPr>
        <w:t xml:space="preserve"> Researchers has </w:t>
      </w:r>
      <w:r w:rsidRPr="00FA4340">
        <w:rPr>
          <w:rFonts w:ascii="Arial" w:hAnsi="Arial" w:cs="Arial"/>
          <w:sz w:val="20"/>
          <w:szCs w:val="20"/>
        </w:rPr>
        <w:t>demonstrated in Tamale Metropolis that inadequate complementary feeding practices contributed substantially to child undernutrition</w:t>
      </w:r>
      <w:r w:rsidR="005D4A4A">
        <w:rPr>
          <w:rFonts w:ascii="Arial" w:hAnsi="Arial" w:cs="Arial"/>
          <w:sz w:val="20"/>
          <w:szCs w:val="20"/>
        </w:rPr>
        <w:fldChar w:fldCharType="begin"/>
      </w:r>
      <w:r w:rsidR="00946A72">
        <w:rPr>
          <w:rFonts w:ascii="Arial" w:hAnsi="Arial" w:cs="Arial"/>
          <w:sz w:val="20"/>
          <w:szCs w:val="20"/>
        </w:rPr>
        <w:instrText xml:space="preserve"> ADDIN ZOTERO_ITEM CSL_CITATION {"citationID":"6N6Tc1i5","properties":{"formattedCitation":"(9,12)","plainCitation":"(9,12)","noteIndex":0},"citationItems":[{"id":6536,"uris":["http://zotero.org/users/15244130/items/JQNMNGPL"],"itemData":{"id":6536,"type":"article-journal","abstract":"Objective\n              . The main aim of the study was to assess the magnitude of concurrent wasting and stunting among Ghanaian preschool children. Secondly, we investigated the relationship between wasting and stunting as well as factors associated with these conditions.\n              Methods\n              . This paper is based on reanalysis of anthropometric and other relevant data which was collected in the 2014 Ghana Demographic and Health Survey. The data set consisted of 2,720 preschool children aged 0–59 months. We conducted three-step moderated hierarchical multiple regression analyses to determine independent predictors and moderators of height-for-age\n              \n                \n                  Z\n                \n              \n              -score.\n              Results\n              . Nationally, the prevalence of concurrent wasting and stunting among children aged 0–59 months was low at 1.4% but it varied geographically with the Upper East Region having the highest prevalence of 3.2% (95% CI: 1.7–5.8). Children who had low weight-for-height\n              \n                \n                  Z\n                \n              \n              -scores were at a higher risk of linear growth retardation (stunting) especially among children aged less than three years. A 1-unit increase in weight-for-height\n              \n                \n                  Z\n                \n              \n              -score (WHZ) was associated with 0.07 standard units’ increase in height-for-age\n              \n                \n                  Z\n                \n              \n              -score (HAZ) [\n              β\n              = 0.071 (95% CI: 0.03, 0.15)].\n              Conclusions\n              . The study results suggest that weight-for-height relates to linear growth but this relationship is moderated by age of child. Stunting and wasting share some common risk factors. Therefore, measures to prevent wasting may positively influence linear growth.","container-title":"Journal of Nutrition and Metabolism","DOI":"10.1155/2016/4654920","ISSN":"2090-0724, 2090-0732","journalAbbreviation":"Journal of Nutrition and Metabolism","language":"en","license":"http://creativecommons.org/licenses/by/4.0/","page":"1-11","source":"DOI.org (Crossref)","title":"Relationships between Wasting and Stunting and Their Concurrent Occurrence in Ghanaian Preschool Children","volume":"2016","author":[{"family":"Saaka","given":"Mahama"},{"family":"Galaa","given":"Sylvester Zackaria"}],"issued":{"date-parts":[["2016"]]}}},{"id":6534,"uris":["http://zotero.org/users/15244130/items/ZEHEJMHA"],"itemData":{"id":6534,"type":"article-journal","abstract":"This study assessed the relationship between maternal nutritional knowledge in childcare practices and growth of children living in impoverished rural communities. This was an analytical cross-sectional study which covered a random sample of 991 children aged 0-36 month(s). Multivariate analysis showed that, after adjusting for potential confounders, there was a significant positive association between the childcare knowledge index and mean HAZ (beta = 0.10, p = 0.005) but was not associated with mean WHZ. The strength of association increased among women of high socioeconomic status (beta = 0.15, p = 0.014) but there was no significant association among women of low socioeconomic status. Increase in maternal childcare knowledge may contribute significantly to child's nutritional status in Ghana if there is concurrent improvement in socioeconomic circumstances of women living in deprived rural communities.","container-title":"Journal of Health, Population, and Nutrition","ISSN":"1606-0997","issue":"2","journalAbbreviation":"J Health Popul Nutr","language":"eng","note":"PMID: 25076661\nPMCID: PMC4216960","page":"237-248","source":"PubMed","title":"Relationship between mothers' nutritional knowledge in childcare practices and the growth of children living in impoverished rural communities","volume":"32","author":[{"family":"Saaka","given":"Mahama"}],"issued":{"date-parts":[["2014",6]]}}}],"schema":"https://github.com/citation-style-language/schema/raw/master/csl-citation.json"} </w:instrText>
      </w:r>
      <w:r w:rsidR="005D4A4A">
        <w:rPr>
          <w:rFonts w:ascii="Arial" w:hAnsi="Arial" w:cs="Arial"/>
          <w:sz w:val="20"/>
          <w:szCs w:val="20"/>
        </w:rPr>
        <w:fldChar w:fldCharType="separate"/>
      </w:r>
      <w:r w:rsidR="00946A72" w:rsidRPr="00946A72">
        <w:rPr>
          <w:rFonts w:ascii="Arial" w:hAnsi="Arial" w:cs="Arial"/>
          <w:sz w:val="20"/>
        </w:rPr>
        <w:t>(9,12)</w:t>
      </w:r>
      <w:r w:rsidR="005D4A4A">
        <w:rPr>
          <w:rFonts w:ascii="Arial" w:hAnsi="Arial" w:cs="Arial"/>
          <w:sz w:val="20"/>
          <w:szCs w:val="20"/>
        </w:rPr>
        <w:fldChar w:fldCharType="end"/>
      </w:r>
      <w:r w:rsidRPr="00FA4340">
        <w:rPr>
          <w:rFonts w:ascii="Arial" w:hAnsi="Arial" w:cs="Arial"/>
          <w:sz w:val="20"/>
          <w:szCs w:val="20"/>
        </w:rPr>
        <w:t xml:space="preserve">. Similar results have been reported in Kenya and Tanzania, where low minimum acceptable diet scores were associated with stunting and wasting </w:t>
      </w:r>
      <w:r w:rsidR="00946A72">
        <w:rPr>
          <w:rFonts w:ascii="Arial" w:hAnsi="Arial" w:cs="Arial"/>
          <w:sz w:val="20"/>
          <w:szCs w:val="20"/>
        </w:rPr>
        <w:fldChar w:fldCharType="begin"/>
      </w:r>
      <w:r w:rsidR="00946A72">
        <w:rPr>
          <w:rFonts w:ascii="Arial" w:hAnsi="Arial" w:cs="Arial"/>
          <w:sz w:val="20"/>
          <w:szCs w:val="20"/>
        </w:rPr>
        <w:instrText xml:space="preserve"> ADDIN ZOTERO_ITEM CSL_CITATION {"citationID":"LALJ3h1P","properties":{"formattedCitation":"(10,14)","plainCitation":"(10,14)","noteIndex":0},"citationItems":[{"id":6523,"uris":["http://zotero.org/users/15244130/items/YD3T25AD"],"itemData":{"id":6523,"type":"article-journal","abstract":"BACKGROUND: The World Health Organisation (WHO) recommends exclusive breastfeeding during the first six months of life for optimal growth, development and health. Breastfeeding should continue up to two years or more and nutritionally adequate, safe, and appropriately-fed complementary foods should be introduced at the age of six months to meet the evolving needs of the growing infant. Little evidence exists on breastfeeding and infant feeding practices in urban slums in sub-Saharan Africa. Our aim was to assess breastfeeding and infant feeding practices in Nairobi slums with reference to WHO recommendations.\nMETHODS: Data from a longitudinal study conducted in two Nairobi slums are used. The study used information on the first year of life of 4299 children born between September 2006 and January 2010. All women who gave birth during this period were interviewed on breastfeeding and complementary feeding practices at recruitment and this information was updated twice, at four-monthly intervals. Cox proportional hazard analysis was used to determine factors associated with cessation of breastfeeding in infancy and early introduction of complementary foods.\nRESULTS: There was universal breastfeeding with almost all children (99%) having ever been breastfed. However, more than a third (37%) were not breastfed in the first hour following delivery, and 40% were given something to drink other than the mothers' breast milk within 3 days after delivery. About 85% of infants were still breastfeeding by the end of the 11th month. Exclusive breastfeeding for the first six months was rare as only about 2% of infants were exclusively breastfed for six months. Factors associated with sub-optimal infant breastfeeding and feeding practices in these settings include child's sex; perceived size at birth; mother's marital status, ethnicity; education level; family planning (pregnancy desirability); health seeking behaviour (place of delivery) and; neighbourhood (slum of residence).\nCONCLUSIONS: The study indicates poor adherence to WHO recommendations for breastfeeding and infant feeding practices. Interventions and further research should pay attention to factors such as cultural practices, access to and utilization of health care facilities, child feeding education, and family planning.","container-title":"BMC public health","DOI":"10.1186/1471-2458-11-396","ISSN":"1471-2458","journalAbbreviation":"BMC Public Health","language":"eng","note":"PMID: 21615957\nPMCID: PMC3118248","page":"396","source":"PubMed","title":"Patterns and determinants of breastfeeding and complementary feeding practices in urban informal settlements, Nairobi Kenya","volume":"11","author":[{"family":"Kimani-Murage","given":"Elizabeth W."},{"family":"Madise","given":"Nyovani J."},{"family":"Fotso","given":"Jean-Christophe"},{"family":"Kyobutungi","given":"Catherine"},{"family":"Mutua","given":"Martin K."},{"family":"Gitau","given":"Tabither M."},{"family":"Yatich","given":"Nelly"}],"issued":{"date-parts":[["2011",5,26]]}}},{"id":6542,"uris":["http://zotero.org/users/15244130/items/FVVEGN6I"],"itemData":{"id":6542,"type":"article-journal","abstract":"Inappropriate complementary feeding is one of the major causes of undernutrition among young children in Tanzania. Prevalence of newly developed World Health Organization complementary feeding indicators and their associated factors were determined among 2402 children aged 6-23 months in Tanzania using data from the 2010 Tanzania Demographic and Health Survey. The survey used a multistage cluster sample of 10 300 households from the eight geographical zones in the country. The prevalence of the introduction of soft, semi-solid or solid foods among infants aged 6-8 months was 92.3%. Of all the children aged 6-23 months, the prevalence of minimum dietary diversity, meal frequency and acceptable diet were 38.2%, 38.6% and 15.9%, respectively. Results from multivariate analyses indicated that the main risk factors for inappropriate complementary feeding practices in Tanzania include young child's age (6-11 months), lower level of paternal/maternal education, limited access to mass media, lack of post-natal check-ups, and poor economic status. Overall, complementary feeding practices in Tanzania, as measured by dietary diversity, meal frequency and acceptable diet, are not adequately met, and there is a need for interventions to improve the nutritional status of young children in Tanzania.","container-title":"Maternal &amp; Child Nutrition","DOI":"10.1111/j.1740-8709.2012.00435.x","ISSN":"1740-8709","issue":"4","journalAbbreviation":"Matern Child Nutr","language":"eng","note":"PMID: 22925557\nPMCID: PMC6860229","page":"545-561","source":"PubMed","title":"Factors associated with inappropriate complementary feeding practices among children aged 6-23 months in Tanzania","volume":"10","author":[{"family":"Victor","given":"Rose"},{"family":"Baines","given":"Surinder K."},{"family":"Agho","given":"Kingsley E."},{"family":"Dibley","given":"Michael J."}],"issued":{"date-parts":[["2014",10]]}}}],"schema":"https://github.com/citation-style-language/schema/raw/master/csl-citation.json"} </w:instrText>
      </w:r>
      <w:r w:rsidR="00946A72">
        <w:rPr>
          <w:rFonts w:ascii="Arial" w:hAnsi="Arial" w:cs="Arial"/>
          <w:sz w:val="20"/>
          <w:szCs w:val="20"/>
        </w:rPr>
        <w:fldChar w:fldCharType="separate"/>
      </w:r>
      <w:r w:rsidR="00946A72" w:rsidRPr="00946A72">
        <w:rPr>
          <w:rFonts w:ascii="Arial" w:hAnsi="Arial" w:cs="Arial"/>
          <w:sz w:val="20"/>
        </w:rPr>
        <w:t>(10,14)</w:t>
      </w:r>
      <w:r w:rsidR="00946A72">
        <w:rPr>
          <w:rFonts w:ascii="Arial" w:hAnsi="Arial" w:cs="Arial"/>
          <w:sz w:val="20"/>
          <w:szCs w:val="20"/>
        </w:rPr>
        <w:fldChar w:fldCharType="end"/>
      </w:r>
      <w:r w:rsidRPr="00FA4340">
        <w:rPr>
          <w:rFonts w:ascii="Arial" w:hAnsi="Arial" w:cs="Arial"/>
          <w:sz w:val="20"/>
          <w:szCs w:val="20"/>
        </w:rPr>
        <w:t>. The consistency across these studies highlights that while exclusive breastfeeding rates have improved in many LMICs, complementary feeding practices remain a major challenge due to poverty, food insecurity, and limited nutrition education. The implication for practice is that interventions must focus on complementary feeding quality by emphasizing affordable, locally available, nutrient-rich foods and conducting cooking demonstrations to improve dietary diversity and meal frequency.</w:t>
      </w:r>
    </w:p>
    <w:p w14:paraId="4C73A92D" w14:textId="0B5C31BD" w:rsidR="00FA4340" w:rsidRPr="00FA4340" w:rsidRDefault="00FA4340" w:rsidP="00FA4340">
      <w:pPr>
        <w:rPr>
          <w:rFonts w:ascii="Arial" w:hAnsi="Arial" w:cs="Arial"/>
          <w:sz w:val="20"/>
          <w:szCs w:val="20"/>
        </w:rPr>
      </w:pPr>
      <w:r w:rsidRPr="00FA4340">
        <w:rPr>
          <w:rFonts w:ascii="Arial" w:hAnsi="Arial" w:cs="Arial"/>
          <w:sz w:val="20"/>
          <w:szCs w:val="20"/>
        </w:rPr>
        <w:t xml:space="preserve">The prevalence of malnutrition in this study was substantial, with 22.2% stunted, 16.3% underweight, and 9.4% wasted. These results are comparable to findings from Northern Ghana, where stunting prevalence typically ranges between 20% and 30% </w:t>
      </w:r>
      <w:r w:rsidR="00022730">
        <w:rPr>
          <w:rFonts w:ascii="Arial" w:hAnsi="Arial" w:cs="Arial"/>
          <w:sz w:val="20"/>
          <w:szCs w:val="20"/>
        </w:rPr>
        <w:fldChar w:fldCharType="begin"/>
      </w:r>
      <w:r w:rsidR="00022730">
        <w:rPr>
          <w:rFonts w:ascii="Arial" w:hAnsi="Arial" w:cs="Arial"/>
          <w:sz w:val="20"/>
          <w:szCs w:val="20"/>
        </w:rPr>
        <w:instrText xml:space="preserve"> ADDIN ZOTERO_ITEM CSL_CITATION {"citationID":"btIR0Th5","properties":{"formattedCitation":"(9)","plainCitation":"(9)","noteIndex":0},"citationItems":[{"id":6536,"uris":["http://zotero.org/users/15244130/items/JQNMNGPL"],"itemData":{"id":6536,"type":"article-journal","abstract":"Objective\n              . The main aim of the study was to assess the magnitude of concurrent wasting and stunting among Ghanaian preschool children. Secondly, we investigated the relationship between wasting and stunting as well as factors associated with these conditions.\n              Methods\n              . This paper is based on reanalysis of anthropometric and other relevant data which was collected in the 2014 Ghana Demographic and Health Survey. The data set consisted of 2,720 preschool children aged 0–59 months. We conducted three-step moderated hierarchical multiple regression analyses to determine independent predictors and moderators of height-for-age\n              \n                \n                  Z\n                \n              \n              -score.\n              Results\n              . Nationally, the prevalence of concurrent wasting and stunting among children aged 0–59 months was low at 1.4% but it varied geographically with the Upper East Region having the highest prevalence of 3.2% (95% CI: 1.7–5.8). Children who had low weight-for-height\n              \n                \n                  Z\n                \n              \n              -scores were at a higher risk of linear growth retardation (stunting) especially among children aged less than three years. A 1-unit increase in weight-for-height\n              \n                \n                  Z\n                \n              \n              -score (WHZ) was associated with 0.07 standard units’ increase in height-for-age\n              \n                \n                  Z\n                \n              \n              -score (HAZ) [\n              β\n              = 0.071 (95% CI: 0.03, 0.15)].\n              Conclusions\n              . The study results suggest that weight-for-height relates to linear growth but this relationship is moderated by age of child. Stunting and wasting share some common risk factors. Therefore, measures to prevent wasting may positively influence linear growth.","container-title":"Journal of Nutrition and Metabolism","DOI":"10.1155/2016/4654920","ISSN":"2090-0724, 2090-0732","journalAbbreviation":"Journal of Nutrition and Metabolism","language":"en","license":"http://creativecommons.org/licenses/by/4.0/","page":"1-11","source":"DOI.org (Crossref)","title":"Relationships between Wasting and Stunting and Their Concurrent Occurrence in Ghanaian Preschool Children","volume":"2016","author":[{"family":"Saaka","given":"Mahama"},{"family":"Galaa","given":"Sylvester Zackaria"}],"issued":{"date-parts":[["2016"]]}}}],"schema":"https://github.com/citation-style-language/schema/raw/master/csl-citation.json"} </w:instrText>
      </w:r>
      <w:r w:rsidR="00022730">
        <w:rPr>
          <w:rFonts w:ascii="Arial" w:hAnsi="Arial" w:cs="Arial"/>
          <w:sz w:val="20"/>
          <w:szCs w:val="20"/>
        </w:rPr>
        <w:fldChar w:fldCharType="separate"/>
      </w:r>
      <w:r w:rsidR="00022730" w:rsidRPr="00022730">
        <w:rPr>
          <w:rFonts w:ascii="Arial" w:hAnsi="Arial" w:cs="Arial"/>
          <w:sz w:val="20"/>
        </w:rPr>
        <w:t>(9)</w:t>
      </w:r>
      <w:r w:rsidR="00022730">
        <w:rPr>
          <w:rFonts w:ascii="Arial" w:hAnsi="Arial" w:cs="Arial"/>
          <w:sz w:val="20"/>
          <w:szCs w:val="20"/>
        </w:rPr>
        <w:fldChar w:fldCharType="end"/>
      </w:r>
      <w:r w:rsidRPr="00FA4340">
        <w:rPr>
          <w:rFonts w:ascii="Arial" w:hAnsi="Arial" w:cs="Arial"/>
          <w:sz w:val="20"/>
          <w:szCs w:val="20"/>
        </w:rPr>
        <w:t xml:space="preserve">, and wasting between 7% and 12% </w:t>
      </w:r>
      <w:r w:rsidR="00022730">
        <w:rPr>
          <w:rFonts w:ascii="Arial" w:hAnsi="Arial" w:cs="Arial"/>
          <w:sz w:val="20"/>
          <w:szCs w:val="20"/>
        </w:rPr>
        <w:fldChar w:fldCharType="begin"/>
      </w:r>
      <w:r w:rsidR="00022730">
        <w:rPr>
          <w:rFonts w:ascii="Arial" w:hAnsi="Arial" w:cs="Arial"/>
          <w:sz w:val="20"/>
          <w:szCs w:val="20"/>
        </w:rPr>
        <w:instrText xml:space="preserve"> ADDIN ZOTERO_ITEM CSL_CITATION {"citationID":"TIND1pxs","properties":{"formattedCitation":"(25)","plainCitation":"(25)","noteIndex":0},"citationItems":[{"id":6504,"uris":["http://zotero.org/users/15244130/items/7I62G87X"],"itemData":{"id":6504,"type":"article-journal","abstract":"BACKGROUND: Undernutrition among preschool children in Northern region is the highest in Ghana. However, there is scarcity of data on the factors that determine undernutrition in these children. This study investigated the effect of maternal and child factors on undernutrition among preschool children in Northern Ghana.\nMETHODS: This study was a community based analytical cross-sectional survey on a sample of 425 mother- child pairs drawn from 25 clusters. A semi- structured questionnaire was used to collect data on maternal and child socio-demographic characteristics, feeding practices and anthropometry. Anthropometric indices of Height-for-age Z-scores (HAZ), Weight-for-height Z-scores (WHZ) and Weight-for - age Z-scores (WAZ) were used to classify child stunting, wasting and underweight respectively. Bivariate and multivariate analyses were performed to determine associations between explanatory variables and undernutrition.\nRESULTS: The prevalence of stunting, wasting and underweight were 28.2, 9.9 and 19.3% respectively. Multiple logistic regression analysis showed that, the odds of stunting was higher among male children [AOR = 1.99; 95% CI (1.26-3.13); p = 0.003], children of mothers less than 150 cm in height [AOR = 3.87; 95% CI (1.34-11.20); p = 0.01], mothers 155-159 cm tall [AOR = 2.21; 95% CI (1.34-3.66); p = 0.002], and older children aged 12-23 months [AOR 9.81; 95% CI (2.85-33.76); p &lt; 0.001]. Wasting was significantly higher among male children [AOR = 2.40; 95% CI (1.189-4.844); p = 0.015], consumption of less than four food groups [AOR = 3.733; 95% CI (1.889-7.376); p &lt; 0.001] and among children of underweight mothers [AOR = 3.897; 95% CI (1.404-10.820); p = 0.009]. Male children [AOR = 2.685; 95% CI (1.205-5.98); p = 0.016] and having low birth weight [AOR = 3.778; 95% CI (1.440-9.911); p &lt; 0.001] were associated with higher odds of underweight in children.\nCONCLUSION: Maternal height associated negatively with stunting but not wasting. Factors that affect low height -for-age z-score (HAZ) may not necessarily be the same as stunting. Infant and child feeding practices as measured by dietary diversity score associated positively with weight-for-height Z-scores than length-for-age Z-scores of young children. Surprisingly, consumption of some specific food groups including, animal source foods, legumes, staples and eggs were associated with lower HAZ but with increased likelihood of higher WHZ among children 6-59 months.","container-title":"BMC nutrition","DOI":"10.1186/s40795-017-0154-2","ISSN":"2055-0928","journalAbbreviation":"BMC Nutr","language":"eng","note":"PMID: 32153813\nPMCID: PMC7050753","page":"31","source":"PubMed","title":"The effect of maternal and child factors on stunting, wasting and underweight among preschool children in Northern Ghana","volume":"3","author":[{"family":"Ali","given":"Zakari"},{"family":"Saaka","given":"Mahama"},{"family":"Adams","given":"Abdul-Ganiyu"},{"family":"Kamwininaang","given":"Stephen K."},{"family":"Abizari","given":"Abdul-Razak"}],"issued":{"date-parts":[["2017"]]}}}],"schema":"https://github.com/citation-style-language/schema/raw/master/csl-citation.json"} </w:instrText>
      </w:r>
      <w:r w:rsidR="00022730">
        <w:rPr>
          <w:rFonts w:ascii="Arial" w:hAnsi="Arial" w:cs="Arial"/>
          <w:sz w:val="20"/>
          <w:szCs w:val="20"/>
        </w:rPr>
        <w:fldChar w:fldCharType="separate"/>
      </w:r>
      <w:r w:rsidR="00022730" w:rsidRPr="00022730">
        <w:rPr>
          <w:rFonts w:ascii="Arial" w:hAnsi="Arial" w:cs="Arial"/>
          <w:sz w:val="20"/>
        </w:rPr>
        <w:t>(25)</w:t>
      </w:r>
      <w:r w:rsidR="00022730">
        <w:rPr>
          <w:rFonts w:ascii="Arial" w:hAnsi="Arial" w:cs="Arial"/>
          <w:sz w:val="20"/>
          <w:szCs w:val="20"/>
        </w:rPr>
        <w:fldChar w:fldCharType="end"/>
      </w:r>
      <w:r w:rsidRPr="00FA4340">
        <w:rPr>
          <w:rFonts w:ascii="Arial" w:hAnsi="Arial" w:cs="Arial"/>
          <w:sz w:val="20"/>
          <w:szCs w:val="20"/>
        </w:rPr>
        <w:t>. The figures are slightly higher than the national averages reported by the 2022 DHS, where stunting was 17% and wasting 6%. This discrepancy reflects the persistent regional disparities in child malnutrition, with Northern Ghana consistently showing worse outcomes due to high poverty, seasonal food insecurity, and poor dietary diversity</w:t>
      </w:r>
      <w:r w:rsidR="005A487B">
        <w:rPr>
          <w:rFonts w:ascii="Arial" w:hAnsi="Arial" w:cs="Arial"/>
          <w:sz w:val="20"/>
          <w:szCs w:val="20"/>
        </w:rPr>
        <w:fldChar w:fldCharType="begin"/>
      </w:r>
      <w:r w:rsidR="005A487B">
        <w:rPr>
          <w:rFonts w:ascii="Arial" w:hAnsi="Arial" w:cs="Arial"/>
          <w:sz w:val="20"/>
          <w:szCs w:val="20"/>
        </w:rPr>
        <w:instrText xml:space="preserve"> ADDIN ZOTERO_ITEM CSL_CITATION {"citationID":"CMaC1XnU","properties":{"formattedCitation":"(4,7)","plainCitation":"(4,7)","noteIndex":0},"citationItems":[{"id":6545,"uris":["http://zotero.org/users/15244130/items/Y99EI62Z"],"itemData":{"id":6545,"type":"article-journal","container-title":"The Lancet","DOI":"10.1016/S0140-6736(13)60937-X","ISSN":"01406736","issue":"9890","journalAbbreviation":"The Lancet","language":"en","page":"427-451","source":"DOI.org (Crossref)","title":"Maternal and child undernutrition and overweight in low-income and middle-income countries","volume":"382","author":[{"family":"Black","given":"Robert E"},{"family":"Victora","given":"Cesar G"},{"family":"Walker","given":"Susan P"},{"family":"Bhutta","given":"Zulfiqar A"},{"family":"Christian","given":"Parul"},{"family":"De Onis","given":"Mercedes"},{"family":"Ezzati","given":"Majid"},{"family":"Grantham-McGregor","given":"Sally"},{"family":"Katz","given":"Joanne"},{"family":"Martorell","given":"Reynaldo"},{"family":"Uauy","given":"Ricardo"}],"issued":{"date-parts":[["2013",8]]}}},{"id":6521,"uris":["http://zotero.org/users/15244130/items/B3VUJMUX"],"itemData":{"id":6521,"type":"article-journal","abstract":"Background\n              Stunting and overweight are nutritional problems affecting most of sub-Saharan Africa. The region now has the world's highest rate of stunting among children (43%), while overweight and obesity are becoming a global epidemic, and Africa is not spared. The past two decades have seen a dramatic increase in obesity in sub-Saharan Africa.\n            \n            \n              Objective\n              The purpose of this systematic review is to explore the determinants of stunting and overweight in sub-Saharan Africa.\n            \n            \n              Methods\n              A literature search was conducted in PubMed using the key words stunting, overweight, obesity, Africa, sub-Saharan Africa, determinants, and prevalence. Limits were set to include articles published between 1990 and 2012. The systematic review resulted in 38 studies, and after selection based on title, content, and country of the study, 18 studies were eligible for this review. Data were analyzed by the chi-square test.\n            \n            \n              Results\n              The prevalence rates of stunting and over-weight were dependent on socioeconomic, demographic, and environmental factors. Many studies indicate that male children and those living in a rural setting are more likely to be stunted, whereas overweight among children depends more on age, household composition, occupation of the mother, and the mother's body mass index. Stunting occurred together with overweight among both boys and girls from 1 to 5 years of age. Stunting was more prevalent among boys than among girls. Indicators of socioeconomic status, such as mother's education, mother's occupation, and household income, were some of the determinants directly linked to stunting, whereas environmental factors, such as rural or urban setting and sanitation, influenced both stunting and overweight. Concurrent stunting and overweight is influenced by maternal and household factors, such as maternal height, age, and education, large household size, and lower socioeconomic status.\n            \n            \n              Conclusions\n              Although socioeconomic, demographic, and environmental factors were significant in determining stunting and overweight, other factors, such as nutrition and lifestyle, were important risk factors. Stunting in childhood is a risk factor that may result in overweight and obesity later in adolescence and adulthood, indicating the need to screen children below 1 year of age to identify stunting early in life. Promoting exclusive breastfeeding is reported to be important in preventing both stunting and overweight among children. More research is needed to explore the relationship between stunting and overweight and to explore policy guidelines to address the phenomenon.","container-title":"Food and Nutrition Bulletin","DOI":"10.1177/156482651403500203","ISSN":"0379-5721, 1564-8265","issue":"2","journalAbbreviation":"Food Nutr Bull","language":"en","page":"167-178","source":"DOI.org (Crossref)","title":"Determinants of Stunting and Overweight among Young Children and Adolescents in Sub-Saharan Africa","volume":"35","author":[{"family":"Keino","given":"Susan"},{"family":"Plasqui","given":"Guy"},{"family":"Ettyang","given":"Grace"},{"family":"Van Den Borne","given":"Bart"}],"issued":{"date-parts":[["2014",6]]}}}],"schema":"https://github.com/citation-style-language/schema/raw/master/csl-citation.json"} </w:instrText>
      </w:r>
      <w:r w:rsidR="005A487B">
        <w:rPr>
          <w:rFonts w:ascii="Arial" w:hAnsi="Arial" w:cs="Arial"/>
          <w:sz w:val="20"/>
          <w:szCs w:val="20"/>
        </w:rPr>
        <w:fldChar w:fldCharType="separate"/>
      </w:r>
      <w:r w:rsidR="005A487B" w:rsidRPr="005A487B">
        <w:rPr>
          <w:rFonts w:ascii="Arial" w:hAnsi="Arial" w:cs="Arial"/>
          <w:sz w:val="20"/>
        </w:rPr>
        <w:t>(4,7)</w:t>
      </w:r>
      <w:r w:rsidR="005A487B">
        <w:rPr>
          <w:rFonts w:ascii="Arial" w:hAnsi="Arial" w:cs="Arial"/>
          <w:sz w:val="20"/>
          <w:szCs w:val="20"/>
        </w:rPr>
        <w:fldChar w:fldCharType="end"/>
      </w:r>
      <w:r w:rsidRPr="00FA4340">
        <w:rPr>
          <w:rFonts w:ascii="Arial" w:hAnsi="Arial" w:cs="Arial"/>
          <w:sz w:val="20"/>
          <w:szCs w:val="20"/>
        </w:rPr>
        <w:t>. The implication is that West Gonja should be recognized as a high-priority area for nutrition interventions, and that targeted programs addressing food security and infant feeding should be scaled up in this region.</w:t>
      </w:r>
    </w:p>
    <w:p w14:paraId="0C2DF4E0" w14:textId="53BCACCF" w:rsidR="00FA4340" w:rsidRPr="00FA4340" w:rsidRDefault="00FA4340" w:rsidP="00FA4340">
      <w:pPr>
        <w:rPr>
          <w:rFonts w:ascii="Arial" w:hAnsi="Arial" w:cs="Arial"/>
          <w:sz w:val="20"/>
          <w:szCs w:val="20"/>
        </w:rPr>
      </w:pPr>
      <w:r w:rsidRPr="00FA4340">
        <w:rPr>
          <w:rFonts w:ascii="Arial" w:hAnsi="Arial" w:cs="Arial"/>
          <w:sz w:val="20"/>
          <w:szCs w:val="20"/>
        </w:rPr>
        <w:t>Maternal education emerged as a strong predictor of child nutritional outcomes. Mothers with no formal education or only primary education were significantly more likely to have malnourished children compared to those with tertiary education. This finding aligns with evidence from Kenya and Ethiopia, where maternal education consistently predicted better child growth through improved feeding knowledge and healthcare-seeking behavior (</w:t>
      </w:r>
      <w:r w:rsidR="00B61AAC">
        <w:rPr>
          <w:rFonts w:ascii="Arial" w:hAnsi="Arial" w:cs="Arial"/>
          <w:sz w:val="20"/>
          <w:szCs w:val="20"/>
        </w:rPr>
        <w:fldChar w:fldCharType="begin"/>
      </w:r>
      <w:r w:rsidR="00B61AAC">
        <w:rPr>
          <w:rFonts w:ascii="Arial" w:hAnsi="Arial" w:cs="Arial"/>
          <w:sz w:val="20"/>
          <w:szCs w:val="20"/>
        </w:rPr>
        <w:instrText xml:space="preserve"> ADDIN ZOTERO_ITEM CSL_CITATION {"citationID":"PSHvrr9f","properties":{"formattedCitation":"(7,17)","plainCitation":"(7,17)","noteIndex":0},"citationItems":[{"id":6521,"uris":["http://zotero.org/users/15244130/items/B3VUJMUX"],"itemData":{"id":6521,"type":"article-journal","abstract":"Background\n              Stunting and overweight are nutritional problems affecting most of sub-Saharan Africa. The region now has the world's highest rate of stunting among children (43%), while overweight and obesity are becoming a global epidemic, and Africa is not spared. The past two decades have seen a dramatic increase in obesity in sub-Saharan Africa.\n            \n            \n              Objective\n              The purpose of this systematic review is to explore the determinants of stunting and overweight in sub-Saharan Africa.\n            \n            \n              Methods\n              A literature search was conducted in PubMed using the key words stunting, overweight, obesity, Africa, sub-Saharan Africa, determinants, and prevalence. Limits were set to include articles published between 1990 and 2012. The systematic review resulted in 38 studies, and after selection based on title, content, and country of the study, 18 studies were eligible for this review. Data were analyzed by the chi-square test.\n            \n            \n              Results\n              The prevalence rates of stunting and over-weight were dependent on socioeconomic, demographic, and environmental factors. Many studies indicate that male children and those living in a rural setting are more likely to be stunted, whereas overweight among children depends more on age, household composition, occupation of the mother, and the mother's body mass index. Stunting occurred together with overweight among both boys and girls from 1 to 5 years of age. Stunting was more prevalent among boys than among girls. Indicators of socioeconomic status, such as mother's education, mother's occupation, and household income, were some of the determinants directly linked to stunting, whereas environmental factors, such as rural or urban setting and sanitation, influenced both stunting and overweight. Concurrent stunting and overweight is influenced by maternal and household factors, such as maternal height, age, and education, large household size, and lower socioeconomic status.\n            \n            \n              Conclusions\n              Although socioeconomic, demographic, and environmental factors were significant in determining stunting and overweight, other factors, such as nutrition and lifestyle, were important risk factors. Stunting in childhood is a risk factor that may result in overweight and obesity later in adolescence and adulthood, indicating the need to screen children below 1 year of age to identify stunting early in life. Promoting exclusive breastfeeding is reported to be important in preventing both stunting and overweight among children. More research is needed to explore the relationship between stunting and overweight and to explore policy guidelines to address the phenomenon.","container-title":"Food and Nutrition Bulletin","DOI":"10.1177/156482651403500203","ISSN":"0379-5721, 1564-8265","issue":"2","journalAbbreviation":"Food Nutr Bull","language":"en","page":"167-178","source":"DOI.org (Crossref)","title":"Determinants of Stunting and Overweight among Young Children and Adolescents in Sub-Saharan Africa","volume":"35","author":[{"family":"Keino","given":"Susan"},{"family":"Plasqui","given":"Guy"},{"family":"Ettyang","given":"Grace"},{"family":"Van Den Borne","given":"Bart"}],"issued":{"date-parts":[["2014",6]]}}},{"id":6566,"uris":["http://zotero.org/users/15244130/items/S45GUM8M"],"itemData":{"id":6566,"type":"article-journal","abstract":"BACKGROUND: Stunting reflects chronic undernutrition during the most critical periods of growth and development in early life. The study was aimed at assessing the magnitude of stunting and associated factors among children aged 6-59 month in central Ethiopia.\nMETHODS: A community-based cross-sectional study was conducted among 410 children aged between 6 and 59 months. Systematic random sampling technique was employed to select study participants. Interviewer-administered structured questionnaire was used to collect data. The data were entered using EPI INFO version 3.5.1, and analysis was done by SPSS version 21 and ENA, 2007 software for anthropometric calculation. World Health Organization standard 2006 was used to analyse anthropometric data. Bivariate and multivariable logistic regression analyses were also carried out to identify predictors of stunting. Statistical significance was declared at p &lt; 0.05 and 95% CI.\nRESULTS: Overall magnitude of stunting was 52.4 (95% CI: 47.6-57.2). Being female (AOR: 2.8, 95% CI: 1.503-5.099), belonging to age group of 25-59 months (AOR: 4, 95% CI: 1.881-8.424) and birth weight of &lt;2.5 kg (AOR: 5, 95% CI: 1.450-17.309), mothers' lack of ANC visits (AOR: 3.2 95% CI: 1.40-7.10), and mistimed complementary feeding initiation (AOR: 2.4, 95% CI: 1.266-4.606) were positively associated with child stunting, whereas educational status of the mother (AOR: 0.01, 95% CI: 0.001-0.063) showed negative association.\nCONCLUSION: Stunting was a highly prevalent problem in the study area. Low weight at birth, female sex, older age, mistimed initiation of complimentary feeding, and mothers' lack of ANC visit were found to have significant relation with children's chronic malnutrition. Thus, interventions shall effectively address those factors to alleviate the problem.","container-title":"Journal of Nutrition and Metabolism","DOI":"10.1155/2018/1078480","ISSN":"2090-0724","journalAbbreviation":"J Nutr Metab","language":"eng","note":"PMID: 30046469\nPMCID: PMC6036796","page":"1078480","source":"PubMed","title":"Stunting and Its Determinants among Children Aged 6-59 Months in Northern Ethiopia: A Cross-Sectional Study","title-short":"Stunting and Its Determinants among Children Aged 6-59 Months in Northern Ethiopia","volume":"2018","author":[{"family":"Abeway","given":"Shiferaw"},{"family":"Gebremichael","given":"Bereket"},{"family":"Murugan","given":"Rajalakshmi"},{"family":"Assefa","given":"Masresha"},{"family":"Adinew","given":"Yohannes Mehretie"}],"issued":{"date-parts":[["2018"]]}}}],"schema":"https://github.com/citation-style-language/schema/raw/master/csl-citation.json"} </w:instrText>
      </w:r>
      <w:r w:rsidR="00B61AAC">
        <w:rPr>
          <w:rFonts w:ascii="Arial" w:hAnsi="Arial" w:cs="Arial"/>
          <w:sz w:val="20"/>
          <w:szCs w:val="20"/>
        </w:rPr>
        <w:fldChar w:fldCharType="separate"/>
      </w:r>
      <w:r w:rsidR="00B61AAC" w:rsidRPr="00B61AAC">
        <w:rPr>
          <w:rFonts w:ascii="Arial" w:hAnsi="Arial" w:cs="Arial"/>
          <w:sz w:val="20"/>
        </w:rPr>
        <w:t>(7,17)</w:t>
      </w:r>
      <w:r w:rsidR="00B61AAC">
        <w:rPr>
          <w:rFonts w:ascii="Arial" w:hAnsi="Arial" w:cs="Arial"/>
          <w:sz w:val="20"/>
          <w:szCs w:val="20"/>
        </w:rPr>
        <w:fldChar w:fldCharType="end"/>
      </w:r>
      <w:r w:rsidRPr="00FA4340">
        <w:rPr>
          <w:rFonts w:ascii="Arial" w:hAnsi="Arial" w:cs="Arial"/>
          <w:sz w:val="20"/>
          <w:szCs w:val="20"/>
        </w:rPr>
        <w:t>. It is also supported by Ali et al.</w:t>
      </w:r>
      <w:r w:rsidR="00B61AAC">
        <w:rPr>
          <w:rFonts w:ascii="Arial" w:hAnsi="Arial" w:cs="Arial"/>
          <w:sz w:val="20"/>
          <w:szCs w:val="20"/>
        </w:rPr>
        <w:fldChar w:fldCharType="begin"/>
      </w:r>
      <w:r w:rsidR="00B61AAC">
        <w:rPr>
          <w:rFonts w:ascii="Arial" w:hAnsi="Arial" w:cs="Arial"/>
          <w:sz w:val="20"/>
          <w:szCs w:val="20"/>
        </w:rPr>
        <w:instrText xml:space="preserve"> ADDIN ZOTERO_ITEM CSL_CITATION {"citationID":"ykbqIulT","properties":{"formattedCitation":"(25)","plainCitation":"(25)","noteIndex":0},"citationItems":[{"id":6504,"uris":["http://zotero.org/users/15244130/items/7I62G87X"],"itemData":{"id":6504,"type":"article-journal","abstract":"BACKGROUND: Undernutrition among preschool children in Northern region is the highest in Ghana. However, there is scarcity of data on the factors that determine undernutrition in these children. This study investigated the effect of maternal and child factors on undernutrition among preschool children in Northern Ghana.\nMETHODS: This study was a community based analytical cross-sectional survey on a sample of 425 mother- child pairs drawn from 25 clusters. A semi- structured questionnaire was used to collect data on maternal and child socio-demographic characteristics, feeding practices and anthropometry. Anthropometric indices of Height-for-age Z-scores (HAZ), Weight-for-height Z-scores (WHZ) and Weight-for - age Z-scores (WAZ) were used to classify child stunting, wasting and underweight respectively. Bivariate and multivariate analyses were performed to determine associations between explanatory variables and undernutrition.\nRESULTS: The prevalence of stunting, wasting and underweight were 28.2, 9.9 and 19.3% respectively. Multiple logistic regression analysis showed that, the odds of stunting was higher among male children [AOR = 1.99; 95% CI (1.26-3.13); p = 0.003], children of mothers less than 150 cm in height [AOR = 3.87; 95% CI (1.34-11.20); p = 0.01], mothers 155-159 cm tall [AOR = 2.21; 95% CI (1.34-3.66); p = 0.002], and older children aged 12-23 months [AOR 9.81; 95% CI (2.85-33.76); p &lt; 0.001]. Wasting was significantly higher among male children [AOR = 2.40; 95% CI (1.189-4.844); p = 0.015], consumption of less than four food groups [AOR = 3.733; 95% CI (1.889-7.376); p &lt; 0.001] and among children of underweight mothers [AOR = 3.897; 95% CI (1.404-10.820); p = 0.009]. Male children [AOR = 2.685; 95% CI (1.205-5.98); p = 0.016] and having low birth weight [AOR = 3.778; 95% CI (1.440-9.911); p &lt; 0.001] were associated with higher odds of underweight in children.\nCONCLUSION: Maternal height associated negatively with stunting but not wasting. Factors that affect low height -for-age z-score (HAZ) may not necessarily be the same as stunting. Infant and child feeding practices as measured by dietary diversity score associated positively with weight-for-height Z-scores than length-for-age Z-scores of young children. Surprisingly, consumption of some specific food groups including, animal source foods, legumes, staples and eggs were associated with lower HAZ but with increased likelihood of higher WHZ among children 6-59 months.","container-title":"BMC nutrition","DOI":"10.1186/s40795-017-0154-2","ISSN":"2055-0928","journalAbbreviation":"BMC Nutr","language":"eng","note":"PMID: 32153813\nPMCID: PMC7050753","page":"31","source":"PubMed","title":"The effect of maternal and child factors on stunting, wasting and underweight among preschool children in Northern Ghana","volume":"3","author":[{"family":"Ali","given":"Zakari"},{"family":"Saaka","given":"Mahama"},{"family":"Adams","given":"Abdul-Ganiyu"},{"family":"Kamwininaang","given":"Stephen K."},{"family":"Abizari","given":"Abdul-Razak"}],"issued":{"date-parts":[["2017"]]}}}],"schema":"https://github.com/citation-style-language/schema/raw/master/csl-citation.json"} </w:instrText>
      </w:r>
      <w:r w:rsidR="00B61AAC">
        <w:rPr>
          <w:rFonts w:ascii="Arial" w:hAnsi="Arial" w:cs="Arial"/>
          <w:sz w:val="20"/>
          <w:szCs w:val="20"/>
        </w:rPr>
        <w:fldChar w:fldCharType="separate"/>
      </w:r>
      <w:r w:rsidR="00B61AAC" w:rsidRPr="00B61AAC">
        <w:rPr>
          <w:rFonts w:ascii="Arial" w:hAnsi="Arial" w:cs="Arial"/>
          <w:sz w:val="20"/>
        </w:rPr>
        <w:t>(25)</w:t>
      </w:r>
      <w:r w:rsidR="00B61AAC">
        <w:rPr>
          <w:rFonts w:ascii="Arial" w:hAnsi="Arial" w:cs="Arial"/>
          <w:sz w:val="20"/>
          <w:szCs w:val="20"/>
        </w:rPr>
        <w:fldChar w:fldCharType="end"/>
      </w:r>
      <w:r w:rsidRPr="00FA4340">
        <w:rPr>
          <w:rFonts w:ascii="Arial" w:hAnsi="Arial" w:cs="Arial"/>
          <w:sz w:val="20"/>
          <w:szCs w:val="20"/>
        </w:rPr>
        <w:t>, who found that educated mothers in Northern Ghana had lower odds of raising malnourished children. The consistency arises because education enhances a mother’s ability to understand and implement feeding recommendations, access health services, and improve household food choices. The implication is that health education programs should tailor communication strategies for low-literacy mothers, using visual aids, storytelling, and practical demonstrations to ensure key messages are understood and adopted.</w:t>
      </w:r>
    </w:p>
    <w:p w14:paraId="5A17DA77" w14:textId="534E25C3" w:rsidR="00FA4340" w:rsidRPr="00FA4340" w:rsidRDefault="00FA4340" w:rsidP="00FA4340">
      <w:pPr>
        <w:rPr>
          <w:rFonts w:ascii="Arial" w:hAnsi="Arial" w:cs="Arial"/>
          <w:sz w:val="20"/>
          <w:szCs w:val="20"/>
        </w:rPr>
      </w:pPr>
      <w:r w:rsidRPr="00FA4340">
        <w:rPr>
          <w:rFonts w:ascii="Arial" w:hAnsi="Arial" w:cs="Arial"/>
          <w:sz w:val="20"/>
          <w:szCs w:val="20"/>
        </w:rPr>
        <w:t xml:space="preserve">Occupation also showed a strong association with malnutrition, as children of mothers who were farmers or housewives were more likely to be malnourished than those of formally employed mothers. This finding is consistent with studies in Ghana and Nigeria, which have shown that women with lower-income occupations are more vulnerable to food insecurity and less able to provide diverse diets for their children </w:t>
      </w:r>
      <w:r w:rsidR="00B61AAC">
        <w:rPr>
          <w:rFonts w:ascii="Arial" w:hAnsi="Arial" w:cs="Arial"/>
          <w:sz w:val="20"/>
          <w:szCs w:val="20"/>
        </w:rPr>
        <w:fldChar w:fldCharType="begin"/>
      </w:r>
      <w:r w:rsidR="00052460">
        <w:rPr>
          <w:rFonts w:ascii="Arial" w:hAnsi="Arial" w:cs="Arial"/>
          <w:sz w:val="20"/>
          <w:szCs w:val="20"/>
        </w:rPr>
        <w:instrText xml:space="preserve"> ADDIN ZOTERO_ITEM CSL_CITATION {"citationID":"CEpmeOyi","properties":{"formattedCitation":"(9,16)","plainCitation":"(9,16)","noteIndex":0},"citationItems":[{"id":6536,"uris":["http://zotero.org/users/15244130/items/JQNMNGPL"],"itemData":{"id":6536,"type":"article-journal","abstract":"Objective\n              . The main aim of the study was to assess the magnitude of concurrent wasting and stunting among Ghanaian preschool children. Secondly, we investigated the relationship between wasting and stunting as well as factors associated with these conditions.\n              Methods\n              . This paper is based on reanalysis of anthropometric and other relevant data which was collected in the 2014 Ghana Demographic and Health Survey. The data set consisted of 2,720 preschool children aged 0–59 months. We conducted three-step moderated hierarchical multiple regression analyses to determine independent predictors and moderators of height-for-age\n              \n                \n                  Z\n                \n              \n              -score.\n              Results\n              . Nationally, the prevalence of concurrent wasting and stunting among children aged 0–59 months was low at 1.4% but it varied geographically with the Upper East Region having the highest prevalence of 3.2% (95% CI: 1.7–5.8). Children who had low weight-for-height\n              \n                \n                  Z\n                \n              \n              -scores were at a higher risk of linear growth retardation (stunting) especially among children aged less than three years. A 1-unit increase in weight-for-height\n              \n                \n                  Z\n                \n              \n              -score (WHZ) was associated with 0.07 standard units’ increase in height-for-age\n              \n                \n                  Z\n                \n              \n              -score (HAZ) [\n              β\n              = 0.071 (95% CI: 0.03, 0.15)].\n              Conclusions\n              . The study results suggest that weight-for-height relates to linear growth but this relationship is moderated by age of child. Stunting and wasting share some common risk factors. Therefore, measures to prevent wasting may positively influence linear growth.","container-title":"Journal of Nutrition and Metabolism","DOI":"10.1155/2016/4654920","ISSN":"2090-0724, 2090-0732","journalAbbreviation":"Journal of Nutrition and Metabolism","language":"en","license":"http://creativecommons.org/licenses/by/4.0/","page":"1-11","source":"DOI.org (Crossref)","title":"Relationships between Wasting and Stunting and Their Concurrent Occurrence in Ghanaian Preschool Children","volume":"2016","author":[{"family":"Saaka","given":"Mahama"},{"family":"Galaa","given":"Sylvester Zackaria"}],"issued":{"date-parts":[["2016"]]}}},{"id":6531,"uris":["http://zotero.org/users/15244130/items/ZQBV8PC7"],"itemData":{"id":6531,"type":"article-journal","abstract":"BACKGROUND: The success of breastfeeding promotion is influenced by maternal factors. Therefore, it is vital to examine the influence of basic maternal demographic factors on breastfeeding practices.\nOBJECTIVE: To determine the influence of maternal socio-demographic factors on the initiation and exclusivity of breastfeeding.\nMETHOD: A cross-sectional survey of mothers of children aged from 1 to 24 months attending a Nigerian Infant Welfare Clinic was conducted. Respondents were grouped according to age, parity, education, occupation, sites of antenatal care and delivery. These groups were compared for breastfeeding indices using bivariate and multivariate analysis.\nRESULTS: All the 262 respondents breastfed their children. The exclusive breastfeeding rate was 33.3% for children aged 0-3 months, 22.2% for children aged 4-6 months and 19.4% for children aged 7-24 months at the time of the study. Significantly higher proportions of mothers with at least secondary education, clinic-based antenatal care and delivery in health facilities initiated breastfeeding within 1 h of birth, avoided pre-lacteal feeding and practiced exclusive breastfeeding for the first 6 months of life. Maternal age and parity did not confer any advantage on breastfeeding practices. Delivery of children outside health facilities strongly contributed to delayed initiation of breastfeeding (P &lt; 0.001), pre-lacteal feeding (P = 0.003) and failure to breastfeed exclusively (P = 0.049). Maternal education below secondary level strongly contributed to pre-lacteal feeding (P = 0.004) and failure to practice exclusive breastfeeding (P = 0.008).\nCONCLUSION: Low maternal education and non-utilization of orthodox obstetric facilities impairs early initiation and exclusivity of breastfeeding.","container-title":"Maternal and Child Health Journal","DOI":"10.1007/s10995-008-0440-3","ISSN":"1573-6628","issue":"3","journalAbbreviation":"Matern Child Health J","language":"eng","note":"PMID: 19156508","page":"459-465","source":"PubMed","title":"Maternal socio-demographic factors influencing the initiation and exclusivity of breastfeeding in a Nigerian semi-urban setting","volume":"14","author":[{"family":"Ogunlesi","given":"Tinuade A."}],"issued":{"date-parts":[["2010",5]]}}}],"schema":"https://github.com/citation-style-language/schema/raw/master/csl-citation.json"} </w:instrText>
      </w:r>
      <w:r w:rsidR="00B61AAC">
        <w:rPr>
          <w:rFonts w:ascii="Arial" w:hAnsi="Arial" w:cs="Arial"/>
          <w:sz w:val="20"/>
          <w:szCs w:val="20"/>
        </w:rPr>
        <w:fldChar w:fldCharType="separate"/>
      </w:r>
      <w:r w:rsidR="00052460" w:rsidRPr="00052460">
        <w:rPr>
          <w:rFonts w:ascii="Arial" w:hAnsi="Arial" w:cs="Arial"/>
          <w:sz w:val="20"/>
        </w:rPr>
        <w:t>(9,16)</w:t>
      </w:r>
      <w:r w:rsidR="00B61AAC">
        <w:rPr>
          <w:rFonts w:ascii="Arial" w:hAnsi="Arial" w:cs="Arial"/>
          <w:sz w:val="20"/>
          <w:szCs w:val="20"/>
        </w:rPr>
        <w:fldChar w:fldCharType="end"/>
      </w:r>
      <w:r w:rsidRPr="00FA4340">
        <w:rPr>
          <w:rFonts w:ascii="Arial" w:hAnsi="Arial" w:cs="Arial"/>
          <w:sz w:val="20"/>
          <w:szCs w:val="20"/>
        </w:rPr>
        <w:t>. The association may be explained by unstable incomes from farming, seasonal food shortages, and the limited economic autonomy of housewives, which restricts their capacity to make consistent nutritional choices for children. The implication is that nutrition counseling should be integrated with livelihood and social protection interventions to support food-insecure households.</w:t>
      </w:r>
    </w:p>
    <w:p w14:paraId="6024DDB2" w14:textId="13E18E61" w:rsidR="00FA4340" w:rsidRPr="00FA4340" w:rsidRDefault="00FA4340" w:rsidP="00FA4340">
      <w:pPr>
        <w:rPr>
          <w:rFonts w:ascii="Arial" w:hAnsi="Arial" w:cs="Arial"/>
          <w:sz w:val="20"/>
          <w:szCs w:val="20"/>
        </w:rPr>
      </w:pPr>
      <w:r w:rsidRPr="00FA4340">
        <w:rPr>
          <w:rFonts w:ascii="Arial" w:hAnsi="Arial" w:cs="Arial"/>
          <w:sz w:val="20"/>
          <w:szCs w:val="20"/>
        </w:rPr>
        <w:t>High parity was another significant predictor, with mothers who had four or more children being more likely to have malnourished infants. This is consistent with Saaka and Galaa</w:t>
      </w:r>
      <w:r w:rsidR="00052460">
        <w:rPr>
          <w:rFonts w:ascii="Arial" w:hAnsi="Arial" w:cs="Arial"/>
          <w:sz w:val="20"/>
          <w:szCs w:val="20"/>
        </w:rPr>
        <w:fldChar w:fldCharType="begin"/>
      </w:r>
      <w:r w:rsidR="00052460">
        <w:rPr>
          <w:rFonts w:ascii="Arial" w:hAnsi="Arial" w:cs="Arial"/>
          <w:sz w:val="20"/>
          <w:szCs w:val="20"/>
        </w:rPr>
        <w:instrText xml:space="preserve"> ADDIN ZOTERO_ITEM CSL_CITATION {"citationID":"fu1ZzlQF","properties":{"formattedCitation":"(9)","plainCitation":"(9)","noteIndex":0},"citationItems":[{"id":6536,"uris":["http://zotero.org/users/15244130/items/JQNMNGPL"],"itemData":{"id":6536,"type":"article-journal","abstract":"Objective\n              . The main aim of the study was to assess the magnitude of concurrent wasting and stunting among Ghanaian preschool children. Secondly, we investigated the relationship between wasting and stunting as well as factors associated with these conditions.\n              Methods\n              . This paper is based on reanalysis of anthropometric and other relevant data which was collected in the 2014 Ghana Demographic and Health Survey. The data set consisted of 2,720 preschool children aged 0–59 months. We conducted three-step moderated hierarchical multiple regression analyses to determine independent predictors and moderators of height-for-age\n              \n                \n                  Z\n                \n              \n              -score.\n              Results\n              . Nationally, the prevalence of concurrent wasting and stunting among children aged 0–59 months was low at 1.4% but it varied geographically with the Upper East Region having the highest prevalence of 3.2% (95% CI: 1.7–5.8). Children who had low weight-for-height\n              \n                \n                  Z\n                \n              \n              -scores were at a higher risk of linear growth retardation (stunting) especially among children aged less than three years. A 1-unit increase in weight-for-height\n              \n                \n                  Z\n                \n              \n              -score (WHZ) was associated with 0.07 standard units’ increase in height-for-age\n              \n                \n                  Z\n                \n              \n              -score (HAZ) [\n              β\n              = 0.071 (95% CI: 0.03, 0.15)].\n              Conclusions\n              . The study results suggest that weight-for-height relates to linear growth but this relationship is moderated by age of child. Stunting and wasting share some common risk factors. Therefore, measures to prevent wasting may positively influence linear growth.","container-title":"Journal of Nutrition and Metabolism","DOI":"10.1155/2016/4654920","ISSN":"2090-0724, 2090-0732","journalAbbreviation":"Journal of Nutrition and Metabolism","language":"en","license":"http://creativecommons.org/licenses/by/4.0/","page":"1-11","source":"DOI.org (Crossref)","title":"Relationships between Wasting and Stunting and Their Concurrent Occurrence in Ghanaian Preschool Children","volume":"2016","author":[{"family":"Saaka","given":"Mahama"},{"family":"Galaa","given":"Sylvester Zackaria"}],"issued":{"date-parts":[["2016"]]}}}],"schema":"https://github.com/citation-style-language/schema/raw/master/csl-citation.json"} </w:instrText>
      </w:r>
      <w:r w:rsidR="00052460">
        <w:rPr>
          <w:rFonts w:ascii="Arial" w:hAnsi="Arial" w:cs="Arial"/>
          <w:sz w:val="20"/>
          <w:szCs w:val="20"/>
        </w:rPr>
        <w:fldChar w:fldCharType="separate"/>
      </w:r>
      <w:r w:rsidR="00052460" w:rsidRPr="00052460">
        <w:rPr>
          <w:rFonts w:ascii="Arial" w:hAnsi="Arial" w:cs="Arial"/>
          <w:sz w:val="20"/>
        </w:rPr>
        <w:t>(9)</w:t>
      </w:r>
      <w:r w:rsidR="00052460">
        <w:rPr>
          <w:rFonts w:ascii="Arial" w:hAnsi="Arial" w:cs="Arial"/>
          <w:sz w:val="20"/>
          <w:szCs w:val="20"/>
        </w:rPr>
        <w:fldChar w:fldCharType="end"/>
      </w:r>
      <w:r w:rsidRPr="00FA4340">
        <w:rPr>
          <w:rFonts w:ascii="Arial" w:hAnsi="Arial" w:cs="Arial"/>
          <w:sz w:val="20"/>
          <w:szCs w:val="20"/>
        </w:rPr>
        <w:t xml:space="preserve">, who reported that larger family size was linked to worse nutritional outcomes due to resource dilution and limited maternal attention per child. Studies in Ethiopia and Nigeria have also shown that high parity increases the likelihood of stunting </w:t>
      </w:r>
      <w:r w:rsidR="00052460">
        <w:rPr>
          <w:rFonts w:ascii="Arial" w:hAnsi="Arial" w:cs="Arial"/>
          <w:sz w:val="20"/>
          <w:szCs w:val="20"/>
        </w:rPr>
        <w:fldChar w:fldCharType="begin"/>
      </w:r>
      <w:r w:rsidR="002E376B">
        <w:rPr>
          <w:rFonts w:ascii="Arial" w:hAnsi="Arial" w:cs="Arial"/>
          <w:sz w:val="20"/>
          <w:szCs w:val="20"/>
        </w:rPr>
        <w:instrText xml:space="preserve"> ADDIN ZOTERO_ITEM CSL_CITATION {"citationID":"v0WqeN3F","properties":{"formattedCitation":"(17,26)","plainCitation":"(17,26)","noteIndex":0},"citationItems":[{"id":6566,"uris":["http://zotero.org/users/15244130/items/S45GUM8M"],"itemData":{"id":6566,"type":"article-journal","abstract":"BACKGROUND: Stunting reflects chronic undernutrition during the most critical periods of growth and development in early life. The study was aimed at assessing the magnitude of stunting and associated factors among children aged 6-59 month in central Ethiopia.\nMETHODS: A community-based cross-sectional study was conducted among 410 children aged between 6 and 59 months. Systematic random sampling technique was employed to select study participants. Interviewer-administered structured questionnaire was used to collect data. The data were entered using EPI INFO version 3.5.1, and analysis was done by SPSS version 21 and ENA, 2007 software for anthropometric calculation. World Health Organization standard 2006 was used to analyse anthropometric data. Bivariate and multivariable logistic regression analyses were also carried out to identify predictors of stunting. Statistical significance was declared at p &lt; 0.05 and 95% CI.\nRESULTS: Overall magnitude of stunting was 52.4 (95% CI: 47.6-57.2). Being female (AOR: 2.8, 95% CI: 1.503-5.099), belonging to age group of 25-59 months (AOR: 4, 95% CI: 1.881-8.424) and birth weight of &lt;2.5 kg (AOR: 5, 95% CI: 1.450-17.309), mothers' lack of ANC visits (AOR: 3.2 95% CI: 1.40-7.10), and mistimed complementary feeding initiation (AOR: 2.4, 95% CI: 1.266-4.606) were positively associated with child stunting, whereas educational status of the mother (AOR: 0.01, 95% CI: 0.001-0.063) showed negative association.\nCONCLUSION: Stunting was a highly prevalent problem in the study area. Low weight at birth, female sex, older age, mistimed initiation of complimentary feeding, and mothers' lack of ANC visit were found to have significant relation with children's chronic malnutrition. Thus, interventions shall effectively address those factors to alleviate the problem.","container-title":"Journal of Nutrition and Metabolism","DOI":"10.1155/2018/1078480","ISSN":"2090-0724","journalAbbreviation":"J Nutr Metab","language":"eng","note":"PMID: 30046469\nPMCID: PMC6036796","page":"1078480","source":"PubMed","title":"Stunting and Its Determinants among Children Aged 6-59 Months in Northern Ethiopia: A Cross-Sectional Study","title-short":"Stunting and Its Determinants among Children Aged 6-59 Months in Northern Ethiopia","volume":"2018","author":[{"family":"Abeway","given":"Shiferaw"},{"family":"Gebremichael","given":"Bereket"},{"family":"Murugan","given":"Rajalakshmi"},{"family":"Assefa","given":"Masresha"},{"family":"Adinew","given":"Yohannes Mehretie"}],"issued":{"date-parts":[["2018"]]}}},{"id":6595,"uris":["http://zotero.org/users/15244130/items/8W6NMPDA"],"itemData":{"id":6595,"type":"article-journal","abstract":"This paper measures and decomposes socio</w:instrText>
      </w:r>
      <w:r w:rsidR="002E376B">
        <w:rPr>
          <w:rFonts w:ascii="Cambria Math" w:hAnsi="Cambria Math" w:cs="Cambria Math"/>
          <w:sz w:val="20"/>
          <w:szCs w:val="20"/>
        </w:rPr>
        <w:instrText>‐</w:instrText>
      </w:r>
      <w:r w:rsidR="002E376B">
        <w:rPr>
          <w:rFonts w:ascii="Arial" w:hAnsi="Arial" w:cs="Arial"/>
          <w:sz w:val="20"/>
          <w:szCs w:val="20"/>
        </w:rPr>
        <w:instrText>economic inequality in childhood malnutrition in Nigeria. Individual data records were constructed for a nationally representative sample of 4187 under</w:instrText>
      </w:r>
      <w:r w:rsidR="002E376B">
        <w:rPr>
          <w:rFonts w:ascii="Cambria Math" w:hAnsi="Cambria Math" w:cs="Cambria Math"/>
          <w:sz w:val="20"/>
          <w:szCs w:val="20"/>
        </w:rPr>
        <w:instrText>‐</w:instrText>
      </w:r>
      <w:r w:rsidR="002E376B">
        <w:rPr>
          <w:rFonts w:ascii="Arial" w:hAnsi="Arial" w:cs="Arial"/>
          <w:sz w:val="20"/>
          <w:szCs w:val="20"/>
        </w:rPr>
        <w:instrText>5 children. The data were taken from the Nigerian Demographic and Health Survey in 2003. The household's socio</w:instrText>
      </w:r>
      <w:r w:rsidR="002E376B">
        <w:rPr>
          <w:rFonts w:ascii="Cambria Math" w:hAnsi="Cambria Math" w:cs="Cambria Math"/>
          <w:sz w:val="20"/>
          <w:szCs w:val="20"/>
        </w:rPr>
        <w:instrText>‐</w:instrText>
      </w:r>
      <w:r w:rsidR="002E376B">
        <w:rPr>
          <w:rFonts w:ascii="Arial" w:hAnsi="Arial" w:cs="Arial"/>
          <w:sz w:val="20"/>
          <w:szCs w:val="20"/>
        </w:rPr>
        <w:instrText>economic status was measured using principal component analysis. The concentration index of childhood malnutrition was used as a measure of socio</w:instrText>
      </w:r>
      <w:r w:rsidR="002E376B">
        <w:rPr>
          <w:rFonts w:ascii="Cambria Math" w:hAnsi="Cambria Math" w:cs="Cambria Math"/>
          <w:sz w:val="20"/>
          <w:szCs w:val="20"/>
        </w:rPr>
        <w:instrText>‐</w:instrText>
      </w:r>
      <w:r w:rsidR="002E376B">
        <w:rPr>
          <w:rFonts w:ascii="Arial" w:hAnsi="Arial" w:cs="Arial"/>
          <w:sz w:val="20"/>
          <w:szCs w:val="20"/>
        </w:rPr>
        <w:instrText>economic inequality and decomposed into its determining factors. The largest contributions to inequality in childhood malnutrition were household economic status (31%), health service index (17%), maternal education (13%) and proper sanitation (11%). Breastfeeding duration (8%), geopolitical regions (8%) and residency in rural/urban areas (5%) also proved important contributors to the measured inequality. The findings indicate that socio</w:instrText>
      </w:r>
      <w:r w:rsidR="002E376B">
        <w:rPr>
          <w:rFonts w:ascii="Cambria Math" w:hAnsi="Cambria Math" w:cs="Cambria Math"/>
          <w:sz w:val="20"/>
          <w:szCs w:val="20"/>
        </w:rPr>
        <w:instrText>‐</w:instrText>
      </w:r>
      <w:r w:rsidR="002E376B">
        <w:rPr>
          <w:rFonts w:ascii="Arial" w:hAnsi="Arial" w:cs="Arial"/>
          <w:sz w:val="20"/>
          <w:szCs w:val="20"/>
        </w:rPr>
        <w:instrText>economic inequality in childhood malnutrition in Nigeria is determined not only by health system functions, but also by factors beyond the scope of health authorities and care delivery system. Scaling up universal approach linking the Ministry of Health and Ministry of Education with other ministries may speed up the reduction of inequalities in social determinants of childhood malnutrition.","container-title":"Maternal &amp; Child Nutrition","DOI":"10.1111/j.1740-8709.2009.00183.x","ISSN":"1740-8695","issue":"4","journalAbbreviation":"Matern Child Nutr","note":"PMID: null\nPMCID: PMC6860876","page":"358-367","source":"PubMed Central","title":"Decomposing socio</w:instrText>
      </w:r>
      <w:r w:rsidR="002E376B">
        <w:rPr>
          <w:rFonts w:ascii="Cambria Math" w:hAnsi="Cambria Math" w:cs="Cambria Math"/>
          <w:sz w:val="20"/>
          <w:szCs w:val="20"/>
        </w:rPr>
        <w:instrText>‐</w:instrText>
      </w:r>
      <w:r w:rsidR="002E376B">
        <w:rPr>
          <w:rFonts w:ascii="Arial" w:hAnsi="Arial" w:cs="Arial"/>
          <w:sz w:val="20"/>
          <w:szCs w:val="20"/>
        </w:rPr>
        <w:instrText xml:space="preserve">economic inequality in childhood malnutrition in Nigeria","volume":"5","author":[{"family":"Uthman","given":"Olalekan A."}],"issued":{"date-parts":[["2009",3,23]]}}}],"schema":"https://github.com/citation-style-language/schema/raw/master/csl-citation.json"} </w:instrText>
      </w:r>
      <w:r w:rsidR="00052460">
        <w:rPr>
          <w:rFonts w:ascii="Arial" w:hAnsi="Arial" w:cs="Arial"/>
          <w:sz w:val="20"/>
          <w:szCs w:val="20"/>
        </w:rPr>
        <w:fldChar w:fldCharType="separate"/>
      </w:r>
      <w:r w:rsidR="002E376B" w:rsidRPr="002E376B">
        <w:rPr>
          <w:rFonts w:ascii="Arial" w:hAnsi="Arial" w:cs="Arial"/>
          <w:sz w:val="20"/>
        </w:rPr>
        <w:t>(17,26)</w:t>
      </w:r>
      <w:r w:rsidR="00052460">
        <w:rPr>
          <w:rFonts w:ascii="Arial" w:hAnsi="Arial" w:cs="Arial"/>
          <w:sz w:val="20"/>
          <w:szCs w:val="20"/>
        </w:rPr>
        <w:fldChar w:fldCharType="end"/>
      </w:r>
      <w:r w:rsidR="002E376B">
        <w:rPr>
          <w:rFonts w:ascii="Arial" w:hAnsi="Arial" w:cs="Arial"/>
          <w:sz w:val="20"/>
          <w:szCs w:val="20"/>
        </w:rPr>
        <w:t>.</w:t>
      </w:r>
      <w:r w:rsidRPr="00FA4340">
        <w:rPr>
          <w:rFonts w:ascii="Arial" w:hAnsi="Arial" w:cs="Arial"/>
          <w:sz w:val="20"/>
          <w:szCs w:val="20"/>
        </w:rPr>
        <w:t xml:space="preserve"> This consistency can be explained by the fact that more children in a household stretch financial and caregiving resources, leaving infants more vulnerable to inadequate feeding and healthcare. The implication is that high-parity mothers should be given additional attention during child welfare visits, including intensified feeding counseling and referral to community support systems.</w:t>
      </w:r>
    </w:p>
    <w:p w14:paraId="0159E709" w14:textId="11F91F72" w:rsidR="00FA4340" w:rsidRPr="00FA4340" w:rsidRDefault="00FA4340" w:rsidP="00FA4340">
      <w:pPr>
        <w:rPr>
          <w:rFonts w:ascii="Arial" w:hAnsi="Arial" w:cs="Arial"/>
          <w:sz w:val="20"/>
          <w:szCs w:val="20"/>
        </w:rPr>
      </w:pPr>
      <w:r w:rsidRPr="00FA4340">
        <w:rPr>
          <w:rFonts w:ascii="Arial" w:hAnsi="Arial" w:cs="Arial"/>
          <w:sz w:val="20"/>
          <w:szCs w:val="20"/>
        </w:rPr>
        <w:t xml:space="preserve">Maternal healthcare utilization indicators, particularly ANC attendance and place of delivery, were significantly associated with child nutrition. Mothers who attended fewer than four ANC visits or delivered at home were more likely to have malnourished infants. This result is consistent with findings from the Ghana DHS 2022, which demonstrated that facility delivery and adequate ANC coverage improve feeding </w:t>
      </w:r>
      <w:r w:rsidRPr="00FA4340">
        <w:rPr>
          <w:rFonts w:ascii="Arial" w:hAnsi="Arial" w:cs="Arial"/>
          <w:sz w:val="20"/>
          <w:szCs w:val="20"/>
        </w:rPr>
        <w:lastRenderedPageBreak/>
        <w:t xml:space="preserve">practices and nutritional outcomes through increased contact with health workers. </w:t>
      </w:r>
      <w:proofErr w:type="spellStart"/>
      <w:r w:rsidRPr="00FA4340">
        <w:rPr>
          <w:rFonts w:ascii="Arial" w:hAnsi="Arial" w:cs="Arial"/>
          <w:sz w:val="20"/>
          <w:szCs w:val="20"/>
        </w:rPr>
        <w:t>Demilew</w:t>
      </w:r>
      <w:proofErr w:type="spellEnd"/>
      <w:r w:rsidRPr="00FA4340">
        <w:rPr>
          <w:rFonts w:ascii="Arial" w:hAnsi="Arial" w:cs="Arial"/>
          <w:sz w:val="20"/>
          <w:szCs w:val="20"/>
        </w:rPr>
        <w:t xml:space="preserve"> et al.</w:t>
      </w:r>
      <w:r w:rsidR="002E376B">
        <w:rPr>
          <w:rFonts w:ascii="Arial" w:hAnsi="Arial" w:cs="Arial"/>
          <w:sz w:val="20"/>
          <w:szCs w:val="20"/>
        </w:rPr>
        <w:fldChar w:fldCharType="begin"/>
      </w:r>
      <w:r w:rsidR="002E376B">
        <w:rPr>
          <w:rFonts w:ascii="Arial" w:hAnsi="Arial" w:cs="Arial"/>
          <w:sz w:val="20"/>
          <w:szCs w:val="20"/>
        </w:rPr>
        <w:instrText xml:space="preserve"> ADDIN ZOTERO_ITEM CSL_CITATION {"citationID":"X8T3U2xw","properties":{"formattedCitation":"(13)","plainCitation":"(13)","noteIndex":0},"citationItems":[{"id":1776,"uris":["http://zotero.org/users/15244130/items/ZMT2YDSP"],"itemData":{"id":1776,"type":"article-journal","container-title":"BMC Health Services Research","ISSN":"1472-6963","issue":"1","note":"publisher: Springer","page":"600","title":"Knowledge, attitude, and practice of health professionals for oxygen therapy working in South Gondar zone hospitals, 2021: multicenter cross-sectional study","volume":"22","author":[{"family":"Demilew","given":"Basazinew Chekol"},{"family":"Mekonen","given":"Agegnehu"},{"family":"Aemro","given":"Agazhe"},{"family":"Sewnet","given":"Nakachew"},{"family":"Hailu","given":"Banchiayehu Alebachew"}],"issued":{"date-parts":[["2022"]]}}}],"schema":"https://github.com/citation-style-language/schema/raw/master/csl-citation.json"} </w:instrText>
      </w:r>
      <w:r w:rsidR="002E376B">
        <w:rPr>
          <w:rFonts w:ascii="Arial" w:hAnsi="Arial" w:cs="Arial"/>
          <w:sz w:val="20"/>
          <w:szCs w:val="20"/>
        </w:rPr>
        <w:fldChar w:fldCharType="separate"/>
      </w:r>
      <w:r w:rsidR="002E376B" w:rsidRPr="002E376B">
        <w:rPr>
          <w:rFonts w:ascii="Arial" w:hAnsi="Arial" w:cs="Arial"/>
          <w:sz w:val="20"/>
        </w:rPr>
        <w:t>(13)</w:t>
      </w:r>
      <w:r w:rsidR="002E376B">
        <w:rPr>
          <w:rFonts w:ascii="Arial" w:hAnsi="Arial" w:cs="Arial"/>
          <w:sz w:val="20"/>
          <w:szCs w:val="20"/>
        </w:rPr>
        <w:fldChar w:fldCharType="end"/>
      </w:r>
      <w:r w:rsidRPr="00FA4340">
        <w:rPr>
          <w:rFonts w:ascii="Arial" w:hAnsi="Arial" w:cs="Arial"/>
          <w:sz w:val="20"/>
          <w:szCs w:val="20"/>
        </w:rPr>
        <w:t xml:space="preserve"> also reported that nutrition education during ANC in Ethiopia significantly improved maternal dietary practices and child outcomes. These consistencies exist because ANC and facility delivery provide opportunities for early breastfeeding support, counseling, supplementation, and immunization, all of which contribute to better infant nutrition. The implication is that policies should strengthen early ANC initiation and encourage facility-based deliveries, ensuring that nutrition counseling is systematically integrated into maternal healthcare services.</w:t>
      </w:r>
    </w:p>
    <w:p w14:paraId="7100F0ED" w14:textId="7C1DFE86" w:rsidR="00FA4340" w:rsidRPr="00FA4340" w:rsidRDefault="00FA4340" w:rsidP="00FA4340">
      <w:pPr>
        <w:rPr>
          <w:rFonts w:ascii="Arial" w:hAnsi="Arial" w:cs="Arial"/>
          <w:sz w:val="20"/>
          <w:szCs w:val="20"/>
        </w:rPr>
      </w:pPr>
      <w:r w:rsidRPr="00FA4340">
        <w:rPr>
          <w:rFonts w:ascii="Arial" w:hAnsi="Arial" w:cs="Arial"/>
          <w:sz w:val="20"/>
          <w:szCs w:val="20"/>
        </w:rPr>
        <w:t xml:space="preserve">Finally, infant age was a strong predictor, with older infants (12–23 months) more likely to be malnourished compared to those under six months. This finding is consistent with global literature, including Black et al. </w:t>
      </w:r>
      <w:r w:rsidR="002E376B">
        <w:rPr>
          <w:rFonts w:ascii="Arial" w:hAnsi="Arial" w:cs="Arial"/>
          <w:sz w:val="20"/>
          <w:szCs w:val="20"/>
        </w:rPr>
        <w:fldChar w:fldCharType="begin"/>
      </w:r>
      <w:r w:rsidR="002E376B">
        <w:rPr>
          <w:rFonts w:ascii="Arial" w:hAnsi="Arial" w:cs="Arial"/>
          <w:sz w:val="20"/>
          <w:szCs w:val="20"/>
        </w:rPr>
        <w:instrText xml:space="preserve"> ADDIN ZOTERO_ITEM CSL_CITATION {"citationID":"lpwUyLIu","properties":{"formattedCitation":"(4)","plainCitation":"(4)","noteIndex":0},"citationItems":[{"id":6545,"uris":["http://zotero.org/users/15244130/items/Y99EI62Z"],"itemData":{"id":6545,"type":"article-journal","container-title":"The Lancet","DOI":"10.1016/S0140-6736(13)60937-X","ISSN":"01406736","issue":"9890","journalAbbreviation":"The Lancet","language":"en","page":"427-451","source":"DOI.org (Crossref)","title":"Maternal and child undernutrition and overweight in low-income and middle-income countries","volume":"382","author":[{"family":"Black","given":"Robert E"},{"family":"Victora","given":"Cesar G"},{"family":"Walker","given":"Susan P"},{"family":"Bhutta","given":"Zulfiqar A"},{"family":"Christian","given":"Parul"},{"family":"De Onis","given":"Mercedes"},{"family":"Ezzati","given":"Majid"},{"family":"Grantham-McGregor","given":"Sally"},{"family":"Katz","given":"Joanne"},{"family":"Martorell","given":"Reynaldo"},{"family":"Uauy","given":"Ricardo"}],"issued":{"date-parts":[["2013",8]]}}}],"schema":"https://github.com/citation-style-language/schema/raw/master/csl-citation.json"} </w:instrText>
      </w:r>
      <w:r w:rsidR="002E376B">
        <w:rPr>
          <w:rFonts w:ascii="Arial" w:hAnsi="Arial" w:cs="Arial"/>
          <w:sz w:val="20"/>
          <w:szCs w:val="20"/>
        </w:rPr>
        <w:fldChar w:fldCharType="separate"/>
      </w:r>
      <w:r w:rsidR="002E376B" w:rsidRPr="002E376B">
        <w:rPr>
          <w:rFonts w:ascii="Arial" w:hAnsi="Arial" w:cs="Arial"/>
          <w:sz w:val="20"/>
        </w:rPr>
        <w:t>(4)</w:t>
      </w:r>
      <w:r w:rsidR="002E376B">
        <w:rPr>
          <w:rFonts w:ascii="Arial" w:hAnsi="Arial" w:cs="Arial"/>
          <w:sz w:val="20"/>
          <w:szCs w:val="20"/>
        </w:rPr>
        <w:fldChar w:fldCharType="end"/>
      </w:r>
      <w:r w:rsidRPr="00FA4340">
        <w:rPr>
          <w:rFonts w:ascii="Arial" w:hAnsi="Arial" w:cs="Arial"/>
          <w:sz w:val="20"/>
          <w:szCs w:val="20"/>
        </w:rPr>
        <w:t xml:space="preserve">, which identified the post-weaning period as the most vulnerable for child malnutrition. Similar patterns were observed in Northern Ghana, where Saaka </w:t>
      </w:r>
      <w:r w:rsidR="009325AB">
        <w:rPr>
          <w:rFonts w:ascii="Arial" w:hAnsi="Arial" w:cs="Arial"/>
          <w:sz w:val="20"/>
          <w:szCs w:val="20"/>
        </w:rPr>
        <w:fldChar w:fldCharType="begin"/>
      </w:r>
      <w:r w:rsidR="009325AB">
        <w:rPr>
          <w:rFonts w:ascii="Arial" w:hAnsi="Arial" w:cs="Arial"/>
          <w:sz w:val="20"/>
          <w:szCs w:val="20"/>
        </w:rPr>
        <w:instrText xml:space="preserve"> ADDIN ZOTERO_ITEM CSL_CITATION {"citationID":"yjufoRVI","properties":{"formattedCitation":"(12)","plainCitation":"(12)","noteIndex":0},"citationItems":[{"id":6534,"uris":["http://zotero.org/users/15244130/items/ZEHEJMHA"],"itemData":{"id":6534,"type":"article-journal","abstract":"This study assessed the relationship between maternal nutritional knowledge in childcare practices and growth of children living in impoverished rural communities. This was an analytical cross-sectional study which covered a random sample of 991 children aged 0-36 month(s). Multivariate analysis showed that, after adjusting for potential confounders, there was a significant positive association between the childcare knowledge index and mean HAZ (beta = 0.10, p = 0.005) but was not associated with mean WHZ. The strength of association increased among women of high socioeconomic status (beta = 0.15, p = 0.014) but there was no significant association among women of low socioeconomic status. Increase in maternal childcare knowledge may contribute significantly to child's nutritional status in Ghana if there is concurrent improvement in socioeconomic circumstances of women living in deprived rural communities.","container-title":"Journal of Health, Population, and Nutrition","ISSN":"1606-0997","issue":"2","journalAbbreviation":"J Health Popul Nutr","language":"eng","note":"PMID: 25076661\nPMCID: PMC4216960","page":"237-248","source":"PubMed","title":"Relationship between mothers' nutritional knowledge in childcare practices and the growth of children living in impoverished rural communities","volume":"32","author":[{"family":"Saaka","given":"Mahama"}],"issued":{"date-parts":[["2014",6]]}}}],"schema":"https://github.com/citation-style-language/schema/raw/master/csl-citation.json"} </w:instrText>
      </w:r>
      <w:r w:rsidR="009325AB">
        <w:rPr>
          <w:rFonts w:ascii="Arial" w:hAnsi="Arial" w:cs="Arial"/>
          <w:sz w:val="20"/>
          <w:szCs w:val="20"/>
        </w:rPr>
        <w:fldChar w:fldCharType="separate"/>
      </w:r>
      <w:r w:rsidR="009325AB" w:rsidRPr="009325AB">
        <w:rPr>
          <w:rFonts w:ascii="Arial" w:hAnsi="Arial" w:cs="Arial"/>
          <w:sz w:val="20"/>
        </w:rPr>
        <w:t>(12)</w:t>
      </w:r>
      <w:r w:rsidR="009325AB">
        <w:rPr>
          <w:rFonts w:ascii="Arial" w:hAnsi="Arial" w:cs="Arial"/>
          <w:sz w:val="20"/>
          <w:szCs w:val="20"/>
        </w:rPr>
        <w:fldChar w:fldCharType="end"/>
      </w:r>
      <w:r w:rsidR="009325AB">
        <w:rPr>
          <w:rFonts w:ascii="Arial" w:hAnsi="Arial" w:cs="Arial"/>
          <w:sz w:val="20"/>
          <w:szCs w:val="20"/>
        </w:rPr>
        <w:t xml:space="preserve"> </w:t>
      </w:r>
      <w:r w:rsidRPr="00FA4340">
        <w:rPr>
          <w:rFonts w:ascii="Arial" w:hAnsi="Arial" w:cs="Arial"/>
          <w:sz w:val="20"/>
          <w:szCs w:val="20"/>
        </w:rPr>
        <w:t>noted that nutritional deficits increase once children transition from breastfeeding to family foods. The consistency arises because older infants face a higher risk of infections, reduced breastfeeding, and often inadequate complementary feeding. The implication is that the critical 6</w:t>
      </w:r>
      <w:r w:rsidR="009325AB">
        <w:rPr>
          <w:rFonts w:ascii="Arial" w:hAnsi="Arial" w:cs="Arial"/>
          <w:sz w:val="20"/>
          <w:szCs w:val="20"/>
        </w:rPr>
        <w:t xml:space="preserve"> - </w:t>
      </w:r>
      <w:proofErr w:type="gramStart"/>
      <w:r w:rsidR="009325AB" w:rsidRPr="00FA4340">
        <w:rPr>
          <w:rFonts w:ascii="Arial" w:hAnsi="Arial" w:cs="Arial"/>
          <w:sz w:val="20"/>
          <w:szCs w:val="20"/>
        </w:rPr>
        <w:t>2</w:t>
      </w:r>
      <w:r w:rsidR="009325AB">
        <w:rPr>
          <w:rFonts w:ascii="Arial" w:hAnsi="Arial" w:cs="Arial"/>
          <w:sz w:val="20"/>
          <w:szCs w:val="20"/>
        </w:rPr>
        <w:t xml:space="preserve">3 </w:t>
      </w:r>
      <w:r w:rsidR="009325AB" w:rsidRPr="00FA4340">
        <w:rPr>
          <w:rFonts w:ascii="Arial" w:hAnsi="Arial" w:cs="Arial"/>
          <w:sz w:val="20"/>
          <w:szCs w:val="20"/>
        </w:rPr>
        <w:t>month</w:t>
      </w:r>
      <w:proofErr w:type="gramEnd"/>
      <w:r w:rsidRPr="00FA4340">
        <w:rPr>
          <w:rFonts w:ascii="Arial" w:hAnsi="Arial" w:cs="Arial"/>
          <w:sz w:val="20"/>
          <w:szCs w:val="20"/>
        </w:rPr>
        <w:t xml:space="preserve"> period should be the focus of nutrition interventions, with intensified support for mothers during this transitional feeding phase.</w:t>
      </w:r>
    </w:p>
    <w:p w14:paraId="6B57B035" w14:textId="0EF75944" w:rsidR="00707C17" w:rsidRPr="00AA4B44" w:rsidRDefault="00707C17">
      <w:pPr>
        <w:rPr>
          <w:rFonts w:ascii="Arial" w:hAnsi="Arial" w:cs="Arial"/>
          <w:b/>
          <w:bCs/>
          <w:sz w:val="20"/>
          <w:szCs w:val="20"/>
        </w:rPr>
      </w:pPr>
      <w:r w:rsidRPr="00AA4B44">
        <w:rPr>
          <w:rFonts w:ascii="Arial" w:hAnsi="Arial" w:cs="Arial"/>
          <w:b/>
          <w:bCs/>
          <w:sz w:val="20"/>
          <w:szCs w:val="20"/>
        </w:rPr>
        <w:t>Conclusion</w:t>
      </w:r>
    </w:p>
    <w:p w14:paraId="1F372814" w14:textId="52DEF303" w:rsidR="00707C17" w:rsidRPr="00C54F0B" w:rsidRDefault="00707C17">
      <w:pPr>
        <w:rPr>
          <w:rFonts w:ascii="Arial" w:hAnsi="Arial" w:cs="Arial"/>
          <w:sz w:val="20"/>
          <w:szCs w:val="20"/>
        </w:rPr>
      </w:pPr>
      <w:r w:rsidRPr="00C54F0B">
        <w:rPr>
          <w:rFonts w:ascii="Arial" w:hAnsi="Arial" w:cs="Arial"/>
          <w:sz w:val="20"/>
          <w:szCs w:val="20"/>
        </w:rPr>
        <w:t>This study demonstrated that infant malnutrition is a significant concern in West Gonja District, with high levels of stunting, underweight, and wasting. Maternal knowledge and feeding practices were the strongest predictors of malnutrition, alongside low education, high parity, farming or housewife occupations, inadequate ANC attendance, home delivery, and infant age between 12 and 23 months. These findings highlight that addressing malnutrition requires more than food availability; it also depends on maternal knowledge, caregiving behaviors, and healthcare utilization. To reduce malnutrition in this high-burden setting, interventions should prioritize strengthening maternal education and nutrition counselling at all stages of care, improving complementary feeding and dietary diversity during the critical 6–</w:t>
      </w:r>
      <w:proofErr w:type="gramStart"/>
      <w:r w:rsidRPr="00C54F0B">
        <w:rPr>
          <w:rFonts w:ascii="Arial" w:hAnsi="Arial" w:cs="Arial"/>
          <w:sz w:val="20"/>
          <w:szCs w:val="20"/>
        </w:rPr>
        <w:t>23 month</w:t>
      </w:r>
      <w:proofErr w:type="gramEnd"/>
      <w:r w:rsidRPr="00C54F0B">
        <w:rPr>
          <w:rFonts w:ascii="Arial" w:hAnsi="Arial" w:cs="Arial"/>
          <w:sz w:val="20"/>
          <w:szCs w:val="20"/>
        </w:rPr>
        <w:t xml:space="preserve"> period, and targeting high-risk groups such as mothers with low education and large families. Health services should be linked with social protection and agricultural initiatives to address food insecurity, while community-level food demonstrations and peer support groups can help mothers adopt affordable and diverse diets. Strengthening ANC attendance, promoting facility-based deliveries, and reinforcing growth monitoring systems are equally essential. Together, these strategies provide a roadmap for reducing child malnutrition in Northern Ghana and advancing national nutrition and child health goals.</w:t>
      </w:r>
    </w:p>
    <w:p w14:paraId="64131EA6" w14:textId="77777777" w:rsidR="00AA4B44" w:rsidRDefault="00AA4B44" w:rsidP="00707C17">
      <w:pPr>
        <w:spacing w:line="276" w:lineRule="auto"/>
        <w:rPr>
          <w:rFonts w:ascii="Arial" w:hAnsi="Arial" w:cs="Arial"/>
          <w:b/>
          <w:bCs/>
          <w:sz w:val="20"/>
          <w:szCs w:val="20"/>
        </w:rPr>
      </w:pPr>
    </w:p>
    <w:p w14:paraId="16312FDB" w14:textId="3BD48C32" w:rsidR="00707C17" w:rsidRPr="00AA4B44" w:rsidRDefault="00707C17" w:rsidP="00707C17">
      <w:pPr>
        <w:spacing w:line="276" w:lineRule="auto"/>
        <w:rPr>
          <w:rFonts w:ascii="Arial" w:hAnsi="Arial" w:cs="Arial"/>
          <w:b/>
          <w:bCs/>
          <w:sz w:val="20"/>
          <w:szCs w:val="20"/>
        </w:rPr>
      </w:pPr>
      <w:r w:rsidRPr="00AA4B44">
        <w:rPr>
          <w:rFonts w:ascii="Arial" w:hAnsi="Arial" w:cs="Arial"/>
          <w:b/>
          <w:bCs/>
          <w:sz w:val="20"/>
          <w:szCs w:val="20"/>
        </w:rPr>
        <w:t>Consent for publication</w:t>
      </w:r>
    </w:p>
    <w:p w14:paraId="7805A06C" w14:textId="77777777" w:rsidR="00707C17" w:rsidRPr="00C54F0B" w:rsidRDefault="00707C17" w:rsidP="00707C17">
      <w:pPr>
        <w:spacing w:line="276" w:lineRule="auto"/>
        <w:rPr>
          <w:rFonts w:ascii="Arial" w:eastAsia="Times New Roman" w:hAnsi="Arial" w:cs="Arial"/>
          <w:sz w:val="20"/>
          <w:szCs w:val="20"/>
          <w:lang w:eastAsia="en-GB"/>
        </w:rPr>
      </w:pPr>
      <w:r w:rsidRPr="00C54F0B">
        <w:rPr>
          <w:rFonts w:ascii="Arial" w:eastAsia="Times New Roman" w:hAnsi="Arial" w:cs="Arial"/>
          <w:sz w:val="20"/>
          <w:szCs w:val="20"/>
          <w:lang w:eastAsia="en-GB"/>
        </w:rPr>
        <w:t>Not applicable</w:t>
      </w:r>
    </w:p>
    <w:p w14:paraId="0AE85476" w14:textId="77777777" w:rsidR="00707C17" w:rsidRPr="00AA4B44" w:rsidRDefault="00707C17" w:rsidP="00707C17">
      <w:pPr>
        <w:spacing w:line="276" w:lineRule="auto"/>
        <w:rPr>
          <w:rFonts w:ascii="Arial" w:eastAsia="Times New Roman" w:hAnsi="Arial" w:cs="Arial"/>
          <w:b/>
          <w:bCs/>
          <w:sz w:val="20"/>
          <w:szCs w:val="20"/>
          <w:lang w:eastAsia="en-GB"/>
        </w:rPr>
      </w:pPr>
      <w:r w:rsidRPr="00AA4B44">
        <w:rPr>
          <w:rFonts w:ascii="Arial" w:eastAsia="Times New Roman" w:hAnsi="Arial" w:cs="Arial"/>
          <w:b/>
          <w:bCs/>
          <w:sz w:val="20"/>
          <w:szCs w:val="20"/>
          <w:lang w:eastAsia="en-GB"/>
        </w:rPr>
        <w:t>Data Availability</w:t>
      </w:r>
    </w:p>
    <w:p w14:paraId="0DFCE4D9" w14:textId="77777777" w:rsidR="00707C17" w:rsidRPr="00C54F0B" w:rsidRDefault="00707C17" w:rsidP="00707C17">
      <w:pPr>
        <w:pStyle w:val="NoSpacing"/>
        <w:spacing w:line="276" w:lineRule="auto"/>
        <w:rPr>
          <w:rFonts w:ascii="Arial" w:eastAsia="Times New Roman" w:hAnsi="Arial"/>
          <w:sz w:val="20"/>
          <w:szCs w:val="20"/>
          <w:lang w:eastAsia="en-GB"/>
        </w:rPr>
      </w:pPr>
      <w:r w:rsidRPr="00C54F0B">
        <w:rPr>
          <w:rFonts w:ascii="Arial" w:eastAsia="Times New Roman" w:hAnsi="Arial"/>
          <w:sz w:val="20"/>
          <w:szCs w:val="20"/>
          <w:lang w:eastAsia="en-GB"/>
        </w:rPr>
        <w:t>Data used to support this study are available from the corresponding author upon request.</w:t>
      </w:r>
    </w:p>
    <w:p w14:paraId="39E4123A" w14:textId="77777777" w:rsidR="00707C17" w:rsidRPr="00C54F0B" w:rsidRDefault="00707C17" w:rsidP="00707C17">
      <w:pPr>
        <w:pStyle w:val="NoSpacing"/>
        <w:spacing w:line="276" w:lineRule="auto"/>
        <w:rPr>
          <w:rFonts w:ascii="Arial" w:eastAsia="Times New Roman" w:hAnsi="Arial"/>
          <w:sz w:val="20"/>
          <w:szCs w:val="20"/>
          <w:lang w:eastAsia="en-GB"/>
        </w:rPr>
      </w:pPr>
    </w:p>
    <w:p w14:paraId="7D9C1A27" w14:textId="77777777" w:rsidR="00707C17" w:rsidRPr="00AA4B44" w:rsidRDefault="00707C17" w:rsidP="00707C17">
      <w:pPr>
        <w:pStyle w:val="NoSpacing"/>
        <w:spacing w:line="276" w:lineRule="auto"/>
        <w:rPr>
          <w:rFonts w:ascii="Arial" w:hAnsi="Arial"/>
          <w:b/>
          <w:bCs/>
          <w:sz w:val="20"/>
          <w:szCs w:val="20"/>
        </w:rPr>
      </w:pPr>
      <w:r w:rsidRPr="00AA4B44">
        <w:rPr>
          <w:rFonts w:ascii="Arial" w:hAnsi="Arial"/>
          <w:b/>
          <w:bCs/>
          <w:sz w:val="20"/>
          <w:szCs w:val="20"/>
        </w:rPr>
        <w:t>Conflicts of Interest</w:t>
      </w:r>
    </w:p>
    <w:p w14:paraId="68A43743" w14:textId="77777777" w:rsidR="00707C17" w:rsidRPr="00C54F0B" w:rsidRDefault="00707C17" w:rsidP="00707C17">
      <w:pPr>
        <w:spacing w:line="276" w:lineRule="auto"/>
        <w:rPr>
          <w:rFonts w:ascii="Arial" w:hAnsi="Arial" w:cs="Arial"/>
          <w:sz w:val="20"/>
          <w:szCs w:val="20"/>
          <w:shd w:val="clear" w:color="auto" w:fill="FFFFFF"/>
        </w:rPr>
      </w:pPr>
      <w:r w:rsidRPr="00C54F0B">
        <w:rPr>
          <w:rFonts w:ascii="Arial" w:hAnsi="Arial" w:cs="Arial"/>
          <w:sz w:val="20"/>
          <w:szCs w:val="20"/>
          <w:shd w:val="clear" w:color="auto" w:fill="FFFFFF"/>
        </w:rPr>
        <w:t>The authors declared that they have no competing interests.</w:t>
      </w:r>
    </w:p>
    <w:p w14:paraId="7EE8F128" w14:textId="77777777" w:rsidR="00707C17" w:rsidRPr="00AA4B44" w:rsidRDefault="00707C17" w:rsidP="00707C17">
      <w:pPr>
        <w:spacing w:line="276" w:lineRule="auto"/>
        <w:rPr>
          <w:rFonts w:ascii="Arial" w:hAnsi="Arial" w:cs="Arial"/>
          <w:b/>
          <w:bCs/>
          <w:sz w:val="20"/>
          <w:szCs w:val="20"/>
          <w:shd w:val="clear" w:color="auto" w:fill="FFFFFF"/>
        </w:rPr>
      </w:pPr>
      <w:r w:rsidRPr="00AA4B44">
        <w:rPr>
          <w:rFonts w:ascii="Arial" w:hAnsi="Arial" w:cs="Arial"/>
          <w:b/>
          <w:bCs/>
          <w:sz w:val="20"/>
          <w:szCs w:val="20"/>
          <w:shd w:val="clear" w:color="auto" w:fill="FFFFFF"/>
        </w:rPr>
        <w:t>Disclaimer (Artificial intelligence)</w:t>
      </w:r>
    </w:p>
    <w:p w14:paraId="49789A58" w14:textId="77777777" w:rsidR="00707C17" w:rsidRPr="00C54F0B" w:rsidRDefault="00707C17" w:rsidP="00707C17">
      <w:pPr>
        <w:spacing w:line="276" w:lineRule="auto"/>
        <w:rPr>
          <w:rFonts w:ascii="Arial" w:hAnsi="Arial" w:cs="Arial"/>
          <w:sz w:val="20"/>
          <w:szCs w:val="20"/>
          <w:shd w:val="clear" w:color="auto" w:fill="FFFFFF"/>
        </w:rPr>
      </w:pPr>
      <w:r w:rsidRPr="00C54F0B">
        <w:rPr>
          <w:rFonts w:ascii="Arial" w:hAnsi="Arial" w:cs="Arial"/>
          <w:sz w:val="20"/>
          <w:szCs w:val="20"/>
          <w:shd w:val="clear" w:color="auto" w:fill="FFFFFF"/>
        </w:rPr>
        <w:t>Authors at this moment declare that generative AI (ChatGPT) has been used during the editing of manuscripts.</w:t>
      </w:r>
    </w:p>
    <w:p w14:paraId="77E75129" w14:textId="77777777" w:rsidR="009325AB" w:rsidRPr="00C54F0B" w:rsidRDefault="009325AB" w:rsidP="00707C17">
      <w:pPr>
        <w:spacing w:line="276" w:lineRule="auto"/>
        <w:rPr>
          <w:rFonts w:ascii="Arial" w:hAnsi="Arial" w:cs="Arial"/>
          <w:sz w:val="20"/>
          <w:szCs w:val="20"/>
        </w:rPr>
      </w:pPr>
    </w:p>
    <w:p w14:paraId="5CA08199" w14:textId="00218956" w:rsidR="00707C17" w:rsidRDefault="00AA4B44" w:rsidP="00707C17">
      <w:pPr>
        <w:rPr>
          <w:rFonts w:ascii="Arial" w:hAnsi="Arial" w:cs="Arial"/>
          <w:b/>
          <w:bCs/>
          <w:sz w:val="20"/>
          <w:szCs w:val="20"/>
        </w:rPr>
      </w:pPr>
      <w:r w:rsidRPr="00AA4B44">
        <w:rPr>
          <w:rFonts w:ascii="Arial" w:hAnsi="Arial" w:cs="Arial"/>
          <w:b/>
          <w:bCs/>
          <w:sz w:val="20"/>
          <w:szCs w:val="20"/>
        </w:rPr>
        <w:lastRenderedPageBreak/>
        <w:t>REFERENCES</w:t>
      </w:r>
    </w:p>
    <w:p w14:paraId="70035D79" w14:textId="77777777" w:rsidR="009325AB" w:rsidRPr="009325AB" w:rsidRDefault="009325AB" w:rsidP="009325AB">
      <w:pPr>
        <w:pStyle w:val="Bibliography"/>
        <w:rPr>
          <w:rFonts w:ascii="Arial" w:hAnsi="Arial" w:cs="Arial"/>
          <w:sz w:val="20"/>
        </w:rPr>
      </w:pPr>
      <w:r>
        <w:rPr>
          <w:rFonts w:ascii="Arial" w:hAnsi="Arial" w:cs="Arial"/>
          <w:b/>
          <w:bCs/>
          <w:sz w:val="20"/>
          <w:szCs w:val="20"/>
        </w:rPr>
        <w:fldChar w:fldCharType="begin"/>
      </w:r>
      <w:r>
        <w:rPr>
          <w:rFonts w:ascii="Arial" w:hAnsi="Arial" w:cs="Arial"/>
          <w:b/>
          <w:bCs/>
          <w:sz w:val="20"/>
          <w:szCs w:val="20"/>
        </w:rPr>
        <w:instrText xml:space="preserve"> ADDIN ZOTERO_BIBL {"uncited":[],"omitted":[],"custom":[]} CSL_BIBLIOGRAPHY </w:instrText>
      </w:r>
      <w:r>
        <w:rPr>
          <w:rFonts w:ascii="Arial" w:hAnsi="Arial" w:cs="Arial"/>
          <w:b/>
          <w:bCs/>
          <w:sz w:val="20"/>
          <w:szCs w:val="20"/>
        </w:rPr>
        <w:fldChar w:fldCharType="separate"/>
      </w:r>
      <w:r w:rsidRPr="009325AB">
        <w:rPr>
          <w:rFonts w:ascii="Arial" w:hAnsi="Arial" w:cs="Arial"/>
          <w:sz w:val="20"/>
        </w:rPr>
        <w:t>1.</w:t>
      </w:r>
      <w:r w:rsidRPr="009325AB">
        <w:rPr>
          <w:rFonts w:ascii="Arial" w:hAnsi="Arial" w:cs="Arial"/>
          <w:sz w:val="20"/>
        </w:rPr>
        <w:tab/>
        <w:t>World Health Organization. Indicators for assessing infant and young child feeding practices: part 1 definition [Internet]. 2008 [cited 2025 Aug 29]. Available from: https://www.who.int/publications/i/item/9789241596664</w:t>
      </w:r>
    </w:p>
    <w:p w14:paraId="4C25F0EE" w14:textId="77777777" w:rsidR="009325AB" w:rsidRPr="009325AB" w:rsidRDefault="009325AB" w:rsidP="009325AB">
      <w:pPr>
        <w:pStyle w:val="Bibliography"/>
        <w:rPr>
          <w:rFonts w:ascii="Arial" w:hAnsi="Arial" w:cs="Arial"/>
          <w:sz w:val="20"/>
        </w:rPr>
      </w:pPr>
      <w:r w:rsidRPr="009325AB">
        <w:rPr>
          <w:rFonts w:ascii="Arial" w:hAnsi="Arial" w:cs="Arial"/>
          <w:sz w:val="20"/>
        </w:rPr>
        <w:t>2.</w:t>
      </w:r>
      <w:r w:rsidRPr="009325AB">
        <w:rPr>
          <w:rFonts w:ascii="Arial" w:hAnsi="Arial" w:cs="Arial"/>
          <w:sz w:val="20"/>
        </w:rPr>
        <w:tab/>
        <w:t xml:space="preserve">Govender I, Rangiah S, Kaswa R, Nzaumvila D. Malnutrition in children under the age of 5 years in a primary health care setting. South Afr Fam Pract. 2021 Sep 7;63(1):5337. </w:t>
      </w:r>
    </w:p>
    <w:p w14:paraId="6698AB9B" w14:textId="77777777" w:rsidR="009325AB" w:rsidRPr="009325AB" w:rsidRDefault="009325AB" w:rsidP="009325AB">
      <w:pPr>
        <w:pStyle w:val="Bibliography"/>
        <w:rPr>
          <w:rFonts w:ascii="Arial" w:hAnsi="Arial" w:cs="Arial"/>
          <w:sz w:val="20"/>
        </w:rPr>
      </w:pPr>
      <w:r w:rsidRPr="009325AB">
        <w:rPr>
          <w:rFonts w:ascii="Arial" w:hAnsi="Arial" w:cs="Arial"/>
          <w:sz w:val="20"/>
        </w:rPr>
        <w:t>3.</w:t>
      </w:r>
      <w:r w:rsidRPr="009325AB">
        <w:rPr>
          <w:rFonts w:ascii="Arial" w:hAnsi="Arial" w:cs="Arial"/>
          <w:sz w:val="20"/>
        </w:rPr>
        <w:tab/>
        <w:t>World Health Organisation. Levels and trends in child malnutrition: UNICEF/WHO/World Bank Group joint child malnutrition estimates: key findings of the 2023 edition [Internet]. 2023 [cited 2025 Aug 29]. Available from: https://www.who.int/publications/i/item/9789240073791</w:t>
      </w:r>
    </w:p>
    <w:p w14:paraId="09FC4EA6" w14:textId="77777777" w:rsidR="009325AB" w:rsidRPr="009325AB" w:rsidRDefault="009325AB" w:rsidP="009325AB">
      <w:pPr>
        <w:pStyle w:val="Bibliography"/>
        <w:rPr>
          <w:rFonts w:ascii="Arial" w:hAnsi="Arial" w:cs="Arial"/>
          <w:sz w:val="20"/>
        </w:rPr>
      </w:pPr>
      <w:r w:rsidRPr="009325AB">
        <w:rPr>
          <w:rFonts w:ascii="Arial" w:hAnsi="Arial" w:cs="Arial"/>
          <w:sz w:val="20"/>
        </w:rPr>
        <w:t>4.</w:t>
      </w:r>
      <w:r w:rsidRPr="009325AB">
        <w:rPr>
          <w:rFonts w:ascii="Arial" w:hAnsi="Arial" w:cs="Arial"/>
          <w:sz w:val="20"/>
        </w:rPr>
        <w:tab/>
        <w:t xml:space="preserve">Black RE, Victora CG, Walker SP, Bhutta ZA, Christian P, De Onis M, et al. Maternal and child undernutrition and overweight in low-income and middle-income countries. The Lancet. 2013 Aug;382(9890):427–51. </w:t>
      </w:r>
    </w:p>
    <w:p w14:paraId="2F61FB04" w14:textId="77777777" w:rsidR="009325AB" w:rsidRPr="009325AB" w:rsidRDefault="009325AB" w:rsidP="009325AB">
      <w:pPr>
        <w:pStyle w:val="Bibliography"/>
        <w:rPr>
          <w:rFonts w:ascii="Arial" w:hAnsi="Arial" w:cs="Arial"/>
          <w:sz w:val="20"/>
        </w:rPr>
      </w:pPr>
      <w:r w:rsidRPr="009325AB">
        <w:rPr>
          <w:rFonts w:ascii="Arial" w:hAnsi="Arial" w:cs="Arial"/>
          <w:sz w:val="20"/>
        </w:rPr>
        <w:t>5.</w:t>
      </w:r>
      <w:r w:rsidRPr="009325AB">
        <w:rPr>
          <w:rFonts w:ascii="Arial" w:hAnsi="Arial" w:cs="Arial"/>
          <w:sz w:val="20"/>
        </w:rPr>
        <w:tab/>
        <w:t xml:space="preserve">Likhar A, Patil MS. Importance of Maternal Nutrition in the First 1,000 Days of Life and Its Effects on Child Development: A Narrative Review. Cureus. 14(10):e30083. </w:t>
      </w:r>
    </w:p>
    <w:p w14:paraId="5CE79195" w14:textId="77777777" w:rsidR="009325AB" w:rsidRPr="009325AB" w:rsidRDefault="009325AB" w:rsidP="009325AB">
      <w:pPr>
        <w:pStyle w:val="Bibliography"/>
        <w:rPr>
          <w:rFonts w:ascii="Arial" w:hAnsi="Arial" w:cs="Arial"/>
          <w:sz w:val="20"/>
        </w:rPr>
      </w:pPr>
      <w:r w:rsidRPr="009325AB">
        <w:rPr>
          <w:rFonts w:ascii="Arial" w:hAnsi="Arial" w:cs="Arial"/>
          <w:sz w:val="20"/>
        </w:rPr>
        <w:t>6.</w:t>
      </w:r>
      <w:r w:rsidRPr="009325AB">
        <w:rPr>
          <w:rFonts w:ascii="Arial" w:hAnsi="Arial" w:cs="Arial"/>
          <w:sz w:val="20"/>
        </w:rPr>
        <w:tab/>
        <w:t>Food and Agriculture Organization of the United Nations. Guidelines for assessing nutrition-related knowledge, attitudes and practices [Internet]. 2014 [cited 2025 Aug 29]. Available from: https://www.fao.org/4/i3545e/i3545e00.htm</w:t>
      </w:r>
    </w:p>
    <w:p w14:paraId="3AC8E5C2" w14:textId="77777777" w:rsidR="009325AB" w:rsidRPr="009325AB" w:rsidRDefault="009325AB" w:rsidP="009325AB">
      <w:pPr>
        <w:pStyle w:val="Bibliography"/>
        <w:rPr>
          <w:rFonts w:ascii="Arial" w:hAnsi="Arial" w:cs="Arial"/>
          <w:sz w:val="20"/>
        </w:rPr>
      </w:pPr>
      <w:r w:rsidRPr="009325AB">
        <w:rPr>
          <w:rFonts w:ascii="Arial" w:hAnsi="Arial" w:cs="Arial"/>
          <w:sz w:val="20"/>
        </w:rPr>
        <w:t>7.</w:t>
      </w:r>
      <w:r w:rsidRPr="009325AB">
        <w:rPr>
          <w:rFonts w:ascii="Arial" w:hAnsi="Arial" w:cs="Arial"/>
          <w:sz w:val="20"/>
        </w:rPr>
        <w:tab/>
        <w:t xml:space="preserve">Keino S, Plasqui G, Ettyang G, Van Den Borne B. Determinants of Stunting and Overweight among Young Children and Adolescents in Sub-Saharan Africa. Food Nutr Bull. 2014 Jun;35(2):167–78. </w:t>
      </w:r>
    </w:p>
    <w:p w14:paraId="48231B24" w14:textId="77777777" w:rsidR="009325AB" w:rsidRPr="009325AB" w:rsidRDefault="009325AB" w:rsidP="009325AB">
      <w:pPr>
        <w:pStyle w:val="Bibliography"/>
        <w:rPr>
          <w:rFonts w:ascii="Arial" w:hAnsi="Arial" w:cs="Arial"/>
          <w:sz w:val="20"/>
        </w:rPr>
      </w:pPr>
      <w:r w:rsidRPr="009325AB">
        <w:rPr>
          <w:rFonts w:ascii="Arial" w:hAnsi="Arial" w:cs="Arial"/>
          <w:sz w:val="20"/>
        </w:rPr>
        <w:t>8.</w:t>
      </w:r>
      <w:r w:rsidRPr="009325AB">
        <w:rPr>
          <w:rFonts w:ascii="Arial" w:hAnsi="Arial" w:cs="Arial"/>
          <w:sz w:val="20"/>
        </w:rPr>
        <w:tab/>
        <w:t>Ghana Statistical Service; ICF. Ghana Demographic and Health Survey 2022: Key Indicators Report [Internet]. Accra, Ghana; Rockville, Maryland, USA: Ghana Statistical Service (GSS) &amp; ICF; 2024 [cited 2025 Aug 29]. Report No.: PR149. Available from: https://www.dhsprogram.com/pubs/pdf/FR387/FR387.pdf</w:t>
      </w:r>
    </w:p>
    <w:p w14:paraId="05D521DA" w14:textId="77777777" w:rsidR="009325AB" w:rsidRPr="009325AB" w:rsidRDefault="009325AB" w:rsidP="009325AB">
      <w:pPr>
        <w:pStyle w:val="Bibliography"/>
        <w:rPr>
          <w:rFonts w:ascii="Arial" w:hAnsi="Arial" w:cs="Arial"/>
          <w:sz w:val="20"/>
        </w:rPr>
      </w:pPr>
      <w:r w:rsidRPr="009325AB">
        <w:rPr>
          <w:rFonts w:ascii="Arial" w:hAnsi="Arial" w:cs="Arial"/>
          <w:sz w:val="20"/>
        </w:rPr>
        <w:t>9.</w:t>
      </w:r>
      <w:r w:rsidRPr="009325AB">
        <w:rPr>
          <w:rFonts w:ascii="Arial" w:hAnsi="Arial" w:cs="Arial"/>
          <w:sz w:val="20"/>
        </w:rPr>
        <w:tab/>
        <w:t xml:space="preserve">Saaka M, Galaa SZ. Relationships between Wasting and Stunting and Their Concurrent Occurrence in Ghanaian Preschool Children. J Nutr Metab. 2016;2016:1–11. </w:t>
      </w:r>
    </w:p>
    <w:p w14:paraId="5C805FA4" w14:textId="77777777" w:rsidR="009325AB" w:rsidRPr="009325AB" w:rsidRDefault="009325AB" w:rsidP="009325AB">
      <w:pPr>
        <w:pStyle w:val="Bibliography"/>
        <w:rPr>
          <w:rFonts w:ascii="Arial" w:hAnsi="Arial" w:cs="Arial"/>
          <w:sz w:val="20"/>
        </w:rPr>
      </w:pPr>
      <w:r w:rsidRPr="009325AB">
        <w:rPr>
          <w:rFonts w:ascii="Arial" w:hAnsi="Arial" w:cs="Arial"/>
          <w:sz w:val="20"/>
        </w:rPr>
        <w:t>10.</w:t>
      </w:r>
      <w:r w:rsidRPr="009325AB">
        <w:rPr>
          <w:rFonts w:ascii="Arial" w:hAnsi="Arial" w:cs="Arial"/>
          <w:sz w:val="20"/>
        </w:rPr>
        <w:tab/>
        <w:t xml:space="preserve">Kimani-Murage EW, Madise NJ, Fotso JC, Kyobutungi C, Mutua MK, Gitau TM, et al. Patterns and determinants of breastfeeding and complementary feeding practices in urban informal settlements, Nairobi Kenya. BMC Public Health. 2011 May 26;11:396. </w:t>
      </w:r>
    </w:p>
    <w:p w14:paraId="43E2004D" w14:textId="77777777" w:rsidR="009325AB" w:rsidRPr="009325AB" w:rsidRDefault="009325AB" w:rsidP="009325AB">
      <w:pPr>
        <w:pStyle w:val="Bibliography"/>
        <w:rPr>
          <w:rFonts w:ascii="Arial" w:hAnsi="Arial" w:cs="Arial"/>
          <w:sz w:val="20"/>
        </w:rPr>
      </w:pPr>
      <w:r w:rsidRPr="009325AB">
        <w:rPr>
          <w:rFonts w:ascii="Arial" w:hAnsi="Arial" w:cs="Arial"/>
          <w:sz w:val="20"/>
        </w:rPr>
        <w:t>11.</w:t>
      </w:r>
      <w:r w:rsidRPr="009325AB">
        <w:rPr>
          <w:rFonts w:ascii="Arial" w:hAnsi="Arial" w:cs="Arial"/>
          <w:sz w:val="20"/>
        </w:rPr>
        <w:tab/>
        <w:t xml:space="preserve">Asare BYA, Preko JV, Baafi D, Dwumfour-Asare B. Breastfeeding practices and determinants of exclusive breastfeeding in a cross-sectional study at a child welfare clinic in Tema Manhean, Ghana. Int Breastfeed J. 2018;13(1):1–9. </w:t>
      </w:r>
    </w:p>
    <w:p w14:paraId="50326F20" w14:textId="77777777" w:rsidR="009325AB" w:rsidRPr="009325AB" w:rsidRDefault="009325AB" w:rsidP="009325AB">
      <w:pPr>
        <w:pStyle w:val="Bibliography"/>
        <w:rPr>
          <w:rFonts w:ascii="Arial" w:hAnsi="Arial" w:cs="Arial"/>
          <w:sz w:val="20"/>
        </w:rPr>
      </w:pPr>
      <w:r w:rsidRPr="009325AB">
        <w:rPr>
          <w:rFonts w:ascii="Arial" w:hAnsi="Arial" w:cs="Arial"/>
          <w:sz w:val="20"/>
        </w:rPr>
        <w:t>12.</w:t>
      </w:r>
      <w:r w:rsidRPr="009325AB">
        <w:rPr>
          <w:rFonts w:ascii="Arial" w:hAnsi="Arial" w:cs="Arial"/>
          <w:sz w:val="20"/>
        </w:rPr>
        <w:tab/>
        <w:t xml:space="preserve">Saaka M. Relationship between mothers’ nutritional knowledge in childcare practices and the growth of children living in impoverished rural communities. J Health Popul Nutr. 2014 Jun;32(2):237–48. </w:t>
      </w:r>
    </w:p>
    <w:p w14:paraId="39DE00B5" w14:textId="77777777" w:rsidR="009325AB" w:rsidRPr="009325AB" w:rsidRDefault="009325AB" w:rsidP="009325AB">
      <w:pPr>
        <w:pStyle w:val="Bibliography"/>
        <w:rPr>
          <w:rFonts w:ascii="Arial" w:hAnsi="Arial" w:cs="Arial"/>
          <w:sz w:val="20"/>
        </w:rPr>
      </w:pPr>
      <w:r w:rsidRPr="009325AB">
        <w:rPr>
          <w:rFonts w:ascii="Arial" w:hAnsi="Arial" w:cs="Arial"/>
          <w:sz w:val="20"/>
        </w:rPr>
        <w:t>13.</w:t>
      </w:r>
      <w:r w:rsidRPr="009325AB">
        <w:rPr>
          <w:rFonts w:ascii="Arial" w:hAnsi="Arial" w:cs="Arial"/>
          <w:sz w:val="20"/>
        </w:rPr>
        <w:tab/>
        <w:t xml:space="preserve">Demilew BC, Mekonen A, Aemro A, Sewnet N, Hailu BA. Knowledge, attitude, and practice of health professionals for oxygen therapy working in South Gondar zone hospitals, 2021: multicenter cross-sectional study. BMC Health Serv Res. 2022;22(1):600. </w:t>
      </w:r>
    </w:p>
    <w:p w14:paraId="14CDF0AE" w14:textId="77777777" w:rsidR="009325AB" w:rsidRPr="009325AB" w:rsidRDefault="009325AB" w:rsidP="009325AB">
      <w:pPr>
        <w:pStyle w:val="Bibliography"/>
        <w:rPr>
          <w:rFonts w:ascii="Arial" w:hAnsi="Arial" w:cs="Arial"/>
          <w:sz w:val="20"/>
        </w:rPr>
      </w:pPr>
      <w:r w:rsidRPr="009325AB">
        <w:rPr>
          <w:rFonts w:ascii="Arial" w:hAnsi="Arial" w:cs="Arial"/>
          <w:sz w:val="20"/>
        </w:rPr>
        <w:t>14.</w:t>
      </w:r>
      <w:r w:rsidRPr="009325AB">
        <w:rPr>
          <w:rFonts w:ascii="Arial" w:hAnsi="Arial" w:cs="Arial"/>
          <w:sz w:val="20"/>
        </w:rPr>
        <w:tab/>
        <w:t xml:space="preserve">Victor R, Baines SK, Agho KE, Dibley MJ. Factors associated with inappropriate complementary feeding practices among children aged 6-23 months in Tanzania. Matern Child Nutr. 2014 Oct;10(4):545–61. </w:t>
      </w:r>
    </w:p>
    <w:p w14:paraId="3B96FD48" w14:textId="77777777" w:rsidR="009325AB" w:rsidRPr="009325AB" w:rsidRDefault="009325AB" w:rsidP="009325AB">
      <w:pPr>
        <w:pStyle w:val="Bibliography"/>
        <w:rPr>
          <w:rFonts w:ascii="Arial" w:hAnsi="Arial" w:cs="Arial"/>
          <w:sz w:val="20"/>
        </w:rPr>
      </w:pPr>
      <w:r w:rsidRPr="009325AB">
        <w:rPr>
          <w:rFonts w:ascii="Arial" w:hAnsi="Arial" w:cs="Arial"/>
          <w:sz w:val="20"/>
        </w:rPr>
        <w:lastRenderedPageBreak/>
        <w:t>15.</w:t>
      </w:r>
      <w:r w:rsidRPr="009325AB">
        <w:rPr>
          <w:rFonts w:ascii="Arial" w:hAnsi="Arial" w:cs="Arial"/>
          <w:sz w:val="20"/>
        </w:rPr>
        <w:tab/>
        <w:t xml:space="preserve">Demilew YM, Alene GD, Belachew T. Effect of guided counseling on nutritional status of pregnant women in West Gojjam zone, Ethiopia: a cluster-randomized controlled trial. Nutr J. 2020 Apr 28;19(1):38. </w:t>
      </w:r>
    </w:p>
    <w:p w14:paraId="2A7F843B" w14:textId="77777777" w:rsidR="009325AB" w:rsidRPr="009325AB" w:rsidRDefault="009325AB" w:rsidP="009325AB">
      <w:pPr>
        <w:pStyle w:val="Bibliography"/>
        <w:rPr>
          <w:rFonts w:ascii="Arial" w:hAnsi="Arial" w:cs="Arial"/>
          <w:sz w:val="20"/>
        </w:rPr>
      </w:pPr>
      <w:r w:rsidRPr="009325AB">
        <w:rPr>
          <w:rFonts w:ascii="Arial" w:hAnsi="Arial" w:cs="Arial"/>
          <w:sz w:val="20"/>
        </w:rPr>
        <w:t>16.</w:t>
      </w:r>
      <w:r w:rsidRPr="009325AB">
        <w:rPr>
          <w:rFonts w:ascii="Arial" w:hAnsi="Arial" w:cs="Arial"/>
          <w:sz w:val="20"/>
        </w:rPr>
        <w:tab/>
        <w:t xml:space="preserve">Ogunlesi TA. Maternal socio-demographic factors influencing the initiation and exclusivity of breastfeeding in a Nigerian semi-urban setting. Matern Child Health J. 2010 May;14(3):459–65. </w:t>
      </w:r>
    </w:p>
    <w:p w14:paraId="79009370" w14:textId="77777777" w:rsidR="009325AB" w:rsidRPr="009325AB" w:rsidRDefault="009325AB" w:rsidP="009325AB">
      <w:pPr>
        <w:pStyle w:val="Bibliography"/>
        <w:rPr>
          <w:rFonts w:ascii="Arial" w:hAnsi="Arial" w:cs="Arial"/>
          <w:sz w:val="20"/>
        </w:rPr>
      </w:pPr>
      <w:r w:rsidRPr="009325AB">
        <w:rPr>
          <w:rFonts w:ascii="Arial" w:hAnsi="Arial" w:cs="Arial"/>
          <w:sz w:val="20"/>
        </w:rPr>
        <w:t>17.</w:t>
      </w:r>
      <w:r w:rsidRPr="009325AB">
        <w:rPr>
          <w:rFonts w:ascii="Arial" w:hAnsi="Arial" w:cs="Arial"/>
          <w:sz w:val="20"/>
        </w:rPr>
        <w:tab/>
        <w:t xml:space="preserve">Abeway S, Gebremichael B, Murugan R, Assefa M, Adinew YM. Stunting and Its Determinants among Children Aged 6-59 Months in Northern Ethiopia: A Cross-Sectional Study. J Nutr Metab. 2018;2018:1078480. </w:t>
      </w:r>
    </w:p>
    <w:p w14:paraId="26251EE2" w14:textId="77777777" w:rsidR="009325AB" w:rsidRPr="009325AB" w:rsidRDefault="009325AB" w:rsidP="009325AB">
      <w:pPr>
        <w:pStyle w:val="Bibliography"/>
        <w:rPr>
          <w:rFonts w:ascii="Arial" w:hAnsi="Arial" w:cs="Arial"/>
          <w:sz w:val="20"/>
        </w:rPr>
      </w:pPr>
      <w:r w:rsidRPr="009325AB">
        <w:rPr>
          <w:rFonts w:ascii="Arial" w:hAnsi="Arial" w:cs="Arial"/>
          <w:sz w:val="20"/>
        </w:rPr>
        <w:t>18.</w:t>
      </w:r>
      <w:r w:rsidRPr="009325AB">
        <w:rPr>
          <w:rFonts w:ascii="Arial" w:hAnsi="Arial" w:cs="Arial"/>
          <w:sz w:val="20"/>
        </w:rPr>
        <w:tab/>
        <w:t xml:space="preserve">Lakshman R, Ogilvie D, Ong KK. Mothers’ experiences of bottle-feeding: a systematic review of qualitative and quantitative studies. Arch Dis Child. 2009 Aug;94(8):596–601. </w:t>
      </w:r>
    </w:p>
    <w:p w14:paraId="791E8CDB" w14:textId="77777777" w:rsidR="009325AB" w:rsidRPr="009325AB" w:rsidRDefault="009325AB" w:rsidP="009325AB">
      <w:pPr>
        <w:pStyle w:val="Bibliography"/>
        <w:rPr>
          <w:rFonts w:ascii="Arial" w:hAnsi="Arial" w:cs="Arial"/>
          <w:sz w:val="20"/>
        </w:rPr>
      </w:pPr>
      <w:r w:rsidRPr="009325AB">
        <w:rPr>
          <w:rFonts w:ascii="Arial" w:hAnsi="Arial" w:cs="Arial"/>
          <w:sz w:val="20"/>
        </w:rPr>
        <w:t>19.</w:t>
      </w:r>
      <w:r w:rsidRPr="009325AB">
        <w:rPr>
          <w:rFonts w:ascii="Arial" w:hAnsi="Arial" w:cs="Arial"/>
          <w:sz w:val="20"/>
        </w:rPr>
        <w:tab/>
        <w:t xml:space="preserve">Setia MS. Methodology series module 3: Cross-sectional studies. Indian J Dermatol. 2016;61(3):261. </w:t>
      </w:r>
    </w:p>
    <w:p w14:paraId="240E95B6" w14:textId="77777777" w:rsidR="009325AB" w:rsidRPr="009325AB" w:rsidRDefault="009325AB" w:rsidP="009325AB">
      <w:pPr>
        <w:pStyle w:val="Bibliography"/>
        <w:rPr>
          <w:rFonts w:ascii="Arial" w:hAnsi="Arial" w:cs="Arial"/>
          <w:sz w:val="20"/>
        </w:rPr>
      </w:pPr>
      <w:r w:rsidRPr="009325AB">
        <w:rPr>
          <w:rFonts w:ascii="Arial" w:hAnsi="Arial" w:cs="Arial"/>
          <w:sz w:val="20"/>
        </w:rPr>
        <w:t>20.</w:t>
      </w:r>
      <w:r w:rsidRPr="009325AB">
        <w:rPr>
          <w:rFonts w:ascii="Arial" w:hAnsi="Arial" w:cs="Arial"/>
          <w:sz w:val="20"/>
        </w:rPr>
        <w:tab/>
        <w:t xml:space="preserve">Daniel G, Afolaranmi T, Mfuh A, Wina F, Iii Dioso R. Experiences of Midwives in Providing Respectful Maternity Care During Childbirth in Jos, Nigeria. Malays J Nurs. 2023;14(04):35–45. </w:t>
      </w:r>
    </w:p>
    <w:p w14:paraId="5E922D2C" w14:textId="77777777" w:rsidR="009325AB" w:rsidRPr="009325AB" w:rsidRDefault="009325AB" w:rsidP="009325AB">
      <w:pPr>
        <w:pStyle w:val="Bibliography"/>
        <w:rPr>
          <w:rFonts w:ascii="Arial" w:hAnsi="Arial" w:cs="Arial"/>
          <w:sz w:val="20"/>
        </w:rPr>
      </w:pPr>
      <w:r w:rsidRPr="009325AB">
        <w:rPr>
          <w:rFonts w:ascii="Arial" w:hAnsi="Arial" w:cs="Arial"/>
          <w:sz w:val="20"/>
        </w:rPr>
        <w:t>21.</w:t>
      </w:r>
      <w:r w:rsidRPr="009325AB">
        <w:rPr>
          <w:rFonts w:ascii="Arial" w:hAnsi="Arial" w:cs="Arial"/>
          <w:sz w:val="20"/>
        </w:rPr>
        <w:tab/>
        <w:t xml:space="preserve">Alhamedi NM, Alshoaibi NF, Alamri RMS, Alamri SA, Alsulami SS, Ghulam E, et al. Knowledge, attitude, and practice of breastfeeding among mothers attending King Abdulaziz University Hospital, Jeddah, Saudi Arabia. J Fam Med Prim Care. 2025 Apr;14(4):1295–306. </w:t>
      </w:r>
    </w:p>
    <w:p w14:paraId="28DBEAD2" w14:textId="77777777" w:rsidR="009325AB" w:rsidRPr="009325AB" w:rsidRDefault="009325AB" w:rsidP="009325AB">
      <w:pPr>
        <w:pStyle w:val="Bibliography"/>
        <w:rPr>
          <w:rFonts w:ascii="Arial" w:hAnsi="Arial" w:cs="Arial"/>
          <w:sz w:val="20"/>
        </w:rPr>
      </w:pPr>
      <w:r w:rsidRPr="009325AB">
        <w:rPr>
          <w:rFonts w:ascii="Arial" w:hAnsi="Arial" w:cs="Arial"/>
          <w:sz w:val="20"/>
        </w:rPr>
        <w:t>22.</w:t>
      </w:r>
      <w:r w:rsidRPr="009325AB">
        <w:rPr>
          <w:rFonts w:ascii="Arial" w:hAnsi="Arial" w:cs="Arial"/>
          <w:sz w:val="20"/>
        </w:rPr>
        <w:tab/>
        <w:t xml:space="preserve">Manjapallikkunnel SR, Nair ANK, Sujatha C. Knowledge, Attitude and Practices Among Mothers of Infants Regarding Breastfeeding. J Fam Reprod Health. 2023 Sep;17(3):136–41. </w:t>
      </w:r>
    </w:p>
    <w:p w14:paraId="17CC3B1B" w14:textId="77777777" w:rsidR="009325AB" w:rsidRPr="009325AB" w:rsidRDefault="009325AB" w:rsidP="009325AB">
      <w:pPr>
        <w:pStyle w:val="Bibliography"/>
        <w:rPr>
          <w:rFonts w:ascii="Arial" w:hAnsi="Arial" w:cs="Arial"/>
          <w:sz w:val="20"/>
        </w:rPr>
      </w:pPr>
      <w:r w:rsidRPr="009325AB">
        <w:rPr>
          <w:rFonts w:ascii="Arial" w:hAnsi="Arial" w:cs="Arial"/>
          <w:sz w:val="20"/>
        </w:rPr>
        <w:t>23.</w:t>
      </w:r>
      <w:r w:rsidRPr="009325AB">
        <w:rPr>
          <w:rFonts w:ascii="Arial" w:hAnsi="Arial" w:cs="Arial"/>
          <w:sz w:val="20"/>
        </w:rPr>
        <w:tab/>
        <w:t xml:space="preserve">Jansen E, Russell CG, Appleton J, Byrne R, Daniels LA, Fowler C, et al. The Feeding Practices and Structure Questionnaire: development and validation of age appropriate versions for infants and toddlers. Int J Behav Nutr Phys Act. 2021 Jan 19;18(1):13. </w:t>
      </w:r>
    </w:p>
    <w:p w14:paraId="110432DC" w14:textId="77777777" w:rsidR="009325AB" w:rsidRPr="009325AB" w:rsidRDefault="009325AB" w:rsidP="009325AB">
      <w:pPr>
        <w:pStyle w:val="Bibliography"/>
        <w:rPr>
          <w:rFonts w:ascii="Arial" w:hAnsi="Arial" w:cs="Arial"/>
          <w:sz w:val="20"/>
        </w:rPr>
      </w:pPr>
      <w:r w:rsidRPr="009325AB">
        <w:rPr>
          <w:rFonts w:ascii="Arial" w:hAnsi="Arial" w:cs="Arial"/>
          <w:sz w:val="20"/>
        </w:rPr>
        <w:t>24.</w:t>
      </w:r>
      <w:r w:rsidRPr="009325AB">
        <w:rPr>
          <w:rFonts w:ascii="Arial" w:hAnsi="Arial" w:cs="Arial"/>
          <w:sz w:val="20"/>
        </w:rPr>
        <w:tab/>
        <w:t>Tahreem A, Rakha A, Anwar R, Rabail R, Maerescu CM, Socol CT, et al. Impact of maternal nutritional literacy and feeding practices on the growth outcomes of children (6–23 months) in Gujranwala: a cross-sectional study. Front Nutr [Internet]. 2025;Volume 11-2024. Available from: https://www.frontiersin.org/journals/nutrition/articles/10.3389/fnut.2024.1460200</w:t>
      </w:r>
    </w:p>
    <w:p w14:paraId="691FD04D" w14:textId="77777777" w:rsidR="009325AB" w:rsidRPr="009325AB" w:rsidRDefault="009325AB" w:rsidP="009325AB">
      <w:pPr>
        <w:pStyle w:val="Bibliography"/>
        <w:rPr>
          <w:rFonts w:ascii="Arial" w:hAnsi="Arial" w:cs="Arial"/>
          <w:sz w:val="20"/>
        </w:rPr>
      </w:pPr>
      <w:r w:rsidRPr="009325AB">
        <w:rPr>
          <w:rFonts w:ascii="Arial" w:hAnsi="Arial" w:cs="Arial"/>
          <w:sz w:val="20"/>
        </w:rPr>
        <w:t>25.</w:t>
      </w:r>
      <w:r w:rsidRPr="009325AB">
        <w:rPr>
          <w:rFonts w:ascii="Arial" w:hAnsi="Arial" w:cs="Arial"/>
          <w:sz w:val="20"/>
        </w:rPr>
        <w:tab/>
        <w:t xml:space="preserve">Ali Z, Saaka M, Adams AG, Kamwininaang SK, Abizari AR. The effect of maternal and child factors on stunting, wasting and underweight among preschool children in Northern Ghana. BMC Nutr. 2017;3:31. </w:t>
      </w:r>
    </w:p>
    <w:p w14:paraId="04870486" w14:textId="77777777" w:rsidR="009325AB" w:rsidRPr="009325AB" w:rsidRDefault="009325AB" w:rsidP="009325AB">
      <w:pPr>
        <w:pStyle w:val="Bibliography"/>
        <w:rPr>
          <w:rFonts w:ascii="Arial" w:hAnsi="Arial" w:cs="Arial"/>
          <w:sz w:val="20"/>
        </w:rPr>
      </w:pPr>
      <w:r w:rsidRPr="009325AB">
        <w:rPr>
          <w:rFonts w:ascii="Arial" w:hAnsi="Arial" w:cs="Arial"/>
          <w:sz w:val="20"/>
        </w:rPr>
        <w:t>26.</w:t>
      </w:r>
      <w:r w:rsidRPr="009325AB">
        <w:rPr>
          <w:rFonts w:ascii="Arial" w:hAnsi="Arial" w:cs="Arial"/>
          <w:sz w:val="20"/>
        </w:rPr>
        <w:tab/>
        <w:t>Uthman OA. Decomposing socio</w:t>
      </w:r>
      <w:r w:rsidRPr="009325AB">
        <w:rPr>
          <w:rFonts w:ascii="Cambria Math" w:hAnsi="Cambria Math" w:cs="Cambria Math"/>
          <w:sz w:val="20"/>
        </w:rPr>
        <w:t>‐</w:t>
      </w:r>
      <w:r w:rsidRPr="009325AB">
        <w:rPr>
          <w:rFonts w:ascii="Arial" w:hAnsi="Arial" w:cs="Arial"/>
          <w:sz w:val="20"/>
        </w:rPr>
        <w:t xml:space="preserve">economic inequality in childhood malnutrition in Nigeria. Matern Child Nutr. 2009 Mar 23;5(4):358–67. </w:t>
      </w:r>
    </w:p>
    <w:p w14:paraId="508B120A" w14:textId="6F345BE1" w:rsidR="009325AB" w:rsidRPr="00AA4B44" w:rsidRDefault="009325AB" w:rsidP="00707C17">
      <w:pPr>
        <w:rPr>
          <w:rFonts w:ascii="Arial" w:hAnsi="Arial" w:cs="Arial"/>
          <w:b/>
          <w:bCs/>
          <w:sz w:val="20"/>
          <w:szCs w:val="20"/>
        </w:rPr>
      </w:pPr>
      <w:r>
        <w:rPr>
          <w:rFonts w:ascii="Arial" w:hAnsi="Arial" w:cs="Arial"/>
          <w:b/>
          <w:bCs/>
          <w:sz w:val="20"/>
          <w:szCs w:val="20"/>
        </w:rPr>
        <w:fldChar w:fldCharType="end"/>
      </w:r>
    </w:p>
    <w:p w14:paraId="24DEE62E" w14:textId="77777777" w:rsidR="00707C17" w:rsidRPr="00C54F0B" w:rsidRDefault="00707C17">
      <w:pPr>
        <w:rPr>
          <w:rFonts w:ascii="Arial" w:hAnsi="Arial" w:cs="Arial"/>
          <w:sz w:val="20"/>
          <w:szCs w:val="20"/>
        </w:rPr>
      </w:pPr>
    </w:p>
    <w:sectPr w:rsidR="00707C17" w:rsidRPr="00C54F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5ABA" w14:textId="77777777" w:rsidR="00694B02" w:rsidRDefault="00694B02" w:rsidP="0090702C">
      <w:pPr>
        <w:spacing w:after="0" w:line="240" w:lineRule="auto"/>
      </w:pPr>
      <w:r>
        <w:separator/>
      </w:r>
    </w:p>
  </w:endnote>
  <w:endnote w:type="continuationSeparator" w:id="0">
    <w:p w14:paraId="7370B662" w14:textId="77777777" w:rsidR="00694B02" w:rsidRDefault="00694B02" w:rsidP="0090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90F0" w14:textId="77777777" w:rsidR="0090702C" w:rsidRDefault="00907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28ED" w14:textId="77777777" w:rsidR="0090702C" w:rsidRDefault="00907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F867" w14:textId="77777777" w:rsidR="0090702C" w:rsidRDefault="00907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BC71" w14:textId="77777777" w:rsidR="00694B02" w:rsidRDefault="00694B02" w:rsidP="0090702C">
      <w:pPr>
        <w:spacing w:after="0" w:line="240" w:lineRule="auto"/>
      </w:pPr>
      <w:r>
        <w:separator/>
      </w:r>
    </w:p>
  </w:footnote>
  <w:footnote w:type="continuationSeparator" w:id="0">
    <w:p w14:paraId="251C0673" w14:textId="77777777" w:rsidR="00694B02" w:rsidRDefault="00694B02" w:rsidP="00907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58EA" w14:textId="2BAFADBE" w:rsidR="0090702C" w:rsidRDefault="00000000">
    <w:pPr>
      <w:pStyle w:val="Header"/>
    </w:pPr>
    <w:r>
      <w:rPr>
        <w:noProof/>
      </w:rPr>
      <w:pict w14:anchorId="19033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34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BF31" w14:textId="46901986" w:rsidR="0090702C" w:rsidRDefault="00000000">
    <w:pPr>
      <w:pStyle w:val="Header"/>
    </w:pPr>
    <w:r>
      <w:rPr>
        <w:noProof/>
      </w:rPr>
      <w:pict w14:anchorId="594BA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34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233E" w14:textId="20F56A7A" w:rsidR="0090702C" w:rsidRDefault="00000000">
    <w:pPr>
      <w:pStyle w:val="Header"/>
    </w:pPr>
    <w:r>
      <w:rPr>
        <w:noProof/>
      </w:rPr>
      <w:pict w14:anchorId="45C7E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34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AE8"/>
    <w:multiLevelType w:val="multilevel"/>
    <w:tmpl w:val="5A9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C003A"/>
    <w:multiLevelType w:val="multilevel"/>
    <w:tmpl w:val="B77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66BF5"/>
    <w:multiLevelType w:val="multilevel"/>
    <w:tmpl w:val="DCA2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4743D"/>
    <w:multiLevelType w:val="multilevel"/>
    <w:tmpl w:val="4EBC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67B04"/>
    <w:multiLevelType w:val="multilevel"/>
    <w:tmpl w:val="2E9C6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50CCC"/>
    <w:multiLevelType w:val="multilevel"/>
    <w:tmpl w:val="5236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13FFF"/>
    <w:multiLevelType w:val="multilevel"/>
    <w:tmpl w:val="A486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83A4A"/>
    <w:multiLevelType w:val="multilevel"/>
    <w:tmpl w:val="F140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67253"/>
    <w:multiLevelType w:val="multilevel"/>
    <w:tmpl w:val="4572B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562D68"/>
    <w:multiLevelType w:val="multilevel"/>
    <w:tmpl w:val="7686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90815"/>
    <w:multiLevelType w:val="multilevel"/>
    <w:tmpl w:val="77B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889860">
    <w:abstractNumId w:val="0"/>
  </w:num>
  <w:num w:numId="2" w16cid:durableId="1795706578">
    <w:abstractNumId w:val="9"/>
  </w:num>
  <w:num w:numId="3" w16cid:durableId="1396005258">
    <w:abstractNumId w:val="8"/>
  </w:num>
  <w:num w:numId="4" w16cid:durableId="1379205374">
    <w:abstractNumId w:val="2"/>
  </w:num>
  <w:num w:numId="5" w16cid:durableId="443379444">
    <w:abstractNumId w:val="1"/>
  </w:num>
  <w:num w:numId="6" w16cid:durableId="332296726">
    <w:abstractNumId w:val="4"/>
  </w:num>
  <w:num w:numId="7" w16cid:durableId="1032271033">
    <w:abstractNumId w:val="10"/>
  </w:num>
  <w:num w:numId="8" w16cid:durableId="217210535">
    <w:abstractNumId w:val="7"/>
  </w:num>
  <w:num w:numId="9" w16cid:durableId="1865288145">
    <w:abstractNumId w:val="3"/>
  </w:num>
  <w:num w:numId="10" w16cid:durableId="1226796516">
    <w:abstractNumId w:val="5"/>
  </w:num>
  <w:num w:numId="11" w16cid:durableId="335503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457"/>
    <w:rsid w:val="0001148C"/>
    <w:rsid w:val="00022730"/>
    <w:rsid w:val="00052460"/>
    <w:rsid w:val="00097CDC"/>
    <w:rsid w:val="00106296"/>
    <w:rsid w:val="001406EC"/>
    <w:rsid w:val="001639A9"/>
    <w:rsid w:val="001C0F75"/>
    <w:rsid w:val="001F65C5"/>
    <w:rsid w:val="002274D8"/>
    <w:rsid w:val="00233D9E"/>
    <w:rsid w:val="00236E3C"/>
    <w:rsid w:val="002634FB"/>
    <w:rsid w:val="002776E5"/>
    <w:rsid w:val="00284117"/>
    <w:rsid w:val="002A4456"/>
    <w:rsid w:val="002B4C14"/>
    <w:rsid w:val="002E376B"/>
    <w:rsid w:val="002F10B7"/>
    <w:rsid w:val="0036204D"/>
    <w:rsid w:val="003641A1"/>
    <w:rsid w:val="003B7321"/>
    <w:rsid w:val="003C3479"/>
    <w:rsid w:val="00403425"/>
    <w:rsid w:val="004173F0"/>
    <w:rsid w:val="00434B0B"/>
    <w:rsid w:val="00474D94"/>
    <w:rsid w:val="004C197C"/>
    <w:rsid w:val="004C6551"/>
    <w:rsid w:val="004D7245"/>
    <w:rsid w:val="004E63FB"/>
    <w:rsid w:val="00594949"/>
    <w:rsid w:val="005A487B"/>
    <w:rsid w:val="005A6D5C"/>
    <w:rsid w:val="005B48F6"/>
    <w:rsid w:val="005D4A4A"/>
    <w:rsid w:val="005F2182"/>
    <w:rsid w:val="0063668C"/>
    <w:rsid w:val="00675A73"/>
    <w:rsid w:val="006828CA"/>
    <w:rsid w:val="00694B02"/>
    <w:rsid w:val="00695031"/>
    <w:rsid w:val="006A2096"/>
    <w:rsid w:val="006C247D"/>
    <w:rsid w:val="006D50E4"/>
    <w:rsid w:val="00707C17"/>
    <w:rsid w:val="00724239"/>
    <w:rsid w:val="00770313"/>
    <w:rsid w:val="007A56E6"/>
    <w:rsid w:val="0081530F"/>
    <w:rsid w:val="00823663"/>
    <w:rsid w:val="00831D8F"/>
    <w:rsid w:val="008C4C75"/>
    <w:rsid w:val="0090702C"/>
    <w:rsid w:val="00910687"/>
    <w:rsid w:val="009323A2"/>
    <w:rsid w:val="009325AB"/>
    <w:rsid w:val="00946A72"/>
    <w:rsid w:val="00983529"/>
    <w:rsid w:val="009965B7"/>
    <w:rsid w:val="009C6D18"/>
    <w:rsid w:val="00A12BF7"/>
    <w:rsid w:val="00A12D0C"/>
    <w:rsid w:val="00A25341"/>
    <w:rsid w:val="00AA325A"/>
    <w:rsid w:val="00AA4B44"/>
    <w:rsid w:val="00AB4660"/>
    <w:rsid w:val="00AD423C"/>
    <w:rsid w:val="00B124DB"/>
    <w:rsid w:val="00B61AAC"/>
    <w:rsid w:val="00B73223"/>
    <w:rsid w:val="00B8322D"/>
    <w:rsid w:val="00BB469C"/>
    <w:rsid w:val="00BE5304"/>
    <w:rsid w:val="00BF793F"/>
    <w:rsid w:val="00C0680D"/>
    <w:rsid w:val="00C240B6"/>
    <w:rsid w:val="00C3249D"/>
    <w:rsid w:val="00C54F0B"/>
    <w:rsid w:val="00C77030"/>
    <w:rsid w:val="00CB3595"/>
    <w:rsid w:val="00CC0E80"/>
    <w:rsid w:val="00CC1511"/>
    <w:rsid w:val="00CE4BB6"/>
    <w:rsid w:val="00D523CB"/>
    <w:rsid w:val="00DA2CC5"/>
    <w:rsid w:val="00DC00DF"/>
    <w:rsid w:val="00DC2B03"/>
    <w:rsid w:val="00E1373E"/>
    <w:rsid w:val="00E173D9"/>
    <w:rsid w:val="00E27389"/>
    <w:rsid w:val="00E67457"/>
    <w:rsid w:val="00E80801"/>
    <w:rsid w:val="00E81499"/>
    <w:rsid w:val="00EB026E"/>
    <w:rsid w:val="00EB4C27"/>
    <w:rsid w:val="00EB7F79"/>
    <w:rsid w:val="00EF2EB4"/>
    <w:rsid w:val="00F12D04"/>
    <w:rsid w:val="00F16418"/>
    <w:rsid w:val="00F278F6"/>
    <w:rsid w:val="00F60A0E"/>
    <w:rsid w:val="00F81A35"/>
    <w:rsid w:val="00F916D2"/>
    <w:rsid w:val="00F91FD0"/>
    <w:rsid w:val="00FA0B4A"/>
    <w:rsid w:val="00FA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FD9B2"/>
  <w15:chartTrackingRefBased/>
  <w15:docId w15:val="{A3D5CCE3-D7E2-40EA-AC71-27B6D2E6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36E3C"/>
    <w:pPr>
      <w:keepNext/>
      <w:keepLines/>
      <w:tabs>
        <w:tab w:val="left" w:pos="567"/>
      </w:tabs>
      <w:spacing w:before="206" w:after="0" w:line="360" w:lineRule="auto"/>
      <w:ind w:right="1811"/>
      <w:jc w:val="center"/>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2B4C14"/>
    <w:pPr>
      <w:keepNext/>
      <w:keepLines/>
      <w:spacing w:before="160" w:after="80" w:line="480" w:lineRule="auto"/>
      <w:outlineLvl w:val="1"/>
    </w:pPr>
    <w:rPr>
      <w:rFonts w:ascii="Times New Roman" w:eastAsiaTheme="majorEastAsia" w:hAnsi="Times New Roman" w:cstheme="majorBidi"/>
      <w:sz w:val="24"/>
      <w:szCs w:val="32"/>
    </w:rPr>
  </w:style>
  <w:style w:type="paragraph" w:styleId="Heading3">
    <w:name w:val="heading 3"/>
    <w:basedOn w:val="Normal"/>
    <w:next w:val="Normal"/>
    <w:link w:val="Heading3Char"/>
    <w:uiPriority w:val="9"/>
    <w:semiHidden/>
    <w:unhideWhenUsed/>
    <w:qFormat/>
    <w:rsid w:val="00E674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4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4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E3C"/>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2B4C14"/>
    <w:rPr>
      <w:rFonts w:ascii="Times New Roman" w:eastAsiaTheme="majorEastAsia" w:hAnsi="Times New Roman" w:cstheme="majorBidi"/>
      <w:sz w:val="24"/>
      <w:szCs w:val="32"/>
    </w:rPr>
  </w:style>
  <w:style w:type="character" w:customStyle="1" w:styleId="Heading3Char">
    <w:name w:val="Heading 3 Char"/>
    <w:basedOn w:val="DefaultParagraphFont"/>
    <w:link w:val="Heading3"/>
    <w:uiPriority w:val="9"/>
    <w:semiHidden/>
    <w:rsid w:val="00E674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4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4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457"/>
    <w:rPr>
      <w:rFonts w:eastAsiaTheme="majorEastAsia" w:cstheme="majorBidi"/>
      <w:color w:val="272727" w:themeColor="text1" w:themeTint="D8"/>
    </w:rPr>
  </w:style>
  <w:style w:type="paragraph" w:styleId="Title">
    <w:name w:val="Title"/>
    <w:basedOn w:val="Normal"/>
    <w:next w:val="Normal"/>
    <w:link w:val="TitleChar"/>
    <w:uiPriority w:val="10"/>
    <w:qFormat/>
    <w:rsid w:val="00E67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457"/>
    <w:pPr>
      <w:spacing w:before="160"/>
      <w:jc w:val="center"/>
    </w:pPr>
    <w:rPr>
      <w:i/>
      <w:iCs/>
      <w:color w:val="404040" w:themeColor="text1" w:themeTint="BF"/>
    </w:rPr>
  </w:style>
  <w:style w:type="character" w:customStyle="1" w:styleId="QuoteChar">
    <w:name w:val="Quote Char"/>
    <w:basedOn w:val="DefaultParagraphFont"/>
    <w:link w:val="Quote"/>
    <w:uiPriority w:val="29"/>
    <w:rsid w:val="00E67457"/>
    <w:rPr>
      <w:i/>
      <w:iCs/>
      <w:color w:val="404040" w:themeColor="text1" w:themeTint="BF"/>
    </w:rPr>
  </w:style>
  <w:style w:type="paragraph" w:styleId="ListParagraph">
    <w:name w:val="List Paragraph"/>
    <w:basedOn w:val="Normal"/>
    <w:uiPriority w:val="34"/>
    <w:qFormat/>
    <w:rsid w:val="00E67457"/>
    <w:pPr>
      <w:ind w:left="720"/>
      <w:contextualSpacing/>
    </w:pPr>
  </w:style>
  <w:style w:type="character" w:styleId="IntenseEmphasis">
    <w:name w:val="Intense Emphasis"/>
    <w:basedOn w:val="DefaultParagraphFont"/>
    <w:uiPriority w:val="21"/>
    <w:qFormat/>
    <w:rsid w:val="00E67457"/>
    <w:rPr>
      <w:i/>
      <w:iCs/>
      <w:color w:val="2F5496" w:themeColor="accent1" w:themeShade="BF"/>
    </w:rPr>
  </w:style>
  <w:style w:type="paragraph" w:styleId="IntenseQuote">
    <w:name w:val="Intense Quote"/>
    <w:basedOn w:val="Normal"/>
    <w:next w:val="Normal"/>
    <w:link w:val="IntenseQuoteChar"/>
    <w:uiPriority w:val="30"/>
    <w:qFormat/>
    <w:rsid w:val="00E674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457"/>
    <w:rPr>
      <w:i/>
      <w:iCs/>
      <w:color w:val="2F5496" w:themeColor="accent1" w:themeShade="BF"/>
    </w:rPr>
  </w:style>
  <w:style w:type="character" w:styleId="IntenseReference">
    <w:name w:val="Intense Reference"/>
    <w:basedOn w:val="DefaultParagraphFont"/>
    <w:uiPriority w:val="32"/>
    <w:qFormat/>
    <w:rsid w:val="00E67457"/>
    <w:rPr>
      <w:b/>
      <w:bCs/>
      <w:smallCaps/>
      <w:color w:val="2F5496" w:themeColor="accent1" w:themeShade="BF"/>
      <w:spacing w:val="5"/>
    </w:rPr>
  </w:style>
  <w:style w:type="character" w:styleId="Hyperlink">
    <w:name w:val="Hyperlink"/>
    <w:basedOn w:val="DefaultParagraphFont"/>
    <w:uiPriority w:val="99"/>
    <w:unhideWhenUsed/>
    <w:rsid w:val="002776E5"/>
    <w:rPr>
      <w:color w:val="0563C1" w:themeColor="hyperlink"/>
      <w:u w:val="single"/>
    </w:rPr>
  </w:style>
  <w:style w:type="character" w:styleId="UnresolvedMention">
    <w:name w:val="Unresolved Mention"/>
    <w:basedOn w:val="DefaultParagraphFont"/>
    <w:uiPriority w:val="99"/>
    <w:semiHidden/>
    <w:unhideWhenUsed/>
    <w:rsid w:val="002776E5"/>
    <w:rPr>
      <w:color w:val="605E5C"/>
      <w:shd w:val="clear" w:color="auto" w:fill="E1DFDD"/>
    </w:rPr>
  </w:style>
  <w:style w:type="paragraph" w:styleId="NoSpacing">
    <w:name w:val="No Spacing"/>
    <w:link w:val="NoSpacingChar"/>
    <w:uiPriority w:val="1"/>
    <w:qFormat/>
    <w:rsid w:val="00707C17"/>
    <w:pPr>
      <w:spacing w:after="0" w:line="240" w:lineRule="auto"/>
    </w:pPr>
    <w:rPr>
      <w:rFonts w:ascii="Calibri" w:eastAsia="Calibri" w:hAnsi="Calibri" w:cs="Arial"/>
      <w:kern w:val="0"/>
    </w:rPr>
  </w:style>
  <w:style w:type="character" w:customStyle="1" w:styleId="NoSpacingChar">
    <w:name w:val="No Spacing Char"/>
    <w:basedOn w:val="DefaultParagraphFont"/>
    <w:link w:val="NoSpacing"/>
    <w:uiPriority w:val="1"/>
    <w:locked/>
    <w:rsid w:val="00707C17"/>
    <w:rPr>
      <w:rFonts w:ascii="Calibri" w:eastAsia="Calibri" w:hAnsi="Calibri" w:cs="Arial"/>
      <w:kern w:val="0"/>
    </w:rPr>
  </w:style>
  <w:style w:type="paragraph" w:styleId="Bibliography">
    <w:name w:val="Bibliography"/>
    <w:basedOn w:val="Normal"/>
    <w:next w:val="Normal"/>
    <w:uiPriority w:val="37"/>
    <w:unhideWhenUsed/>
    <w:rsid w:val="009325AB"/>
    <w:pPr>
      <w:tabs>
        <w:tab w:val="left" w:pos="384"/>
      </w:tabs>
      <w:spacing w:after="240" w:line="240" w:lineRule="auto"/>
      <w:ind w:left="384" w:hanging="384"/>
    </w:pPr>
  </w:style>
  <w:style w:type="paragraph" w:styleId="Header">
    <w:name w:val="header"/>
    <w:basedOn w:val="Normal"/>
    <w:link w:val="HeaderChar"/>
    <w:uiPriority w:val="99"/>
    <w:unhideWhenUsed/>
    <w:rsid w:val="00907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02C"/>
  </w:style>
  <w:style w:type="paragraph" w:styleId="Footer">
    <w:name w:val="footer"/>
    <w:basedOn w:val="Normal"/>
    <w:link w:val="FooterChar"/>
    <w:uiPriority w:val="99"/>
    <w:unhideWhenUsed/>
    <w:rsid w:val="00907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1483</TotalTime>
  <Pages>12</Pages>
  <Words>22004</Words>
  <Characters>138627</Characters>
  <Application>Microsoft Office Word</Application>
  <DocSecurity>0</DocSecurity>
  <Lines>5331</Lines>
  <Paragraphs>2294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asumah mubarick nungbaso</dc:creator>
  <cp:keywords/>
  <dc:description/>
  <cp:lastModifiedBy>asumah mubarick nungbaso</cp:lastModifiedBy>
  <cp:revision>8</cp:revision>
  <dcterms:created xsi:type="dcterms:W3CDTF">2025-08-28T22:29:00Z</dcterms:created>
  <dcterms:modified xsi:type="dcterms:W3CDTF">2025-09-05T04:08:00Z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id="1qHuslOx"/&gt;&lt;style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GrammarlyDocumentId">
    <vt:lpwstr>76d2b00f-9f5e-4b56-9c3b-9fb26b8c8322</vt:lpwstr>
  </property>
</Properties>
</file>