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6DC2" w14:textId="77777777" w:rsidR="007A0780" w:rsidRPr="00612C7D" w:rsidRDefault="007A0780" w:rsidP="007A0780">
      <w:pPr>
        <w:pStyle w:val="NoSpacing"/>
        <w:spacing w:line="276" w:lineRule="auto"/>
        <w:jc w:val="center"/>
        <w:rPr>
          <w:rFonts w:ascii="Times New Roman" w:hAnsi="Times New Roman" w:cs="Times New Roman"/>
          <w:b/>
          <w:bCs/>
          <w:color w:val="FF0000"/>
          <w:sz w:val="24"/>
          <w:szCs w:val="24"/>
        </w:rPr>
      </w:pPr>
      <w:r w:rsidRPr="00612C7D">
        <w:rPr>
          <w:rFonts w:ascii="Times New Roman" w:hAnsi="Times New Roman" w:cs="Times New Roman"/>
          <w:b/>
          <w:bCs/>
          <w:color w:val="FF0000"/>
          <w:sz w:val="24"/>
          <w:szCs w:val="24"/>
        </w:rPr>
        <w:t xml:space="preserve">HISTOMORPHOLOGICAL STUDY OF PLACENTA </w:t>
      </w:r>
    </w:p>
    <w:p w14:paraId="326B980C" w14:textId="77777777" w:rsidR="007A0780" w:rsidRPr="00612C7D" w:rsidRDefault="007A0780" w:rsidP="007A0780">
      <w:pPr>
        <w:pStyle w:val="NoSpacing"/>
        <w:spacing w:line="276" w:lineRule="auto"/>
        <w:jc w:val="center"/>
        <w:rPr>
          <w:rFonts w:ascii="Times New Roman" w:hAnsi="Times New Roman" w:cs="Times New Roman"/>
          <w:b/>
          <w:bCs/>
          <w:color w:val="FF0000"/>
          <w:sz w:val="24"/>
          <w:szCs w:val="24"/>
        </w:rPr>
      </w:pPr>
      <w:r w:rsidRPr="00612C7D">
        <w:rPr>
          <w:rFonts w:ascii="Times New Roman" w:hAnsi="Times New Roman" w:cs="Times New Roman"/>
          <w:b/>
          <w:bCs/>
          <w:color w:val="FF0000"/>
          <w:sz w:val="24"/>
          <w:szCs w:val="24"/>
        </w:rPr>
        <w:t>IN INTRAUTERINE GROWTH RESTRICTION</w:t>
      </w:r>
    </w:p>
    <w:p w14:paraId="64B4E5C4" w14:textId="77777777" w:rsidR="007A0780" w:rsidRPr="00AF7305" w:rsidRDefault="007A0780" w:rsidP="007A0780">
      <w:pPr>
        <w:pStyle w:val="NoSpacing"/>
        <w:spacing w:line="276" w:lineRule="auto"/>
        <w:jc w:val="center"/>
        <w:rPr>
          <w:rFonts w:ascii="Times New Roman" w:hAnsi="Times New Roman" w:cs="Times New Roman"/>
          <w:b/>
          <w:bCs/>
        </w:rPr>
      </w:pPr>
    </w:p>
    <w:p w14:paraId="62B9339A" w14:textId="77777777" w:rsidR="007A0780" w:rsidRPr="00E86F27" w:rsidRDefault="007A0780" w:rsidP="007A0780">
      <w:pPr>
        <w:pStyle w:val="NoSpacing"/>
        <w:spacing w:line="276" w:lineRule="auto"/>
        <w:rPr>
          <w:rFonts w:ascii="Times New Roman" w:hAnsi="Times New Roman" w:cs="Times New Roman"/>
          <w:sz w:val="16"/>
          <w:szCs w:val="16"/>
        </w:rPr>
      </w:pPr>
    </w:p>
    <w:p w14:paraId="75FD83C4" w14:textId="77777777" w:rsidR="007A0780" w:rsidRPr="007A0780" w:rsidRDefault="007A0780" w:rsidP="007A0780">
      <w:pPr>
        <w:pStyle w:val="NoSpacing"/>
        <w:spacing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ABSTRACT</w:t>
      </w:r>
    </w:p>
    <w:p w14:paraId="19B4FAD4" w14:textId="40983FCA" w:rsidR="007A0780" w:rsidRPr="0073510D" w:rsidRDefault="007A0780" w:rsidP="0073510D">
      <w:pPr>
        <w:pStyle w:val="NoSpacing"/>
        <w:spacing w:line="276" w:lineRule="auto"/>
        <w:jc w:val="both"/>
        <w:rPr>
          <w:rFonts w:ascii="Times New Roman" w:hAnsi="Times New Roman" w:cs="Times New Roman"/>
          <w:highlight w:val="yellow"/>
        </w:rPr>
      </w:pP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growth is primarily determined by its genetically programmed growth potential and is influenced by maternal, </w:t>
      </w:r>
      <w:proofErr w:type="spellStart"/>
      <w:r w:rsidRPr="00AF7305">
        <w:rPr>
          <w:rFonts w:ascii="Times New Roman" w:hAnsi="Times New Roman" w:cs="Times New Roman"/>
        </w:rPr>
        <w:t>f</w:t>
      </w:r>
      <w:r w:rsidR="00BA42A1">
        <w:rPr>
          <w:rFonts w:ascii="Times New Roman" w:hAnsi="Times New Roman" w:cs="Times New Roman"/>
        </w:rPr>
        <w:t>o</w:t>
      </w:r>
      <w:r w:rsidRPr="00AF7305">
        <w:rPr>
          <w:rFonts w:ascii="Times New Roman" w:hAnsi="Times New Roman" w:cs="Times New Roman"/>
        </w:rPr>
        <w:t>etal</w:t>
      </w:r>
      <w:proofErr w:type="spellEnd"/>
      <w:r w:rsidRPr="00AF7305">
        <w:rPr>
          <w:rFonts w:ascii="Times New Roman" w:hAnsi="Times New Roman" w:cs="Times New Roman"/>
        </w:rPr>
        <w:t xml:space="preserve">, and placental health. In intrauterine growth restriction (IUGR), the </w:t>
      </w:r>
      <w:proofErr w:type="spellStart"/>
      <w:r w:rsidRPr="00AF7305">
        <w:rPr>
          <w:rFonts w:ascii="Times New Roman" w:hAnsi="Times New Roman" w:cs="Times New Roman"/>
        </w:rPr>
        <w:t>foetus</w:t>
      </w:r>
      <w:proofErr w:type="spellEnd"/>
      <w:r w:rsidRPr="00AF7305">
        <w:rPr>
          <w:rFonts w:ascii="Times New Roman" w:hAnsi="Times New Roman" w:cs="Times New Roman"/>
        </w:rPr>
        <w:t xml:space="preserve"> fails to achieve its genetically predetermined growth potential, with the estimated </w:t>
      </w: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weight falling below the 10th percentile for its gestational age. </w:t>
      </w:r>
      <w:r w:rsidR="004A6322" w:rsidRPr="004A6322">
        <w:rPr>
          <w:rFonts w:ascii="Times New Roman" w:hAnsi="Times New Roman" w:cs="Times New Roman"/>
        </w:rPr>
        <w:t> </w:t>
      </w:r>
      <w:r w:rsidR="0073510D" w:rsidRPr="0073510D">
        <w:rPr>
          <w:rFonts w:ascii="Times New Roman" w:hAnsi="Times New Roman" w:cs="Times New Roman"/>
          <w:highlight w:val="yellow"/>
        </w:rPr>
        <w:t xml:space="preserve">IUGR refers to impaired </w:t>
      </w:r>
      <w:proofErr w:type="spellStart"/>
      <w:r w:rsidR="0073510D" w:rsidRPr="0073510D">
        <w:rPr>
          <w:rFonts w:ascii="Times New Roman" w:hAnsi="Times New Roman" w:cs="Times New Roman"/>
          <w:highlight w:val="yellow"/>
        </w:rPr>
        <w:t>foetal</w:t>
      </w:r>
      <w:proofErr w:type="spellEnd"/>
      <w:r w:rsidR="0073510D" w:rsidRPr="0073510D">
        <w:rPr>
          <w:rFonts w:ascii="Times New Roman" w:hAnsi="Times New Roman" w:cs="Times New Roman"/>
          <w:highlight w:val="yellow"/>
        </w:rPr>
        <w:t xml:space="preserve"> growth as a result of </w:t>
      </w:r>
      <w:proofErr w:type="spellStart"/>
      <w:r w:rsidR="0073510D" w:rsidRPr="0073510D">
        <w:rPr>
          <w:rFonts w:ascii="Times New Roman" w:hAnsi="Times New Roman" w:cs="Times New Roman"/>
          <w:highlight w:val="yellow"/>
        </w:rPr>
        <w:t>foetal</w:t>
      </w:r>
      <w:proofErr w:type="spellEnd"/>
      <w:r w:rsidR="0073510D" w:rsidRPr="0073510D">
        <w:rPr>
          <w:rFonts w:ascii="Times New Roman" w:hAnsi="Times New Roman" w:cs="Times New Roman"/>
          <w:highlight w:val="yellow"/>
        </w:rPr>
        <w:t xml:space="preserve">, maternal, or placental causes, whereas small-for-gestational-age (SGA), means a measure of </w:t>
      </w:r>
      <w:proofErr w:type="spellStart"/>
      <w:r w:rsidR="0073510D" w:rsidRPr="0073510D">
        <w:rPr>
          <w:rFonts w:ascii="Times New Roman" w:hAnsi="Times New Roman" w:cs="Times New Roman"/>
          <w:highlight w:val="yellow"/>
        </w:rPr>
        <w:t>foetal</w:t>
      </w:r>
      <w:proofErr w:type="spellEnd"/>
      <w:r w:rsidR="0073510D" w:rsidRPr="0073510D">
        <w:rPr>
          <w:rFonts w:ascii="Times New Roman" w:hAnsi="Times New Roman" w:cs="Times New Roman"/>
          <w:highlight w:val="yellow"/>
        </w:rPr>
        <w:t xml:space="preserve"> size and not a direct measure of the quality of antenatal growth. SGA infants are usually described as constitutionally small </w:t>
      </w:r>
      <w:proofErr w:type="spellStart"/>
      <w:r w:rsidR="0073510D" w:rsidRPr="0073510D">
        <w:rPr>
          <w:rFonts w:ascii="Times New Roman" w:hAnsi="Times New Roman" w:cs="Times New Roman"/>
          <w:highlight w:val="yellow"/>
        </w:rPr>
        <w:t>f</w:t>
      </w:r>
      <w:r w:rsidR="0073510D">
        <w:rPr>
          <w:rFonts w:ascii="Times New Roman" w:hAnsi="Times New Roman" w:cs="Times New Roman"/>
          <w:highlight w:val="yellow"/>
        </w:rPr>
        <w:t>o</w:t>
      </w:r>
      <w:r w:rsidR="0073510D" w:rsidRPr="0073510D">
        <w:rPr>
          <w:rFonts w:ascii="Times New Roman" w:hAnsi="Times New Roman" w:cs="Times New Roman"/>
          <w:highlight w:val="yellow"/>
        </w:rPr>
        <w:t>etuses</w:t>
      </w:r>
      <w:proofErr w:type="spellEnd"/>
      <w:r w:rsidR="0073510D" w:rsidRPr="0073510D">
        <w:rPr>
          <w:rFonts w:ascii="Times New Roman" w:hAnsi="Times New Roman" w:cs="Times New Roman"/>
          <w:highlight w:val="yellow"/>
        </w:rPr>
        <w:t>. </w:t>
      </w:r>
      <w:r w:rsidR="0073510D">
        <w:rPr>
          <w:rFonts w:ascii="Times New Roman" w:hAnsi="Times New Roman" w:cs="Times New Roman"/>
        </w:rPr>
        <w:t xml:space="preserve"> </w:t>
      </w:r>
      <w:r w:rsidRPr="00AF7305">
        <w:rPr>
          <w:rFonts w:ascii="Times New Roman" w:hAnsi="Times New Roman" w:cs="Times New Roman"/>
        </w:rPr>
        <w:t xml:space="preserve">Growth-restricted </w:t>
      </w:r>
      <w:proofErr w:type="spellStart"/>
      <w:r w:rsidRPr="00AF7305">
        <w:rPr>
          <w:rFonts w:ascii="Times New Roman" w:hAnsi="Times New Roman" w:cs="Times New Roman"/>
        </w:rPr>
        <w:t>foetuses</w:t>
      </w:r>
      <w:proofErr w:type="spellEnd"/>
      <w:r w:rsidRPr="00AF7305">
        <w:rPr>
          <w:rFonts w:ascii="Times New Roman" w:hAnsi="Times New Roman" w:cs="Times New Roman"/>
        </w:rPr>
        <w:t xml:space="preserve"> are at an increased risk not only for adverse perinatal outcomes but also for long-term health complications in adulthood.</w:t>
      </w:r>
      <w:r>
        <w:rPr>
          <w:rFonts w:ascii="Times New Roman" w:hAnsi="Times New Roman" w:cs="Times New Roman"/>
        </w:rPr>
        <w:t xml:space="preserve"> </w:t>
      </w:r>
      <w:r w:rsidRPr="00AF7305">
        <w:rPr>
          <w:rFonts w:ascii="Times New Roman" w:hAnsi="Times New Roman" w:cs="Times New Roman"/>
        </w:rPr>
        <w:t xml:space="preserve">Placental insufficiency has been identified in several studies as a major contributing factor to IUGR. </w:t>
      </w:r>
      <w:r w:rsidR="00580BBE" w:rsidRPr="00580BBE">
        <w:rPr>
          <w:rFonts w:ascii="Times New Roman" w:hAnsi="Times New Roman" w:cs="Times New Roman"/>
          <w:highlight w:val="yellow"/>
        </w:rPr>
        <w:t>Studies have shown that the distinctive placental Histopathological features in IUGR can serve as predictors of future IUGR recurrence</w:t>
      </w:r>
      <w:r w:rsidR="00580BBE">
        <w:rPr>
          <w:rFonts w:ascii="Times New Roman" w:hAnsi="Times New Roman" w:cs="Times New Roman"/>
        </w:rPr>
        <w:t>.</w:t>
      </w:r>
      <w:r w:rsidR="00580BBE" w:rsidRPr="00580BBE">
        <w:rPr>
          <w:rFonts w:ascii="Times New Roman" w:hAnsi="Times New Roman" w:cs="Times New Roman"/>
        </w:rPr>
        <w:t xml:space="preserve"> </w:t>
      </w:r>
      <w:r w:rsidRPr="00580BBE">
        <w:rPr>
          <w:rFonts w:ascii="Times New Roman" w:hAnsi="Times New Roman" w:cs="Times New Roman"/>
          <w:highlight w:val="yellow"/>
        </w:rPr>
        <w:t>In th</w:t>
      </w:r>
      <w:r w:rsidR="00580BBE" w:rsidRPr="00580BBE">
        <w:rPr>
          <w:rFonts w:ascii="Times New Roman" w:hAnsi="Times New Roman" w:cs="Times New Roman"/>
          <w:highlight w:val="yellow"/>
        </w:rPr>
        <w:t>is</w:t>
      </w:r>
      <w:r w:rsidRPr="00580BBE">
        <w:rPr>
          <w:rFonts w:ascii="Times New Roman" w:hAnsi="Times New Roman" w:cs="Times New Roman"/>
          <w:highlight w:val="yellow"/>
        </w:rPr>
        <w:t xml:space="preserve"> present study</w:t>
      </w:r>
      <w:r w:rsidR="00580BBE" w:rsidRPr="00580BBE">
        <w:rPr>
          <w:rFonts w:ascii="Times New Roman" w:hAnsi="Times New Roman" w:cs="Times New Roman"/>
          <w:highlight w:val="yellow"/>
        </w:rPr>
        <w:t xml:space="preserve"> too</w:t>
      </w:r>
      <w:r w:rsidRPr="00580BBE">
        <w:rPr>
          <w:rFonts w:ascii="Times New Roman" w:hAnsi="Times New Roman" w:cs="Times New Roman"/>
          <w:highlight w:val="yellow"/>
        </w:rPr>
        <w:t xml:space="preserve">, </w:t>
      </w:r>
      <w:r w:rsidR="00580BBE" w:rsidRPr="00580BBE">
        <w:rPr>
          <w:rFonts w:ascii="Times New Roman" w:hAnsi="Times New Roman" w:cs="Times New Roman"/>
          <w:highlight w:val="yellow"/>
        </w:rPr>
        <w:t xml:space="preserve">the </w:t>
      </w:r>
      <w:proofErr w:type="spellStart"/>
      <w:r w:rsidR="00580BBE" w:rsidRPr="00580BBE">
        <w:rPr>
          <w:rFonts w:ascii="Times New Roman" w:hAnsi="Times New Roman" w:cs="Times New Roman"/>
          <w:highlight w:val="yellow"/>
        </w:rPr>
        <w:t>histomorphological</w:t>
      </w:r>
      <w:proofErr w:type="spellEnd"/>
      <w:r w:rsidR="00580BBE" w:rsidRPr="00580BBE">
        <w:rPr>
          <w:rFonts w:ascii="Times New Roman" w:hAnsi="Times New Roman" w:cs="Times New Roman"/>
          <w:highlight w:val="yellow"/>
        </w:rPr>
        <w:t xml:space="preserve"> </w:t>
      </w:r>
      <w:r w:rsidRPr="00580BBE">
        <w:rPr>
          <w:rFonts w:ascii="Times New Roman" w:hAnsi="Times New Roman" w:cs="Times New Roman"/>
          <w:highlight w:val="yellow"/>
        </w:rPr>
        <w:t xml:space="preserve">examination of </w:t>
      </w:r>
      <w:r w:rsidR="00580BBE" w:rsidRPr="00580BBE">
        <w:rPr>
          <w:rFonts w:ascii="Times New Roman" w:hAnsi="Times New Roman" w:cs="Times New Roman"/>
          <w:highlight w:val="yellow"/>
        </w:rPr>
        <w:t xml:space="preserve">placenta in </w:t>
      </w:r>
      <w:r w:rsidRPr="00580BBE">
        <w:rPr>
          <w:rFonts w:ascii="Times New Roman" w:hAnsi="Times New Roman" w:cs="Times New Roman"/>
          <w:highlight w:val="yellow"/>
        </w:rPr>
        <w:t xml:space="preserve">75 pregnant women with IUGR </w:t>
      </w:r>
      <w:r w:rsidR="00580BBE" w:rsidRPr="00580BBE">
        <w:rPr>
          <w:rFonts w:ascii="Times New Roman" w:hAnsi="Times New Roman" w:cs="Times New Roman"/>
          <w:highlight w:val="yellow"/>
        </w:rPr>
        <w:t>showed</w:t>
      </w:r>
      <w:r w:rsidRPr="00580BBE">
        <w:rPr>
          <w:rFonts w:ascii="Times New Roman" w:hAnsi="Times New Roman" w:cs="Times New Roman"/>
          <w:highlight w:val="yellow"/>
        </w:rPr>
        <w:t xml:space="preserve"> marked placental infarctions and intervillous fibrinoid deposition</w:t>
      </w:r>
      <w:r w:rsidR="00612C7D">
        <w:rPr>
          <w:rFonts w:ascii="Times New Roman" w:hAnsi="Times New Roman" w:cs="Times New Roman"/>
          <w:highlight w:val="yellow"/>
        </w:rPr>
        <w:t xml:space="preserve"> indicating that the placental insufficiency is key contributory factor. </w:t>
      </w:r>
      <w:r w:rsidRPr="00AF7305">
        <w:rPr>
          <w:rFonts w:ascii="Times New Roman" w:hAnsi="Times New Roman" w:cs="Times New Roman"/>
          <w:b/>
          <w:bCs/>
          <w:color w:val="0000CC"/>
        </w:rPr>
        <w:t>Objective:</w:t>
      </w:r>
      <w:r w:rsidRPr="00AF7305">
        <w:rPr>
          <w:rFonts w:ascii="Times New Roman" w:hAnsi="Times New Roman" w:cs="Times New Roman"/>
        </w:rPr>
        <w:t xml:space="preserve"> To assess the morphological and histopathological changes in the placenta of pregnant women diagnosed with IUGR.</w:t>
      </w:r>
      <w:r>
        <w:rPr>
          <w:rFonts w:ascii="Times New Roman" w:hAnsi="Times New Roman" w:cs="Times New Roman"/>
        </w:rPr>
        <w:t xml:space="preserve"> </w:t>
      </w:r>
      <w:r w:rsidRPr="00AF7305">
        <w:rPr>
          <w:rFonts w:ascii="Times New Roman" w:hAnsi="Times New Roman" w:cs="Times New Roman"/>
          <w:b/>
          <w:bCs/>
          <w:color w:val="0000CC"/>
        </w:rPr>
        <w:t>Materials and Methods:</w:t>
      </w:r>
      <w:r w:rsidRPr="00AF7305">
        <w:rPr>
          <w:rFonts w:ascii="Times New Roman" w:hAnsi="Times New Roman" w:cs="Times New Roman"/>
        </w:rPr>
        <w:t xml:space="preserve"> This cross-sectional study was conducted on </w:t>
      </w:r>
      <w:r w:rsidRPr="00824019">
        <w:rPr>
          <w:rFonts w:ascii="Times New Roman" w:hAnsi="Times New Roman" w:cs="Times New Roman"/>
          <w:b/>
          <w:bCs/>
        </w:rPr>
        <w:t>75 singleton pregnancies</w:t>
      </w:r>
      <w:r w:rsidRPr="00AF7305">
        <w:rPr>
          <w:rFonts w:ascii="Times New Roman" w:hAnsi="Times New Roman" w:cs="Times New Roman"/>
        </w:rPr>
        <w:t xml:space="preserve"> between 32–42 weeks of gestation, with IUGR diagnosed on ultrasonography. Cases with multiple gestations, polyhydramnios, uncertain gestational dates, or irregular menstrual cycles were excluded.</w:t>
      </w:r>
      <w:r>
        <w:rPr>
          <w:rFonts w:ascii="Times New Roman" w:hAnsi="Times New Roman" w:cs="Times New Roman"/>
        </w:rPr>
        <w:t xml:space="preserve"> </w:t>
      </w:r>
      <w:r w:rsidRPr="00AF7305">
        <w:rPr>
          <w:rFonts w:ascii="Times New Roman" w:hAnsi="Times New Roman" w:cs="Times New Roman"/>
          <w:b/>
          <w:bCs/>
          <w:color w:val="0000CC"/>
        </w:rPr>
        <w:t>Results:</w:t>
      </w:r>
      <w:r w:rsidRPr="00AF7305">
        <w:rPr>
          <w:rFonts w:ascii="Times New Roman" w:hAnsi="Times New Roman" w:cs="Times New Roman"/>
        </w:rPr>
        <w:t xml:space="preserve"> </w:t>
      </w:r>
      <w:proofErr w:type="spellStart"/>
      <w:r w:rsidRPr="00AF7305">
        <w:rPr>
          <w:rFonts w:ascii="Times New Roman" w:hAnsi="Times New Roman" w:cs="Times New Roman"/>
        </w:rPr>
        <w:t>Colo</w:t>
      </w:r>
      <w:r w:rsidR="00612C7D">
        <w:rPr>
          <w:rFonts w:ascii="Times New Roman" w:hAnsi="Times New Roman" w:cs="Times New Roman"/>
        </w:rPr>
        <w:t>u</w:t>
      </w:r>
      <w:r w:rsidRPr="00AF7305">
        <w:rPr>
          <w:rFonts w:ascii="Times New Roman" w:hAnsi="Times New Roman" w:cs="Times New Roman"/>
        </w:rPr>
        <w:t>r</w:t>
      </w:r>
      <w:proofErr w:type="spellEnd"/>
      <w:r w:rsidRPr="00AF7305">
        <w:rPr>
          <w:rFonts w:ascii="Times New Roman" w:hAnsi="Times New Roman" w:cs="Times New Roman"/>
        </w:rPr>
        <w:t xml:space="preserve"> Doppler analysis showed high-resistance flow in the umbilical artery in </w:t>
      </w:r>
      <w:r w:rsidRPr="00AF7305">
        <w:rPr>
          <w:rFonts w:ascii="Times New Roman" w:hAnsi="Times New Roman" w:cs="Times New Roman"/>
          <w:b/>
          <w:bCs/>
        </w:rPr>
        <w:t>25.3%</w:t>
      </w:r>
      <w:r w:rsidRPr="00AF7305">
        <w:rPr>
          <w:rFonts w:ascii="Times New Roman" w:hAnsi="Times New Roman" w:cs="Times New Roman"/>
        </w:rPr>
        <w:t xml:space="preserve"> of cases</w:t>
      </w:r>
      <w:r w:rsidR="00612C7D">
        <w:rPr>
          <w:rFonts w:ascii="Times New Roman" w:hAnsi="Times New Roman" w:cs="Times New Roman"/>
        </w:rPr>
        <w:t xml:space="preserve"> and </w:t>
      </w:r>
      <w:r w:rsidRPr="00AF7305">
        <w:rPr>
          <w:rFonts w:ascii="Times New Roman" w:hAnsi="Times New Roman" w:cs="Times New Roman"/>
        </w:rPr>
        <w:t xml:space="preserve">low-resistance flow in the middle cerebral artery in </w:t>
      </w:r>
      <w:r w:rsidRPr="00AF7305">
        <w:rPr>
          <w:rFonts w:ascii="Times New Roman" w:hAnsi="Times New Roman" w:cs="Times New Roman"/>
          <w:b/>
          <w:bCs/>
        </w:rPr>
        <w:t>6.7%</w:t>
      </w:r>
      <w:r w:rsidR="00612C7D">
        <w:rPr>
          <w:rFonts w:ascii="Times New Roman" w:hAnsi="Times New Roman" w:cs="Times New Roman"/>
          <w:b/>
          <w:bCs/>
        </w:rPr>
        <w:t xml:space="preserve">. </w:t>
      </w:r>
      <w:r w:rsidRPr="00AF7305">
        <w:rPr>
          <w:rFonts w:ascii="Times New Roman" w:hAnsi="Times New Roman" w:cs="Times New Roman"/>
        </w:rPr>
        <w:t xml:space="preserve">Histopathological examination revealed </w:t>
      </w:r>
      <w:proofErr w:type="spellStart"/>
      <w:r w:rsidRPr="00AF7305">
        <w:rPr>
          <w:rFonts w:ascii="Times New Roman" w:hAnsi="Times New Roman" w:cs="Times New Roman"/>
          <w:b/>
          <w:bCs/>
        </w:rPr>
        <w:t>perivillous</w:t>
      </w:r>
      <w:proofErr w:type="spellEnd"/>
      <w:r w:rsidRPr="00AF7305">
        <w:rPr>
          <w:rFonts w:ascii="Times New Roman" w:hAnsi="Times New Roman" w:cs="Times New Roman"/>
          <w:b/>
          <w:bCs/>
        </w:rPr>
        <w:t xml:space="preserve"> fibrin deposition</w:t>
      </w:r>
      <w:r w:rsidRPr="00AF7305">
        <w:rPr>
          <w:rFonts w:ascii="Times New Roman" w:hAnsi="Times New Roman" w:cs="Times New Roman"/>
        </w:rPr>
        <w:t xml:space="preserve"> in </w:t>
      </w:r>
      <w:r w:rsidRPr="00AF7305">
        <w:rPr>
          <w:rFonts w:ascii="Times New Roman" w:hAnsi="Times New Roman" w:cs="Times New Roman"/>
          <w:b/>
          <w:bCs/>
        </w:rPr>
        <w:t>97.3%,</w:t>
      </w:r>
      <w:r>
        <w:rPr>
          <w:rFonts w:ascii="Times New Roman" w:hAnsi="Times New Roman" w:cs="Times New Roman"/>
          <w:b/>
          <w:bCs/>
        </w:rPr>
        <w:t xml:space="preserve"> </w:t>
      </w:r>
      <w:r w:rsidRPr="00AF7305">
        <w:rPr>
          <w:rFonts w:ascii="Times New Roman" w:hAnsi="Times New Roman" w:cs="Times New Roman"/>
          <w:b/>
          <w:bCs/>
        </w:rPr>
        <w:t>calcifications in 53.3%,</w:t>
      </w:r>
      <w:r w:rsidRPr="00AF7305">
        <w:rPr>
          <w:rFonts w:ascii="Times New Roman" w:hAnsi="Times New Roman" w:cs="Times New Roman"/>
        </w:rPr>
        <w:t xml:space="preserve"> and hemorrhages/infarctions in </w:t>
      </w:r>
      <w:r w:rsidRPr="00AF7305">
        <w:rPr>
          <w:rFonts w:ascii="Times New Roman" w:hAnsi="Times New Roman" w:cs="Times New Roman"/>
          <w:b/>
          <w:bCs/>
        </w:rPr>
        <w:t>20%</w:t>
      </w:r>
      <w:r w:rsidRPr="00AF7305">
        <w:rPr>
          <w:rFonts w:ascii="Times New Roman" w:hAnsi="Times New Roman" w:cs="Times New Roman"/>
        </w:rPr>
        <w:t xml:space="preserve"> of cases.</w:t>
      </w:r>
      <w:r w:rsidRPr="00AF7305">
        <w:rPr>
          <w:rFonts w:ascii="Times New Roman" w:hAnsi="Times New Roman" w:cs="Times New Roman"/>
          <w:b/>
          <w:bCs/>
          <w:color w:val="0000CC"/>
        </w:rPr>
        <w:t xml:space="preserve"> Conclusion:</w:t>
      </w:r>
      <w:r w:rsidRPr="00AF7305">
        <w:rPr>
          <w:rFonts w:ascii="Times New Roman" w:hAnsi="Times New Roman" w:cs="Times New Roman"/>
        </w:rPr>
        <w:t xml:space="preserve"> </w:t>
      </w:r>
      <w:r w:rsidR="00C653B3" w:rsidRPr="00C653B3">
        <w:rPr>
          <w:rFonts w:ascii="Times New Roman" w:hAnsi="Times New Roman" w:cs="Times New Roman"/>
          <w:highlight w:val="yellow"/>
        </w:rPr>
        <w:t xml:space="preserve">The placental disease is a </w:t>
      </w:r>
      <w:r w:rsidR="00824019">
        <w:rPr>
          <w:rFonts w:ascii="Times New Roman" w:hAnsi="Times New Roman" w:cs="Times New Roman"/>
          <w:highlight w:val="yellow"/>
        </w:rPr>
        <w:t>significant</w:t>
      </w:r>
      <w:r w:rsidR="00C653B3" w:rsidRPr="00C653B3">
        <w:rPr>
          <w:rFonts w:ascii="Times New Roman" w:hAnsi="Times New Roman" w:cs="Times New Roman"/>
          <w:highlight w:val="yellow"/>
        </w:rPr>
        <w:t xml:space="preserve"> factor among IUGR underlying processes. </w:t>
      </w:r>
      <w:r w:rsidRPr="00C653B3">
        <w:rPr>
          <w:rFonts w:ascii="Times New Roman" w:hAnsi="Times New Roman" w:cs="Times New Roman"/>
          <w:highlight w:val="yellow"/>
        </w:rPr>
        <w:t>This study highlights the significance of histopathological evaluation of the placenta</w:t>
      </w:r>
      <w:r w:rsidR="00824019">
        <w:rPr>
          <w:rFonts w:ascii="Times New Roman" w:hAnsi="Times New Roman" w:cs="Times New Roman"/>
        </w:rPr>
        <w:t xml:space="preserve"> </w:t>
      </w:r>
      <w:r w:rsidRPr="00AF7305">
        <w:rPr>
          <w:rFonts w:ascii="Times New Roman" w:hAnsi="Times New Roman" w:cs="Times New Roman"/>
        </w:rPr>
        <w:t xml:space="preserve">to understand </w:t>
      </w:r>
      <w:r w:rsidR="00612C7D">
        <w:rPr>
          <w:rFonts w:ascii="Times New Roman" w:hAnsi="Times New Roman" w:cs="Times New Roman"/>
        </w:rPr>
        <w:t xml:space="preserve">better </w:t>
      </w:r>
      <w:r w:rsidRPr="00AF7305">
        <w:rPr>
          <w:rFonts w:ascii="Times New Roman" w:hAnsi="Times New Roman" w:cs="Times New Roman"/>
        </w:rPr>
        <w:t>underlying pathological mechanisms and guide clinical management.</w:t>
      </w:r>
      <w:r w:rsidR="00C653B3">
        <w:rPr>
          <w:rFonts w:ascii="Times New Roman" w:hAnsi="Times New Roman" w:cs="Times New Roman"/>
        </w:rPr>
        <w:t xml:space="preserve"> </w:t>
      </w:r>
      <w:r w:rsidR="00C653B3" w:rsidRPr="00C653B3">
        <w:rPr>
          <w:rFonts w:ascii="Times New Roman" w:hAnsi="Times New Roman" w:cs="Times New Roman"/>
          <w:highlight w:val="yellow"/>
        </w:rPr>
        <w:t>The distinctive placental Histopathological features in IUGR may serve as predictors of future IUGR recurrence</w:t>
      </w:r>
      <w:r w:rsidR="00824019">
        <w:rPr>
          <w:rFonts w:ascii="Times New Roman" w:hAnsi="Times New Roman" w:cs="Times New Roman"/>
          <w:highlight w:val="yellow"/>
        </w:rPr>
        <w:t xml:space="preserve"> and help in</w:t>
      </w:r>
      <w:r w:rsidR="00C653B3" w:rsidRPr="00C653B3">
        <w:rPr>
          <w:rFonts w:ascii="Times New Roman" w:hAnsi="Times New Roman" w:cs="Times New Roman"/>
          <w:highlight w:val="yellow"/>
        </w:rPr>
        <w:t xml:space="preserve"> early recognition of pregnancies that require "high-risk" antenatal care.</w:t>
      </w:r>
    </w:p>
    <w:p w14:paraId="4F075DF9" w14:textId="77777777" w:rsidR="007A0780" w:rsidRPr="00E86F27" w:rsidRDefault="007A0780" w:rsidP="007A0780">
      <w:pPr>
        <w:pStyle w:val="NoSpacing"/>
        <w:spacing w:line="276" w:lineRule="auto"/>
        <w:jc w:val="both"/>
        <w:rPr>
          <w:rFonts w:ascii="Times New Roman" w:hAnsi="Times New Roman" w:cs="Times New Roman"/>
          <w:sz w:val="16"/>
          <w:szCs w:val="16"/>
        </w:rPr>
      </w:pPr>
    </w:p>
    <w:p w14:paraId="68ACF3D2" w14:textId="6ACAA794" w:rsidR="007A0780" w:rsidRPr="00AF7305" w:rsidRDefault="007A0780" w:rsidP="007A0780">
      <w:pPr>
        <w:pStyle w:val="NoSpacing"/>
        <w:spacing w:line="276" w:lineRule="auto"/>
        <w:jc w:val="both"/>
        <w:rPr>
          <w:rFonts w:ascii="Times New Roman" w:hAnsi="Times New Roman" w:cs="Times New Roman"/>
        </w:rPr>
      </w:pPr>
      <w:r w:rsidRPr="007A0780">
        <w:rPr>
          <w:rFonts w:ascii="Times New Roman" w:hAnsi="Times New Roman" w:cs="Times New Roman"/>
          <w:b/>
          <w:bCs/>
          <w:color w:val="FF0000"/>
          <w:sz w:val="24"/>
          <w:szCs w:val="24"/>
        </w:rPr>
        <w:t>KEY WORDS</w:t>
      </w:r>
      <w:r w:rsidRPr="00AF7305">
        <w:rPr>
          <w:rFonts w:ascii="Times New Roman" w:hAnsi="Times New Roman" w:cs="Times New Roman"/>
          <w:b/>
          <w:bCs/>
          <w:color w:val="FF0000"/>
        </w:rPr>
        <w:t>:</w:t>
      </w:r>
      <w:r>
        <w:rPr>
          <w:rFonts w:ascii="Times New Roman" w:hAnsi="Times New Roman" w:cs="Times New Roman"/>
          <w:b/>
          <w:bCs/>
          <w:color w:val="FF0000"/>
        </w:rPr>
        <w:t xml:space="preserve"> </w:t>
      </w:r>
      <w:r w:rsidRPr="00AF7305">
        <w:rPr>
          <w:rFonts w:ascii="Times New Roman" w:hAnsi="Times New Roman" w:cs="Times New Roman"/>
        </w:rPr>
        <w:t>Intrauterine Growth Restriction (IUGR),</w:t>
      </w:r>
      <w:r>
        <w:rPr>
          <w:rFonts w:ascii="Times New Roman" w:hAnsi="Times New Roman" w:cs="Times New Roman"/>
        </w:rPr>
        <w:t xml:space="preserve">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Placental Histopathology</w:t>
      </w:r>
    </w:p>
    <w:p w14:paraId="4E129B60" w14:textId="77777777" w:rsidR="007A0780" w:rsidRPr="00AF7305" w:rsidRDefault="007A0780" w:rsidP="007A0780">
      <w:pPr>
        <w:pStyle w:val="NoSpacing"/>
        <w:spacing w:line="276" w:lineRule="auto"/>
        <w:jc w:val="both"/>
        <w:rPr>
          <w:rFonts w:ascii="Times New Roman" w:hAnsi="Times New Roman" w:cs="Times New Roman"/>
        </w:rPr>
      </w:pPr>
    </w:p>
    <w:p w14:paraId="3ADF94C8" w14:textId="77777777" w:rsidR="007A0780" w:rsidRPr="007A0780" w:rsidRDefault="007A0780" w:rsidP="007A0780">
      <w:pPr>
        <w:pStyle w:val="NoSpacing"/>
        <w:spacing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INTRODUCTION</w:t>
      </w:r>
    </w:p>
    <w:p w14:paraId="6C98D6B5" w14:textId="53CF5A68" w:rsidR="007A0780" w:rsidRPr="007A0780" w:rsidRDefault="007A0780" w:rsidP="007A0780">
      <w:pPr>
        <w:pStyle w:val="NoSpacing"/>
        <w:spacing w:line="276" w:lineRule="auto"/>
        <w:jc w:val="both"/>
        <w:rPr>
          <w:rFonts w:ascii="Times New Roman" w:hAnsi="Times New Roman" w:cs="Times New Roman"/>
        </w:rPr>
      </w:pPr>
      <w:r w:rsidRPr="007A0780">
        <w:rPr>
          <w:rFonts w:ascii="Times New Roman" w:hAnsi="Times New Roman" w:cs="Times New Roman"/>
        </w:rPr>
        <w:t xml:space="preserve">Fetal growth largely depends on its genetically programmed potential and is influenced by maternal, fetal, and placental health. In intrauterine growth restriction (IUGR), the </w:t>
      </w:r>
      <w:proofErr w:type="spellStart"/>
      <w:r w:rsidRPr="007A0780">
        <w:rPr>
          <w:rFonts w:ascii="Times New Roman" w:hAnsi="Times New Roman" w:cs="Times New Roman"/>
        </w:rPr>
        <w:t>foetus</w:t>
      </w:r>
      <w:proofErr w:type="spellEnd"/>
      <w:r w:rsidRPr="007A0780">
        <w:rPr>
          <w:rFonts w:ascii="Times New Roman" w:hAnsi="Times New Roman" w:cs="Times New Roman"/>
        </w:rPr>
        <w:t xml:space="preserve"> fails to achieve its predetermined biological growth potential</w:t>
      </w:r>
      <w:r w:rsidRPr="00280FBF">
        <w:rPr>
          <w:rFonts w:ascii="Times New Roman" w:hAnsi="Times New Roman" w:cs="Times New Roman"/>
          <w:b/>
          <w:bCs/>
          <w:color w:val="EE0000"/>
          <w:sz w:val="24"/>
          <w:szCs w:val="24"/>
          <w:vertAlign w:val="superscript"/>
        </w:rPr>
        <w:t>1</w:t>
      </w:r>
      <w:r w:rsidRPr="007A0780">
        <w:rPr>
          <w:rFonts w:ascii="Times New Roman" w:hAnsi="Times New Roman" w:cs="Times New Roman"/>
        </w:rPr>
        <w:t xml:space="preserve">, with the estimated </w:t>
      </w:r>
      <w:proofErr w:type="spellStart"/>
      <w:r w:rsidRPr="007A0780">
        <w:rPr>
          <w:rFonts w:ascii="Times New Roman" w:hAnsi="Times New Roman" w:cs="Times New Roman"/>
        </w:rPr>
        <w:t>foetal</w:t>
      </w:r>
      <w:proofErr w:type="spellEnd"/>
      <w:r w:rsidRPr="007A0780">
        <w:rPr>
          <w:rFonts w:ascii="Times New Roman" w:hAnsi="Times New Roman" w:cs="Times New Roman"/>
        </w:rPr>
        <w:t xml:space="preserve"> weight falling below the 10th percentile for gestational age</w:t>
      </w:r>
      <w:r w:rsidRPr="00612C7D">
        <w:rPr>
          <w:rFonts w:ascii="Times New Roman" w:hAnsi="Times New Roman" w:cs="Times New Roman"/>
          <w:b/>
          <w:bCs/>
          <w:color w:val="EE0000"/>
          <w:sz w:val="24"/>
          <w:szCs w:val="24"/>
          <w:vertAlign w:val="superscript"/>
        </w:rPr>
        <w:t>2</w:t>
      </w:r>
      <w:r w:rsidRPr="007A0780">
        <w:rPr>
          <w:rFonts w:ascii="Times New Roman" w:hAnsi="Times New Roman" w:cs="Times New Roman"/>
        </w:rPr>
        <w:t xml:space="preserve">. </w:t>
      </w:r>
      <w:r w:rsidR="00824019" w:rsidRPr="00824019">
        <w:rPr>
          <w:rFonts w:ascii="Times New Roman" w:hAnsi="Times New Roman" w:cs="Times New Roman"/>
        </w:rPr>
        <w:t>Fetal growth restriction (FGR) is recognized as the second leading cause of perinatal morbidity and mortality</w:t>
      </w:r>
      <w:r w:rsidR="00824019" w:rsidRPr="00824019">
        <w:rPr>
          <w:rFonts w:ascii="Times New Roman" w:hAnsi="Times New Roman" w:cs="Times New Roman"/>
          <w:b/>
          <w:bCs/>
          <w:color w:val="EE0000"/>
          <w:sz w:val="24"/>
          <w:szCs w:val="24"/>
          <w:vertAlign w:val="superscript"/>
        </w:rPr>
        <w:t>3</w:t>
      </w:r>
      <w:r w:rsidR="00824019" w:rsidRPr="00824019">
        <w:rPr>
          <w:rFonts w:ascii="Times New Roman" w:hAnsi="Times New Roman" w:cs="Times New Roman"/>
        </w:rPr>
        <w:t>.</w:t>
      </w:r>
      <w:r w:rsidR="00824019">
        <w:rPr>
          <w:rFonts w:ascii="Times New Roman" w:hAnsi="Times New Roman" w:cs="Times New Roman"/>
        </w:rPr>
        <w:t xml:space="preserve"> </w:t>
      </w:r>
      <w:r w:rsidRPr="007A0780">
        <w:rPr>
          <w:rFonts w:ascii="Times New Roman" w:hAnsi="Times New Roman" w:cs="Times New Roman"/>
        </w:rPr>
        <w:t xml:space="preserve">Ultrasound and </w:t>
      </w:r>
      <w:proofErr w:type="spellStart"/>
      <w:r w:rsidRPr="007A0780">
        <w:rPr>
          <w:rFonts w:ascii="Times New Roman" w:hAnsi="Times New Roman" w:cs="Times New Roman"/>
        </w:rPr>
        <w:t>colour</w:t>
      </w:r>
      <w:proofErr w:type="spellEnd"/>
      <w:r w:rsidRPr="007A0780">
        <w:rPr>
          <w:rFonts w:ascii="Times New Roman" w:hAnsi="Times New Roman" w:cs="Times New Roman"/>
        </w:rPr>
        <w:t xml:space="preserve"> Doppler are widely used for screening placental-related complications and guiding the management of FGR</w:t>
      </w:r>
      <w:r w:rsidRPr="00280FBF">
        <w:rPr>
          <w:rFonts w:ascii="Times New Roman" w:hAnsi="Times New Roman" w:cs="Times New Roman"/>
          <w:b/>
          <w:bCs/>
          <w:color w:val="EE0000"/>
          <w:sz w:val="24"/>
          <w:szCs w:val="24"/>
          <w:vertAlign w:val="superscript"/>
        </w:rPr>
        <w:t>4</w:t>
      </w:r>
      <w:r w:rsidRPr="007A0780">
        <w:rPr>
          <w:rFonts w:ascii="Times New Roman" w:hAnsi="Times New Roman" w:cs="Times New Roman"/>
        </w:rPr>
        <w:t xml:space="preserve">. IUGR is commonly associated with placental vascular disease, and affected placentae often demonstrate multiple </w:t>
      </w:r>
      <w:proofErr w:type="spellStart"/>
      <w:r w:rsidRPr="007A0780">
        <w:rPr>
          <w:rFonts w:ascii="Times New Roman" w:hAnsi="Times New Roman" w:cs="Times New Roman"/>
        </w:rPr>
        <w:t>histomorphological</w:t>
      </w:r>
      <w:proofErr w:type="spellEnd"/>
      <w:r w:rsidRPr="007A0780">
        <w:rPr>
          <w:rFonts w:ascii="Times New Roman" w:hAnsi="Times New Roman" w:cs="Times New Roman"/>
        </w:rPr>
        <w:t xml:space="preserve"> abnormalities.</w:t>
      </w:r>
      <w:r w:rsidRPr="00280FBF">
        <w:rPr>
          <w:rFonts w:ascii="Times New Roman" w:hAnsi="Times New Roman" w:cs="Times New Roman"/>
          <w:b/>
          <w:bCs/>
          <w:color w:val="EE0000"/>
          <w:sz w:val="24"/>
          <w:szCs w:val="24"/>
          <w:vertAlign w:val="superscript"/>
        </w:rPr>
        <w:t>2</w:t>
      </w:r>
      <w:r w:rsidRPr="007A0780">
        <w:rPr>
          <w:rFonts w:ascii="Times New Roman" w:hAnsi="Times New Roman" w:cs="Times New Roman"/>
        </w:rPr>
        <w:t xml:space="preserve"> Histopathological evaluation has shown a higher incidence of placental infarctions, intervillous fibrinoid deposition, basal membrane thickening, and </w:t>
      </w:r>
      <w:proofErr w:type="spellStart"/>
      <w:r w:rsidRPr="007A0780">
        <w:rPr>
          <w:rFonts w:ascii="Times New Roman" w:hAnsi="Times New Roman" w:cs="Times New Roman"/>
        </w:rPr>
        <w:t>cytotrophoblastic</w:t>
      </w:r>
      <w:proofErr w:type="spellEnd"/>
      <w:r w:rsidRPr="007A0780">
        <w:rPr>
          <w:rFonts w:ascii="Times New Roman" w:hAnsi="Times New Roman" w:cs="Times New Roman"/>
        </w:rPr>
        <w:t xml:space="preserve"> hyperplasia. These </w:t>
      </w:r>
      <w:r w:rsidRPr="00AF7305">
        <w:rPr>
          <w:rFonts w:ascii="Times New Roman" w:hAnsi="Times New Roman" w:cs="Times New Roman"/>
          <w:color w:val="000000" w:themeColor="text1"/>
        </w:rPr>
        <w:t xml:space="preserve">changes reflect impaired placental blood flow and restricted </w:t>
      </w:r>
      <w:proofErr w:type="spellStart"/>
      <w:r w:rsidRPr="00AF7305">
        <w:rPr>
          <w:rFonts w:ascii="Times New Roman" w:hAnsi="Times New Roman" w:cs="Times New Roman"/>
          <w:color w:val="000000" w:themeColor="text1"/>
        </w:rPr>
        <w:t>foetal</w:t>
      </w:r>
      <w:proofErr w:type="spellEnd"/>
      <w:r w:rsidRPr="00AF7305">
        <w:rPr>
          <w:rFonts w:ascii="Times New Roman" w:hAnsi="Times New Roman" w:cs="Times New Roman"/>
          <w:color w:val="000000" w:themeColor="text1"/>
        </w:rPr>
        <w:t xml:space="preserve"> circulation</w:t>
      </w:r>
      <w:r w:rsidRPr="00280FBF">
        <w:rPr>
          <w:rFonts w:ascii="Times New Roman" w:hAnsi="Times New Roman" w:cs="Times New Roman"/>
          <w:b/>
          <w:bCs/>
          <w:color w:val="EE0000"/>
          <w:sz w:val="24"/>
          <w:szCs w:val="24"/>
          <w:vertAlign w:val="superscript"/>
        </w:rPr>
        <w:t>3</w:t>
      </w:r>
      <w:r w:rsidRPr="007A0780">
        <w:rPr>
          <w:rFonts w:ascii="Times New Roman" w:hAnsi="Times New Roman" w:cs="Times New Roman"/>
        </w:rPr>
        <w:t>. Placental insufficiency and hypoxemia are central to the pathogenesis of FGR and fetal demise. Conditions resulting in placental dysfunction may be recurrent. Any abnormality in placenta leads to direct insult to the fetus in-utero</w:t>
      </w:r>
      <w:r w:rsidRPr="00280FBF">
        <w:rPr>
          <w:rFonts w:ascii="Times New Roman" w:hAnsi="Times New Roman" w:cs="Times New Roman"/>
          <w:b/>
          <w:bCs/>
          <w:color w:val="EE0000"/>
          <w:sz w:val="24"/>
          <w:szCs w:val="24"/>
          <w:vertAlign w:val="superscript"/>
        </w:rPr>
        <w:t>5</w:t>
      </w:r>
      <w:r w:rsidRPr="007A0780">
        <w:rPr>
          <w:rFonts w:ascii="Times New Roman" w:hAnsi="Times New Roman" w:cs="Times New Roman"/>
        </w:rPr>
        <w:t>.</w:t>
      </w:r>
    </w:p>
    <w:p w14:paraId="3E71CBC0" w14:textId="77777777" w:rsidR="007A0780" w:rsidRPr="00E86F27" w:rsidRDefault="007A0780" w:rsidP="007A0780">
      <w:pPr>
        <w:pStyle w:val="NoSpacing"/>
        <w:spacing w:line="276" w:lineRule="auto"/>
        <w:jc w:val="both"/>
        <w:rPr>
          <w:rFonts w:ascii="Times New Roman" w:hAnsi="Times New Roman" w:cs="Times New Roman"/>
          <w:b/>
          <w:bCs/>
          <w:sz w:val="16"/>
          <w:szCs w:val="16"/>
        </w:rPr>
      </w:pPr>
    </w:p>
    <w:p w14:paraId="2EA2511A" w14:textId="2558D2E1" w:rsidR="007A0780" w:rsidRPr="00AF7305" w:rsidRDefault="007A0780" w:rsidP="007A0780">
      <w:pPr>
        <w:pStyle w:val="NoSpacing"/>
        <w:spacing w:line="276" w:lineRule="auto"/>
        <w:jc w:val="both"/>
        <w:rPr>
          <w:rFonts w:ascii="Times New Roman" w:hAnsi="Times New Roman" w:cs="Times New Roman"/>
        </w:rPr>
      </w:pPr>
      <w:r w:rsidRPr="00AF7305">
        <w:rPr>
          <w:rFonts w:ascii="Times New Roman" w:hAnsi="Times New Roman" w:cs="Times New Roman"/>
        </w:rPr>
        <w:t xml:space="preserve">The present study aimed to examine the </w:t>
      </w:r>
      <w:proofErr w:type="spellStart"/>
      <w:r w:rsidRPr="00280FBF">
        <w:rPr>
          <w:rFonts w:ascii="Times New Roman" w:hAnsi="Times New Roman" w:cs="Times New Roman"/>
        </w:rPr>
        <w:t>histomorphological</w:t>
      </w:r>
      <w:proofErr w:type="spellEnd"/>
      <w:r w:rsidRPr="00280FBF">
        <w:rPr>
          <w:rFonts w:ascii="Times New Roman" w:hAnsi="Times New Roman" w:cs="Times New Roman"/>
        </w:rPr>
        <w:t xml:space="preserve"> changes in placentae in pregnancies complicated by </w:t>
      </w:r>
      <w:proofErr w:type="spellStart"/>
      <w:r w:rsidRPr="00280FBF">
        <w:rPr>
          <w:rFonts w:ascii="Times New Roman" w:hAnsi="Times New Roman" w:cs="Times New Roman"/>
        </w:rPr>
        <w:t>foetal</w:t>
      </w:r>
      <w:proofErr w:type="spellEnd"/>
      <w:r w:rsidRPr="00280FBF">
        <w:rPr>
          <w:rFonts w:ascii="Times New Roman" w:hAnsi="Times New Roman" w:cs="Times New Roman"/>
        </w:rPr>
        <w:t xml:space="preserve"> growth restriction</w:t>
      </w:r>
      <w:r w:rsidRPr="00AF7305">
        <w:rPr>
          <w:rFonts w:ascii="Times New Roman" w:hAnsi="Times New Roman" w:cs="Times New Roman"/>
        </w:rPr>
        <w:t xml:space="preserve"> and to assess their association with </w:t>
      </w: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outcomes. Histopathological analysis of 75 IUGR placentae revealed significant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calcifications and</w:t>
      </w:r>
      <w:r w:rsidR="00A63A03">
        <w:rPr>
          <w:rFonts w:ascii="Times New Roman" w:hAnsi="Times New Roman" w:cs="Times New Roman"/>
        </w:rPr>
        <w:t xml:space="preserve"> </w:t>
      </w:r>
      <w:r w:rsidRPr="00AF7305">
        <w:rPr>
          <w:rFonts w:ascii="Times New Roman" w:hAnsi="Times New Roman" w:cs="Times New Roman"/>
        </w:rPr>
        <w:t>hemorrhages/infarctions</w:t>
      </w:r>
    </w:p>
    <w:p w14:paraId="240E2FCF" w14:textId="77777777" w:rsidR="007A0780" w:rsidRPr="00AF7305" w:rsidRDefault="007A0780" w:rsidP="007A0780">
      <w:pPr>
        <w:pStyle w:val="NoSpacing"/>
        <w:spacing w:line="276" w:lineRule="auto"/>
        <w:jc w:val="both"/>
        <w:rPr>
          <w:rFonts w:ascii="Times New Roman" w:hAnsi="Times New Roman" w:cs="Times New Roman"/>
          <w:b/>
          <w:bCs/>
        </w:rPr>
      </w:pPr>
    </w:p>
    <w:p w14:paraId="4F4CD81D" w14:textId="77777777" w:rsidR="007A0780" w:rsidRPr="007A0780" w:rsidRDefault="007A0780" w:rsidP="007A0780">
      <w:pPr>
        <w:spacing w:after="0"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MATERIAL &amp; METHODS</w:t>
      </w:r>
    </w:p>
    <w:p w14:paraId="05CCD6BA" w14:textId="126BE8F3" w:rsidR="00367346" w:rsidRPr="00AF7305" w:rsidRDefault="007A0780" w:rsidP="007A0780">
      <w:pPr>
        <w:spacing w:after="0" w:line="276" w:lineRule="auto"/>
        <w:jc w:val="both"/>
        <w:rPr>
          <w:rFonts w:ascii="Times New Roman" w:hAnsi="Times New Roman" w:cs="Times New Roman"/>
        </w:rPr>
      </w:pPr>
      <w:r w:rsidRPr="00367346">
        <w:rPr>
          <w:rFonts w:ascii="Times New Roman" w:hAnsi="Times New Roman" w:cs="Times New Roman"/>
          <w:highlight w:val="yellow"/>
        </w:rPr>
        <w:t>A</w:t>
      </w:r>
      <w:r w:rsidR="0073510D" w:rsidRPr="00367346">
        <w:rPr>
          <w:rFonts w:ascii="Times New Roman" w:hAnsi="Times New Roman" w:cs="Times New Roman"/>
          <w:highlight w:val="yellow"/>
        </w:rPr>
        <w:t xml:space="preserve"> cross-sectional</w:t>
      </w:r>
      <w:r w:rsidRPr="00367346">
        <w:rPr>
          <w:rFonts w:ascii="Times New Roman" w:hAnsi="Times New Roman" w:cs="Times New Roman"/>
          <w:highlight w:val="yellow"/>
        </w:rPr>
        <w:t xml:space="preserve"> study</w:t>
      </w:r>
      <w:r w:rsidRPr="00AF7305">
        <w:rPr>
          <w:rFonts w:ascii="Times New Roman" w:hAnsi="Times New Roman" w:cs="Times New Roman"/>
        </w:rPr>
        <w:t xml:space="preserve"> was conducted at Vijay Marie Hospital and Educational Society, a tertiary care center, on </w:t>
      </w:r>
      <w:r w:rsidRPr="005577F3">
        <w:rPr>
          <w:rFonts w:ascii="Times New Roman" w:hAnsi="Times New Roman" w:cs="Times New Roman"/>
          <w:b/>
          <w:bCs/>
        </w:rPr>
        <w:t>75</w:t>
      </w:r>
      <w:r w:rsidRPr="00AF7305">
        <w:rPr>
          <w:rFonts w:ascii="Times New Roman" w:hAnsi="Times New Roman" w:cs="Times New Roman"/>
        </w:rPr>
        <w:t xml:space="preserve"> pregnant women diagnosed with intrauterine growth restriction (IUGR) </w:t>
      </w:r>
      <w:r w:rsidR="0073510D">
        <w:rPr>
          <w:rFonts w:ascii="Times New Roman" w:hAnsi="Times New Roman" w:cs="Times New Roman"/>
        </w:rPr>
        <w:t>on</w:t>
      </w:r>
      <w:r w:rsidRPr="00AF7305">
        <w:rPr>
          <w:rFonts w:ascii="Times New Roman" w:hAnsi="Times New Roman" w:cs="Times New Roman"/>
        </w:rPr>
        <w:t xml:space="preserve"> ultrasonography and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w:t>
      </w:r>
      <w:r w:rsidR="005577F3" w:rsidRPr="0073510D">
        <w:rPr>
          <w:rFonts w:ascii="Times New Roman" w:hAnsi="Times New Roman" w:cs="Times New Roman"/>
          <w:highlight w:val="yellow"/>
        </w:rPr>
        <w:t xml:space="preserve">The </w:t>
      </w:r>
      <w:r w:rsidR="005577F3" w:rsidRPr="0073510D">
        <w:rPr>
          <w:rFonts w:ascii="Times New Roman" w:hAnsi="Times New Roman" w:cs="Times New Roman"/>
          <w:highlight w:val="yellow"/>
          <w:lang w:val="en-IN"/>
        </w:rPr>
        <w:t>Sample size was calculated from the data available from the National Health Portal</w:t>
      </w:r>
      <w:r w:rsidR="005577F3" w:rsidRPr="0073510D">
        <w:rPr>
          <w:rFonts w:ascii="Times New Roman" w:hAnsi="Times New Roman" w:cs="Times New Roman"/>
          <w:b/>
          <w:bCs/>
          <w:color w:val="EE0000"/>
          <w:sz w:val="24"/>
          <w:szCs w:val="24"/>
          <w:highlight w:val="yellow"/>
          <w:vertAlign w:val="superscript"/>
          <w:lang w:val="en-IN"/>
        </w:rPr>
        <w:t>7</w:t>
      </w:r>
      <w:r w:rsidR="005577F3" w:rsidRPr="0073510D">
        <w:rPr>
          <w:rFonts w:ascii="Times New Roman" w:hAnsi="Times New Roman" w:cs="Times New Roman"/>
          <w:highlight w:val="yellow"/>
          <w:lang w:val="en-IN"/>
        </w:rPr>
        <w:t>, which was published in 2018 showing prevalence of intra uterine growth retardation as 24%.</w:t>
      </w:r>
      <w:r w:rsidR="005577F3" w:rsidRPr="005577F3">
        <w:rPr>
          <w:rFonts w:ascii="Times New Roman" w:hAnsi="Times New Roman" w:cs="Times New Roman"/>
          <w:lang w:val="en-IN"/>
        </w:rPr>
        <w:t xml:space="preserve"> </w:t>
      </w:r>
      <w:r w:rsidRPr="00AF7305">
        <w:rPr>
          <w:rFonts w:ascii="Times New Roman" w:hAnsi="Times New Roman" w:cs="Times New Roman"/>
        </w:rPr>
        <w:t xml:space="preserve">The study included women aged 18–35 years, with singleton pregnancies between 32 and 42 weeks of gestation, complicated by </w:t>
      </w:r>
      <w:r w:rsidR="0073510D">
        <w:rPr>
          <w:rFonts w:ascii="Times New Roman" w:hAnsi="Times New Roman" w:cs="Times New Roman"/>
        </w:rPr>
        <w:t>IUGR</w:t>
      </w:r>
      <w:r w:rsidRPr="00AF7305">
        <w:rPr>
          <w:rFonts w:ascii="Times New Roman" w:hAnsi="Times New Roman" w:cs="Times New Roman"/>
        </w:rPr>
        <w:t xml:space="preserve">. </w:t>
      </w:r>
      <w:r w:rsidR="00DE4709">
        <w:rPr>
          <w:rFonts w:ascii="Times New Roman" w:hAnsi="Times New Roman" w:cs="Times New Roman"/>
        </w:rPr>
        <w:t xml:space="preserve">Women with </w:t>
      </w:r>
      <w:r w:rsidR="00824019" w:rsidRPr="00AF7305">
        <w:rPr>
          <w:rFonts w:ascii="Times New Roman" w:hAnsi="Times New Roman" w:cs="Times New Roman"/>
        </w:rPr>
        <w:t xml:space="preserve">Multiple </w:t>
      </w:r>
      <w:r w:rsidRPr="00AF7305">
        <w:rPr>
          <w:rFonts w:ascii="Times New Roman" w:hAnsi="Times New Roman" w:cs="Times New Roman"/>
        </w:rPr>
        <w:t>pregnancies, polyhydramnios, uncertain gestational age, and irregular menstrual cycles</w:t>
      </w:r>
      <w:r w:rsidR="00824019">
        <w:rPr>
          <w:rFonts w:ascii="Times New Roman" w:hAnsi="Times New Roman" w:cs="Times New Roman"/>
        </w:rPr>
        <w:t xml:space="preserve"> were excluded</w:t>
      </w:r>
      <w:r w:rsidRPr="00AF7305">
        <w:rPr>
          <w:rFonts w:ascii="Times New Roman" w:hAnsi="Times New Roman" w:cs="Times New Roman"/>
        </w:rPr>
        <w:t xml:space="preserve">. Patients with clinical suspicion of </w:t>
      </w:r>
      <w:r w:rsidRPr="0073510D">
        <w:rPr>
          <w:rFonts w:ascii="Times New Roman" w:hAnsi="Times New Roman" w:cs="Times New Roman"/>
          <w:highlight w:val="yellow"/>
        </w:rPr>
        <w:t xml:space="preserve">IUGR </w:t>
      </w:r>
      <w:r w:rsidR="0073510D" w:rsidRPr="0073510D">
        <w:rPr>
          <w:rFonts w:ascii="Times New Roman" w:hAnsi="Times New Roman" w:cs="Times New Roman"/>
          <w:highlight w:val="yellow"/>
        </w:rPr>
        <w:t>were subjected to</w:t>
      </w:r>
      <w:r w:rsidR="0073510D">
        <w:rPr>
          <w:rFonts w:ascii="Times New Roman" w:hAnsi="Times New Roman" w:cs="Times New Roman"/>
        </w:rPr>
        <w:t xml:space="preserve"> </w:t>
      </w:r>
      <w:r w:rsidRPr="00AF7305">
        <w:rPr>
          <w:rFonts w:ascii="Times New Roman" w:hAnsi="Times New Roman" w:cs="Times New Roman"/>
        </w:rPr>
        <w:t xml:space="preserve">serial ultrasonography and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monitoring from 28 weeks onwards. Doppler evaluation included measurement of resistance indices in the umbilical, uterine, and middle cerebral arteries to confirm the diagnosis.</w:t>
      </w:r>
    </w:p>
    <w:p w14:paraId="275BDB9F" w14:textId="77777777" w:rsidR="00367346" w:rsidRDefault="00367346" w:rsidP="007A0780">
      <w:pPr>
        <w:spacing w:after="0" w:line="276" w:lineRule="auto"/>
        <w:jc w:val="both"/>
        <w:rPr>
          <w:rFonts w:ascii="Times New Roman" w:hAnsi="Times New Roman" w:cs="Times New Roman"/>
          <w:lang w:val="en-IN"/>
        </w:rPr>
      </w:pPr>
    </w:p>
    <w:p w14:paraId="60FFF35F" w14:textId="1B50A656" w:rsidR="00367346" w:rsidRPr="00367346" w:rsidRDefault="00367346" w:rsidP="00367346">
      <w:pPr>
        <w:spacing w:after="0" w:line="276" w:lineRule="auto"/>
        <w:jc w:val="both"/>
        <w:rPr>
          <w:rFonts w:ascii="Times New Roman" w:hAnsi="Times New Roman" w:cs="Times New Roman"/>
        </w:rPr>
      </w:pPr>
      <w:r w:rsidRPr="00367346">
        <w:rPr>
          <w:rFonts w:ascii="Times New Roman" w:hAnsi="Times New Roman" w:cs="Times New Roman"/>
          <w:highlight w:val="yellow"/>
          <w:lang w:val="en-IN"/>
        </w:rPr>
        <w:t xml:space="preserve">After delivery, the data regarding, </w:t>
      </w:r>
      <w:r w:rsidRPr="00911375">
        <w:rPr>
          <w:rFonts w:ascii="Times New Roman" w:hAnsi="Times New Roman" w:cs="Times New Roman"/>
          <w:highlight w:val="yellow"/>
          <w:lang w:val="en-IN"/>
        </w:rPr>
        <w:t xml:space="preserve">the </w:t>
      </w:r>
      <w:r w:rsidRPr="00367346">
        <w:rPr>
          <w:rFonts w:ascii="Times New Roman" w:hAnsi="Times New Roman" w:cs="Times New Roman"/>
          <w:highlight w:val="yellow"/>
          <w:lang w:val="en-IN"/>
        </w:rPr>
        <w:t xml:space="preserve">mother, </w:t>
      </w:r>
      <w:r w:rsidRPr="00911375">
        <w:rPr>
          <w:rFonts w:ascii="Times New Roman" w:hAnsi="Times New Roman" w:cs="Times New Roman"/>
          <w:highlight w:val="yellow"/>
          <w:lang w:val="en-IN"/>
        </w:rPr>
        <w:t xml:space="preserve">the </w:t>
      </w:r>
      <w:r w:rsidRPr="00367346">
        <w:rPr>
          <w:rFonts w:ascii="Times New Roman" w:hAnsi="Times New Roman" w:cs="Times New Roman"/>
          <w:highlight w:val="yellow"/>
          <w:lang w:val="en-IN"/>
        </w:rPr>
        <w:t xml:space="preserve">new born and </w:t>
      </w:r>
      <w:r w:rsidRPr="00911375">
        <w:rPr>
          <w:rFonts w:ascii="Times New Roman" w:hAnsi="Times New Roman" w:cs="Times New Roman"/>
          <w:highlight w:val="yellow"/>
          <w:lang w:val="en-IN"/>
        </w:rPr>
        <w:t xml:space="preserve">the placental morphological features </w:t>
      </w:r>
      <w:r w:rsidRPr="00367346">
        <w:rPr>
          <w:rFonts w:ascii="Times New Roman" w:hAnsi="Times New Roman" w:cs="Times New Roman"/>
          <w:highlight w:val="yellow"/>
          <w:lang w:val="en-IN"/>
        </w:rPr>
        <w:t>i.e. placental weight, cord insertion</w:t>
      </w:r>
      <w:r w:rsidRPr="00911375">
        <w:rPr>
          <w:rFonts w:ascii="Times New Roman" w:hAnsi="Times New Roman" w:cs="Times New Roman"/>
          <w:highlight w:val="yellow"/>
          <w:lang w:val="en-IN"/>
        </w:rPr>
        <w:t>,</w:t>
      </w:r>
      <w:r w:rsidRPr="00367346">
        <w:rPr>
          <w:rFonts w:ascii="Times New Roman" w:hAnsi="Times New Roman" w:cs="Times New Roman"/>
          <w:highlight w:val="yellow"/>
          <w:lang w:val="en-IN"/>
        </w:rPr>
        <w:t xml:space="preserve"> number of the umbilical vessels, </w:t>
      </w:r>
      <w:r w:rsidRPr="00911375">
        <w:rPr>
          <w:rFonts w:ascii="Times New Roman" w:hAnsi="Times New Roman" w:cs="Times New Roman"/>
          <w:highlight w:val="yellow"/>
          <w:lang w:val="en-IN"/>
        </w:rPr>
        <w:t xml:space="preserve">placental membranes </w:t>
      </w:r>
      <w:r w:rsidRPr="00367346">
        <w:rPr>
          <w:rFonts w:ascii="Times New Roman" w:hAnsi="Times New Roman" w:cs="Times New Roman"/>
          <w:highlight w:val="yellow"/>
          <w:lang w:val="en-IN"/>
        </w:rPr>
        <w:t xml:space="preserve">and </w:t>
      </w:r>
      <w:r w:rsidRPr="00911375">
        <w:rPr>
          <w:rFonts w:ascii="Times New Roman" w:hAnsi="Times New Roman" w:cs="Times New Roman"/>
          <w:highlight w:val="yellow"/>
          <w:lang w:val="en-IN"/>
        </w:rPr>
        <w:t>any</w:t>
      </w:r>
      <w:r w:rsidRPr="00367346">
        <w:rPr>
          <w:rFonts w:ascii="Times New Roman" w:hAnsi="Times New Roman" w:cs="Times New Roman"/>
          <w:highlight w:val="yellow"/>
          <w:lang w:val="en-IN"/>
        </w:rPr>
        <w:t xml:space="preserve"> haemorrhages </w:t>
      </w:r>
      <w:r w:rsidRPr="00911375">
        <w:rPr>
          <w:rFonts w:ascii="Times New Roman" w:hAnsi="Times New Roman" w:cs="Times New Roman"/>
          <w:highlight w:val="yellow"/>
          <w:lang w:val="en-IN"/>
        </w:rPr>
        <w:t>or</w:t>
      </w:r>
      <w:r w:rsidRPr="00367346">
        <w:rPr>
          <w:rFonts w:ascii="Times New Roman" w:hAnsi="Times New Roman" w:cs="Times New Roman"/>
          <w:highlight w:val="yellow"/>
          <w:lang w:val="en-IN"/>
        </w:rPr>
        <w:t xml:space="preserve"> infarcts </w:t>
      </w:r>
      <w:r w:rsidRPr="00911375">
        <w:rPr>
          <w:rFonts w:ascii="Times New Roman" w:hAnsi="Times New Roman" w:cs="Times New Roman"/>
          <w:highlight w:val="yellow"/>
          <w:lang w:val="en-IN"/>
        </w:rPr>
        <w:t>were</w:t>
      </w:r>
      <w:r w:rsidRPr="00367346">
        <w:rPr>
          <w:rFonts w:ascii="Times New Roman" w:hAnsi="Times New Roman" w:cs="Times New Roman"/>
          <w:highlight w:val="yellow"/>
          <w:lang w:val="en-IN"/>
        </w:rPr>
        <w:t xml:space="preserve"> recorded using a predesigned proforma. The placenta </w:t>
      </w:r>
      <w:r w:rsidRPr="00911375">
        <w:rPr>
          <w:rFonts w:ascii="Times New Roman" w:hAnsi="Times New Roman" w:cs="Times New Roman"/>
          <w:highlight w:val="yellow"/>
          <w:lang w:val="en-IN"/>
        </w:rPr>
        <w:t>was</w:t>
      </w:r>
      <w:r w:rsidRPr="00367346">
        <w:rPr>
          <w:rFonts w:ascii="Times New Roman" w:hAnsi="Times New Roman" w:cs="Times New Roman"/>
          <w:highlight w:val="yellow"/>
          <w:lang w:val="en-IN"/>
        </w:rPr>
        <w:t xml:space="preserve"> kept in formalin 10% solution and sent </w:t>
      </w:r>
      <w:r w:rsidRPr="00911375">
        <w:rPr>
          <w:rFonts w:ascii="Times New Roman" w:hAnsi="Times New Roman" w:cs="Times New Roman"/>
          <w:highlight w:val="yellow"/>
          <w:lang w:val="en-IN"/>
        </w:rPr>
        <w:t>for histopathological examination</w:t>
      </w:r>
      <w:r w:rsidR="00340DEA">
        <w:rPr>
          <w:rFonts w:ascii="Times New Roman" w:hAnsi="Times New Roman" w:cs="Times New Roman"/>
          <w:highlight w:val="yellow"/>
          <w:lang w:val="en-IN"/>
        </w:rPr>
        <w:t xml:space="preserve"> by the pathologist</w:t>
      </w:r>
      <w:r w:rsidRPr="00367346">
        <w:rPr>
          <w:rFonts w:ascii="Times New Roman" w:hAnsi="Times New Roman" w:cs="Times New Roman"/>
          <w:highlight w:val="yellow"/>
          <w:lang w:val="en-IN"/>
        </w:rPr>
        <w:t xml:space="preserve">. </w:t>
      </w:r>
      <w:r w:rsidR="00911375" w:rsidRPr="00911375">
        <w:rPr>
          <w:rFonts w:ascii="Times New Roman" w:hAnsi="Times New Roman" w:cs="Times New Roman"/>
          <w:highlight w:val="yellow"/>
          <w:lang w:val="en-IN"/>
        </w:rPr>
        <w:t xml:space="preserve">The histopathological findings were quantified through microscopic examination of multiple sections from the placenta, stained with Haematoxylin and Eosin. The presence of </w:t>
      </w:r>
      <w:r w:rsidR="00340DEA">
        <w:rPr>
          <w:rFonts w:ascii="Times New Roman" w:hAnsi="Times New Roman" w:cs="Times New Roman"/>
          <w:highlight w:val="yellow"/>
          <w:lang w:val="en-IN"/>
        </w:rPr>
        <w:t xml:space="preserve">specific </w:t>
      </w:r>
      <w:r w:rsidR="00911375" w:rsidRPr="00911375">
        <w:rPr>
          <w:rFonts w:ascii="Times New Roman" w:hAnsi="Times New Roman" w:cs="Times New Roman"/>
          <w:highlight w:val="yellow"/>
          <w:lang w:val="en-IN"/>
        </w:rPr>
        <w:t xml:space="preserve">lesions such as </w:t>
      </w:r>
      <w:proofErr w:type="spellStart"/>
      <w:r w:rsidR="00911375" w:rsidRPr="00911375">
        <w:rPr>
          <w:rFonts w:ascii="Times New Roman" w:hAnsi="Times New Roman" w:cs="Times New Roman"/>
          <w:highlight w:val="yellow"/>
          <w:lang w:val="en-IN"/>
        </w:rPr>
        <w:t>perivillous</w:t>
      </w:r>
      <w:proofErr w:type="spellEnd"/>
      <w:r w:rsidR="00911375" w:rsidRPr="00911375">
        <w:rPr>
          <w:rFonts w:ascii="Times New Roman" w:hAnsi="Times New Roman" w:cs="Times New Roman"/>
          <w:highlight w:val="yellow"/>
          <w:lang w:val="en-IN"/>
        </w:rPr>
        <w:t xml:space="preserve"> fibrous deposition, villitis, syncytial knots, etc. were </w:t>
      </w:r>
      <w:r w:rsidR="00911375">
        <w:rPr>
          <w:rFonts w:ascii="Times New Roman" w:hAnsi="Times New Roman" w:cs="Times New Roman"/>
          <w:highlight w:val="yellow"/>
          <w:lang w:val="en-IN"/>
        </w:rPr>
        <w:t xml:space="preserve">studied, </w:t>
      </w:r>
      <w:r w:rsidR="00911375" w:rsidRPr="00911375">
        <w:rPr>
          <w:rFonts w:ascii="Times New Roman" w:hAnsi="Times New Roman" w:cs="Times New Roman"/>
          <w:highlight w:val="yellow"/>
          <w:lang w:val="en-IN"/>
        </w:rPr>
        <w:t xml:space="preserve">recorded and their frequency was expressed as percentage of total cases. We used descriptive statistical evaluation. </w:t>
      </w:r>
      <w:r w:rsidRPr="00367346">
        <w:rPr>
          <w:rFonts w:ascii="Times New Roman" w:hAnsi="Times New Roman" w:cs="Times New Roman"/>
          <w:highlight w:val="yellow"/>
        </w:rPr>
        <w:t xml:space="preserve">Data entry was done using M.S. Excel and analyzed using SPSS Version </w:t>
      </w:r>
      <w:r w:rsidRPr="00911375">
        <w:rPr>
          <w:rFonts w:ascii="Times New Roman" w:hAnsi="Times New Roman" w:cs="Times New Roman"/>
          <w:highlight w:val="yellow"/>
        </w:rPr>
        <w:t>24</w:t>
      </w:r>
      <w:r w:rsidRPr="00367346">
        <w:rPr>
          <w:rFonts w:ascii="Times New Roman" w:hAnsi="Times New Roman" w:cs="Times New Roman"/>
          <w:highlight w:val="yellow"/>
        </w:rPr>
        <w:t xml:space="preserve"> for M.S Windows.</w:t>
      </w:r>
    </w:p>
    <w:p w14:paraId="1464D931" w14:textId="77777777" w:rsidR="007A0780" w:rsidRPr="00E86F27" w:rsidRDefault="007A0780" w:rsidP="007A0780">
      <w:pPr>
        <w:spacing w:after="0" w:line="276" w:lineRule="auto"/>
        <w:jc w:val="both"/>
        <w:rPr>
          <w:rFonts w:ascii="Times New Roman" w:hAnsi="Times New Roman" w:cs="Times New Roman"/>
        </w:rPr>
      </w:pPr>
    </w:p>
    <w:p w14:paraId="7BECF2A2" w14:textId="77777777" w:rsidR="007A0780" w:rsidRPr="007A0780" w:rsidRDefault="007A0780" w:rsidP="007A0780">
      <w:pPr>
        <w:autoSpaceDE w:val="0"/>
        <w:autoSpaceDN w:val="0"/>
        <w:adjustRightInd w:val="0"/>
        <w:spacing w:after="0" w:line="276" w:lineRule="auto"/>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RESULTS</w:t>
      </w:r>
    </w:p>
    <w:p w14:paraId="477AA318" w14:textId="318D8922" w:rsidR="007A0780" w:rsidRPr="00DE4709" w:rsidRDefault="00DE4709" w:rsidP="007A0780">
      <w:pPr>
        <w:autoSpaceDE w:val="0"/>
        <w:autoSpaceDN w:val="0"/>
        <w:adjustRightInd w:val="0"/>
        <w:spacing w:after="0" w:line="276" w:lineRule="auto"/>
        <w:jc w:val="both"/>
        <w:rPr>
          <w:rFonts w:ascii="Times New Roman" w:hAnsi="Times New Roman" w:cs="Times New Roman"/>
          <w:b/>
          <w:bCs/>
          <w:color w:val="0000CC"/>
        </w:rPr>
      </w:pPr>
      <w:r w:rsidRPr="00DE4709">
        <w:rPr>
          <w:rFonts w:ascii="Times New Roman" w:hAnsi="Times New Roman" w:cs="Times New Roman"/>
        </w:rPr>
        <w:t xml:space="preserve">With respect to </w:t>
      </w:r>
      <w:r w:rsidR="00FA33FB" w:rsidRPr="00DE4709">
        <w:rPr>
          <w:rFonts w:ascii="Times New Roman" w:hAnsi="Times New Roman" w:cs="Times New Roman"/>
        </w:rPr>
        <w:t>Maternal</w:t>
      </w:r>
      <w:r w:rsidRPr="00DE4709">
        <w:rPr>
          <w:rFonts w:ascii="Times New Roman" w:hAnsi="Times New Roman" w:cs="Times New Roman"/>
        </w:rPr>
        <w:t xml:space="preserve"> outcomes,</w:t>
      </w:r>
      <w:r w:rsidR="00FA33FB" w:rsidRPr="00DE4709">
        <w:rPr>
          <w:rFonts w:ascii="Times New Roman" w:hAnsi="Times New Roman" w:cs="Times New Roman"/>
          <w:b/>
          <w:bCs/>
        </w:rPr>
        <w:t xml:space="preserve"> </w:t>
      </w:r>
      <w:r w:rsidRPr="00DE4709">
        <w:rPr>
          <w:rFonts w:ascii="Times New Roman" w:hAnsi="Times New Roman" w:cs="Times New Roman"/>
          <w:highlight w:val="yellow"/>
        </w:rPr>
        <w:t>Majority of the patients belonged to the age group of 21-25 years (66.7%), followed by 26-30 years (21.3%), &lt;20 years (6.7%) and &gt;30 years (5.3%).</w:t>
      </w:r>
      <w:r>
        <w:rPr>
          <w:rFonts w:ascii="Times New Roman" w:hAnsi="Times New Roman" w:cs="Times New Roman"/>
        </w:rPr>
        <w:t xml:space="preserve"> </w:t>
      </w:r>
      <w:r w:rsidR="007A0780" w:rsidRPr="00AF7305">
        <w:rPr>
          <w:rFonts w:ascii="Times New Roman" w:hAnsi="Times New Roman" w:cs="Times New Roman"/>
        </w:rPr>
        <w:t>Most were primigravidae (58.7%), followed by second gravida (22.7%), third gravida (16%), and fourth gravida (2.7%). Regarding gestational age, 13.3% of patients delivered between 28–30 weeks, 34.7% between 35–37 weeks, and 52% between 38–42 weeks. Mode of delivery was vaginal in 44% of cases, while 56% underwent lower segment cesarean section (LSCS). Most patients had no associated risk factors. Among those with complications, anemia was observed in 2.7%, gestational diabetes mellitus in 4.0%, gestational hypertension in 4.0%, and severe pre-eclampsia in 5.3%. All 75 cases resulted in live births.</w:t>
      </w:r>
    </w:p>
    <w:p w14:paraId="46CFA4B0" w14:textId="77777777" w:rsidR="007A0780" w:rsidRPr="00E86F27" w:rsidRDefault="007A0780" w:rsidP="007A0780">
      <w:pPr>
        <w:autoSpaceDE w:val="0"/>
        <w:autoSpaceDN w:val="0"/>
        <w:adjustRightInd w:val="0"/>
        <w:spacing w:after="0" w:line="276" w:lineRule="auto"/>
        <w:jc w:val="both"/>
        <w:rPr>
          <w:rFonts w:ascii="Times New Roman" w:hAnsi="Times New Roman" w:cs="Times New Roman"/>
          <w:sz w:val="16"/>
          <w:szCs w:val="16"/>
        </w:rPr>
      </w:pPr>
    </w:p>
    <w:p w14:paraId="26EDCD07" w14:textId="53075CBB"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With re</w:t>
      </w:r>
      <w:r w:rsidR="00DE4709">
        <w:rPr>
          <w:rFonts w:ascii="Times New Roman" w:hAnsi="Times New Roman" w:cs="Times New Roman"/>
        </w:rPr>
        <w:t>gard</w:t>
      </w:r>
      <w:r w:rsidRPr="00AF7305">
        <w:rPr>
          <w:rFonts w:ascii="Times New Roman" w:hAnsi="Times New Roman" w:cs="Times New Roman"/>
        </w:rPr>
        <w:t xml:space="preserve"> to </w:t>
      </w:r>
      <w:r w:rsidRPr="00DE4709">
        <w:rPr>
          <w:rFonts w:ascii="Times New Roman" w:hAnsi="Times New Roman" w:cs="Times New Roman"/>
          <w:b/>
          <w:bCs/>
        </w:rPr>
        <w:t>neonatal outcomes,</w:t>
      </w:r>
      <w:r w:rsidRPr="00AF7305">
        <w:rPr>
          <w:rFonts w:ascii="Times New Roman" w:hAnsi="Times New Roman" w:cs="Times New Roman"/>
        </w:rPr>
        <w:t xml:space="preserve"> 10.7% of babies weighed &lt;1.5 kg, 62.6% weighed between 1.5–2.5 kg, and 26.7% weighed &gt;2.5 kg. The majority of newborns with birth weights between 1.5–2.0 kg required NICU admission but were subsequently discharged without major morbidities.</w:t>
      </w:r>
      <w:r>
        <w:rPr>
          <w:rFonts w:ascii="Times New Roman" w:hAnsi="Times New Roman" w:cs="Times New Roman"/>
        </w:rPr>
        <w:t xml:space="preserve"> </w:t>
      </w:r>
      <w:r w:rsidRPr="00AF7305">
        <w:rPr>
          <w:rFonts w:ascii="Times New Roman" w:hAnsi="Times New Roman" w:cs="Times New Roman"/>
        </w:rPr>
        <w:t>The Apgar score at 1 minute was 7–10 in 85.3% of newborns and 4–6 in 14.7%. At 5 minutes, 93.3% had scores between 7–10, while 6.7% had scores between 4–6.</w:t>
      </w:r>
    </w:p>
    <w:p w14:paraId="0BDF5E43" w14:textId="77777777" w:rsidR="007A0780" w:rsidRPr="00E86F27" w:rsidRDefault="007A0780" w:rsidP="007A0780">
      <w:pPr>
        <w:autoSpaceDE w:val="0"/>
        <w:autoSpaceDN w:val="0"/>
        <w:adjustRightInd w:val="0"/>
        <w:spacing w:after="0" w:line="276" w:lineRule="auto"/>
        <w:jc w:val="both"/>
        <w:rPr>
          <w:rFonts w:ascii="Times New Roman" w:hAnsi="Times New Roman" w:cs="Times New Roman"/>
          <w:sz w:val="16"/>
          <w:szCs w:val="16"/>
        </w:rPr>
      </w:pPr>
    </w:p>
    <w:p w14:paraId="5DD14F22" w14:textId="77777777" w:rsidR="007A0780" w:rsidRPr="00AF7305" w:rsidRDefault="007A0780" w:rsidP="00A63A03">
      <w:pPr>
        <w:autoSpaceDE w:val="0"/>
        <w:autoSpaceDN w:val="0"/>
        <w:adjustRightInd w:val="0"/>
        <w:spacing w:after="0" w:line="276" w:lineRule="auto"/>
        <w:jc w:val="center"/>
        <w:rPr>
          <w:rFonts w:ascii="Times New Roman" w:hAnsi="Times New Roman" w:cs="Times New Roman"/>
          <w:b/>
          <w:bCs/>
        </w:rPr>
      </w:pPr>
      <w:r>
        <w:rPr>
          <w:rFonts w:ascii="Times New Roman" w:hAnsi="Times New Roman" w:cs="Times New Roman"/>
          <w:b/>
          <w:bCs/>
        </w:rPr>
        <w:t>Table 1:</w:t>
      </w:r>
      <w:r w:rsidRPr="00AF7305">
        <w:rPr>
          <w:rFonts w:ascii="Times New Roman" w:hAnsi="Times New Roman" w:cs="Times New Roman"/>
          <w:b/>
          <w:bCs/>
        </w:rPr>
        <w:t xml:space="preserve"> Maternal, Obstetric and Neonatal Characteristics of the Study Population (n = 75)</w:t>
      </w:r>
    </w:p>
    <w:tbl>
      <w:tblPr>
        <w:tblStyle w:val="TableGrid"/>
        <w:tblW w:w="0" w:type="auto"/>
        <w:jc w:val="center"/>
        <w:tblLook w:val="04A0" w:firstRow="1" w:lastRow="0" w:firstColumn="1" w:lastColumn="0" w:noHBand="0" w:noVBand="1"/>
      </w:tblPr>
      <w:tblGrid>
        <w:gridCol w:w="2988"/>
        <w:gridCol w:w="2958"/>
        <w:gridCol w:w="1632"/>
      </w:tblGrid>
      <w:tr w:rsidR="007A0780" w:rsidRPr="00AF7305" w14:paraId="75A71C65" w14:textId="77777777" w:rsidTr="004E542F">
        <w:trPr>
          <w:jc w:val="center"/>
        </w:trPr>
        <w:tc>
          <w:tcPr>
            <w:tcW w:w="2988" w:type="dxa"/>
          </w:tcPr>
          <w:p w14:paraId="41D5B680"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CATEGORY</w:t>
            </w:r>
          </w:p>
        </w:tc>
        <w:tc>
          <w:tcPr>
            <w:tcW w:w="2958" w:type="dxa"/>
          </w:tcPr>
          <w:p w14:paraId="3EC71C99"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PARAMETER</w:t>
            </w:r>
          </w:p>
        </w:tc>
        <w:tc>
          <w:tcPr>
            <w:tcW w:w="1632" w:type="dxa"/>
          </w:tcPr>
          <w:p w14:paraId="77A0FA16"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N (%)</w:t>
            </w:r>
          </w:p>
        </w:tc>
      </w:tr>
      <w:tr w:rsidR="007A0780" w:rsidRPr="00AF7305" w14:paraId="4CA89CC1" w14:textId="77777777" w:rsidTr="004E542F">
        <w:trPr>
          <w:jc w:val="center"/>
        </w:trPr>
        <w:tc>
          <w:tcPr>
            <w:tcW w:w="2988" w:type="dxa"/>
            <w:vMerge w:val="restart"/>
            <w:vAlign w:val="center"/>
          </w:tcPr>
          <w:p w14:paraId="26F9390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Maternal Characteristics</w:t>
            </w:r>
          </w:p>
        </w:tc>
        <w:tc>
          <w:tcPr>
            <w:tcW w:w="2958" w:type="dxa"/>
          </w:tcPr>
          <w:p w14:paraId="420D1EB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Age group 21–25 years</w:t>
            </w:r>
          </w:p>
        </w:tc>
        <w:tc>
          <w:tcPr>
            <w:tcW w:w="1632" w:type="dxa"/>
          </w:tcPr>
          <w:p w14:paraId="0C5FA77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50 (66.7%)</w:t>
            </w:r>
          </w:p>
        </w:tc>
      </w:tr>
      <w:tr w:rsidR="007A0780" w:rsidRPr="00AF7305" w14:paraId="7872B3AB" w14:textId="77777777" w:rsidTr="004E542F">
        <w:trPr>
          <w:jc w:val="center"/>
        </w:trPr>
        <w:tc>
          <w:tcPr>
            <w:tcW w:w="2988" w:type="dxa"/>
            <w:vMerge/>
            <w:vAlign w:val="center"/>
          </w:tcPr>
          <w:p w14:paraId="7B92831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EBCB1B2"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Other age groups</w:t>
            </w:r>
          </w:p>
        </w:tc>
        <w:tc>
          <w:tcPr>
            <w:tcW w:w="1632" w:type="dxa"/>
          </w:tcPr>
          <w:p w14:paraId="67F9E27D" w14:textId="77777777" w:rsidR="007A0780" w:rsidRPr="00AF7305" w:rsidRDefault="007A0780" w:rsidP="004E542F">
            <w:pPr>
              <w:autoSpaceDE w:val="0"/>
              <w:autoSpaceDN w:val="0"/>
              <w:adjustRightInd w:val="0"/>
              <w:spacing w:line="240" w:lineRule="auto"/>
              <w:rPr>
                <w:rFonts w:ascii="Times New Roman" w:hAnsi="Times New Roman" w:cs="Times New Roman"/>
              </w:rPr>
            </w:pPr>
            <w:r w:rsidRPr="00AF7305">
              <w:rPr>
                <w:rFonts w:ascii="Times New Roman" w:hAnsi="Times New Roman" w:cs="Times New Roman"/>
              </w:rPr>
              <w:t>25 (33.3%)</w:t>
            </w:r>
          </w:p>
        </w:tc>
      </w:tr>
      <w:tr w:rsidR="007A0780" w:rsidRPr="00AF7305" w14:paraId="17D02E9D" w14:textId="77777777" w:rsidTr="004E542F">
        <w:trPr>
          <w:jc w:val="center"/>
        </w:trPr>
        <w:tc>
          <w:tcPr>
            <w:tcW w:w="2988" w:type="dxa"/>
            <w:vMerge w:val="restart"/>
            <w:vAlign w:val="center"/>
          </w:tcPr>
          <w:p w14:paraId="6363944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lastRenderedPageBreak/>
              <w:t>Gravida</w:t>
            </w:r>
          </w:p>
        </w:tc>
        <w:tc>
          <w:tcPr>
            <w:tcW w:w="2958" w:type="dxa"/>
          </w:tcPr>
          <w:p w14:paraId="7E3CCDB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Primigravida</w:t>
            </w:r>
          </w:p>
        </w:tc>
        <w:tc>
          <w:tcPr>
            <w:tcW w:w="1632" w:type="dxa"/>
          </w:tcPr>
          <w:p w14:paraId="7DAE03A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44 (58.7%)</w:t>
            </w:r>
          </w:p>
        </w:tc>
      </w:tr>
      <w:tr w:rsidR="007A0780" w:rsidRPr="00AF7305" w14:paraId="3B13021B" w14:textId="77777777" w:rsidTr="004E542F">
        <w:trPr>
          <w:jc w:val="center"/>
        </w:trPr>
        <w:tc>
          <w:tcPr>
            <w:tcW w:w="2988" w:type="dxa"/>
            <w:vMerge/>
            <w:vAlign w:val="center"/>
          </w:tcPr>
          <w:p w14:paraId="2898EF0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0E1625D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Second gravida</w:t>
            </w:r>
          </w:p>
        </w:tc>
        <w:tc>
          <w:tcPr>
            <w:tcW w:w="1632" w:type="dxa"/>
          </w:tcPr>
          <w:p w14:paraId="02B6D4E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17 (22.7%)</w:t>
            </w:r>
          </w:p>
        </w:tc>
      </w:tr>
      <w:tr w:rsidR="007A0780" w:rsidRPr="00AF7305" w14:paraId="7E6BCF1F" w14:textId="77777777" w:rsidTr="004E542F">
        <w:trPr>
          <w:jc w:val="center"/>
        </w:trPr>
        <w:tc>
          <w:tcPr>
            <w:tcW w:w="2988" w:type="dxa"/>
            <w:vMerge/>
            <w:vAlign w:val="center"/>
          </w:tcPr>
          <w:p w14:paraId="63448B4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79FAF2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Third gravida</w:t>
            </w:r>
          </w:p>
        </w:tc>
        <w:tc>
          <w:tcPr>
            <w:tcW w:w="1632" w:type="dxa"/>
          </w:tcPr>
          <w:p w14:paraId="240F6A4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12 (16.0%)</w:t>
            </w:r>
          </w:p>
        </w:tc>
      </w:tr>
      <w:tr w:rsidR="007A0780" w:rsidRPr="00AF7305" w14:paraId="4A9D0823" w14:textId="77777777" w:rsidTr="004E542F">
        <w:trPr>
          <w:jc w:val="center"/>
        </w:trPr>
        <w:tc>
          <w:tcPr>
            <w:tcW w:w="2988" w:type="dxa"/>
            <w:vMerge/>
            <w:vAlign w:val="center"/>
          </w:tcPr>
          <w:p w14:paraId="08F5C91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830D99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Fourth gravida</w:t>
            </w:r>
          </w:p>
        </w:tc>
        <w:tc>
          <w:tcPr>
            <w:tcW w:w="1632" w:type="dxa"/>
          </w:tcPr>
          <w:p w14:paraId="6517517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 (2.7%)</w:t>
            </w:r>
          </w:p>
        </w:tc>
      </w:tr>
      <w:tr w:rsidR="007A0780" w:rsidRPr="00AF7305" w14:paraId="1903AF3E" w14:textId="77777777" w:rsidTr="004E542F">
        <w:trPr>
          <w:jc w:val="center"/>
        </w:trPr>
        <w:tc>
          <w:tcPr>
            <w:tcW w:w="2988" w:type="dxa"/>
            <w:vMerge w:val="restart"/>
            <w:vAlign w:val="center"/>
          </w:tcPr>
          <w:p w14:paraId="054E129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Gestational Age</w:t>
            </w:r>
          </w:p>
        </w:tc>
        <w:tc>
          <w:tcPr>
            <w:tcW w:w="2958" w:type="dxa"/>
          </w:tcPr>
          <w:p w14:paraId="1F2CDA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28–30 weeks</w:t>
            </w:r>
          </w:p>
        </w:tc>
        <w:tc>
          <w:tcPr>
            <w:tcW w:w="1632" w:type="dxa"/>
          </w:tcPr>
          <w:p w14:paraId="16B7820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10 (13.3%)</w:t>
            </w:r>
          </w:p>
        </w:tc>
      </w:tr>
      <w:tr w:rsidR="007A0780" w:rsidRPr="00AF7305" w14:paraId="0A43D587" w14:textId="77777777" w:rsidTr="004E542F">
        <w:trPr>
          <w:jc w:val="center"/>
        </w:trPr>
        <w:tc>
          <w:tcPr>
            <w:tcW w:w="2988" w:type="dxa"/>
            <w:vMerge/>
            <w:vAlign w:val="center"/>
          </w:tcPr>
          <w:p w14:paraId="3D66A48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25C3BCE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35–37 weeks</w:t>
            </w:r>
          </w:p>
        </w:tc>
        <w:tc>
          <w:tcPr>
            <w:tcW w:w="1632" w:type="dxa"/>
          </w:tcPr>
          <w:p w14:paraId="61335B5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26 (34.7%)</w:t>
            </w:r>
          </w:p>
        </w:tc>
      </w:tr>
      <w:tr w:rsidR="007A0780" w:rsidRPr="00AF7305" w14:paraId="11145F57" w14:textId="77777777" w:rsidTr="004E542F">
        <w:trPr>
          <w:jc w:val="center"/>
        </w:trPr>
        <w:tc>
          <w:tcPr>
            <w:tcW w:w="2988" w:type="dxa"/>
            <w:vMerge/>
            <w:vAlign w:val="center"/>
          </w:tcPr>
          <w:p w14:paraId="6763430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60E689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38–42 weeks</w:t>
            </w:r>
          </w:p>
        </w:tc>
        <w:tc>
          <w:tcPr>
            <w:tcW w:w="1632" w:type="dxa"/>
          </w:tcPr>
          <w:p w14:paraId="51CF198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39 (52.0%)</w:t>
            </w:r>
          </w:p>
        </w:tc>
      </w:tr>
      <w:tr w:rsidR="007A0780" w:rsidRPr="00AF7305" w14:paraId="12E5F029" w14:textId="77777777" w:rsidTr="004E542F">
        <w:trPr>
          <w:jc w:val="center"/>
        </w:trPr>
        <w:tc>
          <w:tcPr>
            <w:tcW w:w="2988" w:type="dxa"/>
            <w:vMerge w:val="restart"/>
            <w:vAlign w:val="center"/>
          </w:tcPr>
          <w:p w14:paraId="559A3EA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Obstetric Outcomes</w:t>
            </w:r>
          </w:p>
        </w:tc>
        <w:tc>
          <w:tcPr>
            <w:tcW w:w="2958" w:type="dxa"/>
          </w:tcPr>
          <w:p w14:paraId="196299C3"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Vaginal delivery</w:t>
            </w:r>
          </w:p>
        </w:tc>
        <w:tc>
          <w:tcPr>
            <w:tcW w:w="1632" w:type="dxa"/>
          </w:tcPr>
          <w:p w14:paraId="76B1827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33 (44.0%)</w:t>
            </w:r>
          </w:p>
        </w:tc>
      </w:tr>
      <w:tr w:rsidR="007A0780" w:rsidRPr="00AF7305" w14:paraId="520064CB" w14:textId="77777777" w:rsidTr="004E542F">
        <w:trPr>
          <w:jc w:val="center"/>
        </w:trPr>
        <w:tc>
          <w:tcPr>
            <w:tcW w:w="2988" w:type="dxa"/>
            <w:vMerge/>
            <w:vAlign w:val="center"/>
          </w:tcPr>
          <w:p w14:paraId="1A3B16E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7EA9D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LSCS</w:t>
            </w:r>
          </w:p>
        </w:tc>
        <w:tc>
          <w:tcPr>
            <w:tcW w:w="1632" w:type="dxa"/>
          </w:tcPr>
          <w:p w14:paraId="2E99814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42 (56.0%)</w:t>
            </w:r>
          </w:p>
        </w:tc>
      </w:tr>
      <w:tr w:rsidR="007A0780" w:rsidRPr="00AF7305" w14:paraId="00BE3949" w14:textId="77777777" w:rsidTr="004E542F">
        <w:trPr>
          <w:jc w:val="center"/>
        </w:trPr>
        <w:tc>
          <w:tcPr>
            <w:tcW w:w="2988" w:type="dxa"/>
            <w:vMerge w:val="restart"/>
            <w:vAlign w:val="center"/>
          </w:tcPr>
          <w:p w14:paraId="742792D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Risk Factors</w:t>
            </w:r>
          </w:p>
        </w:tc>
        <w:tc>
          <w:tcPr>
            <w:tcW w:w="2958" w:type="dxa"/>
          </w:tcPr>
          <w:p w14:paraId="2D392CC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None</w:t>
            </w:r>
          </w:p>
        </w:tc>
        <w:tc>
          <w:tcPr>
            <w:tcW w:w="1632" w:type="dxa"/>
          </w:tcPr>
          <w:p w14:paraId="0578A77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63 (83.9%)</w:t>
            </w:r>
          </w:p>
        </w:tc>
      </w:tr>
      <w:tr w:rsidR="007A0780" w:rsidRPr="00AF7305" w14:paraId="08CB81C9" w14:textId="77777777" w:rsidTr="004E542F">
        <w:trPr>
          <w:jc w:val="center"/>
        </w:trPr>
        <w:tc>
          <w:tcPr>
            <w:tcW w:w="2988" w:type="dxa"/>
            <w:vMerge/>
            <w:vAlign w:val="center"/>
          </w:tcPr>
          <w:p w14:paraId="1CA854F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00CFC74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Anemia</w:t>
            </w:r>
          </w:p>
        </w:tc>
        <w:tc>
          <w:tcPr>
            <w:tcW w:w="1632" w:type="dxa"/>
          </w:tcPr>
          <w:p w14:paraId="3E1D657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 (2.7%)</w:t>
            </w:r>
          </w:p>
        </w:tc>
      </w:tr>
      <w:tr w:rsidR="007A0780" w:rsidRPr="00AF7305" w14:paraId="4BFAFDBE" w14:textId="77777777" w:rsidTr="004E542F">
        <w:trPr>
          <w:jc w:val="center"/>
        </w:trPr>
        <w:tc>
          <w:tcPr>
            <w:tcW w:w="2988" w:type="dxa"/>
            <w:vMerge/>
            <w:vAlign w:val="center"/>
          </w:tcPr>
          <w:p w14:paraId="023EABA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94CD36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Gestational DM</w:t>
            </w:r>
          </w:p>
        </w:tc>
        <w:tc>
          <w:tcPr>
            <w:tcW w:w="1632" w:type="dxa"/>
          </w:tcPr>
          <w:p w14:paraId="5357022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 (4.0%)</w:t>
            </w:r>
          </w:p>
        </w:tc>
      </w:tr>
      <w:tr w:rsidR="007A0780" w:rsidRPr="00AF7305" w14:paraId="768556C4" w14:textId="77777777" w:rsidTr="004E542F">
        <w:trPr>
          <w:jc w:val="center"/>
        </w:trPr>
        <w:tc>
          <w:tcPr>
            <w:tcW w:w="2988" w:type="dxa"/>
            <w:vMerge/>
            <w:vAlign w:val="center"/>
          </w:tcPr>
          <w:p w14:paraId="76E53ED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3A959C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Gestational Hypertension</w:t>
            </w:r>
          </w:p>
        </w:tc>
        <w:tc>
          <w:tcPr>
            <w:tcW w:w="1632" w:type="dxa"/>
          </w:tcPr>
          <w:p w14:paraId="22E6422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 (4.0%)</w:t>
            </w:r>
          </w:p>
        </w:tc>
      </w:tr>
      <w:tr w:rsidR="007A0780" w:rsidRPr="00AF7305" w14:paraId="65401E1B" w14:textId="77777777" w:rsidTr="004E542F">
        <w:trPr>
          <w:jc w:val="center"/>
        </w:trPr>
        <w:tc>
          <w:tcPr>
            <w:tcW w:w="2988" w:type="dxa"/>
            <w:vMerge/>
            <w:vAlign w:val="center"/>
          </w:tcPr>
          <w:p w14:paraId="745E93A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B53C15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Severe Pre-eclampsia</w:t>
            </w:r>
          </w:p>
        </w:tc>
        <w:tc>
          <w:tcPr>
            <w:tcW w:w="1632" w:type="dxa"/>
          </w:tcPr>
          <w:p w14:paraId="072D05B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 (5.3%)</w:t>
            </w:r>
          </w:p>
        </w:tc>
      </w:tr>
      <w:tr w:rsidR="007A0780" w:rsidRPr="00AF7305" w14:paraId="206C395E" w14:textId="77777777" w:rsidTr="004E542F">
        <w:trPr>
          <w:jc w:val="center"/>
        </w:trPr>
        <w:tc>
          <w:tcPr>
            <w:tcW w:w="2988" w:type="dxa"/>
            <w:vMerge w:val="restart"/>
            <w:vAlign w:val="center"/>
          </w:tcPr>
          <w:p w14:paraId="67CFE49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Neonatal Outcomes</w:t>
            </w:r>
          </w:p>
        </w:tc>
        <w:tc>
          <w:tcPr>
            <w:tcW w:w="2958" w:type="dxa"/>
          </w:tcPr>
          <w:p w14:paraId="2D81A5E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&lt;1.5 kg</w:t>
            </w:r>
          </w:p>
        </w:tc>
        <w:tc>
          <w:tcPr>
            <w:tcW w:w="1632" w:type="dxa"/>
          </w:tcPr>
          <w:p w14:paraId="61C6BDCD"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8 (10.7%)</w:t>
            </w:r>
          </w:p>
        </w:tc>
      </w:tr>
      <w:tr w:rsidR="007A0780" w:rsidRPr="00AF7305" w14:paraId="0A3AEB4A" w14:textId="77777777" w:rsidTr="004E542F">
        <w:trPr>
          <w:jc w:val="center"/>
        </w:trPr>
        <w:tc>
          <w:tcPr>
            <w:tcW w:w="2988" w:type="dxa"/>
            <w:vMerge/>
            <w:vAlign w:val="center"/>
          </w:tcPr>
          <w:p w14:paraId="72E181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0226D8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1.5–2.5 kg</w:t>
            </w:r>
          </w:p>
        </w:tc>
        <w:tc>
          <w:tcPr>
            <w:tcW w:w="1632" w:type="dxa"/>
          </w:tcPr>
          <w:p w14:paraId="53D0BEF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47 (62.6%)</w:t>
            </w:r>
          </w:p>
        </w:tc>
      </w:tr>
      <w:tr w:rsidR="007A0780" w:rsidRPr="00AF7305" w14:paraId="41EE7DE6" w14:textId="77777777" w:rsidTr="004E542F">
        <w:trPr>
          <w:jc w:val="center"/>
        </w:trPr>
        <w:tc>
          <w:tcPr>
            <w:tcW w:w="2988" w:type="dxa"/>
            <w:vMerge/>
            <w:vAlign w:val="center"/>
          </w:tcPr>
          <w:p w14:paraId="11613C6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A569F3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&gt;2.5 kg</w:t>
            </w:r>
          </w:p>
        </w:tc>
        <w:tc>
          <w:tcPr>
            <w:tcW w:w="1632" w:type="dxa"/>
          </w:tcPr>
          <w:p w14:paraId="4828025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20 (26.7%)</w:t>
            </w:r>
          </w:p>
        </w:tc>
      </w:tr>
      <w:tr w:rsidR="007A0780" w:rsidRPr="00AF7305" w14:paraId="2639886C" w14:textId="77777777" w:rsidTr="004E542F">
        <w:trPr>
          <w:jc w:val="center"/>
        </w:trPr>
        <w:tc>
          <w:tcPr>
            <w:tcW w:w="2988" w:type="dxa"/>
            <w:vMerge w:val="restart"/>
            <w:vAlign w:val="center"/>
          </w:tcPr>
          <w:p w14:paraId="7560C68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APGAR Score (1 min</w:t>
            </w:r>
          </w:p>
        </w:tc>
        <w:tc>
          <w:tcPr>
            <w:tcW w:w="2958" w:type="dxa"/>
          </w:tcPr>
          <w:p w14:paraId="1CAD316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7–10</w:t>
            </w:r>
          </w:p>
        </w:tc>
        <w:tc>
          <w:tcPr>
            <w:tcW w:w="1632" w:type="dxa"/>
          </w:tcPr>
          <w:p w14:paraId="3B4D797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64 (85.3%)</w:t>
            </w:r>
          </w:p>
        </w:tc>
      </w:tr>
      <w:tr w:rsidR="007A0780" w:rsidRPr="00AF7305" w14:paraId="33D0103C" w14:textId="77777777" w:rsidTr="004E542F">
        <w:trPr>
          <w:jc w:val="center"/>
        </w:trPr>
        <w:tc>
          <w:tcPr>
            <w:tcW w:w="2988" w:type="dxa"/>
            <w:vMerge/>
            <w:vAlign w:val="center"/>
          </w:tcPr>
          <w:p w14:paraId="083367F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727075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4–6</w:t>
            </w:r>
          </w:p>
        </w:tc>
        <w:tc>
          <w:tcPr>
            <w:tcW w:w="1632" w:type="dxa"/>
          </w:tcPr>
          <w:p w14:paraId="6F51E52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11 (14.7%)</w:t>
            </w:r>
          </w:p>
        </w:tc>
      </w:tr>
      <w:tr w:rsidR="007A0780" w:rsidRPr="00AF7305" w14:paraId="3BAD88C0" w14:textId="77777777" w:rsidTr="004E542F">
        <w:trPr>
          <w:jc w:val="center"/>
        </w:trPr>
        <w:tc>
          <w:tcPr>
            <w:tcW w:w="2988" w:type="dxa"/>
            <w:vMerge w:val="restart"/>
            <w:vAlign w:val="center"/>
          </w:tcPr>
          <w:p w14:paraId="500BA15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APGAR Score (5 min)</w:t>
            </w:r>
          </w:p>
        </w:tc>
        <w:tc>
          <w:tcPr>
            <w:tcW w:w="2958" w:type="dxa"/>
          </w:tcPr>
          <w:p w14:paraId="693974B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7–10</w:t>
            </w:r>
          </w:p>
        </w:tc>
        <w:tc>
          <w:tcPr>
            <w:tcW w:w="1632" w:type="dxa"/>
          </w:tcPr>
          <w:p w14:paraId="5C40C40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70 (93.3%)</w:t>
            </w:r>
          </w:p>
        </w:tc>
      </w:tr>
      <w:tr w:rsidR="007A0780" w:rsidRPr="00AF7305" w14:paraId="4EFB7D3C" w14:textId="77777777" w:rsidTr="004E542F">
        <w:trPr>
          <w:jc w:val="center"/>
        </w:trPr>
        <w:tc>
          <w:tcPr>
            <w:tcW w:w="2988" w:type="dxa"/>
            <w:vMerge/>
          </w:tcPr>
          <w:p w14:paraId="0B6414C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197DE6C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4–6</w:t>
            </w:r>
          </w:p>
        </w:tc>
        <w:tc>
          <w:tcPr>
            <w:tcW w:w="1632" w:type="dxa"/>
          </w:tcPr>
          <w:p w14:paraId="0E0ACA3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5 (6.7%)</w:t>
            </w:r>
          </w:p>
        </w:tc>
      </w:tr>
    </w:tbl>
    <w:p w14:paraId="210052EC" w14:textId="77777777" w:rsidR="007A0780" w:rsidRPr="00E86F27" w:rsidRDefault="007A0780" w:rsidP="007A0780">
      <w:pPr>
        <w:autoSpaceDE w:val="0"/>
        <w:autoSpaceDN w:val="0"/>
        <w:adjustRightInd w:val="0"/>
        <w:spacing w:after="0" w:line="276" w:lineRule="auto"/>
        <w:rPr>
          <w:rFonts w:ascii="Times New Roman" w:hAnsi="Times New Roman" w:cs="Times New Roman"/>
          <w:b/>
          <w:bCs/>
          <w:sz w:val="16"/>
          <w:szCs w:val="16"/>
        </w:rPr>
      </w:pPr>
    </w:p>
    <w:p w14:paraId="2479DF55" w14:textId="6FE44BC4" w:rsidR="007A0780" w:rsidRPr="00AF7305" w:rsidRDefault="007A0780" w:rsidP="007A0780">
      <w:pPr>
        <w:autoSpaceDE w:val="0"/>
        <w:autoSpaceDN w:val="0"/>
        <w:adjustRightInd w:val="0"/>
        <w:spacing w:after="0" w:line="276" w:lineRule="auto"/>
        <w:rPr>
          <w:rFonts w:ascii="Times New Roman" w:hAnsi="Times New Roman" w:cs="Times New Roman"/>
          <w:b/>
          <w:bCs/>
          <w:color w:val="0000CC"/>
        </w:rPr>
      </w:pPr>
      <w:r w:rsidRPr="00AF7305">
        <w:rPr>
          <w:rFonts w:ascii="Times New Roman" w:hAnsi="Times New Roman" w:cs="Times New Roman"/>
          <w:b/>
          <w:bCs/>
          <w:color w:val="0000CC"/>
        </w:rPr>
        <w:t>Ultrasound Findings</w:t>
      </w:r>
    </w:p>
    <w:p w14:paraId="7279912C" w14:textId="77777777" w:rsidR="007A0780"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Doppler evaluation revealed high resistance in the umbilical artery in 25.3% of cases, while low resistance in the middle cerebral artery was observed in 6.7%. Uterine artery notching was present in 6.7% of patients.</w:t>
      </w:r>
    </w:p>
    <w:p w14:paraId="1E0DAF65" w14:textId="77777777" w:rsidR="007A0780" w:rsidRPr="00E86F27" w:rsidRDefault="007A0780" w:rsidP="007A0780">
      <w:pPr>
        <w:autoSpaceDE w:val="0"/>
        <w:autoSpaceDN w:val="0"/>
        <w:adjustRightInd w:val="0"/>
        <w:spacing w:after="0" w:line="276" w:lineRule="auto"/>
        <w:jc w:val="both"/>
        <w:rPr>
          <w:rFonts w:ascii="Times New Roman" w:hAnsi="Times New Roman" w:cs="Times New Roman"/>
          <w:sz w:val="2"/>
          <w:szCs w:val="2"/>
        </w:rPr>
      </w:pPr>
    </w:p>
    <w:p w14:paraId="3CC34842" w14:textId="77777777" w:rsidR="007A0780" w:rsidRPr="00AF7305" w:rsidRDefault="007A0780" w:rsidP="007A0780">
      <w:pPr>
        <w:autoSpaceDE w:val="0"/>
        <w:autoSpaceDN w:val="0"/>
        <w:adjustRightInd w:val="0"/>
        <w:spacing w:after="0" w:line="276" w:lineRule="auto"/>
        <w:jc w:val="center"/>
        <w:rPr>
          <w:rFonts w:ascii="Times New Roman" w:hAnsi="Times New Roman" w:cs="Times New Roman"/>
          <w:b/>
          <w:bCs/>
        </w:rPr>
      </w:pPr>
      <w:r w:rsidRPr="00AF7305">
        <w:rPr>
          <w:rFonts w:ascii="Times New Roman" w:hAnsi="Times New Roman" w:cs="Times New Roman"/>
          <w:b/>
          <w:bCs/>
        </w:rPr>
        <w:t>Graph 1: Distribution of Patients Based on Ultrasound Disparity</w:t>
      </w:r>
    </w:p>
    <w:p w14:paraId="78588CC5" w14:textId="0C008ECE" w:rsidR="00E86F27" w:rsidRPr="00E86F27" w:rsidRDefault="007A0780" w:rsidP="00E86F27">
      <w:pPr>
        <w:autoSpaceDE w:val="0"/>
        <w:autoSpaceDN w:val="0"/>
        <w:adjustRightInd w:val="0"/>
        <w:spacing w:after="0" w:line="276" w:lineRule="auto"/>
        <w:jc w:val="center"/>
        <w:rPr>
          <w:rFonts w:ascii="Times New Roman" w:hAnsi="Times New Roman" w:cs="Times New Roman"/>
        </w:rPr>
      </w:pPr>
      <w:r w:rsidRPr="00AF7305">
        <w:rPr>
          <w:rFonts w:ascii="Times New Roman" w:hAnsi="Times New Roman" w:cs="Times New Roman"/>
          <w:noProof/>
        </w:rPr>
        <w:drawing>
          <wp:inline distT="0" distB="0" distL="0" distR="0" wp14:anchorId="510A9B25" wp14:editId="3000065B">
            <wp:extent cx="5003800" cy="2400300"/>
            <wp:effectExtent l="0" t="0" r="63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1D3EDD9" w14:textId="6812F446" w:rsidR="007A0780" w:rsidRPr="00AF7305" w:rsidRDefault="00E86F27" w:rsidP="007A0780">
      <w:pPr>
        <w:autoSpaceDE w:val="0"/>
        <w:autoSpaceDN w:val="0"/>
        <w:adjustRightInd w:val="0"/>
        <w:spacing w:after="0" w:line="276" w:lineRule="auto"/>
        <w:jc w:val="both"/>
        <w:rPr>
          <w:rFonts w:ascii="Times New Roman" w:hAnsi="Times New Roman" w:cs="Times New Roman"/>
          <w:b/>
          <w:bCs/>
          <w:color w:val="0000CC"/>
        </w:rPr>
      </w:pPr>
      <w:r w:rsidRPr="00E86F27">
        <w:rPr>
          <w:rFonts w:ascii="Times New Roman" w:hAnsi="Times New Roman" w:cs="Times New Roman"/>
          <w:b/>
          <w:bCs/>
          <w:color w:val="0000CC"/>
          <w:highlight w:val="yellow"/>
        </w:rPr>
        <w:t>Placental</w:t>
      </w:r>
      <w:r>
        <w:rPr>
          <w:rFonts w:ascii="Times New Roman" w:hAnsi="Times New Roman" w:cs="Times New Roman"/>
          <w:b/>
          <w:bCs/>
          <w:color w:val="0000CC"/>
        </w:rPr>
        <w:t xml:space="preserve"> </w:t>
      </w:r>
      <w:r w:rsidR="007A0780" w:rsidRPr="00AF7305">
        <w:rPr>
          <w:rFonts w:ascii="Times New Roman" w:hAnsi="Times New Roman" w:cs="Times New Roman"/>
          <w:b/>
          <w:bCs/>
          <w:color w:val="0000CC"/>
        </w:rPr>
        <w:t>Morphological Findings</w:t>
      </w:r>
    </w:p>
    <w:p w14:paraId="1A589917" w14:textId="47195EC5"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Placental examination showed that 29.3% of placentae weighed &lt;</w:t>
      </w:r>
      <w:r w:rsidR="00E86F27">
        <w:rPr>
          <w:rFonts w:ascii="Times New Roman" w:hAnsi="Times New Roman" w:cs="Times New Roman"/>
        </w:rPr>
        <w:t xml:space="preserve"> </w:t>
      </w:r>
      <w:r w:rsidRPr="00AF7305">
        <w:rPr>
          <w:rFonts w:ascii="Times New Roman" w:hAnsi="Times New Roman" w:cs="Times New Roman"/>
        </w:rPr>
        <w:t xml:space="preserve">450gm, while 70.7% weighed between 450–550gm. </w:t>
      </w:r>
      <w:r w:rsidRPr="00AF7305">
        <w:rPr>
          <w:rFonts w:ascii="Times New Roman" w:hAnsi="Times New Roman" w:cs="Times New Roman"/>
          <w:b/>
          <w:bCs/>
        </w:rPr>
        <w:t>Placental thickness</w:t>
      </w:r>
      <w:r w:rsidRPr="00AF7305">
        <w:rPr>
          <w:rFonts w:ascii="Times New Roman" w:hAnsi="Times New Roman" w:cs="Times New Roman"/>
        </w:rPr>
        <w:t xml:space="preserve"> measured &lt;35mm in 17.3% of cases, 35–45mm in 81.3%, and &gt;45mm in 1.3%. </w:t>
      </w:r>
      <w:r w:rsidRPr="00AF7305">
        <w:rPr>
          <w:rFonts w:ascii="Times New Roman" w:hAnsi="Times New Roman" w:cs="Times New Roman"/>
          <w:b/>
          <w:bCs/>
        </w:rPr>
        <w:t>Umbilical cord insertion</w:t>
      </w:r>
      <w:r w:rsidRPr="00AF7305">
        <w:rPr>
          <w:rFonts w:ascii="Times New Roman" w:hAnsi="Times New Roman" w:cs="Times New Roman"/>
        </w:rPr>
        <w:t xml:space="preserve"> was predominantly central (98.7%), with velamentous insertion noted in 1.3%.</w:t>
      </w:r>
      <w:r w:rsidRPr="00AF7305">
        <w:rPr>
          <w:rFonts w:ascii="Times New Roman" w:hAnsi="Times New Roman" w:cs="Times New Roman"/>
          <w:b/>
          <w:bCs/>
        </w:rPr>
        <w:t xml:space="preserve"> Calcifications</w:t>
      </w:r>
      <w:r w:rsidRPr="00AF7305">
        <w:rPr>
          <w:rFonts w:ascii="Times New Roman" w:hAnsi="Times New Roman" w:cs="Times New Roman"/>
        </w:rPr>
        <w:t xml:space="preserve"> were present in 53.3% of placentae, and </w:t>
      </w:r>
      <w:r w:rsidRPr="00AF7305">
        <w:rPr>
          <w:rFonts w:ascii="Times New Roman" w:hAnsi="Times New Roman" w:cs="Times New Roman"/>
          <w:b/>
          <w:bCs/>
        </w:rPr>
        <w:t>hemorrhages</w:t>
      </w:r>
      <w:r w:rsidRPr="00AF7305">
        <w:rPr>
          <w:rFonts w:ascii="Times New Roman" w:hAnsi="Times New Roman" w:cs="Times New Roman"/>
        </w:rPr>
        <w:t xml:space="preserve"> were identified in 20%. </w:t>
      </w:r>
      <w:proofErr w:type="spellStart"/>
      <w:r w:rsidRPr="00AF7305">
        <w:rPr>
          <w:rFonts w:ascii="Times New Roman" w:hAnsi="Times New Roman" w:cs="Times New Roman"/>
        </w:rPr>
        <w:t>Chorioamniotic</w:t>
      </w:r>
      <w:proofErr w:type="spellEnd"/>
      <w:r w:rsidRPr="00AF7305">
        <w:rPr>
          <w:rFonts w:ascii="Times New Roman" w:hAnsi="Times New Roman" w:cs="Times New Roman"/>
        </w:rPr>
        <w:t xml:space="preserve"> membrane changes were observed in 18.7% of cases. With respect to cord morphology, 89.3% were normal, while true knots were present in 8% and hyper-coiling in 2.7%.</w:t>
      </w:r>
    </w:p>
    <w:p w14:paraId="53F5D97A" w14:textId="77777777" w:rsidR="007A0780" w:rsidRPr="00AF7305" w:rsidRDefault="007A0780" w:rsidP="007A0780">
      <w:pPr>
        <w:autoSpaceDE w:val="0"/>
        <w:autoSpaceDN w:val="0"/>
        <w:adjustRightInd w:val="0"/>
        <w:spacing w:after="0" w:line="276" w:lineRule="auto"/>
        <w:jc w:val="both"/>
        <w:rPr>
          <w:rFonts w:ascii="Times New Roman" w:hAnsi="Times New Roman" w:cs="Times New Roman"/>
        </w:rPr>
      </w:pPr>
    </w:p>
    <w:p w14:paraId="19A4FA29" w14:textId="475EF211" w:rsidR="007A0780" w:rsidRPr="00AF7305" w:rsidRDefault="00E86F27" w:rsidP="007A0780">
      <w:pPr>
        <w:autoSpaceDE w:val="0"/>
        <w:autoSpaceDN w:val="0"/>
        <w:adjustRightInd w:val="0"/>
        <w:spacing w:after="0" w:line="276" w:lineRule="auto"/>
        <w:jc w:val="both"/>
        <w:rPr>
          <w:rFonts w:ascii="Times New Roman" w:hAnsi="Times New Roman" w:cs="Times New Roman"/>
          <w:b/>
          <w:bCs/>
          <w:color w:val="0000CC"/>
        </w:rPr>
      </w:pPr>
      <w:r w:rsidRPr="00E86F27">
        <w:rPr>
          <w:rFonts w:ascii="Times New Roman" w:hAnsi="Times New Roman" w:cs="Times New Roman"/>
          <w:b/>
          <w:bCs/>
          <w:color w:val="0000CC"/>
          <w:highlight w:val="yellow"/>
        </w:rPr>
        <w:t>Placental</w:t>
      </w:r>
      <w:r w:rsidRPr="00AF7305">
        <w:rPr>
          <w:rFonts w:ascii="Times New Roman" w:hAnsi="Times New Roman" w:cs="Times New Roman"/>
          <w:b/>
          <w:bCs/>
          <w:color w:val="0000CC"/>
        </w:rPr>
        <w:t xml:space="preserve"> </w:t>
      </w:r>
      <w:r w:rsidR="007A0780" w:rsidRPr="00AF7305">
        <w:rPr>
          <w:rFonts w:ascii="Times New Roman" w:hAnsi="Times New Roman" w:cs="Times New Roman"/>
          <w:b/>
          <w:bCs/>
          <w:color w:val="0000CC"/>
        </w:rPr>
        <w:t>Histopathological Findings</w:t>
      </w:r>
    </w:p>
    <w:p w14:paraId="691DAC64" w14:textId="77777777"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 xml:space="preserve">Histological examination of the placentae revealed </w:t>
      </w:r>
      <w:proofErr w:type="spellStart"/>
      <w:r w:rsidRPr="00AF7305">
        <w:rPr>
          <w:rFonts w:ascii="Times New Roman" w:hAnsi="Times New Roman" w:cs="Times New Roman"/>
          <w:b/>
          <w:bCs/>
        </w:rPr>
        <w:t>perivillous</w:t>
      </w:r>
      <w:proofErr w:type="spellEnd"/>
      <w:r w:rsidRPr="00AF7305">
        <w:rPr>
          <w:rFonts w:ascii="Times New Roman" w:hAnsi="Times New Roman" w:cs="Times New Roman"/>
          <w:b/>
          <w:bCs/>
        </w:rPr>
        <w:t xml:space="preserve"> fibrin deposition</w:t>
      </w:r>
      <w:r w:rsidRPr="00AF7305">
        <w:rPr>
          <w:rFonts w:ascii="Times New Roman" w:hAnsi="Times New Roman" w:cs="Times New Roman"/>
        </w:rPr>
        <w:t xml:space="preserve"> in 97.3% of cases. </w:t>
      </w:r>
      <w:r w:rsidRPr="00AF7305">
        <w:rPr>
          <w:rFonts w:ascii="Times New Roman" w:hAnsi="Times New Roman" w:cs="Times New Roman"/>
          <w:b/>
          <w:bCs/>
        </w:rPr>
        <w:t>Stromal fibrosis</w:t>
      </w:r>
      <w:r w:rsidRPr="00AF7305">
        <w:rPr>
          <w:rFonts w:ascii="Times New Roman" w:hAnsi="Times New Roman" w:cs="Times New Roman"/>
        </w:rPr>
        <w:t xml:space="preserve"> was observed in 16%, while </w:t>
      </w:r>
      <w:proofErr w:type="spellStart"/>
      <w:r w:rsidRPr="00AF7305">
        <w:rPr>
          <w:rFonts w:ascii="Times New Roman" w:hAnsi="Times New Roman" w:cs="Times New Roman"/>
          <w:b/>
          <w:bCs/>
        </w:rPr>
        <w:t>cytotrophoblastic</w:t>
      </w:r>
      <w:proofErr w:type="spellEnd"/>
      <w:r w:rsidRPr="00AF7305">
        <w:rPr>
          <w:rFonts w:ascii="Times New Roman" w:hAnsi="Times New Roman" w:cs="Times New Roman"/>
          <w:b/>
          <w:bCs/>
        </w:rPr>
        <w:t xml:space="preserve"> proliferation</w:t>
      </w:r>
      <w:r w:rsidRPr="00AF7305">
        <w:rPr>
          <w:rFonts w:ascii="Times New Roman" w:hAnsi="Times New Roman" w:cs="Times New Roman"/>
        </w:rPr>
        <w:t xml:space="preserve"> was noted in 14.7%. </w:t>
      </w:r>
      <w:r w:rsidRPr="00AF7305">
        <w:rPr>
          <w:rFonts w:ascii="Times New Roman" w:hAnsi="Times New Roman" w:cs="Times New Roman"/>
          <w:b/>
          <w:bCs/>
        </w:rPr>
        <w:t>Villous infarction</w:t>
      </w:r>
      <w:r w:rsidRPr="00AF7305">
        <w:rPr>
          <w:rFonts w:ascii="Times New Roman" w:hAnsi="Times New Roman" w:cs="Times New Roman"/>
        </w:rPr>
        <w:t xml:space="preserve"> was identified in 25.3% of cases, and thickening of the villous trophoblastic basal membrane in 10.7%. </w:t>
      </w:r>
      <w:r w:rsidRPr="00AF7305">
        <w:rPr>
          <w:rFonts w:ascii="Times New Roman" w:hAnsi="Times New Roman" w:cs="Times New Roman"/>
          <w:b/>
          <w:bCs/>
        </w:rPr>
        <w:t>Intervillous thrombi/hematoma</w:t>
      </w:r>
      <w:r w:rsidRPr="00AF7305">
        <w:rPr>
          <w:rFonts w:ascii="Times New Roman" w:hAnsi="Times New Roman" w:cs="Times New Roman"/>
        </w:rPr>
        <w:t xml:space="preserve"> were present in 48% of cases, and </w:t>
      </w:r>
      <w:r w:rsidRPr="00AF7305">
        <w:rPr>
          <w:rFonts w:ascii="Times New Roman" w:hAnsi="Times New Roman" w:cs="Times New Roman"/>
          <w:b/>
          <w:bCs/>
        </w:rPr>
        <w:t>villitis</w:t>
      </w:r>
      <w:r w:rsidRPr="00AF7305">
        <w:rPr>
          <w:rFonts w:ascii="Times New Roman" w:hAnsi="Times New Roman" w:cs="Times New Roman"/>
        </w:rPr>
        <w:t xml:space="preserve"> in 36%. </w:t>
      </w:r>
      <w:r w:rsidRPr="00AF7305">
        <w:rPr>
          <w:rFonts w:ascii="Times New Roman" w:hAnsi="Times New Roman" w:cs="Times New Roman"/>
          <w:b/>
          <w:bCs/>
        </w:rPr>
        <w:t xml:space="preserve">Focal </w:t>
      </w:r>
      <w:proofErr w:type="spellStart"/>
      <w:r w:rsidRPr="00AF7305">
        <w:rPr>
          <w:rFonts w:ascii="Times New Roman" w:hAnsi="Times New Roman" w:cs="Times New Roman"/>
          <w:b/>
          <w:bCs/>
        </w:rPr>
        <w:t>chorioangiosis</w:t>
      </w:r>
      <w:proofErr w:type="spellEnd"/>
      <w:r w:rsidRPr="00AF7305">
        <w:rPr>
          <w:rFonts w:ascii="Times New Roman" w:hAnsi="Times New Roman" w:cs="Times New Roman"/>
        </w:rPr>
        <w:t xml:space="preserve"> was observed in 82.7% of placentae, while </w:t>
      </w:r>
      <w:r w:rsidRPr="00AF7305">
        <w:rPr>
          <w:rFonts w:ascii="Times New Roman" w:hAnsi="Times New Roman" w:cs="Times New Roman"/>
          <w:b/>
          <w:bCs/>
        </w:rPr>
        <w:t>syncytial knots</w:t>
      </w:r>
      <w:r w:rsidRPr="00AF7305">
        <w:rPr>
          <w:rFonts w:ascii="Times New Roman" w:hAnsi="Times New Roman" w:cs="Times New Roman"/>
        </w:rPr>
        <w:t xml:space="preserve"> were present in 90.7%.</w:t>
      </w:r>
    </w:p>
    <w:p w14:paraId="326B6CB1" w14:textId="77777777" w:rsidR="007A0780" w:rsidRPr="00AF7305" w:rsidRDefault="007A0780" w:rsidP="007A0780">
      <w:pPr>
        <w:autoSpaceDE w:val="0"/>
        <w:autoSpaceDN w:val="0"/>
        <w:adjustRightInd w:val="0"/>
        <w:spacing w:after="0" w:line="276" w:lineRule="auto"/>
        <w:jc w:val="center"/>
        <w:rPr>
          <w:rFonts w:ascii="Times New Roman" w:hAnsi="Times New Roman" w:cs="Times New Roman"/>
        </w:rPr>
      </w:pPr>
    </w:p>
    <w:p w14:paraId="5E359F83" w14:textId="77777777" w:rsidR="007A0780" w:rsidRPr="00AF7305" w:rsidRDefault="007A0780" w:rsidP="007A0780">
      <w:pPr>
        <w:spacing w:line="276" w:lineRule="auto"/>
        <w:jc w:val="center"/>
        <w:rPr>
          <w:rFonts w:ascii="Times New Roman" w:hAnsi="Times New Roman" w:cs="Times New Roman"/>
          <w:b/>
          <w:bCs/>
        </w:rPr>
      </w:pPr>
      <w:r w:rsidRPr="00AF7305">
        <w:rPr>
          <w:rFonts w:ascii="Times New Roman" w:hAnsi="Times New Roman" w:cs="Times New Roman"/>
          <w:b/>
          <w:bCs/>
        </w:rPr>
        <w:t>Graph 2: Histopathological Findings in the Study Population</w:t>
      </w:r>
    </w:p>
    <w:p w14:paraId="4A353CEE" w14:textId="77777777" w:rsidR="007A0780" w:rsidRPr="00AF7305" w:rsidRDefault="007A0780" w:rsidP="007A0780">
      <w:pPr>
        <w:spacing w:line="276" w:lineRule="auto"/>
        <w:jc w:val="center"/>
        <w:rPr>
          <w:rFonts w:ascii="Times New Roman" w:hAnsi="Times New Roman" w:cs="Times New Roman"/>
          <w:b/>
          <w:bCs/>
        </w:rPr>
      </w:pPr>
      <w:r w:rsidRPr="00AF7305">
        <w:rPr>
          <w:rFonts w:ascii="Times New Roman" w:hAnsi="Times New Roman" w:cs="Times New Roman"/>
          <w:b/>
          <w:bCs/>
          <w:noProof/>
        </w:rPr>
        <w:drawing>
          <wp:inline distT="0" distB="0" distL="0" distR="0" wp14:anchorId="46CEDC98" wp14:editId="7C44E198">
            <wp:extent cx="6051550" cy="3287395"/>
            <wp:effectExtent l="0" t="0" r="6350" b="825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6F5637" w14:textId="77777777" w:rsidR="007A0780" w:rsidRPr="00AF7305" w:rsidRDefault="007A0780" w:rsidP="007A0780">
      <w:pPr>
        <w:spacing w:after="0" w:line="276" w:lineRule="auto"/>
        <w:rPr>
          <w:rFonts w:ascii="Times New Roman" w:hAnsi="Times New Roman" w:cs="Times New Roman"/>
        </w:rPr>
      </w:pPr>
    </w:p>
    <w:p w14:paraId="054B816F" w14:textId="77777777" w:rsidR="007A0780" w:rsidRPr="007A0780" w:rsidRDefault="007A0780" w:rsidP="007A0780">
      <w:pPr>
        <w:spacing w:after="0" w:line="276" w:lineRule="auto"/>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DISCUSSION</w:t>
      </w:r>
    </w:p>
    <w:p w14:paraId="7566FBDE" w14:textId="76B0FB15" w:rsidR="00E86F27"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Intrauterine growth restriction (IUGR)</w:t>
      </w:r>
      <w:r w:rsidR="00E86F27">
        <w:rPr>
          <w:rFonts w:ascii="Times New Roman" w:hAnsi="Times New Roman" w:cs="Times New Roman"/>
        </w:rPr>
        <w:t xml:space="preserve"> </w:t>
      </w:r>
      <w:r w:rsidRPr="007A0780">
        <w:rPr>
          <w:rFonts w:ascii="Times New Roman" w:hAnsi="Times New Roman" w:cs="Times New Roman"/>
        </w:rPr>
        <w:t>is defined as the inability of a fetus to achieve its expected growth, characterized by an estimated fetal weight or actual birth weight below the 10th percentile for gestational age, accompanied by a pathological restriction of growth</w:t>
      </w:r>
      <w:r w:rsidRPr="00E86F27">
        <w:rPr>
          <w:rFonts w:ascii="Times New Roman" w:hAnsi="Times New Roman" w:cs="Times New Roman"/>
          <w:b/>
          <w:bCs/>
          <w:color w:val="EE0000"/>
          <w:sz w:val="24"/>
          <w:szCs w:val="24"/>
          <w:vertAlign w:val="superscript"/>
        </w:rPr>
        <w:t>3</w:t>
      </w:r>
      <w:r w:rsidRPr="007A0780">
        <w:rPr>
          <w:rFonts w:ascii="Times New Roman" w:hAnsi="Times New Roman" w:cs="Times New Roman"/>
        </w:rPr>
        <w:t xml:space="preserve">. Any abnormality in placental development can compromise fetal growth and well-being, leading to complications ranging from IUGR to intrauterine death </w:t>
      </w:r>
      <w:r w:rsidRPr="00E86F27">
        <w:rPr>
          <w:rFonts w:ascii="Times New Roman" w:hAnsi="Times New Roman" w:cs="Times New Roman"/>
          <w:b/>
          <w:bCs/>
          <w:color w:val="EE0000"/>
          <w:sz w:val="24"/>
          <w:szCs w:val="24"/>
          <w:vertAlign w:val="superscript"/>
        </w:rPr>
        <w:t>6–7, 10</w:t>
      </w:r>
      <w:r w:rsidRPr="007A0780">
        <w:rPr>
          <w:rFonts w:ascii="Times New Roman" w:hAnsi="Times New Roman" w:cs="Times New Roman"/>
        </w:rPr>
        <w:t>. IUGR is a frequently encountered diagnosis in obstetric practice and is associated with increased risks of perinatal morbidity and mortality</w:t>
      </w:r>
      <w:r w:rsidR="00E86F27">
        <w:rPr>
          <w:rFonts w:ascii="Times New Roman" w:hAnsi="Times New Roman" w:cs="Times New Roman"/>
        </w:rPr>
        <w:t xml:space="preserve"> </w:t>
      </w:r>
      <w:r w:rsidRPr="00E86F27">
        <w:rPr>
          <w:rFonts w:ascii="Times New Roman" w:hAnsi="Times New Roman" w:cs="Times New Roman"/>
          <w:b/>
          <w:bCs/>
          <w:color w:val="EE0000"/>
          <w:sz w:val="24"/>
          <w:szCs w:val="24"/>
          <w:vertAlign w:val="superscript"/>
        </w:rPr>
        <w:t>11,12</w:t>
      </w:r>
      <w:r w:rsidRPr="007A0780">
        <w:rPr>
          <w:rFonts w:ascii="Times New Roman" w:hAnsi="Times New Roman" w:cs="Times New Roman"/>
        </w:rPr>
        <w:t xml:space="preserve">. In many cases, no clear </w:t>
      </w:r>
      <w:r w:rsidRPr="00AF7305">
        <w:rPr>
          <w:rFonts w:ascii="Times New Roman" w:hAnsi="Times New Roman" w:cs="Times New Roman"/>
        </w:rPr>
        <w:t xml:space="preserve">maternal or fetal cause is identified; nevertheless, </w:t>
      </w:r>
      <w:r w:rsidRPr="007A0780">
        <w:rPr>
          <w:rFonts w:ascii="Times New Roman" w:hAnsi="Times New Roman" w:cs="Times New Roman"/>
        </w:rPr>
        <w:t xml:space="preserve">affected mothers often present with significantly growth-restricted fetuses. In such situations, the placenta is considered to play a </w:t>
      </w:r>
      <w:r w:rsidR="00E86F27" w:rsidRPr="007A0780">
        <w:rPr>
          <w:rFonts w:ascii="Times New Roman" w:hAnsi="Times New Roman" w:cs="Times New Roman"/>
        </w:rPr>
        <w:t>crucial</w:t>
      </w:r>
      <w:r w:rsidRPr="007A0780">
        <w:rPr>
          <w:rFonts w:ascii="Times New Roman" w:hAnsi="Times New Roman" w:cs="Times New Roman"/>
        </w:rPr>
        <w:t xml:space="preserve"> role, being implicated in the disproportionate reduction of fetal weight observed in IUGR </w:t>
      </w:r>
      <w:r w:rsidRPr="00E86F27">
        <w:rPr>
          <w:rFonts w:ascii="Times New Roman" w:hAnsi="Times New Roman" w:cs="Times New Roman"/>
          <w:b/>
          <w:bCs/>
          <w:color w:val="EE0000"/>
          <w:sz w:val="24"/>
          <w:szCs w:val="24"/>
          <w:vertAlign w:val="superscript"/>
        </w:rPr>
        <w:t>11,13</w:t>
      </w:r>
      <w:r w:rsidRPr="007A0780">
        <w:rPr>
          <w:rFonts w:ascii="Times New Roman" w:hAnsi="Times New Roman" w:cs="Times New Roman"/>
        </w:rPr>
        <w:t xml:space="preserve">. </w:t>
      </w:r>
      <w:r w:rsidR="00E86F27" w:rsidRPr="00E86F27">
        <w:rPr>
          <w:rFonts w:ascii="Times New Roman" w:hAnsi="Times New Roman" w:cs="Times New Roman"/>
          <w:highlight w:val="yellow"/>
        </w:rPr>
        <w:t>The placental disease is a cardinal factor among IUGR underlying processes.</w:t>
      </w:r>
      <w:r w:rsidR="00E86F27" w:rsidRPr="00E86F27">
        <w:rPr>
          <w:rFonts w:ascii="Times New Roman" w:hAnsi="Times New Roman" w:cs="Times New Roman"/>
          <w:b/>
          <w:bCs/>
          <w:color w:val="EE0000"/>
          <w:sz w:val="24"/>
          <w:szCs w:val="24"/>
          <w:highlight w:val="yellow"/>
          <w:vertAlign w:val="superscript"/>
        </w:rPr>
        <w:t>23</w:t>
      </w:r>
      <w:r w:rsidR="00E86F27" w:rsidRPr="00E86F27">
        <w:rPr>
          <w:rFonts w:ascii="Times New Roman" w:hAnsi="Times New Roman" w:cs="Times New Roman"/>
          <w:color w:val="EE0000"/>
        </w:rPr>
        <w:t xml:space="preserve"> </w:t>
      </w:r>
      <w:r w:rsidRPr="007A0780">
        <w:rPr>
          <w:rFonts w:ascii="Times New Roman" w:hAnsi="Times New Roman" w:cs="Times New Roman"/>
        </w:rPr>
        <w:t>The placenta, a vital organ of perinatal life, is unique in that it can be examined directly without risk to the mother or baby. Yet, despite being one of the most accessible organs for study, it remains one of the least understood</w:t>
      </w:r>
      <w:r w:rsidR="00E86F27">
        <w:rPr>
          <w:rFonts w:ascii="Times New Roman" w:hAnsi="Times New Roman" w:cs="Times New Roman"/>
        </w:rPr>
        <w:t xml:space="preserve"> </w:t>
      </w:r>
      <w:r w:rsidRPr="00E86F27">
        <w:rPr>
          <w:rFonts w:ascii="Times New Roman" w:hAnsi="Times New Roman" w:cs="Times New Roman"/>
          <w:b/>
          <w:bCs/>
          <w:color w:val="EE0000"/>
          <w:sz w:val="24"/>
          <w:szCs w:val="24"/>
          <w:vertAlign w:val="superscript"/>
        </w:rPr>
        <w:t>14–16</w:t>
      </w:r>
      <w:r w:rsidRPr="007A0780">
        <w:rPr>
          <w:rFonts w:ascii="Times New Roman" w:hAnsi="Times New Roman" w:cs="Times New Roman"/>
        </w:rPr>
        <w:t>. Against this background, the present study was undertaken to evaluate the morphological and histopathological changes of the placenta in pregnancies complicated by IUGR.</w:t>
      </w:r>
      <w:r w:rsidRPr="007A0780">
        <w:rPr>
          <w:rFonts w:ascii="Times New Roman" w:hAnsi="Times New Roman" w:cs="Times New Roman"/>
        </w:rPr>
        <w:tab/>
      </w:r>
    </w:p>
    <w:p w14:paraId="460DF3AD" w14:textId="77777777" w:rsidR="00E86F27" w:rsidRDefault="00E86F27" w:rsidP="007A0780">
      <w:pPr>
        <w:spacing w:after="0" w:line="276" w:lineRule="auto"/>
        <w:jc w:val="both"/>
        <w:rPr>
          <w:rFonts w:ascii="Times New Roman" w:hAnsi="Times New Roman" w:cs="Times New Roman"/>
        </w:rPr>
      </w:pPr>
    </w:p>
    <w:p w14:paraId="3CB11FC5" w14:textId="18F14370" w:rsidR="007A0780" w:rsidRPr="00AF7305" w:rsidRDefault="007A0780" w:rsidP="007A0780">
      <w:pPr>
        <w:spacing w:after="0" w:line="276" w:lineRule="auto"/>
        <w:jc w:val="both"/>
        <w:rPr>
          <w:rFonts w:ascii="Times New Roman" w:hAnsi="Times New Roman" w:cs="Times New Roman"/>
        </w:rPr>
      </w:pPr>
      <w:r w:rsidRPr="007A0780">
        <w:rPr>
          <w:rFonts w:ascii="Times New Roman" w:hAnsi="Times New Roman" w:cs="Times New Roman"/>
        </w:rPr>
        <w:t xml:space="preserve">In this study, the majority of patients were </w:t>
      </w:r>
      <w:r w:rsidRPr="007A0780">
        <w:rPr>
          <w:rFonts w:ascii="Times New Roman" w:hAnsi="Times New Roman" w:cs="Times New Roman"/>
          <w:b/>
          <w:bCs/>
        </w:rPr>
        <w:t>aged 21–25 years</w:t>
      </w:r>
      <w:r w:rsidRPr="007A0780">
        <w:rPr>
          <w:rFonts w:ascii="Times New Roman" w:hAnsi="Times New Roman" w:cs="Times New Roman"/>
        </w:rPr>
        <w:t xml:space="preserve">, with </w:t>
      </w:r>
      <w:r w:rsidRPr="00AF7305">
        <w:rPr>
          <w:rFonts w:ascii="Times New Roman" w:hAnsi="Times New Roman" w:cs="Times New Roman"/>
        </w:rPr>
        <w:t xml:space="preserve">most deliveries </w:t>
      </w:r>
      <w:r w:rsidR="00E86F27">
        <w:rPr>
          <w:rFonts w:ascii="Times New Roman" w:hAnsi="Times New Roman" w:cs="Times New Roman"/>
        </w:rPr>
        <w:t xml:space="preserve">took place </w:t>
      </w:r>
      <w:r w:rsidRPr="00AF7305">
        <w:rPr>
          <w:rFonts w:ascii="Times New Roman" w:hAnsi="Times New Roman" w:cs="Times New Roman"/>
        </w:rPr>
        <w:t>at term (38–42 weeks). All were live births with favorable outcomes, likely due to good obstetric and NICU care.</w:t>
      </w:r>
    </w:p>
    <w:p w14:paraId="721C94FE" w14:textId="77777777" w:rsidR="007A0780" w:rsidRPr="00AF7305" w:rsidRDefault="007A0780" w:rsidP="007A0780">
      <w:pPr>
        <w:spacing w:after="0" w:line="276" w:lineRule="auto"/>
        <w:jc w:val="both"/>
        <w:rPr>
          <w:rFonts w:ascii="Times New Roman" w:hAnsi="Times New Roman" w:cs="Times New Roman"/>
        </w:rPr>
      </w:pPr>
    </w:p>
    <w:p w14:paraId="4D8CB89A" w14:textId="6716EC27" w:rsidR="007A0780" w:rsidRPr="00BE79EB" w:rsidRDefault="007A0780" w:rsidP="007A0780">
      <w:pPr>
        <w:spacing w:after="0" w:line="276" w:lineRule="auto"/>
        <w:jc w:val="both"/>
        <w:rPr>
          <w:rFonts w:ascii="Times New Roman" w:hAnsi="Times New Roman" w:cs="Times New Roman"/>
        </w:rPr>
      </w:pPr>
      <w:r w:rsidRPr="00BE79EB">
        <w:rPr>
          <w:rFonts w:ascii="Times New Roman" w:hAnsi="Times New Roman" w:cs="Times New Roman"/>
          <w:b/>
          <w:bCs/>
        </w:rPr>
        <w:t>Birth weight</w:t>
      </w:r>
      <w:r w:rsidRPr="00BE79EB">
        <w:rPr>
          <w:rFonts w:ascii="Times New Roman" w:hAnsi="Times New Roman" w:cs="Times New Roman"/>
        </w:rPr>
        <w:t xml:space="preserve"> was 1.5–2.5 kg in </w:t>
      </w:r>
      <w:r w:rsidRPr="00BE79EB">
        <w:rPr>
          <w:rFonts w:ascii="Times New Roman" w:hAnsi="Times New Roman" w:cs="Times New Roman"/>
          <w:b/>
          <w:bCs/>
        </w:rPr>
        <w:t>62.6%</w:t>
      </w:r>
      <w:r w:rsidRPr="00BE79EB">
        <w:rPr>
          <w:rFonts w:ascii="Times New Roman" w:hAnsi="Times New Roman" w:cs="Times New Roman"/>
        </w:rPr>
        <w:t xml:space="preserve"> cases, comparable to previous studies</w:t>
      </w:r>
      <w:r w:rsidRPr="00E86F27">
        <w:rPr>
          <w:rFonts w:ascii="Times New Roman" w:hAnsi="Times New Roman" w:cs="Times New Roman"/>
          <w:b/>
          <w:bCs/>
          <w:color w:val="EE0000"/>
          <w:sz w:val="24"/>
          <w:szCs w:val="24"/>
          <w:vertAlign w:val="superscript"/>
        </w:rPr>
        <w:t>17</w:t>
      </w:r>
      <w:r w:rsidRPr="00BE79EB">
        <w:rPr>
          <w:rFonts w:ascii="Times New Roman" w:hAnsi="Times New Roman" w:cs="Times New Roman"/>
        </w:rPr>
        <w:t>. APGAR scores were satisfactory in over 90% at 5 minutes. Maternal complications included severe pre-eclampsia (5.3%), GDM (4%), and gestational hypertension (4%). Although gestational hypertension was observed more frequently in IUGR pregnancies compared to normal pregnancies, the difference was not statistically significant. In the study by Sujatha C et al.</w:t>
      </w:r>
      <w:r w:rsidRPr="00E86F27">
        <w:rPr>
          <w:rFonts w:ascii="Times New Roman" w:hAnsi="Times New Roman" w:cs="Times New Roman"/>
          <w:b/>
          <w:bCs/>
          <w:color w:val="EE0000"/>
          <w:sz w:val="24"/>
          <w:szCs w:val="24"/>
          <w:vertAlign w:val="superscript"/>
        </w:rPr>
        <w:t>19</w:t>
      </w:r>
      <w:r w:rsidRPr="00BE79EB">
        <w:rPr>
          <w:rFonts w:ascii="Times New Roman" w:hAnsi="Times New Roman" w:cs="Times New Roman"/>
        </w:rPr>
        <w:t>, analysis of 40 IUGR placentae showed that 50% were associated with GHTN, 7.5% each with anemia, polyhydramnios, oligohydramnios, and heart disease, while 20% were attributed to idiopathic causes.</w:t>
      </w:r>
    </w:p>
    <w:p w14:paraId="2A92CE2E" w14:textId="77777777" w:rsidR="007A0780" w:rsidRPr="00BE79EB" w:rsidRDefault="007A0780" w:rsidP="007A0780">
      <w:pPr>
        <w:spacing w:after="0" w:line="276" w:lineRule="auto"/>
        <w:jc w:val="both"/>
        <w:rPr>
          <w:rFonts w:ascii="Times New Roman" w:hAnsi="Times New Roman" w:cs="Times New Roman"/>
        </w:rPr>
      </w:pPr>
      <w:r w:rsidRPr="00BE79EB">
        <w:rPr>
          <w:rFonts w:ascii="Times New Roman" w:hAnsi="Times New Roman" w:cs="Times New Roman"/>
        </w:rPr>
        <w:tab/>
      </w:r>
      <w:r w:rsidRPr="00BE79EB">
        <w:rPr>
          <w:rFonts w:ascii="Times New Roman" w:hAnsi="Times New Roman" w:cs="Times New Roman"/>
        </w:rPr>
        <w:tab/>
      </w:r>
    </w:p>
    <w:p w14:paraId="5CFC7335" w14:textId="796FA705"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b/>
          <w:bCs/>
        </w:rPr>
        <w:t>Placental weight</w:t>
      </w:r>
      <w:r w:rsidRPr="00AF7305">
        <w:rPr>
          <w:rFonts w:ascii="Times New Roman" w:hAnsi="Times New Roman" w:cs="Times New Roman"/>
        </w:rPr>
        <w:t xml:space="preserve"> was 450–550 g in 70.7% cases, aligning with earlier reports</w:t>
      </w:r>
      <w:r>
        <w:rPr>
          <w:rFonts w:ascii="Times New Roman" w:hAnsi="Times New Roman" w:cs="Times New Roman"/>
        </w:rPr>
        <w:t xml:space="preserve"> </w:t>
      </w:r>
      <w:r w:rsidRPr="006D685E">
        <w:rPr>
          <w:rFonts w:ascii="Times New Roman" w:hAnsi="Times New Roman" w:cs="Times New Roman"/>
          <w:b/>
          <w:bCs/>
          <w:color w:val="EE0000"/>
          <w:sz w:val="24"/>
          <w:szCs w:val="24"/>
          <w:vertAlign w:val="superscript"/>
        </w:rPr>
        <w:t>6, 20</w:t>
      </w:r>
      <w:r w:rsidRPr="00BE79EB">
        <w:rPr>
          <w:rFonts w:ascii="Times New Roman" w:hAnsi="Times New Roman" w:cs="Times New Roman"/>
        </w:rPr>
        <w:t xml:space="preserve">. </w:t>
      </w:r>
      <w:r w:rsidRPr="00AF7305">
        <w:rPr>
          <w:rFonts w:ascii="Times New Roman" w:hAnsi="Times New Roman" w:cs="Times New Roman"/>
        </w:rPr>
        <w:t>In the study, placental weight estimated by ultrasound based on gestational age was compared with the actual placental weight, revealing a difference of about 70–80gm. It was also observed that placental weight corresponds to approximately one-fifth of the fetal weight.</w:t>
      </w:r>
      <w:r w:rsidR="00BE79EB">
        <w:rPr>
          <w:rFonts w:ascii="Times New Roman" w:hAnsi="Times New Roman" w:cs="Times New Roman"/>
        </w:rPr>
        <w:t xml:space="preserve"> </w:t>
      </w:r>
      <w:r w:rsidRPr="00AF7305">
        <w:rPr>
          <w:rFonts w:ascii="Times New Roman" w:hAnsi="Times New Roman" w:cs="Times New Roman"/>
        </w:rPr>
        <w:t>Placental disc thickness is an indirect measure of the extent of development of the nutrient exchange surface of the placenta essential to its successful support of fetal growth. Any abnormal change in the thickness either thin or thick placentae have been correlated to adverse pregnancy outcome</w:t>
      </w:r>
      <w:r>
        <w:rPr>
          <w:rFonts w:ascii="Times New Roman" w:hAnsi="Times New Roman" w:cs="Times New Roman"/>
        </w:rPr>
        <w:t xml:space="preserve"> </w:t>
      </w:r>
      <w:r w:rsidRPr="006D685E">
        <w:rPr>
          <w:rFonts w:ascii="Times New Roman" w:hAnsi="Times New Roman" w:cs="Times New Roman"/>
          <w:b/>
          <w:bCs/>
          <w:color w:val="EE0000"/>
          <w:sz w:val="24"/>
          <w:szCs w:val="24"/>
          <w:vertAlign w:val="superscript"/>
        </w:rPr>
        <w:t>8, 9, 14</w:t>
      </w:r>
      <w:r w:rsidR="006D685E">
        <w:rPr>
          <w:rFonts w:ascii="Times New Roman" w:hAnsi="Times New Roman" w:cs="Times New Roman"/>
        </w:rPr>
        <w:t>.</w:t>
      </w:r>
      <w:r w:rsidRPr="00BE79EB">
        <w:rPr>
          <w:rFonts w:ascii="Times New Roman" w:hAnsi="Times New Roman" w:cs="Times New Roman"/>
        </w:rPr>
        <w:t xml:space="preserve"> </w:t>
      </w:r>
      <w:r w:rsidRPr="00AF7305">
        <w:rPr>
          <w:rFonts w:ascii="Times New Roman" w:hAnsi="Times New Roman" w:cs="Times New Roman"/>
        </w:rPr>
        <w:t>Sawant LD et al</w:t>
      </w:r>
      <w:r w:rsidRPr="00AF7305">
        <w:rPr>
          <w:rFonts w:ascii="Times New Roman" w:hAnsi="Times New Roman" w:cs="Times New Roman"/>
          <w:color w:val="0070C0"/>
        </w:rPr>
        <w:t xml:space="preserve">. </w:t>
      </w:r>
      <w:r w:rsidRPr="006D685E">
        <w:rPr>
          <w:rFonts w:ascii="Times New Roman" w:hAnsi="Times New Roman" w:cs="Times New Roman"/>
          <w:b/>
          <w:bCs/>
          <w:color w:val="EE0000"/>
          <w:sz w:val="24"/>
          <w:szCs w:val="24"/>
          <w:vertAlign w:val="superscript"/>
        </w:rPr>
        <w:t xml:space="preserve">11 </w:t>
      </w:r>
      <w:r w:rsidRPr="00AF7305">
        <w:rPr>
          <w:rFonts w:ascii="Times New Roman" w:hAnsi="Times New Roman" w:cs="Times New Roman"/>
        </w:rPr>
        <w:t>reported that placental thickness is reduced in IUGR compared to normal fetuses.</w:t>
      </w:r>
      <w:r w:rsidR="00BE79EB">
        <w:rPr>
          <w:rFonts w:ascii="Times New Roman" w:hAnsi="Times New Roman" w:cs="Times New Roman"/>
        </w:rPr>
        <w:t xml:space="preserve"> </w:t>
      </w:r>
      <w:r w:rsidRPr="00AF7305">
        <w:rPr>
          <w:rFonts w:ascii="Times New Roman" w:hAnsi="Times New Roman" w:cs="Times New Roman"/>
          <w:b/>
          <w:bCs/>
        </w:rPr>
        <w:t>Placental thickness</w:t>
      </w:r>
      <w:r w:rsidR="00BE79EB">
        <w:rPr>
          <w:rFonts w:ascii="Times New Roman" w:hAnsi="Times New Roman" w:cs="Times New Roman"/>
          <w:b/>
          <w:bCs/>
        </w:rPr>
        <w:t xml:space="preserve"> </w:t>
      </w:r>
      <w:r w:rsidRPr="00AF7305">
        <w:rPr>
          <w:rFonts w:ascii="Times New Roman" w:hAnsi="Times New Roman" w:cs="Times New Roman"/>
        </w:rPr>
        <w:t xml:space="preserve">in this study was 35–45 mm (81.3%), and </w:t>
      </w:r>
      <w:r w:rsidRPr="00AF7305">
        <w:rPr>
          <w:rFonts w:ascii="Times New Roman" w:hAnsi="Times New Roman" w:cs="Times New Roman"/>
          <w:b/>
          <w:bCs/>
        </w:rPr>
        <w:t>umbilical cord insertion</w:t>
      </w:r>
      <w:r w:rsidRPr="00AF7305">
        <w:rPr>
          <w:rFonts w:ascii="Times New Roman" w:hAnsi="Times New Roman" w:cs="Times New Roman"/>
        </w:rPr>
        <w:t xml:space="preserve"> was </w:t>
      </w:r>
      <w:r w:rsidR="006D685E">
        <w:rPr>
          <w:rFonts w:ascii="Times New Roman" w:hAnsi="Times New Roman" w:cs="Times New Roman"/>
        </w:rPr>
        <w:t xml:space="preserve">found to be </w:t>
      </w:r>
      <w:r w:rsidRPr="00AF7305">
        <w:rPr>
          <w:rFonts w:ascii="Times New Roman" w:hAnsi="Times New Roman" w:cs="Times New Roman"/>
        </w:rPr>
        <w:t>predominantly central (98.7%) like in</w:t>
      </w:r>
      <w:r>
        <w:rPr>
          <w:rFonts w:ascii="Times New Roman" w:hAnsi="Times New Roman" w:cs="Times New Roman"/>
        </w:rPr>
        <w:t xml:space="preserve"> </w:t>
      </w:r>
      <w:r w:rsidRPr="00AF7305">
        <w:rPr>
          <w:rFonts w:ascii="Times New Roman" w:hAnsi="Times New Roman" w:cs="Times New Roman"/>
        </w:rPr>
        <w:t>Sawant LD et al</w:t>
      </w:r>
      <w:r w:rsidRPr="00BE79EB">
        <w:rPr>
          <w:rFonts w:ascii="Times New Roman" w:hAnsi="Times New Roman" w:cs="Times New Roman"/>
        </w:rPr>
        <w:t>.,</w:t>
      </w:r>
      <w:r w:rsidRPr="006D685E">
        <w:rPr>
          <w:rFonts w:ascii="Times New Roman" w:hAnsi="Times New Roman" w:cs="Times New Roman"/>
          <w:b/>
          <w:bCs/>
          <w:color w:val="EE0000"/>
          <w:sz w:val="24"/>
          <w:szCs w:val="24"/>
          <w:vertAlign w:val="superscript"/>
        </w:rPr>
        <w:t>11</w:t>
      </w:r>
      <w:r w:rsidRPr="00BE79EB">
        <w:rPr>
          <w:rFonts w:ascii="Times New Roman" w:hAnsi="Times New Roman" w:cs="Times New Roman"/>
        </w:rPr>
        <w:t>.</w:t>
      </w:r>
      <w:r w:rsidR="00BE79EB" w:rsidRPr="00BE79EB">
        <w:rPr>
          <w:rFonts w:ascii="Times New Roman" w:hAnsi="Times New Roman" w:cs="Times New Roman"/>
        </w:rPr>
        <w:t xml:space="preserve"> </w:t>
      </w:r>
      <w:r w:rsidRPr="00AF7305">
        <w:rPr>
          <w:rFonts w:ascii="Times New Roman" w:hAnsi="Times New Roman" w:cs="Times New Roman"/>
        </w:rPr>
        <w:t xml:space="preserve">In this study, </w:t>
      </w:r>
      <w:r w:rsidRPr="00AF7305">
        <w:rPr>
          <w:rFonts w:ascii="Times New Roman" w:hAnsi="Times New Roman" w:cs="Times New Roman"/>
          <w:b/>
          <w:bCs/>
        </w:rPr>
        <w:t>placental calcifications</w:t>
      </w:r>
      <w:r w:rsidRPr="00AF7305">
        <w:rPr>
          <w:rFonts w:ascii="Times New Roman" w:hAnsi="Times New Roman" w:cs="Times New Roman"/>
        </w:rPr>
        <w:t xml:space="preserve"> were observed in 53.3% of cases and hemorrhage/infarcts in 20%. Sawant LD et al</w:t>
      </w:r>
      <w:r w:rsidRPr="00BE79EB">
        <w:rPr>
          <w:rFonts w:ascii="Times New Roman" w:hAnsi="Times New Roman" w:cs="Times New Roman"/>
        </w:rPr>
        <w:t>.</w:t>
      </w:r>
      <w:r w:rsidRPr="006D685E">
        <w:rPr>
          <w:rFonts w:ascii="Times New Roman" w:hAnsi="Times New Roman" w:cs="Times New Roman"/>
          <w:b/>
          <w:bCs/>
          <w:color w:val="EE0000"/>
          <w:sz w:val="24"/>
          <w:szCs w:val="24"/>
          <w:vertAlign w:val="superscript"/>
        </w:rPr>
        <w:t>11</w:t>
      </w:r>
      <w:r w:rsidRPr="00AF7305">
        <w:rPr>
          <w:rFonts w:ascii="Times New Roman" w:hAnsi="Times New Roman" w:cs="Times New Roman"/>
        </w:rPr>
        <w:t xml:space="preserve"> also reported higher calcification in IUGR placentae (22%) compared to normal (19%), noting that calcifications in IUGR were denser and more extensive per cotyledon.</w:t>
      </w:r>
    </w:p>
    <w:p w14:paraId="5BDC9071" w14:textId="77777777" w:rsidR="007A0780" w:rsidRPr="00AF7305" w:rsidRDefault="007A0780" w:rsidP="007A0780">
      <w:pPr>
        <w:spacing w:after="0" w:line="276" w:lineRule="auto"/>
        <w:jc w:val="both"/>
        <w:rPr>
          <w:rFonts w:ascii="Times New Roman" w:hAnsi="Times New Roman" w:cs="Times New Roman"/>
        </w:rPr>
      </w:pPr>
    </w:p>
    <w:p w14:paraId="379E373D"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Overall, findings confirm that fetal growth restriction is associated with </w:t>
      </w:r>
      <w:r w:rsidRPr="006D685E">
        <w:rPr>
          <w:rFonts w:ascii="Times New Roman" w:hAnsi="Times New Roman" w:cs="Times New Roman"/>
          <w:b/>
          <w:bCs/>
        </w:rPr>
        <w:t>lower placental weight</w:t>
      </w:r>
      <w:r w:rsidRPr="00AF7305">
        <w:rPr>
          <w:rFonts w:ascii="Times New Roman" w:hAnsi="Times New Roman" w:cs="Times New Roman"/>
        </w:rPr>
        <w:t xml:space="preserve">, </w:t>
      </w:r>
      <w:r w:rsidRPr="006D685E">
        <w:rPr>
          <w:rFonts w:ascii="Times New Roman" w:hAnsi="Times New Roman" w:cs="Times New Roman"/>
          <w:b/>
          <w:bCs/>
        </w:rPr>
        <w:t>reduced thickness,</w:t>
      </w:r>
      <w:r w:rsidRPr="00AF7305">
        <w:rPr>
          <w:rFonts w:ascii="Times New Roman" w:hAnsi="Times New Roman" w:cs="Times New Roman"/>
        </w:rPr>
        <w:t xml:space="preserve"> calcifications, and cord abnormalities, consistent with previous studies.</w:t>
      </w:r>
    </w:p>
    <w:p w14:paraId="4BB9E01F" w14:textId="77777777" w:rsidR="007A0780" w:rsidRPr="00AF7305" w:rsidRDefault="007A0780" w:rsidP="007A0780">
      <w:pPr>
        <w:spacing w:after="0" w:line="276" w:lineRule="auto"/>
        <w:jc w:val="both"/>
        <w:rPr>
          <w:rFonts w:ascii="Times New Roman" w:hAnsi="Times New Roman" w:cs="Times New Roman"/>
        </w:rPr>
      </w:pPr>
    </w:p>
    <w:p w14:paraId="4DC0E603" w14:textId="0532C81D" w:rsidR="000A1253"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In this study, </w:t>
      </w:r>
      <w:r w:rsidR="006D685E">
        <w:rPr>
          <w:rFonts w:ascii="Times New Roman" w:hAnsi="Times New Roman" w:cs="Times New Roman"/>
        </w:rPr>
        <w:t xml:space="preserve">placental </w:t>
      </w:r>
      <w:r w:rsidRPr="006D685E">
        <w:rPr>
          <w:rFonts w:ascii="Times New Roman" w:hAnsi="Times New Roman" w:cs="Times New Roman"/>
        </w:rPr>
        <w:t>histopathology</w:t>
      </w:r>
      <w:r w:rsidRPr="00AF7305">
        <w:rPr>
          <w:rFonts w:ascii="Times New Roman" w:hAnsi="Times New Roman" w:cs="Times New Roman"/>
        </w:rPr>
        <w:t xml:space="preserve"> revealed </w:t>
      </w:r>
      <w:r w:rsidR="006D685E" w:rsidRPr="006D685E">
        <w:rPr>
          <w:rFonts w:ascii="Times New Roman" w:hAnsi="Times New Roman" w:cs="Times New Roman"/>
        </w:rPr>
        <w:t>significant</w:t>
      </w:r>
      <w:r w:rsidRPr="006D685E">
        <w:rPr>
          <w:rFonts w:ascii="Times New Roman" w:hAnsi="Times New Roman" w:cs="Times New Roman"/>
        </w:rPr>
        <w:t xml:space="preserve"> placental changes</w:t>
      </w:r>
      <w:r w:rsidR="006D685E">
        <w:rPr>
          <w:rFonts w:ascii="Times New Roman" w:hAnsi="Times New Roman" w:cs="Times New Roman"/>
        </w:rPr>
        <w:t xml:space="preserve"> especially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w:t>
      </w:r>
      <w:r w:rsidR="006D685E">
        <w:rPr>
          <w:rFonts w:ascii="Times New Roman" w:hAnsi="Times New Roman" w:cs="Times New Roman"/>
        </w:rPr>
        <w:t xml:space="preserve">in </w:t>
      </w:r>
      <w:r w:rsidRPr="00AF7305">
        <w:rPr>
          <w:rFonts w:ascii="Times New Roman" w:hAnsi="Times New Roman" w:cs="Times New Roman"/>
        </w:rPr>
        <w:t>97.3%</w:t>
      </w:r>
      <w:r w:rsidR="006D685E">
        <w:rPr>
          <w:rFonts w:ascii="Times New Roman" w:hAnsi="Times New Roman" w:cs="Times New Roman"/>
        </w:rPr>
        <w:t xml:space="preserve"> of cases</w:t>
      </w:r>
      <w:r w:rsidRPr="00AF7305">
        <w:rPr>
          <w:rFonts w:ascii="Times New Roman" w:hAnsi="Times New Roman" w:cs="Times New Roman"/>
        </w:rPr>
        <w:t xml:space="preserve">, syncytial knots (90.7%), focal </w:t>
      </w:r>
      <w:proofErr w:type="spellStart"/>
      <w:r w:rsidRPr="00AF7305">
        <w:rPr>
          <w:rFonts w:ascii="Times New Roman" w:hAnsi="Times New Roman" w:cs="Times New Roman"/>
        </w:rPr>
        <w:t>chorangiosis</w:t>
      </w:r>
      <w:proofErr w:type="spellEnd"/>
      <w:r w:rsidRPr="00AF7305">
        <w:rPr>
          <w:rFonts w:ascii="Times New Roman" w:hAnsi="Times New Roman" w:cs="Times New Roman"/>
        </w:rPr>
        <w:t xml:space="preserve"> (82.7%), intervillous thrombi/hematoma (48%), villitis (36%), villous infarction (25.3%), stromal fibrosis (16%), cytotrophoblast proliferation (14.7%), and thickened villous trophoblastic basal membrane (10.7%).</w:t>
      </w:r>
    </w:p>
    <w:p w14:paraId="1DBC6024" w14:textId="77777777" w:rsidR="00FA33FB" w:rsidRDefault="00FA33FB" w:rsidP="007A0780">
      <w:pPr>
        <w:spacing w:after="0" w:line="276" w:lineRule="auto"/>
        <w:jc w:val="both"/>
        <w:rPr>
          <w:rFonts w:ascii="Times New Roman" w:hAnsi="Times New Roman" w:cs="Times New Roman"/>
        </w:rPr>
      </w:pPr>
    </w:p>
    <w:p w14:paraId="5B5CBA2C" w14:textId="335D4F6A"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Other studies have reported similar findings with varying frequencies:</w:t>
      </w:r>
    </w:p>
    <w:p w14:paraId="0F5F1549" w14:textId="4001261E"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AF7305">
        <w:rPr>
          <w:rFonts w:ascii="Times New Roman" w:hAnsi="Times New Roman" w:cs="Times New Roman"/>
          <w:b/>
          <w:bCs/>
        </w:rPr>
        <w:t>Gunyeli</w:t>
      </w:r>
      <w:proofErr w:type="spellEnd"/>
      <w:r w:rsidRPr="00AF7305">
        <w:rPr>
          <w:rFonts w:ascii="Times New Roman" w:hAnsi="Times New Roman" w:cs="Times New Roman"/>
          <w:b/>
          <w:bCs/>
        </w:rPr>
        <w:t xml:space="preserve"> L et al</w:t>
      </w:r>
      <w:r w:rsidRPr="00BE79EB">
        <w:rPr>
          <w:rFonts w:ascii="Times New Roman" w:hAnsi="Times New Roman" w:cs="Times New Roman"/>
          <w:b/>
          <w:bCs/>
        </w:rPr>
        <w:t xml:space="preserve">. </w:t>
      </w:r>
      <w:r w:rsidRPr="006D685E">
        <w:rPr>
          <w:rFonts w:ascii="Times New Roman" w:hAnsi="Times New Roman" w:cs="Times New Roman"/>
          <w:b/>
          <w:bCs/>
          <w:color w:val="EE0000"/>
          <w:sz w:val="24"/>
          <w:szCs w:val="24"/>
          <w:vertAlign w:val="superscript"/>
        </w:rPr>
        <w:t>5</w:t>
      </w:r>
      <w:r w:rsidRPr="00BE79EB">
        <w:rPr>
          <w:rFonts w:ascii="Times New Roman" w:hAnsi="Times New Roman" w:cs="Times New Roman"/>
        </w:rPr>
        <w:t xml:space="preserve"> </w:t>
      </w:r>
      <w:r w:rsidRPr="00AF7305">
        <w:rPr>
          <w:rFonts w:ascii="Times New Roman" w:hAnsi="Times New Roman" w:cs="Times New Roman"/>
        </w:rPr>
        <w:t xml:space="preserve">– chorionic villitis (69%), intravascular thrombi (31%),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fibrin/fibrinoid necrosis (65%).</w:t>
      </w:r>
    </w:p>
    <w:p w14:paraId="4DC04931" w14:textId="799FF9A1"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AF7305">
        <w:rPr>
          <w:rFonts w:ascii="Times New Roman" w:hAnsi="Times New Roman" w:cs="Times New Roman"/>
          <w:b/>
          <w:bCs/>
        </w:rPr>
        <w:t>Ghomian</w:t>
      </w:r>
      <w:proofErr w:type="spellEnd"/>
      <w:r w:rsidRPr="00AF7305">
        <w:rPr>
          <w:rFonts w:ascii="Times New Roman" w:hAnsi="Times New Roman" w:cs="Times New Roman"/>
          <w:b/>
          <w:bCs/>
        </w:rPr>
        <w:t xml:space="preserve"> N et al</w:t>
      </w:r>
      <w:r w:rsidRPr="00BE79EB">
        <w:rPr>
          <w:rFonts w:ascii="Times New Roman" w:hAnsi="Times New Roman" w:cs="Times New Roman"/>
          <w:b/>
          <w:bCs/>
        </w:rPr>
        <w:t xml:space="preserve">. </w:t>
      </w:r>
      <w:r w:rsidRPr="006D685E">
        <w:rPr>
          <w:rFonts w:ascii="Times New Roman" w:hAnsi="Times New Roman" w:cs="Times New Roman"/>
          <w:b/>
          <w:bCs/>
          <w:color w:val="EE0000"/>
          <w:sz w:val="24"/>
          <w:szCs w:val="24"/>
          <w:vertAlign w:val="superscript"/>
        </w:rPr>
        <w:t xml:space="preserve">6 </w:t>
      </w:r>
      <w:r w:rsidRPr="00AF7305">
        <w:rPr>
          <w:rFonts w:ascii="Times New Roman" w:hAnsi="Times New Roman" w:cs="Times New Roman"/>
        </w:rPr>
        <w:t>– microscopic infarction (52.1%), thrombosis (34.7%), avascular villi (30.4%), ischemia (21.7%), intervillous fibrinoid deposition &gt;10% (43.5%).</w:t>
      </w:r>
    </w:p>
    <w:p w14:paraId="64C4B510" w14:textId="6854891B"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AF7305">
        <w:rPr>
          <w:rFonts w:ascii="Times New Roman" w:hAnsi="Times New Roman" w:cs="Times New Roman"/>
          <w:b/>
          <w:bCs/>
        </w:rPr>
        <w:t>Park SY et al</w:t>
      </w:r>
      <w:r w:rsidRPr="00BE79EB">
        <w:rPr>
          <w:rFonts w:ascii="Times New Roman" w:hAnsi="Times New Roman" w:cs="Times New Roman"/>
          <w:b/>
          <w:bCs/>
        </w:rPr>
        <w:t xml:space="preserve">. </w:t>
      </w:r>
      <w:r w:rsidRPr="006D685E">
        <w:rPr>
          <w:rFonts w:ascii="Times New Roman" w:hAnsi="Times New Roman" w:cs="Times New Roman"/>
          <w:b/>
          <w:bCs/>
          <w:color w:val="EE0000"/>
          <w:sz w:val="24"/>
          <w:szCs w:val="24"/>
          <w:vertAlign w:val="superscript"/>
        </w:rPr>
        <w:t>18</w:t>
      </w:r>
      <w:r w:rsidR="006D685E" w:rsidRPr="006D685E">
        <w:rPr>
          <w:rFonts w:ascii="Times New Roman" w:hAnsi="Times New Roman" w:cs="Times New Roman"/>
          <w:b/>
          <w:bCs/>
          <w:color w:val="EE0000"/>
          <w:sz w:val="24"/>
          <w:szCs w:val="24"/>
          <w:vertAlign w:val="superscript"/>
        </w:rPr>
        <w:t xml:space="preserve"> </w:t>
      </w:r>
      <w:r w:rsidRPr="00AF7305">
        <w:rPr>
          <w:rFonts w:ascii="Times New Roman" w:hAnsi="Times New Roman" w:cs="Times New Roman"/>
        </w:rPr>
        <w:t xml:space="preserve">– decidual vasculopathy (31.1%), multiple/severe infarcts, villous fibrosis (31.1%), syncytial knots (86.7%),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w:t>
      </w:r>
    </w:p>
    <w:p w14:paraId="696325F7" w14:textId="7FB9B238"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BE79EB">
        <w:rPr>
          <w:rFonts w:ascii="Times New Roman" w:hAnsi="Times New Roman" w:cs="Times New Roman"/>
          <w:b/>
          <w:bCs/>
        </w:rPr>
        <w:t>Kotgirwar</w:t>
      </w:r>
      <w:proofErr w:type="spellEnd"/>
      <w:r w:rsidRPr="00BE79EB">
        <w:rPr>
          <w:rFonts w:ascii="Times New Roman" w:hAnsi="Times New Roman" w:cs="Times New Roman"/>
          <w:b/>
          <w:bCs/>
        </w:rPr>
        <w:t xml:space="preserve"> S et al. </w:t>
      </w:r>
      <w:r w:rsidRPr="006D685E">
        <w:rPr>
          <w:rFonts w:ascii="Times New Roman" w:hAnsi="Times New Roman" w:cs="Times New Roman"/>
          <w:b/>
          <w:bCs/>
          <w:color w:val="EE0000"/>
          <w:sz w:val="24"/>
          <w:szCs w:val="24"/>
          <w:vertAlign w:val="superscript"/>
        </w:rPr>
        <w:t>20</w:t>
      </w:r>
      <w:r w:rsidRPr="00BE79EB">
        <w:rPr>
          <w:rFonts w:ascii="Times New Roman" w:hAnsi="Times New Roman" w:cs="Times New Roman"/>
        </w:rPr>
        <w:t xml:space="preserve"> – syncytial knots &gt;30% (60%), fibrinoid necrosis &gt;5% (46.7%), calcification (60%).</w:t>
      </w:r>
    </w:p>
    <w:p w14:paraId="1BB457F0" w14:textId="4DAE05EA"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Shrivastava N et al. </w:t>
      </w:r>
      <w:r w:rsidRPr="006D685E">
        <w:rPr>
          <w:rFonts w:ascii="Times New Roman" w:hAnsi="Times New Roman" w:cs="Times New Roman"/>
          <w:b/>
          <w:bCs/>
          <w:color w:val="EE0000"/>
          <w:sz w:val="24"/>
          <w:szCs w:val="24"/>
          <w:vertAlign w:val="superscript"/>
        </w:rPr>
        <w:t>17</w:t>
      </w:r>
      <w:r w:rsidRPr="00BE79EB">
        <w:rPr>
          <w:rFonts w:ascii="Times New Roman" w:hAnsi="Times New Roman" w:cs="Times New Roman"/>
        </w:rPr>
        <w:t xml:space="preserve"> – syncytial knots (84.5%), fibrinoid necrosis (28.5%), hyalinization (50.5%), calcific areas in IUGR (76%).</w:t>
      </w:r>
    </w:p>
    <w:p w14:paraId="709E588B" w14:textId="4ADAE30C"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lastRenderedPageBreak/>
        <w:t xml:space="preserve">Sawant LD et al. </w:t>
      </w:r>
      <w:r w:rsidRPr="006D685E">
        <w:rPr>
          <w:rFonts w:ascii="Times New Roman" w:hAnsi="Times New Roman" w:cs="Times New Roman"/>
          <w:b/>
          <w:bCs/>
          <w:color w:val="EE0000"/>
          <w:sz w:val="24"/>
          <w:szCs w:val="24"/>
          <w:vertAlign w:val="superscript"/>
        </w:rPr>
        <w:t>11</w:t>
      </w:r>
      <w:r w:rsidRPr="00BE79EB">
        <w:rPr>
          <w:rFonts w:ascii="Times New Roman" w:hAnsi="Times New Roman" w:cs="Times New Roman"/>
        </w:rPr>
        <w:t xml:space="preserve"> – nonspecific villitis, loss of vascular bed, ischemia/infarcts, more pronounced with hypertension and </w:t>
      </w:r>
      <w:proofErr w:type="spellStart"/>
      <w:r w:rsidRPr="00BE79EB">
        <w:rPr>
          <w:rFonts w:ascii="Times New Roman" w:hAnsi="Times New Roman" w:cs="Times New Roman"/>
        </w:rPr>
        <w:t>toxaemia</w:t>
      </w:r>
      <w:proofErr w:type="spellEnd"/>
      <w:r w:rsidRPr="00BE79EB">
        <w:rPr>
          <w:rFonts w:ascii="Times New Roman" w:hAnsi="Times New Roman" w:cs="Times New Roman"/>
        </w:rPr>
        <w:t>.</w:t>
      </w:r>
    </w:p>
    <w:p w14:paraId="05B7BBD8" w14:textId="583062B1"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Kavita M et al. </w:t>
      </w:r>
      <w:r w:rsidRPr="006D685E">
        <w:rPr>
          <w:rFonts w:ascii="Times New Roman" w:hAnsi="Times New Roman" w:cs="Times New Roman"/>
          <w:b/>
          <w:bCs/>
          <w:color w:val="EE0000"/>
          <w:sz w:val="24"/>
          <w:szCs w:val="24"/>
          <w:vertAlign w:val="superscript"/>
        </w:rPr>
        <w:t>22</w:t>
      </w:r>
      <w:r w:rsidRPr="00BE79EB">
        <w:rPr>
          <w:rFonts w:ascii="Times New Roman" w:hAnsi="Times New Roman" w:cs="Times New Roman"/>
        </w:rPr>
        <w:t xml:space="preserve"> – </w:t>
      </w:r>
      <w:proofErr w:type="spellStart"/>
      <w:r w:rsidRPr="00BE79EB">
        <w:rPr>
          <w:rFonts w:ascii="Times New Roman" w:hAnsi="Times New Roman" w:cs="Times New Roman"/>
        </w:rPr>
        <w:t>perivillous</w:t>
      </w:r>
      <w:proofErr w:type="spellEnd"/>
      <w:r w:rsidRPr="00BE79EB">
        <w:rPr>
          <w:rFonts w:ascii="Times New Roman" w:hAnsi="Times New Roman" w:cs="Times New Roman"/>
        </w:rPr>
        <w:t xml:space="preserve"> fibrin (64%), syncytial knots (64%), stromal fibrosis (65%), </w:t>
      </w:r>
      <w:proofErr w:type="spellStart"/>
      <w:r w:rsidRPr="00BE79EB">
        <w:rPr>
          <w:rFonts w:ascii="Times New Roman" w:hAnsi="Times New Roman" w:cs="Times New Roman"/>
        </w:rPr>
        <w:t>cytotrophoblastic</w:t>
      </w:r>
      <w:proofErr w:type="spellEnd"/>
      <w:r w:rsidRPr="00BE79EB">
        <w:rPr>
          <w:rFonts w:ascii="Times New Roman" w:hAnsi="Times New Roman" w:cs="Times New Roman"/>
        </w:rPr>
        <w:t xml:space="preserve"> hyperplasia (44%), basement membrane thickening (40%), </w:t>
      </w:r>
      <w:proofErr w:type="spellStart"/>
      <w:r w:rsidRPr="00BE79EB">
        <w:rPr>
          <w:rFonts w:ascii="Times New Roman" w:hAnsi="Times New Roman" w:cs="Times New Roman"/>
        </w:rPr>
        <w:t>hypovascular</w:t>
      </w:r>
      <w:proofErr w:type="spellEnd"/>
      <w:r w:rsidRPr="00BE79EB">
        <w:rPr>
          <w:rFonts w:ascii="Times New Roman" w:hAnsi="Times New Roman" w:cs="Times New Roman"/>
        </w:rPr>
        <w:t xml:space="preserve"> villi (32%), infarction (28%).</w:t>
      </w:r>
    </w:p>
    <w:p w14:paraId="74ADFDF2" w14:textId="6453301F"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BE79EB">
        <w:rPr>
          <w:rFonts w:ascii="Times New Roman" w:hAnsi="Times New Roman" w:cs="Times New Roman"/>
          <w:b/>
          <w:bCs/>
        </w:rPr>
        <w:t>Khajuria</w:t>
      </w:r>
      <w:proofErr w:type="spellEnd"/>
      <w:r w:rsidRPr="00BE79EB">
        <w:rPr>
          <w:rFonts w:ascii="Times New Roman" w:hAnsi="Times New Roman" w:cs="Times New Roman"/>
          <w:b/>
          <w:bCs/>
        </w:rPr>
        <w:t xml:space="preserve"> R et al. </w:t>
      </w:r>
      <w:r w:rsidRPr="006D685E">
        <w:rPr>
          <w:rFonts w:ascii="Times New Roman" w:hAnsi="Times New Roman" w:cs="Times New Roman"/>
          <w:b/>
          <w:bCs/>
          <w:color w:val="EE0000"/>
          <w:sz w:val="24"/>
          <w:szCs w:val="24"/>
          <w:vertAlign w:val="superscript"/>
        </w:rPr>
        <w:t>21</w:t>
      </w:r>
      <w:r w:rsidRPr="00BE79EB">
        <w:rPr>
          <w:rFonts w:ascii="Times New Roman" w:hAnsi="Times New Roman" w:cs="Times New Roman"/>
        </w:rPr>
        <w:t xml:space="preserve"> – infarction, intervillous thrombosis, villitis, fibrinoid necrosis, villous edema.</w:t>
      </w:r>
    </w:p>
    <w:p w14:paraId="51F41AC2" w14:textId="09AA62C0" w:rsidR="007A0780"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Sujatha C et al. </w:t>
      </w:r>
      <w:r w:rsidRPr="006D685E">
        <w:rPr>
          <w:rFonts w:ascii="Times New Roman" w:hAnsi="Times New Roman" w:cs="Times New Roman"/>
          <w:b/>
          <w:bCs/>
          <w:color w:val="EE0000"/>
          <w:sz w:val="24"/>
          <w:szCs w:val="24"/>
          <w:vertAlign w:val="superscript"/>
        </w:rPr>
        <w:t>19</w:t>
      </w:r>
      <w:r w:rsidRPr="00BE79EB">
        <w:rPr>
          <w:rFonts w:ascii="Times New Roman" w:hAnsi="Times New Roman" w:cs="Times New Roman"/>
        </w:rPr>
        <w:t xml:space="preserve"> – </w:t>
      </w:r>
      <w:proofErr w:type="spellStart"/>
      <w:r w:rsidRPr="00BE79EB">
        <w:rPr>
          <w:rFonts w:ascii="Times New Roman" w:hAnsi="Times New Roman" w:cs="Times New Roman"/>
        </w:rPr>
        <w:t>cytotrophoblastic</w:t>
      </w:r>
      <w:proofErr w:type="spellEnd"/>
      <w:r w:rsidRPr="00BE79EB">
        <w:rPr>
          <w:rFonts w:ascii="Times New Roman" w:hAnsi="Times New Roman" w:cs="Times New Roman"/>
        </w:rPr>
        <w:t xml:space="preserve"> </w:t>
      </w:r>
      <w:r w:rsidRPr="00AF7305">
        <w:rPr>
          <w:rFonts w:ascii="Times New Roman" w:hAnsi="Times New Roman" w:cs="Times New Roman"/>
        </w:rPr>
        <w:t xml:space="preserve">hyperplasia, abnormal villous vascularity, basement membrane thickening, fetal stem </w:t>
      </w:r>
      <w:proofErr w:type="spellStart"/>
      <w:r w:rsidRPr="00AF7305">
        <w:rPr>
          <w:rFonts w:ascii="Times New Roman" w:hAnsi="Times New Roman" w:cs="Times New Roman"/>
        </w:rPr>
        <w:t>atherosis</w:t>
      </w:r>
      <w:proofErr w:type="spellEnd"/>
      <w:r w:rsidRPr="00AF7305">
        <w:rPr>
          <w:rFonts w:ascii="Times New Roman" w:hAnsi="Times New Roman" w:cs="Times New Roman"/>
        </w:rPr>
        <w:t>, fibrinoid necrosis, syncytial knots, calcification.</w:t>
      </w:r>
    </w:p>
    <w:p w14:paraId="758CD888" w14:textId="0EEC883A" w:rsidR="006D685E" w:rsidRPr="00AF7305" w:rsidRDefault="006D685E" w:rsidP="00FA33FB">
      <w:pPr>
        <w:numPr>
          <w:ilvl w:val="0"/>
          <w:numId w:val="2"/>
        </w:numPr>
        <w:tabs>
          <w:tab w:val="clear" w:pos="720"/>
        </w:tabs>
        <w:spacing w:after="0" w:line="276" w:lineRule="auto"/>
        <w:ind w:left="540"/>
        <w:jc w:val="both"/>
        <w:rPr>
          <w:rFonts w:ascii="Times New Roman" w:hAnsi="Times New Roman" w:cs="Times New Roman"/>
        </w:rPr>
      </w:pPr>
      <w:r w:rsidRPr="006D685E">
        <w:rPr>
          <w:rFonts w:ascii="Times New Roman" w:hAnsi="Times New Roman" w:cs="Times New Roman"/>
        </w:rPr>
        <w:t>Abnormal placental bed biopsies were linked to abnormal uterine artery Doppler, while placental lesions like villous infarcts, cytotrophoblast proliferation, and thickened basal membranes were linked to abnormal umbilical artery Doppler.</w:t>
      </w:r>
      <w:r w:rsidRPr="006D685E">
        <w:rPr>
          <w:rFonts w:ascii="Times New Roman" w:hAnsi="Times New Roman" w:cs="Times New Roman"/>
          <w:b/>
          <w:bCs/>
          <w:color w:val="EE0000"/>
          <w:sz w:val="24"/>
          <w:szCs w:val="24"/>
          <w:vertAlign w:val="superscript"/>
        </w:rPr>
        <w:t>24</w:t>
      </w:r>
    </w:p>
    <w:p w14:paraId="5E937673" w14:textId="77777777" w:rsidR="006D685E" w:rsidRDefault="006D685E" w:rsidP="007A0780">
      <w:pPr>
        <w:spacing w:after="0" w:line="276" w:lineRule="auto"/>
        <w:jc w:val="both"/>
        <w:rPr>
          <w:rFonts w:ascii="Times New Roman" w:hAnsi="Times New Roman" w:cs="Times New Roman"/>
        </w:rPr>
      </w:pPr>
    </w:p>
    <w:p w14:paraId="29DF87F6" w14:textId="06CA07D1"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Overall, the </w:t>
      </w:r>
      <w:r w:rsidR="006D685E">
        <w:rPr>
          <w:rFonts w:ascii="Times New Roman" w:hAnsi="Times New Roman" w:cs="Times New Roman"/>
        </w:rPr>
        <w:t xml:space="preserve">placental histopathological </w:t>
      </w:r>
      <w:r w:rsidRPr="00AF7305">
        <w:rPr>
          <w:rFonts w:ascii="Times New Roman" w:hAnsi="Times New Roman" w:cs="Times New Roman"/>
        </w:rPr>
        <w:t>findings consistently demonstrate</w:t>
      </w:r>
      <w:r w:rsidR="006D685E">
        <w:rPr>
          <w:rFonts w:ascii="Times New Roman" w:hAnsi="Times New Roman" w:cs="Times New Roman"/>
        </w:rPr>
        <w:t>d</w:t>
      </w:r>
      <w:r w:rsidRPr="00AF7305">
        <w:rPr>
          <w:rFonts w:ascii="Times New Roman" w:hAnsi="Times New Roman" w:cs="Times New Roman"/>
        </w:rPr>
        <w:t xml:space="preserve"> that IUGR placentae show</w:t>
      </w:r>
      <w:r w:rsidR="006D685E">
        <w:rPr>
          <w:rFonts w:ascii="Times New Roman" w:hAnsi="Times New Roman" w:cs="Times New Roman"/>
        </w:rPr>
        <w:t>ed</w:t>
      </w:r>
      <w:r w:rsidRPr="00AF7305">
        <w:rPr>
          <w:rFonts w:ascii="Times New Roman" w:hAnsi="Times New Roman" w:cs="Times New Roman"/>
        </w:rPr>
        <w:t xml:space="preserve">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syncytial knotting, villitis, infarction, fibrosis, and vascular abnormalities, reflecting placental ischemia and impaired function.</w:t>
      </w:r>
    </w:p>
    <w:p w14:paraId="7F6F9F49"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ab/>
      </w:r>
    </w:p>
    <w:p w14:paraId="783EB930" w14:textId="77777777" w:rsidR="007A0780" w:rsidRPr="00AF7305" w:rsidRDefault="007A0780" w:rsidP="00BE79EB">
      <w:pPr>
        <w:spacing w:after="0" w:line="276" w:lineRule="auto"/>
        <w:jc w:val="both"/>
        <w:rPr>
          <w:rFonts w:ascii="Times New Roman" w:hAnsi="Times New Roman" w:cs="Times New Roman"/>
          <w:b/>
          <w:bCs/>
        </w:rPr>
      </w:pPr>
      <w:r w:rsidRPr="00AF7305">
        <w:rPr>
          <w:rFonts w:ascii="Times New Roman" w:hAnsi="Times New Roman" w:cs="Times New Roman"/>
          <w:b/>
          <w:bCs/>
        </w:rPr>
        <w:t>CONCLUSION</w:t>
      </w:r>
    </w:p>
    <w:p w14:paraId="1439922F" w14:textId="2E5FDD9F" w:rsidR="00C653B3" w:rsidRPr="00C653B3" w:rsidRDefault="007A0780" w:rsidP="00C653B3">
      <w:pPr>
        <w:spacing w:line="276" w:lineRule="auto"/>
        <w:jc w:val="both"/>
        <w:rPr>
          <w:rFonts w:ascii="Times New Roman" w:hAnsi="Times New Roman" w:cs="Times New Roman"/>
        </w:rPr>
      </w:pPr>
      <w:r w:rsidRPr="00AF7305">
        <w:rPr>
          <w:rFonts w:ascii="Times New Roman" w:hAnsi="Times New Roman" w:cs="Times New Roman"/>
        </w:rPr>
        <w:t>Fetal growth restriction (FGR) affects about 5–15% of pregnancies in the United States and Europe, while in developing countries the incidence ranges from 10–55%.</w:t>
      </w:r>
      <w:r w:rsidR="00824019" w:rsidRPr="00824019">
        <w:rPr>
          <w:rFonts w:ascii="Times New Roman" w:hAnsi="Times New Roman" w:cs="Times New Roman"/>
        </w:rPr>
        <w:t xml:space="preserve"> The IUGR </w:t>
      </w:r>
      <w:proofErr w:type="spellStart"/>
      <w:r w:rsidR="00824019" w:rsidRPr="00824019">
        <w:rPr>
          <w:rFonts w:ascii="Times New Roman" w:hAnsi="Times New Roman" w:cs="Times New Roman"/>
        </w:rPr>
        <w:t>foetuses</w:t>
      </w:r>
      <w:proofErr w:type="spellEnd"/>
      <w:r w:rsidR="00824019" w:rsidRPr="00824019">
        <w:rPr>
          <w:rFonts w:ascii="Times New Roman" w:hAnsi="Times New Roman" w:cs="Times New Roman"/>
        </w:rPr>
        <w:t xml:space="preserve"> are not only an increased risk of adverse perinatal outcomes but also long-term health complications in adulthood. </w:t>
      </w:r>
      <w:r w:rsidRPr="00AF7305">
        <w:rPr>
          <w:rFonts w:ascii="Times New Roman" w:hAnsi="Times New Roman" w:cs="Times New Roman"/>
        </w:rPr>
        <w:t xml:space="preserve"> </w:t>
      </w:r>
      <w:r w:rsidR="00C653B3" w:rsidRPr="00C653B3">
        <w:rPr>
          <w:rFonts w:ascii="Times New Roman" w:hAnsi="Times New Roman" w:cs="Times New Roman"/>
          <w:highlight w:val="yellow"/>
        </w:rPr>
        <w:t xml:space="preserve">The placental disease is a </w:t>
      </w:r>
      <w:r w:rsidR="006D685E" w:rsidRPr="00C653B3">
        <w:rPr>
          <w:rFonts w:ascii="Times New Roman" w:hAnsi="Times New Roman" w:cs="Times New Roman"/>
          <w:highlight w:val="yellow"/>
        </w:rPr>
        <w:t>key</w:t>
      </w:r>
      <w:r w:rsidR="00C653B3" w:rsidRPr="00C653B3">
        <w:rPr>
          <w:rFonts w:ascii="Times New Roman" w:hAnsi="Times New Roman" w:cs="Times New Roman"/>
          <w:highlight w:val="yellow"/>
        </w:rPr>
        <w:t xml:space="preserve"> factor among IUGR underlying processes.</w:t>
      </w:r>
      <w:r w:rsidR="00C653B3" w:rsidRPr="00C653B3">
        <w:rPr>
          <w:rFonts w:ascii="Times New Roman" w:hAnsi="Times New Roman" w:cs="Times New Roman"/>
        </w:rPr>
        <w:t xml:space="preserve"> </w:t>
      </w:r>
      <w:r w:rsidRPr="00AF7305">
        <w:rPr>
          <w:rFonts w:ascii="Times New Roman" w:hAnsi="Times New Roman" w:cs="Times New Roman"/>
        </w:rPr>
        <w:t xml:space="preserve">Examination of placental morphology and histopathology provides valuable insight into maternal and fetal health, as this study highlights that FGR can occur even in the absence of obvious risk factors. Significant reductions in fetoplacental weight and placental dimensions underscore the central role of placental pathology in idiopathic FGR. Overall, the histopathology findings indicate that IUGR placentae are characterized by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prominent syncytial knotting, villitis, infarction, fibrosis, and vascular abnormalities—changes that collectively reflect placental ischemia and impaired function.</w:t>
      </w:r>
      <w:r w:rsidR="00A63A03">
        <w:rPr>
          <w:rFonts w:ascii="Times New Roman" w:hAnsi="Times New Roman" w:cs="Times New Roman"/>
        </w:rPr>
        <w:t xml:space="preserve"> </w:t>
      </w:r>
      <w:r w:rsidRPr="00AF7305">
        <w:rPr>
          <w:rFonts w:ascii="Times New Roman" w:hAnsi="Times New Roman" w:cs="Times New Roman"/>
        </w:rPr>
        <w:t>Comprehensive evaluation of fetal growth should therefore include fetal biometry, amniotic fluid assessment, heart rate monitoring, Doppler studies of arterial and venous flow, and biophysical profiling, which together provide the most reliable assessment of fetal well-being in IUGR.</w:t>
      </w:r>
      <w:r w:rsidR="00C653B3" w:rsidRPr="00C653B3">
        <w:rPr>
          <w:rFonts w:ascii="Times New Roman" w:hAnsi="Times New Roman" w:cs="Times New Roman"/>
          <w:highlight w:val="yellow"/>
        </w:rPr>
        <w:t xml:space="preserve"> </w:t>
      </w:r>
      <w:r w:rsidR="008D106E">
        <w:rPr>
          <w:rFonts w:ascii="Times New Roman" w:hAnsi="Times New Roman" w:cs="Times New Roman"/>
          <w:highlight w:val="yellow"/>
        </w:rPr>
        <w:t>More importantly, t</w:t>
      </w:r>
      <w:r w:rsidR="00C653B3" w:rsidRPr="00C653B3">
        <w:rPr>
          <w:rFonts w:ascii="Times New Roman" w:hAnsi="Times New Roman" w:cs="Times New Roman"/>
          <w:highlight w:val="yellow"/>
        </w:rPr>
        <w:t>he distinctive placental Histopathological features in IUGR serve as predictors of future IUGR recurrence, thus offering early recognition of pregnancies that require "high-risk" antenatal care.</w:t>
      </w:r>
    </w:p>
    <w:p w14:paraId="5FD8BC0E" w14:textId="77777777" w:rsidR="00766900" w:rsidRDefault="00766900" w:rsidP="00BE79EB">
      <w:pPr>
        <w:spacing w:after="0" w:line="276" w:lineRule="auto"/>
        <w:jc w:val="both"/>
        <w:rPr>
          <w:rFonts w:ascii="Times New Roman" w:hAnsi="Times New Roman" w:cs="Times New Roman"/>
        </w:rPr>
      </w:pPr>
    </w:p>
    <w:p w14:paraId="352047E1" w14:textId="44140074" w:rsidR="00766900" w:rsidRPr="00766900" w:rsidRDefault="00766900" w:rsidP="00766900">
      <w:pPr>
        <w:spacing w:after="0" w:line="276" w:lineRule="auto"/>
        <w:jc w:val="both"/>
        <w:rPr>
          <w:rFonts w:ascii="Times New Roman" w:hAnsi="Times New Roman" w:cs="Times New Roman"/>
          <w:b/>
          <w:bCs/>
        </w:rPr>
      </w:pPr>
      <w:r>
        <w:rPr>
          <w:rFonts w:ascii="Times New Roman" w:hAnsi="Times New Roman" w:cs="Times New Roman"/>
          <w:b/>
          <w:bCs/>
        </w:rPr>
        <w:t xml:space="preserve">Ethical Clearance &amp; </w:t>
      </w:r>
      <w:r w:rsidRPr="00766900">
        <w:rPr>
          <w:rFonts w:ascii="Times New Roman" w:hAnsi="Times New Roman" w:cs="Times New Roman"/>
          <w:b/>
          <w:bCs/>
        </w:rPr>
        <w:t>Author Contributions:</w:t>
      </w:r>
    </w:p>
    <w:p w14:paraId="7DB10731" w14:textId="5B957539" w:rsidR="00766900" w:rsidRDefault="00766900" w:rsidP="00766900">
      <w:pPr>
        <w:spacing w:after="0" w:line="276" w:lineRule="auto"/>
        <w:jc w:val="both"/>
        <w:rPr>
          <w:rFonts w:ascii="Times New Roman" w:hAnsi="Times New Roman" w:cs="Times New Roman"/>
        </w:rPr>
      </w:pPr>
      <w:r w:rsidRPr="00766900">
        <w:rPr>
          <w:rFonts w:ascii="Times New Roman" w:hAnsi="Times New Roman" w:cs="Times New Roman"/>
        </w:rPr>
        <w:t>Ethical clearance for the study was obtained from the Institutional Ethics Committee. Both authors contributed to writing the manuscript and approved its final version for publication.”</w:t>
      </w:r>
    </w:p>
    <w:p w14:paraId="0FBEFD27" w14:textId="2D0274CC" w:rsidR="002F4578" w:rsidRDefault="002F4578" w:rsidP="00766900">
      <w:pPr>
        <w:spacing w:after="0" w:line="276" w:lineRule="auto"/>
        <w:jc w:val="both"/>
        <w:rPr>
          <w:rFonts w:ascii="Times New Roman" w:hAnsi="Times New Roman" w:cs="Times New Roman"/>
        </w:rPr>
      </w:pPr>
    </w:p>
    <w:p w14:paraId="1987C735" w14:textId="77777777" w:rsidR="002F4578" w:rsidRDefault="002F4578" w:rsidP="002F4578">
      <w:r>
        <w:t>Disclaimer (Artificial intelligence)</w:t>
      </w:r>
    </w:p>
    <w:p w14:paraId="08F20B3B" w14:textId="77777777" w:rsidR="002F4578" w:rsidRDefault="002F4578" w:rsidP="002F4578">
      <w:r>
        <w:t xml:space="preserve">Option 1: </w:t>
      </w:r>
    </w:p>
    <w:p w14:paraId="48A59B25" w14:textId="77777777" w:rsidR="002F4578" w:rsidRDefault="002F4578" w:rsidP="002F457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43DA393" w14:textId="77777777" w:rsidR="002F4578" w:rsidRDefault="002F4578" w:rsidP="002F4578">
      <w:r>
        <w:t xml:space="preserve">Option 2: </w:t>
      </w:r>
    </w:p>
    <w:p w14:paraId="1BB8FCAC" w14:textId="77777777" w:rsidR="002F4578" w:rsidRDefault="002F4578" w:rsidP="002F4578">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203CA" w14:textId="77777777" w:rsidR="002F4578" w:rsidRDefault="002F4578" w:rsidP="002F4578">
      <w:r>
        <w:t>Details of the AI usage are given below:</w:t>
      </w:r>
    </w:p>
    <w:p w14:paraId="081823CB" w14:textId="77777777" w:rsidR="002F4578" w:rsidRDefault="002F4578" w:rsidP="002F4578">
      <w:r>
        <w:t>1.</w:t>
      </w:r>
    </w:p>
    <w:p w14:paraId="2121DA32" w14:textId="77777777" w:rsidR="002F4578" w:rsidRDefault="002F4578" w:rsidP="002F4578">
      <w:r>
        <w:t>2.</w:t>
      </w:r>
    </w:p>
    <w:p w14:paraId="2ABC7387" w14:textId="77777777" w:rsidR="002F4578" w:rsidRPr="00D047BB" w:rsidRDefault="002F4578" w:rsidP="002F4578">
      <w:r>
        <w:t>3.</w:t>
      </w:r>
    </w:p>
    <w:p w14:paraId="1AA8C0D6" w14:textId="77777777" w:rsidR="002F4578" w:rsidRPr="0063354D" w:rsidRDefault="002F4578" w:rsidP="002F4578"/>
    <w:p w14:paraId="56FA8D75" w14:textId="77777777" w:rsidR="002F4578" w:rsidRPr="00F7241A" w:rsidRDefault="002F4578" w:rsidP="002F4578"/>
    <w:p w14:paraId="52476F5B" w14:textId="77777777" w:rsidR="002F4578" w:rsidRDefault="002F4578" w:rsidP="00766900">
      <w:pPr>
        <w:spacing w:after="0" w:line="276" w:lineRule="auto"/>
        <w:jc w:val="both"/>
        <w:rPr>
          <w:rFonts w:ascii="Times New Roman" w:hAnsi="Times New Roman" w:cs="Times New Roman"/>
        </w:rPr>
      </w:pPr>
    </w:p>
    <w:p w14:paraId="03984B90" w14:textId="77777777" w:rsidR="007A0780" w:rsidRPr="00AF7305" w:rsidRDefault="007A0780" w:rsidP="007A0780">
      <w:pPr>
        <w:spacing w:after="0" w:line="276" w:lineRule="auto"/>
        <w:jc w:val="both"/>
        <w:rPr>
          <w:rFonts w:ascii="Times New Roman" w:hAnsi="Times New Roman" w:cs="Times New Roman"/>
        </w:rPr>
      </w:pPr>
    </w:p>
    <w:p w14:paraId="790E6095" w14:textId="77777777" w:rsidR="008D106E" w:rsidRDefault="008D106E" w:rsidP="007A0780">
      <w:pPr>
        <w:spacing w:after="0" w:line="276" w:lineRule="auto"/>
        <w:jc w:val="both"/>
        <w:rPr>
          <w:rFonts w:ascii="Times New Roman" w:hAnsi="Times New Roman" w:cs="Times New Roman"/>
          <w:b/>
          <w:bCs/>
        </w:rPr>
      </w:pPr>
    </w:p>
    <w:p w14:paraId="7EDB2F42" w14:textId="77777777" w:rsidR="008D106E" w:rsidRDefault="008D106E" w:rsidP="007A0780">
      <w:pPr>
        <w:spacing w:after="0" w:line="276" w:lineRule="auto"/>
        <w:jc w:val="both"/>
        <w:rPr>
          <w:rFonts w:ascii="Times New Roman" w:hAnsi="Times New Roman" w:cs="Times New Roman"/>
          <w:b/>
          <w:bCs/>
        </w:rPr>
      </w:pPr>
    </w:p>
    <w:p w14:paraId="049797A7" w14:textId="379C3648" w:rsidR="007A0780" w:rsidRPr="00AF7305" w:rsidRDefault="007A0780" w:rsidP="007A0780">
      <w:pPr>
        <w:spacing w:after="0" w:line="276" w:lineRule="auto"/>
        <w:jc w:val="both"/>
        <w:rPr>
          <w:rFonts w:ascii="Times New Roman" w:hAnsi="Times New Roman" w:cs="Times New Roman"/>
          <w:b/>
          <w:bCs/>
        </w:rPr>
      </w:pPr>
      <w:r w:rsidRPr="00AF7305">
        <w:rPr>
          <w:rFonts w:ascii="Times New Roman" w:hAnsi="Times New Roman" w:cs="Times New Roman"/>
          <w:b/>
          <w:bCs/>
        </w:rPr>
        <w:t>REFERENCES</w:t>
      </w:r>
    </w:p>
    <w:p w14:paraId="46A187F5" w14:textId="77777777" w:rsidR="007A0780" w:rsidRPr="00AF7305" w:rsidRDefault="007A0780" w:rsidP="007A0780">
      <w:pPr>
        <w:numPr>
          <w:ilvl w:val="0"/>
          <w:numId w:val="1"/>
        </w:numPr>
        <w:spacing w:after="0" w:line="276" w:lineRule="auto"/>
        <w:jc w:val="both"/>
        <w:rPr>
          <w:rFonts w:ascii="Times New Roman" w:hAnsi="Times New Roman" w:cs="Times New Roman"/>
          <w:b/>
          <w:bCs/>
        </w:rPr>
      </w:pPr>
      <w:r w:rsidRPr="00AF7305">
        <w:rPr>
          <w:rFonts w:ascii="Times New Roman" w:hAnsi="Times New Roman" w:cs="Times New Roman"/>
        </w:rPr>
        <w:t xml:space="preserve">Monk D, Moore GE. Intrauterine growth restriction--genetic causes and consequences. </w:t>
      </w:r>
      <w:proofErr w:type="spellStart"/>
      <w:r w:rsidRPr="00AF7305">
        <w:rPr>
          <w:rFonts w:ascii="Times New Roman" w:hAnsi="Times New Roman" w:cs="Times New Roman"/>
        </w:rPr>
        <w:t>Semin</w:t>
      </w:r>
      <w:proofErr w:type="spellEnd"/>
      <w:r w:rsidRPr="00AF7305">
        <w:rPr>
          <w:rFonts w:ascii="Times New Roman" w:hAnsi="Times New Roman" w:cs="Times New Roman"/>
        </w:rPr>
        <w:t xml:space="preserve"> Fetal Neonatal Med. 2004 Oct;</w:t>
      </w:r>
      <w:r>
        <w:rPr>
          <w:rFonts w:ascii="Times New Roman" w:hAnsi="Times New Roman" w:cs="Times New Roman"/>
        </w:rPr>
        <w:t xml:space="preserve"> </w:t>
      </w:r>
      <w:r w:rsidRPr="00AF7305">
        <w:rPr>
          <w:rFonts w:ascii="Times New Roman" w:hAnsi="Times New Roman" w:cs="Times New Roman"/>
        </w:rPr>
        <w:t xml:space="preserve">9(5):371-8. </w:t>
      </w:r>
      <w:proofErr w:type="spellStart"/>
      <w:r w:rsidRPr="00AF7305">
        <w:rPr>
          <w:rFonts w:ascii="Times New Roman" w:hAnsi="Times New Roman" w:cs="Times New Roman"/>
        </w:rPr>
        <w:t>doi</w:t>
      </w:r>
      <w:proofErr w:type="spellEnd"/>
      <w:r w:rsidRPr="00AF7305">
        <w:rPr>
          <w:rFonts w:ascii="Times New Roman" w:hAnsi="Times New Roman" w:cs="Times New Roman"/>
        </w:rPr>
        <w:t>: 10.1016/j.siny.2004.03.002. PMID: 15691772.</w:t>
      </w:r>
    </w:p>
    <w:p w14:paraId="3DE994E0"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Wollmann</w:t>
      </w:r>
      <w:proofErr w:type="spellEnd"/>
      <w:r w:rsidRPr="00AF7305">
        <w:rPr>
          <w:rFonts w:ascii="Times New Roman" w:hAnsi="Times New Roman" w:cs="Times New Roman"/>
        </w:rPr>
        <w:t xml:space="preserve"> HA. Intrauterine growth restriction: definition and etiology. </w:t>
      </w:r>
      <w:proofErr w:type="spellStart"/>
      <w:r w:rsidRPr="00AF7305">
        <w:rPr>
          <w:rFonts w:ascii="Times New Roman" w:hAnsi="Times New Roman" w:cs="Times New Roman"/>
        </w:rPr>
        <w:t>Horm</w:t>
      </w:r>
      <w:proofErr w:type="spellEnd"/>
      <w:r w:rsidRPr="00AF7305">
        <w:rPr>
          <w:rFonts w:ascii="Times New Roman" w:hAnsi="Times New Roman" w:cs="Times New Roman"/>
        </w:rPr>
        <w:t xml:space="preserve"> Res. 1998;</w:t>
      </w:r>
      <w:r>
        <w:rPr>
          <w:rFonts w:ascii="Times New Roman" w:hAnsi="Times New Roman" w:cs="Times New Roman"/>
        </w:rPr>
        <w:t xml:space="preserve"> </w:t>
      </w:r>
      <w:r w:rsidRPr="00AF7305">
        <w:rPr>
          <w:rFonts w:ascii="Times New Roman" w:hAnsi="Times New Roman" w:cs="Times New Roman"/>
        </w:rPr>
        <w:t xml:space="preserve">49 Suppl 2:1-6. </w:t>
      </w:r>
      <w:proofErr w:type="spellStart"/>
      <w:r w:rsidRPr="00AF7305">
        <w:rPr>
          <w:rFonts w:ascii="Times New Roman" w:hAnsi="Times New Roman" w:cs="Times New Roman"/>
        </w:rPr>
        <w:t>doi</w:t>
      </w:r>
      <w:proofErr w:type="spellEnd"/>
      <w:r w:rsidRPr="00AF7305">
        <w:rPr>
          <w:rFonts w:ascii="Times New Roman" w:hAnsi="Times New Roman" w:cs="Times New Roman"/>
        </w:rPr>
        <w:t>: 10.1159/000053079. PMID: 9730664.</w:t>
      </w:r>
    </w:p>
    <w:p w14:paraId="45012B2B"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Gupta N, </w:t>
      </w:r>
      <w:proofErr w:type="spellStart"/>
      <w:r w:rsidRPr="00AF7305">
        <w:rPr>
          <w:rFonts w:ascii="Times New Roman" w:hAnsi="Times New Roman" w:cs="Times New Roman"/>
        </w:rPr>
        <w:t>Khajuria</w:t>
      </w:r>
      <w:proofErr w:type="spellEnd"/>
      <w:r w:rsidRPr="00AF7305">
        <w:rPr>
          <w:rFonts w:ascii="Times New Roman" w:hAnsi="Times New Roman" w:cs="Times New Roman"/>
        </w:rPr>
        <w:t xml:space="preserve"> A. </w:t>
      </w:r>
      <w:proofErr w:type="spellStart"/>
      <w:r w:rsidRPr="00AF7305">
        <w:rPr>
          <w:rFonts w:ascii="Times New Roman" w:hAnsi="Times New Roman" w:cs="Times New Roman"/>
        </w:rPr>
        <w:t>Histomorphological</w:t>
      </w:r>
      <w:proofErr w:type="spellEnd"/>
      <w:r w:rsidRPr="00AF7305">
        <w:rPr>
          <w:rFonts w:ascii="Times New Roman" w:hAnsi="Times New Roman" w:cs="Times New Roman"/>
        </w:rPr>
        <w:t xml:space="preserve"> Features of Placenta in Pregnancy Complicated with Intrauterine Growth Retardation. JK Science. 2016;</w:t>
      </w:r>
      <w:r>
        <w:rPr>
          <w:rFonts w:ascii="Times New Roman" w:hAnsi="Times New Roman" w:cs="Times New Roman"/>
        </w:rPr>
        <w:t xml:space="preserve"> </w:t>
      </w:r>
      <w:r w:rsidRPr="00AF7305">
        <w:rPr>
          <w:rFonts w:ascii="Times New Roman" w:hAnsi="Times New Roman" w:cs="Times New Roman"/>
        </w:rPr>
        <w:t>18(1):21.</w:t>
      </w:r>
    </w:p>
    <w:p w14:paraId="58E1E9A2"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Krishna U, </w:t>
      </w:r>
      <w:proofErr w:type="spellStart"/>
      <w:r w:rsidRPr="00AF7305">
        <w:rPr>
          <w:rFonts w:ascii="Times New Roman" w:hAnsi="Times New Roman" w:cs="Times New Roman"/>
        </w:rPr>
        <w:t>Bhalerao</w:t>
      </w:r>
      <w:proofErr w:type="spellEnd"/>
      <w:r w:rsidRPr="00AF7305">
        <w:rPr>
          <w:rFonts w:ascii="Times New Roman" w:hAnsi="Times New Roman" w:cs="Times New Roman"/>
        </w:rPr>
        <w:t xml:space="preserve"> S. Placental insufficiency and fetal growth restriction. J </w:t>
      </w:r>
      <w:proofErr w:type="spellStart"/>
      <w:r w:rsidRPr="00AF7305">
        <w:rPr>
          <w:rFonts w:ascii="Times New Roman" w:hAnsi="Times New Roman" w:cs="Times New Roman"/>
        </w:rPr>
        <w:t>ObstetGynaecol</w:t>
      </w:r>
      <w:proofErr w:type="spellEnd"/>
      <w:r w:rsidRPr="00AF7305">
        <w:rPr>
          <w:rFonts w:ascii="Times New Roman" w:hAnsi="Times New Roman" w:cs="Times New Roman"/>
        </w:rPr>
        <w:t xml:space="preserve"> India. 2011 Oct;</w:t>
      </w:r>
      <w:r>
        <w:rPr>
          <w:rFonts w:ascii="Times New Roman" w:hAnsi="Times New Roman" w:cs="Times New Roman"/>
        </w:rPr>
        <w:t xml:space="preserve"> </w:t>
      </w:r>
      <w:r w:rsidRPr="00AF7305">
        <w:rPr>
          <w:rFonts w:ascii="Times New Roman" w:hAnsi="Times New Roman" w:cs="Times New Roman"/>
        </w:rPr>
        <w:t xml:space="preserve">61(5):505-11. </w:t>
      </w:r>
      <w:proofErr w:type="spellStart"/>
      <w:r w:rsidRPr="00AF7305">
        <w:rPr>
          <w:rFonts w:ascii="Times New Roman" w:hAnsi="Times New Roman" w:cs="Times New Roman"/>
        </w:rPr>
        <w:t>doi</w:t>
      </w:r>
      <w:proofErr w:type="spellEnd"/>
      <w:r w:rsidRPr="00AF7305">
        <w:rPr>
          <w:rFonts w:ascii="Times New Roman" w:hAnsi="Times New Roman" w:cs="Times New Roman"/>
        </w:rPr>
        <w:t xml:space="preserve">: 10.1007/s13224-011-0092-x. </w:t>
      </w:r>
      <w:proofErr w:type="spellStart"/>
      <w:r w:rsidRPr="00AF7305">
        <w:rPr>
          <w:rFonts w:ascii="Times New Roman" w:hAnsi="Times New Roman" w:cs="Times New Roman"/>
        </w:rPr>
        <w:t>Epub</w:t>
      </w:r>
      <w:proofErr w:type="spellEnd"/>
      <w:r w:rsidRPr="00AF7305">
        <w:rPr>
          <w:rFonts w:ascii="Times New Roman" w:hAnsi="Times New Roman" w:cs="Times New Roman"/>
        </w:rPr>
        <w:t xml:space="preserve"> 2011 Nov 17. PMID: 23024517; PMCID: PMC3257343.</w:t>
      </w:r>
    </w:p>
    <w:p w14:paraId="6DCCE3F6"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Günyeli</w:t>
      </w:r>
      <w:proofErr w:type="spellEnd"/>
      <w:r w:rsidRPr="00AF7305">
        <w:rPr>
          <w:rFonts w:ascii="Times New Roman" w:hAnsi="Times New Roman" w:cs="Times New Roman"/>
        </w:rPr>
        <w:t xml:space="preserve"> I, </w:t>
      </w:r>
      <w:proofErr w:type="spellStart"/>
      <w:r w:rsidRPr="00AF7305">
        <w:rPr>
          <w:rFonts w:ascii="Times New Roman" w:hAnsi="Times New Roman" w:cs="Times New Roman"/>
        </w:rPr>
        <w:t>Erdemoğlu</w:t>
      </w:r>
      <w:proofErr w:type="spellEnd"/>
      <w:r w:rsidRPr="00AF7305">
        <w:rPr>
          <w:rFonts w:ascii="Times New Roman" w:hAnsi="Times New Roman" w:cs="Times New Roman"/>
        </w:rPr>
        <w:t xml:space="preserve"> E, </w:t>
      </w:r>
      <w:proofErr w:type="spellStart"/>
      <w:r w:rsidRPr="00AF7305">
        <w:rPr>
          <w:rFonts w:ascii="Times New Roman" w:hAnsi="Times New Roman" w:cs="Times New Roman"/>
        </w:rPr>
        <w:t>Ceylaner</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Zergeroğlu</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Mungan</w:t>
      </w:r>
      <w:proofErr w:type="spellEnd"/>
      <w:r w:rsidRPr="00AF7305">
        <w:rPr>
          <w:rFonts w:ascii="Times New Roman" w:hAnsi="Times New Roman" w:cs="Times New Roman"/>
        </w:rPr>
        <w:t xml:space="preserve"> T. Histopathological analysis of the placental lesions in pregnancies complicated with IUGR and stillbirths in comparison with noncomplicated pregnancies. J Turk Ger </w:t>
      </w:r>
      <w:proofErr w:type="spellStart"/>
      <w:r w:rsidRPr="00AF7305">
        <w:rPr>
          <w:rFonts w:ascii="Times New Roman" w:hAnsi="Times New Roman" w:cs="Times New Roman"/>
        </w:rPr>
        <w:t>Gynecol</w:t>
      </w:r>
      <w:proofErr w:type="spellEnd"/>
      <w:r w:rsidRPr="00AF7305">
        <w:rPr>
          <w:rFonts w:ascii="Times New Roman" w:hAnsi="Times New Roman" w:cs="Times New Roman"/>
        </w:rPr>
        <w:t xml:space="preserve"> Assoc. 2011 Jun 1;</w:t>
      </w:r>
      <w:r>
        <w:rPr>
          <w:rFonts w:ascii="Times New Roman" w:hAnsi="Times New Roman" w:cs="Times New Roman"/>
        </w:rPr>
        <w:t xml:space="preserve"> </w:t>
      </w:r>
      <w:r w:rsidRPr="00AF7305">
        <w:rPr>
          <w:rFonts w:ascii="Times New Roman" w:hAnsi="Times New Roman" w:cs="Times New Roman"/>
        </w:rPr>
        <w:t xml:space="preserve">12(2):75-9. </w:t>
      </w:r>
      <w:proofErr w:type="spellStart"/>
      <w:r w:rsidRPr="00AF7305">
        <w:rPr>
          <w:rFonts w:ascii="Times New Roman" w:hAnsi="Times New Roman" w:cs="Times New Roman"/>
        </w:rPr>
        <w:t>doi</w:t>
      </w:r>
      <w:proofErr w:type="spellEnd"/>
      <w:r w:rsidRPr="00AF7305">
        <w:rPr>
          <w:rFonts w:ascii="Times New Roman" w:hAnsi="Times New Roman" w:cs="Times New Roman"/>
        </w:rPr>
        <w:t>: 10.5152/jtgga.2011.19. PMID: 24591966; PMCID: PMC3939110.</w:t>
      </w:r>
    </w:p>
    <w:p w14:paraId="685234B9"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0" w:name="_Hlk206485553"/>
      <w:proofErr w:type="spellStart"/>
      <w:r w:rsidRPr="00AF7305">
        <w:rPr>
          <w:rFonts w:ascii="Times New Roman" w:hAnsi="Times New Roman" w:cs="Times New Roman"/>
        </w:rPr>
        <w:t>Ghomian</w:t>
      </w:r>
      <w:proofErr w:type="spellEnd"/>
      <w:r w:rsidRPr="00AF7305">
        <w:rPr>
          <w:rFonts w:ascii="Times New Roman" w:hAnsi="Times New Roman" w:cs="Times New Roman"/>
        </w:rPr>
        <w:t xml:space="preserve"> N, </w:t>
      </w:r>
      <w:proofErr w:type="spellStart"/>
      <w:r w:rsidRPr="00AF7305">
        <w:rPr>
          <w:rFonts w:ascii="Times New Roman" w:hAnsi="Times New Roman" w:cs="Times New Roman"/>
        </w:rPr>
        <w:t>Amouian</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Tavassoli</w:t>
      </w:r>
      <w:proofErr w:type="spellEnd"/>
      <w:r w:rsidRPr="00AF7305">
        <w:rPr>
          <w:rFonts w:ascii="Times New Roman" w:hAnsi="Times New Roman" w:cs="Times New Roman"/>
        </w:rPr>
        <w:t xml:space="preserve"> F, </w:t>
      </w:r>
      <w:proofErr w:type="spellStart"/>
      <w:r w:rsidRPr="00AF7305">
        <w:rPr>
          <w:rFonts w:ascii="Times New Roman" w:hAnsi="Times New Roman" w:cs="Times New Roman"/>
        </w:rPr>
        <w:t>Arbabzadeh</w:t>
      </w:r>
      <w:proofErr w:type="spellEnd"/>
      <w:r w:rsidRPr="00AF7305">
        <w:rPr>
          <w:rFonts w:ascii="Times New Roman" w:hAnsi="Times New Roman" w:cs="Times New Roman"/>
        </w:rPr>
        <w:t xml:space="preserve"> T. Comparison of Placental Morphology and Histopathology of Intra-uterine Growth Restriction and Normal infants. Iranian Journal of Pathology.2014; 9 (1): 9-16.</w:t>
      </w:r>
    </w:p>
    <w:p w14:paraId="34BD8DD3" w14:textId="0089CC36" w:rsidR="007A0780" w:rsidRPr="00AF7305" w:rsidRDefault="007A0780" w:rsidP="007A0780">
      <w:pPr>
        <w:numPr>
          <w:ilvl w:val="0"/>
          <w:numId w:val="1"/>
        </w:numPr>
        <w:spacing w:after="0" w:line="276" w:lineRule="auto"/>
        <w:jc w:val="both"/>
        <w:rPr>
          <w:rFonts w:ascii="Times New Roman" w:hAnsi="Times New Roman" w:cs="Times New Roman"/>
        </w:rPr>
      </w:pPr>
      <w:bookmarkStart w:id="1" w:name="_Hlk206485650"/>
      <w:bookmarkEnd w:id="0"/>
      <w:r w:rsidRPr="00AF7305">
        <w:rPr>
          <w:rFonts w:ascii="Times New Roman" w:hAnsi="Times New Roman" w:cs="Times New Roman"/>
          <w:lang w:val="it-IT"/>
        </w:rPr>
        <w:t xml:space="preserve">Rastogi A. Nhp.gov.in. (2018). </w:t>
      </w:r>
      <w:r w:rsidRPr="00AF7305">
        <w:rPr>
          <w:rFonts w:ascii="Times New Roman" w:hAnsi="Times New Roman" w:cs="Times New Roman"/>
        </w:rPr>
        <w:t>Intrauterine growth restriction (IUGR) National Health Portal of India. [Online]</w:t>
      </w:r>
      <w:r w:rsidR="00A63A03">
        <w:rPr>
          <w:rFonts w:ascii="Times New Roman" w:hAnsi="Times New Roman" w:cs="Times New Roman"/>
        </w:rPr>
        <w:t xml:space="preserve"> </w:t>
      </w:r>
      <w:hyperlink r:id="rId7" w:history="1">
        <w:r w:rsidR="00A63A03" w:rsidRPr="00A174C3">
          <w:rPr>
            <w:rStyle w:val="Hyperlink"/>
            <w:rFonts w:ascii="Times New Roman" w:hAnsi="Times New Roman" w:cs="Times New Roman"/>
          </w:rPr>
          <w:t>https://www.nhp.gov.in/disease/gynaecology-and-obstetrics/intrauterine-growth-restriction-iugr.</w:t>
        </w:r>
      </w:hyperlink>
    </w:p>
    <w:bookmarkEnd w:id="1"/>
    <w:p w14:paraId="66F6B1B7"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Biswas S, Ghosh SK. Gross morphological changes of placentas associated with intrauterine growth restriction of fetuses: a case control study. Early human development. 2008 Jun 1; 84(6): 357-62</w:t>
      </w:r>
    </w:p>
    <w:p w14:paraId="210CA00F"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Vedmedovska</w:t>
      </w:r>
      <w:proofErr w:type="spellEnd"/>
      <w:r w:rsidRPr="00AF7305">
        <w:rPr>
          <w:rFonts w:ascii="Times New Roman" w:hAnsi="Times New Roman" w:cs="Times New Roman"/>
        </w:rPr>
        <w:t xml:space="preserve"> N, </w:t>
      </w:r>
      <w:proofErr w:type="spellStart"/>
      <w:r w:rsidRPr="00AF7305">
        <w:rPr>
          <w:rFonts w:ascii="Times New Roman" w:hAnsi="Times New Roman" w:cs="Times New Roman"/>
        </w:rPr>
        <w:t>Rezeberga</w:t>
      </w:r>
      <w:proofErr w:type="spellEnd"/>
      <w:r w:rsidRPr="00AF7305">
        <w:rPr>
          <w:rFonts w:ascii="Times New Roman" w:hAnsi="Times New Roman" w:cs="Times New Roman"/>
        </w:rPr>
        <w:t xml:space="preserve"> D, </w:t>
      </w:r>
      <w:proofErr w:type="spellStart"/>
      <w:r w:rsidRPr="00AF7305">
        <w:rPr>
          <w:rFonts w:ascii="Times New Roman" w:hAnsi="Times New Roman" w:cs="Times New Roman"/>
        </w:rPr>
        <w:t>Teibe</w:t>
      </w:r>
      <w:proofErr w:type="spellEnd"/>
      <w:r w:rsidRPr="00AF7305">
        <w:rPr>
          <w:rFonts w:ascii="Times New Roman" w:hAnsi="Times New Roman" w:cs="Times New Roman"/>
        </w:rPr>
        <w:t xml:space="preserve"> U, </w:t>
      </w:r>
      <w:proofErr w:type="spellStart"/>
      <w:r w:rsidRPr="00AF7305">
        <w:rPr>
          <w:rFonts w:ascii="Times New Roman" w:hAnsi="Times New Roman" w:cs="Times New Roman"/>
        </w:rPr>
        <w:t>Melderis</w:t>
      </w:r>
      <w:proofErr w:type="spellEnd"/>
      <w:r w:rsidRPr="00AF7305">
        <w:rPr>
          <w:rFonts w:ascii="Times New Roman" w:hAnsi="Times New Roman" w:cs="Times New Roman"/>
        </w:rPr>
        <w:t xml:space="preserve"> I, Donders GG. Placental pathology in fetal growth restriction. European Journal of Obstetrics &amp; Gynecology and Reproductive Biology. 2011 Mar 1;155(1):36-40</w:t>
      </w:r>
    </w:p>
    <w:p w14:paraId="7C652C79"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lastRenderedPageBreak/>
        <w:t xml:space="preserve">Kingdom J1, </w:t>
      </w:r>
      <w:proofErr w:type="spellStart"/>
      <w:r w:rsidRPr="00AF7305">
        <w:rPr>
          <w:rFonts w:ascii="Times New Roman" w:hAnsi="Times New Roman" w:cs="Times New Roman"/>
        </w:rPr>
        <w:t>Huppertz</w:t>
      </w:r>
      <w:proofErr w:type="spellEnd"/>
      <w:r w:rsidRPr="00AF7305">
        <w:rPr>
          <w:rFonts w:ascii="Times New Roman" w:hAnsi="Times New Roman" w:cs="Times New Roman"/>
        </w:rPr>
        <w:t xml:space="preserve"> B, Seaward G, Kaufmann P. Development of the placental villous tree and its consequences for fetal growth. Eur J </w:t>
      </w:r>
      <w:proofErr w:type="spellStart"/>
      <w:r w:rsidRPr="00AF7305">
        <w:rPr>
          <w:rFonts w:ascii="Times New Roman" w:hAnsi="Times New Roman" w:cs="Times New Roman"/>
        </w:rPr>
        <w:t>ObstetrGynecolReproduct</w:t>
      </w:r>
      <w:proofErr w:type="spellEnd"/>
      <w:r w:rsidRPr="00AF7305">
        <w:rPr>
          <w:rFonts w:ascii="Times New Roman" w:hAnsi="Times New Roman" w:cs="Times New Roman"/>
        </w:rPr>
        <w:t xml:space="preserve"> Biol .2000;92:35-43</w:t>
      </w:r>
    </w:p>
    <w:p w14:paraId="506813AB"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Sawant LD, Venkat S. Study of placenta in intrauterine growth restricted pregnancy. Journal of Basic and Clinical Reproductive Sciences. 2017 Nov 17;6(2):167-174</w:t>
      </w:r>
    </w:p>
    <w:p w14:paraId="43C76EBF"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Bamfo</w:t>
      </w:r>
      <w:proofErr w:type="spellEnd"/>
      <w:r w:rsidRPr="00AF7305">
        <w:rPr>
          <w:rFonts w:ascii="Times New Roman" w:hAnsi="Times New Roman" w:cs="Times New Roman"/>
        </w:rPr>
        <w:t xml:space="preserve"> JE, </w:t>
      </w:r>
      <w:proofErr w:type="spellStart"/>
      <w:r w:rsidRPr="00AF7305">
        <w:rPr>
          <w:rFonts w:ascii="Times New Roman" w:hAnsi="Times New Roman" w:cs="Times New Roman"/>
        </w:rPr>
        <w:t>Odibo</w:t>
      </w:r>
      <w:proofErr w:type="spellEnd"/>
      <w:r w:rsidRPr="00AF7305">
        <w:rPr>
          <w:rFonts w:ascii="Times New Roman" w:hAnsi="Times New Roman" w:cs="Times New Roman"/>
        </w:rPr>
        <w:t xml:space="preserve"> AO. “Diagnosis and management of fetal growth restriction</w:t>
      </w:r>
      <w:proofErr w:type="gramStart"/>
      <w:r w:rsidRPr="00AF7305">
        <w:rPr>
          <w:rFonts w:ascii="Times New Roman" w:hAnsi="Times New Roman" w:cs="Times New Roman"/>
        </w:rPr>
        <w:t>”,.</w:t>
      </w:r>
      <w:proofErr w:type="gramEnd"/>
      <w:r w:rsidRPr="00AF7305">
        <w:rPr>
          <w:rFonts w:ascii="Times New Roman" w:hAnsi="Times New Roman" w:cs="Times New Roman"/>
        </w:rPr>
        <w:t xml:space="preserve"> J Pregnancy 2011; 2011:640715.</w:t>
      </w:r>
    </w:p>
    <w:p w14:paraId="54F0773E"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Gershon R. and Strauss L. Structural changes in human placentas associated with fetal inanition or growth arrest (placental insufficiency syndrome). Am J Dis Children 1961;645-646.</w:t>
      </w:r>
    </w:p>
    <w:p w14:paraId="281B67E8"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Baschat</w:t>
      </w:r>
      <w:proofErr w:type="spellEnd"/>
      <w:r w:rsidRPr="00AF7305">
        <w:rPr>
          <w:rFonts w:ascii="Times New Roman" w:hAnsi="Times New Roman" w:cs="Times New Roman"/>
        </w:rPr>
        <w:t xml:space="preserve"> AA, </w:t>
      </w:r>
      <w:proofErr w:type="spellStart"/>
      <w:r w:rsidRPr="00AF7305">
        <w:rPr>
          <w:rFonts w:ascii="Times New Roman" w:hAnsi="Times New Roman" w:cs="Times New Roman"/>
        </w:rPr>
        <w:t>Hecher</w:t>
      </w:r>
      <w:proofErr w:type="spellEnd"/>
      <w:r w:rsidRPr="00AF7305">
        <w:rPr>
          <w:rFonts w:ascii="Times New Roman" w:hAnsi="Times New Roman" w:cs="Times New Roman"/>
        </w:rPr>
        <w:t xml:space="preserve"> K. Fetal growth restriction due to placental disease. Seminars in Perinatology 2004; 28:67-80.</w:t>
      </w:r>
    </w:p>
    <w:p w14:paraId="3E6DF5B7"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Maulik</w:t>
      </w:r>
      <w:proofErr w:type="spellEnd"/>
      <w:r w:rsidRPr="00AF7305">
        <w:rPr>
          <w:rFonts w:ascii="Times New Roman" w:hAnsi="Times New Roman" w:cs="Times New Roman"/>
        </w:rPr>
        <w:t xml:space="preserve"> D. Fetal growth restriction: the etiology. Clin ObstetrGynecol2006; 49:228-235.</w:t>
      </w:r>
    </w:p>
    <w:p w14:paraId="1B783D6E"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Tyson RW, </w:t>
      </w:r>
      <w:proofErr w:type="spellStart"/>
      <w:r w:rsidRPr="00AF7305">
        <w:rPr>
          <w:rFonts w:ascii="Times New Roman" w:hAnsi="Times New Roman" w:cs="Times New Roman"/>
        </w:rPr>
        <w:t>Staat</w:t>
      </w:r>
      <w:proofErr w:type="spellEnd"/>
      <w:r w:rsidRPr="00AF7305">
        <w:rPr>
          <w:rFonts w:ascii="Times New Roman" w:hAnsi="Times New Roman" w:cs="Times New Roman"/>
        </w:rPr>
        <w:t xml:space="preserve"> BC. The intrauterine growth-restricted fetus and placental evaluation. Seminars in Perinatology 2008; 32:166-171.</w:t>
      </w:r>
    </w:p>
    <w:p w14:paraId="6ED97788"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2" w:name="_Hlk47384379"/>
      <w:r w:rsidRPr="00AF7305">
        <w:rPr>
          <w:rFonts w:ascii="Times New Roman" w:hAnsi="Times New Roman" w:cs="Times New Roman"/>
        </w:rPr>
        <w:t>Shrivastava N</w:t>
      </w:r>
      <w:bookmarkEnd w:id="2"/>
      <w:r w:rsidRPr="00AF7305">
        <w:rPr>
          <w:rFonts w:ascii="Times New Roman" w:hAnsi="Times New Roman" w:cs="Times New Roman"/>
        </w:rPr>
        <w:t>, Yadav S. Correlation of histopathological and anatomical changes in</w:t>
      </w:r>
      <w:r w:rsidRPr="00AF7305">
        <w:rPr>
          <w:rFonts w:ascii="Times New Roman" w:hAnsi="Times New Roman" w:cs="Times New Roman"/>
        </w:rPr>
        <w:br/>
        <w:t>placenta with intrauterine growth restriction. The Indian Practitioner.2016;69(5):30-37</w:t>
      </w:r>
    </w:p>
    <w:p w14:paraId="27CB7CB1"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3" w:name="_Hlk47386792"/>
      <w:r w:rsidRPr="00AF7305">
        <w:rPr>
          <w:rFonts w:ascii="Times New Roman" w:hAnsi="Times New Roman" w:cs="Times New Roman"/>
        </w:rPr>
        <w:t>Park SY</w:t>
      </w:r>
      <w:bookmarkEnd w:id="3"/>
      <w:r w:rsidRPr="00AF7305">
        <w:rPr>
          <w:rFonts w:ascii="Times New Roman" w:hAnsi="Times New Roman" w:cs="Times New Roman"/>
        </w:rPr>
        <w:t>, Kim MY, Kim YJ, Chun YK, Kim HS, Kim HS et al. Placental pathology in intrauterine growth retardation. The Korean Journal of Pathology. 2002;36(1):30-37</w:t>
      </w:r>
    </w:p>
    <w:p w14:paraId="447B5583" w14:textId="017A709E" w:rsidR="007A0780" w:rsidRPr="00AF7305" w:rsidRDefault="007A0780" w:rsidP="007A0780">
      <w:pPr>
        <w:numPr>
          <w:ilvl w:val="0"/>
          <w:numId w:val="1"/>
        </w:numPr>
        <w:spacing w:after="0" w:line="276" w:lineRule="auto"/>
        <w:jc w:val="both"/>
        <w:rPr>
          <w:rFonts w:ascii="Times New Roman" w:hAnsi="Times New Roman" w:cs="Times New Roman"/>
        </w:rPr>
      </w:pPr>
      <w:bookmarkStart w:id="4" w:name="_Hlk47387690"/>
      <w:bookmarkStart w:id="5" w:name="_Hlk206485126"/>
      <w:r w:rsidRPr="00AF7305">
        <w:rPr>
          <w:rFonts w:ascii="Times New Roman" w:hAnsi="Times New Roman" w:cs="Times New Roman"/>
        </w:rPr>
        <w:t>Sujatha C</w:t>
      </w:r>
      <w:bookmarkEnd w:id="4"/>
      <w:r w:rsidRPr="00AF7305">
        <w:rPr>
          <w:rFonts w:ascii="Times New Roman" w:hAnsi="Times New Roman" w:cs="Times New Roman"/>
        </w:rPr>
        <w:t xml:space="preserve">, Lavanya G, Faheem K, Krishna BAR. </w:t>
      </w:r>
      <w:proofErr w:type="spellStart"/>
      <w:r w:rsidRPr="00AF7305">
        <w:rPr>
          <w:rFonts w:ascii="Times New Roman" w:hAnsi="Times New Roman" w:cs="Times New Roman"/>
        </w:rPr>
        <w:t>Clinicomorphological</w:t>
      </w:r>
      <w:proofErr w:type="spellEnd"/>
      <w:r w:rsidRPr="00AF7305">
        <w:rPr>
          <w:rFonts w:ascii="Times New Roman" w:hAnsi="Times New Roman" w:cs="Times New Roman"/>
        </w:rPr>
        <w:t xml:space="preserve"> Evaluation and Review of Placenta – In Intra Uterine Growth Retardation and Intra Uterine Fetal Death – An </w:t>
      </w:r>
      <w:proofErr w:type="spellStart"/>
      <w:r w:rsidRPr="00AF7305">
        <w:rPr>
          <w:rFonts w:ascii="Times New Roman" w:hAnsi="Times New Roman" w:cs="Times New Roman"/>
        </w:rPr>
        <w:t>Indagation</w:t>
      </w:r>
      <w:proofErr w:type="spellEnd"/>
      <w:r w:rsidRPr="00AF7305">
        <w:rPr>
          <w:rFonts w:ascii="Times New Roman" w:hAnsi="Times New Roman" w:cs="Times New Roman"/>
        </w:rPr>
        <w:t>. IOSR-JDMS. 2019;5(3):4-11</w:t>
      </w:r>
    </w:p>
    <w:p w14:paraId="4A8C59CE" w14:textId="0E882133" w:rsidR="007A0780" w:rsidRPr="00AF7305" w:rsidRDefault="007A0780" w:rsidP="007A0780">
      <w:pPr>
        <w:numPr>
          <w:ilvl w:val="0"/>
          <w:numId w:val="1"/>
        </w:numPr>
        <w:spacing w:after="0" w:line="276" w:lineRule="auto"/>
        <w:jc w:val="both"/>
        <w:rPr>
          <w:rFonts w:ascii="Times New Roman" w:hAnsi="Times New Roman" w:cs="Times New Roman"/>
        </w:rPr>
      </w:pPr>
      <w:bookmarkStart w:id="6" w:name="_Hlk47387349"/>
      <w:bookmarkStart w:id="7" w:name="_Hlk206485241"/>
      <w:bookmarkEnd w:id="5"/>
      <w:proofErr w:type="spellStart"/>
      <w:r w:rsidRPr="00AF7305">
        <w:rPr>
          <w:rFonts w:ascii="Times New Roman" w:hAnsi="Times New Roman" w:cs="Times New Roman"/>
        </w:rPr>
        <w:t>Kotgirwar</w:t>
      </w:r>
      <w:proofErr w:type="spellEnd"/>
      <w:r w:rsidRPr="00AF7305">
        <w:rPr>
          <w:rFonts w:ascii="Times New Roman" w:hAnsi="Times New Roman" w:cs="Times New Roman"/>
        </w:rPr>
        <w:t xml:space="preserve"> S,</w:t>
      </w:r>
      <w:bookmarkEnd w:id="6"/>
      <w:r>
        <w:rPr>
          <w:rFonts w:ascii="Times New Roman" w:hAnsi="Times New Roman" w:cs="Times New Roman"/>
        </w:rPr>
        <w:t xml:space="preserve"> </w:t>
      </w:r>
      <w:proofErr w:type="spellStart"/>
      <w:r w:rsidRPr="00AF7305">
        <w:rPr>
          <w:rFonts w:ascii="Times New Roman" w:hAnsi="Times New Roman" w:cs="Times New Roman"/>
        </w:rPr>
        <w:t>Ambiye</w:t>
      </w:r>
      <w:proofErr w:type="spellEnd"/>
      <w:r w:rsidRPr="00AF7305">
        <w:rPr>
          <w:rFonts w:ascii="Times New Roman" w:hAnsi="Times New Roman" w:cs="Times New Roman"/>
        </w:rPr>
        <w:t xml:space="preserve"> M, </w:t>
      </w:r>
      <w:proofErr w:type="spellStart"/>
      <w:r w:rsidRPr="00AF7305">
        <w:rPr>
          <w:rFonts w:ascii="Times New Roman" w:hAnsi="Times New Roman" w:cs="Times New Roman"/>
        </w:rPr>
        <w:t>Athavale</w:t>
      </w:r>
      <w:proofErr w:type="spellEnd"/>
      <w:r w:rsidRPr="00AF7305">
        <w:rPr>
          <w:rFonts w:ascii="Times New Roman" w:hAnsi="Times New Roman" w:cs="Times New Roman"/>
        </w:rPr>
        <w:t xml:space="preserve"> S, Gupta V, Trivedi S. Study of gross and histological features of placenta in intrauterine growth retardation. J </w:t>
      </w:r>
      <w:proofErr w:type="spellStart"/>
      <w:r w:rsidRPr="00AF7305">
        <w:rPr>
          <w:rFonts w:ascii="Times New Roman" w:hAnsi="Times New Roman" w:cs="Times New Roman"/>
        </w:rPr>
        <w:t>Anat</w:t>
      </w:r>
      <w:proofErr w:type="spellEnd"/>
      <w:r w:rsidRPr="00AF7305">
        <w:rPr>
          <w:rFonts w:ascii="Times New Roman" w:hAnsi="Times New Roman" w:cs="Times New Roman"/>
        </w:rPr>
        <w:t xml:space="preserve"> Soc India. 2011 Jun 1;60(1):37-40.</w:t>
      </w:r>
    </w:p>
    <w:bookmarkEnd w:id="7"/>
    <w:p w14:paraId="055E1E2A"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Khajuria</w:t>
      </w:r>
      <w:proofErr w:type="spellEnd"/>
      <w:r w:rsidRPr="00AF7305">
        <w:rPr>
          <w:rFonts w:ascii="Times New Roman" w:hAnsi="Times New Roman" w:cs="Times New Roman"/>
        </w:rPr>
        <w:t xml:space="preserve"> R, Sharma M. Histopathology of placenta in intrauterine growth restriction (IUGR). International Journal of Research in Medical Sciences. </w:t>
      </w:r>
      <w:r w:rsidRPr="00280FBF">
        <w:rPr>
          <w:rFonts w:ascii="Times New Roman" w:hAnsi="Times New Roman" w:cs="Times New Roman"/>
          <w:b/>
          <w:bCs/>
        </w:rPr>
        <w:t>2019 Mar</w:t>
      </w:r>
      <w:r w:rsidRPr="00AF7305">
        <w:rPr>
          <w:rFonts w:ascii="Times New Roman" w:hAnsi="Times New Roman" w:cs="Times New Roman"/>
        </w:rPr>
        <w:t>;</w:t>
      </w:r>
      <w:r>
        <w:rPr>
          <w:rFonts w:ascii="Times New Roman" w:hAnsi="Times New Roman" w:cs="Times New Roman"/>
        </w:rPr>
        <w:t xml:space="preserve"> </w:t>
      </w:r>
      <w:r w:rsidRPr="00AF7305">
        <w:rPr>
          <w:rFonts w:ascii="Times New Roman" w:hAnsi="Times New Roman" w:cs="Times New Roman"/>
        </w:rPr>
        <w:t>7(3):889-892.</w:t>
      </w:r>
    </w:p>
    <w:p w14:paraId="22DE9497" w14:textId="77777777" w:rsidR="007A0780" w:rsidRDefault="007A0780" w:rsidP="007A0780">
      <w:pPr>
        <w:numPr>
          <w:ilvl w:val="0"/>
          <w:numId w:val="1"/>
        </w:numPr>
        <w:spacing w:after="0" w:line="276" w:lineRule="auto"/>
        <w:jc w:val="both"/>
        <w:rPr>
          <w:rFonts w:ascii="Times New Roman" w:hAnsi="Times New Roman" w:cs="Times New Roman"/>
        </w:rPr>
      </w:pPr>
      <w:bookmarkStart w:id="8" w:name="_Hlk47384148"/>
      <w:r w:rsidRPr="00AF7305">
        <w:rPr>
          <w:rFonts w:ascii="Times New Roman" w:hAnsi="Times New Roman" w:cs="Times New Roman"/>
        </w:rPr>
        <w:t>Kavita M</w:t>
      </w:r>
      <w:bookmarkEnd w:id="8"/>
      <w:r w:rsidRPr="00AF7305">
        <w:rPr>
          <w:rFonts w:ascii="Times New Roman" w:hAnsi="Times New Roman" w:cs="Times New Roman"/>
        </w:rPr>
        <w:t>, Negi L. Histopathological study of placentae in intrauterine growth retardation pregnancies in a tertiary care hospital and correlation with fetal birth weight. Journal of Pathology of Nepal. 2017 Sep 1;</w:t>
      </w:r>
      <w:r>
        <w:rPr>
          <w:rFonts w:ascii="Times New Roman" w:hAnsi="Times New Roman" w:cs="Times New Roman"/>
        </w:rPr>
        <w:t xml:space="preserve"> </w:t>
      </w:r>
      <w:r w:rsidRPr="00AF7305">
        <w:rPr>
          <w:rFonts w:ascii="Times New Roman" w:hAnsi="Times New Roman" w:cs="Times New Roman"/>
        </w:rPr>
        <w:t>7(2):1176-9.</w:t>
      </w:r>
    </w:p>
    <w:p w14:paraId="3C12FC44" w14:textId="77777777" w:rsidR="005577F3" w:rsidRPr="00280FBF" w:rsidRDefault="005577F3" w:rsidP="00280FBF">
      <w:pPr>
        <w:pStyle w:val="ListParagraph"/>
        <w:numPr>
          <w:ilvl w:val="0"/>
          <w:numId w:val="1"/>
        </w:numPr>
        <w:spacing w:line="276" w:lineRule="auto"/>
        <w:jc w:val="both"/>
        <w:rPr>
          <w:rFonts w:ascii="Times New Roman" w:hAnsi="Times New Roman" w:cs="Times New Roman"/>
          <w:highlight w:val="yellow"/>
          <w:lang w:val="en-GB"/>
        </w:rPr>
      </w:pPr>
      <w:proofErr w:type="spellStart"/>
      <w:r w:rsidRPr="00280FBF">
        <w:rPr>
          <w:rFonts w:ascii="Times New Roman" w:hAnsi="Times New Roman" w:cs="Times New Roman"/>
          <w:highlight w:val="yellow"/>
          <w:lang w:val="en-GB"/>
        </w:rPr>
        <w:t>Rotshenker-Olshinka</w:t>
      </w:r>
      <w:proofErr w:type="spellEnd"/>
      <w:r w:rsidRPr="00280FBF">
        <w:rPr>
          <w:rFonts w:ascii="Times New Roman" w:hAnsi="Times New Roman" w:cs="Times New Roman"/>
          <w:highlight w:val="yellow"/>
          <w:lang w:val="en-GB"/>
        </w:rPr>
        <w:t xml:space="preserve">, K., </w:t>
      </w:r>
      <w:proofErr w:type="spellStart"/>
      <w:r w:rsidRPr="00280FBF">
        <w:rPr>
          <w:rFonts w:ascii="Times New Roman" w:hAnsi="Times New Roman" w:cs="Times New Roman"/>
          <w:highlight w:val="yellow"/>
          <w:lang w:val="en-GB"/>
        </w:rPr>
        <w:t>Michaeli</w:t>
      </w:r>
      <w:proofErr w:type="spellEnd"/>
      <w:r w:rsidRPr="00280FBF">
        <w:rPr>
          <w:rFonts w:ascii="Times New Roman" w:hAnsi="Times New Roman" w:cs="Times New Roman"/>
          <w:highlight w:val="yellow"/>
          <w:lang w:val="en-GB"/>
        </w:rPr>
        <w:t xml:space="preserve">, J., </w:t>
      </w:r>
      <w:proofErr w:type="spellStart"/>
      <w:r w:rsidRPr="00280FBF">
        <w:rPr>
          <w:rFonts w:ascii="Times New Roman" w:hAnsi="Times New Roman" w:cs="Times New Roman"/>
          <w:highlight w:val="yellow"/>
          <w:lang w:val="en-GB"/>
        </w:rPr>
        <w:t>Srebnik</w:t>
      </w:r>
      <w:proofErr w:type="spellEnd"/>
      <w:r w:rsidRPr="00280FBF">
        <w:rPr>
          <w:rFonts w:ascii="Times New Roman" w:hAnsi="Times New Roman" w:cs="Times New Roman"/>
          <w:highlight w:val="yellow"/>
          <w:lang w:val="en-GB"/>
        </w:rPr>
        <w:t xml:space="preserve">, N., </w:t>
      </w:r>
      <w:proofErr w:type="spellStart"/>
      <w:r w:rsidRPr="00280FBF">
        <w:rPr>
          <w:rFonts w:ascii="Times New Roman" w:hAnsi="Times New Roman" w:cs="Times New Roman"/>
          <w:highlight w:val="yellow"/>
          <w:lang w:val="en-GB"/>
        </w:rPr>
        <w:t>Terlezky</w:t>
      </w:r>
      <w:proofErr w:type="spellEnd"/>
      <w:r w:rsidRPr="00280FBF">
        <w:rPr>
          <w:rFonts w:ascii="Times New Roman" w:hAnsi="Times New Roman" w:cs="Times New Roman"/>
          <w:highlight w:val="yellow"/>
          <w:lang w:val="en-GB"/>
        </w:rPr>
        <w:t xml:space="preserve">, S., Schreiber, L., </w:t>
      </w:r>
      <w:proofErr w:type="spellStart"/>
      <w:r w:rsidRPr="00280FBF">
        <w:rPr>
          <w:rFonts w:ascii="Times New Roman" w:hAnsi="Times New Roman" w:cs="Times New Roman"/>
          <w:highlight w:val="yellow"/>
          <w:lang w:val="en-GB"/>
        </w:rPr>
        <w:t>Farkash</w:t>
      </w:r>
      <w:proofErr w:type="spellEnd"/>
      <w:r w:rsidRPr="00280FBF">
        <w:rPr>
          <w:rFonts w:ascii="Times New Roman" w:hAnsi="Times New Roman" w:cs="Times New Roman"/>
          <w:highlight w:val="yellow"/>
          <w:lang w:val="en-GB"/>
        </w:rPr>
        <w:t xml:space="preserve">, R., &amp; </w:t>
      </w:r>
      <w:proofErr w:type="spellStart"/>
      <w:r w:rsidRPr="00280FBF">
        <w:rPr>
          <w:rFonts w:ascii="Times New Roman" w:hAnsi="Times New Roman" w:cs="Times New Roman"/>
          <w:highlight w:val="yellow"/>
          <w:lang w:val="en-GB"/>
        </w:rPr>
        <w:t>Grisaru</w:t>
      </w:r>
      <w:proofErr w:type="spellEnd"/>
      <w:r w:rsidRPr="00280FBF">
        <w:rPr>
          <w:rFonts w:ascii="Times New Roman" w:hAnsi="Times New Roman" w:cs="Times New Roman"/>
          <w:highlight w:val="yellow"/>
          <w:lang w:val="en-GB"/>
        </w:rPr>
        <w:t xml:space="preserve"> </w:t>
      </w:r>
      <w:proofErr w:type="spellStart"/>
      <w:r w:rsidRPr="00280FBF">
        <w:rPr>
          <w:rFonts w:ascii="Times New Roman" w:hAnsi="Times New Roman" w:cs="Times New Roman"/>
          <w:highlight w:val="yellow"/>
          <w:lang w:val="en-GB"/>
        </w:rPr>
        <w:t>Granovsky</w:t>
      </w:r>
      <w:proofErr w:type="spellEnd"/>
      <w:r w:rsidRPr="00280FBF">
        <w:rPr>
          <w:rFonts w:ascii="Times New Roman" w:hAnsi="Times New Roman" w:cs="Times New Roman"/>
          <w:highlight w:val="yellow"/>
          <w:lang w:val="en-GB"/>
        </w:rPr>
        <w:t xml:space="preserve">, S. (2019). Recurrent intrauterine growth restriction: characteristic placental histopathological features and association with prenatal vascular Doppler. Archives of </w:t>
      </w:r>
      <w:proofErr w:type="spellStart"/>
      <w:r w:rsidRPr="00280FBF">
        <w:rPr>
          <w:rFonts w:ascii="Times New Roman" w:hAnsi="Times New Roman" w:cs="Times New Roman"/>
          <w:highlight w:val="yellow"/>
          <w:lang w:val="en-GB"/>
        </w:rPr>
        <w:t>gynecology</w:t>
      </w:r>
      <w:proofErr w:type="spellEnd"/>
      <w:r w:rsidRPr="00280FBF">
        <w:rPr>
          <w:rFonts w:ascii="Times New Roman" w:hAnsi="Times New Roman" w:cs="Times New Roman"/>
          <w:highlight w:val="yellow"/>
          <w:lang w:val="en-GB"/>
        </w:rPr>
        <w:t xml:space="preserve"> and obstetrics, 300(6), 1583-1589.</w:t>
      </w:r>
    </w:p>
    <w:p w14:paraId="0EC83D00" w14:textId="39AD34EE" w:rsidR="005577F3" w:rsidRPr="00280FBF" w:rsidRDefault="00174A90" w:rsidP="00280FBF">
      <w:pPr>
        <w:pStyle w:val="ListParagraph"/>
        <w:spacing w:line="276" w:lineRule="auto"/>
        <w:jc w:val="both"/>
        <w:rPr>
          <w:rFonts w:ascii="Times New Roman" w:hAnsi="Times New Roman" w:cs="Times New Roman"/>
          <w:highlight w:val="yellow"/>
          <w:lang w:val="en-GB"/>
        </w:rPr>
      </w:pPr>
      <w:hyperlink r:id="rId8" w:history="1">
        <w:r w:rsidR="00280FBF" w:rsidRPr="00280FBF">
          <w:rPr>
            <w:rStyle w:val="Hyperlink"/>
            <w:rFonts w:ascii="Times New Roman" w:hAnsi="Times New Roman" w:cs="Times New Roman"/>
            <w:highlight w:val="yellow"/>
            <w:lang w:val="en-GB"/>
          </w:rPr>
          <w:t>https://link.springer.com/article/10.1007/s00404-019-05339-x</w:t>
        </w:r>
      </w:hyperlink>
      <w:r w:rsidR="005577F3" w:rsidRPr="00280FBF">
        <w:rPr>
          <w:rFonts w:ascii="Times New Roman" w:hAnsi="Times New Roman" w:cs="Times New Roman"/>
          <w:highlight w:val="yellow"/>
          <w:lang w:val="en-GB"/>
        </w:rPr>
        <w:t xml:space="preserve"> </w:t>
      </w:r>
    </w:p>
    <w:p w14:paraId="48159D62" w14:textId="057E426C" w:rsidR="005577F3" w:rsidRPr="00280FBF" w:rsidRDefault="005577F3" w:rsidP="00280FBF">
      <w:pPr>
        <w:pStyle w:val="ListParagraph"/>
        <w:numPr>
          <w:ilvl w:val="0"/>
          <w:numId w:val="1"/>
        </w:numPr>
        <w:spacing w:line="276" w:lineRule="auto"/>
        <w:jc w:val="both"/>
        <w:rPr>
          <w:rFonts w:ascii="Times New Roman" w:hAnsi="Times New Roman" w:cs="Times New Roman"/>
          <w:highlight w:val="yellow"/>
          <w:lang w:val="en-GB"/>
        </w:rPr>
      </w:pPr>
      <w:r w:rsidRPr="00280FBF">
        <w:rPr>
          <w:rFonts w:ascii="Times New Roman" w:hAnsi="Times New Roman" w:cs="Times New Roman"/>
          <w:highlight w:val="yellow"/>
          <w:lang w:val="it-IT"/>
        </w:rPr>
        <w:t xml:space="preserve">Madazli, R., Somunkiran, A., Calay, Z., Ilvan, S., &amp; Aksu, M. F. (2003). </w:t>
      </w:r>
      <w:r w:rsidRPr="00280FBF">
        <w:rPr>
          <w:rFonts w:ascii="Times New Roman" w:hAnsi="Times New Roman" w:cs="Times New Roman"/>
          <w:highlight w:val="yellow"/>
          <w:lang w:val="en-GB"/>
        </w:rPr>
        <w:t xml:space="preserve">Histomorphology of the placenta and the placental bed of growth restricted foetuses and correlation with the Doppler </w:t>
      </w:r>
      <w:proofErr w:type="spellStart"/>
      <w:r w:rsidRPr="00280FBF">
        <w:rPr>
          <w:rFonts w:ascii="Times New Roman" w:hAnsi="Times New Roman" w:cs="Times New Roman"/>
          <w:highlight w:val="yellow"/>
          <w:lang w:val="en-GB"/>
        </w:rPr>
        <w:t>velocimetries</w:t>
      </w:r>
      <w:proofErr w:type="spellEnd"/>
      <w:r w:rsidRPr="00280FBF">
        <w:rPr>
          <w:rFonts w:ascii="Times New Roman" w:hAnsi="Times New Roman" w:cs="Times New Roman"/>
          <w:highlight w:val="yellow"/>
          <w:lang w:val="en-GB"/>
        </w:rPr>
        <w:t xml:space="preserve"> of the uterine and umbilical arteries. Placenta, 24(5), 510-516.</w:t>
      </w:r>
      <w:r w:rsidR="00280FBF" w:rsidRPr="00280FBF">
        <w:rPr>
          <w:rFonts w:ascii="Times New Roman" w:hAnsi="Times New Roman" w:cs="Times New Roman"/>
          <w:highlight w:val="yellow"/>
          <w:lang w:val="en-GB"/>
        </w:rPr>
        <w:t xml:space="preserve"> </w:t>
      </w:r>
      <w:hyperlink r:id="rId9" w:history="1">
        <w:r w:rsidR="00280FBF" w:rsidRPr="00280FBF">
          <w:rPr>
            <w:rStyle w:val="Hyperlink"/>
            <w:rFonts w:ascii="Times New Roman" w:hAnsi="Times New Roman" w:cs="Times New Roman"/>
            <w:highlight w:val="yellow"/>
            <w:lang w:val="en-GB"/>
          </w:rPr>
          <w:t>https://www.sciencedirect.com/science/article/pii/S0143400402909458</w:t>
        </w:r>
      </w:hyperlink>
      <w:r w:rsidRPr="00280FBF">
        <w:rPr>
          <w:rFonts w:ascii="Times New Roman" w:hAnsi="Times New Roman" w:cs="Times New Roman"/>
          <w:highlight w:val="yellow"/>
          <w:lang w:val="en-GB"/>
        </w:rPr>
        <w:t xml:space="preserve"> </w:t>
      </w:r>
    </w:p>
    <w:p w14:paraId="3D232437" w14:textId="77777777" w:rsidR="005577F3" w:rsidRPr="00AF7305" w:rsidRDefault="005577F3" w:rsidP="005577F3">
      <w:pPr>
        <w:spacing w:after="0" w:line="276" w:lineRule="auto"/>
        <w:ind w:left="720"/>
        <w:jc w:val="both"/>
        <w:rPr>
          <w:rFonts w:ascii="Times New Roman" w:hAnsi="Times New Roman" w:cs="Times New Roman"/>
        </w:rPr>
      </w:pPr>
    </w:p>
    <w:p w14:paraId="4DB5D1BF" w14:textId="77777777" w:rsidR="007A0780" w:rsidRPr="00280FBF" w:rsidRDefault="007A0780" w:rsidP="007A0780">
      <w:pPr>
        <w:pStyle w:val="NoSpacing"/>
        <w:spacing w:line="276" w:lineRule="auto"/>
        <w:jc w:val="both"/>
      </w:pPr>
      <w:r w:rsidRPr="00280FBF">
        <w:br/>
      </w:r>
    </w:p>
    <w:p w14:paraId="533C72BD" w14:textId="77777777" w:rsidR="007A0780" w:rsidRPr="00280FBF" w:rsidRDefault="007A0780" w:rsidP="007A0780">
      <w:pPr>
        <w:pStyle w:val="NoSpacing"/>
        <w:spacing w:line="276" w:lineRule="auto"/>
        <w:jc w:val="both"/>
        <w:rPr>
          <w:rFonts w:ascii="Times New Roman" w:hAnsi="Times New Roman" w:cs="Times New Roman"/>
        </w:rPr>
      </w:pPr>
      <w:r w:rsidRPr="00280FBF">
        <w:br/>
      </w:r>
    </w:p>
    <w:p w14:paraId="670A44F3" w14:textId="77777777" w:rsidR="005B7867" w:rsidRPr="00280FBF" w:rsidRDefault="005B7867">
      <w:bookmarkStart w:id="9" w:name="_GoBack"/>
      <w:bookmarkEnd w:id="9"/>
    </w:p>
    <w:sectPr w:rsidR="005B7867" w:rsidRPr="00280FBF" w:rsidSect="007A0780">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2E5F"/>
    <w:multiLevelType w:val="hybridMultilevel"/>
    <w:tmpl w:val="4D7AD9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B92174"/>
    <w:multiLevelType w:val="multilevel"/>
    <w:tmpl w:val="87EAB238"/>
    <w:lvl w:ilvl="0">
      <w:start w:val="1"/>
      <w:numFmt w:val="bullet"/>
      <w:lvlText w:val=""/>
      <w:lvlJc w:val="left"/>
      <w:pPr>
        <w:tabs>
          <w:tab w:val="num" w:pos="720"/>
        </w:tabs>
        <w:ind w:left="720" w:hanging="360"/>
      </w:pPr>
      <w:rPr>
        <w:rFonts w:ascii="Symbol" w:hAnsi="Symbol" w:hint="default"/>
        <w:b w:val="0"/>
        <w:bCs w:val="0"/>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855C9"/>
    <w:multiLevelType w:val="hybridMultilevel"/>
    <w:tmpl w:val="B6B23DFC"/>
    <w:lvl w:ilvl="0" w:tplc="64D4A3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90"/>
    <w:rsid w:val="00020408"/>
    <w:rsid w:val="00030790"/>
    <w:rsid w:val="000A1253"/>
    <w:rsid w:val="0013343F"/>
    <w:rsid w:val="00174A90"/>
    <w:rsid w:val="00266D79"/>
    <w:rsid w:val="00280FBF"/>
    <w:rsid w:val="002A503B"/>
    <w:rsid w:val="002F4578"/>
    <w:rsid w:val="002F633E"/>
    <w:rsid w:val="00340DEA"/>
    <w:rsid w:val="00367346"/>
    <w:rsid w:val="004A6322"/>
    <w:rsid w:val="005479C3"/>
    <w:rsid w:val="005577F3"/>
    <w:rsid w:val="00580BBE"/>
    <w:rsid w:val="005B7867"/>
    <w:rsid w:val="00612C7D"/>
    <w:rsid w:val="006D685E"/>
    <w:rsid w:val="0073510D"/>
    <w:rsid w:val="00766900"/>
    <w:rsid w:val="007A0780"/>
    <w:rsid w:val="00824019"/>
    <w:rsid w:val="008D106E"/>
    <w:rsid w:val="00911375"/>
    <w:rsid w:val="009308F0"/>
    <w:rsid w:val="009357D1"/>
    <w:rsid w:val="00A54CB7"/>
    <w:rsid w:val="00A63A03"/>
    <w:rsid w:val="00BA42A1"/>
    <w:rsid w:val="00BE79EB"/>
    <w:rsid w:val="00C653B3"/>
    <w:rsid w:val="00DE4709"/>
    <w:rsid w:val="00E86F27"/>
    <w:rsid w:val="00EE2867"/>
    <w:rsid w:val="00F62A1A"/>
    <w:rsid w:val="00FA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21B0"/>
  <w15:chartTrackingRefBased/>
  <w15:docId w15:val="{4040AB38-9E2F-4F4D-9112-3F9871B1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780"/>
    <w:pPr>
      <w:spacing w:line="256" w:lineRule="auto"/>
    </w:pPr>
    <w:rPr>
      <w:kern w:val="0"/>
      <w:sz w:val="22"/>
      <w:szCs w:val="22"/>
      <w14:ligatures w14:val="none"/>
    </w:rPr>
  </w:style>
  <w:style w:type="paragraph" w:styleId="Heading1">
    <w:name w:val="heading 1"/>
    <w:basedOn w:val="Normal"/>
    <w:next w:val="Normal"/>
    <w:link w:val="Heading1Char"/>
    <w:uiPriority w:val="9"/>
    <w:qFormat/>
    <w:rsid w:val="00030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790"/>
    <w:rPr>
      <w:rFonts w:eastAsiaTheme="majorEastAsia" w:cstheme="majorBidi"/>
      <w:color w:val="272727" w:themeColor="text1" w:themeTint="D8"/>
    </w:rPr>
  </w:style>
  <w:style w:type="paragraph" w:styleId="Title">
    <w:name w:val="Title"/>
    <w:basedOn w:val="Normal"/>
    <w:next w:val="Normal"/>
    <w:link w:val="TitleChar"/>
    <w:uiPriority w:val="10"/>
    <w:qFormat/>
    <w:rsid w:val="00030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7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790"/>
    <w:rPr>
      <w:i/>
      <w:iCs/>
      <w:color w:val="404040" w:themeColor="text1" w:themeTint="BF"/>
    </w:rPr>
  </w:style>
  <w:style w:type="paragraph" w:styleId="ListParagraph">
    <w:name w:val="List Paragraph"/>
    <w:basedOn w:val="Normal"/>
    <w:uiPriority w:val="34"/>
    <w:qFormat/>
    <w:rsid w:val="00030790"/>
    <w:pPr>
      <w:ind w:left="720"/>
      <w:contextualSpacing/>
    </w:pPr>
  </w:style>
  <w:style w:type="character" w:styleId="IntenseEmphasis">
    <w:name w:val="Intense Emphasis"/>
    <w:basedOn w:val="DefaultParagraphFont"/>
    <w:uiPriority w:val="21"/>
    <w:qFormat/>
    <w:rsid w:val="00030790"/>
    <w:rPr>
      <w:i/>
      <w:iCs/>
      <w:color w:val="2F5496" w:themeColor="accent1" w:themeShade="BF"/>
    </w:rPr>
  </w:style>
  <w:style w:type="paragraph" w:styleId="IntenseQuote">
    <w:name w:val="Intense Quote"/>
    <w:basedOn w:val="Normal"/>
    <w:next w:val="Normal"/>
    <w:link w:val="IntenseQuoteChar"/>
    <w:uiPriority w:val="30"/>
    <w:qFormat/>
    <w:rsid w:val="00030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790"/>
    <w:rPr>
      <w:i/>
      <w:iCs/>
      <w:color w:val="2F5496" w:themeColor="accent1" w:themeShade="BF"/>
    </w:rPr>
  </w:style>
  <w:style w:type="character" w:styleId="IntenseReference">
    <w:name w:val="Intense Reference"/>
    <w:basedOn w:val="DefaultParagraphFont"/>
    <w:uiPriority w:val="32"/>
    <w:qFormat/>
    <w:rsid w:val="00030790"/>
    <w:rPr>
      <w:b/>
      <w:bCs/>
      <w:smallCaps/>
      <w:color w:val="2F5496" w:themeColor="accent1" w:themeShade="BF"/>
      <w:spacing w:val="5"/>
    </w:rPr>
  </w:style>
  <w:style w:type="paragraph" w:styleId="NoSpacing">
    <w:name w:val="No Spacing"/>
    <w:uiPriority w:val="1"/>
    <w:qFormat/>
    <w:rsid w:val="007A0780"/>
    <w:pPr>
      <w:spacing w:after="0" w:line="240" w:lineRule="auto"/>
    </w:pPr>
    <w:rPr>
      <w:kern w:val="0"/>
      <w:sz w:val="22"/>
      <w:szCs w:val="22"/>
      <w14:ligatures w14:val="none"/>
    </w:rPr>
  </w:style>
  <w:style w:type="character" w:styleId="Hyperlink">
    <w:name w:val="Hyperlink"/>
    <w:basedOn w:val="DefaultParagraphFont"/>
    <w:uiPriority w:val="99"/>
    <w:unhideWhenUsed/>
    <w:rsid w:val="007A0780"/>
    <w:rPr>
      <w:color w:val="0563C1" w:themeColor="hyperlink"/>
      <w:u w:val="single"/>
    </w:rPr>
  </w:style>
  <w:style w:type="table" w:styleId="TableGrid">
    <w:name w:val="Table Grid"/>
    <w:basedOn w:val="TableNormal"/>
    <w:uiPriority w:val="39"/>
    <w:rsid w:val="007A078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404-019-05339-x" TargetMode="External"/><Relationship Id="rId3" Type="http://schemas.openxmlformats.org/officeDocument/2006/relationships/settings" Target="settings.xml"/><Relationship Id="rId7" Type="http://schemas.openxmlformats.org/officeDocument/2006/relationships/hyperlink" Target="https://www.nhp.gov.in/disease/gynaecology-and-obstetrics/intrauterine-growth-restriction-i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S014340040290945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Graphs%20-Sr.%20Sushee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Graphs%20-Sr.%20Sushee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Sheet1!$B$1:$B$2</c:f>
              <c:strCache>
                <c:ptCount val="1"/>
                <c:pt idx="0">
                  <c:v>Table 2:Distribution of Patients Based on Ultrasound Disparity Frequency (n)</c:v>
                </c:pt>
              </c:strCache>
            </c:strRef>
          </c:tx>
          <c:spPr>
            <a:ln>
              <a:solidFill>
                <a:sysClr val="windowText" lastClr="000000"/>
              </a:solidFill>
            </a:ln>
          </c:spPr>
          <c:invertIfNegative val="0"/>
          <c:dLbls>
            <c:spPr>
              <a:solidFill>
                <a:srgbClr val="FFFFCC"/>
              </a:solidFill>
              <a:ln>
                <a:solidFill>
                  <a:schemeClr val="tx1"/>
                </a:solidFill>
              </a:ln>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&lt; 2 Weeks</c:v>
                </c:pt>
                <c:pt idx="1">
                  <c:v>2 -4 Weeks</c:v>
                </c:pt>
                <c:pt idx="2">
                  <c:v>&gt; 4 Weeks</c:v>
                </c:pt>
              </c:strCache>
            </c:strRef>
          </c:cat>
          <c:val>
            <c:numRef>
              <c:f>Sheet1!$B$3:$B$5</c:f>
              <c:numCache>
                <c:formatCode>General</c:formatCode>
                <c:ptCount val="3"/>
                <c:pt idx="0">
                  <c:v>36</c:v>
                </c:pt>
                <c:pt idx="1">
                  <c:v>27</c:v>
                </c:pt>
                <c:pt idx="2">
                  <c:v>12</c:v>
                </c:pt>
              </c:numCache>
            </c:numRef>
          </c:val>
          <c:extLst>
            <c:ext xmlns:c16="http://schemas.microsoft.com/office/drawing/2014/chart" uri="{C3380CC4-5D6E-409C-BE32-E72D297353CC}">
              <c16:uniqueId val="{00000000-D807-40A5-852D-3456052514FA}"/>
            </c:ext>
          </c:extLst>
        </c:ser>
        <c:ser>
          <c:idx val="1"/>
          <c:order val="1"/>
          <c:tx>
            <c:strRef>
              <c:f>Sheet1!$C$1:$C$2</c:f>
              <c:strCache>
                <c:ptCount val="1"/>
                <c:pt idx="0">
                  <c:v>Table 2:Distribution of Patients Based on Ultrasound Disparity Percentage (%)</c:v>
                </c:pt>
              </c:strCache>
            </c:strRef>
          </c:tx>
          <c:spPr>
            <a:solidFill>
              <a:schemeClr val="accent2">
                <a:lumMod val="75000"/>
              </a:schemeClr>
            </a:solidFill>
          </c:spPr>
          <c:invertIfNegative val="0"/>
          <c:dLbls>
            <c:dLbl>
              <c:idx val="0"/>
              <c:layout>
                <c:manualLayout>
                  <c:x val="8.3333333333333367E-3"/>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07-40A5-852D-3456052514FA}"/>
                </c:ext>
              </c:extLst>
            </c:dLbl>
            <c:dLbl>
              <c:idx val="1"/>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07-40A5-852D-3456052514FA}"/>
                </c:ext>
              </c:extLst>
            </c:dLbl>
            <c:dLbl>
              <c:idx val="2"/>
              <c:layout>
                <c:manualLayout>
                  <c:x val="0"/>
                  <c:y val="-9.2592592592592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07-40A5-852D-3456052514FA}"/>
                </c:ext>
              </c:extLst>
            </c:dLbl>
            <c:dLbl>
              <c:idx val="3"/>
              <c:layout>
                <c:manualLayout>
                  <c:x val="5.5555555555555558E-3"/>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07-40A5-852D-3456052514FA}"/>
                </c:ext>
              </c:extLst>
            </c:dLbl>
            <c:spPr>
              <a:solidFill>
                <a:schemeClr val="accent6">
                  <a:lumMod val="20000"/>
                  <a:lumOff val="80000"/>
                </a:schemeClr>
              </a:solidFill>
              <a:ln>
                <a:solidFill>
                  <a:schemeClr val="tx1"/>
                </a:solidFill>
              </a:ln>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&lt; 2 Weeks</c:v>
                </c:pt>
                <c:pt idx="1">
                  <c:v>2 -4 Weeks</c:v>
                </c:pt>
                <c:pt idx="2">
                  <c:v>&gt; 4 Weeks</c:v>
                </c:pt>
              </c:strCache>
            </c:strRef>
          </c:cat>
          <c:val>
            <c:numRef>
              <c:f>Sheet1!$C$3:$C$5</c:f>
              <c:numCache>
                <c:formatCode>0.00%</c:formatCode>
                <c:ptCount val="3"/>
                <c:pt idx="0">
                  <c:v>0.48000000000000004</c:v>
                </c:pt>
                <c:pt idx="1">
                  <c:v>0.36000000000000004</c:v>
                </c:pt>
                <c:pt idx="2">
                  <c:v>0.16</c:v>
                </c:pt>
              </c:numCache>
            </c:numRef>
          </c:val>
          <c:extLst>
            <c:ext xmlns:c16="http://schemas.microsoft.com/office/drawing/2014/chart" uri="{C3380CC4-5D6E-409C-BE32-E72D297353CC}">
              <c16:uniqueId val="{00000005-D807-40A5-852D-3456052514FA}"/>
            </c:ext>
          </c:extLst>
        </c:ser>
        <c:dLbls>
          <c:showLegendKey val="0"/>
          <c:showVal val="0"/>
          <c:showCatName val="0"/>
          <c:showSerName val="0"/>
          <c:showPercent val="0"/>
          <c:showBubbleSize val="0"/>
        </c:dLbls>
        <c:gapWidth val="150"/>
        <c:shape val="box"/>
        <c:axId val="110444544"/>
        <c:axId val="110446080"/>
        <c:axId val="0"/>
      </c:bar3DChart>
      <c:catAx>
        <c:axId val="110444544"/>
        <c:scaling>
          <c:orientation val="minMax"/>
        </c:scaling>
        <c:delete val="0"/>
        <c:axPos val="b"/>
        <c:numFmt formatCode="General" sourceLinked="0"/>
        <c:majorTickMark val="out"/>
        <c:minorTickMark val="none"/>
        <c:tickLblPos val="nextTo"/>
        <c:txPr>
          <a:bodyPr/>
          <a:lstStyle/>
          <a:p>
            <a:pPr>
              <a:defRPr b="1">
                <a:solidFill>
                  <a:srgbClr val="C00000"/>
                </a:solidFill>
              </a:defRPr>
            </a:pPr>
            <a:endParaRPr lang="en-US"/>
          </a:p>
        </c:txPr>
        <c:crossAx val="110446080"/>
        <c:crosses val="autoZero"/>
        <c:auto val="1"/>
        <c:lblAlgn val="ctr"/>
        <c:lblOffset val="100"/>
        <c:noMultiLvlLbl val="0"/>
      </c:catAx>
      <c:valAx>
        <c:axId val="110446080"/>
        <c:scaling>
          <c:orientation val="minMax"/>
        </c:scaling>
        <c:delete val="0"/>
        <c:axPos val="l"/>
        <c:majorGridlines>
          <c:spPr>
            <a:ln>
              <a:solidFill>
                <a:sysClr val="windowText" lastClr="000000"/>
              </a:solidFill>
            </a:ln>
          </c:spPr>
        </c:majorGridlines>
        <c:numFmt formatCode="General" sourceLinked="1"/>
        <c:majorTickMark val="out"/>
        <c:minorTickMark val="none"/>
        <c:tickLblPos val="nextTo"/>
        <c:txPr>
          <a:bodyPr/>
          <a:lstStyle/>
          <a:p>
            <a:pPr>
              <a:defRPr b="1">
                <a:solidFill>
                  <a:srgbClr val="C00000"/>
                </a:solidFill>
              </a:defRPr>
            </a:pPr>
            <a:endParaRPr lang="en-US"/>
          </a:p>
        </c:txPr>
        <c:crossAx val="110444544"/>
        <c:crosses val="autoZero"/>
        <c:crossBetween val="between"/>
      </c:valAx>
      <c:spPr>
        <a:solidFill>
          <a:schemeClr val="accent1">
            <a:lumMod val="20000"/>
            <a:lumOff val="80000"/>
          </a:schemeClr>
        </a:solidFill>
        <a:ln>
          <a:solidFill>
            <a:schemeClr val="tx1"/>
          </a:solidFill>
        </a:ln>
      </c:spPr>
    </c:plotArea>
    <c:legend>
      <c:legendPos val="r"/>
      <c:overlay val="0"/>
    </c:legend>
    <c:plotVisOnly val="1"/>
    <c:dispBlanksAs val="gap"/>
    <c:showDLblsOverMax val="0"/>
  </c:chart>
  <c:spPr>
    <a:solidFill>
      <a:schemeClr val="bg1">
        <a:lumMod val="9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0703423089952159"/>
          <c:y val="4.2495653853583157E-2"/>
          <c:w val="0.34691029570936371"/>
          <c:h val="0.86072376456130162"/>
        </c:manualLayout>
      </c:layout>
      <c:bar3DChart>
        <c:barDir val="bar"/>
        <c:grouping val="stacked"/>
        <c:varyColors val="0"/>
        <c:ser>
          <c:idx val="0"/>
          <c:order val="0"/>
          <c:tx>
            <c:strRef>
              <c:f>Sheet2!$B$1:$B$2</c:f>
              <c:strCache>
                <c:ptCount val="1"/>
                <c:pt idx="0">
                  <c:v>Table 3: Distribution of patients based on the Histopathological findings Frequency (n)</c:v>
                </c:pt>
              </c:strCache>
            </c:strRef>
          </c:tx>
          <c:spPr>
            <a:ln>
              <a:solidFill>
                <a:schemeClr val="tx1"/>
              </a:solidFill>
            </a:ln>
          </c:spPr>
          <c:invertIfNegative val="0"/>
          <c:dLbls>
            <c:spPr>
              <a:solidFill>
                <a:schemeClr val="accent6">
                  <a:lumMod val="20000"/>
                  <a:lumOff val="80000"/>
                </a:schemeClr>
              </a:solidFill>
              <a:ln>
                <a:solidFill>
                  <a:schemeClr val="tx1"/>
                </a:solidFill>
              </a:ln>
            </c:spPr>
            <c:txPr>
              <a:bodyPr/>
              <a:lstStyle/>
              <a:p>
                <a:pPr>
                  <a:defRPr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Sheet2!$A$3:$A$11</c:f>
              <c:strCache>
                <c:ptCount val="9"/>
                <c:pt idx="0">
                  <c:v>Perivillous fibrin deposition</c:v>
                </c:pt>
                <c:pt idx="1">
                  <c:v>Syncitial knots</c:v>
                </c:pt>
                <c:pt idx="2">
                  <c:v>Focal chorioangiosis</c:v>
                </c:pt>
                <c:pt idx="3">
                  <c:v>Intervillous thrombi hematoma</c:v>
                </c:pt>
                <c:pt idx="4">
                  <c:v>Villitis</c:v>
                </c:pt>
                <c:pt idx="5">
                  <c:v>Villous infarction</c:v>
                </c:pt>
                <c:pt idx="6">
                  <c:v>Stromal fibrosis</c:v>
                </c:pt>
                <c:pt idx="7">
                  <c:v>Cytotrophoblast proliferation</c:v>
                </c:pt>
                <c:pt idx="8">
                  <c:v>Thickening of the villous trophoblastic basal membrane</c:v>
                </c:pt>
              </c:strCache>
            </c:strRef>
          </c:cat>
          <c:val>
            <c:numRef>
              <c:f>Sheet2!$B$3:$B$11</c:f>
              <c:numCache>
                <c:formatCode>General</c:formatCode>
                <c:ptCount val="9"/>
                <c:pt idx="0">
                  <c:v>73</c:v>
                </c:pt>
                <c:pt idx="1">
                  <c:v>68</c:v>
                </c:pt>
                <c:pt idx="2">
                  <c:v>62</c:v>
                </c:pt>
                <c:pt idx="3">
                  <c:v>36</c:v>
                </c:pt>
                <c:pt idx="4">
                  <c:v>27</c:v>
                </c:pt>
                <c:pt idx="5">
                  <c:v>19</c:v>
                </c:pt>
                <c:pt idx="6">
                  <c:v>12</c:v>
                </c:pt>
                <c:pt idx="7">
                  <c:v>11</c:v>
                </c:pt>
                <c:pt idx="8">
                  <c:v>8</c:v>
                </c:pt>
              </c:numCache>
            </c:numRef>
          </c:val>
          <c:extLst>
            <c:ext xmlns:c16="http://schemas.microsoft.com/office/drawing/2014/chart" uri="{C3380CC4-5D6E-409C-BE32-E72D297353CC}">
              <c16:uniqueId val="{00000000-9DBE-4B46-AFEA-8A17563214CC}"/>
            </c:ext>
          </c:extLst>
        </c:ser>
        <c:ser>
          <c:idx val="1"/>
          <c:order val="1"/>
          <c:tx>
            <c:strRef>
              <c:f>Sheet2!$C$1:$C$2</c:f>
              <c:strCache>
                <c:ptCount val="1"/>
                <c:pt idx="0">
                  <c:v>Table 3: Distribution of patients based on the Histopathological findings Percentage (%)</c:v>
                </c:pt>
              </c:strCache>
            </c:strRef>
          </c:tx>
          <c:invertIfNegative val="0"/>
          <c:dLbls>
            <c:dLbl>
              <c:idx val="0"/>
              <c:layout>
                <c:manualLayout>
                  <c:x val="6.6666666666666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BE-4B46-AFEA-8A17563214CC}"/>
                </c:ext>
              </c:extLst>
            </c:dLbl>
            <c:dLbl>
              <c:idx val="1"/>
              <c:layout>
                <c:manualLayout>
                  <c:x val="6.3888888888888884E-2"/>
                  <c:y val="-8.48755627201337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BE-4B46-AFEA-8A17563214CC}"/>
                </c:ext>
              </c:extLst>
            </c:dLbl>
            <c:dLbl>
              <c:idx val="2"/>
              <c:layout>
                <c:manualLayout>
                  <c:x val="5.20892933654323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BE-4B46-AFEA-8A17563214CC}"/>
                </c:ext>
              </c:extLst>
            </c:dLbl>
            <c:dLbl>
              <c:idx val="3"/>
              <c:layout>
                <c:manualLayout>
                  <c:x val="6.38888888888888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BE-4B46-AFEA-8A17563214CC}"/>
                </c:ext>
              </c:extLst>
            </c:dLbl>
            <c:dLbl>
              <c:idx val="4"/>
              <c:layout>
                <c:manualLayout>
                  <c:x val="7.50000000000000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BE-4B46-AFEA-8A17563214CC}"/>
                </c:ext>
              </c:extLst>
            </c:dLbl>
            <c:dLbl>
              <c:idx val="5"/>
              <c:layout>
                <c:manualLayout>
                  <c:x val="9.4444444444444511E-2"/>
                  <c:y val="4.62962962962963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BE-4B46-AFEA-8A17563214CC}"/>
                </c:ext>
              </c:extLst>
            </c:dLbl>
            <c:dLbl>
              <c:idx val="6"/>
              <c:layout>
                <c:manualLayout>
                  <c:x val="0.1000000000000000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BE-4B46-AFEA-8A17563214CC}"/>
                </c:ext>
              </c:extLst>
            </c:dLbl>
            <c:dLbl>
              <c:idx val="7"/>
              <c:layout>
                <c:manualLayout>
                  <c:x val="9.72222222222222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BE-4B46-AFEA-8A17563214CC}"/>
                </c:ext>
              </c:extLst>
            </c:dLbl>
            <c:dLbl>
              <c:idx val="8"/>
              <c:layout>
                <c:manualLayout>
                  <c:x val="8.61111111111110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BE-4B46-AFEA-8A17563214CC}"/>
                </c:ext>
              </c:extLst>
            </c:dLbl>
            <c:spPr>
              <a:noFill/>
              <a:ln>
                <a:solidFill>
                  <a:schemeClr val="tx1"/>
                </a:solidFill>
              </a:ln>
            </c:spPr>
            <c:txPr>
              <a:bodyPr/>
              <a:lstStyle/>
              <a:p>
                <a:pPr>
                  <a:defRPr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Sheet2!$A$3:$A$11</c:f>
              <c:strCache>
                <c:ptCount val="9"/>
                <c:pt idx="0">
                  <c:v>Perivillous fibrin deposition</c:v>
                </c:pt>
                <c:pt idx="1">
                  <c:v>Syncitial knots</c:v>
                </c:pt>
                <c:pt idx="2">
                  <c:v>Focal chorioangiosis</c:v>
                </c:pt>
                <c:pt idx="3">
                  <c:v>Intervillous thrombi hematoma</c:v>
                </c:pt>
                <c:pt idx="4">
                  <c:v>Villitis</c:v>
                </c:pt>
                <c:pt idx="5">
                  <c:v>Villous infarction</c:v>
                </c:pt>
                <c:pt idx="6">
                  <c:v>Stromal fibrosis</c:v>
                </c:pt>
                <c:pt idx="7">
                  <c:v>Cytotrophoblast proliferation</c:v>
                </c:pt>
                <c:pt idx="8">
                  <c:v>Thickening of the villous trophoblastic basal membrane</c:v>
                </c:pt>
              </c:strCache>
            </c:strRef>
          </c:cat>
          <c:val>
            <c:numRef>
              <c:f>Sheet2!$C$3:$C$11</c:f>
              <c:numCache>
                <c:formatCode>0.00%</c:formatCode>
                <c:ptCount val="9"/>
                <c:pt idx="0">
                  <c:v>0.97300000000000009</c:v>
                </c:pt>
                <c:pt idx="1">
                  <c:v>0.90700000000000003</c:v>
                </c:pt>
                <c:pt idx="2">
                  <c:v>0.82700000000000007</c:v>
                </c:pt>
                <c:pt idx="3">
                  <c:v>0.48000000000000004</c:v>
                </c:pt>
                <c:pt idx="4">
                  <c:v>0.36000000000000004</c:v>
                </c:pt>
                <c:pt idx="5">
                  <c:v>0.253</c:v>
                </c:pt>
                <c:pt idx="6">
                  <c:v>0.16</c:v>
                </c:pt>
                <c:pt idx="7">
                  <c:v>0.14700000000000002</c:v>
                </c:pt>
                <c:pt idx="8">
                  <c:v>0.10700000000000001</c:v>
                </c:pt>
              </c:numCache>
            </c:numRef>
          </c:val>
          <c:extLst>
            <c:ext xmlns:c16="http://schemas.microsoft.com/office/drawing/2014/chart" uri="{C3380CC4-5D6E-409C-BE32-E72D297353CC}">
              <c16:uniqueId val="{0000000A-9DBE-4B46-AFEA-8A17563214CC}"/>
            </c:ext>
          </c:extLst>
        </c:ser>
        <c:dLbls>
          <c:showLegendKey val="0"/>
          <c:showVal val="0"/>
          <c:showCatName val="0"/>
          <c:showSerName val="0"/>
          <c:showPercent val="0"/>
          <c:showBubbleSize val="0"/>
        </c:dLbls>
        <c:gapWidth val="150"/>
        <c:shape val="box"/>
        <c:axId val="110484096"/>
        <c:axId val="110510464"/>
        <c:axId val="0"/>
      </c:bar3DChart>
      <c:catAx>
        <c:axId val="110484096"/>
        <c:scaling>
          <c:orientation val="minMax"/>
        </c:scaling>
        <c:delete val="0"/>
        <c:axPos val="l"/>
        <c:numFmt formatCode="General" sourceLinked="0"/>
        <c:majorTickMark val="out"/>
        <c:minorTickMark val="none"/>
        <c:tickLblPos val="nextTo"/>
        <c:txPr>
          <a:bodyPr/>
          <a:lstStyle/>
          <a:p>
            <a:pPr>
              <a:defRPr b="1">
                <a:solidFill>
                  <a:sysClr val="windowText" lastClr="000000"/>
                </a:solidFill>
              </a:defRPr>
            </a:pPr>
            <a:endParaRPr lang="en-US"/>
          </a:p>
        </c:txPr>
        <c:crossAx val="110510464"/>
        <c:crosses val="autoZero"/>
        <c:auto val="1"/>
        <c:lblAlgn val="ctr"/>
        <c:lblOffset val="100"/>
        <c:noMultiLvlLbl val="0"/>
      </c:catAx>
      <c:valAx>
        <c:axId val="110510464"/>
        <c:scaling>
          <c:orientation val="minMax"/>
        </c:scaling>
        <c:delete val="0"/>
        <c:axPos val="b"/>
        <c:majorGridlines>
          <c:spPr>
            <a:ln>
              <a:solidFill>
                <a:sysClr val="windowText" lastClr="000000">
                  <a:tint val="75000"/>
                  <a:shade val="95000"/>
                  <a:satMod val="105000"/>
                </a:sysClr>
              </a:solidFill>
            </a:ln>
          </c:spPr>
        </c:majorGridlines>
        <c:numFmt formatCode="General" sourceLinked="1"/>
        <c:majorTickMark val="out"/>
        <c:minorTickMark val="none"/>
        <c:tickLblPos val="nextTo"/>
        <c:spPr>
          <a:ln>
            <a:solidFill>
              <a:sysClr val="windowText" lastClr="000000">
                <a:tint val="75000"/>
                <a:shade val="95000"/>
                <a:satMod val="105000"/>
              </a:sysClr>
            </a:solidFill>
          </a:ln>
        </c:spPr>
        <c:txPr>
          <a:bodyPr/>
          <a:lstStyle/>
          <a:p>
            <a:pPr>
              <a:defRPr b="1">
                <a:solidFill>
                  <a:sysClr val="windowText" lastClr="000000"/>
                </a:solidFill>
              </a:defRPr>
            </a:pPr>
            <a:endParaRPr lang="en-US"/>
          </a:p>
        </c:txPr>
        <c:crossAx val="110484096"/>
        <c:crosses val="autoZero"/>
        <c:crossBetween val="between"/>
      </c:valAx>
      <c:spPr>
        <a:solidFill>
          <a:srgbClr val="FFFFCC"/>
        </a:solidFill>
        <a:ln>
          <a:solidFill>
            <a:sysClr val="windowText" lastClr="000000"/>
          </a:solidFill>
        </a:ln>
      </c:spPr>
    </c:plotArea>
    <c:legend>
      <c:legendPos val="r"/>
      <c:overlay val="0"/>
      <c:txPr>
        <a:bodyPr/>
        <a:lstStyle/>
        <a:p>
          <a:pPr>
            <a:defRPr b="1">
              <a:solidFill>
                <a:sysClr val="windowText" lastClr="000000"/>
              </a:solidFill>
            </a:defRPr>
          </a:pPr>
          <a:endParaRPr lang="en-US"/>
        </a:p>
      </c:txPr>
    </c:legend>
    <c:plotVisOnly val="1"/>
    <c:dispBlanksAs val="gap"/>
    <c:showDLblsOverMax val="0"/>
  </c:chart>
  <c:spPr>
    <a:solidFill>
      <a:schemeClr val="accent5">
        <a:lumMod val="20000"/>
        <a:lumOff val="80000"/>
      </a:schemeClr>
    </a:solidFill>
    <a:ln>
      <a:solidFill>
        <a:schemeClr val="tx1"/>
      </a:solidFill>
    </a:ln>
  </c:spPr>
  <c:txPr>
    <a:bodyPr/>
    <a:lstStyle/>
    <a:p>
      <a:pPr>
        <a:defRPr>
          <a:solidFill>
            <a:srgbClr val="FF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Vijaymarie Hospital</dc:creator>
  <cp:keywords/>
  <dc:description/>
  <cp:lastModifiedBy>SDI 1186</cp:lastModifiedBy>
  <cp:revision>14</cp:revision>
  <dcterms:created xsi:type="dcterms:W3CDTF">2025-08-20T01:57:00Z</dcterms:created>
  <dcterms:modified xsi:type="dcterms:W3CDTF">2025-08-28T06:31:00Z</dcterms:modified>
</cp:coreProperties>
</file>