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453C6" w14:textId="5A5D49F2" w:rsidR="009133A2" w:rsidRDefault="009133A2" w:rsidP="004A5C27">
      <w:pPr>
        <w:spacing w:line="360" w:lineRule="auto"/>
        <w:jc w:val="center"/>
        <w:rPr>
          <w:rFonts w:ascii="Arial" w:hAnsi="Arial" w:cs="Arial"/>
          <w:b/>
          <w:bCs/>
          <w:lang w:val="en-US"/>
        </w:rPr>
      </w:pPr>
      <w:r w:rsidRPr="009133A2">
        <w:rPr>
          <w:rFonts w:ascii="Arial" w:hAnsi="Arial" w:cs="Arial"/>
          <w:b/>
          <w:bCs/>
          <w:lang w:val="en-US"/>
        </w:rPr>
        <w:t>Cervical Spondylotic Myelopathy (CSM): A Literature Review</w:t>
      </w:r>
    </w:p>
    <w:p w14:paraId="47EAAE71" w14:textId="77777777" w:rsidR="002E24B6" w:rsidRDefault="002E24B6" w:rsidP="004A5C27">
      <w:pPr>
        <w:spacing w:line="360" w:lineRule="auto"/>
        <w:jc w:val="center"/>
        <w:rPr>
          <w:rFonts w:ascii="Arial" w:hAnsi="Arial" w:cs="Arial"/>
          <w:b/>
          <w:bCs/>
          <w:lang w:val="en-US"/>
        </w:rPr>
      </w:pPr>
    </w:p>
    <w:p w14:paraId="55C4D549" w14:textId="77777777" w:rsidR="00352B76" w:rsidRPr="009133A2" w:rsidRDefault="00352B76" w:rsidP="004A5C27">
      <w:pPr>
        <w:pStyle w:val="p1"/>
        <w:spacing w:line="360" w:lineRule="auto"/>
        <w:jc w:val="center"/>
        <w:rPr>
          <w:lang w:val="en-US"/>
        </w:rPr>
      </w:pPr>
    </w:p>
    <w:p w14:paraId="0859A021" w14:textId="77777777" w:rsidR="004B0F6C" w:rsidRDefault="004B0F6C" w:rsidP="004A5C27">
      <w:pPr>
        <w:spacing w:line="360" w:lineRule="auto"/>
        <w:jc w:val="both"/>
        <w:rPr>
          <w:b/>
          <w:bCs/>
          <w:lang w:val="en-US"/>
        </w:rPr>
      </w:pPr>
    </w:p>
    <w:p w14:paraId="05B36899" w14:textId="77777777" w:rsidR="00B13582" w:rsidRDefault="00B13582" w:rsidP="004A5C27">
      <w:pPr>
        <w:spacing w:line="360" w:lineRule="auto"/>
        <w:jc w:val="both"/>
        <w:rPr>
          <w:b/>
          <w:bCs/>
          <w:lang w:val="en-US"/>
        </w:rPr>
      </w:pPr>
    </w:p>
    <w:p w14:paraId="0985B852" w14:textId="17923A72" w:rsidR="009133A2" w:rsidRDefault="00BC73A7" w:rsidP="009133A2">
      <w:pPr>
        <w:spacing w:line="360" w:lineRule="auto"/>
        <w:jc w:val="both"/>
        <w:rPr>
          <w:rFonts w:ascii="Arial" w:hAnsi="Arial" w:cs="Arial"/>
          <w:sz w:val="20"/>
          <w:szCs w:val="20"/>
          <w:lang w:val="en-US"/>
        </w:rPr>
      </w:pPr>
      <w:r w:rsidRPr="00352B76">
        <w:rPr>
          <w:rFonts w:ascii="Arial" w:hAnsi="Arial" w:cs="Arial"/>
          <w:b/>
          <w:bCs/>
          <w:sz w:val="20"/>
          <w:szCs w:val="20"/>
          <w:lang w:val="en-US"/>
        </w:rPr>
        <w:t>Abstract</w:t>
      </w:r>
      <w:r w:rsidRPr="00352B76">
        <w:rPr>
          <w:rFonts w:ascii="Arial" w:hAnsi="Arial" w:cs="Arial"/>
          <w:sz w:val="20"/>
          <w:szCs w:val="20"/>
          <w:lang w:val="en-US"/>
        </w:rPr>
        <w:br/>
      </w:r>
      <w:r w:rsidR="009133A2" w:rsidRPr="009133A2">
        <w:rPr>
          <w:rFonts w:ascii="Arial" w:hAnsi="Arial" w:cs="Arial"/>
          <w:sz w:val="20"/>
          <w:szCs w:val="20"/>
          <w:lang w:val="en-US"/>
        </w:rPr>
        <w:t>Cervical Spondylotic Myelopathy (CSM) is a progressive degenerative condition of the cervical spine leading to spinal cord compression, primarily affecting individuals over the age of 50. This condition is the most common cause of spinal cord dysfunction in adults, characterized by a constellation of motor, sensory, and autonomic disturbances. The pathogenesis of CSM involves a combination of static mechanical compression due to osteophyte formation, disc degeneration, ligamentum flavum hypertrophy, and dynamic factors such as neck movements exacerbating cord impingement. Clinically, patients present with hand clumsiness, gait disturbances, limb weakness, sensory deficits, and in severe cases, spastic paralysis. Diagnosis is established through clinical evaluation and confirmed with imaging modalities such as MRI, which reveals spinal canal stenosis and cord compression. Several clinical scoring systems, including the modified Japanese Orthopaedic Association (mJOA) score, Nurick grade, and Neck Disability Index (NDI), assist in evaluating severity and monitoring progression. Management of CSM depends on symptom severity and neurological impairment. Non-operative treatment, such as physical therapy and pharmacological intervention, may be considered in mild cases. However, surgical decompression</w:t>
      </w:r>
      <w:r w:rsidR="009133A2">
        <w:rPr>
          <w:rFonts w:ascii="Arial" w:hAnsi="Arial" w:cs="Arial"/>
          <w:sz w:val="20"/>
          <w:szCs w:val="20"/>
          <w:lang w:val="en-US"/>
        </w:rPr>
        <w:t xml:space="preserve"> </w:t>
      </w:r>
      <w:r w:rsidR="009133A2" w:rsidRPr="009133A2">
        <w:rPr>
          <w:rFonts w:ascii="Arial" w:hAnsi="Arial" w:cs="Arial"/>
          <w:sz w:val="20"/>
          <w:szCs w:val="20"/>
          <w:lang w:val="en-US"/>
        </w:rPr>
        <w:t>either via anterior or posterior approaches</w:t>
      </w:r>
      <w:r w:rsidR="009133A2">
        <w:rPr>
          <w:rFonts w:ascii="Arial" w:hAnsi="Arial" w:cs="Arial"/>
          <w:sz w:val="20"/>
          <w:szCs w:val="20"/>
          <w:lang w:val="en-US"/>
        </w:rPr>
        <w:t xml:space="preserve"> </w:t>
      </w:r>
      <w:r w:rsidR="009133A2" w:rsidRPr="009133A2">
        <w:rPr>
          <w:rFonts w:ascii="Arial" w:hAnsi="Arial" w:cs="Arial"/>
          <w:sz w:val="20"/>
          <w:szCs w:val="20"/>
          <w:lang w:val="en-US"/>
        </w:rPr>
        <w:t>is indicated in cases with progressive neurological decline or failure of conservative therapy. Surgical techniques include anterior cervical discectomy and fusion (ACDF), corpectomy, laminectomy, and laminoplasty. Early recognition and intervention are crucial to improving functional outcomes and preventing irreversible neurological deficits. Prognosis varies, with incomplete spinal cord injuries showing more favorable recovery compared to complete injuries. Rehabilitative measures remain vital in maximizing recovery and quality of life in affected individuals.</w:t>
      </w:r>
    </w:p>
    <w:p w14:paraId="4F7BC514" w14:textId="77777777" w:rsidR="009133A2" w:rsidRPr="009133A2" w:rsidRDefault="009133A2" w:rsidP="009133A2">
      <w:pPr>
        <w:spacing w:line="360" w:lineRule="auto"/>
        <w:jc w:val="both"/>
        <w:rPr>
          <w:rFonts w:ascii="Arial" w:hAnsi="Arial" w:cs="Arial"/>
          <w:sz w:val="20"/>
          <w:szCs w:val="20"/>
          <w:lang w:val="en-US"/>
        </w:rPr>
      </w:pPr>
    </w:p>
    <w:p w14:paraId="69FCC920" w14:textId="77777777" w:rsidR="009133A2" w:rsidRPr="009133A2" w:rsidRDefault="009133A2" w:rsidP="009133A2">
      <w:pPr>
        <w:spacing w:line="360" w:lineRule="auto"/>
        <w:jc w:val="both"/>
        <w:rPr>
          <w:rFonts w:ascii="Arial" w:hAnsi="Arial" w:cs="Arial"/>
          <w:sz w:val="20"/>
          <w:szCs w:val="20"/>
          <w:lang w:val="en-US"/>
        </w:rPr>
      </w:pPr>
      <w:r w:rsidRPr="009133A2">
        <w:rPr>
          <w:rFonts w:ascii="Arial" w:hAnsi="Arial" w:cs="Arial"/>
          <w:sz w:val="20"/>
          <w:szCs w:val="20"/>
          <w:lang w:val="en-US"/>
        </w:rPr>
        <w:t>Keywords:</w:t>
      </w:r>
    </w:p>
    <w:p w14:paraId="507C19EE" w14:textId="21BCB854" w:rsidR="00987D4E" w:rsidRPr="009133A2" w:rsidRDefault="009133A2" w:rsidP="009133A2">
      <w:pPr>
        <w:spacing w:line="360" w:lineRule="auto"/>
        <w:jc w:val="both"/>
        <w:rPr>
          <w:rFonts w:ascii="Arial" w:hAnsi="Arial" w:cs="Arial"/>
          <w:sz w:val="20"/>
          <w:szCs w:val="20"/>
          <w:lang w:val="en-US"/>
        </w:rPr>
      </w:pPr>
      <w:r w:rsidRPr="009133A2">
        <w:rPr>
          <w:rFonts w:ascii="Arial" w:hAnsi="Arial" w:cs="Arial"/>
          <w:sz w:val="20"/>
          <w:szCs w:val="20"/>
          <w:lang w:val="en-US"/>
        </w:rPr>
        <w:t>Cervical Myelopathy, Spinal Cord Compression, Degenerative Spine Disease</w:t>
      </w:r>
    </w:p>
    <w:p w14:paraId="1B2A6C7A" w14:textId="0FB06E0E" w:rsidR="00987D4E" w:rsidRPr="00352B76" w:rsidRDefault="00987D4E" w:rsidP="004A5C27">
      <w:pPr>
        <w:spacing w:line="360" w:lineRule="auto"/>
        <w:rPr>
          <w:rFonts w:ascii="Arial" w:hAnsi="Arial" w:cs="Arial"/>
          <w:sz w:val="20"/>
          <w:szCs w:val="20"/>
          <w:lang w:val="en-US"/>
        </w:rPr>
      </w:pPr>
      <w:r w:rsidRPr="00352B76">
        <w:rPr>
          <w:rFonts w:ascii="Arial" w:hAnsi="Arial" w:cs="Arial"/>
          <w:sz w:val="20"/>
          <w:szCs w:val="20"/>
          <w:lang w:val="en-US"/>
        </w:rPr>
        <w:br w:type="page"/>
      </w:r>
      <w:r w:rsidRPr="00352B76">
        <w:rPr>
          <w:rFonts w:ascii="Arial" w:hAnsi="Arial" w:cs="Arial"/>
          <w:b/>
          <w:bCs/>
          <w:sz w:val="20"/>
          <w:szCs w:val="20"/>
          <w:lang w:val="en-US"/>
        </w:rPr>
        <w:lastRenderedPageBreak/>
        <w:t>I</w:t>
      </w:r>
      <w:r w:rsidR="00A36B12">
        <w:rPr>
          <w:rFonts w:ascii="Arial" w:hAnsi="Arial" w:cs="Arial"/>
          <w:b/>
          <w:bCs/>
          <w:sz w:val="20"/>
          <w:szCs w:val="20"/>
          <w:lang w:val="en-US"/>
        </w:rPr>
        <w:t>ntroduction</w:t>
      </w:r>
    </w:p>
    <w:p w14:paraId="4A7C12DA" w14:textId="7F22BEF9" w:rsidR="00760138" w:rsidRDefault="009133A2" w:rsidP="004A5C27">
      <w:pPr>
        <w:spacing w:line="360" w:lineRule="auto"/>
        <w:jc w:val="both"/>
        <w:rPr>
          <w:rFonts w:ascii="Arial" w:hAnsi="Arial" w:cs="Arial"/>
          <w:sz w:val="20"/>
          <w:szCs w:val="20"/>
          <w:lang w:val="en-US"/>
        </w:rPr>
      </w:pPr>
      <w:r w:rsidRPr="009133A2">
        <w:rPr>
          <w:rFonts w:ascii="Arial" w:hAnsi="Arial" w:cs="Arial"/>
          <w:sz w:val="20"/>
          <w:szCs w:val="20"/>
          <w:lang w:val="en-US"/>
        </w:rPr>
        <w:t>Cervical Spondylotic Myelopathy (CSM) is a neck condition that arises when the spinal cord becomes compressed or pinched due to age-related degenerative changes in the spine. This condition commonly occurs in patients over the age of 50.</w:t>
      </w:r>
      <w:r w:rsidR="00946FD5">
        <w:rPr>
          <w:rFonts w:ascii="Arial" w:hAnsi="Arial" w:cs="Arial"/>
          <w:sz w:val="20"/>
          <w:szCs w:val="20"/>
          <w:lang w:val="en-US"/>
        </w:rPr>
        <w:t xml:space="preserve"> </w:t>
      </w:r>
      <w:r>
        <w:rPr>
          <w:rFonts w:ascii="Arial" w:hAnsi="Arial" w:cs="Arial"/>
          <w:sz w:val="20"/>
          <w:szCs w:val="20"/>
          <w:lang w:val="en-US"/>
        </w:rPr>
        <w:t>(1)</w:t>
      </w:r>
      <w:r w:rsidRPr="009133A2">
        <w:rPr>
          <w:rFonts w:ascii="Arial" w:hAnsi="Arial" w:cs="Arial"/>
          <w:sz w:val="20"/>
          <w:szCs w:val="20"/>
          <w:lang w:val="en-US"/>
        </w:rPr>
        <w:t xml:space="preserve"> Because the spinal cord transmits nerve impulses to various parts of the body, patients with CSM may experience a wide range of symptoms. These can include weakness and numbness in the hands and arms, loss of balance and coordination, and neck pain — all resulting from the disruption of normal nerve impulse transmission through the</w:t>
      </w:r>
      <w:r w:rsidR="00946FD5">
        <w:rPr>
          <w:rFonts w:ascii="Arial" w:hAnsi="Arial" w:cs="Arial"/>
          <w:sz w:val="20"/>
          <w:szCs w:val="20"/>
          <w:lang w:val="en-US"/>
        </w:rPr>
        <w:t xml:space="preserve"> </w:t>
      </w:r>
      <w:r w:rsidRPr="009133A2">
        <w:rPr>
          <w:rFonts w:ascii="Arial" w:hAnsi="Arial" w:cs="Arial"/>
          <w:sz w:val="20"/>
          <w:szCs w:val="20"/>
          <w:lang w:val="en-US"/>
        </w:rPr>
        <w:t>spinal cord.</w:t>
      </w:r>
      <w:r w:rsidR="00946FD5">
        <w:rPr>
          <w:rFonts w:ascii="Arial" w:hAnsi="Arial" w:cs="Arial"/>
          <w:sz w:val="20"/>
          <w:szCs w:val="20"/>
          <w:lang w:val="en-US"/>
        </w:rPr>
        <w:t xml:space="preserve"> (</w:t>
      </w:r>
      <w:r w:rsidRPr="009133A2">
        <w:rPr>
          <w:rFonts w:ascii="Arial" w:hAnsi="Arial" w:cs="Arial"/>
          <w:sz w:val="20"/>
          <w:szCs w:val="20"/>
          <w:lang w:val="en-US"/>
        </w:rPr>
        <w:t>2</w:t>
      </w:r>
      <w:r w:rsidR="00946FD5">
        <w:rPr>
          <w:rFonts w:ascii="Arial" w:hAnsi="Arial" w:cs="Arial"/>
          <w:sz w:val="20"/>
          <w:szCs w:val="20"/>
          <w:lang w:val="en-US"/>
        </w:rPr>
        <w:t>)</w:t>
      </w:r>
    </w:p>
    <w:p w14:paraId="104F32E9" w14:textId="77777777" w:rsidR="009133A2" w:rsidRPr="009133A2" w:rsidRDefault="009133A2" w:rsidP="004A5C27">
      <w:pPr>
        <w:spacing w:line="360" w:lineRule="auto"/>
        <w:jc w:val="both"/>
        <w:rPr>
          <w:rFonts w:ascii="Arial" w:hAnsi="Arial" w:cs="Arial"/>
          <w:sz w:val="20"/>
          <w:szCs w:val="20"/>
        </w:rPr>
      </w:pPr>
    </w:p>
    <w:p w14:paraId="4E93DAEC" w14:textId="729EB43D" w:rsidR="006D36D8" w:rsidRDefault="00A36B12" w:rsidP="004A5C27">
      <w:pPr>
        <w:spacing w:line="360" w:lineRule="auto"/>
        <w:rPr>
          <w:rFonts w:ascii="Arial" w:hAnsi="Arial" w:cs="Arial"/>
          <w:b/>
          <w:bCs/>
          <w:sz w:val="20"/>
          <w:szCs w:val="20"/>
          <w:lang w:val="en-US"/>
        </w:rPr>
      </w:pPr>
      <w:r>
        <w:rPr>
          <w:rFonts w:ascii="Arial" w:hAnsi="Arial" w:cs="Arial"/>
          <w:b/>
          <w:bCs/>
          <w:sz w:val="20"/>
          <w:szCs w:val="20"/>
          <w:lang w:val="en-US"/>
        </w:rPr>
        <w:t>Epidemiology</w:t>
      </w:r>
    </w:p>
    <w:p w14:paraId="7E85160E" w14:textId="3774814F" w:rsidR="00A36B12" w:rsidRDefault="00A36B12" w:rsidP="00A36B12">
      <w:pPr>
        <w:spacing w:line="360" w:lineRule="auto"/>
        <w:jc w:val="both"/>
        <w:rPr>
          <w:rFonts w:ascii="Arial" w:hAnsi="Arial" w:cs="Arial"/>
          <w:color w:val="000000"/>
          <w:sz w:val="20"/>
          <w:szCs w:val="20"/>
          <w:vertAlign w:val="superscript"/>
        </w:rPr>
      </w:pPr>
      <w:r w:rsidRPr="00A36B12">
        <w:rPr>
          <w:rFonts w:ascii="Arial" w:hAnsi="Arial" w:cs="Arial"/>
          <w:color w:val="000000"/>
          <w:sz w:val="20"/>
          <w:szCs w:val="20"/>
        </w:rPr>
        <w:t>Population-based data from Rochester, Minnesota, indicate that cervical myelopathy has an annual incidence rate of 97.3 per 100,000 in men and 63.5 per 100,000 in women, with a peak occurrence between the ages of 50 and 54. A history of physical labor or prior trauma preceding symptom onset is present in only 15% of cases. A study from Sicily reported a prevalence of approximately 35 cases per 1,000 population. Around 26% of 561 patients with cervical myelopathy underwent surgery within 3 months</w:t>
      </w:r>
      <w:r w:rsidR="00946FD5">
        <w:rPr>
          <w:rFonts w:ascii="Arial" w:hAnsi="Arial" w:cs="Arial"/>
          <w:color w:val="000000"/>
          <w:sz w:val="20"/>
          <w:szCs w:val="20"/>
        </w:rPr>
        <w:t xml:space="preserve">. (3) </w:t>
      </w:r>
      <w:r w:rsidRPr="00A36B12">
        <w:rPr>
          <w:rFonts w:ascii="Arial" w:hAnsi="Arial" w:cs="Arial"/>
          <w:color w:val="000000"/>
          <w:sz w:val="20"/>
          <w:szCs w:val="20"/>
        </w:rPr>
        <w:t>Recurrence, defined as the reappearance of symptoms after a symptom-free interval of at least 6 months, occurred in about 32% of patients. In 90% of patients, neurological findings were either normal or showed only mild weakness due to cervical radiculopathy. Axial neck pain is the most common cause of neck discomfort and has a high recovery rate. In one study, after 3 months of non-operative treatment, 70% of patients achieved complete recovery. The most frequently affected levels are C5-6 &gt; C6-7, due to their association with the greatest range of flexion and extension in the subaxial cervical spine</w:t>
      </w:r>
      <w:r w:rsidR="00946FD5">
        <w:rPr>
          <w:rFonts w:ascii="Arial" w:hAnsi="Arial" w:cs="Arial"/>
          <w:color w:val="000000"/>
          <w:sz w:val="20"/>
          <w:szCs w:val="20"/>
        </w:rPr>
        <w:t>. (4)</w:t>
      </w:r>
    </w:p>
    <w:p w14:paraId="2F98DD1C" w14:textId="77777777" w:rsidR="00A36B12" w:rsidRPr="00352B76" w:rsidRDefault="00A36B12" w:rsidP="004A5C27">
      <w:pPr>
        <w:spacing w:line="360" w:lineRule="auto"/>
        <w:rPr>
          <w:rFonts w:ascii="Arial" w:hAnsi="Arial" w:cs="Arial"/>
          <w:b/>
          <w:bCs/>
          <w:sz w:val="20"/>
          <w:szCs w:val="20"/>
          <w:lang w:val="en-US"/>
        </w:rPr>
      </w:pPr>
    </w:p>
    <w:p w14:paraId="12B9A094" w14:textId="4CD05AE1" w:rsidR="004376FD" w:rsidRPr="00A36B12" w:rsidRDefault="00A36B12" w:rsidP="004A5C27">
      <w:pPr>
        <w:spacing w:line="360" w:lineRule="auto"/>
        <w:rPr>
          <w:rFonts w:ascii="Arial" w:hAnsi="Arial" w:cs="Arial"/>
          <w:b/>
          <w:bCs/>
          <w:sz w:val="20"/>
          <w:szCs w:val="20"/>
          <w:lang w:val="en-US"/>
        </w:rPr>
      </w:pPr>
      <w:r w:rsidRPr="00A36B12">
        <w:rPr>
          <w:rFonts w:ascii="Arial" w:hAnsi="Arial" w:cs="Arial"/>
          <w:b/>
          <w:bCs/>
          <w:sz w:val="20"/>
          <w:szCs w:val="20"/>
          <w:lang w:val="en-US"/>
        </w:rPr>
        <w:t>Etilogy</w:t>
      </w:r>
    </w:p>
    <w:p w14:paraId="1E67CA3C" w14:textId="10BBFABA" w:rsidR="00A36B12" w:rsidRPr="00A36B12" w:rsidRDefault="00A36B12" w:rsidP="00A36B12">
      <w:pPr>
        <w:spacing w:line="360" w:lineRule="auto"/>
        <w:jc w:val="both"/>
        <w:rPr>
          <w:rFonts w:ascii="Arial" w:hAnsi="Arial" w:cs="Arial"/>
          <w:color w:val="000000"/>
          <w:sz w:val="20"/>
          <w:szCs w:val="20"/>
          <w:vertAlign w:val="superscript"/>
        </w:rPr>
      </w:pPr>
      <w:r w:rsidRPr="00A36B12">
        <w:rPr>
          <w:rFonts w:ascii="Arial" w:hAnsi="Arial" w:cs="Arial"/>
          <w:color w:val="000000"/>
          <w:sz w:val="20"/>
          <w:szCs w:val="20"/>
        </w:rPr>
        <w:t>In patients in their 50s, the most common cause of myelopathy is cervical spondylosis. This condition involves degenerative disease (osteoarthritis) of the cervical vertebrae, which can lead to spinal cord compression due to calcification, degeneration, intervertebral disc protrusion, bony outgrowths (osteophytes), and thickening of the longitudinal ligament. In patients under the age of 40, the most common cause of myelopathy is multiple sclerosis</w:t>
      </w:r>
      <w:r w:rsidR="00946FD5">
        <w:rPr>
          <w:rFonts w:ascii="Arial" w:hAnsi="Arial" w:cs="Arial"/>
          <w:color w:val="000000"/>
          <w:sz w:val="20"/>
          <w:szCs w:val="20"/>
        </w:rPr>
        <w:t>. (5)</w:t>
      </w:r>
    </w:p>
    <w:p w14:paraId="0EC60FAE" w14:textId="2DA7DB8C" w:rsidR="00A36B12" w:rsidRPr="00A36B12" w:rsidRDefault="00A36B12" w:rsidP="00A36B12">
      <w:pPr>
        <w:spacing w:line="360" w:lineRule="auto"/>
        <w:jc w:val="both"/>
        <w:rPr>
          <w:rFonts w:ascii="Arial" w:hAnsi="Arial" w:cs="Arial"/>
          <w:color w:val="000000"/>
          <w:sz w:val="20"/>
          <w:szCs w:val="20"/>
          <w:vertAlign w:val="superscript"/>
        </w:rPr>
      </w:pPr>
      <w:r w:rsidRPr="00A36B12">
        <w:rPr>
          <w:rFonts w:ascii="Arial" w:hAnsi="Arial" w:cs="Arial"/>
          <w:color w:val="000000"/>
          <w:sz w:val="20"/>
          <w:szCs w:val="20"/>
        </w:rPr>
        <w:t>Degenerative diseases, such as spondylolisthesis, hypertrophy of the ligamentum flavum, or herniation of the intervertebral disc, reduce the diameter of the spinal canal and result in spinal cord compression. Disc herniation occurs when the nucleus pulposus pushes through its outer ring (annulus fibrosus). If there is wear or injury, the nucleus can fully protrude. When the herniation extends into the spinal canal, it can put pressure on the spinal cord or nerve roots</w:t>
      </w:r>
      <w:r w:rsidR="00946FD5">
        <w:rPr>
          <w:rFonts w:ascii="Arial" w:hAnsi="Arial" w:cs="Arial"/>
          <w:color w:val="000000"/>
          <w:sz w:val="20"/>
          <w:szCs w:val="20"/>
        </w:rPr>
        <w:t>. (6)</w:t>
      </w:r>
    </w:p>
    <w:p w14:paraId="5F543C4F" w14:textId="3FB76FFA" w:rsidR="00A36B12" w:rsidRPr="00A36B12" w:rsidRDefault="00A36B12" w:rsidP="00A36B12">
      <w:pPr>
        <w:spacing w:line="360" w:lineRule="auto"/>
        <w:jc w:val="both"/>
        <w:rPr>
          <w:rFonts w:ascii="Arial" w:hAnsi="Arial" w:cs="Arial"/>
          <w:color w:val="000000"/>
          <w:sz w:val="20"/>
          <w:szCs w:val="20"/>
          <w:vertAlign w:val="superscript"/>
        </w:rPr>
      </w:pPr>
      <w:r w:rsidRPr="00A36B12">
        <w:rPr>
          <w:rFonts w:ascii="Arial" w:hAnsi="Arial" w:cs="Arial"/>
          <w:color w:val="000000"/>
          <w:sz w:val="20"/>
          <w:szCs w:val="20"/>
        </w:rPr>
        <w:t>Rheumatoid arthritis is an autoimmune disease, meaning the body’s immune system attacks its own tissues. In rheumatoid arthritis, immune cells target the synovium, the thin membrane that lines the joints. When the synovium becomes inflamed, it can cause pain and stiffness, and in severe cases, damage to the facet joints of the cervical spine. When this occurs, the upper vertebra may slide forward over the lower vertebra, reducing the available space for the spinal cord</w:t>
      </w:r>
      <w:r w:rsidR="00946FD5">
        <w:rPr>
          <w:rFonts w:ascii="Arial" w:hAnsi="Arial" w:cs="Arial"/>
          <w:color w:val="000000"/>
          <w:sz w:val="20"/>
          <w:szCs w:val="20"/>
        </w:rPr>
        <w:t>. (7)</w:t>
      </w:r>
    </w:p>
    <w:p w14:paraId="3D9A8215" w14:textId="5A82373C" w:rsidR="00A36B12" w:rsidRPr="00A36B12" w:rsidRDefault="00A36B12" w:rsidP="00A36B12">
      <w:pPr>
        <w:spacing w:line="360" w:lineRule="auto"/>
        <w:jc w:val="center"/>
        <w:rPr>
          <w:rFonts w:ascii="Arial" w:hAnsi="Arial" w:cs="Arial"/>
          <w:noProof/>
          <w:sz w:val="20"/>
          <w:szCs w:val="20"/>
        </w:rPr>
      </w:pPr>
      <w:r w:rsidRPr="00A36B12">
        <w:rPr>
          <w:rFonts w:ascii="Arial" w:hAnsi="Arial" w:cs="Arial"/>
          <w:noProof/>
          <w:sz w:val="20"/>
          <w:szCs w:val="20"/>
          <w:lang w:val="en-US"/>
        </w:rPr>
        <w:lastRenderedPageBreak/>
        <w:drawing>
          <wp:inline distT="0" distB="0" distL="0" distR="0" wp14:anchorId="3402046E" wp14:editId="2C33CE68">
            <wp:extent cx="4311650" cy="1714500"/>
            <wp:effectExtent l="0" t="0" r="0" b="0"/>
            <wp:docPr id="1538528772" name="Picture 1" descr="Illustrations of a healthy cervical vertebra and disk and a disk that has collap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jpeg" descr="Illustrations of a healthy cervical vertebra and disk and a disk that has collaps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1650" cy="1714500"/>
                    </a:xfrm>
                    <a:prstGeom prst="rect">
                      <a:avLst/>
                    </a:prstGeom>
                    <a:noFill/>
                    <a:ln>
                      <a:noFill/>
                    </a:ln>
                  </pic:spPr>
                </pic:pic>
              </a:graphicData>
            </a:graphic>
          </wp:inline>
        </w:drawing>
      </w:r>
    </w:p>
    <w:p w14:paraId="6B7D423B" w14:textId="77777777" w:rsidR="00A36B12" w:rsidRPr="00A36B12" w:rsidRDefault="00A36B12" w:rsidP="00A36B12">
      <w:pPr>
        <w:spacing w:line="360" w:lineRule="auto"/>
        <w:jc w:val="center"/>
        <w:rPr>
          <w:rFonts w:ascii="Arial" w:hAnsi="Arial" w:cs="Arial"/>
          <w:noProof/>
          <w:sz w:val="20"/>
          <w:szCs w:val="20"/>
        </w:rPr>
      </w:pPr>
      <w:r w:rsidRPr="00A36B12">
        <w:rPr>
          <w:rFonts w:ascii="Arial" w:hAnsi="Arial" w:cs="Arial"/>
          <w:noProof/>
          <w:sz w:val="20"/>
          <w:szCs w:val="20"/>
        </w:rPr>
        <w:t>Figures 1. Bone Spur that Induce Neck Pain</w:t>
      </w:r>
    </w:p>
    <w:p w14:paraId="5263828A" w14:textId="77777777" w:rsidR="006D36D8" w:rsidRDefault="006D36D8" w:rsidP="004A5C27">
      <w:pPr>
        <w:spacing w:line="360" w:lineRule="auto"/>
        <w:rPr>
          <w:rFonts w:ascii="Arial" w:hAnsi="Arial" w:cs="Arial"/>
          <w:sz w:val="20"/>
          <w:szCs w:val="20"/>
        </w:rPr>
      </w:pPr>
    </w:p>
    <w:p w14:paraId="3776FF2B" w14:textId="77777777" w:rsidR="00A36B12" w:rsidRPr="00A36B12" w:rsidRDefault="00A36B12" w:rsidP="00A36B12">
      <w:pPr>
        <w:spacing w:line="360" w:lineRule="auto"/>
        <w:rPr>
          <w:rFonts w:ascii="Arial" w:hAnsi="Arial" w:cs="Arial"/>
          <w:sz w:val="20"/>
          <w:szCs w:val="20"/>
        </w:rPr>
      </w:pPr>
    </w:p>
    <w:p w14:paraId="6B27E71D" w14:textId="438CBC45" w:rsidR="00A36B12" w:rsidRPr="00A36B12" w:rsidRDefault="00A36B12" w:rsidP="00A36B12">
      <w:pPr>
        <w:spacing w:line="360" w:lineRule="auto"/>
        <w:rPr>
          <w:rFonts w:ascii="Arial" w:hAnsi="Arial" w:cs="Arial"/>
          <w:b/>
          <w:bCs/>
          <w:sz w:val="20"/>
          <w:szCs w:val="20"/>
          <w:lang w:val="en-US"/>
        </w:rPr>
      </w:pPr>
      <w:r w:rsidRPr="00A36B12">
        <w:rPr>
          <w:rFonts w:ascii="Arial" w:hAnsi="Arial" w:cs="Arial"/>
          <w:b/>
          <w:bCs/>
          <w:sz w:val="20"/>
          <w:szCs w:val="20"/>
          <w:lang w:val="en-US"/>
        </w:rPr>
        <w:t>Pathogenesis</w:t>
      </w:r>
    </w:p>
    <w:p w14:paraId="192B20F7" w14:textId="0E2F58A9" w:rsidR="00A36B12" w:rsidRPr="00A36B12" w:rsidRDefault="00A36B12" w:rsidP="00A36B12">
      <w:pPr>
        <w:spacing w:line="360" w:lineRule="auto"/>
        <w:jc w:val="both"/>
        <w:rPr>
          <w:rFonts w:ascii="Arial" w:hAnsi="Arial" w:cs="Arial"/>
          <w:sz w:val="20"/>
          <w:szCs w:val="20"/>
        </w:rPr>
      </w:pPr>
      <w:r w:rsidRPr="00A36B12">
        <w:rPr>
          <w:rFonts w:ascii="Arial" w:hAnsi="Arial" w:cs="Arial"/>
          <w:sz w:val="20"/>
          <w:szCs w:val="20"/>
        </w:rPr>
        <w:t>Cervical spondylosis is the result of degeneration of the intervertebral discs. With aging, disc fragmentation and fissuring occur. The process begins in the nucleus pulposus, leading to central buckling of the annular lamellae, while the outer concentric fibers of the annulus fibrosus bulge outward. This results in increased mechanical stress on the vertebral cartilage. Subsequent subperiosteal bone formation creates osteophytic bars that extend along the ventral aspect of the spinal canal, sometimes encroaching into neural structures. This process likely serves to stabilize adjacent vertebrae, which have become hypermobile due to loss of disc material. Additionally, hypertrophy of the uncinate processes often extends into the ventrolateral part of the intervertebral foramina. Nerve irritation may also occur as a result of degraded proteoglycans from the intervertebral disc.</w:t>
      </w:r>
      <w:r w:rsidR="00946FD5">
        <w:rPr>
          <w:rFonts w:ascii="Arial" w:hAnsi="Arial" w:cs="Arial"/>
          <w:sz w:val="20"/>
          <w:szCs w:val="20"/>
        </w:rPr>
        <w:t xml:space="preserve"> (</w:t>
      </w:r>
      <w:r w:rsidRPr="00A36B12">
        <w:rPr>
          <w:rFonts w:ascii="Arial" w:hAnsi="Arial" w:cs="Arial"/>
          <w:sz w:val="20"/>
          <w:szCs w:val="20"/>
        </w:rPr>
        <w:t>8</w:t>
      </w:r>
      <w:r w:rsidR="00946FD5">
        <w:rPr>
          <w:rFonts w:ascii="Arial" w:hAnsi="Arial" w:cs="Arial"/>
          <w:sz w:val="20"/>
          <w:szCs w:val="20"/>
        </w:rPr>
        <w:t>)</w:t>
      </w:r>
    </w:p>
    <w:p w14:paraId="269C5868" w14:textId="4D0DFA45" w:rsidR="00A36B12" w:rsidRPr="00A36B12" w:rsidRDefault="00A36B12" w:rsidP="00A36B12">
      <w:pPr>
        <w:spacing w:line="360" w:lineRule="auto"/>
        <w:jc w:val="both"/>
        <w:rPr>
          <w:rFonts w:ascii="Arial" w:hAnsi="Arial" w:cs="Arial"/>
          <w:sz w:val="20"/>
          <w:szCs w:val="20"/>
        </w:rPr>
      </w:pPr>
      <w:r w:rsidRPr="00A36B12">
        <w:rPr>
          <w:rFonts w:ascii="Arial" w:hAnsi="Arial" w:cs="Arial"/>
          <w:sz w:val="20"/>
          <w:szCs w:val="20"/>
        </w:rPr>
        <w:t>Primary lesions may include disc collapse with surrounding annular protrusion. Ligaments are displaced from their attachments at the vertebral body margins, leading to reactive osteophyte formation and ligamentous thickening. Together with annular protrusion, osteophytes, and thickened ligaments, the anteroposterior diameter of the spinal canal is reduced. Osteoarthritic changes in the neurocentral joints adjacent to the C3–C7 foramina contribute to additional bony proliferation, further narrowing foramina already constricted by disc protrusion and osteophytes. Spinal mobility is also compromised, limited by severe disc degeneration that may spread to levels above and below the affected segments. Multiple factors contribute to the development of signs and symptoms. The spinal cord, confined within the narrowed spinal canal, is at risk of further compression even during normal neck motion. For example, during extension, the ligamenta flava fold inward, potentially causing posterior compression.</w:t>
      </w:r>
      <w:r w:rsidR="00946FD5">
        <w:rPr>
          <w:rFonts w:ascii="Arial" w:hAnsi="Arial" w:cs="Arial"/>
          <w:sz w:val="20"/>
          <w:szCs w:val="20"/>
        </w:rPr>
        <w:t xml:space="preserve"> (</w:t>
      </w:r>
      <w:r w:rsidRPr="00A36B12">
        <w:rPr>
          <w:rFonts w:ascii="Arial" w:hAnsi="Arial" w:cs="Arial"/>
          <w:sz w:val="20"/>
          <w:szCs w:val="20"/>
        </w:rPr>
        <w:t>9</w:t>
      </w:r>
      <w:r w:rsidR="00946FD5">
        <w:rPr>
          <w:rFonts w:ascii="Arial" w:hAnsi="Arial" w:cs="Arial"/>
          <w:sz w:val="20"/>
          <w:szCs w:val="20"/>
        </w:rPr>
        <w:t>)</w:t>
      </w:r>
    </w:p>
    <w:p w14:paraId="56F85BDB" w14:textId="1802DEB6" w:rsidR="00A36B12" w:rsidRPr="00A36B12" w:rsidRDefault="00A36B12" w:rsidP="00A36B12">
      <w:pPr>
        <w:spacing w:line="360" w:lineRule="auto"/>
        <w:jc w:val="both"/>
        <w:rPr>
          <w:rFonts w:ascii="Arial" w:hAnsi="Arial" w:cs="Arial"/>
          <w:sz w:val="20"/>
          <w:szCs w:val="20"/>
        </w:rPr>
      </w:pPr>
      <w:r w:rsidRPr="00A36B12">
        <w:rPr>
          <w:rFonts w:ascii="Arial" w:hAnsi="Arial" w:cs="Arial"/>
          <w:sz w:val="20"/>
          <w:szCs w:val="20"/>
        </w:rPr>
        <w:t xml:space="preserve">Because extreme movements that reach the spinal cord pose serious risks, sudden symptoms may occur following excessive flexion or extension, such as from trauma or endoscopic procedures under anesthesia. Cervical spondylotic myelopathy results from several important pathophysiological factors: static mechanical compression, dynamic mechanical stress, and spinal cord ischemia. The narrowing of the spinal canal by osteophytes places cervical nerves at increased risk for the development of spondylotic myelopathy. The spinal canal is a closed tube that runs through the spinal cord and contains cerebrospinal </w:t>
      </w:r>
      <w:r w:rsidRPr="00A36B12">
        <w:rPr>
          <w:rFonts w:ascii="Arial" w:hAnsi="Arial" w:cs="Arial"/>
          <w:sz w:val="20"/>
          <w:szCs w:val="20"/>
        </w:rPr>
        <w:lastRenderedPageBreak/>
        <w:t>fluid, which protects the cord from trauma and allows for neck flexibility. However, some individuals are born with a congenitally narrow spinal canal—this is known as congenital spinal canal stenosis. Stenosis causes narrowing of the canal, making the spinal cord more susceptible to compression.</w:t>
      </w:r>
      <w:r w:rsidR="00946FD5">
        <w:rPr>
          <w:rFonts w:ascii="Arial" w:hAnsi="Arial" w:cs="Arial"/>
          <w:sz w:val="20"/>
          <w:szCs w:val="20"/>
        </w:rPr>
        <w:t xml:space="preserve"> (</w:t>
      </w:r>
      <w:r w:rsidRPr="00A36B12">
        <w:rPr>
          <w:rFonts w:ascii="Arial" w:hAnsi="Arial" w:cs="Arial"/>
          <w:sz w:val="20"/>
          <w:szCs w:val="20"/>
        </w:rPr>
        <w:t>10</w:t>
      </w:r>
      <w:r w:rsidR="00946FD5">
        <w:rPr>
          <w:rFonts w:ascii="Arial" w:hAnsi="Arial" w:cs="Arial"/>
          <w:sz w:val="20"/>
          <w:szCs w:val="20"/>
        </w:rPr>
        <w:t>)</w:t>
      </w:r>
    </w:p>
    <w:p w14:paraId="70717689" w14:textId="29027624" w:rsidR="00A36B12" w:rsidRPr="00A36B12" w:rsidRDefault="00A36B12" w:rsidP="00A36B12">
      <w:pPr>
        <w:spacing w:line="360" w:lineRule="auto"/>
        <w:jc w:val="both"/>
        <w:rPr>
          <w:rFonts w:ascii="Arial" w:hAnsi="Arial" w:cs="Arial"/>
          <w:sz w:val="20"/>
          <w:szCs w:val="20"/>
        </w:rPr>
      </w:pPr>
      <w:r w:rsidRPr="00A36B12">
        <w:rPr>
          <w:rFonts w:ascii="Arial" w:hAnsi="Arial" w:cs="Arial"/>
          <w:sz w:val="20"/>
          <w:szCs w:val="20"/>
        </w:rPr>
        <w:t>The cervical spinal canal may also become narrowed due to degenerative changes in the spine associated with aging. The formation of osteophytes, disc bulging, and ligament thickening can lead to spinal cord compression. Dynamic biomechanical factors of normal cervical vertebral motion may exacerbate spinal cord injury already triggered by direct static compression. During flexion, the spinal cord elongates and stretches over ventral osteophytes. During extension, the ligamentum flavum bulges toward the spinal cord, reducing the available space for it.</w:t>
      </w:r>
      <w:r w:rsidR="00946FD5">
        <w:rPr>
          <w:rFonts w:ascii="Arial" w:hAnsi="Arial" w:cs="Arial"/>
          <w:sz w:val="20"/>
          <w:szCs w:val="20"/>
        </w:rPr>
        <w:t xml:space="preserve"> (</w:t>
      </w:r>
      <w:r w:rsidRPr="00A36B12">
        <w:rPr>
          <w:rFonts w:ascii="Arial" w:hAnsi="Arial" w:cs="Arial"/>
          <w:sz w:val="20"/>
          <w:szCs w:val="20"/>
        </w:rPr>
        <w:t>11</w:t>
      </w:r>
      <w:r w:rsidR="00946FD5">
        <w:rPr>
          <w:rFonts w:ascii="Arial" w:hAnsi="Arial" w:cs="Arial"/>
          <w:sz w:val="20"/>
          <w:szCs w:val="20"/>
        </w:rPr>
        <w:t>)</w:t>
      </w:r>
    </w:p>
    <w:p w14:paraId="704C601B" w14:textId="77777777" w:rsidR="00A36B12" w:rsidRPr="00A36B12" w:rsidRDefault="00A36B12" w:rsidP="00A36B12">
      <w:pPr>
        <w:spacing w:line="360" w:lineRule="auto"/>
        <w:rPr>
          <w:rFonts w:ascii="Arial" w:hAnsi="Arial" w:cs="Arial"/>
          <w:sz w:val="20"/>
          <w:szCs w:val="20"/>
        </w:rPr>
      </w:pPr>
    </w:p>
    <w:p w14:paraId="3D0FE4D1" w14:textId="1FA781F4" w:rsidR="00A36B12" w:rsidRPr="00A36B12" w:rsidRDefault="00A36B12" w:rsidP="00A36B12">
      <w:pPr>
        <w:spacing w:line="360" w:lineRule="auto"/>
        <w:rPr>
          <w:rFonts w:ascii="Arial" w:hAnsi="Arial" w:cs="Arial"/>
          <w:b/>
          <w:bCs/>
          <w:sz w:val="20"/>
          <w:szCs w:val="20"/>
          <w:lang w:val="en-US"/>
        </w:rPr>
      </w:pPr>
      <w:r w:rsidRPr="00A36B12">
        <w:rPr>
          <w:rFonts w:ascii="Arial" w:hAnsi="Arial" w:cs="Arial"/>
          <w:b/>
          <w:bCs/>
          <w:sz w:val="20"/>
          <w:szCs w:val="20"/>
          <w:lang w:val="en-US"/>
        </w:rPr>
        <w:t>Clinical Features</w:t>
      </w:r>
    </w:p>
    <w:p w14:paraId="27BDE51D" w14:textId="25CC794D" w:rsidR="00A36B12" w:rsidRPr="00A36B12" w:rsidRDefault="00A36B12" w:rsidP="00A31AE3">
      <w:pPr>
        <w:spacing w:line="360" w:lineRule="auto"/>
        <w:jc w:val="both"/>
        <w:rPr>
          <w:rFonts w:ascii="Arial" w:hAnsi="Arial" w:cs="Arial"/>
          <w:sz w:val="20"/>
          <w:szCs w:val="20"/>
          <w:lang w:val="en-US"/>
        </w:rPr>
      </w:pPr>
      <w:r w:rsidRPr="00A36B12">
        <w:rPr>
          <w:rFonts w:ascii="Arial" w:hAnsi="Arial" w:cs="Arial"/>
          <w:sz w:val="20"/>
          <w:szCs w:val="20"/>
          <w:lang w:val="en-US"/>
        </w:rPr>
        <w:t>Typically, the symptoms of Cervical Spondylotic Myelopathy (CSM) develop gradually and progress over several years. However, in some patients, the condition may deteriorate more rapidly. Patients with CSM may experience a combination of the following symptoms</w:t>
      </w:r>
      <w:r w:rsidR="00A31AE3">
        <w:rPr>
          <w:rFonts w:ascii="Arial" w:hAnsi="Arial" w:cs="Arial"/>
          <w:sz w:val="20"/>
          <w:szCs w:val="20"/>
          <w:lang w:val="en-US"/>
        </w:rPr>
        <w:t xml:space="preserve"> (</w:t>
      </w:r>
      <w:r w:rsidRPr="00A36B12">
        <w:rPr>
          <w:rFonts w:ascii="Arial" w:hAnsi="Arial" w:cs="Arial"/>
          <w:sz w:val="20"/>
          <w:szCs w:val="20"/>
          <w:lang w:val="en-US"/>
        </w:rPr>
        <w:t>12</w:t>
      </w:r>
      <w:r w:rsidR="00A31AE3">
        <w:rPr>
          <w:rFonts w:ascii="Arial" w:hAnsi="Arial" w:cs="Arial"/>
          <w:sz w:val="20"/>
          <w:szCs w:val="20"/>
          <w:lang w:val="en-US"/>
        </w:rPr>
        <w:t>)</w:t>
      </w:r>
      <w:r w:rsidRPr="00A36B12">
        <w:rPr>
          <w:rFonts w:ascii="Arial" w:hAnsi="Arial" w:cs="Arial"/>
          <w:sz w:val="20"/>
          <w:szCs w:val="20"/>
          <w:lang w:val="en-US"/>
        </w:rPr>
        <w:t>:</w:t>
      </w:r>
    </w:p>
    <w:p w14:paraId="4E554BD8" w14:textId="77777777" w:rsidR="00A36B12" w:rsidRDefault="00A36B12" w:rsidP="00A31AE3">
      <w:pPr>
        <w:pStyle w:val="ListParagraph"/>
        <w:numPr>
          <w:ilvl w:val="0"/>
          <w:numId w:val="8"/>
        </w:numPr>
        <w:spacing w:line="360" w:lineRule="auto"/>
        <w:jc w:val="both"/>
        <w:rPr>
          <w:rFonts w:ascii="Arial" w:hAnsi="Arial" w:cs="Arial"/>
          <w:sz w:val="20"/>
          <w:szCs w:val="20"/>
          <w:lang w:val="en-US"/>
        </w:rPr>
      </w:pPr>
      <w:r w:rsidRPr="00A36B12">
        <w:rPr>
          <w:rFonts w:ascii="Arial" w:hAnsi="Arial" w:cs="Arial"/>
          <w:sz w:val="20"/>
          <w:szCs w:val="20"/>
          <w:lang w:val="en-US"/>
        </w:rPr>
        <w:t>Tingling or numbness in the arms, fingers, or hands</w:t>
      </w:r>
    </w:p>
    <w:p w14:paraId="7D37E9F5" w14:textId="305638E5" w:rsidR="00A36B12" w:rsidRDefault="00A36B12" w:rsidP="00A31AE3">
      <w:pPr>
        <w:pStyle w:val="ListParagraph"/>
        <w:numPr>
          <w:ilvl w:val="0"/>
          <w:numId w:val="8"/>
        </w:numPr>
        <w:spacing w:line="360" w:lineRule="auto"/>
        <w:jc w:val="both"/>
        <w:rPr>
          <w:rFonts w:ascii="Arial" w:hAnsi="Arial" w:cs="Arial"/>
          <w:sz w:val="20"/>
          <w:szCs w:val="20"/>
          <w:lang w:val="en-US"/>
        </w:rPr>
      </w:pPr>
      <w:r w:rsidRPr="00A36B12">
        <w:rPr>
          <w:rFonts w:ascii="Arial" w:hAnsi="Arial" w:cs="Arial"/>
          <w:sz w:val="20"/>
          <w:szCs w:val="20"/>
          <w:lang w:val="en-US"/>
        </w:rPr>
        <w:t>Weakness in the muscles of the arms, shoulders, or hands. Patients may struggle to grip or hold objects</w:t>
      </w:r>
    </w:p>
    <w:p w14:paraId="15F8CABE" w14:textId="77777777" w:rsidR="00A36B12" w:rsidRDefault="00A36B12" w:rsidP="00A31AE3">
      <w:pPr>
        <w:pStyle w:val="ListParagraph"/>
        <w:numPr>
          <w:ilvl w:val="0"/>
          <w:numId w:val="8"/>
        </w:numPr>
        <w:spacing w:line="360" w:lineRule="auto"/>
        <w:jc w:val="both"/>
        <w:rPr>
          <w:rFonts w:ascii="Arial" w:hAnsi="Arial" w:cs="Arial"/>
          <w:sz w:val="20"/>
          <w:szCs w:val="20"/>
          <w:lang w:val="en-US"/>
        </w:rPr>
      </w:pPr>
      <w:r w:rsidRPr="00A36B12">
        <w:rPr>
          <w:rFonts w:ascii="Arial" w:hAnsi="Arial" w:cs="Arial"/>
          <w:sz w:val="20"/>
          <w:szCs w:val="20"/>
          <w:lang w:val="en-US"/>
        </w:rPr>
        <w:t>Imbalance and coordination problems, such as difficulty walking or frequent falls</w:t>
      </w:r>
    </w:p>
    <w:p w14:paraId="5CA2ED5E" w14:textId="77777777" w:rsidR="00A36B12" w:rsidRDefault="00A36B12" w:rsidP="00A31AE3">
      <w:pPr>
        <w:pStyle w:val="ListParagraph"/>
        <w:numPr>
          <w:ilvl w:val="0"/>
          <w:numId w:val="8"/>
        </w:numPr>
        <w:spacing w:line="360" w:lineRule="auto"/>
        <w:jc w:val="both"/>
        <w:rPr>
          <w:rFonts w:ascii="Arial" w:hAnsi="Arial" w:cs="Arial"/>
          <w:sz w:val="20"/>
          <w:szCs w:val="20"/>
          <w:lang w:val="en-US"/>
        </w:rPr>
      </w:pPr>
      <w:r w:rsidRPr="00A36B12">
        <w:rPr>
          <w:rFonts w:ascii="Arial" w:hAnsi="Arial" w:cs="Arial"/>
          <w:sz w:val="20"/>
          <w:szCs w:val="20"/>
          <w:lang w:val="en-US"/>
        </w:rPr>
        <w:t>Loss of fine motor skills, such as difficulty with handwriting, buttoning clothes, picking up coins, or feeding oneself</w:t>
      </w:r>
    </w:p>
    <w:p w14:paraId="56A16C11" w14:textId="63DAD179" w:rsidR="00A36B12" w:rsidRPr="00A36B12" w:rsidRDefault="00A36B12" w:rsidP="00A31AE3">
      <w:pPr>
        <w:pStyle w:val="ListParagraph"/>
        <w:numPr>
          <w:ilvl w:val="0"/>
          <w:numId w:val="8"/>
        </w:numPr>
        <w:spacing w:line="360" w:lineRule="auto"/>
        <w:jc w:val="both"/>
        <w:rPr>
          <w:rFonts w:ascii="Arial" w:hAnsi="Arial" w:cs="Arial"/>
          <w:sz w:val="20"/>
          <w:szCs w:val="20"/>
          <w:lang w:val="en-US"/>
        </w:rPr>
      </w:pPr>
      <w:r w:rsidRPr="00A36B12">
        <w:rPr>
          <w:rFonts w:ascii="Arial" w:hAnsi="Arial" w:cs="Arial"/>
          <w:sz w:val="20"/>
          <w:szCs w:val="20"/>
          <w:lang w:val="en-US"/>
        </w:rPr>
        <w:t>Neck pain or stiffness</w:t>
      </w:r>
    </w:p>
    <w:p w14:paraId="09BBB5F3" w14:textId="6460CE0B" w:rsidR="00A36B12" w:rsidRPr="00A36B12" w:rsidRDefault="00A36B12" w:rsidP="00A31AE3">
      <w:pPr>
        <w:spacing w:line="360" w:lineRule="auto"/>
        <w:jc w:val="both"/>
        <w:rPr>
          <w:rFonts w:ascii="Arial" w:hAnsi="Arial" w:cs="Arial"/>
          <w:sz w:val="20"/>
          <w:szCs w:val="20"/>
          <w:lang w:val="en-US"/>
        </w:rPr>
      </w:pPr>
      <w:r w:rsidRPr="00A36B12">
        <w:rPr>
          <w:rFonts w:ascii="Arial" w:hAnsi="Arial" w:cs="Arial"/>
          <w:sz w:val="20"/>
          <w:szCs w:val="20"/>
          <w:lang w:val="en-US"/>
        </w:rPr>
        <w:t>Symptoms resulting from myelopathy vary widely and are often nonspecific. Combined with the slow and progressive course of the disease, this makes it difficult to detect. It is important to note that cervical myelopathy is a disorder of the cervical vertebrae that manifests in both the upper and lower extremities. In general, symptoms arise due to compression of the spinal cord, depending on the affected segment. This compression may cause sensory symptoms (pain or paresthesia), motor symptoms (paralysis), or autonomic symptoms (respiratory, circulatory, bladder, or bowel dysfunction).</w:t>
      </w:r>
      <w:r w:rsidR="00946FD5">
        <w:rPr>
          <w:rFonts w:ascii="Arial" w:hAnsi="Arial" w:cs="Arial"/>
          <w:sz w:val="20"/>
          <w:szCs w:val="20"/>
          <w:lang w:val="en-US"/>
        </w:rPr>
        <w:t xml:space="preserve"> (</w:t>
      </w:r>
      <w:r w:rsidRPr="00A36B12">
        <w:rPr>
          <w:rFonts w:ascii="Arial" w:hAnsi="Arial" w:cs="Arial"/>
          <w:sz w:val="20"/>
          <w:szCs w:val="20"/>
          <w:lang w:val="en-US"/>
        </w:rPr>
        <w:t>13</w:t>
      </w:r>
      <w:r w:rsidR="00946FD5">
        <w:rPr>
          <w:rFonts w:ascii="Arial" w:hAnsi="Arial" w:cs="Arial"/>
          <w:sz w:val="20"/>
          <w:szCs w:val="20"/>
          <w:lang w:val="en-US"/>
        </w:rPr>
        <w:t>)</w:t>
      </w:r>
    </w:p>
    <w:p w14:paraId="013FE2BA" w14:textId="77777777" w:rsidR="00A36B12" w:rsidRPr="00A36B12" w:rsidRDefault="00A36B12" w:rsidP="00A31AE3">
      <w:pPr>
        <w:spacing w:line="360" w:lineRule="auto"/>
        <w:jc w:val="both"/>
        <w:rPr>
          <w:rFonts w:ascii="Arial" w:hAnsi="Arial" w:cs="Arial"/>
          <w:sz w:val="20"/>
          <w:szCs w:val="20"/>
          <w:lang w:val="en-US"/>
        </w:rPr>
      </w:pPr>
      <w:r w:rsidRPr="00A36B12">
        <w:rPr>
          <w:rFonts w:ascii="Arial" w:hAnsi="Arial" w:cs="Arial"/>
          <w:sz w:val="20"/>
          <w:szCs w:val="20"/>
          <w:lang w:val="en-US"/>
        </w:rPr>
        <w:t>The classic symptoms of myelopathy include loss of balance and poor coordination, impaired daily function, weakness, numbness, and in severe cases, paralysis. Pain is frequently reported by patients; however, in some cases, there is no pain, which can lead to delayed diagnosis. Lesions in the C3–C6 vertebrae may cause difficulty with handwriting and nonspecific sensory changes and arm weakness. Lesions at C6–C8 commonly result in spasticity syndrome and loss of proprioception in the lower limbs. Patients may present with an unsteady gait and frequent falls.</w:t>
      </w:r>
    </w:p>
    <w:p w14:paraId="0AE9BCEF" w14:textId="77777777" w:rsidR="00A36B12" w:rsidRPr="00A36B12" w:rsidRDefault="00A36B12" w:rsidP="00A31AE3">
      <w:pPr>
        <w:spacing w:line="360" w:lineRule="auto"/>
        <w:jc w:val="both"/>
        <w:rPr>
          <w:rFonts w:ascii="Arial" w:hAnsi="Arial" w:cs="Arial"/>
          <w:sz w:val="20"/>
          <w:szCs w:val="20"/>
          <w:lang w:val="en-US"/>
        </w:rPr>
      </w:pPr>
      <w:r w:rsidRPr="00A36B12">
        <w:rPr>
          <w:rFonts w:ascii="Arial" w:hAnsi="Arial" w:cs="Arial"/>
          <w:sz w:val="20"/>
          <w:szCs w:val="20"/>
          <w:lang w:val="en-US"/>
        </w:rPr>
        <w:t>Common subjective complaints include:</w:t>
      </w:r>
    </w:p>
    <w:p w14:paraId="014E1A6F" w14:textId="77777777" w:rsidR="00A31AE3" w:rsidRDefault="00A36B12" w:rsidP="00A31AE3">
      <w:pPr>
        <w:pStyle w:val="ListParagraph"/>
        <w:numPr>
          <w:ilvl w:val="0"/>
          <w:numId w:val="9"/>
        </w:numPr>
        <w:spacing w:line="360" w:lineRule="auto"/>
        <w:jc w:val="both"/>
        <w:rPr>
          <w:rFonts w:ascii="Arial" w:hAnsi="Arial" w:cs="Arial"/>
          <w:sz w:val="20"/>
          <w:szCs w:val="20"/>
          <w:lang w:val="en-US"/>
        </w:rPr>
      </w:pPr>
      <w:r w:rsidRPr="00A31AE3">
        <w:rPr>
          <w:rFonts w:ascii="Arial" w:hAnsi="Arial" w:cs="Arial"/>
          <w:sz w:val="20"/>
          <w:szCs w:val="20"/>
          <w:lang w:val="en-US"/>
        </w:rPr>
        <w:t>Heavy feeling in the legs</w:t>
      </w:r>
    </w:p>
    <w:p w14:paraId="4B55FD1E" w14:textId="77777777" w:rsidR="00A31AE3" w:rsidRDefault="00A36B12" w:rsidP="00A31AE3">
      <w:pPr>
        <w:pStyle w:val="ListParagraph"/>
        <w:numPr>
          <w:ilvl w:val="0"/>
          <w:numId w:val="9"/>
        </w:numPr>
        <w:spacing w:line="360" w:lineRule="auto"/>
        <w:jc w:val="both"/>
        <w:rPr>
          <w:rFonts w:ascii="Arial" w:hAnsi="Arial" w:cs="Arial"/>
          <w:sz w:val="20"/>
          <w:szCs w:val="20"/>
          <w:lang w:val="en-US"/>
        </w:rPr>
      </w:pPr>
      <w:r w:rsidRPr="00A31AE3">
        <w:rPr>
          <w:rFonts w:ascii="Arial" w:hAnsi="Arial" w:cs="Arial"/>
          <w:sz w:val="20"/>
          <w:szCs w:val="20"/>
          <w:lang w:val="en-US"/>
        </w:rPr>
        <w:t>Radiculopathy</w:t>
      </w:r>
    </w:p>
    <w:p w14:paraId="5A20240A" w14:textId="77777777" w:rsidR="00A31AE3" w:rsidRDefault="00A36B12" w:rsidP="00A31AE3">
      <w:pPr>
        <w:pStyle w:val="ListParagraph"/>
        <w:numPr>
          <w:ilvl w:val="0"/>
          <w:numId w:val="9"/>
        </w:numPr>
        <w:spacing w:line="360" w:lineRule="auto"/>
        <w:jc w:val="both"/>
        <w:rPr>
          <w:rFonts w:ascii="Arial" w:hAnsi="Arial" w:cs="Arial"/>
          <w:sz w:val="20"/>
          <w:szCs w:val="20"/>
          <w:lang w:val="en-US"/>
        </w:rPr>
      </w:pPr>
      <w:r w:rsidRPr="00A31AE3">
        <w:rPr>
          <w:rFonts w:ascii="Arial" w:hAnsi="Arial" w:cs="Arial"/>
          <w:sz w:val="20"/>
          <w:szCs w:val="20"/>
          <w:lang w:val="en-US"/>
        </w:rPr>
        <w:t>Impaired fine motor function</w:t>
      </w:r>
    </w:p>
    <w:p w14:paraId="3610D6D6" w14:textId="77777777" w:rsidR="00A31AE3" w:rsidRDefault="00A36B12" w:rsidP="00A31AE3">
      <w:pPr>
        <w:pStyle w:val="ListParagraph"/>
        <w:numPr>
          <w:ilvl w:val="0"/>
          <w:numId w:val="9"/>
        </w:numPr>
        <w:spacing w:line="360" w:lineRule="auto"/>
        <w:jc w:val="both"/>
        <w:rPr>
          <w:rFonts w:ascii="Arial" w:hAnsi="Arial" w:cs="Arial"/>
          <w:sz w:val="20"/>
          <w:szCs w:val="20"/>
          <w:lang w:val="en-US"/>
        </w:rPr>
      </w:pPr>
      <w:r w:rsidRPr="00A31AE3">
        <w:rPr>
          <w:rFonts w:ascii="Arial" w:hAnsi="Arial" w:cs="Arial"/>
          <w:sz w:val="20"/>
          <w:szCs w:val="20"/>
          <w:lang w:val="en-US"/>
        </w:rPr>
        <w:lastRenderedPageBreak/>
        <w:t>L’Hermitte’s phenomenon: an electric shock-like sensation in the limbs triggered by neck flexion</w:t>
      </w:r>
    </w:p>
    <w:p w14:paraId="2302AD5A" w14:textId="7E4B9E9D" w:rsidR="00A36B12" w:rsidRPr="00A31AE3" w:rsidRDefault="00A36B12" w:rsidP="00A31AE3">
      <w:pPr>
        <w:pStyle w:val="ListParagraph"/>
        <w:numPr>
          <w:ilvl w:val="0"/>
          <w:numId w:val="9"/>
        </w:numPr>
        <w:spacing w:line="360" w:lineRule="auto"/>
        <w:jc w:val="both"/>
        <w:rPr>
          <w:rFonts w:ascii="Arial" w:hAnsi="Arial" w:cs="Arial"/>
          <w:sz w:val="20"/>
          <w:szCs w:val="20"/>
          <w:lang w:val="en-US"/>
        </w:rPr>
      </w:pPr>
      <w:r w:rsidRPr="00A31AE3">
        <w:rPr>
          <w:rFonts w:ascii="Arial" w:hAnsi="Arial" w:cs="Arial"/>
          <w:sz w:val="20"/>
          <w:szCs w:val="20"/>
          <w:lang w:val="en-US"/>
        </w:rPr>
        <w:t>Numbness and tingling in the limbs</w:t>
      </w:r>
    </w:p>
    <w:p w14:paraId="38C11A8E" w14:textId="77777777" w:rsidR="00A36B12" w:rsidRPr="00A36B12" w:rsidRDefault="00A36B12" w:rsidP="00A31AE3">
      <w:pPr>
        <w:spacing w:line="360" w:lineRule="auto"/>
        <w:jc w:val="both"/>
        <w:rPr>
          <w:rFonts w:ascii="Arial" w:hAnsi="Arial" w:cs="Arial"/>
          <w:sz w:val="20"/>
          <w:szCs w:val="20"/>
          <w:lang w:val="en-US"/>
        </w:rPr>
      </w:pPr>
      <w:r w:rsidRPr="00A36B12">
        <w:rPr>
          <w:rFonts w:ascii="Arial" w:hAnsi="Arial" w:cs="Arial"/>
          <w:sz w:val="20"/>
          <w:szCs w:val="20"/>
          <w:lang w:val="en-US"/>
        </w:rPr>
        <w:t>These symptoms can appear acutely, subacutely, or as chronically progressive conditions. Sometimes, the underlying cause is unknown and there are no signs of inflammation.</w:t>
      </w:r>
    </w:p>
    <w:p w14:paraId="4FB05505" w14:textId="514BF94E" w:rsidR="00A31AE3" w:rsidRDefault="00A36B12" w:rsidP="00A31AE3">
      <w:pPr>
        <w:spacing w:line="360" w:lineRule="auto"/>
        <w:jc w:val="both"/>
        <w:rPr>
          <w:rFonts w:ascii="Arial" w:hAnsi="Arial" w:cs="Arial"/>
          <w:sz w:val="20"/>
          <w:szCs w:val="20"/>
          <w:lang w:val="en-US"/>
        </w:rPr>
      </w:pPr>
      <w:r w:rsidRPr="00A36B12">
        <w:rPr>
          <w:rFonts w:ascii="Arial" w:hAnsi="Arial" w:cs="Arial"/>
          <w:sz w:val="20"/>
          <w:szCs w:val="20"/>
          <w:lang w:val="en-US"/>
        </w:rPr>
        <w:t>CSM syndromes are classified into five clinical syndromes</w:t>
      </w:r>
      <w:r w:rsidR="00946FD5">
        <w:rPr>
          <w:rFonts w:ascii="Arial" w:hAnsi="Arial" w:cs="Arial"/>
          <w:sz w:val="20"/>
          <w:szCs w:val="20"/>
          <w:lang w:val="en-US"/>
        </w:rPr>
        <w:t xml:space="preserve"> (</w:t>
      </w:r>
      <w:r w:rsidRPr="00A36B12">
        <w:rPr>
          <w:rFonts w:ascii="Arial" w:hAnsi="Arial" w:cs="Arial"/>
          <w:sz w:val="20"/>
          <w:szCs w:val="20"/>
          <w:lang w:val="en-US"/>
        </w:rPr>
        <w:t>14</w:t>
      </w:r>
      <w:r w:rsidR="00946FD5">
        <w:rPr>
          <w:rFonts w:ascii="Arial" w:hAnsi="Arial" w:cs="Arial"/>
          <w:sz w:val="20"/>
          <w:szCs w:val="20"/>
          <w:lang w:val="en-US"/>
        </w:rPr>
        <w:t>)</w:t>
      </w:r>
      <w:r w:rsidRPr="00A36B12">
        <w:rPr>
          <w:rFonts w:ascii="Arial" w:hAnsi="Arial" w:cs="Arial"/>
          <w:sz w:val="20"/>
          <w:szCs w:val="20"/>
          <w:lang w:val="en-US"/>
        </w:rPr>
        <w:t>:</w:t>
      </w:r>
    </w:p>
    <w:p w14:paraId="37CF8153" w14:textId="77777777" w:rsidR="00A31AE3" w:rsidRDefault="00A36B12" w:rsidP="00A31AE3">
      <w:pPr>
        <w:pStyle w:val="ListParagraph"/>
        <w:numPr>
          <w:ilvl w:val="0"/>
          <w:numId w:val="10"/>
        </w:numPr>
        <w:spacing w:line="360" w:lineRule="auto"/>
        <w:jc w:val="both"/>
        <w:rPr>
          <w:rFonts w:ascii="Arial" w:hAnsi="Arial" w:cs="Arial"/>
          <w:sz w:val="20"/>
          <w:szCs w:val="20"/>
          <w:lang w:val="en-US"/>
        </w:rPr>
      </w:pPr>
      <w:r w:rsidRPr="00A31AE3">
        <w:rPr>
          <w:rFonts w:ascii="Arial" w:hAnsi="Arial" w:cs="Arial"/>
          <w:sz w:val="20"/>
          <w:szCs w:val="20"/>
          <w:lang w:val="en-US"/>
        </w:rPr>
        <w:t>Transverse Lesion Syndrome: Involves the corticospinal tract, spinothalamic tract, posterior column, and anterior horn segments. This is the most common syndrome and represents the "end stage" of the disease process.</w:t>
      </w:r>
    </w:p>
    <w:p w14:paraId="6B8EAA12" w14:textId="77777777" w:rsidR="00A31AE3" w:rsidRDefault="00A36B12" w:rsidP="00A31AE3">
      <w:pPr>
        <w:pStyle w:val="ListParagraph"/>
        <w:numPr>
          <w:ilvl w:val="0"/>
          <w:numId w:val="10"/>
        </w:numPr>
        <w:spacing w:line="360" w:lineRule="auto"/>
        <w:jc w:val="both"/>
        <w:rPr>
          <w:rFonts w:ascii="Arial" w:hAnsi="Arial" w:cs="Arial"/>
          <w:sz w:val="20"/>
          <w:szCs w:val="20"/>
          <w:lang w:val="en-US"/>
        </w:rPr>
      </w:pPr>
      <w:r w:rsidRPr="00A31AE3">
        <w:rPr>
          <w:rFonts w:ascii="Arial" w:hAnsi="Arial" w:cs="Arial"/>
          <w:sz w:val="20"/>
          <w:szCs w:val="20"/>
          <w:lang w:val="en-US"/>
        </w:rPr>
        <w:t>Motor System Syndrome: Primarily involves the corticospinal tract and anterior horn with minimal or no sensory deficit. This syndrome presents with a mix of lower motor neuron (LMN) signs in the upper extremities and upper motor neuron (UMN) signs (myelopathy) in the lower extremities, resembling Amyotrophic Lateral Sclerosis (ALS). Reflexes are often hyperactive below the site of maximal stenosis.</w:t>
      </w:r>
    </w:p>
    <w:p w14:paraId="7F48F786" w14:textId="77777777" w:rsidR="00A31AE3" w:rsidRDefault="00A36B12" w:rsidP="00A31AE3">
      <w:pPr>
        <w:pStyle w:val="ListParagraph"/>
        <w:numPr>
          <w:ilvl w:val="0"/>
          <w:numId w:val="10"/>
        </w:numPr>
        <w:spacing w:line="360" w:lineRule="auto"/>
        <w:jc w:val="both"/>
        <w:rPr>
          <w:rFonts w:ascii="Arial" w:hAnsi="Arial" w:cs="Arial"/>
          <w:sz w:val="20"/>
          <w:szCs w:val="20"/>
          <w:lang w:val="en-US"/>
        </w:rPr>
      </w:pPr>
      <w:r w:rsidRPr="00A31AE3">
        <w:rPr>
          <w:rFonts w:ascii="Arial" w:hAnsi="Arial" w:cs="Arial"/>
          <w:sz w:val="20"/>
          <w:szCs w:val="20"/>
          <w:lang w:val="en-US"/>
        </w:rPr>
        <w:t>Central Cord Syndrome: Features predominantly motor and sensory deficits in the upper extremities more than the lower. This syndrome is characterized by dysfunction of the central spinal cord canal.</w:t>
      </w:r>
    </w:p>
    <w:p w14:paraId="6AC61050" w14:textId="77777777" w:rsidR="00A31AE3" w:rsidRDefault="00A36B12" w:rsidP="00A31AE3">
      <w:pPr>
        <w:pStyle w:val="ListParagraph"/>
        <w:numPr>
          <w:ilvl w:val="0"/>
          <w:numId w:val="10"/>
        </w:numPr>
        <w:spacing w:line="360" w:lineRule="auto"/>
        <w:jc w:val="both"/>
        <w:rPr>
          <w:rFonts w:ascii="Arial" w:hAnsi="Arial" w:cs="Arial"/>
          <w:sz w:val="20"/>
          <w:szCs w:val="20"/>
          <w:lang w:val="en-US"/>
        </w:rPr>
      </w:pPr>
      <w:r w:rsidRPr="00A31AE3">
        <w:rPr>
          <w:rFonts w:ascii="Arial" w:hAnsi="Arial" w:cs="Arial"/>
          <w:sz w:val="20"/>
          <w:szCs w:val="20"/>
          <w:lang w:val="en-US"/>
        </w:rPr>
        <w:t>Brown-Séquard Syndrome: Results from asymmetric spinal canal narrowing, with ipsilateral corticospinal tract compression (causing UMN weakness) and posterior column dysfunction, along with contralateral loss of pain and temperature sensation.</w:t>
      </w:r>
    </w:p>
    <w:p w14:paraId="6CCAD186" w14:textId="6FF6D13D" w:rsidR="00A36B12" w:rsidRDefault="00A36B12" w:rsidP="00A31AE3">
      <w:pPr>
        <w:pStyle w:val="ListParagraph"/>
        <w:numPr>
          <w:ilvl w:val="0"/>
          <w:numId w:val="10"/>
        </w:numPr>
        <w:spacing w:line="360" w:lineRule="auto"/>
        <w:jc w:val="both"/>
        <w:rPr>
          <w:rFonts w:ascii="Arial" w:hAnsi="Arial" w:cs="Arial"/>
          <w:sz w:val="20"/>
          <w:szCs w:val="20"/>
          <w:lang w:val="en-US"/>
        </w:rPr>
      </w:pPr>
      <w:r w:rsidRPr="00A31AE3">
        <w:rPr>
          <w:rFonts w:ascii="Arial" w:hAnsi="Arial" w:cs="Arial"/>
          <w:sz w:val="20"/>
          <w:szCs w:val="20"/>
          <w:lang w:val="en-US"/>
        </w:rPr>
        <w:t>Brachialgia and Cord Syndrome: Presents with radicular pain in the upper extremities accompanied by LMN weakness and partial involvement of long motor and sensory tracts.</w:t>
      </w:r>
    </w:p>
    <w:p w14:paraId="464B9E93" w14:textId="77777777" w:rsidR="00A31AE3" w:rsidRPr="00A31AE3" w:rsidRDefault="00A31AE3" w:rsidP="00A31AE3">
      <w:pPr>
        <w:pStyle w:val="ListParagraph"/>
        <w:spacing w:line="360" w:lineRule="auto"/>
        <w:jc w:val="both"/>
        <w:rPr>
          <w:rFonts w:ascii="Arial" w:hAnsi="Arial" w:cs="Arial"/>
          <w:sz w:val="20"/>
          <w:szCs w:val="20"/>
          <w:lang w:val="en-US"/>
        </w:rPr>
      </w:pPr>
    </w:p>
    <w:p w14:paraId="3BD4F7EB" w14:textId="106F283B" w:rsidR="00A36B12"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Diagnosis</w:t>
      </w:r>
    </w:p>
    <w:p w14:paraId="7437BE1F" w14:textId="1DA09112" w:rsidR="00A36B12" w:rsidRPr="00A36B12" w:rsidRDefault="00A36B12" w:rsidP="00A31AE3">
      <w:pPr>
        <w:spacing w:line="360" w:lineRule="auto"/>
        <w:jc w:val="both"/>
        <w:rPr>
          <w:rFonts w:ascii="Arial" w:hAnsi="Arial" w:cs="Arial"/>
          <w:sz w:val="20"/>
          <w:szCs w:val="20"/>
          <w:lang w:val="en-US"/>
        </w:rPr>
      </w:pPr>
      <w:r w:rsidRPr="00A36B12">
        <w:rPr>
          <w:rFonts w:ascii="Arial" w:hAnsi="Arial" w:cs="Arial"/>
          <w:sz w:val="20"/>
          <w:szCs w:val="20"/>
          <w:lang w:val="en-US"/>
        </w:rPr>
        <w:t>Clinical assessment of the patient begins with history taking. This includes evaluating the location, duration, and quality of the pain. Questionnaires and the Visual Analog Scale (VAS) can be used to assess how much the patient's symptoms interfere with daily activities. This is then followed by a physical examination involving several tests.</w:t>
      </w:r>
      <w:r w:rsidR="00946FD5">
        <w:rPr>
          <w:rFonts w:ascii="Arial" w:hAnsi="Arial" w:cs="Arial"/>
          <w:sz w:val="20"/>
          <w:szCs w:val="20"/>
          <w:lang w:val="en-US"/>
        </w:rPr>
        <w:t xml:space="preserve"> (</w:t>
      </w:r>
      <w:r w:rsidRPr="00A36B12">
        <w:rPr>
          <w:rFonts w:ascii="Arial" w:hAnsi="Arial" w:cs="Arial"/>
          <w:sz w:val="20"/>
          <w:szCs w:val="20"/>
          <w:lang w:val="en-US"/>
        </w:rPr>
        <w:t>15</w:t>
      </w:r>
      <w:r w:rsidR="00946FD5">
        <w:rPr>
          <w:rFonts w:ascii="Arial" w:hAnsi="Arial" w:cs="Arial"/>
          <w:sz w:val="20"/>
          <w:szCs w:val="20"/>
          <w:lang w:val="en-US"/>
        </w:rPr>
        <w:t>)</w:t>
      </w:r>
    </w:p>
    <w:p w14:paraId="6DD9A212" w14:textId="77777777" w:rsidR="00A31AE3" w:rsidRDefault="00A36B12" w:rsidP="00A31AE3">
      <w:pPr>
        <w:spacing w:line="360" w:lineRule="auto"/>
        <w:jc w:val="both"/>
        <w:rPr>
          <w:rFonts w:ascii="Arial" w:hAnsi="Arial" w:cs="Arial"/>
          <w:sz w:val="20"/>
          <w:szCs w:val="20"/>
          <w:lang w:val="en-US"/>
        </w:rPr>
      </w:pPr>
      <w:r w:rsidRPr="00A36B12">
        <w:rPr>
          <w:rFonts w:ascii="Arial" w:hAnsi="Arial" w:cs="Arial"/>
          <w:sz w:val="20"/>
          <w:szCs w:val="20"/>
          <w:lang w:val="en-US"/>
        </w:rPr>
        <w:t>Common findings on physical examination include:</w:t>
      </w:r>
    </w:p>
    <w:p w14:paraId="0F426BD9" w14:textId="77777777" w:rsidR="00A31AE3" w:rsidRDefault="00A36B12" w:rsidP="00A31AE3">
      <w:pPr>
        <w:pStyle w:val="ListParagraph"/>
        <w:numPr>
          <w:ilvl w:val="0"/>
          <w:numId w:val="12"/>
        </w:numPr>
        <w:spacing w:line="360" w:lineRule="auto"/>
        <w:jc w:val="both"/>
        <w:rPr>
          <w:rFonts w:ascii="Arial" w:hAnsi="Arial" w:cs="Arial"/>
          <w:sz w:val="20"/>
          <w:szCs w:val="20"/>
          <w:lang w:val="en-US"/>
        </w:rPr>
      </w:pPr>
      <w:r w:rsidRPr="00A31AE3">
        <w:rPr>
          <w:rFonts w:ascii="Arial" w:hAnsi="Arial" w:cs="Arial"/>
          <w:sz w:val="20"/>
          <w:szCs w:val="20"/>
          <w:lang w:val="en-US"/>
        </w:rPr>
        <w:t>Increased knee and Achilles reflexes (hyperreflexia), or occasionally decreased reflexes in the arms</w:t>
      </w:r>
    </w:p>
    <w:p w14:paraId="02550F8B" w14:textId="77777777" w:rsidR="00A31AE3" w:rsidRDefault="00A36B12" w:rsidP="00A31AE3">
      <w:pPr>
        <w:pStyle w:val="ListParagraph"/>
        <w:numPr>
          <w:ilvl w:val="0"/>
          <w:numId w:val="12"/>
        </w:numPr>
        <w:spacing w:line="360" w:lineRule="auto"/>
        <w:jc w:val="both"/>
        <w:rPr>
          <w:rFonts w:ascii="Arial" w:hAnsi="Arial" w:cs="Arial"/>
          <w:sz w:val="20"/>
          <w:szCs w:val="20"/>
          <w:lang w:val="en-US"/>
        </w:rPr>
      </w:pPr>
      <w:r w:rsidRPr="00A31AE3">
        <w:rPr>
          <w:rFonts w:ascii="Arial" w:hAnsi="Arial" w:cs="Arial"/>
          <w:sz w:val="20"/>
          <w:szCs w:val="20"/>
          <w:lang w:val="en-US"/>
        </w:rPr>
        <w:t>Gait abnormalities, such as loss of balance</w:t>
      </w:r>
    </w:p>
    <w:p w14:paraId="69D41162" w14:textId="77777777" w:rsidR="00A31AE3" w:rsidRDefault="00A36B12" w:rsidP="00A31AE3">
      <w:pPr>
        <w:pStyle w:val="ListParagraph"/>
        <w:numPr>
          <w:ilvl w:val="0"/>
          <w:numId w:val="12"/>
        </w:numPr>
        <w:spacing w:line="360" w:lineRule="auto"/>
        <w:jc w:val="both"/>
        <w:rPr>
          <w:rFonts w:ascii="Arial" w:hAnsi="Arial" w:cs="Arial"/>
          <w:sz w:val="20"/>
          <w:szCs w:val="20"/>
          <w:lang w:val="en-US"/>
        </w:rPr>
      </w:pPr>
      <w:r w:rsidRPr="00A31AE3">
        <w:rPr>
          <w:rFonts w:ascii="Arial" w:hAnsi="Arial" w:cs="Arial"/>
          <w:sz w:val="20"/>
          <w:szCs w:val="20"/>
          <w:lang w:val="en-US"/>
        </w:rPr>
        <w:t>Loss of sensation in the hands or feet</w:t>
      </w:r>
    </w:p>
    <w:p w14:paraId="5153073F" w14:textId="77777777" w:rsidR="00A31AE3" w:rsidRDefault="00A36B12" w:rsidP="00A31AE3">
      <w:pPr>
        <w:pStyle w:val="ListParagraph"/>
        <w:numPr>
          <w:ilvl w:val="0"/>
          <w:numId w:val="12"/>
        </w:numPr>
        <w:spacing w:line="360" w:lineRule="auto"/>
        <w:jc w:val="both"/>
        <w:rPr>
          <w:rFonts w:ascii="Arial" w:hAnsi="Arial" w:cs="Arial"/>
          <w:sz w:val="20"/>
          <w:szCs w:val="20"/>
          <w:lang w:val="en-US"/>
        </w:rPr>
      </w:pPr>
      <w:r w:rsidRPr="00A31AE3">
        <w:rPr>
          <w:rFonts w:ascii="Arial" w:hAnsi="Arial" w:cs="Arial"/>
          <w:sz w:val="20"/>
          <w:szCs w:val="20"/>
          <w:lang w:val="en-US"/>
        </w:rPr>
        <w:t>Presence of clonus</w:t>
      </w:r>
    </w:p>
    <w:p w14:paraId="54D46D86" w14:textId="77777777" w:rsidR="00A31AE3" w:rsidRDefault="00A36B12" w:rsidP="00A31AE3">
      <w:pPr>
        <w:pStyle w:val="ListParagraph"/>
        <w:numPr>
          <w:ilvl w:val="0"/>
          <w:numId w:val="12"/>
        </w:numPr>
        <w:spacing w:line="360" w:lineRule="auto"/>
        <w:jc w:val="both"/>
        <w:rPr>
          <w:rFonts w:ascii="Arial" w:hAnsi="Arial" w:cs="Arial"/>
          <w:sz w:val="20"/>
          <w:szCs w:val="20"/>
          <w:lang w:val="en-US"/>
        </w:rPr>
      </w:pPr>
      <w:r w:rsidRPr="00A31AE3">
        <w:rPr>
          <w:rFonts w:ascii="Arial" w:hAnsi="Arial" w:cs="Arial"/>
          <w:sz w:val="20"/>
          <w:szCs w:val="20"/>
          <w:lang w:val="en-US"/>
        </w:rPr>
        <w:t>Positive Babinski and Hoffman reflexes</w:t>
      </w:r>
    </w:p>
    <w:p w14:paraId="4CD2201B" w14:textId="1928FF3C" w:rsidR="00A36B12" w:rsidRDefault="00A36B12" w:rsidP="00A31AE3">
      <w:pPr>
        <w:pStyle w:val="ListParagraph"/>
        <w:numPr>
          <w:ilvl w:val="0"/>
          <w:numId w:val="12"/>
        </w:numPr>
        <w:spacing w:line="360" w:lineRule="auto"/>
        <w:jc w:val="both"/>
        <w:rPr>
          <w:rFonts w:ascii="Arial" w:hAnsi="Arial" w:cs="Arial"/>
          <w:sz w:val="20"/>
          <w:szCs w:val="20"/>
          <w:lang w:val="en-US"/>
        </w:rPr>
      </w:pPr>
      <w:r w:rsidRPr="00A31AE3">
        <w:rPr>
          <w:rFonts w:ascii="Arial" w:hAnsi="Arial" w:cs="Arial"/>
          <w:sz w:val="20"/>
          <w:szCs w:val="20"/>
          <w:lang w:val="en-US"/>
        </w:rPr>
        <w:t>Decreased neck range of motion or flexibility</w:t>
      </w:r>
    </w:p>
    <w:p w14:paraId="0D2110B2" w14:textId="77777777" w:rsidR="00A31AE3" w:rsidRDefault="00A31AE3" w:rsidP="00A31AE3">
      <w:pPr>
        <w:pStyle w:val="ListParagraph"/>
        <w:spacing w:line="360" w:lineRule="auto"/>
        <w:jc w:val="both"/>
        <w:rPr>
          <w:rFonts w:ascii="Arial" w:hAnsi="Arial" w:cs="Arial"/>
          <w:sz w:val="20"/>
          <w:szCs w:val="20"/>
          <w:lang w:val="en-US"/>
        </w:rPr>
      </w:pPr>
    </w:p>
    <w:p w14:paraId="7A1A9317" w14:textId="77777777" w:rsidR="00A31AE3" w:rsidRPr="00A31AE3" w:rsidRDefault="00A31AE3" w:rsidP="00A31AE3">
      <w:pPr>
        <w:pStyle w:val="ListParagraph"/>
        <w:spacing w:line="360" w:lineRule="auto"/>
        <w:jc w:val="both"/>
        <w:rPr>
          <w:rFonts w:ascii="Arial" w:hAnsi="Arial" w:cs="Arial"/>
          <w:sz w:val="20"/>
          <w:szCs w:val="20"/>
          <w:lang w:val="en-US"/>
        </w:rPr>
      </w:pPr>
    </w:p>
    <w:p w14:paraId="342680B4" w14:textId="22A48645" w:rsidR="00A36B12" w:rsidRPr="00A36B12" w:rsidRDefault="00A36B12" w:rsidP="00A31AE3">
      <w:pPr>
        <w:spacing w:line="360" w:lineRule="auto"/>
        <w:jc w:val="both"/>
        <w:rPr>
          <w:rFonts w:ascii="Arial" w:hAnsi="Arial" w:cs="Arial"/>
          <w:sz w:val="20"/>
          <w:szCs w:val="20"/>
          <w:lang w:val="en-US"/>
        </w:rPr>
      </w:pPr>
      <w:r w:rsidRPr="00A36B12">
        <w:rPr>
          <w:rFonts w:ascii="Arial" w:hAnsi="Arial" w:cs="Arial"/>
          <w:sz w:val="20"/>
          <w:szCs w:val="20"/>
          <w:lang w:val="en-US"/>
        </w:rPr>
        <w:lastRenderedPageBreak/>
        <w:t>The following scoring systems can be used for clinical evaluation</w:t>
      </w:r>
      <w:r w:rsidR="00946FD5">
        <w:rPr>
          <w:rFonts w:ascii="Arial" w:hAnsi="Arial" w:cs="Arial"/>
          <w:sz w:val="20"/>
          <w:szCs w:val="20"/>
          <w:lang w:val="en-US"/>
        </w:rPr>
        <w:t xml:space="preserve"> (</w:t>
      </w:r>
      <w:r w:rsidRPr="00A36B12">
        <w:rPr>
          <w:rFonts w:ascii="Arial" w:hAnsi="Arial" w:cs="Arial"/>
          <w:sz w:val="20"/>
          <w:szCs w:val="20"/>
          <w:lang w:val="en-US"/>
        </w:rPr>
        <w:t>16</w:t>
      </w:r>
      <w:r w:rsidR="00946FD5">
        <w:rPr>
          <w:rFonts w:ascii="Arial" w:hAnsi="Arial" w:cs="Arial"/>
          <w:sz w:val="20"/>
          <w:szCs w:val="20"/>
          <w:lang w:val="en-US"/>
        </w:rPr>
        <w:t>)</w:t>
      </w:r>
      <w:r w:rsidRPr="00A36B12">
        <w:rPr>
          <w:rFonts w:ascii="Arial" w:hAnsi="Arial" w:cs="Arial"/>
          <w:sz w:val="20"/>
          <w:szCs w:val="20"/>
          <w:lang w:val="en-US"/>
        </w:rPr>
        <w:t>:</w:t>
      </w:r>
    </w:p>
    <w:p w14:paraId="6FF3B20B" w14:textId="77777777" w:rsidR="00A31AE3" w:rsidRDefault="00A36B12" w:rsidP="00A31AE3">
      <w:pPr>
        <w:pStyle w:val="ListParagraph"/>
        <w:numPr>
          <w:ilvl w:val="0"/>
          <w:numId w:val="14"/>
        </w:numPr>
        <w:spacing w:line="360" w:lineRule="auto"/>
        <w:jc w:val="both"/>
        <w:rPr>
          <w:rFonts w:ascii="Arial" w:hAnsi="Arial" w:cs="Arial"/>
          <w:sz w:val="20"/>
          <w:szCs w:val="20"/>
          <w:lang w:val="en-US"/>
        </w:rPr>
      </w:pPr>
      <w:r w:rsidRPr="00A31AE3">
        <w:rPr>
          <w:rFonts w:ascii="Arial" w:hAnsi="Arial" w:cs="Arial"/>
          <w:sz w:val="20"/>
          <w:szCs w:val="20"/>
          <w:lang w:val="en-US"/>
        </w:rPr>
        <w:t>Japanese Orthopaedic Association (JOA) Score:</w:t>
      </w:r>
      <w:r w:rsidR="00A31AE3">
        <w:rPr>
          <w:rFonts w:ascii="Arial" w:hAnsi="Arial" w:cs="Arial"/>
          <w:sz w:val="20"/>
          <w:szCs w:val="20"/>
          <w:lang w:val="en-US"/>
        </w:rPr>
        <w:t xml:space="preserve"> </w:t>
      </w:r>
      <w:r w:rsidRPr="00A31AE3">
        <w:rPr>
          <w:rFonts w:ascii="Arial" w:hAnsi="Arial" w:cs="Arial"/>
          <w:sz w:val="20"/>
          <w:szCs w:val="20"/>
          <w:lang w:val="en-US"/>
        </w:rPr>
        <w:t>The JOA Score is used to assess the severity of symptoms and neurological deficits in CSM. Higher scores indicate better function and provide important clinical information about the patient’s status.</w:t>
      </w:r>
    </w:p>
    <w:p w14:paraId="40520451" w14:textId="77777777" w:rsidR="00A31AE3" w:rsidRDefault="00A36B12" w:rsidP="00A31AE3">
      <w:pPr>
        <w:pStyle w:val="ListParagraph"/>
        <w:numPr>
          <w:ilvl w:val="0"/>
          <w:numId w:val="14"/>
        </w:numPr>
        <w:spacing w:line="360" w:lineRule="auto"/>
        <w:jc w:val="both"/>
        <w:rPr>
          <w:rFonts w:ascii="Arial" w:hAnsi="Arial" w:cs="Arial"/>
          <w:sz w:val="20"/>
          <w:szCs w:val="20"/>
          <w:lang w:val="en-US"/>
        </w:rPr>
      </w:pPr>
      <w:r w:rsidRPr="00A31AE3">
        <w:rPr>
          <w:rFonts w:ascii="Arial" w:hAnsi="Arial" w:cs="Arial"/>
          <w:sz w:val="20"/>
          <w:szCs w:val="20"/>
          <w:lang w:val="en-US"/>
        </w:rPr>
        <w:t>Modified Japanese Orthopaedic Association (mJOA) Score:</w:t>
      </w:r>
      <w:r w:rsidR="00A31AE3">
        <w:rPr>
          <w:rFonts w:ascii="Arial" w:hAnsi="Arial" w:cs="Arial"/>
          <w:sz w:val="20"/>
          <w:szCs w:val="20"/>
          <w:lang w:val="en-US"/>
        </w:rPr>
        <w:t xml:space="preserve"> </w:t>
      </w:r>
      <w:r w:rsidRPr="00A31AE3">
        <w:rPr>
          <w:rFonts w:ascii="Arial" w:hAnsi="Arial" w:cs="Arial"/>
          <w:sz w:val="20"/>
          <w:szCs w:val="20"/>
          <w:lang w:val="en-US"/>
        </w:rPr>
        <w:t>The mJOA Score is a modification of the original JOA Score that considers symptoms and neurological deficits in CSM. Lower scores indicate greater severity.</w:t>
      </w:r>
    </w:p>
    <w:p w14:paraId="55DD60A0" w14:textId="77777777" w:rsidR="00A31AE3" w:rsidRDefault="00A36B12" w:rsidP="00A31AE3">
      <w:pPr>
        <w:pStyle w:val="ListParagraph"/>
        <w:numPr>
          <w:ilvl w:val="0"/>
          <w:numId w:val="14"/>
        </w:numPr>
        <w:spacing w:line="360" w:lineRule="auto"/>
        <w:jc w:val="both"/>
        <w:rPr>
          <w:rFonts w:ascii="Arial" w:hAnsi="Arial" w:cs="Arial"/>
          <w:sz w:val="20"/>
          <w:szCs w:val="20"/>
          <w:lang w:val="en-US"/>
        </w:rPr>
      </w:pPr>
      <w:r w:rsidRPr="00A31AE3">
        <w:rPr>
          <w:rFonts w:ascii="Arial" w:hAnsi="Arial" w:cs="Arial"/>
          <w:sz w:val="20"/>
          <w:szCs w:val="20"/>
          <w:lang w:val="en-US"/>
        </w:rPr>
        <w:t>Nurick Grading System:</w:t>
      </w:r>
      <w:r w:rsidR="00A31AE3">
        <w:rPr>
          <w:rFonts w:ascii="Arial" w:hAnsi="Arial" w:cs="Arial"/>
          <w:sz w:val="20"/>
          <w:szCs w:val="20"/>
          <w:lang w:val="en-US"/>
        </w:rPr>
        <w:t xml:space="preserve"> </w:t>
      </w:r>
      <w:r w:rsidRPr="00A31AE3">
        <w:rPr>
          <w:rFonts w:ascii="Arial" w:hAnsi="Arial" w:cs="Arial"/>
          <w:sz w:val="20"/>
          <w:szCs w:val="20"/>
          <w:lang w:val="en-US"/>
        </w:rPr>
        <w:t>The Nurick Grading System classifies CSM into five grades based on the severity of neurological deficits. Higher grades indicate more severe impairment and offer insight into the progression of the condition.</w:t>
      </w:r>
    </w:p>
    <w:p w14:paraId="52E953D9" w14:textId="77777777" w:rsidR="00A31AE3" w:rsidRDefault="00A36B12" w:rsidP="00A31AE3">
      <w:pPr>
        <w:pStyle w:val="ListParagraph"/>
        <w:numPr>
          <w:ilvl w:val="0"/>
          <w:numId w:val="14"/>
        </w:numPr>
        <w:spacing w:line="360" w:lineRule="auto"/>
        <w:jc w:val="both"/>
        <w:rPr>
          <w:rFonts w:ascii="Arial" w:hAnsi="Arial" w:cs="Arial"/>
          <w:sz w:val="20"/>
          <w:szCs w:val="20"/>
          <w:lang w:val="en-US"/>
        </w:rPr>
      </w:pPr>
      <w:r w:rsidRPr="00A31AE3">
        <w:rPr>
          <w:rFonts w:ascii="Arial" w:hAnsi="Arial" w:cs="Arial"/>
          <w:sz w:val="20"/>
          <w:szCs w:val="20"/>
          <w:lang w:val="en-US"/>
        </w:rPr>
        <w:t>Visual Analog Scale (VAS) for Neck and Arm Pain:</w:t>
      </w:r>
      <w:r w:rsidR="00A31AE3">
        <w:rPr>
          <w:rFonts w:ascii="Arial" w:hAnsi="Arial" w:cs="Arial"/>
          <w:sz w:val="20"/>
          <w:szCs w:val="20"/>
          <w:lang w:val="en-US"/>
        </w:rPr>
        <w:t xml:space="preserve"> </w:t>
      </w:r>
      <w:r w:rsidRPr="00A31AE3">
        <w:rPr>
          <w:rFonts w:ascii="Arial" w:hAnsi="Arial" w:cs="Arial"/>
          <w:sz w:val="20"/>
          <w:szCs w:val="20"/>
          <w:lang w:val="en-US"/>
        </w:rPr>
        <w:t>The VAS is used to assess the intensity of neck and arm pain in patients with CSM. The visual scale helps quantify the impact of pain on a patient’s quality of life.</w:t>
      </w:r>
    </w:p>
    <w:p w14:paraId="3A9FBB85" w14:textId="50FC2EBD" w:rsidR="00A36B12" w:rsidRPr="00A31AE3" w:rsidRDefault="00A36B12" w:rsidP="00A31AE3">
      <w:pPr>
        <w:pStyle w:val="ListParagraph"/>
        <w:numPr>
          <w:ilvl w:val="0"/>
          <w:numId w:val="14"/>
        </w:numPr>
        <w:spacing w:line="360" w:lineRule="auto"/>
        <w:jc w:val="both"/>
        <w:rPr>
          <w:rFonts w:ascii="Arial" w:hAnsi="Arial" w:cs="Arial"/>
          <w:sz w:val="20"/>
          <w:szCs w:val="20"/>
          <w:lang w:val="en-US"/>
        </w:rPr>
      </w:pPr>
      <w:r w:rsidRPr="00A31AE3">
        <w:rPr>
          <w:rFonts w:ascii="Arial" w:hAnsi="Arial" w:cs="Arial"/>
          <w:sz w:val="20"/>
          <w:szCs w:val="20"/>
          <w:lang w:val="en-US"/>
        </w:rPr>
        <w:t>Neck Disability Index (NDI):</w:t>
      </w:r>
      <w:r w:rsidR="00A31AE3">
        <w:rPr>
          <w:rFonts w:ascii="Arial" w:hAnsi="Arial" w:cs="Arial"/>
          <w:sz w:val="20"/>
          <w:szCs w:val="20"/>
          <w:lang w:val="en-US"/>
        </w:rPr>
        <w:t xml:space="preserve"> </w:t>
      </w:r>
      <w:r w:rsidRPr="00A31AE3">
        <w:rPr>
          <w:rFonts w:ascii="Arial" w:hAnsi="Arial" w:cs="Arial"/>
          <w:sz w:val="20"/>
          <w:szCs w:val="20"/>
          <w:lang w:val="en-US"/>
        </w:rPr>
        <w:t>The NDI is a questionnaire used to assess the degree of neck-related disability and its impact on daily activities in CSM patients. Higher scores indicate greater disability.</w:t>
      </w:r>
    </w:p>
    <w:p w14:paraId="1CE99F68" w14:textId="63B36839" w:rsidR="00A36B12" w:rsidRPr="00A36B12" w:rsidRDefault="00A36B12" w:rsidP="00A31AE3">
      <w:pPr>
        <w:spacing w:line="360" w:lineRule="auto"/>
        <w:jc w:val="both"/>
        <w:rPr>
          <w:rFonts w:ascii="Arial" w:hAnsi="Arial" w:cs="Arial"/>
          <w:sz w:val="20"/>
          <w:szCs w:val="20"/>
          <w:lang w:val="en-US"/>
        </w:rPr>
      </w:pPr>
      <w:r w:rsidRPr="00A36B12">
        <w:rPr>
          <w:rFonts w:ascii="Arial" w:hAnsi="Arial" w:cs="Arial"/>
          <w:sz w:val="20"/>
          <w:szCs w:val="20"/>
          <w:lang w:val="en-US"/>
        </w:rPr>
        <w:t>These scoring systems can be used together to provide a holistic overview of the patient’s condition. The JOA and mJOA scores help evaluate neurological deficits, the Nurick grading reflects disease progression, while the VAS and NDI offer insight into pain levels and functional disability.</w:t>
      </w:r>
      <w:r w:rsidR="00946FD5">
        <w:rPr>
          <w:rFonts w:ascii="Arial" w:hAnsi="Arial" w:cs="Arial"/>
          <w:sz w:val="20"/>
          <w:szCs w:val="20"/>
          <w:lang w:val="en-US"/>
        </w:rPr>
        <w:t xml:space="preserve"> (</w:t>
      </w:r>
      <w:r w:rsidRPr="00A36B12">
        <w:rPr>
          <w:rFonts w:ascii="Arial" w:hAnsi="Arial" w:cs="Arial"/>
          <w:sz w:val="20"/>
          <w:szCs w:val="20"/>
          <w:lang w:val="en-US"/>
        </w:rPr>
        <w:t>17</w:t>
      </w:r>
      <w:r w:rsidR="00946FD5">
        <w:rPr>
          <w:rFonts w:ascii="Arial" w:hAnsi="Arial" w:cs="Arial"/>
          <w:sz w:val="20"/>
          <w:szCs w:val="20"/>
          <w:lang w:val="en-US"/>
        </w:rPr>
        <w:t>)</w:t>
      </w:r>
    </w:p>
    <w:p w14:paraId="49951433" w14:textId="49B7E9C4" w:rsidR="00A36B12" w:rsidRPr="00A36B12" w:rsidRDefault="00A36B12" w:rsidP="00A31AE3">
      <w:pPr>
        <w:spacing w:line="360" w:lineRule="auto"/>
        <w:jc w:val="both"/>
        <w:rPr>
          <w:rFonts w:ascii="Arial" w:hAnsi="Arial" w:cs="Arial"/>
          <w:sz w:val="20"/>
          <w:szCs w:val="20"/>
          <w:lang w:val="en-US"/>
        </w:rPr>
      </w:pPr>
      <w:r w:rsidRPr="00A36B12">
        <w:rPr>
          <w:rFonts w:ascii="Arial" w:hAnsi="Arial" w:cs="Arial"/>
          <w:sz w:val="20"/>
          <w:szCs w:val="20"/>
          <w:lang w:val="en-US"/>
        </w:rPr>
        <w:t>Additional examinations are necessary to help establish the diagnosis of myelopathy, including</w:t>
      </w:r>
      <w:r w:rsidR="00946FD5">
        <w:rPr>
          <w:rFonts w:ascii="Arial" w:hAnsi="Arial" w:cs="Arial"/>
          <w:sz w:val="20"/>
          <w:szCs w:val="20"/>
          <w:lang w:val="en-US"/>
        </w:rPr>
        <w:t xml:space="preserve"> (</w:t>
      </w:r>
      <w:r w:rsidRPr="00A36B12">
        <w:rPr>
          <w:rFonts w:ascii="Arial" w:hAnsi="Arial" w:cs="Arial"/>
          <w:sz w:val="20"/>
          <w:szCs w:val="20"/>
          <w:lang w:val="en-US"/>
        </w:rPr>
        <w:t>18</w:t>
      </w:r>
      <w:r w:rsidR="00946FD5">
        <w:rPr>
          <w:rFonts w:ascii="Arial" w:hAnsi="Arial" w:cs="Arial"/>
          <w:sz w:val="20"/>
          <w:szCs w:val="20"/>
          <w:lang w:val="en-US"/>
        </w:rPr>
        <w:t>)</w:t>
      </w:r>
      <w:r w:rsidRPr="00A36B12">
        <w:rPr>
          <w:rFonts w:ascii="Arial" w:hAnsi="Arial" w:cs="Arial"/>
          <w:sz w:val="20"/>
          <w:szCs w:val="20"/>
          <w:lang w:val="en-US"/>
        </w:rPr>
        <w:t>:</w:t>
      </w:r>
    </w:p>
    <w:p w14:paraId="7734C3F0" w14:textId="2A14CB60" w:rsidR="00A36B12" w:rsidRPr="00A31AE3" w:rsidRDefault="00A36B12" w:rsidP="00A31AE3">
      <w:pPr>
        <w:pStyle w:val="ListParagraph"/>
        <w:numPr>
          <w:ilvl w:val="0"/>
          <w:numId w:val="15"/>
        </w:numPr>
        <w:spacing w:line="360" w:lineRule="auto"/>
        <w:jc w:val="both"/>
        <w:rPr>
          <w:rFonts w:ascii="Arial" w:hAnsi="Arial" w:cs="Arial"/>
          <w:sz w:val="20"/>
          <w:szCs w:val="20"/>
          <w:lang w:val="en-US"/>
        </w:rPr>
      </w:pPr>
      <w:r w:rsidRPr="00A31AE3">
        <w:rPr>
          <w:rFonts w:ascii="Arial" w:hAnsi="Arial" w:cs="Arial"/>
          <w:sz w:val="20"/>
          <w:szCs w:val="20"/>
          <w:lang w:val="en-US"/>
        </w:rPr>
        <w:t>Blood laboratory tests</w:t>
      </w:r>
    </w:p>
    <w:p w14:paraId="3E4DBF1B" w14:textId="77777777" w:rsidR="00A36B12" w:rsidRPr="00A36B12" w:rsidRDefault="00A36B12" w:rsidP="00A31AE3">
      <w:pPr>
        <w:spacing w:line="360" w:lineRule="auto"/>
        <w:jc w:val="both"/>
        <w:rPr>
          <w:rFonts w:ascii="Arial" w:hAnsi="Arial" w:cs="Arial"/>
          <w:sz w:val="20"/>
          <w:szCs w:val="20"/>
          <w:lang w:val="en-US"/>
        </w:rPr>
      </w:pPr>
      <w:r w:rsidRPr="00A36B12">
        <w:rPr>
          <w:rFonts w:ascii="Arial" w:hAnsi="Arial" w:cs="Arial"/>
          <w:sz w:val="20"/>
          <w:szCs w:val="20"/>
          <w:lang w:val="en-US"/>
        </w:rPr>
        <w:t>These are performed to determine whether there are signs of infection or systemic disease that may be the underlying cause of myelopathy. This test is particularly valuable when the history and physical examination suggest an infectious process, but it can also help rule out infectious causes if results are unremarkable.</w:t>
      </w:r>
    </w:p>
    <w:p w14:paraId="47A93E75" w14:textId="3C5D5C9A" w:rsidR="00A36B12" w:rsidRPr="00A31AE3" w:rsidRDefault="00A36B12" w:rsidP="00A31AE3">
      <w:pPr>
        <w:pStyle w:val="ListParagraph"/>
        <w:numPr>
          <w:ilvl w:val="0"/>
          <w:numId w:val="15"/>
        </w:numPr>
        <w:spacing w:line="360" w:lineRule="auto"/>
        <w:jc w:val="both"/>
        <w:rPr>
          <w:rFonts w:ascii="Arial" w:hAnsi="Arial" w:cs="Arial"/>
          <w:sz w:val="20"/>
          <w:szCs w:val="20"/>
          <w:lang w:val="en-US"/>
        </w:rPr>
      </w:pPr>
      <w:r w:rsidRPr="00A31AE3">
        <w:rPr>
          <w:rFonts w:ascii="Arial" w:hAnsi="Arial" w:cs="Arial"/>
          <w:sz w:val="20"/>
          <w:szCs w:val="20"/>
          <w:lang w:val="en-US"/>
        </w:rPr>
        <w:t>Spinal X-ray</w:t>
      </w:r>
    </w:p>
    <w:p w14:paraId="42CDEB91" w14:textId="77777777" w:rsidR="00A36B12" w:rsidRPr="00A36B12" w:rsidRDefault="00A36B12" w:rsidP="00A31AE3">
      <w:pPr>
        <w:spacing w:line="360" w:lineRule="auto"/>
        <w:jc w:val="both"/>
        <w:rPr>
          <w:rFonts w:ascii="Arial" w:hAnsi="Arial" w:cs="Arial"/>
          <w:sz w:val="20"/>
          <w:szCs w:val="20"/>
          <w:lang w:val="en-US"/>
        </w:rPr>
      </w:pPr>
      <w:r w:rsidRPr="00A36B12">
        <w:rPr>
          <w:rFonts w:ascii="Arial" w:hAnsi="Arial" w:cs="Arial"/>
          <w:sz w:val="20"/>
          <w:szCs w:val="20"/>
          <w:lang w:val="en-US"/>
        </w:rPr>
        <w:t>This is the initial imaging modality used to detect abnormalities in the spine such as spondylosis, spondylolisthesis, or osteophyte formation. It is recommended to perform three standard views (anteroposterior [AP], lateral, and odontoid) for the cervical spine, and AP and lateral views for the thoracic and lumbar spine. If no abnormalities are found on radiographs, further evaluation with CT scan or MRI may be necessary.</w:t>
      </w:r>
    </w:p>
    <w:p w14:paraId="70D2E414" w14:textId="28D241C5" w:rsidR="00A36B12" w:rsidRPr="00A31AE3" w:rsidRDefault="00A36B12" w:rsidP="00A31AE3">
      <w:pPr>
        <w:pStyle w:val="ListParagraph"/>
        <w:numPr>
          <w:ilvl w:val="0"/>
          <w:numId w:val="15"/>
        </w:numPr>
        <w:spacing w:line="360" w:lineRule="auto"/>
        <w:jc w:val="both"/>
        <w:rPr>
          <w:rFonts w:ascii="Arial" w:hAnsi="Arial" w:cs="Arial"/>
          <w:sz w:val="20"/>
          <w:szCs w:val="20"/>
          <w:lang w:val="en-US"/>
        </w:rPr>
      </w:pPr>
      <w:r w:rsidRPr="00A31AE3">
        <w:rPr>
          <w:rFonts w:ascii="Arial" w:hAnsi="Arial" w:cs="Arial"/>
          <w:sz w:val="20"/>
          <w:szCs w:val="20"/>
          <w:lang w:val="en-US"/>
        </w:rPr>
        <w:t>CT scan / MRI</w:t>
      </w:r>
    </w:p>
    <w:p w14:paraId="6584BB44" w14:textId="77777777" w:rsidR="00A36B12" w:rsidRPr="00A36B12" w:rsidRDefault="00A36B12" w:rsidP="00A31AE3">
      <w:pPr>
        <w:spacing w:line="360" w:lineRule="auto"/>
        <w:jc w:val="both"/>
        <w:rPr>
          <w:rFonts w:ascii="Arial" w:hAnsi="Arial" w:cs="Arial"/>
          <w:sz w:val="20"/>
          <w:szCs w:val="20"/>
          <w:lang w:val="en-US"/>
        </w:rPr>
      </w:pPr>
      <w:r w:rsidRPr="00A36B12">
        <w:rPr>
          <w:rFonts w:ascii="Arial" w:hAnsi="Arial" w:cs="Arial"/>
          <w:sz w:val="20"/>
          <w:szCs w:val="20"/>
          <w:lang w:val="en-US"/>
        </w:rPr>
        <w:t>These are used to visualize spinal structures in more detail, allowing identification of the lesion’s location and cause, such as trauma to the vertebrae or tumors compressing the spinal cord. MRI is the most effective diagnostic tool for detecting spinal cord lesions due to trauma or narrowing of the spinal canal (spinal stenosis).</w:t>
      </w:r>
    </w:p>
    <w:p w14:paraId="7753D73E" w14:textId="6C3C5927" w:rsidR="00A31AE3" w:rsidRDefault="00A36B12" w:rsidP="00A31AE3">
      <w:pPr>
        <w:spacing w:line="360" w:lineRule="auto"/>
        <w:jc w:val="both"/>
        <w:rPr>
          <w:rFonts w:ascii="Arial" w:hAnsi="Arial" w:cs="Arial"/>
          <w:sz w:val="20"/>
          <w:szCs w:val="20"/>
          <w:lang w:val="en-US"/>
        </w:rPr>
      </w:pPr>
      <w:r w:rsidRPr="00A36B12">
        <w:rPr>
          <w:rFonts w:ascii="Arial" w:hAnsi="Arial" w:cs="Arial"/>
          <w:sz w:val="20"/>
          <w:szCs w:val="20"/>
          <w:lang w:val="en-US"/>
        </w:rPr>
        <w:t xml:space="preserve"> </w:t>
      </w:r>
    </w:p>
    <w:p w14:paraId="3D17CCFF" w14:textId="62351E88" w:rsidR="00A31AE3" w:rsidRDefault="00A31AE3" w:rsidP="00A31AE3">
      <w:pPr>
        <w:spacing w:line="360" w:lineRule="auto"/>
        <w:jc w:val="center"/>
        <w:rPr>
          <w:rFonts w:ascii="Arial" w:hAnsi="Arial" w:cs="Arial"/>
          <w:sz w:val="20"/>
          <w:szCs w:val="20"/>
          <w:lang w:val="en-US"/>
        </w:rPr>
      </w:pPr>
      <w:r w:rsidRPr="001E417A">
        <w:rPr>
          <w:noProof/>
          <w:sz w:val="20"/>
          <w:lang w:val="en-US"/>
        </w:rPr>
        <w:lastRenderedPageBreak/>
        <w:drawing>
          <wp:inline distT="0" distB="0" distL="0" distR="0" wp14:anchorId="7E50E1FB" wp14:editId="1E141C61">
            <wp:extent cx="2057400" cy="2565400"/>
            <wp:effectExtent l="0" t="0" r="0" b="6350"/>
            <wp:docPr id="218132518" name="Picture 3" descr="http://www.aafp.org/afp/2000/0901/afp20000901p1064-f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jpeg" descr="http://www.aafp.org/afp/2000/0901/afp20000901p1064-f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0" cy="2565400"/>
                    </a:xfrm>
                    <a:prstGeom prst="rect">
                      <a:avLst/>
                    </a:prstGeom>
                    <a:noFill/>
                    <a:ln>
                      <a:noFill/>
                    </a:ln>
                  </pic:spPr>
                </pic:pic>
              </a:graphicData>
            </a:graphic>
          </wp:inline>
        </w:drawing>
      </w:r>
    </w:p>
    <w:p w14:paraId="1CA10C07" w14:textId="5B89CE86" w:rsidR="00A36B12" w:rsidRPr="00352B76" w:rsidRDefault="00A31AE3" w:rsidP="00A31AE3">
      <w:pPr>
        <w:spacing w:line="360" w:lineRule="auto"/>
        <w:jc w:val="center"/>
        <w:rPr>
          <w:rFonts w:ascii="Arial" w:hAnsi="Arial" w:cs="Arial"/>
          <w:sz w:val="20"/>
          <w:szCs w:val="20"/>
          <w:lang w:val="en-US"/>
        </w:rPr>
      </w:pPr>
      <w:r>
        <w:rPr>
          <w:rFonts w:ascii="Arial" w:hAnsi="Arial" w:cs="Arial"/>
          <w:sz w:val="20"/>
          <w:szCs w:val="20"/>
          <w:lang w:val="en-US"/>
        </w:rPr>
        <w:t xml:space="preserve">Figures </w:t>
      </w:r>
      <w:r w:rsidR="00A36B12" w:rsidRPr="00A36B12">
        <w:rPr>
          <w:rFonts w:ascii="Arial" w:hAnsi="Arial" w:cs="Arial"/>
          <w:sz w:val="20"/>
          <w:szCs w:val="20"/>
          <w:lang w:val="en-US"/>
        </w:rPr>
        <w:t>2. MRI Imaging for CSM</w:t>
      </w:r>
    </w:p>
    <w:p w14:paraId="25CA0D41" w14:textId="77777777" w:rsidR="00A36B12" w:rsidRPr="00A31AE3" w:rsidRDefault="00A36B12" w:rsidP="00A31AE3">
      <w:pPr>
        <w:spacing w:line="360" w:lineRule="auto"/>
        <w:jc w:val="both"/>
        <w:rPr>
          <w:rFonts w:ascii="Arial" w:hAnsi="Arial" w:cs="Arial"/>
          <w:sz w:val="20"/>
          <w:szCs w:val="20"/>
          <w:lang w:val="en-US"/>
        </w:rPr>
      </w:pPr>
    </w:p>
    <w:p w14:paraId="536B3C98" w14:textId="1D439C11" w:rsidR="00A36B12" w:rsidRPr="00A31AE3" w:rsidRDefault="00A36B12" w:rsidP="00A31AE3">
      <w:pPr>
        <w:spacing w:line="360" w:lineRule="auto"/>
        <w:jc w:val="both"/>
        <w:rPr>
          <w:rFonts w:ascii="Arial" w:hAnsi="Arial" w:cs="Arial"/>
          <w:b/>
          <w:bCs/>
          <w:sz w:val="20"/>
          <w:szCs w:val="20"/>
          <w:lang w:val="en-US"/>
        </w:rPr>
      </w:pPr>
      <w:r w:rsidRPr="00A31AE3">
        <w:rPr>
          <w:rFonts w:ascii="Arial" w:hAnsi="Arial" w:cs="Arial"/>
          <w:b/>
          <w:bCs/>
          <w:sz w:val="20"/>
          <w:szCs w:val="20"/>
          <w:lang w:val="en-US"/>
        </w:rPr>
        <w:t>Differential Diagnosis</w:t>
      </w:r>
    </w:p>
    <w:p w14:paraId="17C48FF9" w14:textId="17B804D4" w:rsidR="00A31AE3" w:rsidRPr="00A31AE3" w:rsidRDefault="00A31AE3" w:rsidP="00A31AE3">
      <w:pPr>
        <w:spacing w:line="360" w:lineRule="auto"/>
        <w:jc w:val="both"/>
        <w:rPr>
          <w:rFonts w:ascii="Arial" w:hAnsi="Arial" w:cs="Arial"/>
          <w:sz w:val="20"/>
          <w:szCs w:val="20"/>
        </w:rPr>
      </w:pPr>
      <w:r w:rsidRPr="00A31AE3">
        <w:rPr>
          <w:rFonts w:ascii="Arial" w:hAnsi="Arial" w:cs="Arial"/>
          <w:sz w:val="20"/>
          <w:szCs w:val="20"/>
        </w:rPr>
        <w:t>The differential diagnosis for cervical myelopathy generally depends on its underlying cause, whether it be infection, trauma, tumor, degenerative processes, vascular disorders, multiple sclerosis, or vitamin B complex deficiency. This is closely related to the management approach to be taken, particularly when considering surgical intervention, antibiotic therapy, or chemotherapy.</w:t>
      </w:r>
      <w:r w:rsidR="00D34CDF">
        <w:rPr>
          <w:rFonts w:ascii="Arial" w:hAnsi="Arial" w:cs="Arial"/>
          <w:sz w:val="20"/>
          <w:szCs w:val="20"/>
        </w:rPr>
        <w:t xml:space="preserve"> (</w:t>
      </w:r>
      <w:r w:rsidRPr="00A31AE3">
        <w:rPr>
          <w:rFonts w:ascii="Arial" w:hAnsi="Arial" w:cs="Arial"/>
          <w:sz w:val="20"/>
          <w:szCs w:val="20"/>
        </w:rPr>
        <w:t>19</w:t>
      </w:r>
      <w:r w:rsidR="00D34CDF">
        <w:rPr>
          <w:rFonts w:ascii="Arial" w:hAnsi="Arial" w:cs="Arial"/>
          <w:sz w:val="20"/>
          <w:szCs w:val="20"/>
        </w:rPr>
        <w:t>)</w:t>
      </w:r>
    </w:p>
    <w:p w14:paraId="54008615" w14:textId="77777777" w:rsidR="00A36B12" w:rsidRPr="00A36B12" w:rsidRDefault="00A36B12" w:rsidP="00A31AE3">
      <w:pPr>
        <w:spacing w:line="360" w:lineRule="auto"/>
        <w:jc w:val="both"/>
        <w:rPr>
          <w:rFonts w:ascii="Arial" w:hAnsi="Arial" w:cs="Arial"/>
          <w:sz w:val="20"/>
          <w:szCs w:val="20"/>
        </w:rPr>
      </w:pPr>
    </w:p>
    <w:p w14:paraId="3324BEED" w14:textId="19DB997C" w:rsidR="00A36B12" w:rsidRPr="00A31AE3" w:rsidRDefault="00A36B12" w:rsidP="00A31AE3">
      <w:pPr>
        <w:spacing w:line="360" w:lineRule="auto"/>
        <w:jc w:val="both"/>
        <w:rPr>
          <w:rFonts w:ascii="Arial" w:hAnsi="Arial" w:cs="Arial"/>
          <w:b/>
          <w:bCs/>
          <w:sz w:val="20"/>
          <w:szCs w:val="20"/>
          <w:lang w:val="en-US"/>
        </w:rPr>
      </w:pPr>
      <w:r w:rsidRPr="00A31AE3">
        <w:rPr>
          <w:rFonts w:ascii="Arial" w:hAnsi="Arial" w:cs="Arial"/>
          <w:b/>
          <w:bCs/>
          <w:sz w:val="20"/>
          <w:szCs w:val="20"/>
          <w:lang w:val="en-US"/>
        </w:rPr>
        <w:t>Treatment</w:t>
      </w:r>
    </w:p>
    <w:p w14:paraId="22D56164" w14:textId="2D609C95"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Physical therapy and exercise typically begin with stretching to restore flexibility of the neck, torso, arms, or legs. Medications for cervical myelopathy aim to relieve pain, muscle spasms, and other symptoms. NSAIDs are used to reduce inflammation and swelling</w:t>
      </w:r>
      <w:r w:rsidR="00024424">
        <w:rPr>
          <w:rFonts w:ascii="Arial" w:hAnsi="Arial" w:cs="Arial"/>
          <w:sz w:val="20"/>
          <w:szCs w:val="20"/>
          <w:lang w:val="en-US"/>
        </w:rPr>
        <w:t xml:space="preserve"> </w:t>
      </w:r>
      <w:r w:rsidRPr="00A31AE3">
        <w:rPr>
          <w:rFonts w:ascii="Arial" w:hAnsi="Arial" w:cs="Arial"/>
          <w:sz w:val="20"/>
          <w:szCs w:val="20"/>
          <w:lang w:val="en-US"/>
        </w:rPr>
        <w:t>examples include aspirin, ibuprofen, and naproxen. Side effects of NSAIDs, such as gastrointestinal upset and bleeding, should be monitored.</w:t>
      </w:r>
      <w:r w:rsidR="00D34CDF">
        <w:rPr>
          <w:rFonts w:ascii="Arial" w:hAnsi="Arial" w:cs="Arial"/>
          <w:sz w:val="20"/>
          <w:szCs w:val="20"/>
          <w:lang w:val="en-US"/>
        </w:rPr>
        <w:t xml:space="preserve"> (</w:t>
      </w:r>
      <w:r w:rsidRPr="00A31AE3">
        <w:rPr>
          <w:rFonts w:ascii="Arial" w:hAnsi="Arial" w:cs="Arial"/>
          <w:sz w:val="20"/>
          <w:szCs w:val="20"/>
          <w:lang w:val="en-US"/>
        </w:rPr>
        <w:t>20</w:t>
      </w:r>
      <w:r w:rsidR="00D34CDF">
        <w:rPr>
          <w:rFonts w:ascii="Arial" w:hAnsi="Arial" w:cs="Arial"/>
          <w:sz w:val="20"/>
          <w:szCs w:val="20"/>
          <w:lang w:val="en-US"/>
        </w:rPr>
        <w:t>)</w:t>
      </w:r>
    </w:p>
    <w:p w14:paraId="6F05FD83" w14:textId="711C3987"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Corticosteroids, either oral or injectable, can be used as powerful anti-inflammatory agents. Epidural steroid injections may also be recommended; corticosteroids are injected into the</w:t>
      </w:r>
      <w:r w:rsidR="00024424">
        <w:rPr>
          <w:rFonts w:ascii="Arial" w:hAnsi="Arial" w:cs="Arial"/>
          <w:sz w:val="20"/>
          <w:szCs w:val="20"/>
          <w:lang w:val="en-US"/>
        </w:rPr>
        <w:t xml:space="preserve"> </w:t>
      </w:r>
      <w:r w:rsidRPr="00A31AE3">
        <w:rPr>
          <w:rFonts w:ascii="Arial" w:hAnsi="Arial" w:cs="Arial"/>
          <w:sz w:val="20"/>
          <w:szCs w:val="20"/>
          <w:lang w:val="en-US"/>
        </w:rPr>
        <w:t>epidural space to reduce inflammation. Antidepressants may be prescribed if analgesics are insufficient. Trigger point injections with local anesthetics, possibly combined with steroids, may be administered directly into painful soft tissues or muscles. Facet joint injections may also be used.</w:t>
      </w:r>
      <w:r w:rsidR="00D34CDF">
        <w:rPr>
          <w:rFonts w:ascii="Arial" w:hAnsi="Arial" w:cs="Arial"/>
          <w:sz w:val="20"/>
          <w:szCs w:val="20"/>
          <w:lang w:val="en-US"/>
        </w:rPr>
        <w:t xml:space="preserve"> (</w:t>
      </w:r>
      <w:r w:rsidRPr="00A31AE3">
        <w:rPr>
          <w:rFonts w:ascii="Arial" w:hAnsi="Arial" w:cs="Arial"/>
          <w:sz w:val="20"/>
          <w:szCs w:val="20"/>
          <w:lang w:val="en-US"/>
        </w:rPr>
        <w:t>21</w:t>
      </w:r>
      <w:r w:rsidR="00D34CDF">
        <w:rPr>
          <w:rFonts w:ascii="Arial" w:hAnsi="Arial" w:cs="Arial"/>
          <w:sz w:val="20"/>
          <w:szCs w:val="20"/>
          <w:lang w:val="en-US"/>
        </w:rPr>
        <w:t>)</w:t>
      </w:r>
    </w:p>
    <w:p w14:paraId="53DB6FAB" w14:textId="50817867"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 xml:space="preserve">Treatment for spinal cord injury primarily aims to improve and preserve sensory and motor function. Patients with complete spinal cord injuries have only a 5% chance of full recovery. Complete lesions that show no improvement within the first 72 hours tend to remain unchanged and have a poor prognosis. In contrast, incomplete spinal cord injuries generally have a better prognosis. If some sensory function remains below the level of the lesion, there is more than a 50% chance of regaining the ability to walk. Methylprednisolone is the most commonly used therapy for traumatic spinal cord injury and is recommended by the U.S. National Institutes of Health. A study has shown that high-dose methylprednisolone is the only </w:t>
      </w:r>
      <w:r w:rsidRPr="00A31AE3">
        <w:rPr>
          <w:rFonts w:ascii="Arial" w:hAnsi="Arial" w:cs="Arial"/>
          <w:sz w:val="20"/>
          <w:szCs w:val="20"/>
          <w:lang w:val="en-US"/>
        </w:rPr>
        <w:lastRenderedPageBreak/>
        <w:t>pharmacologic treatment proven effective in a Phase III clinical trial and is therefore recommended for use in traumatic spinal cord injury.</w:t>
      </w:r>
      <w:r w:rsidR="00D34CDF">
        <w:rPr>
          <w:rFonts w:ascii="Arial" w:hAnsi="Arial" w:cs="Arial"/>
          <w:sz w:val="20"/>
          <w:szCs w:val="20"/>
          <w:lang w:val="en-US"/>
        </w:rPr>
        <w:t xml:space="preserve"> (</w:t>
      </w:r>
      <w:r w:rsidRPr="00A31AE3">
        <w:rPr>
          <w:rFonts w:ascii="Arial" w:hAnsi="Arial" w:cs="Arial"/>
          <w:sz w:val="20"/>
          <w:szCs w:val="20"/>
          <w:lang w:val="en-US"/>
        </w:rPr>
        <w:t>22</w:t>
      </w:r>
      <w:r w:rsidR="00D34CDF">
        <w:rPr>
          <w:rFonts w:ascii="Arial" w:hAnsi="Arial" w:cs="Arial"/>
          <w:sz w:val="20"/>
          <w:szCs w:val="20"/>
          <w:lang w:val="en-US"/>
        </w:rPr>
        <w:t>)</w:t>
      </w:r>
    </w:p>
    <w:p w14:paraId="2457CE50" w14:textId="5E1B0A0B"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Medical rehabilitation plays a key role in managing spinal cord injury. Physiotherapy, occupational therapy, and bladder training should be initiated as early as possible. The main goal of physiotherapy is to maintain range of motion (ROM) and mobility, while strengthening the remaining functional muscles. Occupational therapy focuses on improving and preserving upper limb function and maintaining the ability to perform daily living activities. Contracture formation should be prevented as much as possible. Assistive devices should be tailored to the patient’s profession and personal goals.</w:t>
      </w:r>
      <w:r w:rsidR="00D34CDF">
        <w:rPr>
          <w:rFonts w:ascii="Arial" w:hAnsi="Arial" w:cs="Arial"/>
          <w:sz w:val="20"/>
          <w:szCs w:val="20"/>
          <w:lang w:val="en-US"/>
        </w:rPr>
        <w:t xml:space="preserve"> (</w:t>
      </w:r>
      <w:r w:rsidRPr="00A31AE3">
        <w:rPr>
          <w:rFonts w:ascii="Arial" w:hAnsi="Arial" w:cs="Arial"/>
          <w:sz w:val="20"/>
          <w:szCs w:val="20"/>
          <w:lang w:val="en-US"/>
        </w:rPr>
        <w:t>21</w:t>
      </w:r>
      <w:r w:rsidR="00D34CDF">
        <w:rPr>
          <w:rFonts w:ascii="Arial" w:hAnsi="Arial" w:cs="Arial"/>
          <w:sz w:val="20"/>
          <w:szCs w:val="20"/>
          <w:lang w:val="en-US"/>
        </w:rPr>
        <w:t>)</w:t>
      </w:r>
    </w:p>
    <w:p w14:paraId="579288B6" w14:textId="77777777"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Surgical intervention is necessary to relieve spinal cord compression caused by trauma, stenosis, or tumors compressing the cord.</w:t>
      </w:r>
    </w:p>
    <w:p w14:paraId="2B938A0E" w14:textId="77777777"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Indications for surgery include:</w:t>
      </w:r>
    </w:p>
    <w:p w14:paraId="7B6FE835" w14:textId="77777777" w:rsidR="005B7340" w:rsidRDefault="00A31AE3" w:rsidP="00A31AE3">
      <w:pPr>
        <w:pStyle w:val="ListParagraph"/>
        <w:numPr>
          <w:ilvl w:val="0"/>
          <w:numId w:val="15"/>
        </w:numPr>
        <w:spacing w:line="360" w:lineRule="auto"/>
        <w:jc w:val="both"/>
        <w:rPr>
          <w:rFonts w:ascii="Arial" w:hAnsi="Arial" w:cs="Arial"/>
          <w:sz w:val="20"/>
          <w:szCs w:val="20"/>
          <w:lang w:val="en-US"/>
        </w:rPr>
      </w:pPr>
      <w:r w:rsidRPr="005B7340">
        <w:rPr>
          <w:rFonts w:ascii="Arial" w:hAnsi="Arial" w:cs="Arial"/>
          <w:sz w:val="20"/>
          <w:szCs w:val="20"/>
          <w:lang w:val="en-US"/>
        </w:rPr>
        <w:t>Failure of non-operative therapy after 3 months to relieve pain</w:t>
      </w:r>
    </w:p>
    <w:p w14:paraId="5A561F9B" w14:textId="77777777" w:rsidR="005B7340" w:rsidRDefault="00A31AE3" w:rsidP="00A31AE3">
      <w:pPr>
        <w:pStyle w:val="ListParagraph"/>
        <w:numPr>
          <w:ilvl w:val="0"/>
          <w:numId w:val="15"/>
        </w:numPr>
        <w:spacing w:line="360" w:lineRule="auto"/>
        <w:jc w:val="both"/>
        <w:rPr>
          <w:rFonts w:ascii="Arial" w:hAnsi="Arial" w:cs="Arial"/>
          <w:sz w:val="20"/>
          <w:szCs w:val="20"/>
          <w:lang w:val="en-US"/>
        </w:rPr>
      </w:pPr>
      <w:r w:rsidRPr="005B7340">
        <w:rPr>
          <w:rFonts w:ascii="Arial" w:hAnsi="Arial" w:cs="Arial"/>
          <w:sz w:val="20"/>
          <w:szCs w:val="20"/>
          <w:lang w:val="en-US"/>
        </w:rPr>
        <w:t>Persistent or recurrent symptoms with or without neurological deficits</w:t>
      </w:r>
    </w:p>
    <w:p w14:paraId="598E1110" w14:textId="0F58BCF8" w:rsidR="00A31AE3" w:rsidRPr="005B7340" w:rsidRDefault="00A31AE3" w:rsidP="00A31AE3">
      <w:pPr>
        <w:pStyle w:val="ListParagraph"/>
        <w:numPr>
          <w:ilvl w:val="0"/>
          <w:numId w:val="15"/>
        </w:numPr>
        <w:spacing w:line="360" w:lineRule="auto"/>
        <w:jc w:val="both"/>
        <w:rPr>
          <w:rFonts w:ascii="Arial" w:hAnsi="Arial" w:cs="Arial"/>
          <w:sz w:val="20"/>
          <w:szCs w:val="20"/>
          <w:lang w:val="en-US"/>
        </w:rPr>
      </w:pPr>
      <w:r w:rsidRPr="005B7340">
        <w:rPr>
          <w:rFonts w:ascii="Arial" w:hAnsi="Arial" w:cs="Arial"/>
          <w:sz w:val="20"/>
          <w:szCs w:val="20"/>
          <w:lang w:val="en-US"/>
        </w:rPr>
        <w:t>Presence of progressive neurological deficits</w:t>
      </w:r>
    </w:p>
    <w:p w14:paraId="3A316F0D" w14:textId="67152612" w:rsid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There are two surgical approaches commonly used for cervical spondylosis: the anterior approach (anterior cervical discectomy or corpectomy) and the posterior approach (decompressive cervical laminectomy or laminoplasty). Both approaches are widely utilized to this day, yet there is still considerable debate regarding which technique is superior.</w:t>
      </w:r>
      <w:r w:rsidR="00D34CDF">
        <w:rPr>
          <w:rFonts w:ascii="Arial" w:hAnsi="Arial" w:cs="Arial"/>
          <w:sz w:val="20"/>
          <w:szCs w:val="20"/>
          <w:lang w:val="en-US"/>
        </w:rPr>
        <w:t xml:space="preserve"> (5,6)</w:t>
      </w:r>
      <w:r w:rsidRPr="00A31AE3">
        <w:rPr>
          <w:rFonts w:ascii="Arial" w:hAnsi="Arial" w:cs="Arial"/>
          <w:sz w:val="20"/>
          <w:szCs w:val="20"/>
          <w:lang w:val="en-US"/>
        </w:rPr>
        <w:t xml:space="preserve"> Each surgical technique has its own advantages and disadvantages, and the chosen approach should be tailored to the location of neural compression. Compression of neural structures located anteriorly is best relieved from the anterior approach, while posterior compression is better addressed from the posterior approach. In cases involving multilevel compression (three levels or more), the posterior approach is more commonly used—even if anterior compression is present.</w:t>
      </w:r>
      <w:r w:rsidR="00D34CDF">
        <w:rPr>
          <w:rFonts w:ascii="Arial" w:hAnsi="Arial" w:cs="Arial"/>
          <w:sz w:val="20"/>
          <w:szCs w:val="20"/>
          <w:lang w:val="en-US"/>
        </w:rPr>
        <w:t xml:space="preserve"> (2)</w:t>
      </w:r>
    </w:p>
    <w:p w14:paraId="76F76F58" w14:textId="77777777" w:rsidR="005B7340" w:rsidRPr="00A31AE3" w:rsidRDefault="005B7340" w:rsidP="00A31AE3">
      <w:pPr>
        <w:spacing w:line="360" w:lineRule="auto"/>
        <w:jc w:val="both"/>
        <w:rPr>
          <w:rFonts w:ascii="Arial" w:hAnsi="Arial" w:cs="Arial"/>
          <w:sz w:val="20"/>
          <w:szCs w:val="20"/>
          <w:lang w:val="en-US"/>
        </w:rPr>
      </w:pPr>
    </w:p>
    <w:p w14:paraId="157E1034" w14:textId="77777777"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a. Anterior Cervical Discectomy and Fusion (ACDF)</w:t>
      </w:r>
    </w:p>
    <w:p w14:paraId="20406380" w14:textId="215026F4"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In 1955, Robinson and Smith reported a technique to decompress the cervical disc and achieve fusion using a horseshoe-shaped graft, which later became the gold standard for treating disc herniation and cervical spondylotic radiculopathy. Cloward developed a similar anterior approach, involving drilling a hole through the intervertebral disc space and adjacent vertebrae to insert a bone dowel. Unlike the Robinson-Smith technique, Cloward’s method decompresses structures at the level of the posterior longitudinal ligament. Robinson and Smith did not directly decompress the neural structures but believed that by immobilizing the segment, osteophytes and herniated disc material would regress spontaneously.</w:t>
      </w:r>
      <w:r w:rsidR="00D34CDF">
        <w:rPr>
          <w:rFonts w:ascii="Arial" w:hAnsi="Arial" w:cs="Arial"/>
          <w:sz w:val="20"/>
          <w:szCs w:val="20"/>
          <w:lang w:val="en-US"/>
        </w:rPr>
        <w:t xml:space="preserve"> (</w:t>
      </w:r>
      <w:r w:rsidRPr="00A31AE3">
        <w:rPr>
          <w:rFonts w:ascii="Arial" w:hAnsi="Arial" w:cs="Arial"/>
          <w:sz w:val="20"/>
          <w:szCs w:val="20"/>
          <w:lang w:val="en-US"/>
        </w:rPr>
        <w:t>15</w:t>
      </w:r>
      <w:r w:rsidR="00D34CDF">
        <w:rPr>
          <w:rFonts w:ascii="Arial" w:hAnsi="Arial" w:cs="Arial"/>
          <w:sz w:val="20"/>
          <w:szCs w:val="20"/>
          <w:lang w:val="en-US"/>
        </w:rPr>
        <w:t>)</w:t>
      </w:r>
    </w:p>
    <w:p w14:paraId="6135D959" w14:textId="18F861EC" w:rsid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 xml:space="preserve">Over the following years, many variations of this technique were developed. Anterior cervical discectomy and fusion (ACDF) using a tricortical bone graft harvested from the iliac crest has become the most widely used technique and is considered the gold standard for treating cervical radiculopathy. The radiologic fusion rate depends on the number of levels fused. Bohlmann et al. reported solid fusion rates of 89% for single-level, 73% for two-level, and 67% for multilevel fusions. Cauthen et al. analyzed the outcomes of anterior </w:t>
      </w:r>
      <w:r w:rsidRPr="00A31AE3">
        <w:rPr>
          <w:rFonts w:ascii="Arial" w:hAnsi="Arial" w:cs="Arial"/>
          <w:sz w:val="20"/>
          <w:szCs w:val="20"/>
          <w:lang w:val="en-US"/>
        </w:rPr>
        <w:lastRenderedPageBreak/>
        <w:t>cervical discectomy and fusion (Cloward’s technique) in 348 patients with an average follow-up of 5 years.</w:t>
      </w:r>
      <w:r w:rsidR="00D34CDF">
        <w:rPr>
          <w:rFonts w:ascii="Arial" w:hAnsi="Arial" w:cs="Arial"/>
          <w:sz w:val="20"/>
          <w:szCs w:val="20"/>
          <w:lang w:val="en-US"/>
        </w:rPr>
        <w:t xml:space="preserve"> (</w:t>
      </w:r>
      <w:r w:rsidRPr="00A31AE3">
        <w:rPr>
          <w:rFonts w:ascii="Arial" w:hAnsi="Arial" w:cs="Arial"/>
          <w:sz w:val="20"/>
          <w:szCs w:val="20"/>
          <w:lang w:val="en-US"/>
        </w:rPr>
        <w:t>14</w:t>
      </w:r>
      <w:r w:rsidR="00D34CDF">
        <w:rPr>
          <w:rFonts w:ascii="Arial" w:hAnsi="Arial" w:cs="Arial"/>
          <w:sz w:val="20"/>
          <w:szCs w:val="20"/>
          <w:lang w:val="en-US"/>
        </w:rPr>
        <w:t>)</w:t>
      </w:r>
    </w:p>
    <w:p w14:paraId="399A4737" w14:textId="77777777" w:rsidR="005B7340" w:rsidRPr="00A31AE3" w:rsidRDefault="005B7340" w:rsidP="00A31AE3">
      <w:pPr>
        <w:spacing w:line="360" w:lineRule="auto"/>
        <w:jc w:val="both"/>
        <w:rPr>
          <w:rFonts w:ascii="Arial" w:hAnsi="Arial" w:cs="Arial"/>
          <w:sz w:val="20"/>
          <w:szCs w:val="20"/>
          <w:lang w:val="en-US"/>
        </w:rPr>
      </w:pPr>
    </w:p>
    <w:p w14:paraId="69E01FD8" w14:textId="77777777"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b. Anterior Corpectomy</w:t>
      </w:r>
    </w:p>
    <w:p w14:paraId="56328C9D" w14:textId="77777777"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In patients with cervical spondylosis, anterior discectomy and osteophyte removal may not be sufficient to decompress the spinal cord. The spinal cord may not only be compressed by disc protrusion and spondylotic spurs but also affected by spinal malalignment (such as kyphosis) or a congenitally narrow spinal canal. In such cases, subtotal corpectomy is required.</w:t>
      </w:r>
    </w:p>
    <w:p w14:paraId="6C49597F" w14:textId="77777777"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Partial resection of the vertebral body and decompression was initially developed for traumatic cervical conditions and later adapted for degenerative disorders. The extent of decompression depends on the pathology and the size of the spinal canal. Compared to ACDF (Anterior Cervical Discectomy and Fusion), corpectomy offers several advantages, including:</w:t>
      </w:r>
    </w:p>
    <w:p w14:paraId="23F5B872" w14:textId="77777777" w:rsidR="005B7340" w:rsidRDefault="00A31AE3" w:rsidP="00A31AE3">
      <w:pPr>
        <w:pStyle w:val="ListParagraph"/>
        <w:numPr>
          <w:ilvl w:val="0"/>
          <w:numId w:val="16"/>
        </w:numPr>
        <w:spacing w:line="360" w:lineRule="auto"/>
        <w:jc w:val="both"/>
        <w:rPr>
          <w:rFonts w:ascii="Arial" w:hAnsi="Arial" w:cs="Arial"/>
          <w:sz w:val="20"/>
          <w:szCs w:val="20"/>
          <w:lang w:val="en-US"/>
        </w:rPr>
      </w:pPr>
      <w:r w:rsidRPr="005B7340">
        <w:rPr>
          <w:rFonts w:ascii="Arial" w:hAnsi="Arial" w:cs="Arial"/>
          <w:sz w:val="20"/>
          <w:szCs w:val="20"/>
          <w:lang w:val="en-US"/>
        </w:rPr>
        <w:t>Enlargement of the spinal canal</w:t>
      </w:r>
    </w:p>
    <w:p w14:paraId="374CDAE9" w14:textId="77777777" w:rsidR="005B7340" w:rsidRDefault="00A31AE3" w:rsidP="00A31AE3">
      <w:pPr>
        <w:pStyle w:val="ListParagraph"/>
        <w:numPr>
          <w:ilvl w:val="0"/>
          <w:numId w:val="16"/>
        </w:numPr>
        <w:spacing w:line="360" w:lineRule="auto"/>
        <w:jc w:val="both"/>
        <w:rPr>
          <w:rFonts w:ascii="Arial" w:hAnsi="Arial" w:cs="Arial"/>
          <w:sz w:val="20"/>
          <w:szCs w:val="20"/>
          <w:lang w:val="en-US"/>
        </w:rPr>
      </w:pPr>
      <w:r w:rsidRPr="005B7340">
        <w:rPr>
          <w:rFonts w:ascii="Arial" w:hAnsi="Arial" w:cs="Arial"/>
          <w:sz w:val="20"/>
          <w:szCs w:val="20"/>
          <w:lang w:val="en-US"/>
        </w:rPr>
        <w:t>More radical decompression</w:t>
      </w:r>
    </w:p>
    <w:p w14:paraId="43AA196F" w14:textId="35B9CB34" w:rsidR="00A31AE3" w:rsidRDefault="00A31AE3" w:rsidP="00A31AE3">
      <w:pPr>
        <w:pStyle w:val="ListParagraph"/>
        <w:numPr>
          <w:ilvl w:val="0"/>
          <w:numId w:val="16"/>
        </w:numPr>
        <w:spacing w:line="360" w:lineRule="auto"/>
        <w:jc w:val="both"/>
        <w:rPr>
          <w:rFonts w:ascii="Arial" w:hAnsi="Arial" w:cs="Arial"/>
          <w:sz w:val="20"/>
          <w:szCs w:val="20"/>
          <w:lang w:val="en-US"/>
        </w:rPr>
      </w:pPr>
      <w:r w:rsidRPr="005B7340">
        <w:rPr>
          <w:rFonts w:ascii="Arial" w:hAnsi="Arial" w:cs="Arial"/>
          <w:sz w:val="20"/>
          <w:szCs w:val="20"/>
          <w:lang w:val="en-US"/>
        </w:rPr>
        <w:t>Improved fusion rates</w:t>
      </w:r>
      <w:r w:rsidR="00D34CDF">
        <w:rPr>
          <w:rFonts w:ascii="Arial" w:hAnsi="Arial" w:cs="Arial"/>
          <w:sz w:val="20"/>
          <w:szCs w:val="20"/>
          <w:lang w:val="en-US"/>
        </w:rPr>
        <w:t xml:space="preserve"> (2)</w:t>
      </w:r>
    </w:p>
    <w:p w14:paraId="2144C5E0" w14:textId="77777777" w:rsidR="005B7340" w:rsidRPr="005B7340" w:rsidRDefault="005B7340" w:rsidP="005B7340">
      <w:pPr>
        <w:pStyle w:val="ListParagraph"/>
        <w:spacing w:line="360" w:lineRule="auto"/>
        <w:jc w:val="both"/>
        <w:rPr>
          <w:rFonts w:ascii="Arial" w:hAnsi="Arial" w:cs="Arial"/>
          <w:sz w:val="20"/>
          <w:szCs w:val="20"/>
          <w:lang w:val="en-US"/>
        </w:rPr>
      </w:pPr>
    </w:p>
    <w:p w14:paraId="6F9E8087" w14:textId="77777777"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c. Posterior Cervical Laminectomy</w:t>
      </w:r>
    </w:p>
    <w:p w14:paraId="2EB5A6A4" w14:textId="77777777"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Once considered the gold standard for treating multilevel cervical myelopathy, standalone laminectomy has lost favor due to documented postoperative complications. The procedure was first performed by Sir Victor Horsley (1857–1916) for tumor-related myelopathy. Laminectomy remains a versatile and straightforward technical approach to spinal cord decompression.</w:t>
      </w:r>
    </w:p>
    <w:p w14:paraId="09C6B520" w14:textId="77777777"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Indications for laminectomy include:</w:t>
      </w:r>
    </w:p>
    <w:p w14:paraId="475082E0" w14:textId="77777777" w:rsidR="005B7340" w:rsidRDefault="00A31AE3" w:rsidP="00A31AE3">
      <w:pPr>
        <w:pStyle w:val="ListParagraph"/>
        <w:numPr>
          <w:ilvl w:val="0"/>
          <w:numId w:val="17"/>
        </w:numPr>
        <w:spacing w:line="360" w:lineRule="auto"/>
        <w:jc w:val="both"/>
        <w:rPr>
          <w:rFonts w:ascii="Arial" w:hAnsi="Arial" w:cs="Arial"/>
          <w:sz w:val="20"/>
          <w:szCs w:val="20"/>
          <w:lang w:val="en-US"/>
        </w:rPr>
      </w:pPr>
      <w:r w:rsidRPr="005B7340">
        <w:rPr>
          <w:rFonts w:ascii="Arial" w:hAnsi="Arial" w:cs="Arial"/>
          <w:sz w:val="20"/>
          <w:szCs w:val="20"/>
          <w:lang w:val="en-US"/>
        </w:rPr>
        <w:t>Multilevel cervical myelopathy</w:t>
      </w:r>
    </w:p>
    <w:p w14:paraId="4633B5D3" w14:textId="77777777" w:rsidR="005B7340" w:rsidRDefault="00A31AE3" w:rsidP="00A31AE3">
      <w:pPr>
        <w:pStyle w:val="ListParagraph"/>
        <w:numPr>
          <w:ilvl w:val="0"/>
          <w:numId w:val="17"/>
        </w:numPr>
        <w:spacing w:line="360" w:lineRule="auto"/>
        <w:jc w:val="both"/>
        <w:rPr>
          <w:rFonts w:ascii="Arial" w:hAnsi="Arial" w:cs="Arial"/>
          <w:sz w:val="20"/>
          <w:szCs w:val="20"/>
          <w:lang w:val="en-US"/>
        </w:rPr>
      </w:pPr>
      <w:r w:rsidRPr="005B7340">
        <w:rPr>
          <w:rFonts w:ascii="Arial" w:hAnsi="Arial" w:cs="Arial"/>
          <w:sz w:val="20"/>
          <w:szCs w:val="20"/>
          <w:lang w:val="en-US"/>
        </w:rPr>
        <w:t>Predominantly posterior nerve compression</w:t>
      </w:r>
    </w:p>
    <w:p w14:paraId="08181743" w14:textId="77777777" w:rsidR="005B7340" w:rsidRDefault="00A31AE3" w:rsidP="00A31AE3">
      <w:pPr>
        <w:pStyle w:val="ListParagraph"/>
        <w:numPr>
          <w:ilvl w:val="0"/>
          <w:numId w:val="17"/>
        </w:numPr>
        <w:spacing w:line="360" w:lineRule="auto"/>
        <w:jc w:val="both"/>
        <w:rPr>
          <w:rFonts w:ascii="Arial" w:hAnsi="Arial" w:cs="Arial"/>
          <w:sz w:val="20"/>
          <w:szCs w:val="20"/>
          <w:lang w:val="en-US"/>
        </w:rPr>
      </w:pPr>
      <w:r w:rsidRPr="005B7340">
        <w:rPr>
          <w:rFonts w:ascii="Arial" w:hAnsi="Arial" w:cs="Arial"/>
          <w:sz w:val="20"/>
          <w:szCs w:val="20"/>
          <w:lang w:val="en-US"/>
        </w:rPr>
        <w:t>Elderly CSM patients with comorbidities</w:t>
      </w:r>
    </w:p>
    <w:p w14:paraId="0F14B310" w14:textId="4833D8FC" w:rsidR="00A31AE3" w:rsidRPr="005B7340" w:rsidRDefault="00A31AE3" w:rsidP="00A31AE3">
      <w:pPr>
        <w:pStyle w:val="ListParagraph"/>
        <w:numPr>
          <w:ilvl w:val="0"/>
          <w:numId w:val="17"/>
        </w:numPr>
        <w:spacing w:line="360" w:lineRule="auto"/>
        <w:jc w:val="both"/>
        <w:rPr>
          <w:rFonts w:ascii="Arial" w:hAnsi="Arial" w:cs="Arial"/>
          <w:sz w:val="20"/>
          <w:szCs w:val="20"/>
          <w:lang w:val="en-US"/>
        </w:rPr>
      </w:pPr>
      <w:r w:rsidRPr="005B7340">
        <w:rPr>
          <w:rFonts w:ascii="Arial" w:hAnsi="Arial" w:cs="Arial"/>
          <w:sz w:val="20"/>
          <w:szCs w:val="20"/>
          <w:lang w:val="en-US"/>
        </w:rPr>
        <w:t>Cervical myelopathy with preserved cervical lordosis</w:t>
      </w:r>
    </w:p>
    <w:p w14:paraId="282616ED" w14:textId="018EDAA5"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In older patients with significant comorbidities and multilevel spinal cord compression from cervical spondylosis, laminectomy is a short and effective procedure to relieve neurological deficits. However, in the presence of kyphosis, laminectomy alone may be limited in effect since the spinal cord cannot shift posteriorly away from anteriorly compressing structures like osteophytes or herniated discs.</w:t>
      </w:r>
      <w:r w:rsidR="00D34CDF">
        <w:rPr>
          <w:rFonts w:ascii="Arial" w:hAnsi="Arial" w:cs="Arial"/>
          <w:sz w:val="20"/>
          <w:szCs w:val="20"/>
          <w:lang w:val="en-US"/>
        </w:rPr>
        <w:t xml:space="preserve"> (</w:t>
      </w:r>
      <w:r w:rsidRPr="00A31AE3">
        <w:rPr>
          <w:rFonts w:ascii="Arial" w:hAnsi="Arial" w:cs="Arial"/>
          <w:sz w:val="20"/>
          <w:szCs w:val="20"/>
          <w:lang w:val="en-US"/>
        </w:rPr>
        <w:t>4</w:t>
      </w:r>
      <w:r w:rsidR="00D34CDF">
        <w:rPr>
          <w:rFonts w:ascii="Arial" w:hAnsi="Arial" w:cs="Arial"/>
          <w:sz w:val="20"/>
          <w:szCs w:val="20"/>
          <w:lang w:val="en-US"/>
        </w:rPr>
        <w:t>)</w:t>
      </w:r>
    </w:p>
    <w:p w14:paraId="584A38B8" w14:textId="4FD930C7"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Excellent outcomes have been reported in 56–85% of patients following laminectomy. Lateral extension of the laminectomy should not exceed 50% of the facet joint, as greater resection compromises joint strength and can lead to segmental instability and kyphosis. In multilevel laminectomies, even a 25% facet resection can reduce cervical stability and may require fusion. Laminectomy with fusion: Adding posterior fusion reduces kyphosis and segmental instability caused by the removal of posterior elements. However, it alters cervical biomechanics and may lead to adjacent segment degeneration.</w:t>
      </w:r>
      <w:r w:rsidR="00D34CDF">
        <w:rPr>
          <w:rFonts w:ascii="Arial" w:hAnsi="Arial" w:cs="Arial"/>
          <w:sz w:val="20"/>
          <w:szCs w:val="20"/>
          <w:lang w:val="en-US"/>
        </w:rPr>
        <w:t xml:space="preserve"> (2)</w:t>
      </w:r>
    </w:p>
    <w:p w14:paraId="326ED4A5" w14:textId="77777777" w:rsidR="00A31AE3" w:rsidRPr="00A31AE3" w:rsidRDefault="00A31AE3" w:rsidP="00A31AE3">
      <w:pPr>
        <w:spacing w:line="360" w:lineRule="auto"/>
        <w:jc w:val="both"/>
        <w:rPr>
          <w:rFonts w:ascii="Arial" w:hAnsi="Arial" w:cs="Arial"/>
          <w:sz w:val="20"/>
          <w:szCs w:val="20"/>
          <w:lang w:val="en-US"/>
        </w:rPr>
      </w:pPr>
    </w:p>
    <w:p w14:paraId="60E083B3" w14:textId="77777777"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lastRenderedPageBreak/>
        <w:t>d. Laminoplasty</w:t>
      </w:r>
    </w:p>
    <w:p w14:paraId="202947FD" w14:textId="77777777"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This technique aims to preserve motion while making minimal alterations to the natural biomechanics of the spine. The spinal canal is widened by creating a "gutter" in the lamina, then hinging the spinous process and lamina toward the opposite side. Titanium miniplates are screwed in place to keep the canal expanded.</w:t>
      </w:r>
    </w:p>
    <w:p w14:paraId="538B5E9B" w14:textId="77777777" w:rsidR="005B7340"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Concerns over destabilization, sagittal malalignment (kyphosis), and inadequate spinal cord protection after multilevel cervical laminectomy led Japanese surgeons to develop the cervical laminoplasty technique. The general advantages of laminoplasty include:</w:t>
      </w:r>
    </w:p>
    <w:p w14:paraId="4B77D33F" w14:textId="77777777" w:rsidR="005B7340" w:rsidRDefault="00A31AE3" w:rsidP="00A31AE3">
      <w:pPr>
        <w:pStyle w:val="ListParagraph"/>
        <w:numPr>
          <w:ilvl w:val="0"/>
          <w:numId w:val="18"/>
        </w:numPr>
        <w:spacing w:line="360" w:lineRule="auto"/>
        <w:jc w:val="both"/>
        <w:rPr>
          <w:rFonts w:ascii="Arial" w:hAnsi="Arial" w:cs="Arial"/>
          <w:sz w:val="20"/>
          <w:szCs w:val="20"/>
          <w:lang w:val="en-US"/>
        </w:rPr>
      </w:pPr>
      <w:r w:rsidRPr="005B7340">
        <w:rPr>
          <w:rFonts w:ascii="Arial" w:hAnsi="Arial" w:cs="Arial"/>
          <w:sz w:val="20"/>
          <w:szCs w:val="20"/>
          <w:lang w:val="en-US"/>
        </w:rPr>
        <w:t>Widening the spinal canal</w:t>
      </w:r>
    </w:p>
    <w:p w14:paraId="251E9BFA" w14:textId="77777777" w:rsidR="005B7340" w:rsidRDefault="00A31AE3" w:rsidP="00A31AE3">
      <w:pPr>
        <w:pStyle w:val="ListParagraph"/>
        <w:numPr>
          <w:ilvl w:val="0"/>
          <w:numId w:val="18"/>
        </w:numPr>
        <w:spacing w:line="360" w:lineRule="auto"/>
        <w:jc w:val="both"/>
        <w:rPr>
          <w:rFonts w:ascii="Arial" w:hAnsi="Arial" w:cs="Arial"/>
          <w:sz w:val="20"/>
          <w:szCs w:val="20"/>
          <w:lang w:val="en-US"/>
        </w:rPr>
      </w:pPr>
      <w:r w:rsidRPr="005B7340">
        <w:rPr>
          <w:rFonts w:ascii="Arial" w:hAnsi="Arial" w:cs="Arial"/>
          <w:sz w:val="20"/>
          <w:szCs w:val="20"/>
          <w:lang w:val="en-US"/>
        </w:rPr>
        <w:t>Protecting the spinal cord</w:t>
      </w:r>
    </w:p>
    <w:p w14:paraId="2B37D409" w14:textId="77777777" w:rsidR="005B7340" w:rsidRDefault="00A31AE3" w:rsidP="00A31AE3">
      <w:pPr>
        <w:pStyle w:val="ListParagraph"/>
        <w:numPr>
          <w:ilvl w:val="0"/>
          <w:numId w:val="18"/>
        </w:numPr>
        <w:spacing w:line="360" w:lineRule="auto"/>
        <w:jc w:val="both"/>
        <w:rPr>
          <w:rFonts w:ascii="Arial" w:hAnsi="Arial" w:cs="Arial"/>
          <w:sz w:val="20"/>
          <w:szCs w:val="20"/>
          <w:lang w:val="en-US"/>
        </w:rPr>
      </w:pPr>
      <w:r w:rsidRPr="005B7340">
        <w:rPr>
          <w:rFonts w:ascii="Arial" w:hAnsi="Arial" w:cs="Arial"/>
          <w:sz w:val="20"/>
          <w:szCs w:val="20"/>
          <w:lang w:val="en-US"/>
        </w:rPr>
        <w:t>Preserving spinal stability</w:t>
      </w:r>
    </w:p>
    <w:p w14:paraId="309E6A08" w14:textId="77777777" w:rsidR="005B7340" w:rsidRDefault="00A31AE3" w:rsidP="00A31AE3">
      <w:pPr>
        <w:pStyle w:val="ListParagraph"/>
        <w:numPr>
          <w:ilvl w:val="0"/>
          <w:numId w:val="18"/>
        </w:numPr>
        <w:spacing w:line="360" w:lineRule="auto"/>
        <w:jc w:val="both"/>
        <w:rPr>
          <w:rFonts w:ascii="Arial" w:hAnsi="Arial" w:cs="Arial"/>
          <w:sz w:val="20"/>
          <w:szCs w:val="20"/>
          <w:lang w:val="en-US"/>
        </w:rPr>
      </w:pPr>
      <w:r w:rsidRPr="005B7340">
        <w:rPr>
          <w:rFonts w:ascii="Arial" w:hAnsi="Arial" w:cs="Arial"/>
          <w:sz w:val="20"/>
          <w:szCs w:val="20"/>
          <w:lang w:val="en-US"/>
        </w:rPr>
        <w:t>Maintaining cervical mobility</w:t>
      </w:r>
    </w:p>
    <w:p w14:paraId="72CA516B" w14:textId="57F6C2DD" w:rsidR="00A31AE3" w:rsidRPr="005B7340" w:rsidRDefault="00A31AE3" w:rsidP="00A31AE3">
      <w:pPr>
        <w:pStyle w:val="ListParagraph"/>
        <w:numPr>
          <w:ilvl w:val="0"/>
          <w:numId w:val="18"/>
        </w:numPr>
        <w:spacing w:line="360" w:lineRule="auto"/>
        <w:jc w:val="both"/>
        <w:rPr>
          <w:rFonts w:ascii="Arial" w:hAnsi="Arial" w:cs="Arial"/>
          <w:sz w:val="20"/>
          <w:szCs w:val="20"/>
          <w:lang w:val="en-US"/>
        </w:rPr>
      </w:pPr>
      <w:r w:rsidRPr="005B7340">
        <w:rPr>
          <w:rFonts w:ascii="Arial" w:hAnsi="Arial" w:cs="Arial"/>
          <w:sz w:val="20"/>
          <w:szCs w:val="20"/>
          <w:lang w:val="en-US"/>
        </w:rPr>
        <w:t>Reducing the risk of adjacent segment degeneration</w:t>
      </w:r>
    </w:p>
    <w:p w14:paraId="56A26763" w14:textId="13164B7C"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A recent critical review concluded that the literature does not fully support the claimed benefits of laminoplasty. Ratliff and Cooper found that neurological outcomes and spinal alignment changes were similar between laminectomy and laminoplasty. Patients treated with laminoplasty may still experience progressive limitations in cervical range of motion (ROM), similar to what is observed after laminectomy with fusion. However, limited data exist on the role of laminoplasty in younger individuals with cervical myelopathy due to congenitally narrow canals, where multilevel decompression and instrumentation may not be ideal options.</w:t>
      </w:r>
      <w:r w:rsidR="00D34CDF">
        <w:rPr>
          <w:rFonts w:ascii="Arial" w:hAnsi="Arial" w:cs="Arial"/>
          <w:sz w:val="20"/>
          <w:szCs w:val="20"/>
          <w:lang w:val="en-US"/>
        </w:rPr>
        <w:t xml:space="preserve"> (</w:t>
      </w:r>
      <w:r w:rsidRPr="00A31AE3">
        <w:rPr>
          <w:rFonts w:ascii="Arial" w:hAnsi="Arial" w:cs="Arial"/>
          <w:sz w:val="20"/>
          <w:szCs w:val="20"/>
          <w:lang w:val="en-US"/>
        </w:rPr>
        <w:t>6</w:t>
      </w:r>
      <w:r w:rsidR="00D34CDF">
        <w:rPr>
          <w:rFonts w:ascii="Arial" w:hAnsi="Arial" w:cs="Arial"/>
          <w:sz w:val="20"/>
          <w:szCs w:val="20"/>
          <w:lang w:val="en-US"/>
        </w:rPr>
        <w:t>)</w:t>
      </w:r>
    </w:p>
    <w:p w14:paraId="4A121F81" w14:textId="4F48C395" w:rsidR="00A31AE3" w:rsidRPr="00352B76"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One significant complication of laminoplasty is axial symptoms, including shoulder and neck pain or spasms. Hosono et al. reported postoperative axial pain in 60% of laminoplasty patients. In their cervical laminoplasty meta-analysis, Ratliff and Cooper confirmed these findings, observing axial neck pain in 25–60% of cases. Lawrence and Brodke suggested that postoperative axial neck pain may be reduced by preserving the muscular attachments at C2 and C7 during laminoplasty. This was supported by Sakura et al., who found an 11% reduction in neck pain in patients whose superior and inferior cervical spinal muscles were preserved. Other complications include progressive kyphosis (10%) and reduced cervical ROM (15–50%).</w:t>
      </w:r>
      <w:r w:rsidR="00D34CDF">
        <w:rPr>
          <w:rFonts w:ascii="Arial" w:hAnsi="Arial" w:cs="Arial"/>
          <w:sz w:val="20"/>
          <w:szCs w:val="20"/>
          <w:lang w:val="en-US"/>
        </w:rPr>
        <w:t xml:space="preserve"> (</w:t>
      </w:r>
      <w:r>
        <w:rPr>
          <w:rFonts w:ascii="Arial" w:hAnsi="Arial" w:cs="Arial"/>
          <w:sz w:val="20"/>
          <w:szCs w:val="20"/>
          <w:lang w:val="en-US"/>
        </w:rPr>
        <w:t>2</w:t>
      </w:r>
      <w:r w:rsidR="00D34CDF">
        <w:rPr>
          <w:rFonts w:ascii="Arial" w:hAnsi="Arial" w:cs="Arial"/>
          <w:sz w:val="20"/>
          <w:szCs w:val="20"/>
          <w:lang w:val="en-US"/>
        </w:rPr>
        <w:t>)</w:t>
      </w:r>
    </w:p>
    <w:p w14:paraId="23BD6822" w14:textId="77777777" w:rsidR="00A36B12" w:rsidRPr="00A36B12" w:rsidRDefault="00A36B12" w:rsidP="00A31AE3">
      <w:pPr>
        <w:spacing w:line="360" w:lineRule="auto"/>
        <w:jc w:val="both"/>
        <w:rPr>
          <w:rFonts w:ascii="Arial" w:hAnsi="Arial" w:cs="Arial"/>
          <w:sz w:val="20"/>
          <w:szCs w:val="20"/>
        </w:rPr>
      </w:pPr>
    </w:p>
    <w:p w14:paraId="3450B89E" w14:textId="5A76EC32" w:rsidR="00A36B12" w:rsidRPr="00A31AE3" w:rsidRDefault="00A36B12" w:rsidP="00A31AE3">
      <w:pPr>
        <w:spacing w:line="360" w:lineRule="auto"/>
        <w:jc w:val="both"/>
        <w:rPr>
          <w:rFonts w:ascii="Arial" w:hAnsi="Arial" w:cs="Arial"/>
          <w:b/>
          <w:bCs/>
          <w:sz w:val="20"/>
          <w:szCs w:val="20"/>
          <w:lang w:val="en-US"/>
        </w:rPr>
      </w:pPr>
      <w:r w:rsidRPr="00A31AE3">
        <w:rPr>
          <w:rFonts w:ascii="Arial" w:hAnsi="Arial" w:cs="Arial"/>
          <w:b/>
          <w:bCs/>
          <w:sz w:val="20"/>
          <w:szCs w:val="20"/>
          <w:lang w:val="en-US"/>
        </w:rPr>
        <w:t>Prognosis</w:t>
      </w:r>
    </w:p>
    <w:p w14:paraId="498542E7" w14:textId="35C978F8" w:rsidR="00A31AE3" w:rsidRDefault="00A31AE3" w:rsidP="00A31AE3">
      <w:pPr>
        <w:spacing w:line="360" w:lineRule="auto"/>
        <w:jc w:val="both"/>
        <w:rPr>
          <w:rFonts w:ascii="Arial" w:hAnsi="Arial" w:cs="Arial"/>
          <w:sz w:val="20"/>
          <w:szCs w:val="20"/>
        </w:rPr>
      </w:pPr>
      <w:r w:rsidRPr="00A31AE3">
        <w:rPr>
          <w:rFonts w:ascii="Arial" w:hAnsi="Arial" w:cs="Arial"/>
          <w:sz w:val="20"/>
          <w:szCs w:val="20"/>
        </w:rPr>
        <w:t>A 27-year prospective study showed that the average life expectancy of patients with spinal cord injuries is lower than that of the general population. The reduction in life expectancy correlates with the severity of the injury. Recovery tends to be slow progressive,</w:t>
      </w:r>
      <w:r w:rsidR="005B7340">
        <w:rPr>
          <w:rFonts w:ascii="Arial" w:hAnsi="Arial" w:cs="Arial"/>
          <w:sz w:val="20"/>
          <w:szCs w:val="20"/>
        </w:rPr>
        <w:t xml:space="preserve"> </w:t>
      </w:r>
      <w:r w:rsidRPr="00A31AE3">
        <w:rPr>
          <w:rFonts w:ascii="Arial" w:hAnsi="Arial" w:cs="Arial"/>
          <w:sz w:val="20"/>
          <w:szCs w:val="20"/>
        </w:rPr>
        <w:t>and rarely improves with non-operative modalities. Early recognition and treatment—before spinal cord damage becomes irreversible—are crucial for achieving good clinical outcomes. The leading causes of death are complications related to neurological disability, including pneumonia, pulmonary embolism, septicemia, and renal failure.</w:t>
      </w:r>
      <w:r w:rsidR="00D34CDF">
        <w:rPr>
          <w:rFonts w:ascii="Arial" w:hAnsi="Arial" w:cs="Arial"/>
          <w:sz w:val="20"/>
          <w:szCs w:val="20"/>
        </w:rPr>
        <w:t xml:space="preserve"> (</w:t>
      </w:r>
      <w:r>
        <w:rPr>
          <w:rFonts w:ascii="Arial" w:hAnsi="Arial" w:cs="Arial"/>
          <w:sz w:val="20"/>
          <w:szCs w:val="20"/>
        </w:rPr>
        <w:t>9</w:t>
      </w:r>
      <w:r w:rsidR="00D34CDF">
        <w:rPr>
          <w:rFonts w:ascii="Arial" w:hAnsi="Arial" w:cs="Arial"/>
          <w:sz w:val="20"/>
          <w:szCs w:val="20"/>
        </w:rPr>
        <w:t>)</w:t>
      </w:r>
    </w:p>
    <w:p w14:paraId="2BD2E487" w14:textId="77777777" w:rsidR="00A31AE3" w:rsidRDefault="00A31AE3" w:rsidP="00A31AE3">
      <w:pPr>
        <w:spacing w:line="360" w:lineRule="auto"/>
        <w:jc w:val="both"/>
        <w:rPr>
          <w:rFonts w:ascii="Arial" w:hAnsi="Arial" w:cs="Arial"/>
          <w:sz w:val="20"/>
          <w:szCs w:val="20"/>
        </w:rPr>
      </w:pPr>
    </w:p>
    <w:p w14:paraId="1392F49E" w14:textId="77777777" w:rsidR="00A31AE3" w:rsidRDefault="00A31AE3" w:rsidP="00A31AE3">
      <w:pPr>
        <w:spacing w:line="360" w:lineRule="auto"/>
        <w:jc w:val="both"/>
        <w:rPr>
          <w:rFonts w:ascii="Arial" w:hAnsi="Arial" w:cs="Arial"/>
          <w:sz w:val="20"/>
          <w:szCs w:val="20"/>
        </w:rPr>
      </w:pPr>
    </w:p>
    <w:p w14:paraId="6377EE19" w14:textId="77777777" w:rsidR="00A31AE3" w:rsidRPr="00A31AE3" w:rsidRDefault="00A31AE3" w:rsidP="00A31AE3">
      <w:pPr>
        <w:spacing w:line="360" w:lineRule="auto"/>
        <w:jc w:val="both"/>
        <w:rPr>
          <w:rFonts w:ascii="Arial" w:hAnsi="Arial" w:cs="Arial"/>
          <w:sz w:val="20"/>
          <w:szCs w:val="20"/>
        </w:rPr>
      </w:pPr>
    </w:p>
    <w:p w14:paraId="5D530516" w14:textId="6065FE49" w:rsidR="00A36B12" w:rsidRPr="00A31AE3" w:rsidRDefault="00A36B12" w:rsidP="00A31AE3">
      <w:pPr>
        <w:spacing w:line="360" w:lineRule="auto"/>
        <w:jc w:val="both"/>
        <w:rPr>
          <w:rFonts w:ascii="Arial" w:hAnsi="Arial" w:cs="Arial"/>
          <w:b/>
          <w:bCs/>
          <w:sz w:val="20"/>
          <w:szCs w:val="20"/>
          <w:lang w:val="en-US"/>
        </w:rPr>
      </w:pPr>
      <w:r w:rsidRPr="00A31AE3">
        <w:rPr>
          <w:rFonts w:ascii="Arial" w:hAnsi="Arial" w:cs="Arial"/>
          <w:b/>
          <w:bCs/>
          <w:sz w:val="20"/>
          <w:szCs w:val="20"/>
          <w:lang w:val="en-US"/>
        </w:rPr>
        <w:t>Conclusion</w:t>
      </w:r>
    </w:p>
    <w:p w14:paraId="419E3914" w14:textId="5D525819" w:rsidR="00A31AE3" w:rsidRPr="00A31AE3" w:rsidRDefault="00A31AE3" w:rsidP="00A31AE3">
      <w:pPr>
        <w:spacing w:line="360" w:lineRule="auto"/>
        <w:jc w:val="both"/>
        <w:rPr>
          <w:rFonts w:ascii="Arial" w:hAnsi="Arial" w:cs="Arial"/>
          <w:sz w:val="20"/>
          <w:szCs w:val="20"/>
        </w:rPr>
      </w:pPr>
      <w:r w:rsidRPr="00A31AE3">
        <w:rPr>
          <w:rFonts w:ascii="Arial" w:hAnsi="Arial" w:cs="Arial"/>
          <w:sz w:val="20"/>
          <w:szCs w:val="20"/>
        </w:rPr>
        <w:t>Spinal cord injury is one of the leading causes of neurological disability resulting from trauma. This condition can affect individuals of all ages but is commonly found in older patients in the form of cervical myelopathy. There are many causes of cervical myelopathy, and it is generally progressive in nature. In cases of myelopathy, a thorough examination of local neurological status is crucial. The primary goal of spinal cord injury treatment is to improve sensory and motor function. Conservative therapy is typically given to patients who are at high surgical risk or who have stable conditions with minimal symptoms that do not significantly interfere with daily activities. Surgical therapy largely depends on the patient's overall condition. Incomplete spinal cord injuries tend to have a better prognosis.</w:t>
      </w:r>
    </w:p>
    <w:p w14:paraId="74515C3C" w14:textId="4EEF9C03" w:rsidR="00A36B12" w:rsidRDefault="00A36B12" w:rsidP="00A36B12">
      <w:pPr>
        <w:spacing w:line="360" w:lineRule="auto"/>
        <w:rPr>
          <w:rFonts w:ascii="Arial" w:hAnsi="Arial" w:cs="Arial"/>
          <w:sz w:val="20"/>
          <w:szCs w:val="20"/>
          <w:lang w:val="en-US"/>
        </w:rPr>
      </w:pPr>
    </w:p>
    <w:p w14:paraId="2EA5BC99" w14:textId="77777777" w:rsidR="00F81052" w:rsidRPr="00270720" w:rsidRDefault="00F81052" w:rsidP="00F81052">
      <w:pPr>
        <w:rPr>
          <w:highlight w:val="yellow"/>
        </w:rPr>
      </w:pPr>
      <w:r w:rsidRPr="00270720">
        <w:rPr>
          <w:highlight w:val="yellow"/>
        </w:rPr>
        <w:t>Disclaimer (Artificial intelligence)</w:t>
      </w:r>
    </w:p>
    <w:p w14:paraId="2740FDD8" w14:textId="77777777" w:rsidR="00F81052" w:rsidRPr="00270720" w:rsidRDefault="00F81052" w:rsidP="00F81052">
      <w:pPr>
        <w:rPr>
          <w:highlight w:val="yellow"/>
        </w:rPr>
      </w:pPr>
    </w:p>
    <w:p w14:paraId="03570D28" w14:textId="77777777" w:rsidR="00F81052" w:rsidRPr="00270720" w:rsidRDefault="00F81052" w:rsidP="00F81052">
      <w:pPr>
        <w:rPr>
          <w:highlight w:val="yellow"/>
        </w:rPr>
      </w:pPr>
      <w:r w:rsidRPr="00270720">
        <w:rPr>
          <w:highlight w:val="yellow"/>
        </w:rPr>
        <w:t xml:space="preserve">Option 1: </w:t>
      </w:r>
    </w:p>
    <w:p w14:paraId="3DA06829" w14:textId="77777777" w:rsidR="00F81052" w:rsidRPr="00270720" w:rsidRDefault="00F81052" w:rsidP="00F81052">
      <w:pPr>
        <w:rPr>
          <w:highlight w:val="yellow"/>
        </w:rPr>
      </w:pPr>
    </w:p>
    <w:p w14:paraId="4DC8C250" w14:textId="77777777" w:rsidR="00F81052" w:rsidRPr="00270720" w:rsidRDefault="00F81052" w:rsidP="00F81052">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29D3539A" w14:textId="77777777" w:rsidR="00F81052" w:rsidRPr="00270720" w:rsidRDefault="00F81052" w:rsidP="00F81052">
      <w:pPr>
        <w:rPr>
          <w:highlight w:val="yellow"/>
        </w:rPr>
      </w:pPr>
    </w:p>
    <w:p w14:paraId="2B3AFAF0" w14:textId="77777777" w:rsidR="00F81052" w:rsidRPr="00270720" w:rsidRDefault="00F81052" w:rsidP="00F81052">
      <w:pPr>
        <w:rPr>
          <w:highlight w:val="yellow"/>
        </w:rPr>
      </w:pPr>
      <w:r w:rsidRPr="00270720">
        <w:rPr>
          <w:highlight w:val="yellow"/>
        </w:rPr>
        <w:t xml:space="preserve">Option 2: </w:t>
      </w:r>
    </w:p>
    <w:p w14:paraId="10B98150" w14:textId="77777777" w:rsidR="00F81052" w:rsidRPr="00270720" w:rsidRDefault="00F81052" w:rsidP="00F81052">
      <w:pPr>
        <w:rPr>
          <w:highlight w:val="yellow"/>
        </w:rPr>
      </w:pPr>
    </w:p>
    <w:p w14:paraId="37A28F6A" w14:textId="77777777" w:rsidR="00F81052" w:rsidRPr="00270720" w:rsidRDefault="00F81052" w:rsidP="00F81052">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2649592" w14:textId="77777777" w:rsidR="00F81052" w:rsidRPr="00270720" w:rsidRDefault="00F81052" w:rsidP="00F81052">
      <w:pPr>
        <w:rPr>
          <w:highlight w:val="yellow"/>
        </w:rPr>
      </w:pPr>
    </w:p>
    <w:p w14:paraId="17CAE77F" w14:textId="77777777" w:rsidR="00F81052" w:rsidRPr="00270720" w:rsidRDefault="00F81052" w:rsidP="00F81052">
      <w:pPr>
        <w:rPr>
          <w:highlight w:val="yellow"/>
        </w:rPr>
      </w:pPr>
      <w:r w:rsidRPr="00270720">
        <w:rPr>
          <w:highlight w:val="yellow"/>
        </w:rPr>
        <w:t>Details of the AI usage are given below:</w:t>
      </w:r>
    </w:p>
    <w:p w14:paraId="5E1FA483" w14:textId="30849101" w:rsidR="00F81052" w:rsidRPr="00270720" w:rsidRDefault="00F81052" w:rsidP="00F81052">
      <w:pPr>
        <w:rPr>
          <w:highlight w:val="yellow"/>
        </w:rPr>
      </w:pPr>
      <w:r w:rsidRPr="00270720">
        <w:rPr>
          <w:highlight w:val="yellow"/>
        </w:rPr>
        <w:t>1.</w:t>
      </w:r>
      <w:r w:rsidR="0053103C">
        <w:rPr>
          <w:highlight w:val="yellow"/>
        </w:rPr>
        <w:t>None</w:t>
      </w:r>
    </w:p>
    <w:p w14:paraId="7EF72A53" w14:textId="77777777" w:rsidR="00F81052" w:rsidRPr="00270720" w:rsidRDefault="00F81052" w:rsidP="00F81052">
      <w:pPr>
        <w:rPr>
          <w:highlight w:val="yellow"/>
        </w:rPr>
      </w:pPr>
      <w:r w:rsidRPr="00270720">
        <w:rPr>
          <w:highlight w:val="yellow"/>
        </w:rPr>
        <w:t>2.</w:t>
      </w:r>
    </w:p>
    <w:p w14:paraId="6B1FB234" w14:textId="77777777" w:rsidR="00F81052" w:rsidRPr="00270720" w:rsidRDefault="00F81052" w:rsidP="00F81052">
      <w:r w:rsidRPr="00270720">
        <w:rPr>
          <w:highlight w:val="yellow"/>
        </w:rPr>
        <w:t>3.</w:t>
      </w:r>
    </w:p>
    <w:p w14:paraId="59410691" w14:textId="77777777" w:rsidR="00F81052" w:rsidRPr="00352B76" w:rsidRDefault="00F81052" w:rsidP="00A36B12">
      <w:pPr>
        <w:spacing w:line="360" w:lineRule="auto"/>
        <w:rPr>
          <w:rFonts w:ascii="Arial" w:hAnsi="Arial" w:cs="Arial"/>
          <w:sz w:val="20"/>
          <w:szCs w:val="20"/>
          <w:lang w:val="en-US"/>
        </w:rPr>
      </w:pPr>
    </w:p>
    <w:p w14:paraId="7372C4F1" w14:textId="77777777" w:rsidR="004376FD" w:rsidRPr="00352B76" w:rsidRDefault="004376FD" w:rsidP="004A5C27">
      <w:pPr>
        <w:spacing w:line="360" w:lineRule="auto"/>
        <w:rPr>
          <w:rFonts w:ascii="Arial" w:hAnsi="Arial" w:cs="Arial"/>
          <w:sz w:val="20"/>
          <w:szCs w:val="20"/>
        </w:rPr>
      </w:pPr>
    </w:p>
    <w:p w14:paraId="5F78C961" w14:textId="64F07562" w:rsidR="004376FD" w:rsidRPr="00A31AE3" w:rsidRDefault="004376FD" w:rsidP="004A5C27">
      <w:pPr>
        <w:spacing w:line="360" w:lineRule="auto"/>
        <w:rPr>
          <w:rFonts w:ascii="Arial" w:hAnsi="Arial" w:cs="Arial"/>
          <w:sz w:val="20"/>
          <w:szCs w:val="20"/>
        </w:rPr>
      </w:pPr>
      <w:r w:rsidRPr="00A31AE3">
        <w:rPr>
          <w:rFonts w:ascii="Arial" w:hAnsi="Arial" w:cs="Arial"/>
          <w:sz w:val="20"/>
          <w:szCs w:val="20"/>
        </w:rPr>
        <w:t>References</w:t>
      </w:r>
    </w:p>
    <w:p w14:paraId="79F7E435" w14:textId="77777777"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1.</w:t>
      </w:r>
      <w:r w:rsidRPr="00A31AE3">
        <w:rPr>
          <w:rFonts w:ascii="Arial" w:hAnsi="Arial" w:cs="Arial"/>
          <w:sz w:val="20"/>
          <w:szCs w:val="20"/>
          <w:lang w:val="en-US"/>
        </w:rPr>
        <w:tab/>
        <w:t>Dharmajaya, Ridha.2017. Spondylosis Cervical. Medan : USU press. ISBN: 978-602-465-004-9.</w:t>
      </w:r>
    </w:p>
    <w:p w14:paraId="35FAC8FB" w14:textId="77777777"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2.</w:t>
      </w:r>
      <w:r w:rsidRPr="00A31AE3">
        <w:rPr>
          <w:rFonts w:ascii="Arial" w:hAnsi="Arial" w:cs="Arial"/>
          <w:sz w:val="20"/>
          <w:szCs w:val="20"/>
          <w:lang w:val="en-US"/>
        </w:rPr>
        <w:tab/>
        <w:t>Nilesh M.Patel,MD. Cervical Spondylotic Myelopathy. American Academy of Orthopaedic surgeon. Available : https://orthoinfo.aaos.org/en/diseases--conditions/cervical-spondylotic-myelopathy-spinal-cord-compression/ Last Updated : August,2015.</w:t>
      </w:r>
    </w:p>
    <w:p w14:paraId="70FD053F" w14:textId="77777777"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sv-SE"/>
        </w:rPr>
        <w:t>3.</w:t>
      </w:r>
      <w:r w:rsidRPr="00A31AE3">
        <w:rPr>
          <w:rFonts w:ascii="Arial" w:hAnsi="Arial" w:cs="Arial"/>
          <w:sz w:val="20"/>
          <w:szCs w:val="20"/>
          <w:lang w:val="sv-SE"/>
        </w:rPr>
        <w:tab/>
        <w:t xml:space="preserve">Oliveira, Rafael de Almeida et all.2018. </w:t>
      </w:r>
      <w:r w:rsidRPr="00A31AE3">
        <w:rPr>
          <w:rFonts w:ascii="Arial" w:hAnsi="Arial" w:cs="Arial"/>
          <w:sz w:val="20"/>
          <w:szCs w:val="20"/>
          <w:lang w:val="en-US"/>
        </w:rPr>
        <w:t>Cervical Spondylotic Myelopathy : Clinical Cases and Physioterapy. Unviersidade de Ribeirao Preto (UNAERP) Brazil.</w:t>
      </w:r>
    </w:p>
    <w:p w14:paraId="35BF2757" w14:textId="77777777"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lastRenderedPageBreak/>
        <w:t>4.</w:t>
      </w:r>
      <w:r w:rsidRPr="00A31AE3">
        <w:rPr>
          <w:rFonts w:ascii="Arial" w:hAnsi="Arial" w:cs="Arial"/>
          <w:sz w:val="20"/>
          <w:szCs w:val="20"/>
          <w:lang w:val="en-US"/>
        </w:rPr>
        <w:tab/>
        <w:t>Moore D, Ahn L. Cervical Spondylosis. [online] 26 november 2019. [Dikutip: 3 januari 2020]. Available in : https://www.orthobullets.com/spine/2029/cervical-spondylosis</w:t>
      </w:r>
    </w:p>
    <w:p w14:paraId="01550C5A" w14:textId="77777777"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5.</w:t>
      </w:r>
      <w:r w:rsidRPr="00A31AE3">
        <w:rPr>
          <w:rFonts w:ascii="Arial" w:hAnsi="Arial" w:cs="Arial"/>
          <w:sz w:val="20"/>
          <w:szCs w:val="20"/>
          <w:lang w:val="en-US"/>
        </w:rPr>
        <w:tab/>
        <w:t>Garfin SR, Eismont FJ, Bell GR, Fischgrund JS, Bono CM (eds).RothmanSimeone and Herkowitz's The Spine Seventh Edition. Philadelphia : Elsevier; 2018.</w:t>
      </w:r>
    </w:p>
    <w:p w14:paraId="36C780B5" w14:textId="77777777"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6.</w:t>
      </w:r>
      <w:r w:rsidRPr="00A31AE3">
        <w:rPr>
          <w:rFonts w:ascii="Arial" w:hAnsi="Arial" w:cs="Arial"/>
          <w:sz w:val="20"/>
          <w:szCs w:val="20"/>
          <w:lang w:val="en-US"/>
        </w:rPr>
        <w:tab/>
        <w:t>Gondim, F de AA, Thomas FP. Spinal Cord, Topographical, and Functional Anatomy. Available in: www.emedicine.com/neuro/topic657.htm Last updated : January 11, 2007.</w:t>
      </w:r>
    </w:p>
    <w:p w14:paraId="1EA17972" w14:textId="77777777" w:rsidR="00A31AE3" w:rsidRPr="00A31AE3" w:rsidRDefault="00A31AE3" w:rsidP="00A31AE3">
      <w:pPr>
        <w:spacing w:line="360" w:lineRule="auto"/>
        <w:jc w:val="both"/>
        <w:rPr>
          <w:rFonts w:ascii="Arial" w:hAnsi="Arial" w:cs="Arial"/>
          <w:sz w:val="20"/>
          <w:szCs w:val="20"/>
          <w:lang w:val="sv-SE"/>
        </w:rPr>
      </w:pPr>
      <w:r w:rsidRPr="00A31AE3">
        <w:rPr>
          <w:rFonts w:ascii="Arial" w:hAnsi="Arial" w:cs="Arial"/>
          <w:sz w:val="20"/>
          <w:szCs w:val="20"/>
          <w:lang w:val="sv-SE"/>
        </w:rPr>
        <w:t>7.</w:t>
      </w:r>
      <w:r w:rsidRPr="00A31AE3">
        <w:rPr>
          <w:rFonts w:ascii="Arial" w:hAnsi="Arial" w:cs="Arial"/>
          <w:sz w:val="20"/>
          <w:szCs w:val="20"/>
          <w:lang w:val="sv-SE"/>
        </w:rPr>
        <w:tab/>
        <w:t>Sherwood,Lauralee.2002.Fisiologi Manusia Dari sel ke system.Edisi 6.Jakarta: Buku Kedokteran EGC</w:t>
      </w:r>
    </w:p>
    <w:p w14:paraId="33BCD99D" w14:textId="77777777" w:rsidR="00A31AE3" w:rsidRPr="00A31AE3" w:rsidRDefault="00A31AE3" w:rsidP="00A31AE3">
      <w:pPr>
        <w:spacing w:line="360" w:lineRule="auto"/>
        <w:jc w:val="both"/>
        <w:rPr>
          <w:rFonts w:ascii="Arial" w:hAnsi="Arial" w:cs="Arial"/>
          <w:sz w:val="20"/>
          <w:szCs w:val="20"/>
          <w:lang w:val="sv-SE"/>
        </w:rPr>
      </w:pPr>
      <w:r w:rsidRPr="00A31AE3">
        <w:rPr>
          <w:rFonts w:ascii="Arial" w:hAnsi="Arial" w:cs="Arial"/>
          <w:sz w:val="20"/>
          <w:szCs w:val="20"/>
          <w:lang w:val="en-US"/>
        </w:rPr>
        <w:t>8.</w:t>
      </w:r>
      <w:r w:rsidRPr="00A31AE3">
        <w:rPr>
          <w:rFonts w:ascii="Arial" w:hAnsi="Arial" w:cs="Arial"/>
          <w:sz w:val="20"/>
          <w:szCs w:val="20"/>
          <w:lang w:val="en-US"/>
        </w:rPr>
        <w:tab/>
        <w:t xml:space="preserve">Price, A., Sylvia &amp; Wilson, M., Lorraine.2005. </w:t>
      </w:r>
      <w:r w:rsidRPr="00A31AE3">
        <w:rPr>
          <w:rFonts w:ascii="Arial" w:hAnsi="Arial" w:cs="Arial"/>
          <w:sz w:val="20"/>
          <w:szCs w:val="20"/>
          <w:lang w:val="sv-SE"/>
        </w:rPr>
        <w:t>Patofisiologi Konsep Klinis Proses-Proses Penyakit Edisi 6 Volume 2.Jakarta : EGC</w:t>
      </w:r>
    </w:p>
    <w:p w14:paraId="6EF535A6" w14:textId="77777777"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9.</w:t>
      </w:r>
      <w:r w:rsidRPr="00A31AE3">
        <w:rPr>
          <w:rFonts w:ascii="Arial" w:hAnsi="Arial" w:cs="Arial"/>
          <w:sz w:val="20"/>
          <w:szCs w:val="20"/>
          <w:lang w:val="en-US"/>
        </w:rPr>
        <w:tab/>
        <w:t>Moore D, Ahn. Cervical myelopathy. [Dikutip: 3 januari 2020]. [online] 26 november 2019 Available in : https://www.orthobullets.com/spine/2031/cervical-myelopathy</w:t>
      </w:r>
    </w:p>
    <w:p w14:paraId="5018046F" w14:textId="77777777"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sv-SE"/>
        </w:rPr>
        <w:t>10.</w:t>
      </w:r>
      <w:r w:rsidRPr="00A31AE3">
        <w:rPr>
          <w:rFonts w:ascii="Arial" w:hAnsi="Arial" w:cs="Arial"/>
          <w:sz w:val="20"/>
          <w:szCs w:val="20"/>
          <w:lang w:val="sv-SE"/>
        </w:rPr>
        <w:tab/>
        <w:t xml:space="preserve">Lebl, Darren R et all. 2011. </w:t>
      </w:r>
      <w:r w:rsidRPr="00A31AE3">
        <w:rPr>
          <w:rFonts w:ascii="Arial" w:hAnsi="Arial" w:cs="Arial"/>
          <w:sz w:val="20"/>
          <w:szCs w:val="20"/>
          <w:lang w:val="en-US"/>
        </w:rPr>
        <w:t>Cervical spondylotic myelopathy : Pathophysiologi, clinicalpresentation, and treatment. Spine and Scoliosis Surgery, The Hospital For Special Surgery, 535 East 70th Street, New York,  NY 10021, USA</w:t>
      </w:r>
    </w:p>
    <w:p w14:paraId="446EFC27" w14:textId="77777777"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11.</w:t>
      </w:r>
      <w:r w:rsidRPr="00A31AE3">
        <w:rPr>
          <w:rFonts w:ascii="Arial" w:hAnsi="Arial" w:cs="Arial"/>
          <w:sz w:val="20"/>
          <w:szCs w:val="20"/>
          <w:lang w:val="en-US"/>
        </w:rPr>
        <w:tab/>
        <w:t>Praveen K, Mihcael J, Saad B. Cervical surgical technique for the treatment of cervial spondylotic myelopathy. Ireland. Hindawi Publishing Corporation.Vol 2019.</w:t>
      </w:r>
    </w:p>
    <w:p w14:paraId="70CC383C" w14:textId="77777777"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12.</w:t>
      </w:r>
      <w:r w:rsidRPr="00A31AE3">
        <w:rPr>
          <w:rFonts w:ascii="Arial" w:hAnsi="Arial" w:cs="Arial"/>
          <w:sz w:val="20"/>
          <w:szCs w:val="20"/>
          <w:lang w:val="en-US"/>
        </w:rPr>
        <w:tab/>
        <w:t>Paul D, John, C Quinn, Jerry Y. Posteriior Surgical Treatment of cervial spondylotic myelopathy. HSSJ (2015) 11:36-42.</w:t>
      </w:r>
    </w:p>
    <w:p w14:paraId="65964E5B" w14:textId="77777777"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13.</w:t>
      </w:r>
      <w:r w:rsidRPr="00A31AE3">
        <w:rPr>
          <w:rFonts w:ascii="Arial" w:hAnsi="Arial" w:cs="Arial"/>
          <w:sz w:val="20"/>
          <w:szCs w:val="20"/>
          <w:lang w:val="en-US"/>
        </w:rPr>
        <w:tab/>
        <w:t>Oshima Y, Takeshita K, Kato S, et al. Comparison Between the Japanese Orthopaedic Association (JOA) Score and Patient-Reported JOA (PRO-JOA) Score to Evaluate Surgical Outcomes of Degenerative Cervical Myelopathy. Global Spine Journal. 2022;12(5):795-800. doi:10.1177/2192568220964167</w:t>
      </w:r>
    </w:p>
    <w:p w14:paraId="5248DCF0" w14:textId="77777777" w:rsidR="00A31AE3" w:rsidRPr="00A31AE3" w:rsidRDefault="00A31AE3" w:rsidP="00A31AE3">
      <w:pPr>
        <w:spacing w:line="360" w:lineRule="auto"/>
        <w:jc w:val="both"/>
        <w:rPr>
          <w:rFonts w:ascii="Arial" w:hAnsi="Arial" w:cs="Arial"/>
          <w:sz w:val="20"/>
          <w:szCs w:val="20"/>
          <w:lang w:val="sv-SE"/>
        </w:rPr>
      </w:pPr>
      <w:r w:rsidRPr="00A31AE3">
        <w:rPr>
          <w:rFonts w:ascii="Arial" w:hAnsi="Arial" w:cs="Arial"/>
          <w:sz w:val="20"/>
          <w:szCs w:val="20"/>
          <w:lang w:val="en-US"/>
        </w:rPr>
        <w:t>14.</w:t>
      </w:r>
      <w:r w:rsidRPr="00A31AE3">
        <w:rPr>
          <w:rFonts w:ascii="Arial" w:hAnsi="Arial" w:cs="Arial"/>
          <w:sz w:val="20"/>
          <w:szCs w:val="20"/>
          <w:lang w:val="en-US"/>
        </w:rPr>
        <w:tab/>
        <w:t xml:space="preserve">Price, A., Sylvia &amp; Wilson, M., Lorraine.2005. </w:t>
      </w:r>
      <w:r w:rsidRPr="00A31AE3">
        <w:rPr>
          <w:rFonts w:ascii="Arial" w:hAnsi="Arial" w:cs="Arial"/>
          <w:sz w:val="20"/>
          <w:szCs w:val="20"/>
          <w:lang w:val="sv-SE"/>
        </w:rPr>
        <w:t>Patofisiologi Konsep Klinis Proses-Proses Penyakit Edisi 6 Volume 2.Jakarta : EGC</w:t>
      </w:r>
    </w:p>
    <w:p w14:paraId="5050C1E5" w14:textId="77777777"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15.</w:t>
      </w:r>
      <w:r w:rsidRPr="00A31AE3">
        <w:rPr>
          <w:rFonts w:ascii="Arial" w:hAnsi="Arial" w:cs="Arial"/>
          <w:sz w:val="20"/>
          <w:szCs w:val="20"/>
          <w:lang w:val="en-US"/>
        </w:rPr>
        <w:tab/>
        <w:t>Moore D, Ahn. Cervical myelopathy. [Dikutip: 3 januari 2020]. [online] 26 november 2019 Available in : https://www.orthobullets.com/spine/2031/cervical-myelopathy</w:t>
      </w:r>
    </w:p>
    <w:p w14:paraId="452B5ECF" w14:textId="77777777"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sv-SE"/>
        </w:rPr>
        <w:t>16.</w:t>
      </w:r>
      <w:r w:rsidRPr="00A31AE3">
        <w:rPr>
          <w:rFonts w:ascii="Arial" w:hAnsi="Arial" w:cs="Arial"/>
          <w:sz w:val="20"/>
          <w:szCs w:val="20"/>
          <w:lang w:val="sv-SE"/>
        </w:rPr>
        <w:tab/>
        <w:t xml:space="preserve">Lebl, Darren R et all. 2011. </w:t>
      </w:r>
      <w:r w:rsidRPr="00A31AE3">
        <w:rPr>
          <w:rFonts w:ascii="Arial" w:hAnsi="Arial" w:cs="Arial"/>
          <w:sz w:val="20"/>
          <w:szCs w:val="20"/>
          <w:lang w:val="en-US"/>
        </w:rPr>
        <w:t>Cervical spondylotic myelopathy : Pathophysiologi, clinicalpresentation, and treatment. Spine and Scoliosis Surgery, The Hospital For Special Surgery, 535 East 70th Street, New York, NY 10021, USA</w:t>
      </w:r>
    </w:p>
    <w:p w14:paraId="2BE10544" w14:textId="77777777"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17.</w:t>
      </w:r>
      <w:r w:rsidRPr="00A31AE3">
        <w:rPr>
          <w:rFonts w:ascii="Arial" w:hAnsi="Arial" w:cs="Arial"/>
          <w:sz w:val="20"/>
          <w:szCs w:val="20"/>
          <w:lang w:val="en-US"/>
        </w:rPr>
        <w:tab/>
        <w:t>Praveen K, Mihcael J, Saad B. Cervical surgical technique for the treatment of cervial spondylotic myelopathy. Ireland. Hindawi Publishing Corporation.Vol 2019.</w:t>
      </w:r>
    </w:p>
    <w:p w14:paraId="7293C1EA" w14:textId="77777777"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18.</w:t>
      </w:r>
      <w:r w:rsidRPr="00A31AE3">
        <w:rPr>
          <w:rFonts w:ascii="Arial" w:hAnsi="Arial" w:cs="Arial"/>
          <w:sz w:val="20"/>
          <w:szCs w:val="20"/>
          <w:lang w:val="en-US"/>
        </w:rPr>
        <w:tab/>
        <w:t>Paul D, John, C Quinn, Jerry Y. Posteriior Surgical Treatment of cervial spondylotic myelopathy. HSSJ (2015) 11:36-42.</w:t>
      </w:r>
    </w:p>
    <w:p w14:paraId="29832166" w14:textId="77777777"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19.</w:t>
      </w:r>
      <w:r w:rsidRPr="00A31AE3">
        <w:rPr>
          <w:rFonts w:ascii="Arial" w:hAnsi="Arial" w:cs="Arial"/>
          <w:sz w:val="20"/>
          <w:szCs w:val="20"/>
          <w:lang w:val="en-US"/>
        </w:rPr>
        <w:tab/>
        <w:t>Japanese Orthopaedic Association (JOA) Clinical practice guidelines on the Management of Cervical Spondylotic Myelopathy,2020 – Secondary publication, Journal of Orthopaedic Science, Volume 28, Issue 1,2023, Pages 1-45, ISSN 0949-2658, https://doi.org/10.1016/j.jos.2022.03.012. (https://www.sciencedirect.com/science/article/pii/S0949265822001154)</w:t>
      </w:r>
    </w:p>
    <w:p w14:paraId="26A51568" w14:textId="77777777"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lastRenderedPageBreak/>
        <w:t>20.</w:t>
      </w:r>
      <w:r w:rsidRPr="00A31AE3">
        <w:rPr>
          <w:rFonts w:ascii="Arial" w:hAnsi="Arial" w:cs="Arial"/>
          <w:sz w:val="20"/>
          <w:szCs w:val="20"/>
          <w:lang w:val="en-US"/>
        </w:rPr>
        <w:tab/>
        <w:t>Revanappa, K. K. and Rajshekhar, V. (2011) ‘Comparison of Nurick grading system and modified Japanese Orthopaedic Association scoring system in evaluation of patients with cervical spondylotic myelopathy’, European Spine Journal, 20(9), pp. 1545–1551. doi: 10.1007/s00586-011-1773-y.</w:t>
      </w:r>
    </w:p>
    <w:p w14:paraId="2632F7F9" w14:textId="77777777" w:rsidR="00A31AE3" w:rsidRPr="00A31AE3" w:rsidRDefault="00A31AE3" w:rsidP="00A31AE3">
      <w:pPr>
        <w:spacing w:line="360" w:lineRule="auto"/>
        <w:jc w:val="both"/>
        <w:rPr>
          <w:rFonts w:ascii="Arial" w:hAnsi="Arial" w:cs="Arial"/>
          <w:sz w:val="20"/>
          <w:szCs w:val="20"/>
          <w:lang w:val="en-US"/>
        </w:rPr>
      </w:pPr>
      <w:r w:rsidRPr="00A31AE3">
        <w:rPr>
          <w:rFonts w:ascii="Arial" w:hAnsi="Arial" w:cs="Arial"/>
          <w:sz w:val="20"/>
          <w:szCs w:val="20"/>
          <w:lang w:val="en-US"/>
        </w:rPr>
        <w:t>21.</w:t>
      </w:r>
      <w:r w:rsidRPr="00A31AE3">
        <w:rPr>
          <w:rFonts w:ascii="Arial" w:hAnsi="Arial" w:cs="Arial"/>
          <w:sz w:val="20"/>
          <w:szCs w:val="20"/>
          <w:lang w:val="en-US"/>
        </w:rPr>
        <w:tab/>
        <w:t>Dalitz K, Vitzthum HE. Evaluation of five scoring systems for cervical spondylogenic myelopathy. Spine J. 2019 Feb;19(2):e41-e46. doi: 10.1016/j.spinee.2008.05.005. Epub 2008 Sep 6. PMID: 18774750.</w:t>
      </w:r>
    </w:p>
    <w:p w14:paraId="20F13110" w14:textId="0C5FBFFC" w:rsidR="004376FD" w:rsidRPr="003613C6" w:rsidRDefault="00A31AE3" w:rsidP="00A31AE3">
      <w:pPr>
        <w:spacing w:line="360" w:lineRule="auto"/>
        <w:jc w:val="both"/>
        <w:rPr>
          <w:lang w:val="en-US"/>
        </w:rPr>
      </w:pPr>
      <w:r w:rsidRPr="00A31AE3">
        <w:rPr>
          <w:rFonts w:ascii="Arial" w:hAnsi="Arial" w:cs="Arial"/>
          <w:sz w:val="20"/>
          <w:szCs w:val="20"/>
          <w:lang w:val="en-US"/>
        </w:rPr>
        <w:t>22.</w:t>
      </w:r>
      <w:r w:rsidRPr="00A31AE3">
        <w:rPr>
          <w:rFonts w:ascii="Arial" w:hAnsi="Arial" w:cs="Arial"/>
          <w:sz w:val="20"/>
          <w:szCs w:val="20"/>
          <w:lang w:val="en-US"/>
        </w:rPr>
        <w:tab/>
        <w:t>Outcome Measures and Variables Affecting Prognosis of Cervical Spondylotic Myelopathy: WFNS Spine Committee Recommendations Neurospine. 2019;16(3):435-447.   Published online September 30, 2019 DOI: https://doi.org/10.14245/ns.1938196.0</w:t>
      </w:r>
    </w:p>
    <w:sectPr w:rsidR="004376FD" w:rsidRPr="003613C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81B1A" w14:textId="77777777" w:rsidR="00E23BF0" w:rsidRDefault="00E23BF0" w:rsidP="00B81371">
      <w:r>
        <w:separator/>
      </w:r>
    </w:p>
  </w:endnote>
  <w:endnote w:type="continuationSeparator" w:id="0">
    <w:p w14:paraId="4E5E3E83" w14:textId="77777777" w:rsidR="00E23BF0" w:rsidRDefault="00E23BF0" w:rsidP="00B81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ystem Font">
    <w:altName w:val="Cambria"/>
    <w:charset w:val="00"/>
    <w:family w:val="roman"/>
    <w:pitch w:val="default"/>
  </w:font>
  <w:font w:name=".SFUI-Regular">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4FBDA" w14:textId="77777777" w:rsidR="00B81371" w:rsidRDefault="00B813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DAE26" w14:textId="77777777" w:rsidR="00B81371" w:rsidRDefault="00B813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A7DAB" w14:textId="77777777" w:rsidR="00B81371" w:rsidRDefault="00B813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55B25" w14:textId="77777777" w:rsidR="00E23BF0" w:rsidRDefault="00E23BF0" w:rsidP="00B81371">
      <w:r>
        <w:separator/>
      </w:r>
    </w:p>
  </w:footnote>
  <w:footnote w:type="continuationSeparator" w:id="0">
    <w:p w14:paraId="5A47D688" w14:textId="77777777" w:rsidR="00E23BF0" w:rsidRDefault="00E23BF0" w:rsidP="00B813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AED3F" w14:textId="326C7496" w:rsidR="00B81371" w:rsidRDefault="00000000">
    <w:pPr>
      <w:pStyle w:val="Header"/>
    </w:pPr>
    <w:r>
      <w:rPr>
        <w:noProof/>
      </w:rPr>
      <w:pict w14:anchorId="5042EC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019266"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16B26" w14:textId="13FE4275" w:rsidR="00B81371" w:rsidRDefault="00000000">
    <w:pPr>
      <w:pStyle w:val="Header"/>
    </w:pPr>
    <w:r>
      <w:rPr>
        <w:noProof/>
      </w:rPr>
      <w:pict w14:anchorId="7267D2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019267"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49D3D" w14:textId="429E62B7" w:rsidR="00B81371" w:rsidRDefault="00000000">
    <w:pPr>
      <w:pStyle w:val="Header"/>
    </w:pPr>
    <w:r>
      <w:rPr>
        <w:noProof/>
      </w:rPr>
      <w:pict w14:anchorId="2107C8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019265"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5DBD"/>
    <w:multiLevelType w:val="hybridMultilevel"/>
    <w:tmpl w:val="EADEE2B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0B5601FA"/>
    <w:multiLevelType w:val="multilevel"/>
    <w:tmpl w:val="09485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AA3D65"/>
    <w:multiLevelType w:val="multilevel"/>
    <w:tmpl w:val="1AC41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46549F"/>
    <w:multiLevelType w:val="hybridMultilevel"/>
    <w:tmpl w:val="CD9EB9C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16A567FB"/>
    <w:multiLevelType w:val="hybridMultilevel"/>
    <w:tmpl w:val="4F968A2E"/>
    <w:lvl w:ilvl="0" w:tplc="67628770">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6E63C73"/>
    <w:multiLevelType w:val="hybridMultilevel"/>
    <w:tmpl w:val="A9B4DAB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201B5516"/>
    <w:multiLevelType w:val="hybridMultilevel"/>
    <w:tmpl w:val="E83E531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359850FB"/>
    <w:multiLevelType w:val="hybridMultilevel"/>
    <w:tmpl w:val="D93452F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678554B"/>
    <w:multiLevelType w:val="multilevel"/>
    <w:tmpl w:val="CBAC0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B3126E"/>
    <w:multiLevelType w:val="hybridMultilevel"/>
    <w:tmpl w:val="58DA387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15:restartNumberingAfterBreak="0">
    <w:nsid w:val="414361ED"/>
    <w:multiLevelType w:val="multilevel"/>
    <w:tmpl w:val="3ADC6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7A5D18"/>
    <w:multiLevelType w:val="hybridMultilevel"/>
    <w:tmpl w:val="433E045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 w15:restartNumberingAfterBreak="0">
    <w:nsid w:val="4A875A82"/>
    <w:multiLevelType w:val="multilevel"/>
    <w:tmpl w:val="0032F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130829"/>
    <w:multiLevelType w:val="hybridMultilevel"/>
    <w:tmpl w:val="975E831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5595785A"/>
    <w:multiLevelType w:val="multilevel"/>
    <w:tmpl w:val="DE5CF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9E3997"/>
    <w:multiLevelType w:val="hybridMultilevel"/>
    <w:tmpl w:val="CAEA1E38"/>
    <w:lvl w:ilvl="0" w:tplc="61488A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127D0C"/>
    <w:multiLevelType w:val="hybridMultilevel"/>
    <w:tmpl w:val="2BFA7596"/>
    <w:lvl w:ilvl="0" w:tplc="6DB0941A">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67EE69D4"/>
    <w:multiLevelType w:val="hybridMultilevel"/>
    <w:tmpl w:val="76AE588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1340809364">
    <w:abstractNumId w:val="15"/>
  </w:num>
  <w:num w:numId="2" w16cid:durableId="1025447800">
    <w:abstractNumId w:val="14"/>
  </w:num>
  <w:num w:numId="3" w16cid:durableId="2028748742">
    <w:abstractNumId w:val="12"/>
  </w:num>
  <w:num w:numId="4" w16cid:durableId="447966974">
    <w:abstractNumId w:val="2"/>
  </w:num>
  <w:num w:numId="5" w16cid:durableId="1566258793">
    <w:abstractNumId w:val="1"/>
  </w:num>
  <w:num w:numId="6" w16cid:durableId="103579321">
    <w:abstractNumId w:val="10"/>
  </w:num>
  <w:num w:numId="7" w16cid:durableId="2097166866">
    <w:abstractNumId w:val="8"/>
  </w:num>
  <w:num w:numId="8" w16cid:durableId="1643122844">
    <w:abstractNumId w:val="6"/>
  </w:num>
  <w:num w:numId="9" w16cid:durableId="758254938">
    <w:abstractNumId w:val="5"/>
  </w:num>
  <w:num w:numId="10" w16cid:durableId="316225534">
    <w:abstractNumId w:val="13"/>
  </w:num>
  <w:num w:numId="11" w16cid:durableId="987787837">
    <w:abstractNumId w:val="16"/>
  </w:num>
  <w:num w:numId="12" w16cid:durableId="1825930395">
    <w:abstractNumId w:val="17"/>
  </w:num>
  <w:num w:numId="13" w16cid:durableId="261497685">
    <w:abstractNumId w:val="4"/>
  </w:num>
  <w:num w:numId="14" w16cid:durableId="1248073704">
    <w:abstractNumId w:val="7"/>
  </w:num>
  <w:num w:numId="15" w16cid:durableId="633415093">
    <w:abstractNumId w:val="3"/>
  </w:num>
  <w:num w:numId="16" w16cid:durableId="1277558861">
    <w:abstractNumId w:val="0"/>
  </w:num>
  <w:num w:numId="17" w16cid:durableId="1906605508">
    <w:abstractNumId w:val="11"/>
  </w:num>
  <w:num w:numId="18" w16cid:durableId="5914035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255"/>
    <w:rsid w:val="000062E0"/>
    <w:rsid w:val="00015037"/>
    <w:rsid w:val="00024424"/>
    <w:rsid w:val="000C1C40"/>
    <w:rsid w:val="000F150C"/>
    <w:rsid w:val="00100D33"/>
    <w:rsid w:val="00104828"/>
    <w:rsid w:val="00192693"/>
    <w:rsid w:val="001B0ED1"/>
    <w:rsid w:val="001C39CC"/>
    <w:rsid w:val="001F087F"/>
    <w:rsid w:val="001F0DAD"/>
    <w:rsid w:val="00264C90"/>
    <w:rsid w:val="002E24B6"/>
    <w:rsid w:val="002F3705"/>
    <w:rsid w:val="002F706F"/>
    <w:rsid w:val="0030325B"/>
    <w:rsid w:val="003114AC"/>
    <w:rsid w:val="00332F57"/>
    <w:rsid w:val="0034462E"/>
    <w:rsid w:val="00352B76"/>
    <w:rsid w:val="003613C6"/>
    <w:rsid w:val="00361EC1"/>
    <w:rsid w:val="003963AB"/>
    <w:rsid w:val="004376FD"/>
    <w:rsid w:val="0046336B"/>
    <w:rsid w:val="004A5C27"/>
    <w:rsid w:val="004B0F6C"/>
    <w:rsid w:val="004B6E75"/>
    <w:rsid w:val="004E38EA"/>
    <w:rsid w:val="00511823"/>
    <w:rsid w:val="0053103C"/>
    <w:rsid w:val="00531264"/>
    <w:rsid w:val="00553962"/>
    <w:rsid w:val="005B49C7"/>
    <w:rsid w:val="005B7340"/>
    <w:rsid w:val="005C6489"/>
    <w:rsid w:val="005F2A3B"/>
    <w:rsid w:val="006236E1"/>
    <w:rsid w:val="00661AA4"/>
    <w:rsid w:val="006834E5"/>
    <w:rsid w:val="006A015E"/>
    <w:rsid w:val="006B7246"/>
    <w:rsid w:val="006C0F21"/>
    <w:rsid w:val="006D36D8"/>
    <w:rsid w:val="006F7A3E"/>
    <w:rsid w:val="00710DB3"/>
    <w:rsid w:val="007257E5"/>
    <w:rsid w:val="00750A7D"/>
    <w:rsid w:val="00756934"/>
    <w:rsid w:val="00760138"/>
    <w:rsid w:val="007D46DD"/>
    <w:rsid w:val="0081687F"/>
    <w:rsid w:val="008223E0"/>
    <w:rsid w:val="0082345E"/>
    <w:rsid w:val="00827CC1"/>
    <w:rsid w:val="008960D7"/>
    <w:rsid w:val="008B550B"/>
    <w:rsid w:val="008C1732"/>
    <w:rsid w:val="008F13D7"/>
    <w:rsid w:val="00911D6E"/>
    <w:rsid w:val="009133A2"/>
    <w:rsid w:val="00926216"/>
    <w:rsid w:val="00946FD5"/>
    <w:rsid w:val="0098396E"/>
    <w:rsid w:val="00987D4E"/>
    <w:rsid w:val="009A3C57"/>
    <w:rsid w:val="009B0271"/>
    <w:rsid w:val="00A31AE3"/>
    <w:rsid w:val="00A369BE"/>
    <w:rsid w:val="00A36B12"/>
    <w:rsid w:val="00A56DD1"/>
    <w:rsid w:val="00A5721D"/>
    <w:rsid w:val="00A74255"/>
    <w:rsid w:val="00A827EE"/>
    <w:rsid w:val="00A968F9"/>
    <w:rsid w:val="00AB706C"/>
    <w:rsid w:val="00AD0809"/>
    <w:rsid w:val="00AD340F"/>
    <w:rsid w:val="00AF1CBA"/>
    <w:rsid w:val="00B13582"/>
    <w:rsid w:val="00B30DB8"/>
    <w:rsid w:val="00B719E3"/>
    <w:rsid w:val="00B81371"/>
    <w:rsid w:val="00B92389"/>
    <w:rsid w:val="00B97886"/>
    <w:rsid w:val="00BC73A7"/>
    <w:rsid w:val="00BD2C8B"/>
    <w:rsid w:val="00C04818"/>
    <w:rsid w:val="00C31564"/>
    <w:rsid w:val="00C60ADA"/>
    <w:rsid w:val="00C83DCA"/>
    <w:rsid w:val="00CD4E38"/>
    <w:rsid w:val="00CF05FF"/>
    <w:rsid w:val="00D165B4"/>
    <w:rsid w:val="00D34CDF"/>
    <w:rsid w:val="00D61530"/>
    <w:rsid w:val="00D653C1"/>
    <w:rsid w:val="00D669FF"/>
    <w:rsid w:val="00D75FE1"/>
    <w:rsid w:val="00D93D7F"/>
    <w:rsid w:val="00DB7BEC"/>
    <w:rsid w:val="00DD2659"/>
    <w:rsid w:val="00E0626A"/>
    <w:rsid w:val="00E23BF0"/>
    <w:rsid w:val="00E73B57"/>
    <w:rsid w:val="00E948CC"/>
    <w:rsid w:val="00E94922"/>
    <w:rsid w:val="00E950F6"/>
    <w:rsid w:val="00EB5632"/>
    <w:rsid w:val="00F30D69"/>
    <w:rsid w:val="00F35C73"/>
    <w:rsid w:val="00F545DD"/>
    <w:rsid w:val="00F561EB"/>
    <w:rsid w:val="00F662D7"/>
    <w:rsid w:val="00F80263"/>
    <w:rsid w:val="00F81052"/>
    <w:rsid w:val="00F856C8"/>
    <w:rsid w:val="00FC2663"/>
    <w:rsid w:val="00FF09B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FFA6E"/>
  <w15:chartTrackingRefBased/>
  <w15:docId w15:val="{A663CBE9-6B5C-8941-B485-90C5B223C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C57"/>
  </w:style>
  <w:style w:type="paragraph" w:styleId="Heading1">
    <w:name w:val="heading 1"/>
    <w:basedOn w:val="Normal"/>
    <w:next w:val="Normal"/>
    <w:link w:val="Heading1Char"/>
    <w:uiPriority w:val="9"/>
    <w:qFormat/>
    <w:rsid w:val="00A742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42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42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42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42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425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425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425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425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2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42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42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42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42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42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42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42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4255"/>
    <w:rPr>
      <w:rFonts w:eastAsiaTheme="majorEastAsia" w:cstheme="majorBidi"/>
      <w:color w:val="272727" w:themeColor="text1" w:themeTint="D8"/>
    </w:rPr>
  </w:style>
  <w:style w:type="paragraph" w:styleId="Title">
    <w:name w:val="Title"/>
    <w:basedOn w:val="Normal"/>
    <w:next w:val="Normal"/>
    <w:link w:val="TitleChar"/>
    <w:uiPriority w:val="10"/>
    <w:qFormat/>
    <w:rsid w:val="00A7425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2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25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42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425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74255"/>
    <w:rPr>
      <w:i/>
      <w:iCs/>
      <w:color w:val="404040" w:themeColor="text1" w:themeTint="BF"/>
    </w:rPr>
  </w:style>
  <w:style w:type="paragraph" w:styleId="ListParagraph">
    <w:name w:val="List Paragraph"/>
    <w:basedOn w:val="Normal"/>
    <w:uiPriority w:val="34"/>
    <w:qFormat/>
    <w:rsid w:val="00A74255"/>
    <w:pPr>
      <w:ind w:left="720"/>
      <w:contextualSpacing/>
    </w:pPr>
  </w:style>
  <w:style w:type="character" w:styleId="IntenseEmphasis">
    <w:name w:val="Intense Emphasis"/>
    <w:basedOn w:val="DefaultParagraphFont"/>
    <w:uiPriority w:val="21"/>
    <w:qFormat/>
    <w:rsid w:val="00A74255"/>
    <w:rPr>
      <w:i/>
      <w:iCs/>
      <w:color w:val="0F4761" w:themeColor="accent1" w:themeShade="BF"/>
    </w:rPr>
  </w:style>
  <w:style w:type="paragraph" w:styleId="IntenseQuote">
    <w:name w:val="Intense Quote"/>
    <w:basedOn w:val="Normal"/>
    <w:next w:val="Normal"/>
    <w:link w:val="IntenseQuoteChar"/>
    <w:uiPriority w:val="30"/>
    <w:qFormat/>
    <w:rsid w:val="00A742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4255"/>
    <w:rPr>
      <w:i/>
      <w:iCs/>
      <w:color w:val="0F4761" w:themeColor="accent1" w:themeShade="BF"/>
    </w:rPr>
  </w:style>
  <w:style w:type="character" w:styleId="IntenseReference">
    <w:name w:val="Intense Reference"/>
    <w:basedOn w:val="DefaultParagraphFont"/>
    <w:uiPriority w:val="32"/>
    <w:qFormat/>
    <w:rsid w:val="00A74255"/>
    <w:rPr>
      <w:b/>
      <w:bCs/>
      <w:smallCaps/>
      <w:color w:val="0F4761" w:themeColor="accent1" w:themeShade="BF"/>
      <w:spacing w:val="5"/>
    </w:rPr>
  </w:style>
  <w:style w:type="paragraph" w:styleId="NormalWeb">
    <w:name w:val="Normal (Web)"/>
    <w:basedOn w:val="Normal"/>
    <w:uiPriority w:val="99"/>
    <w:semiHidden/>
    <w:unhideWhenUsed/>
    <w:rsid w:val="00B92389"/>
    <w:rPr>
      <w:rFonts w:ascii="Times New Roman" w:hAnsi="Times New Roman" w:cs="Times New Roman"/>
    </w:rPr>
  </w:style>
  <w:style w:type="paragraph" w:customStyle="1" w:styleId="p1">
    <w:name w:val="p1"/>
    <w:basedOn w:val="Normal"/>
    <w:rsid w:val="00CD4E38"/>
    <w:rPr>
      <w:rFonts w:ascii="System Font" w:eastAsiaTheme="minorEastAsia" w:hAnsi="System Font" w:cs="Times New Roman"/>
      <w:kern w:val="0"/>
      <w:sz w:val="18"/>
      <w:szCs w:val="18"/>
      <w14:ligatures w14:val="none"/>
    </w:rPr>
  </w:style>
  <w:style w:type="character" w:customStyle="1" w:styleId="s1">
    <w:name w:val="s1"/>
    <w:basedOn w:val="DefaultParagraphFont"/>
    <w:rsid w:val="00CD4E38"/>
    <w:rPr>
      <w:rFonts w:ascii=".SFUI-Regular" w:hAnsi=".SFUI-Regular" w:hint="default"/>
      <w:b w:val="0"/>
      <w:bCs w:val="0"/>
      <w:i w:val="0"/>
      <w:iCs w:val="0"/>
      <w:sz w:val="18"/>
      <w:szCs w:val="18"/>
    </w:rPr>
  </w:style>
  <w:style w:type="character" w:styleId="Hyperlink">
    <w:name w:val="Hyperlink"/>
    <w:basedOn w:val="DefaultParagraphFont"/>
    <w:uiPriority w:val="99"/>
    <w:unhideWhenUsed/>
    <w:rsid w:val="00352B76"/>
    <w:rPr>
      <w:color w:val="467886" w:themeColor="hyperlink"/>
      <w:u w:val="single"/>
    </w:rPr>
  </w:style>
  <w:style w:type="character" w:customStyle="1" w:styleId="UnresolvedMention1">
    <w:name w:val="Unresolved Mention1"/>
    <w:basedOn w:val="DefaultParagraphFont"/>
    <w:uiPriority w:val="99"/>
    <w:semiHidden/>
    <w:unhideWhenUsed/>
    <w:rsid w:val="00352B76"/>
    <w:rPr>
      <w:color w:val="605E5C"/>
      <w:shd w:val="clear" w:color="auto" w:fill="E1DFDD"/>
    </w:rPr>
  </w:style>
  <w:style w:type="paragraph" w:styleId="Header">
    <w:name w:val="header"/>
    <w:basedOn w:val="Normal"/>
    <w:link w:val="HeaderChar"/>
    <w:uiPriority w:val="99"/>
    <w:unhideWhenUsed/>
    <w:rsid w:val="00B81371"/>
    <w:pPr>
      <w:tabs>
        <w:tab w:val="center" w:pos="4680"/>
        <w:tab w:val="right" w:pos="9360"/>
      </w:tabs>
    </w:pPr>
  </w:style>
  <w:style w:type="character" w:customStyle="1" w:styleId="HeaderChar">
    <w:name w:val="Header Char"/>
    <w:basedOn w:val="DefaultParagraphFont"/>
    <w:link w:val="Header"/>
    <w:uiPriority w:val="99"/>
    <w:rsid w:val="00B81371"/>
  </w:style>
  <w:style w:type="paragraph" w:styleId="Footer">
    <w:name w:val="footer"/>
    <w:basedOn w:val="Normal"/>
    <w:link w:val="FooterChar"/>
    <w:uiPriority w:val="99"/>
    <w:unhideWhenUsed/>
    <w:rsid w:val="00B81371"/>
    <w:pPr>
      <w:tabs>
        <w:tab w:val="center" w:pos="4680"/>
        <w:tab w:val="right" w:pos="9360"/>
      </w:tabs>
    </w:pPr>
  </w:style>
  <w:style w:type="character" w:customStyle="1" w:styleId="FooterChar">
    <w:name w:val="Footer Char"/>
    <w:basedOn w:val="DefaultParagraphFont"/>
    <w:link w:val="Footer"/>
    <w:uiPriority w:val="99"/>
    <w:rsid w:val="00B813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456465">
      <w:bodyDiv w:val="1"/>
      <w:marLeft w:val="0"/>
      <w:marRight w:val="0"/>
      <w:marTop w:val="0"/>
      <w:marBottom w:val="0"/>
      <w:divBdr>
        <w:top w:val="none" w:sz="0" w:space="0" w:color="auto"/>
        <w:left w:val="none" w:sz="0" w:space="0" w:color="auto"/>
        <w:bottom w:val="none" w:sz="0" w:space="0" w:color="auto"/>
        <w:right w:val="none" w:sz="0" w:space="0" w:color="auto"/>
      </w:divBdr>
      <w:divsChild>
        <w:div w:id="592662325">
          <w:marLeft w:val="0"/>
          <w:marRight w:val="0"/>
          <w:marTop w:val="0"/>
          <w:marBottom w:val="0"/>
          <w:divBdr>
            <w:top w:val="none" w:sz="0" w:space="0" w:color="auto"/>
            <w:left w:val="none" w:sz="0" w:space="0" w:color="auto"/>
            <w:bottom w:val="none" w:sz="0" w:space="0" w:color="auto"/>
            <w:right w:val="none" w:sz="0" w:space="0" w:color="auto"/>
          </w:divBdr>
          <w:divsChild>
            <w:div w:id="1625846850">
              <w:marLeft w:val="0"/>
              <w:marRight w:val="0"/>
              <w:marTop w:val="0"/>
              <w:marBottom w:val="0"/>
              <w:divBdr>
                <w:top w:val="none" w:sz="0" w:space="0" w:color="auto"/>
                <w:left w:val="none" w:sz="0" w:space="0" w:color="auto"/>
                <w:bottom w:val="none" w:sz="0" w:space="0" w:color="auto"/>
                <w:right w:val="none" w:sz="0" w:space="0" w:color="auto"/>
              </w:divBdr>
              <w:divsChild>
                <w:div w:id="40607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015223">
      <w:bodyDiv w:val="1"/>
      <w:marLeft w:val="0"/>
      <w:marRight w:val="0"/>
      <w:marTop w:val="0"/>
      <w:marBottom w:val="0"/>
      <w:divBdr>
        <w:top w:val="none" w:sz="0" w:space="0" w:color="auto"/>
        <w:left w:val="none" w:sz="0" w:space="0" w:color="auto"/>
        <w:bottom w:val="none" w:sz="0" w:space="0" w:color="auto"/>
        <w:right w:val="none" w:sz="0" w:space="0" w:color="auto"/>
      </w:divBdr>
      <w:divsChild>
        <w:div w:id="1269240622">
          <w:marLeft w:val="0"/>
          <w:marRight w:val="0"/>
          <w:marTop w:val="0"/>
          <w:marBottom w:val="0"/>
          <w:divBdr>
            <w:top w:val="none" w:sz="0" w:space="0" w:color="auto"/>
            <w:left w:val="none" w:sz="0" w:space="0" w:color="auto"/>
            <w:bottom w:val="none" w:sz="0" w:space="0" w:color="auto"/>
            <w:right w:val="none" w:sz="0" w:space="0" w:color="auto"/>
          </w:divBdr>
          <w:divsChild>
            <w:div w:id="2034840161">
              <w:marLeft w:val="0"/>
              <w:marRight w:val="0"/>
              <w:marTop w:val="0"/>
              <w:marBottom w:val="0"/>
              <w:divBdr>
                <w:top w:val="none" w:sz="0" w:space="0" w:color="auto"/>
                <w:left w:val="none" w:sz="0" w:space="0" w:color="auto"/>
                <w:bottom w:val="none" w:sz="0" w:space="0" w:color="auto"/>
                <w:right w:val="none" w:sz="0" w:space="0" w:color="auto"/>
              </w:divBdr>
              <w:divsChild>
                <w:div w:id="65838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04121-F5C4-45EB-9406-52A92270A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4754</Words>
  <Characters>27100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31791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demaprasetya</dc:creator>
  <cp:keywords/>
  <dc:description/>
  <cp:lastModifiedBy>ejiketuanya123</cp:lastModifiedBy>
  <cp:revision>11</cp:revision>
  <dcterms:created xsi:type="dcterms:W3CDTF">2025-08-14T01:33:00Z</dcterms:created>
  <dcterms:modified xsi:type="dcterms:W3CDTF">2025-08-22T01:01:00Z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64d9e6c6-21f3-36ff-9757-db5d2e649223</vt:lpwstr>
  </property>
  <property fmtid="{D5CDD505-2E9C-101B-9397-08002B2CF9AE}" pid="24" name="Mendeley Citation Style_1">
    <vt:lpwstr>http://www.zotero.org/styles/vancouver</vt:lpwstr>
  </property>
</Properties>
</file>