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C2935B" w14:textId="6513AE4D" w:rsidR="00775D89" w:rsidRDefault="00775D89" w:rsidP="005E59D6">
      <w:pPr>
        <w:jc w:val="both"/>
        <w:rPr>
          <w:rFonts w:ascii="Times New Roman" w:hAnsi="Times New Roman" w:cs="Times New Roman"/>
          <w:b/>
          <w:sz w:val="24"/>
          <w:szCs w:val="24"/>
          <w:u w:val="single"/>
        </w:rPr>
      </w:pPr>
      <w:r w:rsidRPr="00775D89">
        <w:rPr>
          <w:rFonts w:ascii="Times New Roman" w:hAnsi="Times New Roman" w:cs="Times New Roman"/>
          <w:b/>
          <w:sz w:val="24"/>
          <w:szCs w:val="24"/>
          <w:u w:val="single"/>
        </w:rPr>
        <w:t>Original Research Article</w:t>
      </w:r>
    </w:p>
    <w:p w14:paraId="06E0D763" w14:textId="77777777" w:rsidR="005E59D6" w:rsidRDefault="005E59D6" w:rsidP="005E59D6">
      <w:pPr>
        <w:spacing w:line="360" w:lineRule="auto"/>
        <w:jc w:val="both"/>
        <w:rPr>
          <w:rFonts w:ascii="Times New Roman" w:hAnsi="Times New Roman" w:cs="Times New Roman"/>
          <w:b/>
          <w:sz w:val="24"/>
          <w:szCs w:val="24"/>
        </w:rPr>
      </w:pPr>
      <w:r w:rsidRPr="005316DD">
        <w:rPr>
          <w:rFonts w:ascii="Times New Roman" w:hAnsi="Times New Roman" w:cs="Times New Roman"/>
          <w:b/>
          <w:sz w:val="24"/>
          <w:szCs w:val="24"/>
        </w:rPr>
        <w:t>Association between C</w:t>
      </w:r>
      <w:r>
        <w:rPr>
          <w:rFonts w:ascii="Times New Roman" w:hAnsi="Times New Roman" w:cs="Times New Roman"/>
          <w:b/>
          <w:sz w:val="24"/>
          <w:szCs w:val="24"/>
        </w:rPr>
        <w:t>ardiac Troponin I and Short-Term</w:t>
      </w:r>
      <w:r w:rsidRPr="005316DD">
        <w:rPr>
          <w:rFonts w:ascii="Times New Roman" w:hAnsi="Times New Roman" w:cs="Times New Roman"/>
          <w:b/>
          <w:sz w:val="24"/>
          <w:szCs w:val="24"/>
        </w:rPr>
        <w:t xml:space="preserve"> Outcomes in Subarachnoid Hemorrhage: A Prospective Observational Study</w:t>
      </w:r>
    </w:p>
    <w:p w14:paraId="7AB3A7F5" w14:textId="77777777" w:rsidR="005E59D6" w:rsidRPr="00984F4A" w:rsidRDefault="005E59D6" w:rsidP="005E59D6">
      <w:pPr>
        <w:spacing w:line="360" w:lineRule="auto"/>
        <w:jc w:val="both"/>
        <w:rPr>
          <w:rFonts w:ascii="Times New Roman" w:hAnsi="Times New Roman" w:cs="Times New Roman"/>
          <w:b/>
          <w:sz w:val="24"/>
          <w:szCs w:val="24"/>
        </w:rPr>
      </w:pPr>
      <w:r w:rsidRPr="00984F4A">
        <w:rPr>
          <w:rFonts w:ascii="Times New Roman" w:hAnsi="Times New Roman" w:cs="Times New Roman"/>
          <w:b/>
          <w:sz w:val="24"/>
          <w:szCs w:val="24"/>
        </w:rPr>
        <w:t xml:space="preserve">ABSTRACT </w:t>
      </w:r>
    </w:p>
    <w:p w14:paraId="593F6EA5" w14:textId="77777777" w:rsidR="005E59D6" w:rsidRPr="00984F4A" w:rsidRDefault="005E59D6" w:rsidP="005E59D6">
      <w:pPr>
        <w:spacing w:line="360" w:lineRule="auto"/>
        <w:jc w:val="both"/>
        <w:rPr>
          <w:rFonts w:ascii="Times New Roman" w:hAnsi="Times New Roman" w:cs="Times New Roman"/>
          <w:sz w:val="24"/>
          <w:szCs w:val="24"/>
        </w:rPr>
      </w:pPr>
      <w:r w:rsidRPr="00984F4A">
        <w:rPr>
          <w:rFonts w:ascii="Times New Roman" w:hAnsi="Times New Roman" w:cs="Times New Roman"/>
          <w:b/>
          <w:sz w:val="24"/>
          <w:szCs w:val="24"/>
        </w:rPr>
        <w:t>Background:</w:t>
      </w:r>
      <w:r w:rsidRPr="00984F4A">
        <w:rPr>
          <w:rFonts w:ascii="Times New Roman" w:hAnsi="Times New Roman" w:cs="Times New Roman"/>
          <w:sz w:val="24"/>
          <w:szCs w:val="24"/>
        </w:rPr>
        <w:t xml:space="preserve"> Subarachnoid hemorrhage (SAH) is a catastrophic neurological event, which is associated with significant medical complications</w:t>
      </w:r>
      <w:r>
        <w:rPr>
          <w:rFonts w:ascii="Times New Roman" w:hAnsi="Times New Roman" w:cs="Times New Roman"/>
          <w:sz w:val="24"/>
          <w:szCs w:val="24"/>
        </w:rPr>
        <w:t xml:space="preserve">. </w:t>
      </w:r>
      <w:r w:rsidRPr="00984F4A">
        <w:rPr>
          <w:rFonts w:ascii="Times New Roman" w:hAnsi="Times New Roman" w:cs="Times New Roman"/>
          <w:sz w:val="24"/>
          <w:szCs w:val="24"/>
        </w:rPr>
        <w:t xml:space="preserve">Cardiac troponin </w:t>
      </w:r>
      <w:proofErr w:type="gramStart"/>
      <w:r w:rsidRPr="00984F4A">
        <w:rPr>
          <w:rFonts w:ascii="Times New Roman" w:hAnsi="Times New Roman" w:cs="Times New Roman"/>
          <w:sz w:val="24"/>
          <w:szCs w:val="24"/>
        </w:rPr>
        <w:t>I</w:t>
      </w:r>
      <w:r>
        <w:rPr>
          <w:rFonts w:ascii="Times New Roman" w:hAnsi="Times New Roman" w:cs="Times New Roman"/>
          <w:sz w:val="24"/>
          <w:szCs w:val="24"/>
        </w:rPr>
        <w:t>(</w:t>
      </w:r>
      <w:proofErr w:type="spellStart"/>
      <w:proofErr w:type="gramEnd"/>
      <w:r>
        <w:rPr>
          <w:rFonts w:ascii="Times New Roman" w:hAnsi="Times New Roman" w:cs="Times New Roman"/>
          <w:sz w:val="24"/>
          <w:szCs w:val="24"/>
        </w:rPr>
        <w:t>cTnI</w:t>
      </w:r>
      <w:proofErr w:type="spellEnd"/>
      <w:r>
        <w:rPr>
          <w:rFonts w:ascii="Times New Roman" w:hAnsi="Times New Roman" w:cs="Times New Roman"/>
          <w:sz w:val="24"/>
          <w:szCs w:val="24"/>
        </w:rPr>
        <w:t>)</w:t>
      </w:r>
      <w:r w:rsidRPr="00984F4A">
        <w:rPr>
          <w:rFonts w:ascii="Times New Roman" w:hAnsi="Times New Roman" w:cs="Times New Roman"/>
          <w:sz w:val="24"/>
          <w:szCs w:val="24"/>
        </w:rPr>
        <w:t xml:space="preserve"> release occurs frequently after SAH and has been associated with a neuroge</w:t>
      </w:r>
      <w:r>
        <w:rPr>
          <w:rFonts w:ascii="Times New Roman" w:hAnsi="Times New Roman" w:cs="Times New Roman"/>
          <w:sz w:val="24"/>
          <w:szCs w:val="24"/>
        </w:rPr>
        <w:t xml:space="preserve">nic form of myocardial injury. The aim of the study was to </w:t>
      </w:r>
      <w:r w:rsidRPr="00984F4A">
        <w:rPr>
          <w:rFonts w:ascii="Times New Roman" w:hAnsi="Times New Roman" w:cs="Times New Roman"/>
          <w:sz w:val="24"/>
          <w:szCs w:val="24"/>
        </w:rPr>
        <w:t xml:space="preserve">find out the association of serum cardiac troponin I and short term outcome in patients with Subarachnoid </w:t>
      </w:r>
      <w:proofErr w:type="spellStart"/>
      <w:r w:rsidRPr="00984F4A">
        <w:rPr>
          <w:rFonts w:ascii="Times New Roman" w:hAnsi="Times New Roman" w:cs="Times New Roman"/>
          <w:sz w:val="24"/>
          <w:szCs w:val="24"/>
        </w:rPr>
        <w:t>haemorrhage</w:t>
      </w:r>
      <w:proofErr w:type="spellEnd"/>
      <w:r w:rsidRPr="00984F4A">
        <w:rPr>
          <w:rFonts w:ascii="Times New Roman" w:hAnsi="Times New Roman" w:cs="Times New Roman"/>
          <w:sz w:val="24"/>
          <w:szCs w:val="24"/>
        </w:rPr>
        <w:t>.</w:t>
      </w:r>
    </w:p>
    <w:p w14:paraId="71848788" w14:textId="77777777" w:rsidR="005E59D6" w:rsidRDefault="005E59D6" w:rsidP="005E59D6">
      <w:pPr>
        <w:spacing w:line="360" w:lineRule="auto"/>
        <w:jc w:val="both"/>
        <w:rPr>
          <w:rFonts w:ascii="Times New Roman" w:hAnsi="Times New Roman" w:cs="Times New Roman"/>
          <w:sz w:val="24"/>
          <w:szCs w:val="24"/>
        </w:rPr>
      </w:pPr>
      <w:r w:rsidRPr="00984F4A">
        <w:rPr>
          <w:rFonts w:ascii="Times New Roman" w:hAnsi="Times New Roman" w:cs="Times New Roman"/>
          <w:b/>
          <w:sz w:val="24"/>
          <w:szCs w:val="24"/>
        </w:rPr>
        <w:t>Methods:</w:t>
      </w:r>
      <w:r>
        <w:rPr>
          <w:rFonts w:ascii="Times New Roman" w:hAnsi="Times New Roman" w:cs="Times New Roman"/>
          <w:sz w:val="24"/>
          <w:szCs w:val="24"/>
        </w:rPr>
        <w:t xml:space="preserve"> This prospective observational</w:t>
      </w:r>
      <w:r w:rsidRPr="00984F4A">
        <w:rPr>
          <w:rFonts w:ascii="Times New Roman" w:hAnsi="Times New Roman" w:cs="Times New Roman"/>
          <w:sz w:val="24"/>
          <w:szCs w:val="24"/>
        </w:rPr>
        <w:t xml:space="preserve"> study was carried out in the department of Neurology, Neurosurgery and Medicine in Dhaka Medical College &amp; Hospital, Dhaka,</w:t>
      </w:r>
      <w:r>
        <w:rPr>
          <w:rFonts w:ascii="Times New Roman" w:hAnsi="Times New Roman" w:cs="Times New Roman"/>
          <w:sz w:val="24"/>
          <w:szCs w:val="24"/>
        </w:rPr>
        <w:t xml:space="preserve"> Bangladesh over a period of two years starting from July, 2022 to June, 2024</w:t>
      </w:r>
      <w:r w:rsidRPr="00984F4A">
        <w:rPr>
          <w:rFonts w:ascii="Times New Roman" w:hAnsi="Times New Roman" w:cs="Times New Roman"/>
          <w:sz w:val="24"/>
          <w:szCs w:val="24"/>
        </w:rPr>
        <w:t xml:space="preserve">. A total of 95 patients suffering from subarachnoid </w:t>
      </w:r>
      <w:proofErr w:type="spellStart"/>
      <w:r w:rsidRPr="00984F4A">
        <w:rPr>
          <w:rFonts w:ascii="Times New Roman" w:hAnsi="Times New Roman" w:cs="Times New Roman"/>
          <w:sz w:val="24"/>
          <w:szCs w:val="24"/>
        </w:rPr>
        <w:t>haemorrhage</w:t>
      </w:r>
      <w:proofErr w:type="spellEnd"/>
      <w:r w:rsidRPr="00984F4A">
        <w:rPr>
          <w:rFonts w:ascii="Times New Roman" w:hAnsi="Times New Roman" w:cs="Times New Roman"/>
          <w:sz w:val="24"/>
          <w:szCs w:val="24"/>
        </w:rPr>
        <w:t xml:space="preserve"> confirmed by CT scan of head were included in this study. The patients were divided in to the Group I= SAH with </w:t>
      </w:r>
      <w:proofErr w:type="spellStart"/>
      <w:r w:rsidRPr="00984F4A">
        <w:rPr>
          <w:rFonts w:ascii="Times New Roman" w:hAnsi="Times New Roman" w:cs="Times New Roman"/>
          <w:sz w:val="24"/>
          <w:szCs w:val="24"/>
        </w:rPr>
        <w:t>cTnI</w:t>
      </w:r>
      <w:proofErr w:type="spellEnd"/>
      <w:r w:rsidRPr="00984F4A">
        <w:rPr>
          <w:rFonts w:ascii="Times New Roman" w:hAnsi="Times New Roman" w:cs="Times New Roman"/>
          <w:sz w:val="24"/>
          <w:szCs w:val="24"/>
        </w:rPr>
        <w:t xml:space="preserve"> &lt;0.3 ng/ml; n=</w:t>
      </w:r>
      <w:r>
        <w:rPr>
          <w:rFonts w:ascii="Times New Roman" w:hAnsi="Times New Roman" w:cs="Times New Roman"/>
          <w:sz w:val="24"/>
          <w:szCs w:val="24"/>
        </w:rPr>
        <w:t xml:space="preserve">47 and Group II= SAH with </w:t>
      </w:r>
      <w:proofErr w:type="spellStart"/>
      <w:r>
        <w:rPr>
          <w:rFonts w:ascii="Times New Roman" w:hAnsi="Times New Roman" w:cs="Times New Roman"/>
          <w:sz w:val="24"/>
          <w:szCs w:val="24"/>
        </w:rPr>
        <w:t>cTnI</w:t>
      </w:r>
      <w:proofErr w:type="spellEnd"/>
      <w:r>
        <w:rPr>
          <w:rFonts w:ascii="Times New Roman" w:hAnsi="Times New Roman" w:cs="Times New Roman"/>
          <w:sz w:val="24"/>
          <w:szCs w:val="24"/>
        </w:rPr>
        <w:t xml:space="preserve"> </w:t>
      </w:r>
      <w:r>
        <w:rPr>
          <w:rFonts w:ascii="Times New Roman" w:hAnsi="Times New Roman"/>
          <w:sz w:val="24"/>
          <w:szCs w:val="24"/>
        </w:rPr>
        <w:sym w:font="Symbol" w:char="F0B3"/>
      </w:r>
      <w:r w:rsidRPr="00984F4A">
        <w:rPr>
          <w:rFonts w:ascii="Times New Roman" w:hAnsi="Times New Roman" w:cs="Times New Roman"/>
          <w:sz w:val="24"/>
          <w:szCs w:val="24"/>
        </w:rPr>
        <w:t xml:space="preserve"> 0.3 ng/ml; n=48 groups, according to Troponin I level measured within 72 hours after the incident. </w:t>
      </w:r>
    </w:p>
    <w:p w14:paraId="04505336" w14:textId="77777777" w:rsidR="005E59D6" w:rsidRPr="00984F4A" w:rsidRDefault="005E59D6" w:rsidP="005E59D6">
      <w:pPr>
        <w:spacing w:line="360" w:lineRule="auto"/>
        <w:jc w:val="both"/>
        <w:rPr>
          <w:rFonts w:ascii="Times New Roman" w:hAnsi="Times New Roman" w:cs="Times New Roman"/>
          <w:sz w:val="24"/>
          <w:szCs w:val="24"/>
        </w:rPr>
      </w:pPr>
      <w:r w:rsidRPr="00984F4A">
        <w:rPr>
          <w:rFonts w:ascii="Times New Roman" w:hAnsi="Times New Roman" w:cs="Times New Roman"/>
          <w:b/>
          <w:sz w:val="24"/>
          <w:szCs w:val="24"/>
        </w:rPr>
        <w:t>Results:</w:t>
      </w:r>
      <w:r w:rsidRPr="00984F4A">
        <w:rPr>
          <w:rFonts w:ascii="Times New Roman" w:hAnsi="Times New Roman" w:cs="Times New Roman"/>
          <w:sz w:val="24"/>
          <w:szCs w:val="24"/>
        </w:rPr>
        <w:t xml:space="preserve"> The mean age of study population in Group I and Group II were 50.51±9.13 vs 57.58±10.63 years (p=0.001). The mean GCS in Group I and Group II were 13.85±1.41 vs 12.20±2.68 (p=0.001). The mean Hunt and Hess scale were 2.55±0.65 vs 3.15±0.77 (p=0.001) in Group I and Group II respectively. The mean serum cardiac troponin I was 0.12±0.05 vs 0.65±0.36 (p=0.001) in Group I and Group II and 0.25±0.22 in independent, 0.35±0.24 dependent and 0.86±0.45 in death (p=0.001). Majority (83.0%) patients had good outcome in serum cardiac troponin I &lt;0.30 and 57.4% in serum cardiac </w:t>
      </w:r>
      <w:r>
        <w:rPr>
          <w:rFonts w:ascii="Times New Roman" w:hAnsi="Times New Roman" w:cs="Times New Roman"/>
          <w:sz w:val="24"/>
          <w:szCs w:val="24"/>
        </w:rPr>
        <w:t xml:space="preserve">troponin I </w:t>
      </w:r>
      <w:r>
        <w:rPr>
          <w:rFonts w:ascii="Times New Roman" w:hAnsi="Times New Roman"/>
          <w:sz w:val="24"/>
          <w:szCs w:val="24"/>
        </w:rPr>
        <w:sym w:font="Symbol" w:char="F0B3"/>
      </w:r>
      <w:r w:rsidRPr="00984F4A">
        <w:rPr>
          <w:rFonts w:ascii="Times New Roman" w:hAnsi="Times New Roman" w:cs="Times New Roman"/>
          <w:sz w:val="24"/>
          <w:szCs w:val="24"/>
        </w:rPr>
        <w:t>0.30. The difference of was statistically si</w:t>
      </w:r>
      <w:r>
        <w:rPr>
          <w:rFonts w:ascii="Times New Roman" w:hAnsi="Times New Roman" w:cs="Times New Roman"/>
          <w:sz w:val="24"/>
          <w:szCs w:val="24"/>
        </w:rPr>
        <w:t>gnificant between two groups (OR=3.79; 95%CI 1.34-11.00,</w:t>
      </w:r>
      <w:r w:rsidRPr="00984F4A">
        <w:rPr>
          <w:rFonts w:ascii="Times New Roman" w:hAnsi="Times New Roman" w:cs="Times New Roman"/>
          <w:sz w:val="24"/>
          <w:szCs w:val="24"/>
        </w:rPr>
        <w:t xml:space="preserve"> p&lt;0.05). </w:t>
      </w:r>
    </w:p>
    <w:p w14:paraId="1894FA30" w14:textId="77777777" w:rsidR="005E59D6" w:rsidRDefault="005E59D6" w:rsidP="005E59D6">
      <w:pPr>
        <w:spacing w:line="360" w:lineRule="auto"/>
        <w:jc w:val="both"/>
        <w:rPr>
          <w:rFonts w:ascii="Times New Roman" w:hAnsi="Times New Roman" w:cs="Times New Roman"/>
          <w:b/>
          <w:sz w:val="24"/>
          <w:szCs w:val="24"/>
        </w:rPr>
      </w:pPr>
      <w:r w:rsidRPr="00984F4A">
        <w:rPr>
          <w:rFonts w:ascii="Times New Roman" w:hAnsi="Times New Roman" w:cs="Times New Roman"/>
          <w:b/>
          <w:sz w:val="24"/>
          <w:szCs w:val="24"/>
        </w:rPr>
        <w:t>Conclusion:</w:t>
      </w:r>
      <w:r w:rsidRPr="00984F4A">
        <w:rPr>
          <w:rFonts w:ascii="Times New Roman" w:hAnsi="Times New Roman" w:cs="Times New Roman"/>
          <w:sz w:val="24"/>
          <w:szCs w:val="24"/>
        </w:rPr>
        <w:t xml:space="preserve"> Measurements of serum troponin I reveal a higher incidence of myocardial injury in patients with SAH. Raised serum cardiac troponin I is associated with more severe neurological injury.</w:t>
      </w:r>
      <w:r w:rsidRPr="00984F4A">
        <w:rPr>
          <w:rFonts w:ascii="Times New Roman" w:hAnsi="Times New Roman" w:cs="Times New Roman"/>
          <w:b/>
          <w:sz w:val="24"/>
          <w:szCs w:val="24"/>
        </w:rPr>
        <w:t xml:space="preserve"> </w:t>
      </w:r>
    </w:p>
    <w:p w14:paraId="02E5C0A7" w14:textId="77777777" w:rsidR="007035BA" w:rsidRDefault="005E59D6" w:rsidP="007035BA">
      <w:pPr>
        <w:spacing w:line="360" w:lineRule="auto"/>
        <w:jc w:val="both"/>
        <w:rPr>
          <w:rFonts w:ascii="Times New Roman" w:hAnsi="Times New Roman" w:cs="Times New Roman"/>
          <w:i/>
          <w:sz w:val="24"/>
          <w:szCs w:val="24"/>
        </w:rPr>
      </w:pPr>
      <w:r>
        <w:rPr>
          <w:rFonts w:ascii="Times New Roman" w:hAnsi="Times New Roman" w:cs="Times New Roman"/>
          <w:b/>
          <w:sz w:val="24"/>
          <w:szCs w:val="24"/>
        </w:rPr>
        <w:t>Key words:</w:t>
      </w:r>
      <w:r w:rsidRPr="00984F4A">
        <w:t xml:space="preserve"> </w:t>
      </w:r>
      <w:r w:rsidRPr="00984F4A">
        <w:rPr>
          <w:rFonts w:ascii="Times New Roman" w:hAnsi="Times New Roman" w:cs="Times New Roman"/>
          <w:i/>
          <w:sz w:val="24"/>
          <w:szCs w:val="24"/>
        </w:rPr>
        <w:t>Troponin I</w:t>
      </w:r>
      <w:r>
        <w:rPr>
          <w:rFonts w:ascii="Times New Roman" w:hAnsi="Times New Roman" w:cs="Times New Roman"/>
          <w:i/>
          <w:sz w:val="24"/>
          <w:szCs w:val="24"/>
        </w:rPr>
        <w:t>,</w:t>
      </w:r>
      <w:r w:rsidRPr="00984F4A">
        <w:rPr>
          <w:i/>
        </w:rPr>
        <w:t xml:space="preserve"> </w:t>
      </w:r>
      <w:r w:rsidRPr="00984F4A">
        <w:rPr>
          <w:rFonts w:ascii="Times New Roman" w:hAnsi="Times New Roman" w:cs="Times New Roman"/>
          <w:i/>
          <w:sz w:val="24"/>
          <w:szCs w:val="24"/>
        </w:rPr>
        <w:t>short term outcome</w:t>
      </w:r>
      <w:r>
        <w:rPr>
          <w:rFonts w:ascii="Times New Roman" w:hAnsi="Times New Roman" w:cs="Times New Roman"/>
          <w:i/>
          <w:sz w:val="24"/>
          <w:szCs w:val="24"/>
        </w:rPr>
        <w:t>,</w:t>
      </w:r>
      <w:r w:rsidRPr="00984F4A">
        <w:rPr>
          <w:i/>
        </w:rPr>
        <w:t xml:space="preserve"> </w:t>
      </w:r>
      <w:r w:rsidRPr="00984F4A">
        <w:rPr>
          <w:rFonts w:ascii="Times New Roman" w:hAnsi="Times New Roman" w:cs="Times New Roman"/>
          <w:i/>
          <w:sz w:val="24"/>
          <w:szCs w:val="24"/>
        </w:rPr>
        <w:t xml:space="preserve">Subarachnoid </w:t>
      </w:r>
      <w:proofErr w:type="spellStart"/>
      <w:r w:rsidRPr="00984F4A">
        <w:rPr>
          <w:rFonts w:ascii="Times New Roman" w:hAnsi="Times New Roman" w:cs="Times New Roman"/>
          <w:i/>
          <w:sz w:val="24"/>
          <w:szCs w:val="24"/>
        </w:rPr>
        <w:t>Haemorrhage</w:t>
      </w:r>
      <w:proofErr w:type="spellEnd"/>
    </w:p>
    <w:p w14:paraId="307DEF1F" w14:textId="431C793F" w:rsidR="005E59D6" w:rsidRPr="007035BA" w:rsidRDefault="005E59D6" w:rsidP="007035BA">
      <w:pPr>
        <w:spacing w:line="360" w:lineRule="auto"/>
        <w:jc w:val="both"/>
        <w:rPr>
          <w:rFonts w:ascii="Times New Roman" w:hAnsi="Times New Roman" w:cs="Times New Roman"/>
          <w:i/>
          <w:sz w:val="24"/>
          <w:szCs w:val="24"/>
        </w:rPr>
      </w:pPr>
      <w:r w:rsidRPr="00984F4A">
        <w:rPr>
          <w:rFonts w:ascii="Times New Roman" w:hAnsi="Times New Roman" w:cs="Times New Roman"/>
          <w:b/>
          <w:sz w:val="24"/>
          <w:szCs w:val="24"/>
        </w:rPr>
        <w:lastRenderedPageBreak/>
        <w:t>Introduction:</w:t>
      </w:r>
    </w:p>
    <w:p w14:paraId="6A4B3D6B" w14:textId="77777777" w:rsidR="005E59D6" w:rsidRDefault="005E59D6" w:rsidP="005E59D6">
      <w:pPr>
        <w:spacing w:line="360" w:lineRule="auto"/>
        <w:jc w:val="both"/>
        <w:rPr>
          <w:rFonts w:ascii="Times New Roman" w:hAnsi="Times New Roman" w:cs="Times New Roman"/>
          <w:sz w:val="24"/>
          <w:szCs w:val="24"/>
        </w:rPr>
      </w:pPr>
      <w:r w:rsidRPr="00984F4A">
        <w:rPr>
          <w:rFonts w:ascii="Times New Roman" w:hAnsi="Times New Roman" w:cs="Times New Roman"/>
          <w:sz w:val="24"/>
          <w:szCs w:val="24"/>
        </w:rPr>
        <w:t xml:space="preserve">Subarachnoid </w:t>
      </w:r>
      <w:proofErr w:type="spellStart"/>
      <w:r w:rsidRPr="00984F4A">
        <w:rPr>
          <w:rFonts w:ascii="Times New Roman" w:hAnsi="Times New Roman" w:cs="Times New Roman"/>
          <w:sz w:val="24"/>
          <w:szCs w:val="24"/>
        </w:rPr>
        <w:t>haemorrhage</w:t>
      </w:r>
      <w:proofErr w:type="spellEnd"/>
      <w:r w:rsidRPr="00984F4A">
        <w:rPr>
          <w:rFonts w:ascii="Times New Roman" w:hAnsi="Times New Roman" w:cs="Times New Roman"/>
          <w:sz w:val="24"/>
          <w:szCs w:val="24"/>
        </w:rPr>
        <w:t xml:space="preserve"> (SAH) is the bleeding in the subarachnoid space-the area between the arachnoid mater and the pia mater surrounding the brain. This may occur spontaneously, usually from a ruptured cerebral aneurysm or may result from head inj</w:t>
      </w:r>
      <w:r>
        <w:rPr>
          <w:rFonts w:ascii="Times New Roman" w:hAnsi="Times New Roman" w:cs="Times New Roman"/>
          <w:sz w:val="24"/>
          <w:szCs w:val="24"/>
        </w:rPr>
        <w:t>ury (</w:t>
      </w:r>
      <w:r w:rsidRPr="00AF3AB6">
        <w:rPr>
          <w:rFonts w:ascii="Times New Roman" w:hAnsi="Times New Roman" w:cs="Times New Roman"/>
          <w:sz w:val="24"/>
          <w:szCs w:val="24"/>
        </w:rPr>
        <w:t>Yousef KM</w:t>
      </w:r>
      <w:r>
        <w:rPr>
          <w:rFonts w:ascii="Times New Roman" w:hAnsi="Times New Roman" w:cs="Times New Roman"/>
          <w:sz w:val="24"/>
          <w:szCs w:val="24"/>
        </w:rPr>
        <w:t xml:space="preserve"> et al.2018).</w:t>
      </w:r>
      <w:r w:rsidRPr="00984F4A">
        <w:rPr>
          <w:rFonts w:ascii="Times New Roman" w:hAnsi="Times New Roman" w:cs="Times New Roman"/>
          <w:sz w:val="24"/>
          <w:szCs w:val="24"/>
        </w:rPr>
        <w:t>It is a form of stroke and comprises 1 to 7 % of all strokes and affects about 6/100,000 of the population and women are affected more commonly than men, usually present before the age of 65 (</w:t>
      </w:r>
      <w:proofErr w:type="spellStart"/>
      <w:r w:rsidRPr="00984F4A">
        <w:rPr>
          <w:rFonts w:ascii="Times New Roman" w:hAnsi="Times New Roman" w:cs="Times New Roman"/>
          <w:sz w:val="24"/>
          <w:szCs w:val="24"/>
        </w:rPr>
        <w:t>Feigin</w:t>
      </w:r>
      <w:proofErr w:type="spellEnd"/>
      <w:r w:rsidRPr="00984F4A">
        <w:rPr>
          <w:rFonts w:ascii="Times New Roman" w:hAnsi="Times New Roman" w:cs="Times New Roman"/>
          <w:sz w:val="24"/>
          <w:szCs w:val="24"/>
        </w:rPr>
        <w:t xml:space="preserve"> et al. 2005; </w:t>
      </w:r>
      <w:r>
        <w:rPr>
          <w:rFonts w:ascii="Times New Roman" w:hAnsi="Times New Roman" w:cs="Times New Roman"/>
          <w:sz w:val="24"/>
          <w:szCs w:val="24"/>
        </w:rPr>
        <w:t>Malik et al. 2015</w:t>
      </w:r>
      <w:r w:rsidRPr="00984F4A">
        <w:rPr>
          <w:rFonts w:ascii="Times New Roman" w:hAnsi="Times New Roman" w:cs="Times New Roman"/>
          <w:sz w:val="24"/>
          <w:szCs w:val="24"/>
        </w:rPr>
        <w:t xml:space="preserve">). Up to half </w:t>
      </w:r>
      <w:r>
        <w:rPr>
          <w:rFonts w:ascii="Times New Roman" w:hAnsi="Times New Roman" w:cs="Times New Roman"/>
          <w:sz w:val="24"/>
          <w:szCs w:val="24"/>
        </w:rPr>
        <w:t>of all cases are fatal and 25-30</w:t>
      </w:r>
      <w:r w:rsidRPr="00984F4A">
        <w:rPr>
          <w:rFonts w:ascii="Times New Roman" w:hAnsi="Times New Roman" w:cs="Times New Roman"/>
          <w:sz w:val="24"/>
          <w:szCs w:val="24"/>
        </w:rPr>
        <w:t xml:space="preserve">% dies before reaching to the hospital and those who survive often have neurological or cognitive impairment (Van </w:t>
      </w:r>
      <w:proofErr w:type="spellStart"/>
      <w:r w:rsidRPr="00984F4A">
        <w:rPr>
          <w:rFonts w:ascii="Times New Roman" w:hAnsi="Times New Roman" w:cs="Times New Roman"/>
          <w:sz w:val="24"/>
          <w:szCs w:val="24"/>
        </w:rPr>
        <w:t>Gijn</w:t>
      </w:r>
      <w:proofErr w:type="spellEnd"/>
      <w:r w:rsidRPr="00984F4A">
        <w:rPr>
          <w:rFonts w:ascii="Times New Roman" w:hAnsi="Times New Roman" w:cs="Times New Roman"/>
          <w:sz w:val="24"/>
          <w:szCs w:val="24"/>
        </w:rPr>
        <w:t xml:space="preserve"> et al. 2007; Suarez </w:t>
      </w:r>
      <w:proofErr w:type="gramStart"/>
      <w:r w:rsidRPr="00984F4A">
        <w:rPr>
          <w:rFonts w:ascii="Times New Roman" w:hAnsi="Times New Roman" w:cs="Times New Roman"/>
          <w:sz w:val="24"/>
          <w:szCs w:val="24"/>
        </w:rPr>
        <w:t>et</w:t>
      </w:r>
      <w:proofErr w:type="gramEnd"/>
      <w:r w:rsidRPr="00984F4A">
        <w:rPr>
          <w:rFonts w:ascii="Times New Roman" w:hAnsi="Times New Roman" w:cs="Times New Roman"/>
          <w:sz w:val="24"/>
          <w:szCs w:val="24"/>
        </w:rPr>
        <w:t xml:space="preserve"> al.2006). Ruptured “berry” aneurysm is the most common among the aneurysmal SAH and is respons</w:t>
      </w:r>
      <w:r>
        <w:rPr>
          <w:rFonts w:ascii="Times New Roman" w:hAnsi="Times New Roman" w:cs="Times New Roman"/>
          <w:sz w:val="24"/>
          <w:szCs w:val="24"/>
        </w:rPr>
        <w:t>ible for 85% of cases (Malik et al. 2015</w:t>
      </w:r>
      <w:r w:rsidRPr="00984F4A">
        <w:rPr>
          <w:rFonts w:ascii="Times New Roman" w:hAnsi="Times New Roman" w:cs="Times New Roman"/>
          <w:sz w:val="24"/>
          <w:szCs w:val="24"/>
        </w:rPr>
        <w:t>).</w:t>
      </w:r>
    </w:p>
    <w:p w14:paraId="638024CF" w14:textId="77777777" w:rsidR="005E59D6" w:rsidRDefault="005E59D6" w:rsidP="005E59D6">
      <w:pPr>
        <w:spacing w:line="360" w:lineRule="auto"/>
        <w:jc w:val="both"/>
        <w:rPr>
          <w:rFonts w:ascii="Times New Roman" w:hAnsi="Times New Roman" w:cs="Times New Roman"/>
          <w:sz w:val="24"/>
          <w:szCs w:val="24"/>
        </w:rPr>
      </w:pPr>
      <w:r w:rsidRPr="00984F4A">
        <w:rPr>
          <w:rFonts w:ascii="Times New Roman" w:hAnsi="Times New Roman" w:cs="Times New Roman"/>
          <w:sz w:val="24"/>
          <w:szCs w:val="24"/>
        </w:rPr>
        <w:t xml:space="preserve">A wide variety of cerebral pathology, from acute ischemic stroke, intracerebral </w:t>
      </w:r>
      <w:proofErr w:type="spellStart"/>
      <w:r w:rsidRPr="00984F4A">
        <w:rPr>
          <w:rFonts w:ascii="Times New Roman" w:hAnsi="Times New Roman" w:cs="Times New Roman"/>
          <w:sz w:val="24"/>
          <w:szCs w:val="24"/>
        </w:rPr>
        <w:t>haemorrhage</w:t>
      </w:r>
      <w:proofErr w:type="spellEnd"/>
      <w:r w:rsidRPr="00984F4A">
        <w:rPr>
          <w:rFonts w:ascii="Times New Roman" w:hAnsi="Times New Roman" w:cs="Times New Roman"/>
          <w:sz w:val="24"/>
          <w:szCs w:val="24"/>
        </w:rPr>
        <w:t xml:space="preserve">, subarachnoid </w:t>
      </w:r>
      <w:proofErr w:type="spellStart"/>
      <w:r w:rsidRPr="00984F4A">
        <w:rPr>
          <w:rFonts w:ascii="Times New Roman" w:hAnsi="Times New Roman" w:cs="Times New Roman"/>
          <w:sz w:val="24"/>
          <w:szCs w:val="24"/>
        </w:rPr>
        <w:t>haemorrhage</w:t>
      </w:r>
      <w:proofErr w:type="spellEnd"/>
      <w:r w:rsidRPr="00984F4A">
        <w:rPr>
          <w:rFonts w:ascii="Times New Roman" w:hAnsi="Times New Roman" w:cs="Times New Roman"/>
          <w:sz w:val="24"/>
          <w:szCs w:val="24"/>
        </w:rPr>
        <w:t xml:space="preserve"> (SAH), or even rare entities such as transient global amnesia, has been associated with transient cardiac dysfunction with electrocardiographic (ECG) changes and simultaneous release of cardiac biomarkers (Murthy et al. 2014; </w:t>
      </w:r>
      <w:proofErr w:type="spellStart"/>
      <w:r w:rsidRPr="00984F4A">
        <w:rPr>
          <w:rFonts w:ascii="Times New Roman" w:hAnsi="Times New Roman" w:cs="Times New Roman"/>
          <w:sz w:val="24"/>
          <w:szCs w:val="24"/>
        </w:rPr>
        <w:t>Jalanko</w:t>
      </w:r>
      <w:proofErr w:type="spellEnd"/>
      <w:r w:rsidRPr="00984F4A">
        <w:rPr>
          <w:rFonts w:ascii="Times New Roman" w:hAnsi="Times New Roman" w:cs="Times New Roman"/>
          <w:sz w:val="24"/>
          <w:szCs w:val="24"/>
        </w:rPr>
        <w:t xml:space="preserve"> et al. 2015; </w:t>
      </w:r>
      <w:proofErr w:type="spellStart"/>
      <w:r w:rsidRPr="00984F4A">
        <w:rPr>
          <w:rFonts w:ascii="Times New Roman" w:hAnsi="Times New Roman" w:cs="Times New Roman"/>
          <w:sz w:val="24"/>
          <w:szCs w:val="24"/>
        </w:rPr>
        <w:t>Wybraniec</w:t>
      </w:r>
      <w:proofErr w:type="spellEnd"/>
      <w:r w:rsidRPr="00984F4A">
        <w:rPr>
          <w:rFonts w:ascii="Times New Roman" w:hAnsi="Times New Roman" w:cs="Times New Roman"/>
          <w:sz w:val="24"/>
          <w:szCs w:val="24"/>
        </w:rPr>
        <w:t xml:space="preserve"> et al. 2014). These two findings, as well as left ventricular systolic dysfunction, constitute cardiac abnormalities that have been reported after SAH (</w:t>
      </w:r>
      <w:proofErr w:type="spellStart"/>
      <w:r w:rsidRPr="00984F4A">
        <w:rPr>
          <w:rFonts w:ascii="Times New Roman" w:hAnsi="Times New Roman" w:cs="Times New Roman"/>
          <w:sz w:val="24"/>
          <w:szCs w:val="24"/>
        </w:rPr>
        <w:t>Kothavale</w:t>
      </w:r>
      <w:proofErr w:type="spellEnd"/>
      <w:r w:rsidRPr="00984F4A">
        <w:rPr>
          <w:rFonts w:ascii="Times New Roman" w:hAnsi="Times New Roman" w:cs="Times New Roman"/>
          <w:sz w:val="24"/>
          <w:szCs w:val="24"/>
        </w:rPr>
        <w:t xml:space="preserve"> et al. 2006). In the hours to days following SAH, excessive sympathetic activation can cause neurogenic stress cardiomyopathy, which is displayed by an increased cardiac troponin as a biomarker of cardiac injury (Zhang et al. 2015; </w:t>
      </w:r>
      <w:proofErr w:type="spellStart"/>
      <w:r w:rsidRPr="00984F4A">
        <w:rPr>
          <w:rFonts w:ascii="Times New Roman" w:hAnsi="Times New Roman" w:cs="Times New Roman"/>
          <w:sz w:val="24"/>
          <w:szCs w:val="24"/>
        </w:rPr>
        <w:t>Naidech</w:t>
      </w:r>
      <w:proofErr w:type="spellEnd"/>
      <w:r w:rsidRPr="00984F4A">
        <w:rPr>
          <w:rFonts w:ascii="Times New Roman" w:hAnsi="Times New Roman" w:cs="Times New Roman"/>
          <w:sz w:val="24"/>
          <w:szCs w:val="24"/>
        </w:rPr>
        <w:t xml:space="preserve"> et al. 2005). In up to half of all SAH patients, elevated troponins are reported and several studies have shown the prognostic relevance of elevated troponin early after admission for poor neurological outcome and mortality (Zhang et al. 2015; </w:t>
      </w:r>
      <w:proofErr w:type="spellStart"/>
      <w:r w:rsidRPr="00984F4A">
        <w:rPr>
          <w:rFonts w:ascii="Times New Roman" w:hAnsi="Times New Roman" w:cs="Times New Roman"/>
          <w:sz w:val="24"/>
          <w:szCs w:val="24"/>
        </w:rPr>
        <w:t>Naidech</w:t>
      </w:r>
      <w:proofErr w:type="spellEnd"/>
      <w:r w:rsidRPr="00984F4A">
        <w:rPr>
          <w:rFonts w:ascii="Times New Roman" w:hAnsi="Times New Roman" w:cs="Times New Roman"/>
          <w:sz w:val="24"/>
          <w:szCs w:val="24"/>
        </w:rPr>
        <w:t xml:space="preserve"> et al. 2005; </w:t>
      </w:r>
      <w:proofErr w:type="spellStart"/>
      <w:r w:rsidRPr="00984F4A">
        <w:rPr>
          <w:rFonts w:ascii="Times New Roman" w:hAnsi="Times New Roman" w:cs="Times New Roman"/>
          <w:sz w:val="24"/>
          <w:szCs w:val="24"/>
        </w:rPr>
        <w:t>Oras</w:t>
      </w:r>
      <w:proofErr w:type="spellEnd"/>
      <w:r w:rsidRPr="00984F4A">
        <w:rPr>
          <w:rFonts w:ascii="Times New Roman" w:hAnsi="Times New Roman" w:cs="Times New Roman"/>
          <w:sz w:val="24"/>
          <w:szCs w:val="24"/>
        </w:rPr>
        <w:t xml:space="preserve"> et al. 2015).</w:t>
      </w:r>
    </w:p>
    <w:p w14:paraId="46110B77" w14:textId="77777777" w:rsidR="005E59D6" w:rsidRDefault="005E59D6" w:rsidP="005E59D6">
      <w:pPr>
        <w:spacing w:line="360" w:lineRule="auto"/>
        <w:jc w:val="both"/>
        <w:rPr>
          <w:rFonts w:ascii="Times New Roman" w:hAnsi="Times New Roman" w:cs="Times New Roman"/>
          <w:sz w:val="24"/>
          <w:szCs w:val="24"/>
        </w:rPr>
      </w:pPr>
      <w:r w:rsidRPr="00984F4A">
        <w:rPr>
          <w:rFonts w:ascii="Times New Roman" w:hAnsi="Times New Roman" w:cs="Times New Roman"/>
          <w:sz w:val="24"/>
          <w:szCs w:val="24"/>
        </w:rPr>
        <w:t>The connection between the central nervous system (CNS) and the heart was first described by Cushing at the turn of the previous century (Cushing, 1903). The mechanisms of cardiac dysfunction after SAH used to be controversial until recently (</w:t>
      </w:r>
      <w:proofErr w:type="spellStart"/>
      <w:r w:rsidRPr="00984F4A">
        <w:rPr>
          <w:rFonts w:ascii="Times New Roman" w:hAnsi="Times New Roman" w:cs="Times New Roman"/>
          <w:sz w:val="24"/>
          <w:szCs w:val="24"/>
        </w:rPr>
        <w:t>Kothavale</w:t>
      </w:r>
      <w:proofErr w:type="spellEnd"/>
      <w:r w:rsidRPr="00984F4A">
        <w:rPr>
          <w:rFonts w:ascii="Times New Roman" w:hAnsi="Times New Roman" w:cs="Times New Roman"/>
          <w:sz w:val="24"/>
          <w:szCs w:val="24"/>
        </w:rPr>
        <w:t xml:space="preserve"> et al. 2006). Historically, cardiac necrosis after SAH has been attributed to coronary artery disease, coronary vasospasm or oxygen supply-demand mismatch. Experimental evidence, however, indicated that excessive release of norepinephrine from the myocardial sympathetic nerves was the most likely cause (Tung et al. 2004) .Now-a-days it was evident that acute left ventricular dysfunction associated with SAH can be the expression of a stress –related cardiomyopathy (Richard, 2011). Neurogenic stunned myocardium (also known as apical balloting syndrome or </w:t>
      </w:r>
      <w:proofErr w:type="spellStart"/>
      <w:r w:rsidRPr="00984F4A">
        <w:rPr>
          <w:rFonts w:ascii="Times New Roman" w:hAnsi="Times New Roman" w:cs="Times New Roman"/>
          <w:sz w:val="24"/>
          <w:szCs w:val="24"/>
        </w:rPr>
        <w:t>Takotsubo</w:t>
      </w:r>
      <w:proofErr w:type="spellEnd"/>
      <w:r w:rsidRPr="00984F4A">
        <w:rPr>
          <w:rFonts w:ascii="Times New Roman" w:hAnsi="Times New Roman" w:cs="Times New Roman"/>
          <w:sz w:val="24"/>
          <w:szCs w:val="24"/>
        </w:rPr>
        <w:t xml:space="preserve"> syndrome) is a frequent </w:t>
      </w:r>
      <w:r w:rsidRPr="00984F4A">
        <w:rPr>
          <w:rFonts w:ascii="Times New Roman" w:hAnsi="Times New Roman" w:cs="Times New Roman"/>
          <w:sz w:val="24"/>
          <w:szCs w:val="24"/>
        </w:rPr>
        <w:lastRenderedPageBreak/>
        <w:t xml:space="preserve">complication of SAH, with a significant impact on disease course. The presumed cause is catecholamine surge at the time of aneurysm rupture (Liang et al. 2013). A possible mechanism is that hypothalamic ischemia causes increased sympathetic tone and resultant catecholamine surge producing </w:t>
      </w:r>
      <w:proofErr w:type="spellStart"/>
      <w:r w:rsidRPr="00984F4A">
        <w:rPr>
          <w:rFonts w:ascii="Times New Roman" w:hAnsi="Times New Roman" w:cs="Times New Roman"/>
          <w:sz w:val="24"/>
          <w:szCs w:val="24"/>
        </w:rPr>
        <w:t>subendocardial</w:t>
      </w:r>
      <w:proofErr w:type="spellEnd"/>
      <w:r w:rsidRPr="00984F4A">
        <w:rPr>
          <w:rFonts w:ascii="Times New Roman" w:hAnsi="Times New Roman" w:cs="Times New Roman"/>
          <w:sz w:val="24"/>
          <w:szCs w:val="24"/>
        </w:rPr>
        <w:t xml:space="preserve"> ischemia or coronary artery vasospasm (Greenberg, 2006). The massive surge of </w:t>
      </w:r>
      <w:proofErr w:type="spellStart"/>
      <w:r w:rsidRPr="00984F4A">
        <w:rPr>
          <w:rFonts w:ascii="Times New Roman" w:hAnsi="Times New Roman" w:cs="Times New Roman"/>
          <w:sz w:val="24"/>
          <w:szCs w:val="24"/>
        </w:rPr>
        <w:t>catecholamines</w:t>
      </w:r>
      <w:proofErr w:type="spellEnd"/>
      <w:r w:rsidRPr="00984F4A">
        <w:rPr>
          <w:rFonts w:ascii="Times New Roman" w:hAnsi="Times New Roman" w:cs="Times New Roman"/>
          <w:sz w:val="24"/>
          <w:szCs w:val="24"/>
        </w:rPr>
        <w:t xml:space="preserve"> after SAH likely induces various degrees of cardiac injury, as evidenced by increased serum troponin levels, ECG changes and sometimes severe cardiac wal</w:t>
      </w:r>
      <w:r>
        <w:rPr>
          <w:rFonts w:ascii="Times New Roman" w:hAnsi="Times New Roman" w:cs="Times New Roman"/>
          <w:sz w:val="24"/>
          <w:szCs w:val="24"/>
        </w:rPr>
        <w:t>l motion abnormalities (</w:t>
      </w:r>
      <w:proofErr w:type="spellStart"/>
      <w:r>
        <w:rPr>
          <w:rFonts w:ascii="Times New Roman" w:hAnsi="Times New Roman" w:cs="Times New Roman"/>
          <w:sz w:val="24"/>
          <w:szCs w:val="24"/>
        </w:rPr>
        <w:t>Gupte</w:t>
      </w:r>
      <w:proofErr w:type="spellEnd"/>
      <w:r>
        <w:rPr>
          <w:rFonts w:ascii="Times New Roman" w:hAnsi="Times New Roman" w:cs="Times New Roman"/>
          <w:sz w:val="24"/>
          <w:szCs w:val="24"/>
        </w:rPr>
        <w:t xml:space="preserve"> M et al. 2014</w:t>
      </w:r>
      <w:r w:rsidRPr="00984F4A">
        <w:rPr>
          <w:rFonts w:ascii="Times New Roman" w:hAnsi="Times New Roman" w:cs="Times New Roman"/>
          <w:sz w:val="24"/>
          <w:szCs w:val="24"/>
        </w:rPr>
        <w:t>).</w:t>
      </w:r>
    </w:p>
    <w:p w14:paraId="16F1AE26" w14:textId="77777777" w:rsidR="005E59D6" w:rsidRDefault="005E59D6" w:rsidP="005E59D6">
      <w:pPr>
        <w:spacing w:line="360" w:lineRule="auto"/>
        <w:jc w:val="both"/>
        <w:rPr>
          <w:rFonts w:ascii="Times New Roman" w:hAnsi="Times New Roman" w:cs="Times New Roman"/>
          <w:sz w:val="24"/>
          <w:szCs w:val="24"/>
        </w:rPr>
      </w:pPr>
      <w:r w:rsidRPr="00CD3C62">
        <w:rPr>
          <w:rFonts w:ascii="Times New Roman" w:hAnsi="Times New Roman" w:cs="Times New Roman"/>
          <w:sz w:val="24"/>
          <w:szCs w:val="24"/>
        </w:rPr>
        <w:t>Cardiac Troponin I release occurs frequently after SAH and has been associated with a neurogenic form of myocardial injury (</w:t>
      </w:r>
      <w:proofErr w:type="spellStart"/>
      <w:r w:rsidRPr="00CD3C62">
        <w:rPr>
          <w:rFonts w:ascii="Times New Roman" w:hAnsi="Times New Roman" w:cs="Times New Roman"/>
          <w:sz w:val="24"/>
          <w:szCs w:val="24"/>
        </w:rPr>
        <w:t>Naidech</w:t>
      </w:r>
      <w:proofErr w:type="spellEnd"/>
      <w:r w:rsidRPr="00CD3C62">
        <w:rPr>
          <w:rFonts w:ascii="Times New Roman" w:hAnsi="Times New Roman" w:cs="Times New Roman"/>
          <w:sz w:val="24"/>
          <w:szCs w:val="24"/>
        </w:rPr>
        <w:t xml:space="preserve"> et al. 2005; Spears et al. 2011). Elevated Troponin I has been reported in up to 68% of SAH patients (Spears et al. 2011). Troponin elevation, is an early and specific marker for cardiac involvement after SAH and its levels peak about two days after SAH (</w:t>
      </w:r>
      <w:proofErr w:type="spellStart"/>
      <w:r w:rsidRPr="00CD3C62">
        <w:rPr>
          <w:rFonts w:ascii="Times New Roman" w:hAnsi="Times New Roman" w:cs="Times New Roman"/>
          <w:sz w:val="24"/>
          <w:szCs w:val="24"/>
        </w:rPr>
        <w:t>Ahmedian</w:t>
      </w:r>
      <w:proofErr w:type="spellEnd"/>
      <w:r w:rsidRPr="00CD3C62">
        <w:rPr>
          <w:rFonts w:ascii="Times New Roman" w:hAnsi="Times New Roman" w:cs="Times New Roman"/>
          <w:sz w:val="24"/>
          <w:szCs w:val="24"/>
        </w:rPr>
        <w:t xml:space="preserve"> et al. 2013; Kumar et al. 2011).  SAH is a relatively common neurological condition with high mortality and morbidity. About 10 to 15% patient had died before reaching to the hospital. Detection of elevated cardiac troponin I is appropriate to categorize the patients into high risk group. Multidisciplinary team management can reduce the mortality, morbidity and improved poor neurological outcome. Therefore, the aim of this study was to evaluate the association of serum cardiac Troponin I and short term outcome in patients with SAH in Dhaka </w:t>
      </w:r>
      <w:r>
        <w:rPr>
          <w:rFonts w:ascii="Times New Roman" w:hAnsi="Times New Roman" w:cs="Times New Roman"/>
          <w:sz w:val="24"/>
          <w:szCs w:val="24"/>
        </w:rPr>
        <w:t>Medical College Hospital, Dhaka, Bangladesh.</w:t>
      </w:r>
    </w:p>
    <w:p w14:paraId="50B29A15" w14:textId="77777777" w:rsidR="005E59D6" w:rsidRDefault="005E59D6" w:rsidP="005E59D6">
      <w:pPr>
        <w:spacing w:line="360" w:lineRule="auto"/>
        <w:jc w:val="both"/>
        <w:rPr>
          <w:rFonts w:ascii="Times New Roman" w:hAnsi="Times New Roman" w:cs="Times New Roman"/>
          <w:sz w:val="24"/>
          <w:szCs w:val="24"/>
        </w:rPr>
      </w:pPr>
    </w:p>
    <w:p w14:paraId="6ECDECE5" w14:textId="77777777" w:rsidR="005E59D6" w:rsidRDefault="005E59D6" w:rsidP="005E59D6">
      <w:pPr>
        <w:spacing w:line="360" w:lineRule="auto"/>
        <w:jc w:val="both"/>
        <w:rPr>
          <w:rFonts w:ascii="Times New Roman" w:hAnsi="Times New Roman" w:cs="Times New Roman"/>
          <w:sz w:val="24"/>
          <w:szCs w:val="24"/>
        </w:rPr>
      </w:pPr>
    </w:p>
    <w:p w14:paraId="6D060227" w14:textId="77777777" w:rsidR="005E59D6" w:rsidRDefault="005E59D6" w:rsidP="005E59D6">
      <w:pPr>
        <w:spacing w:line="360" w:lineRule="auto"/>
        <w:jc w:val="both"/>
        <w:rPr>
          <w:rFonts w:ascii="Times New Roman" w:hAnsi="Times New Roman" w:cs="Times New Roman"/>
          <w:sz w:val="24"/>
          <w:szCs w:val="24"/>
        </w:rPr>
      </w:pPr>
    </w:p>
    <w:p w14:paraId="1A8D80D7" w14:textId="77777777" w:rsidR="005E59D6" w:rsidRDefault="005E59D6" w:rsidP="005E59D6">
      <w:pPr>
        <w:spacing w:line="360" w:lineRule="auto"/>
        <w:jc w:val="both"/>
        <w:rPr>
          <w:rFonts w:ascii="Times New Roman" w:hAnsi="Times New Roman" w:cs="Times New Roman"/>
          <w:sz w:val="24"/>
          <w:szCs w:val="24"/>
        </w:rPr>
      </w:pPr>
    </w:p>
    <w:p w14:paraId="41947685" w14:textId="77777777" w:rsidR="005E59D6" w:rsidRDefault="005E59D6" w:rsidP="005E59D6">
      <w:pPr>
        <w:spacing w:line="360" w:lineRule="auto"/>
        <w:jc w:val="both"/>
        <w:rPr>
          <w:rFonts w:ascii="Times New Roman" w:hAnsi="Times New Roman" w:cs="Times New Roman"/>
          <w:sz w:val="24"/>
          <w:szCs w:val="24"/>
        </w:rPr>
      </w:pPr>
    </w:p>
    <w:p w14:paraId="7793B1EB" w14:textId="77777777" w:rsidR="005E59D6" w:rsidRDefault="005E59D6" w:rsidP="005E59D6">
      <w:pPr>
        <w:spacing w:line="360" w:lineRule="auto"/>
        <w:jc w:val="both"/>
        <w:rPr>
          <w:rFonts w:ascii="Times New Roman" w:hAnsi="Times New Roman" w:cs="Times New Roman"/>
          <w:sz w:val="24"/>
          <w:szCs w:val="24"/>
        </w:rPr>
      </w:pPr>
    </w:p>
    <w:p w14:paraId="6E0BCE15" w14:textId="77777777" w:rsidR="007035BA" w:rsidRDefault="007035BA" w:rsidP="005E59D6">
      <w:pPr>
        <w:spacing w:line="360" w:lineRule="auto"/>
        <w:jc w:val="both"/>
        <w:rPr>
          <w:rFonts w:ascii="Times New Roman" w:hAnsi="Times New Roman" w:cs="Times New Roman"/>
          <w:sz w:val="24"/>
          <w:szCs w:val="24"/>
        </w:rPr>
      </w:pPr>
    </w:p>
    <w:p w14:paraId="366430AB" w14:textId="77777777" w:rsidR="007035BA" w:rsidRDefault="007035BA" w:rsidP="005E59D6">
      <w:pPr>
        <w:spacing w:line="360" w:lineRule="auto"/>
        <w:jc w:val="both"/>
        <w:rPr>
          <w:rFonts w:ascii="Times New Roman" w:hAnsi="Times New Roman" w:cs="Times New Roman"/>
          <w:b/>
          <w:sz w:val="24"/>
          <w:szCs w:val="24"/>
        </w:rPr>
      </w:pPr>
    </w:p>
    <w:p w14:paraId="3CABE53D" w14:textId="77777777" w:rsidR="007035BA" w:rsidRDefault="007035BA" w:rsidP="005E59D6">
      <w:pPr>
        <w:spacing w:line="360" w:lineRule="auto"/>
        <w:jc w:val="both"/>
        <w:rPr>
          <w:rFonts w:ascii="Times New Roman" w:hAnsi="Times New Roman" w:cs="Times New Roman"/>
          <w:b/>
          <w:sz w:val="24"/>
          <w:szCs w:val="24"/>
        </w:rPr>
      </w:pPr>
    </w:p>
    <w:p w14:paraId="3FA66C0C" w14:textId="77777777" w:rsidR="005E59D6" w:rsidRDefault="005E59D6" w:rsidP="005E59D6">
      <w:pPr>
        <w:spacing w:line="360" w:lineRule="auto"/>
        <w:jc w:val="both"/>
        <w:rPr>
          <w:rFonts w:ascii="Times New Roman" w:hAnsi="Times New Roman" w:cs="Times New Roman"/>
          <w:b/>
          <w:sz w:val="24"/>
          <w:szCs w:val="24"/>
        </w:rPr>
      </w:pPr>
      <w:r w:rsidRPr="00CD3C62">
        <w:rPr>
          <w:rFonts w:ascii="Times New Roman" w:hAnsi="Times New Roman" w:cs="Times New Roman"/>
          <w:b/>
          <w:sz w:val="24"/>
          <w:szCs w:val="24"/>
        </w:rPr>
        <w:lastRenderedPageBreak/>
        <w:t>Materials and method:</w:t>
      </w:r>
    </w:p>
    <w:p w14:paraId="6E8BEA70" w14:textId="7A03E1F0" w:rsidR="005E59D6" w:rsidRDefault="005E59D6" w:rsidP="005E59D6">
      <w:pPr>
        <w:spacing w:line="360" w:lineRule="auto"/>
        <w:jc w:val="both"/>
        <w:rPr>
          <w:rFonts w:ascii="Times New Roman" w:hAnsi="Times New Roman" w:cs="Times New Roman"/>
          <w:sz w:val="24"/>
          <w:szCs w:val="24"/>
        </w:rPr>
      </w:pPr>
      <w:r w:rsidRPr="00CD3C62">
        <w:rPr>
          <w:rFonts w:ascii="Times New Roman" w:hAnsi="Times New Roman" w:cs="Times New Roman"/>
          <w:sz w:val="24"/>
          <w:szCs w:val="24"/>
        </w:rPr>
        <w:t xml:space="preserve">This </w:t>
      </w:r>
      <w:r>
        <w:rPr>
          <w:rFonts w:ascii="Times New Roman" w:hAnsi="Times New Roman" w:cs="Times New Roman"/>
          <w:sz w:val="24"/>
          <w:szCs w:val="24"/>
        </w:rPr>
        <w:t xml:space="preserve">prospective observational </w:t>
      </w:r>
      <w:r w:rsidRPr="00CD3C62">
        <w:rPr>
          <w:rFonts w:ascii="Times New Roman" w:hAnsi="Times New Roman" w:cs="Times New Roman"/>
          <w:sz w:val="24"/>
          <w:szCs w:val="24"/>
        </w:rPr>
        <w:t xml:space="preserve">study was carried out in the department of Neurology, Neurosurgery and Medicine in Dhaka Medical College &amp; </w:t>
      </w:r>
      <w:r w:rsidR="007035BA" w:rsidRPr="00CD3C62">
        <w:rPr>
          <w:rFonts w:ascii="Times New Roman" w:hAnsi="Times New Roman" w:cs="Times New Roman"/>
          <w:sz w:val="24"/>
          <w:szCs w:val="24"/>
        </w:rPr>
        <w:t>Hospital</w:t>
      </w:r>
      <w:r w:rsidR="007035BA">
        <w:rPr>
          <w:rFonts w:ascii="Times New Roman" w:hAnsi="Times New Roman" w:cs="Times New Roman"/>
          <w:sz w:val="24"/>
          <w:szCs w:val="24"/>
        </w:rPr>
        <w:t xml:space="preserve"> (</w:t>
      </w:r>
      <w:r>
        <w:rPr>
          <w:rFonts w:ascii="Times New Roman" w:hAnsi="Times New Roman" w:cs="Times New Roman"/>
          <w:sz w:val="24"/>
          <w:szCs w:val="24"/>
        </w:rPr>
        <w:t>DMCH)</w:t>
      </w:r>
      <w:r w:rsidRPr="00CD3C62">
        <w:rPr>
          <w:rFonts w:ascii="Times New Roman" w:hAnsi="Times New Roman" w:cs="Times New Roman"/>
          <w:sz w:val="24"/>
          <w:szCs w:val="24"/>
        </w:rPr>
        <w:t xml:space="preserve">, Dhaka, Bangladesh from July, 2022 to June, 2024. A total of 95 patients suffering from subarachnoid </w:t>
      </w:r>
      <w:proofErr w:type="spellStart"/>
      <w:r w:rsidRPr="00CD3C62">
        <w:rPr>
          <w:rFonts w:ascii="Times New Roman" w:hAnsi="Times New Roman" w:cs="Times New Roman"/>
          <w:sz w:val="24"/>
          <w:szCs w:val="24"/>
        </w:rPr>
        <w:t>haemorrhage</w:t>
      </w:r>
      <w:proofErr w:type="spellEnd"/>
      <w:r w:rsidRPr="00CD3C62">
        <w:rPr>
          <w:rFonts w:ascii="Times New Roman" w:hAnsi="Times New Roman" w:cs="Times New Roman"/>
          <w:sz w:val="24"/>
          <w:szCs w:val="24"/>
        </w:rPr>
        <w:t xml:space="preserve"> confirmed by CT scan of head were included in this study</w:t>
      </w:r>
      <w:r>
        <w:rPr>
          <w:rFonts w:ascii="Times New Roman" w:hAnsi="Times New Roman" w:cs="Times New Roman"/>
          <w:sz w:val="24"/>
          <w:szCs w:val="24"/>
        </w:rPr>
        <w:t xml:space="preserve"> after p</w:t>
      </w:r>
      <w:r w:rsidRPr="009319B1">
        <w:rPr>
          <w:rFonts w:ascii="Times New Roman" w:hAnsi="Times New Roman" w:cs="Times New Roman"/>
          <w:sz w:val="24"/>
          <w:szCs w:val="24"/>
        </w:rPr>
        <w:t>urposive sampling</w:t>
      </w:r>
      <w:r w:rsidRPr="00CD3C62">
        <w:rPr>
          <w:rFonts w:ascii="Times New Roman" w:hAnsi="Times New Roman" w:cs="Times New Roman"/>
          <w:sz w:val="24"/>
          <w:szCs w:val="24"/>
        </w:rPr>
        <w:t xml:space="preserve">. </w:t>
      </w:r>
    </w:p>
    <w:p w14:paraId="08ADC1FA" w14:textId="77777777" w:rsidR="005E59D6" w:rsidRDefault="005E59D6" w:rsidP="005E59D6">
      <w:pPr>
        <w:spacing w:line="360" w:lineRule="auto"/>
        <w:jc w:val="both"/>
        <w:rPr>
          <w:rFonts w:ascii="Times New Roman" w:hAnsi="Times New Roman" w:cs="Times New Roman"/>
          <w:sz w:val="24"/>
          <w:szCs w:val="24"/>
        </w:rPr>
      </w:pPr>
      <w:r w:rsidRPr="00D11AE4">
        <w:rPr>
          <w:rFonts w:ascii="Times New Roman" w:hAnsi="Times New Roman" w:cs="Times New Roman"/>
          <w:sz w:val="24"/>
          <w:szCs w:val="24"/>
        </w:rPr>
        <w:t xml:space="preserve">Cardiac troponin I is considered to be more sensitive and significantly more specific in diagnosis of the myocardial injury and infarction. Normal reference value </w:t>
      </w:r>
      <w:r>
        <w:rPr>
          <w:rFonts w:ascii="Times New Roman" w:hAnsi="Times New Roman" w:cs="Times New Roman"/>
          <w:sz w:val="24"/>
          <w:szCs w:val="24"/>
        </w:rPr>
        <w:t xml:space="preserve">of </w:t>
      </w:r>
      <w:proofErr w:type="spellStart"/>
      <w:r w:rsidRPr="006D6D05">
        <w:rPr>
          <w:rFonts w:ascii="Times New Roman" w:hAnsi="Times New Roman" w:cs="Times New Roman"/>
          <w:sz w:val="24"/>
          <w:szCs w:val="24"/>
        </w:rPr>
        <w:t>cTnI</w:t>
      </w:r>
      <w:proofErr w:type="spellEnd"/>
      <w:r w:rsidRPr="006D6D05">
        <w:rPr>
          <w:rFonts w:ascii="Times New Roman" w:hAnsi="Times New Roman" w:cs="Times New Roman"/>
          <w:sz w:val="24"/>
          <w:szCs w:val="24"/>
        </w:rPr>
        <w:t xml:space="preserve"> </w:t>
      </w:r>
      <w:r w:rsidRPr="00D11AE4">
        <w:rPr>
          <w:rFonts w:ascii="Times New Roman" w:hAnsi="Times New Roman" w:cs="Times New Roman"/>
          <w:sz w:val="24"/>
          <w:szCs w:val="24"/>
        </w:rPr>
        <w:t xml:space="preserve">is 0 - 0.1 ng/ml. Marker of myocardial injury considered when </w:t>
      </w:r>
      <w:proofErr w:type="spellStart"/>
      <w:r w:rsidRPr="00D11AE4">
        <w:rPr>
          <w:rFonts w:ascii="Times New Roman" w:hAnsi="Times New Roman" w:cs="Times New Roman"/>
          <w:sz w:val="24"/>
          <w:szCs w:val="24"/>
        </w:rPr>
        <w:t>cTnI</w:t>
      </w:r>
      <w:proofErr w:type="spellEnd"/>
      <w:r w:rsidRPr="00D11AE4">
        <w:rPr>
          <w:rFonts w:ascii="Times New Roman" w:hAnsi="Times New Roman" w:cs="Times New Roman"/>
          <w:sz w:val="24"/>
          <w:szCs w:val="24"/>
        </w:rPr>
        <w:t xml:space="preserve"> level </w:t>
      </w:r>
      <w:r>
        <w:rPr>
          <w:rFonts w:ascii="Times New Roman" w:hAnsi="Times New Roman" w:cs="Times New Roman"/>
          <w:sz w:val="24"/>
          <w:szCs w:val="24"/>
        </w:rPr>
        <w:t xml:space="preserve">rises </w:t>
      </w:r>
      <w:r w:rsidRPr="00D11AE4">
        <w:rPr>
          <w:rFonts w:ascii="Times New Roman" w:hAnsi="Times New Roman" w:cs="Times New Roman"/>
          <w:sz w:val="24"/>
          <w:szCs w:val="24"/>
        </w:rPr>
        <w:t>equal or more than t</w:t>
      </w:r>
      <w:r>
        <w:rPr>
          <w:rFonts w:ascii="Times New Roman" w:hAnsi="Times New Roman" w:cs="Times New Roman"/>
          <w:sz w:val="24"/>
          <w:szCs w:val="24"/>
        </w:rPr>
        <w:t>hreefold (</w:t>
      </w:r>
      <w:r>
        <w:rPr>
          <w:rFonts w:ascii="Times New Roman" w:hAnsi="Times New Roman"/>
          <w:sz w:val="24"/>
          <w:szCs w:val="24"/>
        </w:rPr>
        <w:sym w:font="Symbol" w:char="F0B3"/>
      </w:r>
      <w:r w:rsidRPr="00D11AE4">
        <w:rPr>
          <w:rFonts w:ascii="Times New Roman" w:hAnsi="Times New Roman" w:cs="Times New Roman"/>
          <w:sz w:val="24"/>
          <w:szCs w:val="24"/>
        </w:rPr>
        <w:t>0.30 ng/ml</w:t>
      </w:r>
      <w:r>
        <w:rPr>
          <w:rFonts w:ascii="Times New Roman" w:hAnsi="Times New Roman" w:cs="Times New Roman"/>
          <w:sz w:val="24"/>
          <w:szCs w:val="24"/>
        </w:rPr>
        <w:t>) of the normal value (Potter J et al 2022)</w:t>
      </w:r>
      <w:r w:rsidRPr="00D11AE4">
        <w:rPr>
          <w:rFonts w:ascii="Times New Roman" w:hAnsi="Times New Roman" w:cs="Times New Roman"/>
          <w:sz w:val="24"/>
          <w:szCs w:val="24"/>
        </w:rPr>
        <w:t>.</w:t>
      </w:r>
      <w:r>
        <w:rPr>
          <w:rFonts w:ascii="Times New Roman" w:hAnsi="Times New Roman" w:cs="Times New Roman"/>
          <w:sz w:val="24"/>
          <w:szCs w:val="24"/>
        </w:rPr>
        <w:t xml:space="preserve"> </w:t>
      </w:r>
      <w:r w:rsidRPr="00CD3C62">
        <w:rPr>
          <w:rFonts w:ascii="Times New Roman" w:hAnsi="Times New Roman" w:cs="Times New Roman"/>
          <w:sz w:val="24"/>
          <w:szCs w:val="24"/>
        </w:rPr>
        <w:t xml:space="preserve">The patients were divided in to the Group I= SAH with </w:t>
      </w:r>
      <w:proofErr w:type="spellStart"/>
      <w:r w:rsidRPr="00CD3C62">
        <w:rPr>
          <w:rFonts w:ascii="Times New Roman" w:hAnsi="Times New Roman" w:cs="Times New Roman"/>
          <w:sz w:val="24"/>
          <w:szCs w:val="24"/>
        </w:rPr>
        <w:t>cTnI</w:t>
      </w:r>
      <w:proofErr w:type="spellEnd"/>
      <w:r w:rsidRPr="00CD3C62">
        <w:rPr>
          <w:rFonts w:ascii="Times New Roman" w:hAnsi="Times New Roman" w:cs="Times New Roman"/>
          <w:sz w:val="24"/>
          <w:szCs w:val="24"/>
        </w:rPr>
        <w:t xml:space="preserve"> &lt;0.3 ng/ml; n=47 and Group II= SAH with </w:t>
      </w:r>
      <w:proofErr w:type="spellStart"/>
      <w:r w:rsidRPr="00CD3C62">
        <w:rPr>
          <w:rFonts w:ascii="Times New Roman" w:hAnsi="Times New Roman" w:cs="Times New Roman"/>
          <w:sz w:val="24"/>
          <w:szCs w:val="24"/>
        </w:rPr>
        <w:t>c</w:t>
      </w:r>
      <w:r>
        <w:rPr>
          <w:rFonts w:ascii="Times New Roman" w:hAnsi="Times New Roman" w:cs="Times New Roman"/>
          <w:sz w:val="24"/>
          <w:szCs w:val="24"/>
        </w:rPr>
        <w:t>TnI</w:t>
      </w:r>
      <w:proofErr w:type="spellEnd"/>
      <w:r>
        <w:rPr>
          <w:rFonts w:ascii="Times New Roman" w:hAnsi="Times New Roman" w:cs="Times New Roman"/>
          <w:sz w:val="24"/>
          <w:szCs w:val="24"/>
        </w:rPr>
        <w:t xml:space="preserve"> </w:t>
      </w:r>
      <w:r>
        <w:rPr>
          <w:rFonts w:ascii="Times New Roman" w:hAnsi="Times New Roman"/>
          <w:sz w:val="24"/>
          <w:szCs w:val="24"/>
        </w:rPr>
        <w:sym w:font="Symbol" w:char="F0B3"/>
      </w:r>
      <w:r w:rsidRPr="00984F4A">
        <w:rPr>
          <w:rFonts w:ascii="Times New Roman" w:hAnsi="Times New Roman" w:cs="Times New Roman"/>
          <w:sz w:val="24"/>
          <w:szCs w:val="24"/>
        </w:rPr>
        <w:t xml:space="preserve"> </w:t>
      </w:r>
      <w:r w:rsidRPr="00CD3C62">
        <w:rPr>
          <w:rFonts w:ascii="Times New Roman" w:hAnsi="Times New Roman" w:cs="Times New Roman"/>
          <w:sz w:val="24"/>
          <w:szCs w:val="24"/>
        </w:rPr>
        <w:t>0.3 ng/ml; n=48 groups, according to Troponin I level measured within 72 hours after the incident.</w:t>
      </w:r>
      <w:r w:rsidRPr="00D11AE4">
        <w:t xml:space="preserve"> </w:t>
      </w:r>
      <w:r w:rsidRPr="00D11AE4">
        <w:rPr>
          <w:rFonts w:ascii="Times New Roman" w:hAnsi="Times New Roman" w:cs="Times New Roman"/>
          <w:sz w:val="24"/>
          <w:szCs w:val="24"/>
        </w:rPr>
        <w:t>After centrifugation serum was taken in a small test tube and was put in auto analyzer (</w:t>
      </w:r>
      <w:proofErr w:type="spellStart"/>
      <w:r w:rsidRPr="00D11AE4">
        <w:rPr>
          <w:rFonts w:ascii="Times New Roman" w:hAnsi="Times New Roman" w:cs="Times New Roman"/>
          <w:sz w:val="24"/>
          <w:szCs w:val="24"/>
        </w:rPr>
        <w:t>Chemiluminescence</w:t>
      </w:r>
      <w:proofErr w:type="spellEnd"/>
      <w:r w:rsidRPr="00D11AE4">
        <w:rPr>
          <w:rFonts w:ascii="Times New Roman" w:hAnsi="Times New Roman" w:cs="Times New Roman"/>
          <w:sz w:val="24"/>
          <w:szCs w:val="24"/>
        </w:rPr>
        <w:t xml:space="preserve"> machine, dimension EXL/ MAGLUMI 2000 analyzer). Serum cardiac troponin I was measured by automatic immune assay system in department of laboratory medicine, Dhaka medical college, hospital, Dhaka. </w:t>
      </w:r>
      <w:r w:rsidRPr="00CD3C62">
        <w:rPr>
          <w:rFonts w:ascii="Times New Roman" w:hAnsi="Times New Roman" w:cs="Times New Roman"/>
          <w:sz w:val="24"/>
          <w:szCs w:val="24"/>
        </w:rPr>
        <w:t xml:space="preserve"> </w:t>
      </w:r>
      <w:r w:rsidRPr="009319B1">
        <w:rPr>
          <w:rFonts w:ascii="Times New Roman" w:hAnsi="Times New Roman" w:cs="Times New Roman"/>
          <w:sz w:val="24"/>
          <w:szCs w:val="24"/>
        </w:rPr>
        <w:t xml:space="preserve"> </w:t>
      </w:r>
    </w:p>
    <w:p w14:paraId="0CF74DE5" w14:textId="77777777" w:rsidR="005E59D6" w:rsidRPr="00CD3C62" w:rsidRDefault="005E59D6" w:rsidP="005E59D6">
      <w:pPr>
        <w:spacing w:line="360" w:lineRule="auto"/>
        <w:jc w:val="both"/>
        <w:rPr>
          <w:rFonts w:ascii="Times New Roman" w:hAnsi="Times New Roman" w:cs="Times New Roman"/>
          <w:b/>
          <w:sz w:val="24"/>
          <w:szCs w:val="24"/>
        </w:rPr>
      </w:pPr>
      <w:r w:rsidRPr="00CD3C62">
        <w:rPr>
          <w:rFonts w:ascii="Times New Roman" w:hAnsi="Times New Roman" w:cs="Times New Roman"/>
          <w:b/>
          <w:sz w:val="24"/>
          <w:szCs w:val="24"/>
        </w:rPr>
        <w:t>Inclusion criteria:</w:t>
      </w:r>
    </w:p>
    <w:p w14:paraId="0673F4E8" w14:textId="77777777" w:rsidR="005E59D6" w:rsidRPr="00CD3C62" w:rsidRDefault="005E59D6" w:rsidP="005E59D6">
      <w:pPr>
        <w:spacing w:line="360" w:lineRule="auto"/>
        <w:jc w:val="both"/>
        <w:rPr>
          <w:rFonts w:ascii="Times New Roman" w:hAnsi="Times New Roman" w:cs="Times New Roman"/>
          <w:sz w:val="24"/>
          <w:szCs w:val="24"/>
        </w:rPr>
      </w:pPr>
      <w:r w:rsidRPr="00CD3C62">
        <w:rPr>
          <w:rFonts w:ascii="Times New Roman" w:hAnsi="Times New Roman" w:cs="Times New Roman"/>
          <w:sz w:val="24"/>
          <w:szCs w:val="24"/>
        </w:rPr>
        <w:t>1) Age &gt; 18 year of both gender</w:t>
      </w:r>
    </w:p>
    <w:p w14:paraId="298709ED" w14:textId="77777777" w:rsidR="005E59D6" w:rsidRPr="00CD3C62" w:rsidRDefault="005E59D6" w:rsidP="005E59D6">
      <w:pPr>
        <w:spacing w:line="360" w:lineRule="auto"/>
        <w:jc w:val="both"/>
        <w:rPr>
          <w:rFonts w:ascii="Times New Roman" w:hAnsi="Times New Roman" w:cs="Times New Roman"/>
          <w:sz w:val="24"/>
          <w:szCs w:val="24"/>
        </w:rPr>
      </w:pPr>
      <w:r w:rsidRPr="00CD3C62">
        <w:rPr>
          <w:rFonts w:ascii="Times New Roman" w:hAnsi="Times New Roman" w:cs="Times New Roman"/>
          <w:sz w:val="24"/>
          <w:szCs w:val="24"/>
        </w:rPr>
        <w:t xml:space="preserve">2) Non traumatic </w:t>
      </w:r>
      <w:proofErr w:type="gramStart"/>
      <w:r w:rsidRPr="00CD3C62">
        <w:rPr>
          <w:rFonts w:ascii="Times New Roman" w:hAnsi="Times New Roman" w:cs="Times New Roman"/>
          <w:sz w:val="24"/>
          <w:szCs w:val="24"/>
        </w:rPr>
        <w:t>SAH</w:t>
      </w:r>
      <w:r>
        <w:rPr>
          <w:rFonts w:ascii="Times New Roman" w:hAnsi="Times New Roman" w:cs="Times New Roman"/>
          <w:sz w:val="24"/>
          <w:szCs w:val="24"/>
        </w:rPr>
        <w:t>(</w:t>
      </w:r>
      <w:proofErr w:type="gramEnd"/>
      <w:r>
        <w:rPr>
          <w:rFonts w:ascii="Times New Roman" w:hAnsi="Times New Roman" w:cs="Times New Roman"/>
          <w:sz w:val="24"/>
          <w:szCs w:val="24"/>
        </w:rPr>
        <w:t>both aneurysmal and non-aneurysmal SAH)</w:t>
      </w:r>
    </w:p>
    <w:p w14:paraId="3C9491EE" w14:textId="77777777" w:rsidR="005E59D6" w:rsidRPr="00CD3C62" w:rsidRDefault="005E59D6" w:rsidP="005E59D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3) Within 72 hours </w:t>
      </w:r>
      <w:r w:rsidRPr="00CD3C62">
        <w:rPr>
          <w:rFonts w:ascii="Times New Roman" w:hAnsi="Times New Roman" w:cs="Times New Roman"/>
          <w:sz w:val="24"/>
          <w:szCs w:val="24"/>
        </w:rPr>
        <w:t>after the onset of SAH</w:t>
      </w:r>
    </w:p>
    <w:p w14:paraId="2AAF2038" w14:textId="77777777" w:rsidR="005E59D6" w:rsidRPr="00CD3C62" w:rsidRDefault="005E59D6" w:rsidP="005E59D6">
      <w:pPr>
        <w:spacing w:line="360" w:lineRule="auto"/>
        <w:jc w:val="both"/>
        <w:rPr>
          <w:rFonts w:ascii="Times New Roman" w:hAnsi="Times New Roman" w:cs="Times New Roman"/>
          <w:sz w:val="24"/>
          <w:szCs w:val="24"/>
        </w:rPr>
      </w:pPr>
      <w:r w:rsidRPr="00CD3C62">
        <w:rPr>
          <w:rFonts w:ascii="Times New Roman" w:hAnsi="Times New Roman" w:cs="Times New Roman"/>
          <w:sz w:val="24"/>
          <w:szCs w:val="24"/>
        </w:rPr>
        <w:t>4) Patients willing to give informed written consent</w:t>
      </w:r>
    </w:p>
    <w:p w14:paraId="1B73C622" w14:textId="77777777" w:rsidR="005E59D6" w:rsidRPr="00CD3C62" w:rsidRDefault="005E59D6" w:rsidP="005E59D6">
      <w:pPr>
        <w:spacing w:line="360" w:lineRule="auto"/>
        <w:jc w:val="both"/>
        <w:rPr>
          <w:rFonts w:ascii="Times New Roman" w:hAnsi="Times New Roman" w:cs="Times New Roman"/>
          <w:b/>
          <w:sz w:val="24"/>
          <w:szCs w:val="24"/>
        </w:rPr>
      </w:pPr>
      <w:r w:rsidRPr="00CD3C62">
        <w:rPr>
          <w:rFonts w:ascii="Times New Roman" w:hAnsi="Times New Roman" w:cs="Times New Roman"/>
          <w:b/>
          <w:sz w:val="24"/>
          <w:szCs w:val="24"/>
        </w:rPr>
        <w:t>Exclusion criteria:</w:t>
      </w:r>
    </w:p>
    <w:p w14:paraId="4384CC43" w14:textId="77777777" w:rsidR="005E59D6" w:rsidRPr="00CD3C62" w:rsidRDefault="005E59D6" w:rsidP="005E59D6">
      <w:pPr>
        <w:spacing w:line="360" w:lineRule="auto"/>
        <w:jc w:val="both"/>
        <w:rPr>
          <w:rFonts w:ascii="Times New Roman" w:hAnsi="Times New Roman" w:cs="Times New Roman"/>
          <w:sz w:val="24"/>
          <w:szCs w:val="24"/>
        </w:rPr>
      </w:pPr>
      <w:r w:rsidRPr="00CD3C62">
        <w:rPr>
          <w:rFonts w:ascii="Times New Roman" w:hAnsi="Times New Roman" w:cs="Times New Roman"/>
          <w:sz w:val="24"/>
          <w:szCs w:val="24"/>
        </w:rPr>
        <w:t>1) Traumatic SAH.</w:t>
      </w:r>
    </w:p>
    <w:p w14:paraId="589CEBDF" w14:textId="77777777" w:rsidR="005E59D6" w:rsidRPr="00CD3C62" w:rsidRDefault="005E59D6" w:rsidP="005E59D6">
      <w:pPr>
        <w:spacing w:line="360" w:lineRule="auto"/>
        <w:jc w:val="both"/>
        <w:rPr>
          <w:rFonts w:ascii="Times New Roman" w:hAnsi="Times New Roman" w:cs="Times New Roman"/>
          <w:sz w:val="24"/>
          <w:szCs w:val="24"/>
        </w:rPr>
      </w:pPr>
      <w:r w:rsidRPr="00CD3C62">
        <w:rPr>
          <w:rFonts w:ascii="Times New Roman" w:hAnsi="Times New Roman" w:cs="Times New Roman"/>
          <w:sz w:val="24"/>
          <w:szCs w:val="24"/>
        </w:rPr>
        <w:t>2) Recurrent history of SAH.</w:t>
      </w:r>
    </w:p>
    <w:p w14:paraId="1711B96F" w14:textId="77777777" w:rsidR="005E59D6" w:rsidRPr="00CD3C62" w:rsidRDefault="005E59D6" w:rsidP="005E59D6">
      <w:pPr>
        <w:spacing w:line="360" w:lineRule="auto"/>
        <w:jc w:val="both"/>
        <w:rPr>
          <w:rFonts w:ascii="Times New Roman" w:hAnsi="Times New Roman" w:cs="Times New Roman"/>
          <w:sz w:val="24"/>
          <w:szCs w:val="24"/>
        </w:rPr>
      </w:pPr>
      <w:r w:rsidRPr="00CD3C62">
        <w:rPr>
          <w:rFonts w:ascii="Times New Roman" w:hAnsi="Times New Roman" w:cs="Times New Roman"/>
          <w:sz w:val="24"/>
          <w:szCs w:val="24"/>
        </w:rPr>
        <w:t>3) History of myocardial Infarction, cardiac surgery within 3 months.</w:t>
      </w:r>
    </w:p>
    <w:p w14:paraId="1E038EA0" w14:textId="77777777" w:rsidR="005E59D6" w:rsidRPr="00CD3C62" w:rsidRDefault="005E59D6" w:rsidP="005E59D6">
      <w:pPr>
        <w:spacing w:line="360" w:lineRule="auto"/>
        <w:jc w:val="both"/>
        <w:rPr>
          <w:rFonts w:ascii="Times New Roman" w:hAnsi="Times New Roman" w:cs="Times New Roman"/>
          <w:sz w:val="24"/>
          <w:szCs w:val="24"/>
        </w:rPr>
      </w:pPr>
      <w:r w:rsidRPr="00CD3C62">
        <w:rPr>
          <w:rFonts w:ascii="Times New Roman" w:hAnsi="Times New Roman" w:cs="Times New Roman"/>
          <w:sz w:val="24"/>
          <w:szCs w:val="24"/>
        </w:rPr>
        <w:t>4) Subd</w:t>
      </w:r>
      <w:r>
        <w:rPr>
          <w:rFonts w:ascii="Times New Roman" w:hAnsi="Times New Roman" w:cs="Times New Roman"/>
          <w:sz w:val="24"/>
          <w:szCs w:val="24"/>
        </w:rPr>
        <w:t xml:space="preserve">ural/ extradural   </w:t>
      </w:r>
      <w:proofErr w:type="spellStart"/>
      <w:r w:rsidRPr="00CD3C62">
        <w:rPr>
          <w:rFonts w:ascii="Times New Roman" w:hAnsi="Times New Roman" w:cs="Times New Roman"/>
          <w:sz w:val="24"/>
          <w:szCs w:val="24"/>
        </w:rPr>
        <w:t>haematoma</w:t>
      </w:r>
      <w:proofErr w:type="spellEnd"/>
      <w:r w:rsidRPr="00CD3C62">
        <w:rPr>
          <w:rFonts w:ascii="Times New Roman" w:hAnsi="Times New Roman" w:cs="Times New Roman"/>
          <w:sz w:val="24"/>
          <w:szCs w:val="24"/>
        </w:rPr>
        <w:t xml:space="preserve"> and </w:t>
      </w:r>
      <w:proofErr w:type="spellStart"/>
      <w:r w:rsidRPr="00CD3C62">
        <w:rPr>
          <w:rFonts w:ascii="Times New Roman" w:hAnsi="Times New Roman" w:cs="Times New Roman"/>
          <w:sz w:val="24"/>
          <w:szCs w:val="24"/>
        </w:rPr>
        <w:t>ischaemic</w:t>
      </w:r>
      <w:proofErr w:type="spellEnd"/>
      <w:r w:rsidRPr="00CD3C62">
        <w:rPr>
          <w:rFonts w:ascii="Times New Roman" w:hAnsi="Times New Roman" w:cs="Times New Roman"/>
          <w:sz w:val="24"/>
          <w:szCs w:val="24"/>
        </w:rPr>
        <w:t xml:space="preserve"> stroke.</w:t>
      </w:r>
    </w:p>
    <w:p w14:paraId="0983458D" w14:textId="77777777" w:rsidR="005E59D6" w:rsidRDefault="005E59D6" w:rsidP="005E59D6">
      <w:pPr>
        <w:spacing w:line="360" w:lineRule="auto"/>
        <w:jc w:val="both"/>
        <w:rPr>
          <w:rFonts w:ascii="Times New Roman" w:hAnsi="Times New Roman" w:cs="Times New Roman"/>
          <w:sz w:val="24"/>
          <w:szCs w:val="24"/>
        </w:rPr>
      </w:pPr>
      <w:r>
        <w:rPr>
          <w:rFonts w:ascii="Times New Roman" w:hAnsi="Times New Roman" w:cs="Times New Roman"/>
          <w:sz w:val="24"/>
          <w:szCs w:val="24"/>
        </w:rPr>
        <w:t>5</w:t>
      </w:r>
      <w:r w:rsidRPr="00CD3C62">
        <w:rPr>
          <w:rFonts w:ascii="Times New Roman" w:hAnsi="Times New Roman" w:cs="Times New Roman"/>
          <w:sz w:val="24"/>
          <w:szCs w:val="24"/>
        </w:rPr>
        <w:t>) Patients on anticoagulant medications.</w:t>
      </w:r>
    </w:p>
    <w:p w14:paraId="0C0FF942" w14:textId="77777777" w:rsidR="005E59D6" w:rsidRDefault="005E59D6" w:rsidP="005E59D6">
      <w:pPr>
        <w:spacing w:line="360" w:lineRule="auto"/>
        <w:jc w:val="both"/>
        <w:rPr>
          <w:rFonts w:ascii="Times New Roman" w:hAnsi="Times New Roman" w:cs="Times New Roman"/>
          <w:sz w:val="24"/>
          <w:szCs w:val="24"/>
        </w:rPr>
      </w:pPr>
      <w:r w:rsidRPr="00CD3C62">
        <w:rPr>
          <w:rFonts w:ascii="Times New Roman" w:hAnsi="Times New Roman" w:cs="Times New Roman"/>
          <w:sz w:val="24"/>
          <w:szCs w:val="24"/>
        </w:rPr>
        <w:lastRenderedPageBreak/>
        <w:t xml:space="preserve">All patients with confirmed Subarachnoid </w:t>
      </w:r>
      <w:proofErr w:type="spellStart"/>
      <w:r w:rsidRPr="00CD3C62">
        <w:rPr>
          <w:rFonts w:ascii="Times New Roman" w:hAnsi="Times New Roman" w:cs="Times New Roman"/>
          <w:sz w:val="24"/>
          <w:szCs w:val="24"/>
        </w:rPr>
        <w:t>haemorrhage</w:t>
      </w:r>
      <w:proofErr w:type="spellEnd"/>
      <w:r w:rsidRPr="00CD3C62">
        <w:rPr>
          <w:rFonts w:ascii="Times New Roman" w:hAnsi="Times New Roman" w:cs="Times New Roman"/>
          <w:sz w:val="24"/>
          <w:szCs w:val="24"/>
        </w:rPr>
        <w:t xml:space="preserve"> (SAH) diagnosed by CT scan of head, admitted in the neurology, neurosurgery</w:t>
      </w:r>
      <w:r>
        <w:rPr>
          <w:rFonts w:ascii="Times New Roman" w:hAnsi="Times New Roman" w:cs="Times New Roman"/>
          <w:sz w:val="24"/>
          <w:szCs w:val="24"/>
        </w:rPr>
        <w:t xml:space="preserve"> and medicine department of Dhaka Medical College and Hospital</w:t>
      </w:r>
      <w:r w:rsidRPr="00CD3C62">
        <w:rPr>
          <w:rFonts w:ascii="Times New Roman" w:hAnsi="Times New Roman" w:cs="Times New Roman"/>
          <w:sz w:val="24"/>
          <w:szCs w:val="24"/>
        </w:rPr>
        <w:t xml:space="preserve">, Dhaka, who fulfill the inclusion and exclusion criteria were considered primarily for the study. </w:t>
      </w:r>
      <w:r w:rsidRPr="00D978A6">
        <w:rPr>
          <w:rFonts w:ascii="Times New Roman" w:hAnsi="Times New Roman" w:cs="Times New Roman"/>
          <w:sz w:val="24"/>
          <w:szCs w:val="24"/>
        </w:rPr>
        <w:t xml:space="preserve">The study protocol was approved by the Ethical Review Committee of DMCH. </w:t>
      </w:r>
      <w:r w:rsidRPr="00CD3C62">
        <w:rPr>
          <w:rFonts w:ascii="Times New Roman" w:hAnsi="Times New Roman" w:cs="Times New Roman"/>
          <w:sz w:val="24"/>
          <w:szCs w:val="24"/>
        </w:rPr>
        <w:t>Informed written consent was taken from each patient or their legal guardian before enrollment. Meticulous history was taken and detailed clinical examination was performed and recorded in redesigned structured format. Demographic data such as age, gender were recorded. Risk factors profile including hypertension, smoking, DM and previous history of IHD were noted. Laboratory investigation was done. Estimation of serum cardiac troponin I was performed with taking 3 ml blood, collected from each patient within 72 hours after the incident.</w:t>
      </w:r>
    </w:p>
    <w:p w14:paraId="5BDA13F2" w14:textId="77777777" w:rsidR="005E59D6" w:rsidRDefault="005E59D6" w:rsidP="005E59D6">
      <w:pPr>
        <w:spacing w:line="360" w:lineRule="auto"/>
        <w:jc w:val="both"/>
      </w:pPr>
      <w:r w:rsidRPr="00CD3C62">
        <w:rPr>
          <w:rFonts w:ascii="Times New Roman" w:hAnsi="Times New Roman" w:cs="Times New Roman"/>
          <w:sz w:val="24"/>
          <w:szCs w:val="24"/>
        </w:rPr>
        <w:t>During hospitalization period every patients were treated by respective clinical experts of each department. During discharge, patients were examined and categorized as independent (0</w:t>
      </w:r>
      <w:proofErr w:type="gramStart"/>
      <w:r w:rsidRPr="00CD3C62">
        <w:rPr>
          <w:rFonts w:ascii="Times New Roman" w:hAnsi="Times New Roman" w:cs="Times New Roman"/>
          <w:sz w:val="24"/>
          <w:szCs w:val="24"/>
        </w:rPr>
        <w:t>,1,2,3</w:t>
      </w:r>
      <w:proofErr w:type="gramEnd"/>
      <w:r w:rsidRPr="00CD3C62">
        <w:rPr>
          <w:rFonts w:ascii="Times New Roman" w:hAnsi="Times New Roman" w:cs="Times New Roman"/>
          <w:sz w:val="24"/>
          <w:szCs w:val="24"/>
        </w:rPr>
        <w:t>), dependent (4,5) and death (6) by using Modified Rankin scale (MRS)</w:t>
      </w:r>
      <w:r>
        <w:rPr>
          <w:rFonts w:ascii="Times New Roman" w:hAnsi="Times New Roman" w:cs="Times New Roman"/>
          <w:sz w:val="24"/>
          <w:szCs w:val="24"/>
        </w:rPr>
        <w:t>.</w:t>
      </w:r>
      <w:r w:rsidRPr="00CD3C62">
        <w:t xml:space="preserve"> </w:t>
      </w:r>
    </w:p>
    <w:p w14:paraId="583C02E1" w14:textId="77777777" w:rsidR="005E59D6" w:rsidRPr="00CD3C62" w:rsidRDefault="005E59D6" w:rsidP="005E59D6">
      <w:pPr>
        <w:spacing w:line="360" w:lineRule="auto"/>
        <w:jc w:val="both"/>
        <w:rPr>
          <w:rFonts w:ascii="Times New Roman" w:hAnsi="Times New Roman" w:cs="Times New Roman"/>
          <w:sz w:val="24"/>
          <w:szCs w:val="24"/>
        </w:rPr>
      </w:pPr>
      <w:r w:rsidRPr="00CD3C62">
        <w:rPr>
          <w:rFonts w:ascii="Times New Roman" w:hAnsi="Times New Roman" w:cs="Times New Roman"/>
          <w:sz w:val="24"/>
          <w:szCs w:val="24"/>
        </w:rPr>
        <w:t xml:space="preserve">The Modified Rankin Scale (MRS) is the most widely used outcome measure in stroke clinical trials. </w:t>
      </w:r>
    </w:p>
    <w:tbl>
      <w:tblPr>
        <w:tblStyle w:val="TableGrid"/>
        <w:tblW w:w="0" w:type="auto"/>
        <w:tblLook w:val="04A0" w:firstRow="1" w:lastRow="0" w:firstColumn="1" w:lastColumn="0" w:noHBand="0" w:noVBand="1"/>
      </w:tblPr>
      <w:tblGrid>
        <w:gridCol w:w="805"/>
        <w:gridCol w:w="8545"/>
      </w:tblGrid>
      <w:tr w:rsidR="005E59D6" w14:paraId="17AF464E" w14:textId="77777777" w:rsidTr="002B7B95">
        <w:tc>
          <w:tcPr>
            <w:tcW w:w="805" w:type="dxa"/>
          </w:tcPr>
          <w:p w14:paraId="11475505" w14:textId="77777777" w:rsidR="005E59D6" w:rsidRDefault="005E59D6" w:rsidP="005E59D6">
            <w:pPr>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8545" w:type="dxa"/>
          </w:tcPr>
          <w:p w14:paraId="78956E24" w14:textId="77777777" w:rsidR="005E59D6" w:rsidRDefault="005E59D6" w:rsidP="005E59D6">
            <w:pPr>
              <w:spacing w:line="360" w:lineRule="auto"/>
              <w:jc w:val="both"/>
              <w:rPr>
                <w:rFonts w:ascii="Times New Roman" w:hAnsi="Times New Roman" w:cs="Times New Roman"/>
                <w:sz w:val="24"/>
                <w:szCs w:val="24"/>
              </w:rPr>
            </w:pPr>
            <w:r w:rsidRPr="00CD3C62">
              <w:rPr>
                <w:rFonts w:ascii="Times New Roman" w:hAnsi="Times New Roman" w:cs="Times New Roman"/>
                <w:sz w:val="24"/>
                <w:szCs w:val="24"/>
              </w:rPr>
              <w:t>No symptoms</w:t>
            </w:r>
          </w:p>
        </w:tc>
      </w:tr>
      <w:tr w:rsidR="005E59D6" w14:paraId="3B10F520" w14:textId="77777777" w:rsidTr="002B7B95">
        <w:tc>
          <w:tcPr>
            <w:tcW w:w="805" w:type="dxa"/>
          </w:tcPr>
          <w:p w14:paraId="3A28CF1D" w14:textId="77777777" w:rsidR="005E59D6" w:rsidRDefault="005E59D6" w:rsidP="005E59D6">
            <w:pPr>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8545" w:type="dxa"/>
          </w:tcPr>
          <w:p w14:paraId="4A9E6EE4" w14:textId="77777777" w:rsidR="005E59D6" w:rsidRDefault="005E59D6" w:rsidP="005E59D6">
            <w:pPr>
              <w:spacing w:line="360" w:lineRule="auto"/>
              <w:jc w:val="both"/>
              <w:rPr>
                <w:rFonts w:ascii="Times New Roman" w:hAnsi="Times New Roman" w:cs="Times New Roman"/>
                <w:sz w:val="24"/>
                <w:szCs w:val="24"/>
              </w:rPr>
            </w:pPr>
            <w:r w:rsidRPr="00CD3C62">
              <w:rPr>
                <w:rFonts w:ascii="Times New Roman" w:hAnsi="Times New Roman" w:cs="Times New Roman"/>
                <w:sz w:val="24"/>
                <w:szCs w:val="24"/>
              </w:rPr>
              <w:t>No significant disability, despite symptoms; able to perform all usual duties and activities</w:t>
            </w:r>
          </w:p>
        </w:tc>
      </w:tr>
      <w:tr w:rsidR="005E59D6" w14:paraId="6C3989EF" w14:textId="77777777" w:rsidTr="002B7B95">
        <w:tc>
          <w:tcPr>
            <w:tcW w:w="805" w:type="dxa"/>
          </w:tcPr>
          <w:p w14:paraId="14988D5E" w14:textId="77777777" w:rsidR="005E59D6" w:rsidRDefault="005E59D6" w:rsidP="005E59D6">
            <w:pPr>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8545" w:type="dxa"/>
          </w:tcPr>
          <w:p w14:paraId="3B74003A" w14:textId="77777777" w:rsidR="005E59D6" w:rsidRDefault="005E59D6" w:rsidP="005E59D6">
            <w:pPr>
              <w:spacing w:line="360" w:lineRule="auto"/>
              <w:jc w:val="both"/>
              <w:rPr>
                <w:rFonts w:ascii="Times New Roman" w:hAnsi="Times New Roman" w:cs="Times New Roman"/>
                <w:sz w:val="24"/>
                <w:szCs w:val="24"/>
              </w:rPr>
            </w:pPr>
            <w:r w:rsidRPr="00CD3C62">
              <w:rPr>
                <w:rFonts w:ascii="Times New Roman" w:hAnsi="Times New Roman" w:cs="Times New Roman"/>
                <w:sz w:val="24"/>
                <w:szCs w:val="24"/>
              </w:rPr>
              <w:t>Slight disability; unable to perform all previous activities but able to look after own affairs without assistance</w:t>
            </w:r>
          </w:p>
        </w:tc>
      </w:tr>
      <w:tr w:rsidR="005E59D6" w14:paraId="2700C776" w14:textId="77777777" w:rsidTr="002B7B95">
        <w:tc>
          <w:tcPr>
            <w:tcW w:w="805" w:type="dxa"/>
          </w:tcPr>
          <w:p w14:paraId="766D7FFF" w14:textId="77777777" w:rsidR="005E59D6" w:rsidRDefault="005E59D6" w:rsidP="005E59D6">
            <w:pPr>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8545" w:type="dxa"/>
          </w:tcPr>
          <w:p w14:paraId="61D4424F" w14:textId="77777777" w:rsidR="005E59D6" w:rsidRDefault="005E59D6" w:rsidP="005E59D6">
            <w:pPr>
              <w:spacing w:line="360" w:lineRule="auto"/>
              <w:jc w:val="both"/>
              <w:rPr>
                <w:rFonts w:ascii="Times New Roman" w:hAnsi="Times New Roman" w:cs="Times New Roman"/>
                <w:sz w:val="24"/>
                <w:szCs w:val="24"/>
              </w:rPr>
            </w:pPr>
            <w:r w:rsidRPr="00CD3C62">
              <w:rPr>
                <w:rFonts w:ascii="Times New Roman" w:hAnsi="Times New Roman" w:cs="Times New Roman"/>
                <w:sz w:val="24"/>
                <w:szCs w:val="24"/>
              </w:rPr>
              <w:t>Moderate disability; requires some help, but able to walk without assistance</w:t>
            </w:r>
          </w:p>
        </w:tc>
      </w:tr>
      <w:tr w:rsidR="005E59D6" w14:paraId="1F3B4E91" w14:textId="77777777" w:rsidTr="002B7B95">
        <w:tc>
          <w:tcPr>
            <w:tcW w:w="805" w:type="dxa"/>
          </w:tcPr>
          <w:p w14:paraId="63F0CFE2" w14:textId="77777777" w:rsidR="005E59D6" w:rsidRDefault="005E59D6" w:rsidP="005E59D6">
            <w:pPr>
              <w:spacing w:line="36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8545" w:type="dxa"/>
          </w:tcPr>
          <w:p w14:paraId="2863FF06" w14:textId="77777777" w:rsidR="005E59D6" w:rsidRDefault="005E59D6" w:rsidP="005E59D6">
            <w:pPr>
              <w:spacing w:line="360" w:lineRule="auto"/>
              <w:jc w:val="both"/>
              <w:rPr>
                <w:rFonts w:ascii="Times New Roman" w:hAnsi="Times New Roman" w:cs="Times New Roman"/>
                <w:sz w:val="24"/>
                <w:szCs w:val="24"/>
              </w:rPr>
            </w:pPr>
            <w:r w:rsidRPr="00CD3C62">
              <w:rPr>
                <w:rFonts w:ascii="Times New Roman" w:hAnsi="Times New Roman" w:cs="Times New Roman"/>
                <w:sz w:val="24"/>
                <w:szCs w:val="24"/>
              </w:rPr>
              <w:t>Moderately severe disability; unable to walk without assistance and unable to attend to own bodily needs without assistance</w:t>
            </w:r>
          </w:p>
        </w:tc>
      </w:tr>
      <w:tr w:rsidR="005E59D6" w14:paraId="2C6F8B58" w14:textId="77777777" w:rsidTr="002B7B95">
        <w:tc>
          <w:tcPr>
            <w:tcW w:w="805" w:type="dxa"/>
          </w:tcPr>
          <w:p w14:paraId="4141CBCB" w14:textId="77777777" w:rsidR="005E59D6" w:rsidRDefault="005E59D6" w:rsidP="005E59D6">
            <w:pPr>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8545" w:type="dxa"/>
          </w:tcPr>
          <w:p w14:paraId="143410A7" w14:textId="77777777" w:rsidR="005E59D6" w:rsidRDefault="005E59D6" w:rsidP="005E59D6">
            <w:pPr>
              <w:spacing w:line="360" w:lineRule="auto"/>
              <w:jc w:val="both"/>
              <w:rPr>
                <w:rFonts w:ascii="Times New Roman" w:hAnsi="Times New Roman" w:cs="Times New Roman"/>
                <w:sz w:val="24"/>
                <w:szCs w:val="24"/>
              </w:rPr>
            </w:pPr>
            <w:r w:rsidRPr="00CD3C62">
              <w:rPr>
                <w:rFonts w:ascii="Times New Roman" w:hAnsi="Times New Roman" w:cs="Times New Roman"/>
                <w:sz w:val="24"/>
                <w:szCs w:val="24"/>
              </w:rPr>
              <w:t>Severe disability; bedridden, incontinent, and requires constant nursing care and attention</w:t>
            </w:r>
          </w:p>
        </w:tc>
      </w:tr>
      <w:tr w:rsidR="005E59D6" w14:paraId="258BD992" w14:textId="77777777" w:rsidTr="002B7B95">
        <w:tc>
          <w:tcPr>
            <w:tcW w:w="805" w:type="dxa"/>
          </w:tcPr>
          <w:p w14:paraId="4E417D0B" w14:textId="77777777" w:rsidR="005E59D6" w:rsidRDefault="005E59D6" w:rsidP="005E59D6">
            <w:pPr>
              <w:spacing w:line="36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8545" w:type="dxa"/>
          </w:tcPr>
          <w:p w14:paraId="4166F32D" w14:textId="77777777" w:rsidR="005E59D6" w:rsidRDefault="005E59D6" w:rsidP="005E59D6">
            <w:pPr>
              <w:spacing w:line="360" w:lineRule="auto"/>
              <w:jc w:val="both"/>
              <w:rPr>
                <w:rFonts w:ascii="Times New Roman" w:hAnsi="Times New Roman" w:cs="Times New Roman"/>
                <w:sz w:val="24"/>
                <w:szCs w:val="24"/>
              </w:rPr>
            </w:pPr>
            <w:r w:rsidRPr="00CD3C62">
              <w:rPr>
                <w:rFonts w:ascii="Times New Roman" w:hAnsi="Times New Roman" w:cs="Times New Roman"/>
                <w:sz w:val="24"/>
                <w:szCs w:val="24"/>
              </w:rPr>
              <w:t>Death</w:t>
            </w:r>
          </w:p>
        </w:tc>
      </w:tr>
    </w:tbl>
    <w:p w14:paraId="01266FD0" w14:textId="77777777" w:rsidR="005E59D6" w:rsidRPr="0058399A" w:rsidRDefault="005E59D6" w:rsidP="005E59D6">
      <w:pPr>
        <w:spacing w:line="360" w:lineRule="auto"/>
        <w:jc w:val="center"/>
        <w:rPr>
          <w:rFonts w:ascii="Times New Roman" w:hAnsi="Times New Roman" w:cs="Times New Roman"/>
          <w:b/>
          <w:sz w:val="24"/>
          <w:szCs w:val="24"/>
        </w:rPr>
      </w:pPr>
      <w:r w:rsidRPr="0058399A">
        <w:rPr>
          <w:rFonts w:ascii="Times New Roman" w:hAnsi="Times New Roman" w:cs="Times New Roman"/>
          <w:b/>
          <w:sz w:val="24"/>
          <w:szCs w:val="24"/>
        </w:rPr>
        <w:t>Table-1:</w:t>
      </w:r>
      <w:r>
        <w:rPr>
          <w:rFonts w:ascii="Times New Roman" w:hAnsi="Times New Roman" w:cs="Times New Roman"/>
          <w:b/>
          <w:sz w:val="24"/>
          <w:szCs w:val="24"/>
        </w:rPr>
        <w:t xml:space="preserve"> </w:t>
      </w:r>
      <w:r w:rsidRPr="0058399A">
        <w:rPr>
          <w:rFonts w:ascii="Times New Roman" w:hAnsi="Times New Roman" w:cs="Times New Roman"/>
          <w:b/>
          <w:sz w:val="24"/>
          <w:szCs w:val="24"/>
        </w:rPr>
        <w:t>The Modified Rankin Scale (MRS)</w:t>
      </w:r>
    </w:p>
    <w:p w14:paraId="01FFB179" w14:textId="77777777" w:rsidR="007035BA" w:rsidRDefault="007035BA" w:rsidP="005E59D6">
      <w:pPr>
        <w:spacing w:line="360" w:lineRule="auto"/>
        <w:jc w:val="both"/>
        <w:rPr>
          <w:rFonts w:ascii="Times New Roman" w:hAnsi="Times New Roman" w:cs="Times New Roman"/>
          <w:sz w:val="24"/>
          <w:szCs w:val="24"/>
        </w:rPr>
      </w:pPr>
    </w:p>
    <w:p w14:paraId="4948170B" w14:textId="77777777" w:rsidR="007035BA" w:rsidRDefault="007035BA" w:rsidP="005E59D6">
      <w:pPr>
        <w:spacing w:line="360" w:lineRule="auto"/>
        <w:jc w:val="both"/>
        <w:rPr>
          <w:rFonts w:ascii="Times New Roman" w:hAnsi="Times New Roman" w:cs="Times New Roman"/>
          <w:sz w:val="24"/>
          <w:szCs w:val="24"/>
        </w:rPr>
      </w:pPr>
    </w:p>
    <w:p w14:paraId="3A9C33C3" w14:textId="77777777" w:rsidR="005E59D6" w:rsidRDefault="005E59D6" w:rsidP="005E59D6">
      <w:pPr>
        <w:spacing w:line="360" w:lineRule="auto"/>
        <w:jc w:val="both"/>
        <w:rPr>
          <w:rFonts w:ascii="Times New Roman" w:hAnsi="Times New Roman" w:cs="Times New Roman"/>
          <w:sz w:val="24"/>
          <w:szCs w:val="24"/>
        </w:rPr>
      </w:pPr>
      <w:r w:rsidRPr="00CD3C62">
        <w:rPr>
          <w:rFonts w:ascii="Times New Roman" w:hAnsi="Times New Roman" w:cs="Times New Roman"/>
          <w:sz w:val="24"/>
          <w:szCs w:val="24"/>
        </w:rPr>
        <w:lastRenderedPageBreak/>
        <w:t xml:space="preserve">This Modified Rankin scale (MRS) was categorized as two groups. </w:t>
      </w:r>
    </w:p>
    <w:p w14:paraId="157A9856" w14:textId="77777777" w:rsidR="005E59D6" w:rsidRDefault="005E59D6" w:rsidP="005E59D6">
      <w:pPr>
        <w:spacing w:line="360" w:lineRule="auto"/>
        <w:jc w:val="both"/>
        <w:rPr>
          <w:rFonts w:ascii="Times New Roman" w:hAnsi="Times New Roman" w:cs="Times New Roman"/>
          <w:sz w:val="24"/>
          <w:szCs w:val="24"/>
        </w:rPr>
      </w:pPr>
      <w:r w:rsidRPr="00CD3C62">
        <w:rPr>
          <w:rFonts w:ascii="Times New Roman" w:hAnsi="Times New Roman" w:cs="Times New Roman"/>
          <w:sz w:val="24"/>
          <w:szCs w:val="24"/>
        </w:rPr>
        <w:t>A)</w:t>
      </w:r>
      <w:r>
        <w:rPr>
          <w:rFonts w:ascii="Times New Roman" w:hAnsi="Times New Roman" w:cs="Times New Roman"/>
          <w:sz w:val="24"/>
          <w:szCs w:val="24"/>
        </w:rPr>
        <w:t xml:space="preserve"> </w:t>
      </w:r>
      <w:r w:rsidRPr="00CD3C62">
        <w:rPr>
          <w:rFonts w:ascii="Times New Roman" w:hAnsi="Times New Roman" w:cs="Times New Roman"/>
          <w:sz w:val="24"/>
          <w:szCs w:val="24"/>
        </w:rPr>
        <w:t xml:space="preserve">Those with good outcome (independent) MRS 0 to 3. </w:t>
      </w:r>
    </w:p>
    <w:p w14:paraId="1B32C7AD" w14:textId="77777777" w:rsidR="005E59D6" w:rsidRDefault="005E59D6" w:rsidP="005E59D6">
      <w:pPr>
        <w:spacing w:line="360" w:lineRule="auto"/>
        <w:jc w:val="both"/>
        <w:rPr>
          <w:rFonts w:ascii="Times New Roman" w:hAnsi="Times New Roman" w:cs="Times New Roman"/>
          <w:sz w:val="24"/>
          <w:szCs w:val="24"/>
        </w:rPr>
      </w:pPr>
      <w:r w:rsidRPr="00CD3C62">
        <w:rPr>
          <w:rFonts w:ascii="Times New Roman" w:hAnsi="Times New Roman" w:cs="Times New Roman"/>
          <w:sz w:val="24"/>
          <w:szCs w:val="24"/>
        </w:rPr>
        <w:t>B) Those with poor outcome (dependent, MRS 4</w:t>
      </w:r>
      <w:proofErr w:type="gramStart"/>
      <w:r w:rsidRPr="00CD3C62">
        <w:rPr>
          <w:rFonts w:ascii="Times New Roman" w:hAnsi="Times New Roman" w:cs="Times New Roman"/>
          <w:sz w:val="24"/>
          <w:szCs w:val="24"/>
        </w:rPr>
        <w:t>,5</w:t>
      </w:r>
      <w:proofErr w:type="gramEnd"/>
      <w:r w:rsidRPr="00CD3C62">
        <w:rPr>
          <w:rFonts w:ascii="Times New Roman" w:hAnsi="Times New Roman" w:cs="Times New Roman"/>
          <w:sz w:val="24"/>
          <w:szCs w:val="24"/>
        </w:rPr>
        <w:t xml:space="preserve"> and death, MRS 6).</w:t>
      </w:r>
    </w:p>
    <w:p w14:paraId="062306AD" w14:textId="77777777" w:rsidR="005E59D6" w:rsidRDefault="005E59D6" w:rsidP="005E59D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Follow </w:t>
      </w:r>
      <w:r w:rsidRPr="00CD3C62">
        <w:rPr>
          <w:rFonts w:ascii="Times New Roman" w:hAnsi="Times New Roman" w:cs="Times New Roman"/>
          <w:sz w:val="24"/>
          <w:szCs w:val="24"/>
        </w:rPr>
        <w:t xml:space="preserve">up </w:t>
      </w:r>
      <w:r>
        <w:rPr>
          <w:rFonts w:ascii="Times New Roman" w:hAnsi="Times New Roman" w:cs="Times New Roman"/>
          <w:sz w:val="24"/>
          <w:szCs w:val="24"/>
        </w:rPr>
        <w:t xml:space="preserve">was </w:t>
      </w:r>
      <w:r w:rsidRPr="00CD3C62">
        <w:rPr>
          <w:rFonts w:ascii="Times New Roman" w:hAnsi="Times New Roman" w:cs="Times New Roman"/>
          <w:sz w:val="24"/>
          <w:szCs w:val="24"/>
        </w:rPr>
        <w:t xml:space="preserve">given at the end of 3 months either by direct examination or over telephone by using Modified Rankin scale (MRS) and categorized as good (independent-0,1,2,3) versus poor outcome (dependent-4,5 and death-6). At the end of 3 months during followed up, three patients from group I and two patients from group II had lost to follow up. So total study subjects were 95, in Group I =47 and Group II= 48.  </w:t>
      </w:r>
    </w:p>
    <w:p w14:paraId="08C3D1A0" w14:textId="77777777" w:rsidR="005E59D6" w:rsidRDefault="005E59D6" w:rsidP="005E59D6">
      <w:pPr>
        <w:spacing w:line="360" w:lineRule="auto"/>
        <w:jc w:val="both"/>
        <w:rPr>
          <w:rFonts w:ascii="Times New Roman" w:hAnsi="Times New Roman" w:cs="Times New Roman"/>
          <w:sz w:val="24"/>
          <w:szCs w:val="24"/>
        </w:rPr>
      </w:pPr>
      <w:r w:rsidRPr="00CD3C62">
        <w:rPr>
          <w:rFonts w:ascii="Times New Roman" w:hAnsi="Times New Roman" w:cs="Times New Roman"/>
          <w:sz w:val="24"/>
          <w:szCs w:val="24"/>
        </w:rPr>
        <w:t xml:space="preserve">The data obtained from the study was analyzed and significance of differences were estimated by using statistical methods. Quantitative variables were presented as </w:t>
      </w:r>
      <w:proofErr w:type="spellStart"/>
      <w:r w:rsidRPr="00CD3C62">
        <w:rPr>
          <w:rFonts w:ascii="Times New Roman" w:hAnsi="Times New Roman" w:cs="Times New Roman"/>
          <w:sz w:val="24"/>
          <w:szCs w:val="24"/>
        </w:rPr>
        <w:t>mean±SD</w:t>
      </w:r>
      <w:proofErr w:type="spellEnd"/>
      <w:r w:rsidRPr="00CD3C62">
        <w:rPr>
          <w:rFonts w:ascii="Times New Roman" w:hAnsi="Times New Roman" w:cs="Times New Roman"/>
          <w:sz w:val="24"/>
          <w:szCs w:val="24"/>
        </w:rPr>
        <w:t xml:space="preserve"> and analyzed using student t-test or ANOVA test. Categorical variables were presented as frequency and percentages and analyzed using Chi-square test or Fisher exact test. Multivariate logistic regression analysis was performed to determine the independent predictors of poor outcome group. All statistical studies were carried out using the Statistical Package for Social Sciences (SPSS -22) software. Two tailed p values &lt;0.05 were considered statistically significant. </w:t>
      </w:r>
    </w:p>
    <w:p w14:paraId="5B4D9222" w14:textId="77777777" w:rsidR="005E59D6" w:rsidRDefault="005E59D6" w:rsidP="005E59D6">
      <w:pPr>
        <w:spacing w:line="360" w:lineRule="auto"/>
        <w:jc w:val="both"/>
        <w:rPr>
          <w:rFonts w:ascii="Times New Roman" w:hAnsi="Times New Roman" w:cs="Times New Roman"/>
          <w:b/>
          <w:sz w:val="24"/>
          <w:szCs w:val="24"/>
        </w:rPr>
      </w:pPr>
    </w:p>
    <w:p w14:paraId="49EC063B" w14:textId="77777777" w:rsidR="005E59D6" w:rsidRDefault="005E59D6" w:rsidP="005E59D6">
      <w:pPr>
        <w:spacing w:line="360" w:lineRule="auto"/>
        <w:jc w:val="both"/>
        <w:rPr>
          <w:rFonts w:ascii="Times New Roman" w:hAnsi="Times New Roman" w:cs="Times New Roman"/>
          <w:b/>
          <w:sz w:val="24"/>
          <w:szCs w:val="24"/>
        </w:rPr>
      </w:pPr>
    </w:p>
    <w:p w14:paraId="7EB7E424" w14:textId="77777777" w:rsidR="005E59D6" w:rsidRDefault="005E59D6" w:rsidP="005E59D6">
      <w:pPr>
        <w:spacing w:line="360" w:lineRule="auto"/>
        <w:jc w:val="both"/>
        <w:rPr>
          <w:rFonts w:ascii="Times New Roman" w:hAnsi="Times New Roman" w:cs="Times New Roman"/>
          <w:b/>
          <w:sz w:val="24"/>
          <w:szCs w:val="24"/>
        </w:rPr>
      </w:pPr>
    </w:p>
    <w:p w14:paraId="29863C30" w14:textId="77777777" w:rsidR="007035BA" w:rsidRDefault="007035BA" w:rsidP="005E59D6">
      <w:pPr>
        <w:spacing w:line="360" w:lineRule="auto"/>
        <w:jc w:val="both"/>
        <w:rPr>
          <w:rFonts w:ascii="Times New Roman" w:hAnsi="Times New Roman" w:cs="Times New Roman"/>
          <w:b/>
          <w:sz w:val="24"/>
          <w:szCs w:val="24"/>
        </w:rPr>
      </w:pPr>
    </w:p>
    <w:p w14:paraId="1DBFCDEA" w14:textId="77777777" w:rsidR="007035BA" w:rsidRDefault="007035BA" w:rsidP="005E59D6">
      <w:pPr>
        <w:spacing w:line="360" w:lineRule="auto"/>
        <w:jc w:val="both"/>
        <w:rPr>
          <w:rFonts w:ascii="Times New Roman" w:hAnsi="Times New Roman" w:cs="Times New Roman"/>
          <w:b/>
          <w:sz w:val="24"/>
          <w:szCs w:val="24"/>
        </w:rPr>
      </w:pPr>
    </w:p>
    <w:p w14:paraId="624B40A1" w14:textId="77777777" w:rsidR="007035BA" w:rsidRDefault="007035BA" w:rsidP="005E59D6">
      <w:pPr>
        <w:spacing w:line="360" w:lineRule="auto"/>
        <w:jc w:val="both"/>
        <w:rPr>
          <w:rFonts w:ascii="Times New Roman" w:hAnsi="Times New Roman" w:cs="Times New Roman"/>
          <w:b/>
          <w:sz w:val="24"/>
          <w:szCs w:val="24"/>
        </w:rPr>
      </w:pPr>
    </w:p>
    <w:p w14:paraId="7BFB4A49" w14:textId="77777777" w:rsidR="007035BA" w:rsidRDefault="007035BA" w:rsidP="005E59D6">
      <w:pPr>
        <w:spacing w:line="360" w:lineRule="auto"/>
        <w:jc w:val="both"/>
        <w:rPr>
          <w:rFonts w:ascii="Times New Roman" w:hAnsi="Times New Roman" w:cs="Times New Roman"/>
          <w:b/>
          <w:sz w:val="24"/>
          <w:szCs w:val="24"/>
        </w:rPr>
      </w:pPr>
    </w:p>
    <w:p w14:paraId="725DBEA3" w14:textId="77777777" w:rsidR="007035BA" w:rsidRDefault="007035BA" w:rsidP="005E59D6">
      <w:pPr>
        <w:spacing w:line="360" w:lineRule="auto"/>
        <w:jc w:val="both"/>
        <w:rPr>
          <w:rFonts w:ascii="Times New Roman" w:hAnsi="Times New Roman" w:cs="Times New Roman"/>
          <w:b/>
          <w:sz w:val="24"/>
          <w:szCs w:val="24"/>
        </w:rPr>
      </w:pPr>
    </w:p>
    <w:p w14:paraId="1167779E" w14:textId="77777777" w:rsidR="007035BA" w:rsidRDefault="007035BA" w:rsidP="005E59D6">
      <w:pPr>
        <w:spacing w:line="360" w:lineRule="auto"/>
        <w:jc w:val="both"/>
        <w:rPr>
          <w:rFonts w:ascii="Times New Roman" w:hAnsi="Times New Roman" w:cs="Times New Roman"/>
          <w:b/>
          <w:sz w:val="24"/>
          <w:szCs w:val="24"/>
        </w:rPr>
      </w:pPr>
    </w:p>
    <w:p w14:paraId="49649A60" w14:textId="77777777" w:rsidR="007035BA" w:rsidRDefault="007035BA" w:rsidP="005E59D6">
      <w:pPr>
        <w:spacing w:line="360" w:lineRule="auto"/>
        <w:jc w:val="both"/>
        <w:rPr>
          <w:rFonts w:ascii="Times New Roman" w:hAnsi="Times New Roman" w:cs="Times New Roman"/>
          <w:b/>
          <w:sz w:val="24"/>
          <w:szCs w:val="24"/>
        </w:rPr>
      </w:pPr>
    </w:p>
    <w:p w14:paraId="6FB829B1" w14:textId="77777777" w:rsidR="005E59D6" w:rsidRDefault="005E59D6" w:rsidP="005E59D6">
      <w:pPr>
        <w:spacing w:line="360" w:lineRule="auto"/>
        <w:jc w:val="both"/>
        <w:rPr>
          <w:rFonts w:ascii="Times New Roman" w:hAnsi="Times New Roman" w:cs="Times New Roman"/>
          <w:b/>
          <w:sz w:val="24"/>
          <w:szCs w:val="24"/>
        </w:rPr>
      </w:pPr>
      <w:r w:rsidRPr="00CD3C62">
        <w:rPr>
          <w:rFonts w:ascii="Times New Roman" w:hAnsi="Times New Roman" w:cs="Times New Roman"/>
          <w:b/>
          <w:sz w:val="24"/>
          <w:szCs w:val="24"/>
        </w:rPr>
        <w:lastRenderedPageBreak/>
        <w:t>Results:</w:t>
      </w:r>
    </w:p>
    <w:p w14:paraId="07246BCE" w14:textId="77777777" w:rsidR="005E59D6" w:rsidRDefault="005E59D6" w:rsidP="005E59D6">
      <w:pPr>
        <w:spacing w:line="360" w:lineRule="auto"/>
        <w:jc w:val="both"/>
        <w:rPr>
          <w:rFonts w:ascii="Times New Roman" w:hAnsi="Times New Roman" w:cs="Times New Roman"/>
          <w:sz w:val="24"/>
          <w:szCs w:val="24"/>
        </w:rPr>
      </w:pPr>
      <w:r w:rsidRPr="00FE2DA7">
        <w:rPr>
          <w:rFonts w:ascii="Times New Roman" w:hAnsi="Times New Roman" w:cs="Times New Roman"/>
          <w:sz w:val="24"/>
          <w:szCs w:val="24"/>
        </w:rPr>
        <w:t xml:space="preserve">A total of 95 patients suffering from subarachnoid </w:t>
      </w:r>
      <w:proofErr w:type="spellStart"/>
      <w:r w:rsidRPr="00FE2DA7">
        <w:rPr>
          <w:rFonts w:ascii="Times New Roman" w:hAnsi="Times New Roman" w:cs="Times New Roman"/>
          <w:sz w:val="24"/>
          <w:szCs w:val="24"/>
        </w:rPr>
        <w:t>haemorrhage</w:t>
      </w:r>
      <w:proofErr w:type="spellEnd"/>
      <w:r w:rsidRPr="00FE2DA7">
        <w:rPr>
          <w:rFonts w:ascii="Times New Roman" w:hAnsi="Times New Roman" w:cs="Times New Roman"/>
          <w:sz w:val="24"/>
          <w:szCs w:val="24"/>
        </w:rPr>
        <w:t xml:space="preserve"> confirmed by CT scan of head in the department of  Neurology, Neurosurgery and Medicine of Dhaka Medical College &amp; </w:t>
      </w:r>
      <w:r>
        <w:rPr>
          <w:rFonts w:ascii="Times New Roman" w:hAnsi="Times New Roman" w:cs="Times New Roman"/>
          <w:sz w:val="24"/>
          <w:szCs w:val="24"/>
        </w:rPr>
        <w:t>Hospital, Dhaka, from July, 2022 to June, 2024</w:t>
      </w:r>
      <w:r w:rsidRPr="00FE2DA7">
        <w:rPr>
          <w:rFonts w:ascii="Times New Roman" w:hAnsi="Times New Roman" w:cs="Times New Roman"/>
          <w:sz w:val="24"/>
          <w:szCs w:val="24"/>
        </w:rPr>
        <w:t xml:space="preserve">, were included in this study. </w:t>
      </w:r>
      <w:r w:rsidRPr="00D978A6">
        <w:rPr>
          <w:rFonts w:ascii="Times New Roman" w:hAnsi="Times New Roman" w:cs="Times New Roman"/>
          <w:sz w:val="24"/>
          <w:szCs w:val="24"/>
        </w:rPr>
        <w:t xml:space="preserve">It was observed that almost two third (61.6%) patients belonged to age &lt;50 years in group I and 11(22.9%) in group II. The mean age was 50.51±9.13 years in group I and 57.58±10.63 years in group II. The difference was statistically significant (p&lt;0.05) between two </w:t>
      </w:r>
      <w:proofErr w:type="gramStart"/>
      <w:r w:rsidRPr="00D978A6">
        <w:rPr>
          <w:rFonts w:ascii="Times New Roman" w:hAnsi="Times New Roman" w:cs="Times New Roman"/>
          <w:sz w:val="24"/>
          <w:szCs w:val="24"/>
        </w:rPr>
        <w:t>groups</w:t>
      </w:r>
      <w:r>
        <w:rPr>
          <w:rFonts w:ascii="Times New Roman" w:hAnsi="Times New Roman" w:cs="Times New Roman"/>
          <w:sz w:val="24"/>
          <w:szCs w:val="24"/>
        </w:rPr>
        <w:t>(</w:t>
      </w:r>
      <w:proofErr w:type="gramEnd"/>
      <w:r>
        <w:rPr>
          <w:rFonts w:ascii="Times New Roman" w:hAnsi="Times New Roman" w:cs="Times New Roman"/>
          <w:sz w:val="24"/>
          <w:szCs w:val="24"/>
        </w:rPr>
        <w:t>Table-1)</w:t>
      </w:r>
      <w:r w:rsidRPr="00D978A6">
        <w:rPr>
          <w:rFonts w:ascii="Times New Roman" w:hAnsi="Times New Roman" w:cs="Times New Roman"/>
          <w:sz w:val="24"/>
          <w:szCs w:val="24"/>
        </w:rPr>
        <w:t>.</w:t>
      </w:r>
      <w:r w:rsidRPr="0058399A">
        <w:t xml:space="preserve"> </w:t>
      </w:r>
      <w:r w:rsidRPr="0058399A">
        <w:rPr>
          <w:rFonts w:ascii="Times New Roman" w:hAnsi="Times New Roman" w:cs="Times New Roman"/>
          <w:sz w:val="24"/>
          <w:szCs w:val="24"/>
        </w:rPr>
        <w:t xml:space="preserve">More than half 27(57.4%) patients were female in group I and 28(58.3%) in group II. The difference was statistically not significant (p&gt;0.05) between two groups.     </w:t>
      </w:r>
      <w:r w:rsidRPr="00D978A6">
        <w:rPr>
          <w:rFonts w:ascii="Times New Roman" w:hAnsi="Times New Roman" w:cs="Times New Roman"/>
          <w:sz w:val="24"/>
          <w:szCs w:val="24"/>
        </w:rPr>
        <w:t xml:space="preserve"> </w:t>
      </w:r>
      <w:r>
        <w:rPr>
          <w:rFonts w:ascii="Times New Roman" w:hAnsi="Times New Roman" w:cs="Times New Roman"/>
          <w:sz w:val="24"/>
          <w:szCs w:val="24"/>
        </w:rPr>
        <w:t>Besides,</w:t>
      </w:r>
      <w:r w:rsidRPr="00FE2DA7">
        <w:rPr>
          <w:rFonts w:ascii="Times New Roman" w:hAnsi="Times New Roman" w:cs="Times New Roman"/>
          <w:sz w:val="24"/>
          <w:szCs w:val="24"/>
        </w:rPr>
        <w:t xml:space="preserve"> more than one third 18(38.3%) patients had hypertension in group I and 29(60.4%) in group II. More than one third 16(34.0%) patients had smoker in group I and 20(41.7%) in group II. Five (10.6%) patients had diabetes mellitus in group I and 5(10.4%) in group II. Two (4.3%) patients had history of IHD in group I and 5(10.4%) in group II. The difference of hypertension was statistically significant (p&lt;0.05) between two groups. </w:t>
      </w:r>
    </w:p>
    <w:p w14:paraId="1B488518" w14:textId="77777777" w:rsidR="005E59D6" w:rsidRPr="0058399A" w:rsidRDefault="005E59D6" w:rsidP="005E59D6">
      <w:pPr>
        <w:spacing w:line="360" w:lineRule="auto"/>
        <w:jc w:val="both"/>
        <w:rPr>
          <w:rFonts w:ascii="Times New Roman" w:hAnsi="Times New Roman" w:cs="Times New Roman"/>
          <w:sz w:val="24"/>
          <w:szCs w:val="24"/>
        </w:rPr>
      </w:pPr>
      <w:r w:rsidRPr="0058399A">
        <w:rPr>
          <w:rFonts w:ascii="Times New Roman" w:hAnsi="Times New Roman" w:cs="Times New Roman"/>
          <w:sz w:val="24"/>
          <w:szCs w:val="24"/>
        </w:rPr>
        <w:t>The mean GCS was 13.85±1.41 in group I and 12.20±2.68 in group II. The mean SBP was 149.79±20.56 mm of Hg in group I and 154.58±27.97 mm of Hg in group II. The mean DBP was 93.30±9.11 mm of Hg in group I and 96.56±16.22 mm of Hg in group II. The mean pulse was 73.98±5.67 per minute in group I and 74.83±10.43 per minu</w:t>
      </w:r>
      <w:r>
        <w:rPr>
          <w:rFonts w:ascii="Times New Roman" w:hAnsi="Times New Roman" w:cs="Times New Roman"/>
          <w:sz w:val="24"/>
          <w:szCs w:val="24"/>
        </w:rPr>
        <w:t>te in group II. 79.2%</w:t>
      </w:r>
      <w:r w:rsidRPr="0058399A">
        <w:rPr>
          <w:rFonts w:ascii="Times New Roman" w:hAnsi="Times New Roman" w:cs="Times New Roman"/>
          <w:sz w:val="24"/>
          <w:szCs w:val="24"/>
        </w:rPr>
        <w:t xml:space="preserve"> patients</w:t>
      </w:r>
      <w:r>
        <w:rPr>
          <w:rFonts w:ascii="Times New Roman" w:hAnsi="Times New Roman" w:cs="Times New Roman"/>
          <w:sz w:val="24"/>
          <w:szCs w:val="24"/>
        </w:rPr>
        <w:t xml:space="preserve"> (n=38)</w:t>
      </w:r>
      <w:r w:rsidRPr="0058399A">
        <w:rPr>
          <w:rFonts w:ascii="Times New Roman" w:hAnsi="Times New Roman" w:cs="Times New Roman"/>
          <w:sz w:val="24"/>
          <w:szCs w:val="24"/>
        </w:rPr>
        <w:t xml:space="preserve"> had more severe</w:t>
      </w:r>
      <w:r>
        <w:rPr>
          <w:rFonts w:ascii="Times New Roman" w:hAnsi="Times New Roman" w:cs="Times New Roman"/>
          <w:sz w:val="24"/>
          <w:szCs w:val="24"/>
        </w:rPr>
        <w:t xml:space="preserve"> </w:t>
      </w:r>
      <w:r w:rsidRPr="00597847">
        <w:rPr>
          <w:rFonts w:ascii="Times New Roman" w:hAnsi="Times New Roman" w:cs="Times New Roman"/>
          <w:sz w:val="24"/>
          <w:szCs w:val="24"/>
        </w:rPr>
        <w:t xml:space="preserve">Hunt and Hess scale </w:t>
      </w:r>
      <w:r>
        <w:rPr>
          <w:rFonts w:ascii="Times New Roman" w:hAnsi="Times New Roman" w:cs="Times New Roman"/>
          <w:sz w:val="24"/>
          <w:szCs w:val="24"/>
        </w:rPr>
        <w:t xml:space="preserve">score </w:t>
      </w:r>
      <w:r w:rsidRPr="0058399A">
        <w:rPr>
          <w:rFonts w:ascii="Times New Roman" w:hAnsi="Times New Roman" w:cs="Times New Roman"/>
          <w:sz w:val="24"/>
          <w:szCs w:val="24"/>
        </w:rPr>
        <w:t>in group II and 22(47%)</w:t>
      </w:r>
      <w:r>
        <w:rPr>
          <w:rFonts w:ascii="Times New Roman" w:hAnsi="Times New Roman" w:cs="Times New Roman"/>
          <w:sz w:val="24"/>
          <w:szCs w:val="24"/>
        </w:rPr>
        <w:t xml:space="preserve"> patients had more severe score</w:t>
      </w:r>
      <w:r w:rsidRPr="0058399A">
        <w:rPr>
          <w:rFonts w:ascii="Times New Roman" w:hAnsi="Times New Roman" w:cs="Times New Roman"/>
          <w:sz w:val="24"/>
          <w:szCs w:val="24"/>
        </w:rPr>
        <w:t xml:space="preserve"> in group I. The difference of GCS and Hunt and Hess scale were statistically significant (p&lt;0.05) between two groups</w:t>
      </w:r>
      <w:r>
        <w:rPr>
          <w:rFonts w:ascii="Times New Roman" w:hAnsi="Times New Roman" w:cs="Times New Roman"/>
          <w:sz w:val="24"/>
          <w:szCs w:val="24"/>
        </w:rPr>
        <w:t xml:space="preserve"> (table-2)</w:t>
      </w:r>
      <w:r w:rsidRPr="0058399A">
        <w:rPr>
          <w:rFonts w:ascii="Times New Roman" w:hAnsi="Times New Roman" w:cs="Times New Roman"/>
          <w:sz w:val="24"/>
          <w:szCs w:val="24"/>
        </w:rPr>
        <w:t>.</w:t>
      </w:r>
    </w:p>
    <w:p w14:paraId="4826B998" w14:textId="77777777" w:rsidR="005E59D6" w:rsidRPr="0058399A" w:rsidRDefault="005E59D6" w:rsidP="005E59D6">
      <w:pPr>
        <w:spacing w:line="360" w:lineRule="auto"/>
        <w:jc w:val="center"/>
        <w:rPr>
          <w:rFonts w:ascii="Times New Roman" w:hAnsi="Times New Roman" w:cs="Times New Roman"/>
          <w:b/>
          <w:sz w:val="24"/>
          <w:szCs w:val="24"/>
        </w:rPr>
      </w:pPr>
    </w:p>
    <w:p w14:paraId="10AAC7D3" w14:textId="77777777" w:rsidR="005E59D6" w:rsidRPr="0058399A" w:rsidRDefault="005E59D6" w:rsidP="005E59D6">
      <w:pPr>
        <w:spacing w:line="360" w:lineRule="auto"/>
        <w:jc w:val="center"/>
        <w:rPr>
          <w:rFonts w:ascii="Times New Roman" w:hAnsi="Times New Roman" w:cs="Times New Roman"/>
          <w:b/>
          <w:sz w:val="24"/>
          <w:szCs w:val="24"/>
        </w:rPr>
      </w:pPr>
    </w:p>
    <w:p w14:paraId="02C0A7B2" w14:textId="77777777" w:rsidR="005E59D6" w:rsidRDefault="005E59D6" w:rsidP="005E59D6">
      <w:pPr>
        <w:spacing w:line="360" w:lineRule="auto"/>
        <w:jc w:val="both"/>
        <w:rPr>
          <w:rFonts w:ascii="Times New Roman" w:hAnsi="Times New Roman" w:cs="Times New Roman"/>
          <w:sz w:val="24"/>
          <w:szCs w:val="24"/>
        </w:rPr>
      </w:pPr>
    </w:p>
    <w:p w14:paraId="33EE1A6D" w14:textId="77777777" w:rsidR="005E59D6" w:rsidRDefault="005E59D6" w:rsidP="005E59D6">
      <w:pPr>
        <w:spacing w:line="360" w:lineRule="auto"/>
        <w:jc w:val="both"/>
        <w:rPr>
          <w:rFonts w:ascii="Times New Roman" w:hAnsi="Times New Roman" w:cs="Times New Roman"/>
          <w:sz w:val="24"/>
          <w:szCs w:val="24"/>
        </w:rPr>
      </w:pPr>
    </w:p>
    <w:p w14:paraId="50789B5F" w14:textId="77777777" w:rsidR="005E59D6" w:rsidRDefault="005E59D6" w:rsidP="005E59D6">
      <w:pPr>
        <w:spacing w:line="360" w:lineRule="auto"/>
        <w:jc w:val="both"/>
        <w:rPr>
          <w:rFonts w:ascii="Times New Roman" w:hAnsi="Times New Roman" w:cs="Times New Roman"/>
          <w:sz w:val="24"/>
          <w:szCs w:val="24"/>
        </w:rPr>
      </w:pPr>
    </w:p>
    <w:p w14:paraId="338334A2" w14:textId="77777777" w:rsidR="007035BA" w:rsidRDefault="007035BA" w:rsidP="005E59D6">
      <w:pPr>
        <w:spacing w:line="360" w:lineRule="auto"/>
        <w:jc w:val="both"/>
        <w:rPr>
          <w:rFonts w:ascii="Times New Roman" w:hAnsi="Times New Roman" w:cs="Times New Roman"/>
          <w:sz w:val="24"/>
          <w:szCs w:val="24"/>
        </w:rPr>
      </w:pPr>
    </w:p>
    <w:p w14:paraId="3DED58D7" w14:textId="77777777" w:rsidR="005E59D6" w:rsidRDefault="005E59D6" w:rsidP="005E59D6">
      <w:pPr>
        <w:spacing w:line="360" w:lineRule="auto"/>
        <w:jc w:val="both"/>
        <w:rPr>
          <w:rFonts w:ascii="Times New Roman" w:hAnsi="Times New Roman" w:cs="Times New Roman"/>
          <w:sz w:val="24"/>
          <w:szCs w:val="24"/>
        </w:rPr>
      </w:pPr>
    </w:p>
    <w:tbl>
      <w:tblPr>
        <w:tblW w:w="8640" w:type="dxa"/>
        <w:tblLayout w:type="fixed"/>
        <w:tblCellMar>
          <w:left w:w="0" w:type="dxa"/>
          <w:right w:w="0" w:type="dxa"/>
        </w:tblCellMar>
        <w:tblLook w:val="0000" w:firstRow="0" w:lastRow="0" w:firstColumn="0" w:lastColumn="0" w:noHBand="0" w:noVBand="0"/>
      </w:tblPr>
      <w:tblGrid>
        <w:gridCol w:w="3060"/>
        <w:gridCol w:w="1171"/>
        <w:gridCol w:w="1172"/>
        <w:gridCol w:w="1171"/>
        <w:gridCol w:w="986"/>
        <w:gridCol w:w="1080"/>
      </w:tblGrid>
      <w:tr w:rsidR="005E59D6" w:rsidRPr="009319B1" w14:paraId="507675A1" w14:textId="77777777" w:rsidTr="002B7B95">
        <w:trPr>
          <w:trHeight w:val="591"/>
        </w:trPr>
        <w:tc>
          <w:tcPr>
            <w:tcW w:w="3060" w:type="dxa"/>
            <w:tcBorders>
              <w:top w:val="single" w:sz="4" w:space="0" w:color="auto"/>
              <w:left w:val="nil"/>
              <w:right w:val="nil"/>
            </w:tcBorders>
            <w:shd w:val="clear" w:color="auto" w:fill="auto"/>
            <w:noWrap/>
          </w:tcPr>
          <w:p w14:paraId="5575F4F7" w14:textId="77777777" w:rsidR="005E59D6" w:rsidRPr="009319B1" w:rsidRDefault="005E59D6" w:rsidP="005E59D6">
            <w:pPr>
              <w:spacing w:line="240" w:lineRule="auto"/>
              <w:rPr>
                <w:rFonts w:ascii="Times New Roman" w:hAnsi="Times New Roman"/>
                <w:sz w:val="24"/>
                <w:szCs w:val="24"/>
              </w:rPr>
            </w:pPr>
            <w:r w:rsidRPr="009319B1">
              <w:rPr>
                <w:rFonts w:ascii="Times New Roman" w:hAnsi="Times New Roman"/>
                <w:b/>
                <w:bCs/>
                <w:sz w:val="24"/>
                <w:szCs w:val="24"/>
              </w:rPr>
              <w:lastRenderedPageBreak/>
              <w:t>Examination findings</w:t>
            </w:r>
          </w:p>
        </w:tc>
        <w:tc>
          <w:tcPr>
            <w:tcW w:w="2343" w:type="dxa"/>
            <w:gridSpan w:val="2"/>
            <w:tcBorders>
              <w:top w:val="single" w:sz="4" w:space="0" w:color="auto"/>
              <w:left w:val="nil"/>
              <w:bottom w:val="single" w:sz="4" w:space="0" w:color="auto"/>
              <w:right w:val="nil"/>
            </w:tcBorders>
            <w:shd w:val="clear" w:color="auto" w:fill="auto"/>
            <w:noWrap/>
          </w:tcPr>
          <w:p w14:paraId="29437ECD" w14:textId="77777777" w:rsidR="005E59D6" w:rsidRPr="009319B1" w:rsidRDefault="005E59D6" w:rsidP="005E59D6">
            <w:pPr>
              <w:spacing w:line="240" w:lineRule="auto"/>
              <w:jc w:val="center"/>
              <w:rPr>
                <w:rFonts w:ascii="Times New Roman" w:hAnsi="Times New Roman" w:cs="Arial"/>
                <w:b/>
                <w:bCs/>
                <w:sz w:val="24"/>
                <w:szCs w:val="24"/>
              </w:rPr>
            </w:pPr>
            <w:r w:rsidRPr="009319B1">
              <w:rPr>
                <w:rFonts w:ascii="Times New Roman" w:hAnsi="Times New Roman" w:cs="Arial"/>
                <w:b/>
                <w:bCs/>
                <w:sz w:val="24"/>
                <w:szCs w:val="24"/>
              </w:rPr>
              <w:t>Group I</w:t>
            </w:r>
          </w:p>
          <w:p w14:paraId="1D643480" w14:textId="77777777" w:rsidR="005E59D6" w:rsidRPr="009319B1" w:rsidRDefault="005E59D6" w:rsidP="005E59D6">
            <w:pPr>
              <w:spacing w:line="240" w:lineRule="auto"/>
              <w:jc w:val="center"/>
              <w:rPr>
                <w:rFonts w:ascii="Times New Roman" w:hAnsi="Times New Roman" w:cs="Arial"/>
                <w:b/>
                <w:bCs/>
                <w:sz w:val="24"/>
                <w:szCs w:val="24"/>
              </w:rPr>
            </w:pPr>
            <w:r>
              <w:rPr>
                <w:rFonts w:ascii="Times New Roman" w:hAnsi="Times New Roman" w:cs="Arial"/>
                <w:b/>
                <w:bCs/>
                <w:sz w:val="24"/>
                <w:szCs w:val="24"/>
              </w:rPr>
              <w:t>(n</w:t>
            </w:r>
            <w:r w:rsidRPr="009319B1">
              <w:rPr>
                <w:rFonts w:ascii="Times New Roman" w:hAnsi="Times New Roman" w:cs="Arial"/>
                <w:b/>
                <w:bCs/>
                <w:sz w:val="24"/>
                <w:szCs w:val="24"/>
              </w:rPr>
              <w:t>=47)</w:t>
            </w:r>
          </w:p>
        </w:tc>
        <w:tc>
          <w:tcPr>
            <w:tcW w:w="2157" w:type="dxa"/>
            <w:gridSpan w:val="2"/>
            <w:tcBorders>
              <w:top w:val="single" w:sz="4" w:space="0" w:color="auto"/>
              <w:left w:val="nil"/>
              <w:bottom w:val="single" w:sz="4" w:space="0" w:color="auto"/>
              <w:right w:val="nil"/>
            </w:tcBorders>
            <w:shd w:val="clear" w:color="auto" w:fill="auto"/>
            <w:noWrap/>
          </w:tcPr>
          <w:p w14:paraId="283EC48E" w14:textId="77777777" w:rsidR="005E59D6" w:rsidRPr="009319B1" w:rsidRDefault="005E59D6" w:rsidP="005E59D6">
            <w:pPr>
              <w:spacing w:line="240" w:lineRule="auto"/>
              <w:jc w:val="center"/>
              <w:rPr>
                <w:rFonts w:ascii="Times New Roman" w:hAnsi="Times New Roman" w:cs="Arial"/>
                <w:b/>
                <w:bCs/>
                <w:sz w:val="24"/>
                <w:szCs w:val="24"/>
              </w:rPr>
            </w:pPr>
            <w:r w:rsidRPr="009319B1">
              <w:rPr>
                <w:rFonts w:ascii="Times New Roman" w:hAnsi="Times New Roman" w:cs="Arial"/>
                <w:b/>
                <w:bCs/>
                <w:sz w:val="24"/>
                <w:szCs w:val="24"/>
              </w:rPr>
              <w:t>Group II</w:t>
            </w:r>
          </w:p>
          <w:p w14:paraId="0B073BF4" w14:textId="77777777" w:rsidR="005E59D6" w:rsidRPr="009319B1" w:rsidRDefault="005E59D6" w:rsidP="005E59D6">
            <w:pPr>
              <w:spacing w:line="240" w:lineRule="auto"/>
              <w:jc w:val="center"/>
              <w:rPr>
                <w:rFonts w:ascii="Times New Roman" w:hAnsi="Times New Roman"/>
                <w:sz w:val="24"/>
                <w:szCs w:val="24"/>
              </w:rPr>
            </w:pPr>
            <w:r>
              <w:rPr>
                <w:rFonts w:ascii="Times New Roman" w:hAnsi="Times New Roman" w:cs="Arial"/>
                <w:b/>
                <w:bCs/>
                <w:sz w:val="24"/>
                <w:szCs w:val="24"/>
              </w:rPr>
              <w:t>(n</w:t>
            </w:r>
            <w:r w:rsidRPr="009319B1">
              <w:rPr>
                <w:rFonts w:ascii="Times New Roman" w:hAnsi="Times New Roman" w:cs="Arial"/>
                <w:b/>
                <w:bCs/>
                <w:sz w:val="24"/>
                <w:szCs w:val="24"/>
              </w:rPr>
              <w:t>=48)</w:t>
            </w:r>
          </w:p>
        </w:tc>
        <w:tc>
          <w:tcPr>
            <w:tcW w:w="1080" w:type="dxa"/>
            <w:tcBorders>
              <w:top w:val="single" w:sz="4" w:space="0" w:color="auto"/>
              <w:left w:val="nil"/>
              <w:bottom w:val="nil"/>
              <w:right w:val="nil"/>
            </w:tcBorders>
            <w:shd w:val="clear" w:color="auto" w:fill="auto"/>
            <w:noWrap/>
          </w:tcPr>
          <w:p w14:paraId="2F93B43E" w14:textId="77777777" w:rsidR="005E59D6" w:rsidRPr="009319B1" w:rsidRDefault="005E59D6" w:rsidP="005E59D6">
            <w:pPr>
              <w:spacing w:line="240" w:lineRule="auto"/>
              <w:jc w:val="center"/>
              <w:rPr>
                <w:rFonts w:ascii="Times New Roman" w:hAnsi="Times New Roman"/>
                <w:b/>
                <w:bCs/>
                <w:sz w:val="24"/>
                <w:szCs w:val="24"/>
              </w:rPr>
            </w:pPr>
            <w:r w:rsidRPr="009319B1">
              <w:rPr>
                <w:rFonts w:ascii="Times New Roman" w:hAnsi="Times New Roman"/>
                <w:b/>
                <w:bCs/>
                <w:i/>
                <w:iCs/>
                <w:sz w:val="24"/>
                <w:szCs w:val="24"/>
              </w:rPr>
              <w:t>p</w:t>
            </w:r>
            <w:r w:rsidRPr="009319B1">
              <w:rPr>
                <w:rFonts w:ascii="Times New Roman" w:hAnsi="Times New Roman"/>
                <w:b/>
                <w:bCs/>
                <w:sz w:val="24"/>
                <w:szCs w:val="24"/>
              </w:rPr>
              <w:t xml:space="preserve"> value</w:t>
            </w:r>
          </w:p>
        </w:tc>
      </w:tr>
      <w:tr w:rsidR="005E59D6" w:rsidRPr="009319B1" w14:paraId="5492E893" w14:textId="77777777" w:rsidTr="002B7B95">
        <w:trPr>
          <w:trHeight w:val="185"/>
        </w:trPr>
        <w:tc>
          <w:tcPr>
            <w:tcW w:w="3060" w:type="dxa"/>
            <w:tcBorders>
              <w:top w:val="single" w:sz="4" w:space="0" w:color="auto"/>
              <w:left w:val="nil"/>
              <w:right w:val="nil"/>
            </w:tcBorders>
            <w:shd w:val="clear" w:color="auto" w:fill="auto"/>
            <w:noWrap/>
            <w:vAlign w:val="center"/>
          </w:tcPr>
          <w:p w14:paraId="6B8B89C9" w14:textId="77777777" w:rsidR="005E59D6" w:rsidRPr="009319B1" w:rsidRDefault="005E59D6" w:rsidP="005E59D6">
            <w:pPr>
              <w:autoSpaceDE w:val="0"/>
              <w:autoSpaceDN w:val="0"/>
              <w:adjustRightInd w:val="0"/>
              <w:spacing w:line="240" w:lineRule="auto"/>
              <w:rPr>
                <w:rFonts w:ascii="Times New Roman" w:eastAsia="Batang" w:hAnsi="Times New Roman"/>
                <w:sz w:val="24"/>
                <w:szCs w:val="24"/>
                <w:lang w:eastAsia="ko-KR" w:bidi="bn-IN"/>
              </w:rPr>
            </w:pPr>
            <w:r w:rsidRPr="009319B1">
              <w:rPr>
                <w:rFonts w:ascii="Times New Roman" w:hAnsi="Times New Roman"/>
                <w:sz w:val="24"/>
                <w:szCs w:val="24"/>
              </w:rPr>
              <w:t>GCS</w:t>
            </w:r>
          </w:p>
        </w:tc>
        <w:tc>
          <w:tcPr>
            <w:tcW w:w="1171" w:type="dxa"/>
            <w:tcBorders>
              <w:top w:val="single" w:sz="4" w:space="0" w:color="auto"/>
              <w:left w:val="nil"/>
              <w:right w:val="nil"/>
            </w:tcBorders>
            <w:shd w:val="clear" w:color="auto" w:fill="auto"/>
            <w:noWrap/>
          </w:tcPr>
          <w:p w14:paraId="6331DE3A" w14:textId="77777777" w:rsidR="005E59D6" w:rsidRPr="009319B1" w:rsidRDefault="005E59D6" w:rsidP="005E59D6">
            <w:pPr>
              <w:spacing w:line="240" w:lineRule="auto"/>
              <w:jc w:val="right"/>
              <w:rPr>
                <w:rFonts w:ascii="Times New Roman" w:hAnsi="Times New Roman"/>
                <w:sz w:val="24"/>
                <w:szCs w:val="24"/>
              </w:rPr>
            </w:pPr>
            <w:r w:rsidRPr="009319B1">
              <w:rPr>
                <w:rFonts w:ascii="Times New Roman" w:hAnsi="Times New Roman"/>
                <w:sz w:val="24"/>
                <w:szCs w:val="24"/>
              </w:rPr>
              <w:t>13.85</w:t>
            </w:r>
          </w:p>
        </w:tc>
        <w:tc>
          <w:tcPr>
            <w:tcW w:w="1172" w:type="dxa"/>
            <w:tcBorders>
              <w:top w:val="single" w:sz="4" w:space="0" w:color="auto"/>
              <w:left w:val="nil"/>
              <w:right w:val="nil"/>
            </w:tcBorders>
            <w:shd w:val="clear" w:color="auto" w:fill="auto"/>
            <w:noWrap/>
          </w:tcPr>
          <w:p w14:paraId="0B273ACE" w14:textId="77777777" w:rsidR="005E59D6" w:rsidRPr="009319B1" w:rsidRDefault="005E59D6" w:rsidP="005E59D6">
            <w:pPr>
              <w:spacing w:line="240" w:lineRule="auto"/>
              <w:rPr>
                <w:rFonts w:ascii="Times New Roman" w:hAnsi="Times New Roman"/>
                <w:sz w:val="24"/>
                <w:szCs w:val="24"/>
              </w:rPr>
            </w:pPr>
            <w:r w:rsidRPr="009319B1">
              <w:rPr>
                <w:rFonts w:ascii="Times New Roman" w:hAnsi="Times New Roman"/>
                <w:b/>
                <w:bCs/>
                <w:sz w:val="24"/>
                <w:szCs w:val="24"/>
              </w:rPr>
              <w:t>±</w:t>
            </w:r>
            <w:r w:rsidRPr="009319B1">
              <w:rPr>
                <w:rFonts w:ascii="Times New Roman" w:hAnsi="Times New Roman"/>
                <w:sz w:val="24"/>
                <w:szCs w:val="24"/>
              </w:rPr>
              <w:t>1.41</w:t>
            </w:r>
          </w:p>
        </w:tc>
        <w:tc>
          <w:tcPr>
            <w:tcW w:w="1171" w:type="dxa"/>
            <w:tcBorders>
              <w:top w:val="single" w:sz="4" w:space="0" w:color="auto"/>
              <w:left w:val="nil"/>
              <w:right w:val="nil"/>
            </w:tcBorders>
            <w:shd w:val="clear" w:color="auto" w:fill="auto"/>
            <w:noWrap/>
          </w:tcPr>
          <w:p w14:paraId="7B079B3E" w14:textId="77777777" w:rsidR="005E59D6" w:rsidRPr="009319B1" w:rsidRDefault="005E59D6" w:rsidP="005E59D6">
            <w:pPr>
              <w:spacing w:line="240" w:lineRule="auto"/>
              <w:jc w:val="right"/>
              <w:rPr>
                <w:rFonts w:ascii="Times New Roman" w:hAnsi="Times New Roman"/>
                <w:sz w:val="24"/>
                <w:szCs w:val="24"/>
              </w:rPr>
            </w:pPr>
            <w:r w:rsidRPr="009319B1">
              <w:rPr>
                <w:rFonts w:ascii="Times New Roman" w:hAnsi="Times New Roman"/>
                <w:sz w:val="24"/>
                <w:szCs w:val="24"/>
              </w:rPr>
              <w:t>12.20</w:t>
            </w:r>
          </w:p>
        </w:tc>
        <w:tc>
          <w:tcPr>
            <w:tcW w:w="986" w:type="dxa"/>
            <w:tcBorders>
              <w:top w:val="single" w:sz="4" w:space="0" w:color="auto"/>
              <w:left w:val="nil"/>
              <w:right w:val="nil"/>
            </w:tcBorders>
            <w:shd w:val="clear" w:color="auto" w:fill="auto"/>
            <w:noWrap/>
          </w:tcPr>
          <w:p w14:paraId="6DDB9261" w14:textId="77777777" w:rsidR="005E59D6" w:rsidRPr="009319B1" w:rsidRDefault="005E59D6" w:rsidP="005E59D6">
            <w:pPr>
              <w:spacing w:line="240" w:lineRule="auto"/>
              <w:rPr>
                <w:rFonts w:ascii="Times New Roman" w:hAnsi="Times New Roman"/>
                <w:sz w:val="24"/>
                <w:szCs w:val="24"/>
              </w:rPr>
            </w:pPr>
            <w:r w:rsidRPr="009319B1">
              <w:rPr>
                <w:rFonts w:ascii="Times New Roman" w:hAnsi="Times New Roman"/>
                <w:b/>
                <w:bCs/>
                <w:sz w:val="24"/>
                <w:szCs w:val="24"/>
              </w:rPr>
              <w:t>±</w:t>
            </w:r>
            <w:r w:rsidRPr="009319B1">
              <w:rPr>
                <w:rFonts w:ascii="Times New Roman" w:hAnsi="Times New Roman"/>
                <w:sz w:val="24"/>
                <w:szCs w:val="24"/>
              </w:rPr>
              <w:t>2.68</w:t>
            </w:r>
          </w:p>
        </w:tc>
        <w:tc>
          <w:tcPr>
            <w:tcW w:w="1080" w:type="dxa"/>
            <w:tcBorders>
              <w:top w:val="single" w:sz="4" w:space="0" w:color="auto"/>
              <w:left w:val="nil"/>
              <w:right w:val="nil"/>
            </w:tcBorders>
            <w:shd w:val="clear" w:color="auto" w:fill="auto"/>
            <w:noWrap/>
            <w:vAlign w:val="bottom"/>
          </w:tcPr>
          <w:p w14:paraId="1B8B92FE" w14:textId="77777777" w:rsidR="005E59D6" w:rsidRPr="009319B1" w:rsidRDefault="005E59D6" w:rsidP="005E59D6">
            <w:pPr>
              <w:spacing w:line="240" w:lineRule="auto"/>
              <w:jc w:val="center"/>
              <w:rPr>
                <w:rFonts w:ascii="Times New Roman" w:hAnsi="Times New Roman"/>
                <w:sz w:val="24"/>
                <w:szCs w:val="24"/>
              </w:rPr>
            </w:pPr>
            <w:r w:rsidRPr="009319B1">
              <w:rPr>
                <w:rFonts w:ascii="Times New Roman" w:hAnsi="Times New Roman"/>
                <w:sz w:val="24"/>
                <w:szCs w:val="24"/>
              </w:rPr>
              <w:t>0.003</w:t>
            </w:r>
          </w:p>
        </w:tc>
      </w:tr>
      <w:tr w:rsidR="005E59D6" w:rsidRPr="009319B1" w14:paraId="2F6520A1" w14:textId="77777777" w:rsidTr="002B7B95">
        <w:trPr>
          <w:trHeight w:val="256"/>
        </w:trPr>
        <w:tc>
          <w:tcPr>
            <w:tcW w:w="3060" w:type="dxa"/>
            <w:tcBorders>
              <w:left w:val="nil"/>
              <w:right w:val="nil"/>
            </w:tcBorders>
            <w:shd w:val="clear" w:color="auto" w:fill="auto"/>
            <w:noWrap/>
            <w:vAlign w:val="center"/>
          </w:tcPr>
          <w:p w14:paraId="22F12220" w14:textId="77777777" w:rsidR="005E59D6" w:rsidRPr="009319B1" w:rsidRDefault="005E59D6" w:rsidP="005E59D6">
            <w:pPr>
              <w:autoSpaceDE w:val="0"/>
              <w:autoSpaceDN w:val="0"/>
              <w:adjustRightInd w:val="0"/>
              <w:spacing w:line="240" w:lineRule="auto"/>
              <w:rPr>
                <w:rFonts w:ascii="Times New Roman" w:eastAsia="Batang" w:hAnsi="Times New Roman"/>
                <w:sz w:val="24"/>
                <w:szCs w:val="24"/>
                <w:lang w:eastAsia="ko-KR" w:bidi="bn-IN"/>
              </w:rPr>
            </w:pPr>
            <w:r w:rsidRPr="009319B1">
              <w:rPr>
                <w:rFonts w:ascii="Times New Roman" w:hAnsi="Times New Roman"/>
                <w:sz w:val="24"/>
                <w:szCs w:val="24"/>
              </w:rPr>
              <w:t>SBP (mm of Hg)</w:t>
            </w:r>
          </w:p>
        </w:tc>
        <w:tc>
          <w:tcPr>
            <w:tcW w:w="1171" w:type="dxa"/>
            <w:tcBorders>
              <w:left w:val="nil"/>
              <w:right w:val="nil"/>
            </w:tcBorders>
            <w:shd w:val="clear" w:color="auto" w:fill="auto"/>
            <w:noWrap/>
          </w:tcPr>
          <w:p w14:paraId="17B6ED7C" w14:textId="77777777" w:rsidR="005E59D6" w:rsidRPr="009319B1" w:rsidRDefault="005E59D6" w:rsidP="005E59D6">
            <w:pPr>
              <w:spacing w:line="240" w:lineRule="auto"/>
              <w:jc w:val="right"/>
              <w:rPr>
                <w:rFonts w:ascii="Times New Roman" w:hAnsi="Times New Roman"/>
                <w:sz w:val="24"/>
                <w:szCs w:val="24"/>
              </w:rPr>
            </w:pPr>
            <w:r w:rsidRPr="009319B1">
              <w:rPr>
                <w:rFonts w:ascii="Times New Roman" w:hAnsi="Times New Roman"/>
                <w:sz w:val="24"/>
                <w:szCs w:val="24"/>
              </w:rPr>
              <w:t>149.79</w:t>
            </w:r>
          </w:p>
        </w:tc>
        <w:tc>
          <w:tcPr>
            <w:tcW w:w="1172" w:type="dxa"/>
            <w:tcBorders>
              <w:left w:val="nil"/>
              <w:right w:val="nil"/>
            </w:tcBorders>
            <w:shd w:val="clear" w:color="auto" w:fill="auto"/>
            <w:noWrap/>
          </w:tcPr>
          <w:p w14:paraId="5FC168F0" w14:textId="77777777" w:rsidR="005E59D6" w:rsidRPr="009319B1" w:rsidRDefault="005E59D6" w:rsidP="005E59D6">
            <w:pPr>
              <w:spacing w:line="240" w:lineRule="auto"/>
              <w:rPr>
                <w:rFonts w:ascii="Times New Roman" w:hAnsi="Times New Roman"/>
                <w:sz w:val="24"/>
                <w:szCs w:val="24"/>
              </w:rPr>
            </w:pPr>
            <w:r w:rsidRPr="009319B1">
              <w:rPr>
                <w:rFonts w:ascii="Times New Roman" w:hAnsi="Times New Roman"/>
                <w:b/>
                <w:bCs/>
                <w:sz w:val="24"/>
                <w:szCs w:val="24"/>
              </w:rPr>
              <w:t>±</w:t>
            </w:r>
            <w:r w:rsidRPr="009319B1">
              <w:rPr>
                <w:rFonts w:ascii="Times New Roman" w:hAnsi="Times New Roman"/>
                <w:sz w:val="24"/>
                <w:szCs w:val="24"/>
              </w:rPr>
              <w:t>20.56</w:t>
            </w:r>
          </w:p>
        </w:tc>
        <w:tc>
          <w:tcPr>
            <w:tcW w:w="1171" w:type="dxa"/>
            <w:tcBorders>
              <w:left w:val="nil"/>
              <w:right w:val="nil"/>
            </w:tcBorders>
            <w:shd w:val="clear" w:color="auto" w:fill="auto"/>
            <w:noWrap/>
          </w:tcPr>
          <w:p w14:paraId="19E3B68D" w14:textId="77777777" w:rsidR="005E59D6" w:rsidRPr="009319B1" w:rsidRDefault="005E59D6" w:rsidP="005E59D6">
            <w:pPr>
              <w:spacing w:line="240" w:lineRule="auto"/>
              <w:jc w:val="right"/>
              <w:rPr>
                <w:rFonts w:ascii="Times New Roman" w:hAnsi="Times New Roman"/>
                <w:sz w:val="24"/>
                <w:szCs w:val="24"/>
              </w:rPr>
            </w:pPr>
            <w:r w:rsidRPr="009319B1">
              <w:rPr>
                <w:rFonts w:ascii="Times New Roman" w:hAnsi="Times New Roman"/>
                <w:sz w:val="24"/>
                <w:szCs w:val="24"/>
              </w:rPr>
              <w:t>154.58</w:t>
            </w:r>
          </w:p>
        </w:tc>
        <w:tc>
          <w:tcPr>
            <w:tcW w:w="986" w:type="dxa"/>
            <w:tcBorders>
              <w:left w:val="nil"/>
              <w:right w:val="nil"/>
            </w:tcBorders>
            <w:shd w:val="clear" w:color="auto" w:fill="auto"/>
            <w:noWrap/>
          </w:tcPr>
          <w:p w14:paraId="4FDF0043" w14:textId="77777777" w:rsidR="005E59D6" w:rsidRPr="009319B1" w:rsidRDefault="005E59D6" w:rsidP="005E59D6">
            <w:pPr>
              <w:spacing w:line="240" w:lineRule="auto"/>
              <w:rPr>
                <w:rFonts w:ascii="Times New Roman" w:hAnsi="Times New Roman"/>
                <w:sz w:val="24"/>
                <w:szCs w:val="24"/>
              </w:rPr>
            </w:pPr>
            <w:r w:rsidRPr="009319B1">
              <w:rPr>
                <w:rFonts w:ascii="Times New Roman" w:hAnsi="Times New Roman"/>
                <w:b/>
                <w:bCs/>
                <w:sz w:val="24"/>
                <w:szCs w:val="24"/>
              </w:rPr>
              <w:t>±</w:t>
            </w:r>
            <w:r w:rsidRPr="009319B1">
              <w:rPr>
                <w:rFonts w:ascii="Times New Roman" w:hAnsi="Times New Roman"/>
                <w:sz w:val="24"/>
                <w:szCs w:val="24"/>
              </w:rPr>
              <w:t>27.97</w:t>
            </w:r>
          </w:p>
        </w:tc>
        <w:tc>
          <w:tcPr>
            <w:tcW w:w="1080" w:type="dxa"/>
            <w:tcBorders>
              <w:left w:val="nil"/>
              <w:right w:val="nil"/>
            </w:tcBorders>
            <w:shd w:val="clear" w:color="auto" w:fill="auto"/>
            <w:noWrap/>
            <w:vAlign w:val="bottom"/>
          </w:tcPr>
          <w:p w14:paraId="3919D74B" w14:textId="77777777" w:rsidR="005E59D6" w:rsidRPr="009319B1" w:rsidRDefault="005E59D6" w:rsidP="005E59D6">
            <w:pPr>
              <w:spacing w:line="240" w:lineRule="auto"/>
              <w:jc w:val="center"/>
              <w:rPr>
                <w:rFonts w:ascii="Times New Roman" w:hAnsi="Times New Roman"/>
                <w:sz w:val="24"/>
                <w:szCs w:val="24"/>
              </w:rPr>
            </w:pPr>
            <w:r w:rsidRPr="009319B1">
              <w:rPr>
                <w:rFonts w:ascii="Times New Roman" w:hAnsi="Times New Roman"/>
                <w:sz w:val="24"/>
                <w:szCs w:val="24"/>
              </w:rPr>
              <w:t>0.923</w:t>
            </w:r>
          </w:p>
        </w:tc>
      </w:tr>
      <w:tr w:rsidR="005E59D6" w:rsidRPr="009319B1" w14:paraId="376DB021" w14:textId="77777777" w:rsidTr="002B7B95">
        <w:trPr>
          <w:trHeight w:val="256"/>
        </w:trPr>
        <w:tc>
          <w:tcPr>
            <w:tcW w:w="3060" w:type="dxa"/>
            <w:tcBorders>
              <w:left w:val="nil"/>
              <w:right w:val="nil"/>
            </w:tcBorders>
            <w:shd w:val="clear" w:color="auto" w:fill="auto"/>
            <w:noWrap/>
            <w:vAlign w:val="center"/>
          </w:tcPr>
          <w:p w14:paraId="55A185CC" w14:textId="77777777" w:rsidR="005E59D6" w:rsidRPr="009319B1" w:rsidRDefault="005E59D6" w:rsidP="005E59D6">
            <w:pPr>
              <w:autoSpaceDE w:val="0"/>
              <w:autoSpaceDN w:val="0"/>
              <w:adjustRightInd w:val="0"/>
              <w:spacing w:line="240" w:lineRule="auto"/>
              <w:rPr>
                <w:rFonts w:ascii="Times New Roman" w:eastAsia="Batang" w:hAnsi="Times New Roman"/>
                <w:sz w:val="24"/>
                <w:szCs w:val="24"/>
                <w:lang w:eastAsia="ko-KR" w:bidi="bn-IN"/>
              </w:rPr>
            </w:pPr>
            <w:r w:rsidRPr="009319B1">
              <w:rPr>
                <w:rFonts w:ascii="Times New Roman" w:hAnsi="Times New Roman"/>
                <w:sz w:val="24"/>
                <w:szCs w:val="24"/>
              </w:rPr>
              <w:t>DBP (mm of Hg)</w:t>
            </w:r>
          </w:p>
        </w:tc>
        <w:tc>
          <w:tcPr>
            <w:tcW w:w="1171" w:type="dxa"/>
            <w:tcBorders>
              <w:left w:val="nil"/>
              <w:right w:val="nil"/>
            </w:tcBorders>
            <w:shd w:val="clear" w:color="auto" w:fill="auto"/>
            <w:noWrap/>
          </w:tcPr>
          <w:p w14:paraId="3096BDA0" w14:textId="77777777" w:rsidR="005E59D6" w:rsidRPr="009319B1" w:rsidRDefault="005E59D6" w:rsidP="005E59D6">
            <w:pPr>
              <w:spacing w:line="240" w:lineRule="auto"/>
              <w:jc w:val="right"/>
              <w:rPr>
                <w:rFonts w:ascii="Times New Roman" w:hAnsi="Times New Roman"/>
                <w:sz w:val="24"/>
                <w:szCs w:val="24"/>
              </w:rPr>
            </w:pPr>
            <w:r w:rsidRPr="009319B1">
              <w:rPr>
                <w:rFonts w:ascii="Times New Roman" w:hAnsi="Times New Roman"/>
                <w:sz w:val="24"/>
                <w:szCs w:val="24"/>
              </w:rPr>
              <w:t>93.30</w:t>
            </w:r>
          </w:p>
        </w:tc>
        <w:tc>
          <w:tcPr>
            <w:tcW w:w="1172" w:type="dxa"/>
            <w:tcBorders>
              <w:left w:val="nil"/>
              <w:right w:val="nil"/>
            </w:tcBorders>
            <w:shd w:val="clear" w:color="auto" w:fill="auto"/>
            <w:noWrap/>
          </w:tcPr>
          <w:p w14:paraId="21F566CA" w14:textId="77777777" w:rsidR="005E59D6" w:rsidRPr="009319B1" w:rsidRDefault="005E59D6" w:rsidP="005E59D6">
            <w:pPr>
              <w:spacing w:line="240" w:lineRule="auto"/>
              <w:rPr>
                <w:rFonts w:ascii="Times New Roman" w:hAnsi="Times New Roman"/>
                <w:sz w:val="24"/>
                <w:szCs w:val="24"/>
              </w:rPr>
            </w:pPr>
            <w:r w:rsidRPr="009319B1">
              <w:rPr>
                <w:rFonts w:ascii="Times New Roman" w:hAnsi="Times New Roman"/>
                <w:b/>
                <w:bCs/>
                <w:sz w:val="24"/>
                <w:szCs w:val="24"/>
              </w:rPr>
              <w:t>±</w:t>
            </w:r>
            <w:r w:rsidRPr="009319B1">
              <w:rPr>
                <w:rFonts w:ascii="Times New Roman" w:hAnsi="Times New Roman"/>
                <w:sz w:val="24"/>
                <w:szCs w:val="24"/>
              </w:rPr>
              <w:t>9.11</w:t>
            </w:r>
          </w:p>
        </w:tc>
        <w:tc>
          <w:tcPr>
            <w:tcW w:w="1171" w:type="dxa"/>
            <w:tcBorders>
              <w:left w:val="nil"/>
              <w:right w:val="nil"/>
            </w:tcBorders>
            <w:shd w:val="clear" w:color="auto" w:fill="auto"/>
            <w:noWrap/>
          </w:tcPr>
          <w:p w14:paraId="5E7507AE" w14:textId="77777777" w:rsidR="005E59D6" w:rsidRPr="009319B1" w:rsidRDefault="005E59D6" w:rsidP="005E59D6">
            <w:pPr>
              <w:spacing w:line="240" w:lineRule="auto"/>
              <w:jc w:val="right"/>
              <w:rPr>
                <w:rFonts w:ascii="Times New Roman" w:hAnsi="Times New Roman"/>
                <w:sz w:val="24"/>
                <w:szCs w:val="24"/>
              </w:rPr>
            </w:pPr>
            <w:r w:rsidRPr="009319B1">
              <w:rPr>
                <w:rFonts w:ascii="Times New Roman" w:hAnsi="Times New Roman"/>
                <w:sz w:val="24"/>
                <w:szCs w:val="24"/>
              </w:rPr>
              <w:t>96.56</w:t>
            </w:r>
          </w:p>
        </w:tc>
        <w:tc>
          <w:tcPr>
            <w:tcW w:w="986" w:type="dxa"/>
            <w:tcBorders>
              <w:left w:val="nil"/>
              <w:right w:val="nil"/>
            </w:tcBorders>
            <w:shd w:val="clear" w:color="auto" w:fill="auto"/>
            <w:noWrap/>
          </w:tcPr>
          <w:p w14:paraId="4AB4962C" w14:textId="77777777" w:rsidR="005E59D6" w:rsidRPr="009319B1" w:rsidRDefault="005E59D6" w:rsidP="005E59D6">
            <w:pPr>
              <w:spacing w:line="240" w:lineRule="auto"/>
              <w:rPr>
                <w:rFonts w:ascii="Times New Roman" w:hAnsi="Times New Roman"/>
                <w:sz w:val="24"/>
                <w:szCs w:val="24"/>
              </w:rPr>
            </w:pPr>
            <w:r w:rsidRPr="009319B1">
              <w:rPr>
                <w:rFonts w:ascii="Times New Roman" w:hAnsi="Times New Roman"/>
                <w:b/>
                <w:bCs/>
                <w:sz w:val="24"/>
                <w:szCs w:val="24"/>
              </w:rPr>
              <w:t>±</w:t>
            </w:r>
            <w:r w:rsidRPr="009319B1">
              <w:rPr>
                <w:rFonts w:ascii="Times New Roman" w:hAnsi="Times New Roman"/>
                <w:sz w:val="24"/>
                <w:szCs w:val="24"/>
              </w:rPr>
              <w:t>16.22</w:t>
            </w:r>
          </w:p>
        </w:tc>
        <w:tc>
          <w:tcPr>
            <w:tcW w:w="1080" w:type="dxa"/>
            <w:tcBorders>
              <w:left w:val="nil"/>
              <w:right w:val="nil"/>
            </w:tcBorders>
            <w:shd w:val="clear" w:color="auto" w:fill="auto"/>
            <w:noWrap/>
            <w:vAlign w:val="bottom"/>
          </w:tcPr>
          <w:p w14:paraId="0CF1E869" w14:textId="77777777" w:rsidR="005E59D6" w:rsidRPr="009319B1" w:rsidRDefault="005E59D6" w:rsidP="005E59D6">
            <w:pPr>
              <w:spacing w:line="240" w:lineRule="auto"/>
              <w:jc w:val="center"/>
              <w:rPr>
                <w:rFonts w:ascii="Times New Roman" w:hAnsi="Times New Roman"/>
                <w:sz w:val="24"/>
                <w:szCs w:val="24"/>
              </w:rPr>
            </w:pPr>
            <w:r w:rsidRPr="009319B1">
              <w:rPr>
                <w:rFonts w:ascii="Times New Roman" w:hAnsi="Times New Roman"/>
                <w:sz w:val="24"/>
                <w:szCs w:val="24"/>
              </w:rPr>
              <w:t>0.344</w:t>
            </w:r>
          </w:p>
        </w:tc>
      </w:tr>
      <w:tr w:rsidR="005E59D6" w:rsidRPr="009319B1" w14:paraId="35FAC224" w14:textId="77777777" w:rsidTr="002B7B95">
        <w:trPr>
          <w:trHeight w:val="256"/>
        </w:trPr>
        <w:tc>
          <w:tcPr>
            <w:tcW w:w="3060" w:type="dxa"/>
            <w:tcBorders>
              <w:left w:val="nil"/>
              <w:right w:val="nil"/>
            </w:tcBorders>
            <w:shd w:val="clear" w:color="auto" w:fill="auto"/>
            <w:noWrap/>
            <w:vAlign w:val="center"/>
          </w:tcPr>
          <w:p w14:paraId="060AAD5F" w14:textId="77777777" w:rsidR="005E59D6" w:rsidRPr="009319B1" w:rsidRDefault="005E59D6" w:rsidP="005E59D6">
            <w:pPr>
              <w:autoSpaceDE w:val="0"/>
              <w:autoSpaceDN w:val="0"/>
              <w:adjustRightInd w:val="0"/>
              <w:spacing w:line="240" w:lineRule="auto"/>
              <w:rPr>
                <w:rFonts w:ascii="Times New Roman" w:eastAsia="Batang" w:hAnsi="Times New Roman"/>
                <w:sz w:val="24"/>
                <w:szCs w:val="24"/>
                <w:lang w:eastAsia="ko-KR" w:bidi="bn-IN"/>
              </w:rPr>
            </w:pPr>
            <w:r w:rsidRPr="009319B1">
              <w:rPr>
                <w:rFonts w:ascii="Times New Roman" w:hAnsi="Times New Roman"/>
                <w:sz w:val="24"/>
                <w:szCs w:val="24"/>
              </w:rPr>
              <w:t>Pulse (</w:t>
            </w:r>
            <w:r>
              <w:rPr>
                <w:rFonts w:ascii="Times New Roman" w:hAnsi="Times New Roman"/>
                <w:sz w:val="24"/>
                <w:szCs w:val="24"/>
              </w:rPr>
              <w:t>per minute</w:t>
            </w:r>
            <w:r w:rsidRPr="009319B1">
              <w:rPr>
                <w:rFonts w:ascii="Times New Roman" w:hAnsi="Times New Roman"/>
                <w:sz w:val="24"/>
                <w:szCs w:val="24"/>
              </w:rPr>
              <w:t>)</w:t>
            </w:r>
          </w:p>
        </w:tc>
        <w:tc>
          <w:tcPr>
            <w:tcW w:w="1171" w:type="dxa"/>
            <w:tcBorders>
              <w:left w:val="nil"/>
              <w:right w:val="nil"/>
            </w:tcBorders>
            <w:shd w:val="clear" w:color="auto" w:fill="auto"/>
            <w:noWrap/>
          </w:tcPr>
          <w:p w14:paraId="62A9BEA5" w14:textId="77777777" w:rsidR="005E59D6" w:rsidRPr="009319B1" w:rsidRDefault="005E59D6" w:rsidP="005E59D6">
            <w:pPr>
              <w:spacing w:line="240" w:lineRule="auto"/>
              <w:jc w:val="right"/>
              <w:rPr>
                <w:rFonts w:ascii="Times New Roman" w:hAnsi="Times New Roman"/>
                <w:sz w:val="24"/>
                <w:szCs w:val="24"/>
              </w:rPr>
            </w:pPr>
            <w:r>
              <w:rPr>
                <w:rFonts w:ascii="Times New Roman" w:hAnsi="Times New Roman"/>
                <w:sz w:val="24"/>
                <w:szCs w:val="24"/>
              </w:rPr>
              <w:t xml:space="preserve">  </w:t>
            </w:r>
            <w:r w:rsidRPr="009319B1">
              <w:rPr>
                <w:rFonts w:ascii="Times New Roman" w:hAnsi="Times New Roman"/>
                <w:sz w:val="24"/>
                <w:szCs w:val="24"/>
              </w:rPr>
              <w:t>73.98</w:t>
            </w:r>
          </w:p>
        </w:tc>
        <w:tc>
          <w:tcPr>
            <w:tcW w:w="1172" w:type="dxa"/>
            <w:tcBorders>
              <w:left w:val="nil"/>
              <w:right w:val="nil"/>
            </w:tcBorders>
            <w:shd w:val="clear" w:color="auto" w:fill="auto"/>
            <w:noWrap/>
          </w:tcPr>
          <w:p w14:paraId="2503B56E" w14:textId="77777777" w:rsidR="005E59D6" w:rsidRPr="009319B1" w:rsidRDefault="005E59D6" w:rsidP="005E59D6">
            <w:pPr>
              <w:spacing w:line="240" w:lineRule="auto"/>
              <w:rPr>
                <w:rFonts w:ascii="Times New Roman" w:hAnsi="Times New Roman"/>
                <w:sz w:val="24"/>
                <w:szCs w:val="24"/>
              </w:rPr>
            </w:pPr>
            <w:r w:rsidRPr="009319B1">
              <w:rPr>
                <w:rFonts w:ascii="Times New Roman" w:hAnsi="Times New Roman"/>
                <w:b/>
                <w:bCs/>
                <w:sz w:val="24"/>
                <w:szCs w:val="24"/>
              </w:rPr>
              <w:t>±</w:t>
            </w:r>
            <w:r w:rsidRPr="009319B1">
              <w:rPr>
                <w:rFonts w:ascii="Times New Roman" w:hAnsi="Times New Roman"/>
                <w:sz w:val="24"/>
                <w:szCs w:val="24"/>
              </w:rPr>
              <w:t>5.67</w:t>
            </w:r>
          </w:p>
        </w:tc>
        <w:tc>
          <w:tcPr>
            <w:tcW w:w="1171" w:type="dxa"/>
            <w:tcBorders>
              <w:left w:val="nil"/>
              <w:right w:val="nil"/>
            </w:tcBorders>
            <w:shd w:val="clear" w:color="auto" w:fill="auto"/>
            <w:noWrap/>
          </w:tcPr>
          <w:p w14:paraId="1A540F9C" w14:textId="77777777" w:rsidR="005E59D6" w:rsidRPr="009319B1" w:rsidRDefault="005E59D6" w:rsidP="005E59D6">
            <w:pPr>
              <w:spacing w:line="240" w:lineRule="auto"/>
              <w:jc w:val="right"/>
              <w:rPr>
                <w:rFonts w:ascii="Times New Roman" w:hAnsi="Times New Roman"/>
                <w:sz w:val="24"/>
                <w:szCs w:val="24"/>
              </w:rPr>
            </w:pPr>
            <w:r w:rsidRPr="009319B1">
              <w:rPr>
                <w:rFonts w:ascii="Times New Roman" w:hAnsi="Times New Roman"/>
                <w:sz w:val="24"/>
                <w:szCs w:val="24"/>
              </w:rPr>
              <w:t>74.83</w:t>
            </w:r>
          </w:p>
        </w:tc>
        <w:tc>
          <w:tcPr>
            <w:tcW w:w="986" w:type="dxa"/>
            <w:tcBorders>
              <w:left w:val="nil"/>
              <w:right w:val="nil"/>
            </w:tcBorders>
            <w:shd w:val="clear" w:color="auto" w:fill="auto"/>
            <w:noWrap/>
          </w:tcPr>
          <w:p w14:paraId="25E79490" w14:textId="77777777" w:rsidR="005E59D6" w:rsidRPr="009319B1" w:rsidRDefault="005E59D6" w:rsidP="005E59D6">
            <w:pPr>
              <w:spacing w:line="240" w:lineRule="auto"/>
              <w:rPr>
                <w:rFonts w:ascii="Times New Roman" w:hAnsi="Times New Roman"/>
                <w:sz w:val="24"/>
                <w:szCs w:val="24"/>
              </w:rPr>
            </w:pPr>
            <w:r w:rsidRPr="009319B1">
              <w:rPr>
                <w:rFonts w:ascii="Times New Roman" w:hAnsi="Times New Roman"/>
                <w:sz w:val="24"/>
                <w:szCs w:val="24"/>
              </w:rPr>
              <w:t>±10.43</w:t>
            </w:r>
          </w:p>
        </w:tc>
        <w:tc>
          <w:tcPr>
            <w:tcW w:w="1080" w:type="dxa"/>
            <w:tcBorders>
              <w:left w:val="nil"/>
              <w:right w:val="nil"/>
            </w:tcBorders>
            <w:shd w:val="clear" w:color="auto" w:fill="auto"/>
            <w:noWrap/>
            <w:vAlign w:val="bottom"/>
          </w:tcPr>
          <w:p w14:paraId="403B1754" w14:textId="77777777" w:rsidR="005E59D6" w:rsidRPr="009319B1" w:rsidRDefault="005E59D6" w:rsidP="005E59D6">
            <w:pPr>
              <w:spacing w:line="240" w:lineRule="auto"/>
              <w:jc w:val="center"/>
              <w:rPr>
                <w:rFonts w:ascii="Times New Roman" w:hAnsi="Times New Roman"/>
                <w:sz w:val="24"/>
                <w:szCs w:val="24"/>
              </w:rPr>
            </w:pPr>
            <w:r w:rsidRPr="009319B1">
              <w:rPr>
                <w:rFonts w:ascii="Times New Roman" w:hAnsi="Times New Roman"/>
                <w:sz w:val="24"/>
                <w:szCs w:val="24"/>
              </w:rPr>
              <w:t>0.231</w:t>
            </w:r>
          </w:p>
        </w:tc>
      </w:tr>
    </w:tbl>
    <w:tbl>
      <w:tblPr>
        <w:tblStyle w:val="TableGrid"/>
        <w:tblpPr w:leftFromText="180" w:rightFromText="180" w:vertAnchor="text" w:horzAnchor="margin" w:tblpY="118"/>
        <w:tblW w:w="0" w:type="auto"/>
        <w:tblLook w:val="04A0" w:firstRow="1" w:lastRow="0" w:firstColumn="1" w:lastColumn="0" w:noHBand="0" w:noVBand="1"/>
      </w:tblPr>
      <w:tblGrid>
        <w:gridCol w:w="2246"/>
        <w:gridCol w:w="1218"/>
        <w:gridCol w:w="1732"/>
        <w:gridCol w:w="2454"/>
        <w:gridCol w:w="1010"/>
      </w:tblGrid>
      <w:tr w:rsidR="005E59D6" w14:paraId="4472218A" w14:textId="77777777" w:rsidTr="002B7B95">
        <w:trPr>
          <w:trHeight w:val="379"/>
        </w:trPr>
        <w:tc>
          <w:tcPr>
            <w:tcW w:w="2246" w:type="dxa"/>
            <w:tcBorders>
              <w:top w:val="nil"/>
              <w:left w:val="nil"/>
              <w:bottom w:val="nil"/>
              <w:right w:val="nil"/>
            </w:tcBorders>
            <w:vAlign w:val="center"/>
          </w:tcPr>
          <w:p w14:paraId="6FF6A3A3" w14:textId="77777777" w:rsidR="005E59D6" w:rsidRPr="009319B1" w:rsidRDefault="005E59D6" w:rsidP="005E59D6">
            <w:pPr>
              <w:autoSpaceDE w:val="0"/>
              <w:autoSpaceDN w:val="0"/>
              <w:adjustRightInd w:val="0"/>
              <w:rPr>
                <w:rFonts w:ascii="Times New Roman" w:hAnsi="Times New Roman"/>
                <w:sz w:val="24"/>
                <w:szCs w:val="24"/>
              </w:rPr>
            </w:pPr>
            <w:r w:rsidRPr="009319B1">
              <w:rPr>
                <w:rFonts w:ascii="Times New Roman" w:hAnsi="Times New Roman"/>
                <w:sz w:val="24"/>
                <w:szCs w:val="24"/>
              </w:rPr>
              <w:t>Hunt and Hess scale</w:t>
            </w:r>
          </w:p>
        </w:tc>
        <w:tc>
          <w:tcPr>
            <w:tcW w:w="1218" w:type="dxa"/>
            <w:tcBorders>
              <w:top w:val="nil"/>
              <w:left w:val="nil"/>
              <w:bottom w:val="nil"/>
              <w:right w:val="nil"/>
            </w:tcBorders>
          </w:tcPr>
          <w:p w14:paraId="63F085C5" w14:textId="77777777" w:rsidR="005E59D6" w:rsidRPr="003F4F3F" w:rsidRDefault="005E59D6" w:rsidP="005E59D6">
            <w:pPr>
              <w:jc w:val="center"/>
              <w:rPr>
                <w:rFonts w:ascii="Times New Roman" w:hAnsi="Times New Roman"/>
                <w:b/>
                <w:sz w:val="24"/>
                <w:szCs w:val="24"/>
              </w:rPr>
            </w:pPr>
          </w:p>
        </w:tc>
        <w:tc>
          <w:tcPr>
            <w:tcW w:w="1732" w:type="dxa"/>
            <w:tcBorders>
              <w:top w:val="nil"/>
              <w:left w:val="nil"/>
              <w:bottom w:val="nil"/>
              <w:right w:val="nil"/>
            </w:tcBorders>
          </w:tcPr>
          <w:p w14:paraId="1D48C397" w14:textId="77777777" w:rsidR="005E59D6" w:rsidRPr="003F4F3F" w:rsidRDefault="005E59D6" w:rsidP="005E59D6">
            <w:pPr>
              <w:jc w:val="center"/>
              <w:rPr>
                <w:rFonts w:ascii="Times New Roman" w:hAnsi="Times New Roman"/>
                <w:b/>
                <w:sz w:val="24"/>
                <w:szCs w:val="24"/>
              </w:rPr>
            </w:pPr>
          </w:p>
        </w:tc>
        <w:tc>
          <w:tcPr>
            <w:tcW w:w="2454" w:type="dxa"/>
            <w:tcBorders>
              <w:top w:val="nil"/>
              <w:left w:val="nil"/>
              <w:bottom w:val="nil"/>
              <w:right w:val="nil"/>
            </w:tcBorders>
          </w:tcPr>
          <w:p w14:paraId="0B843659" w14:textId="77777777" w:rsidR="005E59D6" w:rsidRPr="003F4F3F" w:rsidRDefault="005E59D6" w:rsidP="005E59D6">
            <w:pPr>
              <w:jc w:val="center"/>
              <w:rPr>
                <w:rFonts w:ascii="Times New Roman" w:hAnsi="Times New Roman"/>
                <w:b/>
                <w:sz w:val="24"/>
                <w:szCs w:val="24"/>
              </w:rPr>
            </w:pPr>
          </w:p>
        </w:tc>
        <w:tc>
          <w:tcPr>
            <w:tcW w:w="1010" w:type="dxa"/>
            <w:tcBorders>
              <w:top w:val="nil"/>
              <w:left w:val="nil"/>
              <w:bottom w:val="nil"/>
              <w:right w:val="nil"/>
            </w:tcBorders>
          </w:tcPr>
          <w:p w14:paraId="6A25BA8A" w14:textId="77777777" w:rsidR="005E59D6" w:rsidRPr="003F4F3F" w:rsidRDefault="005E59D6" w:rsidP="005E59D6">
            <w:pPr>
              <w:jc w:val="center"/>
              <w:rPr>
                <w:rFonts w:ascii="Times New Roman" w:hAnsi="Times New Roman"/>
                <w:b/>
                <w:sz w:val="24"/>
                <w:szCs w:val="24"/>
              </w:rPr>
            </w:pPr>
          </w:p>
        </w:tc>
      </w:tr>
      <w:tr w:rsidR="005E59D6" w14:paraId="099EB12A" w14:textId="77777777" w:rsidTr="002B7B95">
        <w:trPr>
          <w:trHeight w:val="379"/>
        </w:trPr>
        <w:tc>
          <w:tcPr>
            <w:tcW w:w="2246" w:type="dxa"/>
            <w:tcBorders>
              <w:top w:val="nil"/>
              <w:left w:val="nil"/>
              <w:bottom w:val="nil"/>
              <w:right w:val="nil"/>
            </w:tcBorders>
            <w:vAlign w:val="center"/>
          </w:tcPr>
          <w:p w14:paraId="697D8A11" w14:textId="77777777" w:rsidR="005E59D6" w:rsidRPr="009319B1" w:rsidRDefault="005E59D6" w:rsidP="005E59D6">
            <w:pPr>
              <w:autoSpaceDE w:val="0"/>
              <w:autoSpaceDN w:val="0"/>
              <w:adjustRightInd w:val="0"/>
              <w:ind w:firstLine="180"/>
              <w:rPr>
                <w:rFonts w:ascii="Times New Roman" w:hAnsi="Times New Roman"/>
                <w:sz w:val="24"/>
                <w:szCs w:val="24"/>
              </w:rPr>
            </w:pPr>
            <w:r>
              <w:rPr>
                <w:rFonts w:ascii="Times New Roman" w:hAnsi="Times New Roman"/>
                <w:sz w:val="24"/>
                <w:szCs w:val="24"/>
              </w:rPr>
              <w:t>Less severe (</w:t>
            </w:r>
            <w:proofErr w:type="gramStart"/>
            <w:r>
              <w:rPr>
                <w:rFonts w:ascii="Times New Roman" w:hAnsi="Times New Roman"/>
                <w:sz w:val="24"/>
                <w:szCs w:val="24"/>
              </w:rPr>
              <w:t>n%</w:t>
            </w:r>
            <w:proofErr w:type="gramEnd"/>
            <w:r>
              <w:rPr>
                <w:rFonts w:ascii="Times New Roman" w:hAnsi="Times New Roman"/>
                <w:sz w:val="24"/>
                <w:szCs w:val="24"/>
              </w:rPr>
              <w:t>)</w:t>
            </w:r>
          </w:p>
        </w:tc>
        <w:tc>
          <w:tcPr>
            <w:tcW w:w="1218" w:type="dxa"/>
            <w:tcBorders>
              <w:top w:val="nil"/>
              <w:left w:val="nil"/>
              <w:bottom w:val="nil"/>
              <w:right w:val="nil"/>
            </w:tcBorders>
          </w:tcPr>
          <w:p w14:paraId="10268D57" w14:textId="77777777" w:rsidR="005E59D6" w:rsidRPr="000002B4" w:rsidRDefault="005E59D6" w:rsidP="005E59D6">
            <w:pPr>
              <w:jc w:val="center"/>
              <w:rPr>
                <w:rFonts w:ascii="Times New Roman" w:hAnsi="Times New Roman" w:cs="Times New Roman"/>
                <w:sz w:val="24"/>
                <w:szCs w:val="24"/>
              </w:rPr>
            </w:pPr>
          </w:p>
        </w:tc>
        <w:tc>
          <w:tcPr>
            <w:tcW w:w="1732" w:type="dxa"/>
            <w:tcBorders>
              <w:top w:val="nil"/>
              <w:left w:val="nil"/>
              <w:bottom w:val="nil"/>
              <w:right w:val="nil"/>
            </w:tcBorders>
          </w:tcPr>
          <w:p w14:paraId="3208E9F2" w14:textId="77777777" w:rsidR="005E59D6" w:rsidRPr="000002B4" w:rsidRDefault="005E59D6" w:rsidP="005E59D6">
            <w:pPr>
              <w:jc w:val="center"/>
              <w:rPr>
                <w:rFonts w:ascii="Times New Roman" w:hAnsi="Times New Roman" w:cs="Times New Roman"/>
                <w:sz w:val="24"/>
                <w:szCs w:val="24"/>
              </w:rPr>
            </w:pPr>
            <w:r w:rsidRPr="00A701EF">
              <w:rPr>
                <w:rFonts w:ascii="Times New Roman" w:hAnsi="Times New Roman" w:cs="Times New Roman"/>
                <w:sz w:val="24"/>
                <w:szCs w:val="24"/>
              </w:rPr>
              <w:t>25(53.2</w:t>
            </w:r>
            <w:r>
              <w:rPr>
                <w:rFonts w:ascii="Times New Roman" w:hAnsi="Times New Roman" w:cs="Times New Roman"/>
                <w:sz w:val="24"/>
                <w:szCs w:val="24"/>
              </w:rPr>
              <w:t>%)</w:t>
            </w:r>
          </w:p>
        </w:tc>
        <w:tc>
          <w:tcPr>
            <w:tcW w:w="2454" w:type="dxa"/>
            <w:tcBorders>
              <w:top w:val="nil"/>
              <w:left w:val="nil"/>
              <w:bottom w:val="nil"/>
              <w:right w:val="nil"/>
            </w:tcBorders>
          </w:tcPr>
          <w:p w14:paraId="1B03AA41" w14:textId="77777777" w:rsidR="005E59D6" w:rsidRPr="000002B4" w:rsidRDefault="005E59D6" w:rsidP="005E59D6">
            <w:pPr>
              <w:jc w:val="center"/>
              <w:rPr>
                <w:rFonts w:ascii="Times New Roman" w:hAnsi="Times New Roman" w:cs="Times New Roman"/>
                <w:sz w:val="24"/>
                <w:szCs w:val="24"/>
              </w:rPr>
            </w:pPr>
            <w:r>
              <w:rPr>
                <w:rFonts w:ascii="Times New Roman" w:hAnsi="Times New Roman" w:cs="Times New Roman"/>
                <w:sz w:val="24"/>
                <w:szCs w:val="24"/>
              </w:rPr>
              <w:t xml:space="preserve">        </w:t>
            </w:r>
            <w:r w:rsidRPr="000002B4">
              <w:rPr>
                <w:rFonts w:ascii="Times New Roman" w:hAnsi="Times New Roman" w:cs="Times New Roman"/>
                <w:sz w:val="24"/>
                <w:szCs w:val="24"/>
              </w:rPr>
              <w:t>10</w:t>
            </w:r>
            <w:r>
              <w:rPr>
                <w:rFonts w:ascii="Times New Roman" w:hAnsi="Times New Roman" w:cs="Times New Roman"/>
                <w:sz w:val="24"/>
                <w:szCs w:val="24"/>
              </w:rPr>
              <w:t>(20.8%)</w:t>
            </w:r>
          </w:p>
        </w:tc>
        <w:tc>
          <w:tcPr>
            <w:tcW w:w="1010" w:type="dxa"/>
            <w:tcBorders>
              <w:top w:val="nil"/>
              <w:left w:val="nil"/>
              <w:bottom w:val="nil"/>
              <w:right w:val="nil"/>
            </w:tcBorders>
          </w:tcPr>
          <w:p w14:paraId="76A74212" w14:textId="77777777" w:rsidR="005E59D6" w:rsidRPr="000002B4" w:rsidRDefault="005E59D6" w:rsidP="005E59D6">
            <w:pPr>
              <w:jc w:val="center"/>
              <w:rPr>
                <w:rFonts w:ascii="Times New Roman" w:hAnsi="Times New Roman" w:cs="Times New Roman"/>
                <w:sz w:val="24"/>
                <w:szCs w:val="24"/>
              </w:rPr>
            </w:pPr>
            <w:r>
              <w:rPr>
                <w:rFonts w:ascii="Times New Roman" w:hAnsi="Times New Roman" w:cs="Times New Roman"/>
                <w:sz w:val="24"/>
                <w:szCs w:val="24"/>
              </w:rPr>
              <w:t xml:space="preserve">           0.001</w:t>
            </w:r>
          </w:p>
        </w:tc>
      </w:tr>
      <w:tr w:rsidR="005E59D6" w14:paraId="1DF715BA" w14:textId="77777777" w:rsidTr="002B7B95">
        <w:trPr>
          <w:trHeight w:val="379"/>
        </w:trPr>
        <w:tc>
          <w:tcPr>
            <w:tcW w:w="2246" w:type="dxa"/>
            <w:tcBorders>
              <w:top w:val="nil"/>
              <w:left w:val="nil"/>
              <w:bottom w:val="nil"/>
              <w:right w:val="nil"/>
            </w:tcBorders>
            <w:vAlign w:val="center"/>
          </w:tcPr>
          <w:p w14:paraId="27FF5F37" w14:textId="77777777" w:rsidR="005E59D6" w:rsidRPr="009319B1" w:rsidRDefault="005E59D6" w:rsidP="005E59D6">
            <w:pPr>
              <w:autoSpaceDE w:val="0"/>
              <w:autoSpaceDN w:val="0"/>
              <w:adjustRightInd w:val="0"/>
              <w:ind w:firstLine="180"/>
              <w:rPr>
                <w:rFonts w:ascii="Times New Roman" w:hAnsi="Times New Roman"/>
                <w:sz w:val="24"/>
                <w:szCs w:val="24"/>
              </w:rPr>
            </w:pPr>
            <w:r>
              <w:rPr>
                <w:rFonts w:ascii="Times New Roman" w:hAnsi="Times New Roman"/>
                <w:sz w:val="24"/>
                <w:szCs w:val="24"/>
              </w:rPr>
              <w:t xml:space="preserve">More </w:t>
            </w:r>
            <w:proofErr w:type="gramStart"/>
            <w:r>
              <w:rPr>
                <w:rFonts w:ascii="Times New Roman" w:hAnsi="Times New Roman"/>
                <w:sz w:val="24"/>
                <w:szCs w:val="24"/>
              </w:rPr>
              <w:t>severe(</w:t>
            </w:r>
            <w:proofErr w:type="gramEnd"/>
            <w:r>
              <w:rPr>
                <w:rFonts w:ascii="Times New Roman" w:hAnsi="Times New Roman"/>
                <w:sz w:val="24"/>
                <w:szCs w:val="24"/>
              </w:rPr>
              <w:t>n%)</w:t>
            </w:r>
          </w:p>
        </w:tc>
        <w:tc>
          <w:tcPr>
            <w:tcW w:w="1218" w:type="dxa"/>
            <w:tcBorders>
              <w:top w:val="nil"/>
              <w:left w:val="nil"/>
              <w:bottom w:val="nil"/>
              <w:right w:val="nil"/>
            </w:tcBorders>
          </w:tcPr>
          <w:p w14:paraId="0AF49B59" w14:textId="77777777" w:rsidR="005E59D6" w:rsidRPr="000002B4" w:rsidRDefault="005E59D6" w:rsidP="005E59D6">
            <w:pPr>
              <w:jc w:val="center"/>
              <w:rPr>
                <w:rFonts w:ascii="Times New Roman" w:hAnsi="Times New Roman" w:cs="Times New Roman"/>
                <w:sz w:val="24"/>
                <w:szCs w:val="24"/>
              </w:rPr>
            </w:pPr>
          </w:p>
        </w:tc>
        <w:tc>
          <w:tcPr>
            <w:tcW w:w="1732" w:type="dxa"/>
            <w:tcBorders>
              <w:top w:val="nil"/>
              <w:left w:val="nil"/>
              <w:bottom w:val="nil"/>
              <w:right w:val="nil"/>
            </w:tcBorders>
          </w:tcPr>
          <w:p w14:paraId="64F85B0E" w14:textId="77777777" w:rsidR="005E59D6" w:rsidRPr="000002B4" w:rsidRDefault="005E59D6" w:rsidP="005E59D6">
            <w:pPr>
              <w:jc w:val="center"/>
              <w:rPr>
                <w:rFonts w:ascii="Times New Roman" w:hAnsi="Times New Roman" w:cs="Times New Roman"/>
                <w:sz w:val="24"/>
                <w:szCs w:val="24"/>
              </w:rPr>
            </w:pPr>
            <w:r w:rsidRPr="00A701EF">
              <w:rPr>
                <w:rFonts w:ascii="Times New Roman" w:hAnsi="Times New Roman" w:cs="Times New Roman"/>
                <w:sz w:val="24"/>
                <w:szCs w:val="24"/>
              </w:rPr>
              <w:t>22(46.8</w:t>
            </w:r>
            <w:r>
              <w:rPr>
                <w:rFonts w:ascii="Times New Roman" w:hAnsi="Times New Roman" w:cs="Times New Roman"/>
                <w:sz w:val="24"/>
                <w:szCs w:val="24"/>
              </w:rPr>
              <w:t>%)</w:t>
            </w:r>
          </w:p>
        </w:tc>
        <w:tc>
          <w:tcPr>
            <w:tcW w:w="2454" w:type="dxa"/>
            <w:tcBorders>
              <w:top w:val="nil"/>
              <w:left w:val="nil"/>
              <w:bottom w:val="nil"/>
              <w:right w:val="nil"/>
            </w:tcBorders>
          </w:tcPr>
          <w:p w14:paraId="26CA0AFE" w14:textId="77777777" w:rsidR="005E59D6" w:rsidRPr="000002B4" w:rsidRDefault="005E59D6" w:rsidP="005E59D6">
            <w:pPr>
              <w:jc w:val="center"/>
              <w:rPr>
                <w:rFonts w:ascii="Times New Roman" w:hAnsi="Times New Roman" w:cs="Times New Roman"/>
                <w:sz w:val="24"/>
                <w:szCs w:val="24"/>
              </w:rPr>
            </w:pPr>
            <w:r>
              <w:rPr>
                <w:rFonts w:ascii="Times New Roman" w:hAnsi="Times New Roman" w:cs="Times New Roman"/>
                <w:sz w:val="24"/>
                <w:szCs w:val="24"/>
              </w:rPr>
              <w:t xml:space="preserve">        </w:t>
            </w:r>
            <w:r w:rsidRPr="000002B4">
              <w:rPr>
                <w:rFonts w:ascii="Times New Roman" w:hAnsi="Times New Roman" w:cs="Times New Roman"/>
                <w:sz w:val="24"/>
                <w:szCs w:val="24"/>
              </w:rPr>
              <w:t>38</w:t>
            </w:r>
            <w:r>
              <w:rPr>
                <w:rFonts w:ascii="Times New Roman" w:hAnsi="Times New Roman" w:cs="Times New Roman"/>
                <w:sz w:val="24"/>
                <w:szCs w:val="24"/>
              </w:rPr>
              <w:t>(79.2%)</w:t>
            </w:r>
          </w:p>
        </w:tc>
        <w:tc>
          <w:tcPr>
            <w:tcW w:w="1010" w:type="dxa"/>
            <w:tcBorders>
              <w:top w:val="nil"/>
              <w:left w:val="nil"/>
              <w:bottom w:val="nil"/>
              <w:right w:val="nil"/>
            </w:tcBorders>
          </w:tcPr>
          <w:p w14:paraId="3014831F" w14:textId="77777777" w:rsidR="005E59D6" w:rsidRPr="000002B4" w:rsidRDefault="005E59D6" w:rsidP="005E59D6">
            <w:pPr>
              <w:jc w:val="center"/>
              <w:rPr>
                <w:rFonts w:ascii="Times New Roman" w:hAnsi="Times New Roman" w:cs="Times New Roman"/>
                <w:sz w:val="24"/>
                <w:szCs w:val="24"/>
              </w:rPr>
            </w:pPr>
          </w:p>
        </w:tc>
      </w:tr>
      <w:tr w:rsidR="005E59D6" w14:paraId="27039004" w14:textId="77777777" w:rsidTr="002B7B95">
        <w:trPr>
          <w:trHeight w:val="368"/>
        </w:trPr>
        <w:tc>
          <w:tcPr>
            <w:tcW w:w="2246" w:type="dxa"/>
            <w:tcBorders>
              <w:top w:val="nil"/>
              <w:left w:val="nil"/>
              <w:right w:val="nil"/>
            </w:tcBorders>
          </w:tcPr>
          <w:p w14:paraId="2B0955C4" w14:textId="77777777" w:rsidR="005E59D6" w:rsidRDefault="005E59D6" w:rsidP="005E59D6">
            <w:pPr>
              <w:jc w:val="both"/>
              <w:rPr>
                <w:rFonts w:ascii="Times New Roman" w:hAnsi="Times New Roman" w:cs="Times New Roman"/>
                <w:sz w:val="24"/>
                <w:szCs w:val="24"/>
              </w:rPr>
            </w:pPr>
          </w:p>
        </w:tc>
        <w:tc>
          <w:tcPr>
            <w:tcW w:w="1218" w:type="dxa"/>
            <w:tcBorders>
              <w:top w:val="nil"/>
              <w:left w:val="nil"/>
              <w:right w:val="nil"/>
            </w:tcBorders>
          </w:tcPr>
          <w:p w14:paraId="202C07D6" w14:textId="77777777" w:rsidR="005E59D6" w:rsidRDefault="005E59D6" w:rsidP="005E59D6">
            <w:pPr>
              <w:jc w:val="both"/>
              <w:rPr>
                <w:rFonts w:ascii="Times New Roman" w:hAnsi="Times New Roman" w:cs="Times New Roman"/>
                <w:sz w:val="24"/>
                <w:szCs w:val="24"/>
              </w:rPr>
            </w:pPr>
          </w:p>
        </w:tc>
        <w:tc>
          <w:tcPr>
            <w:tcW w:w="1732" w:type="dxa"/>
            <w:tcBorders>
              <w:top w:val="nil"/>
              <w:left w:val="nil"/>
              <w:right w:val="nil"/>
            </w:tcBorders>
          </w:tcPr>
          <w:p w14:paraId="54356918" w14:textId="77777777" w:rsidR="005E59D6" w:rsidRDefault="005E59D6" w:rsidP="005E59D6">
            <w:pPr>
              <w:jc w:val="both"/>
              <w:rPr>
                <w:rFonts w:ascii="Times New Roman" w:hAnsi="Times New Roman" w:cs="Times New Roman"/>
                <w:sz w:val="24"/>
                <w:szCs w:val="24"/>
              </w:rPr>
            </w:pPr>
          </w:p>
        </w:tc>
        <w:tc>
          <w:tcPr>
            <w:tcW w:w="2454" w:type="dxa"/>
            <w:tcBorders>
              <w:top w:val="nil"/>
              <w:left w:val="nil"/>
              <w:right w:val="nil"/>
            </w:tcBorders>
          </w:tcPr>
          <w:p w14:paraId="200D9B15" w14:textId="77777777" w:rsidR="005E59D6" w:rsidRDefault="005E59D6" w:rsidP="005E59D6">
            <w:pPr>
              <w:jc w:val="both"/>
              <w:rPr>
                <w:rFonts w:ascii="Times New Roman" w:hAnsi="Times New Roman" w:cs="Times New Roman"/>
                <w:sz w:val="24"/>
                <w:szCs w:val="24"/>
              </w:rPr>
            </w:pPr>
          </w:p>
        </w:tc>
        <w:tc>
          <w:tcPr>
            <w:tcW w:w="1010" w:type="dxa"/>
            <w:tcBorders>
              <w:top w:val="nil"/>
              <w:left w:val="nil"/>
              <w:right w:val="nil"/>
            </w:tcBorders>
          </w:tcPr>
          <w:p w14:paraId="4503348B" w14:textId="77777777" w:rsidR="005E59D6" w:rsidRDefault="005E59D6" w:rsidP="005E59D6">
            <w:pPr>
              <w:jc w:val="both"/>
              <w:rPr>
                <w:rFonts w:ascii="Times New Roman" w:hAnsi="Times New Roman" w:cs="Times New Roman"/>
                <w:sz w:val="24"/>
                <w:szCs w:val="24"/>
              </w:rPr>
            </w:pPr>
          </w:p>
        </w:tc>
      </w:tr>
    </w:tbl>
    <w:p w14:paraId="4EB8A2EC" w14:textId="77777777" w:rsidR="005E59D6" w:rsidRPr="00D978A6" w:rsidRDefault="005E59D6" w:rsidP="005E59D6">
      <w:pPr>
        <w:spacing w:line="360" w:lineRule="auto"/>
        <w:jc w:val="both"/>
        <w:rPr>
          <w:rFonts w:ascii="Times New Roman" w:hAnsi="Times New Roman" w:cs="Times New Roman"/>
          <w:sz w:val="24"/>
          <w:szCs w:val="24"/>
        </w:rPr>
      </w:pPr>
    </w:p>
    <w:p w14:paraId="1C4F1DCA" w14:textId="77777777" w:rsidR="005E59D6" w:rsidRDefault="005E59D6" w:rsidP="005E59D6">
      <w:pPr>
        <w:spacing w:line="360" w:lineRule="auto"/>
        <w:jc w:val="both"/>
        <w:rPr>
          <w:rFonts w:ascii="Times New Roman" w:hAnsi="Times New Roman" w:cs="Times New Roman"/>
          <w:sz w:val="24"/>
          <w:szCs w:val="24"/>
        </w:rPr>
      </w:pPr>
    </w:p>
    <w:p w14:paraId="223690FF" w14:textId="77777777" w:rsidR="005E59D6" w:rsidRDefault="005E59D6" w:rsidP="005E59D6">
      <w:pPr>
        <w:spacing w:line="360" w:lineRule="auto"/>
        <w:jc w:val="both"/>
        <w:rPr>
          <w:rFonts w:ascii="Times New Roman" w:hAnsi="Times New Roman" w:cs="Times New Roman"/>
          <w:sz w:val="24"/>
          <w:szCs w:val="24"/>
        </w:rPr>
      </w:pPr>
    </w:p>
    <w:p w14:paraId="22654C79" w14:textId="77777777" w:rsidR="005E59D6" w:rsidRDefault="005E59D6" w:rsidP="005E59D6">
      <w:pPr>
        <w:spacing w:line="360" w:lineRule="auto"/>
        <w:jc w:val="center"/>
        <w:rPr>
          <w:rFonts w:ascii="Times New Roman" w:hAnsi="Times New Roman" w:cs="Times New Roman"/>
          <w:b/>
          <w:sz w:val="24"/>
          <w:szCs w:val="24"/>
        </w:rPr>
      </w:pPr>
      <w:r>
        <w:rPr>
          <w:rFonts w:ascii="Times New Roman" w:hAnsi="Times New Roman" w:cs="Times New Roman"/>
          <w:b/>
          <w:sz w:val="24"/>
          <w:szCs w:val="24"/>
        </w:rPr>
        <w:t>Table 2</w:t>
      </w:r>
      <w:r w:rsidRPr="00A701EF">
        <w:rPr>
          <w:rFonts w:ascii="Times New Roman" w:hAnsi="Times New Roman" w:cs="Times New Roman"/>
          <w:b/>
          <w:sz w:val="24"/>
          <w:szCs w:val="24"/>
        </w:rPr>
        <w:t>: Distribution of the study patients by examination findings (n=95)</w:t>
      </w:r>
    </w:p>
    <w:p w14:paraId="23337C86" w14:textId="77777777" w:rsidR="005E59D6" w:rsidRDefault="005E59D6" w:rsidP="005E59D6">
      <w:pPr>
        <w:spacing w:line="360" w:lineRule="auto"/>
        <w:jc w:val="both"/>
        <w:rPr>
          <w:rFonts w:ascii="Times New Roman" w:hAnsi="Times New Roman" w:cs="Times New Roman"/>
          <w:sz w:val="24"/>
          <w:szCs w:val="24"/>
        </w:rPr>
      </w:pPr>
      <w:r w:rsidRPr="00A701EF">
        <w:rPr>
          <w:rFonts w:ascii="Times New Roman" w:hAnsi="Times New Roman" w:cs="Times New Roman"/>
          <w:sz w:val="24"/>
          <w:szCs w:val="24"/>
        </w:rPr>
        <w:t>Almost two third (63.8%) patients had normal ECG finding in group I and 10(20.8%) in group II. The difference was statistically significant (p&lt;0.05) between two groups.</w:t>
      </w:r>
      <w:r w:rsidRPr="00A701EF">
        <w:t xml:space="preserve"> </w:t>
      </w:r>
      <w:r w:rsidRPr="00A701EF">
        <w:rPr>
          <w:rFonts w:ascii="Times New Roman" w:hAnsi="Times New Roman" w:cs="Times New Roman"/>
          <w:sz w:val="24"/>
          <w:szCs w:val="24"/>
        </w:rPr>
        <w:t>The mean serum cardiac troponin I was 0.12±0.05 in group I and 0.65±0.36 in group II. The RBG was 6.09±1.82 in group I and 9.94±3.17 in group II. The mean serum creatinine was 1.09±0.2 in group I and 1.14±0.18 in group II. The difference of serum cardiac troponin I was statistically significant (p&lt;0.05) between two groups</w:t>
      </w:r>
      <w:r>
        <w:rPr>
          <w:rFonts w:ascii="Times New Roman" w:hAnsi="Times New Roman" w:cs="Times New Roman"/>
          <w:sz w:val="24"/>
          <w:szCs w:val="24"/>
        </w:rPr>
        <w:t xml:space="preserve"> (table-3)</w:t>
      </w:r>
      <w:r w:rsidRPr="00A701EF">
        <w:rPr>
          <w:rFonts w:ascii="Times New Roman" w:hAnsi="Times New Roman" w:cs="Times New Roman"/>
          <w:sz w:val="24"/>
          <w:szCs w:val="24"/>
        </w:rPr>
        <w:t xml:space="preserve">.  </w:t>
      </w:r>
      <w:r w:rsidRPr="0058399A">
        <w:rPr>
          <w:rFonts w:ascii="Times New Roman" w:hAnsi="Times New Roman" w:cs="Times New Roman"/>
          <w:sz w:val="24"/>
          <w:szCs w:val="24"/>
        </w:rPr>
        <w:t>The mean Serum cardiac troponin I was 0.24±0.21 in independent, 0.35±0.24 in dependent and 0.85±0.43 in death. The difference was statistically significant (p&lt;0.05) among the groups</w:t>
      </w:r>
      <w:r>
        <w:rPr>
          <w:rFonts w:ascii="Times New Roman" w:hAnsi="Times New Roman" w:cs="Times New Roman"/>
          <w:sz w:val="24"/>
          <w:szCs w:val="24"/>
        </w:rPr>
        <w:t xml:space="preserve">. </w:t>
      </w:r>
    </w:p>
    <w:p w14:paraId="4B8709EF" w14:textId="77777777" w:rsidR="007035BA" w:rsidRDefault="007035BA" w:rsidP="005E59D6">
      <w:pPr>
        <w:spacing w:line="360" w:lineRule="auto"/>
        <w:jc w:val="both"/>
        <w:rPr>
          <w:rFonts w:ascii="Times New Roman" w:hAnsi="Times New Roman" w:cs="Times New Roman"/>
          <w:sz w:val="24"/>
          <w:szCs w:val="24"/>
        </w:rPr>
      </w:pPr>
    </w:p>
    <w:p w14:paraId="169502EC" w14:textId="77777777" w:rsidR="007035BA" w:rsidRDefault="007035BA" w:rsidP="005E59D6">
      <w:pPr>
        <w:spacing w:line="360" w:lineRule="auto"/>
        <w:jc w:val="both"/>
        <w:rPr>
          <w:rFonts w:ascii="Times New Roman" w:hAnsi="Times New Roman" w:cs="Times New Roman"/>
          <w:sz w:val="24"/>
          <w:szCs w:val="24"/>
        </w:rPr>
      </w:pPr>
    </w:p>
    <w:p w14:paraId="6D9DDD31" w14:textId="77777777" w:rsidR="007035BA" w:rsidRDefault="007035BA" w:rsidP="005E59D6">
      <w:pPr>
        <w:spacing w:line="360" w:lineRule="auto"/>
        <w:jc w:val="both"/>
        <w:rPr>
          <w:rFonts w:ascii="Times New Roman" w:hAnsi="Times New Roman" w:cs="Times New Roman"/>
          <w:sz w:val="24"/>
          <w:szCs w:val="24"/>
        </w:rPr>
      </w:pPr>
    </w:p>
    <w:p w14:paraId="5C3B8940" w14:textId="77777777" w:rsidR="007035BA" w:rsidRDefault="007035BA" w:rsidP="005E59D6">
      <w:pPr>
        <w:spacing w:line="360" w:lineRule="auto"/>
        <w:jc w:val="both"/>
        <w:rPr>
          <w:rFonts w:ascii="Times New Roman" w:hAnsi="Times New Roman" w:cs="Times New Roman"/>
          <w:sz w:val="24"/>
          <w:szCs w:val="24"/>
        </w:rPr>
      </w:pPr>
    </w:p>
    <w:p w14:paraId="730D3E2E" w14:textId="77777777" w:rsidR="007035BA" w:rsidRDefault="007035BA" w:rsidP="005E59D6">
      <w:pPr>
        <w:spacing w:line="360" w:lineRule="auto"/>
        <w:jc w:val="both"/>
        <w:rPr>
          <w:rFonts w:ascii="Times New Roman" w:hAnsi="Times New Roman" w:cs="Times New Roman"/>
          <w:sz w:val="24"/>
          <w:szCs w:val="24"/>
        </w:rPr>
      </w:pPr>
    </w:p>
    <w:p w14:paraId="5E17540F" w14:textId="77777777" w:rsidR="007035BA" w:rsidRDefault="007035BA" w:rsidP="005E59D6">
      <w:pPr>
        <w:spacing w:line="360" w:lineRule="auto"/>
        <w:jc w:val="both"/>
        <w:rPr>
          <w:rFonts w:ascii="Times New Roman" w:hAnsi="Times New Roman" w:cs="Times New Roman"/>
          <w:sz w:val="24"/>
          <w:szCs w:val="24"/>
        </w:rPr>
      </w:pPr>
    </w:p>
    <w:p w14:paraId="4000AC46" w14:textId="77777777" w:rsidR="007035BA" w:rsidRDefault="007035BA" w:rsidP="005E59D6">
      <w:pPr>
        <w:spacing w:line="360" w:lineRule="auto"/>
        <w:jc w:val="both"/>
        <w:rPr>
          <w:rFonts w:ascii="Times New Roman" w:hAnsi="Times New Roman" w:cs="Times New Roman"/>
          <w:sz w:val="24"/>
          <w:szCs w:val="24"/>
        </w:rPr>
      </w:pPr>
    </w:p>
    <w:tbl>
      <w:tblPr>
        <w:tblW w:w="8637" w:type="dxa"/>
        <w:tblLayout w:type="fixed"/>
        <w:tblCellMar>
          <w:left w:w="0" w:type="dxa"/>
          <w:right w:w="0" w:type="dxa"/>
        </w:tblCellMar>
        <w:tblLook w:val="0000" w:firstRow="0" w:lastRow="0" w:firstColumn="0" w:lastColumn="0" w:noHBand="0" w:noVBand="0"/>
      </w:tblPr>
      <w:tblGrid>
        <w:gridCol w:w="3240"/>
        <w:gridCol w:w="360"/>
        <w:gridCol w:w="720"/>
        <w:gridCol w:w="91"/>
        <w:gridCol w:w="809"/>
        <w:gridCol w:w="180"/>
        <w:gridCol w:w="540"/>
        <w:gridCol w:w="631"/>
        <w:gridCol w:w="269"/>
        <w:gridCol w:w="717"/>
        <w:gridCol w:w="723"/>
        <w:gridCol w:w="357"/>
      </w:tblGrid>
      <w:tr w:rsidR="005E59D6" w:rsidRPr="005349C0" w14:paraId="68CEFE66" w14:textId="77777777" w:rsidTr="002B7B95">
        <w:trPr>
          <w:gridAfter w:val="1"/>
          <w:wAfter w:w="357" w:type="dxa"/>
          <w:trHeight w:val="253"/>
        </w:trPr>
        <w:tc>
          <w:tcPr>
            <w:tcW w:w="3600" w:type="dxa"/>
            <w:gridSpan w:val="2"/>
            <w:tcBorders>
              <w:top w:val="single" w:sz="4" w:space="0" w:color="auto"/>
            </w:tcBorders>
            <w:shd w:val="clear" w:color="auto" w:fill="auto"/>
            <w:noWrap/>
          </w:tcPr>
          <w:p w14:paraId="093CEDDC" w14:textId="77777777" w:rsidR="005E59D6" w:rsidRPr="005349C0" w:rsidRDefault="005E59D6" w:rsidP="005E59D6">
            <w:pPr>
              <w:spacing w:line="240" w:lineRule="auto"/>
              <w:rPr>
                <w:rFonts w:ascii="Times New Roman" w:hAnsi="Times New Roman" w:cs="Times New Roman"/>
                <w:b/>
                <w:sz w:val="24"/>
                <w:szCs w:val="24"/>
              </w:rPr>
            </w:pPr>
            <w:r w:rsidRPr="005349C0">
              <w:rPr>
                <w:rFonts w:ascii="Times New Roman" w:hAnsi="Times New Roman" w:cs="Times New Roman"/>
                <w:b/>
                <w:sz w:val="24"/>
                <w:szCs w:val="24"/>
              </w:rPr>
              <w:lastRenderedPageBreak/>
              <w:t>ECG finding</w:t>
            </w:r>
          </w:p>
        </w:tc>
        <w:tc>
          <w:tcPr>
            <w:tcW w:w="1620" w:type="dxa"/>
            <w:gridSpan w:val="3"/>
            <w:tcBorders>
              <w:top w:val="single" w:sz="4" w:space="0" w:color="auto"/>
              <w:bottom w:val="single" w:sz="4" w:space="0" w:color="auto"/>
            </w:tcBorders>
            <w:shd w:val="clear" w:color="auto" w:fill="auto"/>
            <w:noWrap/>
          </w:tcPr>
          <w:p w14:paraId="017DC7D9" w14:textId="77777777" w:rsidR="005E59D6" w:rsidRPr="005349C0" w:rsidRDefault="005E59D6" w:rsidP="005E59D6">
            <w:pPr>
              <w:spacing w:line="240" w:lineRule="auto"/>
              <w:jc w:val="center"/>
              <w:rPr>
                <w:rFonts w:ascii="Times New Roman" w:hAnsi="Times New Roman" w:cs="Times New Roman"/>
                <w:b/>
                <w:sz w:val="24"/>
                <w:szCs w:val="24"/>
              </w:rPr>
            </w:pPr>
            <w:r w:rsidRPr="005349C0">
              <w:rPr>
                <w:rFonts w:ascii="Times New Roman" w:hAnsi="Times New Roman" w:cs="Times New Roman"/>
                <w:b/>
                <w:sz w:val="24"/>
                <w:szCs w:val="24"/>
              </w:rPr>
              <w:t>Group-I</w:t>
            </w:r>
          </w:p>
          <w:p w14:paraId="516888C7" w14:textId="77777777" w:rsidR="005E59D6" w:rsidRPr="005349C0" w:rsidRDefault="005E59D6" w:rsidP="005E59D6">
            <w:pPr>
              <w:spacing w:line="240" w:lineRule="auto"/>
              <w:jc w:val="center"/>
              <w:rPr>
                <w:rFonts w:ascii="Times New Roman" w:hAnsi="Times New Roman" w:cs="Times New Roman"/>
                <w:b/>
                <w:sz w:val="24"/>
                <w:szCs w:val="24"/>
              </w:rPr>
            </w:pPr>
            <w:r w:rsidRPr="005349C0">
              <w:rPr>
                <w:rFonts w:ascii="Times New Roman" w:hAnsi="Times New Roman" w:cs="Times New Roman"/>
                <w:b/>
                <w:sz w:val="24"/>
                <w:szCs w:val="24"/>
              </w:rPr>
              <w:t>(</w:t>
            </w:r>
            <w:r>
              <w:rPr>
                <w:rFonts w:ascii="Times New Roman" w:hAnsi="Times New Roman" w:cs="Times New Roman"/>
                <w:b/>
                <w:sz w:val="24"/>
                <w:szCs w:val="24"/>
              </w:rPr>
              <w:t>n</w:t>
            </w:r>
            <w:r w:rsidRPr="005349C0">
              <w:rPr>
                <w:rFonts w:ascii="Times New Roman" w:hAnsi="Times New Roman" w:cs="Times New Roman"/>
                <w:b/>
                <w:sz w:val="24"/>
                <w:szCs w:val="24"/>
              </w:rPr>
              <w:t>=47)</w:t>
            </w:r>
          </w:p>
        </w:tc>
        <w:tc>
          <w:tcPr>
            <w:tcW w:w="1620" w:type="dxa"/>
            <w:gridSpan w:val="4"/>
            <w:tcBorders>
              <w:top w:val="single" w:sz="4" w:space="0" w:color="auto"/>
              <w:bottom w:val="single" w:sz="4" w:space="0" w:color="auto"/>
            </w:tcBorders>
            <w:shd w:val="clear" w:color="auto" w:fill="auto"/>
            <w:noWrap/>
          </w:tcPr>
          <w:p w14:paraId="325415EF" w14:textId="77777777" w:rsidR="005E59D6" w:rsidRPr="005349C0" w:rsidRDefault="005E59D6" w:rsidP="005E59D6">
            <w:pPr>
              <w:spacing w:line="240" w:lineRule="auto"/>
              <w:jc w:val="center"/>
              <w:rPr>
                <w:rFonts w:ascii="Times New Roman" w:hAnsi="Times New Roman" w:cs="Times New Roman"/>
                <w:b/>
                <w:sz w:val="24"/>
                <w:szCs w:val="24"/>
              </w:rPr>
            </w:pPr>
            <w:r w:rsidRPr="005349C0">
              <w:rPr>
                <w:rFonts w:ascii="Times New Roman" w:hAnsi="Times New Roman" w:cs="Times New Roman"/>
                <w:b/>
                <w:sz w:val="24"/>
                <w:szCs w:val="24"/>
              </w:rPr>
              <w:t>Group-II</w:t>
            </w:r>
          </w:p>
          <w:p w14:paraId="5EDA3662" w14:textId="77777777" w:rsidR="005E59D6" w:rsidRPr="005349C0" w:rsidRDefault="005E59D6" w:rsidP="005E59D6">
            <w:pPr>
              <w:spacing w:line="240" w:lineRule="auto"/>
              <w:jc w:val="center"/>
              <w:rPr>
                <w:rFonts w:ascii="Times New Roman" w:hAnsi="Times New Roman" w:cs="Times New Roman"/>
                <w:b/>
                <w:sz w:val="24"/>
                <w:szCs w:val="24"/>
              </w:rPr>
            </w:pPr>
            <w:r w:rsidRPr="005349C0">
              <w:rPr>
                <w:rFonts w:ascii="Times New Roman" w:hAnsi="Times New Roman" w:cs="Times New Roman"/>
                <w:b/>
                <w:sz w:val="24"/>
                <w:szCs w:val="24"/>
              </w:rPr>
              <w:t xml:space="preserve"> (</w:t>
            </w:r>
            <w:r>
              <w:rPr>
                <w:rFonts w:ascii="Times New Roman" w:hAnsi="Times New Roman" w:cs="Times New Roman"/>
                <w:b/>
                <w:sz w:val="24"/>
                <w:szCs w:val="24"/>
              </w:rPr>
              <w:t>n</w:t>
            </w:r>
            <w:r w:rsidRPr="005349C0">
              <w:rPr>
                <w:rFonts w:ascii="Times New Roman" w:hAnsi="Times New Roman" w:cs="Times New Roman"/>
                <w:b/>
                <w:sz w:val="24"/>
                <w:szCs w:val="24"/>
              </w:rPr>
              <w:t>=48)</w:t>
            </w:r>
          </w:p>
        </w:tc>
        <w:tc>
          <w:tcPr>
            <w:tcW w:w="1440" w:type="dxa"/>
            <w:gridSpan w:val="2"/>
            <w:tcBorders>
              <w:top w:val="single" w:sz="4" w:space="0" w:color="auto"/>
            </w:tcBorders>
            <w:shd w:val="clear" w:color="auto" w:fill="auto"/>
            <w:vAlign w:val="center"/>
          </w:tcPr>
          <w:p w14:paraId="74652F28" w14:textId="77777777" w:rsidR="005E59D6" w:rsidRPr="005349C0" w:rsidRDefault="005E59D6" w:rsidP="005E59D6">
            <w:pPr>
              <w:spacing w:line="240" w:lineRule="auto"/>
              <w:jc w:val="center"/>
              <w:rPr>
                <w:rFonts w:ascii="Times New Roman" w:hAnsi="Times New Roman" w:cs="Times New Roman"/>
                <w:b/>
                <w:sz w:val="24"/>
                <w:szCs w:val="24"/>
              </w:rPr>
            </w:pPr>
            <w:r w:rsidRPr="005349C0">
              <w:rPr>
                <w:rFonts w:ascii="Times New Roman" w:hAnsi="Times New Roman" w:cs="Times New Roman"/>
                <w:b/>
                <w:i/>
                <w:sz w:val="24"/>
                <w:szCs w:val="24"/>
              </w:rPr>
              <w:t>p</w:t>
            </w:r>
            <w:r w:rsidRPr="005349C0">
              <w:rPr>
                <w:rFonts w:ascii="Times New Roman" w:hAnsi="Times New Roman" w:cs="Times New Roman"/>
                <w:b/>
                <w:sz w:val="24"/>
                <w:szCs w:val="24"/>
              </w:rPr>
              <w:t xml:space="preserve"> value</w:t>
            </w:r>
          </w:p>
        </w:tc>
      </w:tr>
      <w:tr w:rsidR="005E59D6" w:rsidRPr="005349C0" w14:paraId="28AE1FD3" w14:textId="77777777" w:rsidTr="002B7B95">
        <w:trPr>
          <w:gridAfter w:val="1"/>
          <w:wAfter w:w="357" w:type="dxa"/>
          <w:trHeight w:val="253"/>
        </w:trPr>
        <w:tc>
          <w:tcPr>
            <w:tcW w:w="3600" w:type="dxa"/>
            <w:gridSpan w:val="2"/>
            <w:tcBorders>
              <w:bottom w:val="single" w:sz="4" w:space="0" w:color="auto"/>
            </w:tcBorders>
            <w:shd w:val="clear" w:color="auto" w:fill="auto"/>
            <w:noWrap/>
          </w:tcPr>
          <w:p w14:paraId="68028C68" w14:textId="77777777" w:rsidR="005E59D6" w:rsidRPr="005349C0" w:rsidRDefault="005E59D6" w:rsidP="005E59D6">
            <w:pPr>
              <w:spacing w:line="240" w:lineRule="auto"/>
              <w:jc w:val="both"/>
              <w:rPr>
                <w:rFonts w:ascii="Times New Roman" w:hAnsi="Times New Roman" w:cs="Times New Roman"/>
                <w:sz w:val="24"/>
                <w:szCs w:val="24"/>
              </w:rPr>
            </w:pPr>
          </w:p>
        </w:tc>
        <w:tc>
          <w:tcPr>
            <w:tcW w:w="720" w:type="dxa"/>
            <w:tcBorders>
              <w:top w:val="single" w:sz="4" w:space="0" w:color="auto"/>
              <w:bottom w:val="single" w:sz="4" w:space="0" w:color="auto"/>
            </w:tcBorders>
            <w:shd w:val="clear" w:color="auto" w:fill="auto"/>
            <w:noWrap/>
          </w:tcPr>
          <w:p w14:paraId="44D16D90" w14:textId="77777777" w:rsidR="005E59D6" w:rsidRPr="005349C0" w:rsidRDefault="005E59D6" w:rsidP="005E59D6">
            <w:pPr>
              <w:spacing w:line="240" w:lineRule="auto"/>
              <w:jc w:val="center"/>
              <w:rPr>
                <w:rFonts w:ascii="Times New Roman" w:hAnsi="Times New Roman" w:cs="Times New Roman"/>
                <w:b/>
                <w:sz w:val="24"/>
                <w:szCs w:val="24"/>
              </w:rPr>
            </w:pPr>
            <w:r>
              <w:rPr>
                <w:rFonts w:ascii="Times New Roman" w:hAnsi="Times New Roman" w:cs="Times New Roman"/>
                <w:b/>
                <w:sz w:val="24"/>
                <w:szCs w:val="24"/>
              </w:rPr>
              <w:t>n</w:t>
            </w:r>
          </w:p>
        </w:tc>
        <w:tc>
          <w:tcPr>
            <w:tcW w:w="900" w:type="dxa"/>
            <w:gridSpan w:val="2"/>
            <w:tcBorders>
              <w:top w:val="single" w:sz="4" w:space="0" w:color="auto"/>
              <w:bottom w:val="single" w:sz="4" w:space="0" w:color="auto"/>
            </w:tcBorders>
            <w:shd w:val="clear" w:color="auto" w:fill="auto"/>
            <w:noWrap/>
          </w:tcPr>
          <w:p w14:paraId="316509DA" w14:textId="77777777" w:rsidR="005E59D6" w:rsidRPr="005349C0" w:rsidRDefault="005E59D6" w:rsidP="005E59D6">
            <w:pPr>
              <w:spacing w:line="240" w:lineRule="auto"/>
              <w:jc w:val="center"/>
              <w:rPr>
                <w:rFonts w:ascii="Times New Roman" w:hAnsi="Times New Roman" w:cs="Times New Roman"/>
                <w:b/>
                <w:sz w:val="24"/>
                <w:szCs w:val="24"/>
              </w:rPr>
            </w:pPr>
            <w:r w:rsidRPr="005349C0">
              <w:rPr>
                <w:rFonts w:ascii="Times New Roman" w:hAnsi="Times New Roman" w:cs="Times New Roman"/>
                <w:b/>
                <w:sz w:val="24"/>
                <w:szCs w:val="24"/>
              </w:rPr>
              <w:t>%</w:t>
            </w:r>
          </w:p>
        </w:tc>
        <w:tc>
          <w:tcPr>
            <w:tcW w:w="720" w:type="dxa"/>
            <w:gridSpan w:val="2"/>
            <w:tcBorders>
              <w:top w:val="single" w:sz="4" w:space="0" w:color="auto"/>
              <w:bottom w:val="single" w:sz="4" w:space="0" w:color="auto"/>
            </w:tcBorders>
            <w:shd w:val="clear" w:color="auto" w:fill="auto"/>
            <w:noWrap/>
          </w:tcPr>
          <w:p w14:paraId="0C37B030" w14:textId="77777777" w:rsidR="005E59D6" w:rsidRPr="005349C0" w:rsidRDefault="005E59D6" w:rsidP="005E59D6">
            <w:pPr>
              <w:spacing w:line="240" w:lineRule="auto"/>
              <w:jc w:val="center"/>
              <w:rPr>
                <w:rFonts w:ascii="Times New Roman" w:hAnsi="Times New Roman" w:cs="Times New Roman"/>
                <w:b/>
                <w:sz w:val="24"/>
                <w:szCs w:val="24"/>
              </w:rPr>
            </w:pPr>
            <w:r>
              <w:rPr>
                <w:rFonts w:ascii="Times New Roman" w:hAnsi="Times New Roman" w:cs="Times New Roman"/>
                <w:b/>
                <w:sz w:val="24"/>
                <w:szCs w:val="24"/>
              </w:rPr>
              <w:t>n</w:t>
            </w:r>
          </w:p>
        </w:tc>
        <w:tc>
          <w:tcPr>
            <w:tcW w:w="900" w:type="dxa"/>
            <w:gridSpan w:val="2"/>
            <w:tcBorders>
              <w:top w:val="single" w:sz="4" w:space="0" w:color="auto"/>
              <w:bottom w:val="single" w:sz="4" w:space="0" w:color="auto"/>
            </w:tcBorders>
            <w:shd w:val="clear" w:color="auto" w:fill="auto"/>
            <w:noWrap/>
          </w:tcPr>
          <w:p w14:paraId="4F6ED98F" w14:textId="77777777" w:rsidR="005E59D6" w:rsidRPr="005349C0" w:rsidRDefault="005E59D6" w:rsidP="005E59D6">
            <w:pPr>
              <w:spacing w:line="240" w:lineRule="auto"/>
              <w:jc w:val="center"/>
              <w:rPr>
                <w:rFonts w:ascii="Times New Roman" w:hAnsi="Times New Roman" w:cs="Times New Roman"/>
                <w:b/>
                <w:sz w:val="24"/>
                <w:szCs w:val="24"/>
              </w:rPr>
            </w:pPr>
            <w:r w:rsidRPr="005349C0">
              <w:rPr>
                <w:rFonts w:ascii="Times New Roman" w:hAnsi="Times New Roman" w:cs="Times New Roman"/>
                <w:b/>
                <w:sz w:val="24"/>
                <w:szCs w:val="24"/>
              </w:rPr>
              <w:t>%</w:t>
            </w:r>
          </w:p>
        </w:tc>
        <w:tc>
          <w:tcPr>
            <w:tcW w:w="1440" w:type="dxa"/>
            <w:gridSpan w:val="2"/>
            <w:tcBorders>
              <w:bottom w:val="single" w:sz="4" w:space="0" w:color="auto"/>
            </w:tcBorders>
            <w:shd w:val="clear" w:color="auto" w:fill="auto"/>
          </w:tcPr>
          <w:p w14:paraId="6A9D1EA9" w14:textId="77777777" w:rsidR="005E59D6" w:rsidRPr="005349C0" w:rsidRDefault="005E59D6" w:rsidP="005E59D6">
            <w:pPr>
              <w:spacing w:line="240" w:lineRule="auto"/>
              <w:rPr>
                <w:rFonts w:ascii="Times New Roman" w:hAnsi="Times New Roman" w:cs="Times New Roman"/>
                <w:sz w:val="24"/>
                <w:szCs w:val="24"/>
              </w:rPr>
            </w:pPr>
          </w:p>
        </w:tc>
      </w:tr>
      <w:tr w:rsidR="005E59D6" w:rsidRPr="005349C0" w14:paraId="52B72A4D" w14:textId="77777777" w:rsidTr="002B7B95">
        <w:trPr>
          <w:gridAfter w:val="1"/>
          <w:wAfter w:w="357" w:type="dxa"/>
          <w:trHeight w:val="253"/>
        </w:trPr>
        <w:tc>
          <w:tcPr>
            <w:tcW w:w="3600" w:type="dxa"/>
            <w:gridSpan w:val="2"/>
            <w:tcBorders>
              <w:top w:val="single" w:sz="4" w:space="0" w:color="auto"/>
            </w:tcBorders>
            <w:shd w:val="clear" w:color="auto" w:fill="auto"/>
            <w:noWrap/>
            <w:vAlign w:val="bottom"/>
          </w:tcPr>
          <w:p w14:paraId="3B07A0BE" w14:textId="77777777" w:rsidR="005E59D6" w:rsidRPr="005349C0" w:rsidRDefault="005E59D6" w:rsidP="005E59D6">
            <w:pPr>
              <w:spacing w:line="240" w:lineRule="auto"/>
              <w:rPr>
                <w:rFonts w:ascii="Times New Roman" w:hAnsi="Times New Roman" w:cs="Times New Roman"/>
                <w:sz w:val="24"/>
                <w:szCs w:val="24"/>
              </w:rPr>
            </w:pPr>
            <w:smartTag w:uri="urn:schemas-microsoft-com:office:smarttags" w:element="place">
              <w:smartTag w:uri="urn:schemas-microsoft-com:office:smarttags" w:element="City">
                <w:r w:rsidRPr="005349C0">
                  <w:rPr>
                    <w:rFonts w:ascii="Times New Roman" w:hAnsi="Times New Roman" w:cs="Times New Roman"/>
                    <w:sz w:val="24"/>
                    <w:szCs w:val="24"/>
                  </w:rPr>
                  <w:t>Normal</w:t>
                </w:r>
              </w:smartTag>
            </w:smartTag>
          </w:p>
        </w:tc>
        <w:tc>
          <w:tcPr>
            <w:tcW w:w="720" w:type="dxa"/>
            <w:tcBorders>
              <w:top w:val="single" w:sz="4" w:space="0" w:color="auto"/>
            </w:tcBorders>
            <w:shd w:val="clear" w:color="auto" w:fill="auto"/>
            <w:noWrap/>
            <w:vAlign w:val="center"/>
          </w:tcPr>
          <w:p w14:paraId="2EAE709E" w14:textId="77777777" w:rsidR="005E59D6" w:rsidRPr="005349C0" w:rsidRDefault="005E59D6" w:rsidP="005E59D6">
            <w:pPr>
              <w:spacing w:line="240" w:lineRule="auto"/>
              <w:jc w:val="center"/>
              <w:rPr>
                <w:rFonts w:ascii="Times New Roman" w:hAnsi="Times New Roman" w:cs="Times New Roman"/>
                <w:sz w:val="24"/>
                <w:szCs w:val="24"/>
              </w:rPr>
            </w:pPr>
            <w:r w:rsidRPr="005349C0">
              <w:rPr>
                <w:rFonts w:ascii="Times New Roman" w:hAnsi="Times New Roman" w:cs="Times New Roman"/>
                <w:sz w:val="24"/>
                <w:szCs w:val="24"/>
              </w:rPr>
              <w:t>30</w:t>
            </w:r>
          </w:p>
        </w:tc>
        <w:tc>
          <w:tcPr>
            <w:tcW w:w="900" w:type="dxa"/>
            <w:gridSpan w:val="2"/>
            <w:tcBorders>
              <w:top w:val="single" w:sz="4" w:space="0" w:color="auto"/>
            </w:tcBorders>
            <w:shd w:val="clear" w:color="auto" w:fill="auto"/>
            <w:noWrap/>
            <w:vAlign w:val="center"/>
          </w:tcPr>
          <w:p w14:paraId="75231DD5" w14:textId="77777777" w:rsidR="005E59D6" w:rsidRPr="005349C0" w:rsidRDefault="005E59D6" w:rsidP="005E59D6">
            <w:pPr>
              <w:spacing w:line="240" w:lineRule="auto"/>
              <w:jc w:val="center"/>
              <w:rPr>
                <w:rFonts w:ascii="Times New Roman" w:hAnsi="Times New Roman" w:cs="Times New Roman"/>
                <w:sz w:val="24"/>
                <w:szCs w:val="24"/>
              </w:rPr>
            </w:pPr>
            <w:r w:rsidRPr="005349C0">
              <w:rPr>
                <w:rFonts w:ascii="Times New Roman" w:hAnsi="Times New Roman" w:cs="Times New Roman"/>
                <w:sz w:val="24"/>
                <w:szCs w:val="24"/>
              </w:rPr>
              <w:t>63.8</w:t>
            </w:r>
          </w:p>
        </w:tc>
        <w:tc>
          <w:tcPr>
            <w:tcW w:w="720" w:type="dxa"/>
            <w:gridSpan w:val="2"/>
            <w:tcBorders>
              <w:top w:val="single" w:sz="4" w:space="0" w:color="auto"/>
            </w:tcBorders>
            <w:shd w:val="clear" w:color="auto" w:fill="auto"/>
            <w:noWrap/>
            <w:vAlign w:val="center"/>
          </w:tcPr>
          <w:p w14:paraId="5F3C7CAC" w14:textId="77777777" w:rsidR="005E59D6" w:rsidRPr="005349C0" w:rsidRDefault="005E59D6" w:rsidP="005E59D6">
            <w:pPr>
              <w:spacing w:line="240" w:lineRule="auto"/>
              <w:jc w:val="center"/>
              <w:rPr>
                <w:rFonts w:ascii="Times New Roman" w:hAnsi="Times New Roman" w:cs="Times New Roman"/>
                <w:sz w:val="24"/>
                <w:szCs w:val="24"/>
              </w:rPr>
            </w:pPr>
            <w:r w:rsidRPr="005349C0">
              <w:rPr>
                <w:rFonts w:ascii="Times New Roman" w:hAnsi="Times New Roman" w:cs="Times New Roman"/>
                <w:sz w:val="24"/>
                <w:szCs w:val="24"/>
              </w:rPr>
              <w:t>10</w:t>
            </w:r>
          </w:p>
        </w:tc>
        <w:tc>
          <w:tcPr>
            <w:tcW w:w="900" w:type="dxa"/>
            <w:gridSpan w:val="2"/>
            <w:tcBorders>
              <w:top w:val="single" w:sz="4" w:space="0" w:color="auto"/>
            </w:tcBorders>
            <w:shd w:val="clear" w:color="auto" w:fill="auto"/>
            <w:noWrap/>
            <w:vAlign w:val="center"/>
          </w:tcPr>
          <w:p w14:paraId="2E87BBE9" w14:textId="77777777" w:rsidR="005E59D6" w:rsidRPr="005349C0" w:rsidRDefault="005E59D6" w:rsidP="005E59D6">
            <w:pPr>
              <w:spacing w:line="240" w:lineRule="auto"/>
              <w:jc w:val="center"/>
              <w:rPr>
                <w:rFonts w:ascii="Times New Roman" w:hAnsi="Times New Roman" w:cs="Times New Roman"/>
                <w:sz w:val="24"/>
                <w:szCs w:val="24"/>
              </w:rPr>
            </w:pPr>
            <w:r w:rsidRPr="005349C0">
              <w:rPr>
                <w:rFonts w:ascii="Times New Roman" w:hAnsi="Times New Roman" w:cs="Times New Roman"/>
                <w:sz w:val="24"/>
                <w:szCs w:val="24"/>
              </w:rPr>
              <w:t>20.8</w:t>
            </w:r>
          </w:p>
        </w:tc>
        <w:tc>
          <w:tcPr>
            <w:tcW w:w="1440" w:type="dxa"/>
            <w:gridSpan w:val="2"/>
            <w:vMerge w:val="restart"/>
            <w:tcBorders>
              <w:top w:val="single" w:sz="4" w:space="0" w:color="auto"/>
            </w:tcBorders>
            <w:shd w:val="clear" w:color="auto" w:fill="auto"/>
            <w:vAlign w:val="center"/>
          </w:tcPr>
          <w:p w14:paraId="2840A2ED" w14:textId="77777777" w:rsidR="005E59D6" w:rsidRPr="005349C0" w:rsidRDefault="005E59D6" w:rsidP="005E59D6">
            <w:pPr>
              <w:spacing w:line="240" w:lineRule="auto"/>
              <w:jc w:val="center"/>
              <w:rPr>
                <w:rFonts w:ascii="Times New Roman" w:hAnsi="Times New Roman" w:cs="Times New Roman"/>
                <w:sz w:val="24"/>
                <w:szCs w:val="24"/>
              </w:rPr>
            </w:pPr>
            <w:r w:rsidRPr="005349C0">
              <w:rPr>
                <w:rFonts w:ascii="Times New Roman" w:hAnsi="Times New Roman" w:cs="Times New Roman"/>
                <w:sz w:val="24"/>
                <w:szCs w:val="24"/>
              </w:rPr>
              <w:t>0.001</w:t>
            </w:r>
            <w:r w:rsidRPr="005349C0">
              <w:rPr>
                <w:rFonts w:ascii="Times New Roman" w:hAnsi="Times New Roman" w:cs="Times New Roman"/>
                <w:sz w:val="24"/>
                <w:szCs w:val="24"/>
                <w:vertAlign w:val="superscript"/>
              </w:rPr>
              <w:t>s</w:t>
            </w:r>
          </w:p>
        </w:tc>
      </w:tr>
      <w:tr w:rsidR="005E59D6" w:rsidRPr="005349C0" w14:paraId="1621101A" w14:textId="77777777" w:rsidTr="002B7B95">
        <w:trPr>
          <w:gridAfter w:val="1"/>
          <w:wAfter w:w="357" w:type="dxa"/>
          <w:trHeight w:val="253"/>
        </w:trPr>
        <w:tc>
          <w:tcPr>
            <w:tcW w:w="3600" w:type="dxa"/>
            <w:gridSpan w:val="2"/>
            <w:tcBorders>
              <w:bottom w:val="single" w:sz="4" w:space="0" w:color="auto"/>
            </w:tcBorders>
            <w:shd w:val="clear" w:color="auto" w:fill="auto"/>
            <w:noWrap/>
            <w:vAlign w:val="bottom"/>
          </w:tcPr>
          <w:p w14:paraId="57DE9B65" w14:textId="77777777" w:rsidR="005E59D6" w:rsidRPr="004462B9" w:rsidRDefault="005E59D6" w:rsidP="005E59D6">
            <w:pPr>
              <w:spacing w:line="240" w:lineRule="auto"/>
              <w:rPr>
                <w:rFonts w:ascii="Times New Roman" w:hAnsi="Times New Roman" w:cs="Times New Roman"/>
                <w:sz w:val="24"/>
                <w:szCs w:val="24"/>
                <w:lang w:val="fr-FR"/>
              </w:rPr>
            </w:pPr>
            <w:proofErr w:type="spellStart"/>
            <w:r w:rsidRPr="004462B9">
              <w:rPr>
                <w:rFonts w:ascii="Times New Roman" w:hAnsi="Times New Roman" w:cs="Times New Roman"/>
                <w:sz w:val="24"/>
                <w:szCs w:val="24"/>
                <w:lang w:val="fr-FR"/>
              </w:rPr>
              <w:t>Abnormal</w:t>
            </w:r>
            <w:proofErr w:type="spellEnd"/>
            <w:r w:rsidRPr="004462B9">
              <w:rPr>
                <w:rFonts w:ascii="Times New Roman" w:hAnsi="Times New Roman" w:cs="Times New Roman"/>
                <w:sz w:val="24"/>
                <w:szCs w:val="24"/>
                <w:lang w:val="fr-FR"/>
              </w:rPr>
              <w:t xml:space="preserve"> </w:t>
            </w:r>
          </w:p>
          <w:p w14:paraId="11FC6037" w14:textId="77777777" w:rsidR="005E59D6" w:rsidRPr="004462B9" w:rsidRDefault="005E59D6" w:rsidP="005E59D6">
            <w:pPr>
              <w:spacing w:line="240" w:lineRule="auto"/>
              <w:rPr>
                <w:rFonts w:ascii="Times New Roman" w:hAnsi="Times New Roman" w:cs="Times New Roman"/>
                <w:sz w:val="24"/>
                <w:szCs w:val="24"/>
                <w:lang w:val="fr-FR"/>
              </w:rPr>
            </w:pPr>
            <w:r>
              <w:rPr>
                <w:rFonts w:ascii="Times New Roman" w:hAnsi="Times New Roman" w:cs="Times New Roman"/>
                <w:sz w:val="24"/>
                <w:szCs w:val="24"/>
                <w:lang w:val="fr-FR"/>
              </w:rPr>
              <w:t xml:space="preserve">    (</w:t>
            </w:r>
            <w:r w:rsidRPr="004462B9">
              <w:rPr>
                <w:rFonts w:ascii="Times New Roman" w:hAnsi="Times New Roman" w:cs="Times New Roman"/>
                <w:sz w:val="24"/>
                <w:szCs w:val="24"/>
                <w:lang w:val="fr-FR"/>
              </w:rPr>
              <w:t>T-</w:t>
            </w:r>
            <w:proofErr w:type="spellStart"/>
            <w:r w:rsidRPr="004462B9">
              <w:rPr>
                <w:rFonts w:ascii="Times New Roman" w:hAnsi="Times New Roman" w:cs="Times New Roman"/>
                <w:sz w:val="24"/>
                <w:szCs w:val="24"/>
                <w:lang w:val="fr-FR"/>
              </w:rPr>
              <w:t>wave</w:t>
            </w:r>
            <w:proofErr w:type="spellEnd"/>
            <w:r w:rsidRPr="004462B9">
              <w:rPr>
                <w:rFonts w:ascii="Times New Roman" w:hAnsi="Times New Roman" w:cs="Times New Roman"/>
                <w:sz w:val="24"/>
                <w:szCs w:val="24"/>
                <w:lang w:val="fr-FR"/>
              </w:rPr>
              <w:t xml:space="preserve"> inversion,</w:t>
            </w:r>
            <w:r>
              <w:rPr>
                <w:rFonts w:ascii="Times New Roman" w:hAnsi="Times New Roman" w:cs="Times New Roman"/>
                <w:sz w:val="24"/>
                <w:szCs w:val="24"/>
                <w:lang w:val="fr-FR"/>
              </w:rPr>
              <w:t xml:space="preserve"> </w:t>
            </w:r>
            <w:r w:rsidRPr="004462B9">
              <w:rPr>
                <w:rFonts w:ascii="Times New Roman" w:hAnsi="Times New Roman" w:cs="Times New Roman"/>
                <w:sz w:val="24"/>
                <w:szCs w:val="24"/>
                <w:lang w:val="fr-FR"/>
              </w:rPr>
              <w:t xml:space="preserve">ST-T change, </w:t>
            </w:r>
          </w:p>
          <w:p w14:paraId="1A03CE63" w14:textId="77777777" w:rsidR="005E59D6" w:rsidRPr="00E87BA7" w:rsidRDefault="005E59D6" w:rsidP="005E59D6">
            <w:pPr>
              <w:spacing w:line="240" w:lineRule="auto"/>
              <w:rPr>
                <w:rFonts w:ascii="Times New Roman" w:hAnsi="Times New Roman" w:cs="Times New Roman"/>
                <w:sz w:val="24"/>
                <w:szCs w:val="24"/>
                <w:lang w:val="fr-FR"/>
              </w:rPr>
            </w:pPr>
            <w:r>
              <w:rPr>
                <w:rFonts w:ascii="Times New Roman" w:hAnsi="Times New Roman" w:cs="Times New Roman"/>
                <w:sz w:val="24"/>
                <w:szCs w:val="24"/>
                <w:lang w:val="fr-FR"/>
              </w:rPr>
              <w:t xml:space="preserve">      </w:t>
            </w:r>
            <w:proofErr w:type="spellStart"/>
            <w:r w:rsidRPr="004462B9">
              <w:rPr>
                <w:rFonts w:ascii="Times New Roman" w:hAnsi="Times New Roman" w:cs="Times New Roman"/>
                <w:sz w:val="24"/>
                <w:szCs w:val="24"/>
                <w:lang w:val="fr-FR"/>
              </w:rPr>
              <w:t>Prolong</w:t>
            </w:r>
            <w:proofErr w:type="spellEnd"/>
            <w:r w:rsidRPr="004462B9">
              <w:rPr>
                <w:rFonts w:ascii="Times New Roman" w:hAnsi="Times New Roman" w:cs="Times New Roman"/>
                <w:sz w:val="24"/>
                <w:szCs w:val="24"/>
                <w:lang w:val="fr-FR"/>
              </w:rPr>
              <w:t xml:space="preserve"> QT,</w:t>
            </w:r>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rPr>
              <w:t>Arrythmia</w:t>
            </w:r>
            <w:proofErr w:type="spellEnd"/>
            <w:r>
              <w:rPr>
                <w:rFonts w:ascii="Times New Roman" w:hAnsi="Times New Roman" w:cs="Times New Roman"/>
                <w:sz w:val="24"/>
                <w:szCs w:val="24"/>
              </w:rPr>
              <w:t>)</w:t>
            </w:r>
          </w:p>
        </w:tc>
        <w:tc>
          <w:tcPr>
            <w:tcW w:w="720" w:type="dxa"/>
            <w:tcBorders>
              <w:bottom w:val="single" w:sz="4" w:space="0" w:color="auto"/>
            </w:tcBorders>
            <w:shd w:val="clear" w:color="auto" w:fill="auto"/>
            <w:noWrap/>
            <w:vAlign w:val="center"/>
          </w:tcPr>
          <w:p w14:paraId="1F116C7B" w14:textId="77777777" w:rsidR="005E59D6" w:rsidRPr="005349C0" w:rsidRDefault="005E59D6" w:rsidP="005E59D6">
            <w:pPr>
              <w:spacing w:line="240" w:lineRule="auto"/>
              <w:jc w:val="center"/>
              <w:rPr>
                <w:rFonts w:ascii="Times New Roman" w:hAnsi="Times New Roman" w:cs="Times New Roman"/>
                <w:sz w:val="24"/>
                <w:szCs w:val="24"/>
              </w:rPr>
            </w:pPr>
            <w:r w:rsidRPr="005349C0">
              <w:rPr>
                <w:rFonts w:ascii="Times New Roman" w:hAnsi="Times New Roman" w:cs="Times New Roman"/>
                <w:sz w:val="24"/>
                <w:szCs w:val="24"/>
              </w:rPr>
              <w:t>17</w:t>
            </w:r>
          </w:p>
        </w:tc>
        <w:tc>
          <w:tcPr>
            <w:tcW w:w="900" w:type="dxa"/>
            <w:gridSpan w:val="2"/>
            <w:tcBorders>
              <w:bottom w:val="single" w:sz="4" w:space="0" w:color="auto"/>
            </w:tcBorders>
            <w:shd w:val="clear" w:color="auto" w:fill="auto"/>
            <w:noWrap/>
            <w:vAlign w:val="center"/>
          </w:tcPr>
          <w:p w14:paraId="7A7B6D37" w14:textId="77777777" w:rsidR="005E59D6" w:rsidRPr="005349C0" w:rsidRDefault="005E59D6" w:rsidP="005E59D6">
            <w:pPr>
              <w:spacing w:line="240" w:lineRule="auto"/>
              <w:jc w:val="center"/>
              <w:rPr>
                <w:rFonts w:ascii="Times New Roman" w:hAnsi="Times New Roman" w:cs="Times New Roman"/>
                <w:sz w:val="24"/>
                <w:szCs w:val="24"/>
              </w:rPr>
            </w:pPr>
            <w:r w:rsidRPr="005349C0">
              <w:rPr>
                <w:rFonts w:ascii="Times New Roman" w:hAnsi="Times New Roman" w:cs="Times New Roman"/>
                <w:sz w:val="24"/>
                <w:szCs w:val="24"/>
              </w:rPr>
              <w:t>36.2</w:t>
            </w:r>
          </w:p>
        </w:tc>
        <w:tc>
          <w:tcPr>
            <w:tcW w:w="720" w:type="dxa"/>
            <w:gridSpan w:val="2"/>
            <w:tcBorders>
              <w:bottom w:val="single" w:sz="4" w:space="0" w:color="auto"/>
            </w:tcBorders>
            <w:shd w:val="clear" w:color="auto" w:fill="auto"/>
            <w:noWrap/>
            <w:vAlign w:val="center"/>
          </w:tcPr>
          <w:p w14:paraId="6C19E292" w14:textId="77777777" w:rsidR="005E59D6" w:rsidRPr="005349C0" w:rsidRDefault="005E59D6" w:rsidP="005E59D6">
            <w:pPr>
              <w:spacing w:line="240" w:lineRule="auto"/>
              <w:jc w:val="center"/>
              <w:rPr>
                <w:rFonts w:ascii="Times New Roman" w:hAnsi="Times New Roman" w:cs="Times New Roman"/>
                <w:sz w:val="24"/>
                <w:szCs w:val="24"/>
              </w:rPr>
            </w:pPr>
            <w:r w:rsidRPr="005349C0">
              <w:rPr>
                <w:rFonts w:ascii="Times New Roman" w:hAnsi="Times New Roman" w:cs="Times New Roman"/>
                <w:sz w:val="24"/>
                <w:szCs w:val="24"/>
              </w:rPr>
              <w:t>38</w:t>
            </w:r>
          </w:p>
        </w:tc>
        <w:tc>
          <w:tcPr>
            <w:tcW w:w="900" w:type="dxa"/>
            <w:gridSpan w:val="2"/>
            <w:tcBorders>
              <w:bottom w:val="single" w:sz="4" w:space="0" w:color="auto"/>
            </w:tcBorders>
            <w:shd w:val="clear" w:color="auto" w:fill="auto"/>
            <w:noWrap/>
            <w:vAlign w:val="center"/>
          </w:tcPr>
          <w:p w14:paraId="3815E42A" w14:textId="77777777" w:rsidR="005E59D6" w:rsidRPr="005349C0" w:rsidRDefault="005E59D6" w:rsidP="005E59D6">
            <w:pPr>
              <w:spacing w:line="240" w:lineRule="auto"/>
              <w:jc w:val="center"/>
              <w:rPr>
                <w:rFonts w:ascii="Times New Roman" w:hAnsi="Times New Roman" w:cs="Times New Roman"/>
                <w:sz w:val="24"/>
                <w:szCs w:val="24"/>
              </w:rPr>
            </w:pPr>
            <w:r w:rsidRPr="005349C0">
              <w:rPr>
                <w:rFonts w:ascii="Times New Roman" w:hAnsi="Times New Roman" w:cs="Times New Roman"/>
                <w:sz w:val="24"/>
                <w:szCs w:val="24"/>
              </w:rPr>
              <w:t>79.2</w:t>
            </w:r>
          </w:p>
        </w:tc>
        <w:tc>
          <w:tcPr>
            <w:tcW w:w="1440" w:type="dxa"/>
            <w:gridSpan w:val="2"/>
            <w:vMerge/>
            <w:tcBorders>
              <w:bottom w:val="single" w:sz="4" w:space="0" w:color="auto"/>
            </w:tcBorders>
            <w:shd w:val="clear" w:color="auto" w:fill="auto"/>
          </w:tcPr>
          <w:p w14:paraId="3ADEF31A" w14:textId="77777777" w:rsidR="005E59D6" w:rsidRPr="005349C0" w:rsidRDefault="005E59D6" w:rsidP="005E59D6">
            <w:pPr>
              <w:spacing w:line="240" w:lineRule="auto"/>
              <w:rPr>
                <w:rFonts w:ascii="Times New Roman" w:hAnsi="Times New Roman" w:cs="Times New Roman"/>
                <w:sz w:val="24"/>
                <w:szCs w:val="24"/>
              </w:rPr>
            </w:pPr>
          </w:p>
        </w:tc>
      </w:tr>
      <w:tr w:rsidR="005E59D6" w:rsidRPr="009319B1" w14:paraId="1A1BB553" w14:textId="77777777" w:rsidTr="002B7B95">
        <w:trPr>
          <w:trHeight w:val="591"/>
        </w:trPr>
        <w:tc>
          <w:tcPr>
            <w:tcW w:w="3240" w:type="dxa"/>
            <w:vMerge w:val="restart"/>
            <w:tcBorders>
              <w:top w:val="single" w:sz="4" w:space="0" w:color="auto"/>
              <w:left w:val="nil"/>
              <w:right w:val="nil"/>
            </w:tcBorders>
            <w:shd w:val="clear" w:color="auto" w:fill="auto"/>
            <w:noWrap/>
          </w:tcPr>
          <w:p w14:paraId="0D737F41" w14:textId="77777777" w:rsidR="005E59D6" w:rsidRPr="009319B1" w:rsidRDefault="005E59D6" w:rsidP="005E59D6">
            <w:pPr>
              <w:spacing w:line="240" w:lineRule="auto"/>
              <w:rPr>
                <w:rFonts w:ascii="Times New Roman" w:hAnsi="Times New Roman"/>
                <w:sz w:val="24"/>
                <w:szCs w:val="24"/>
              </w:rPr>
            </w:pPr>
            <w:r w:rsidRPr="009319B1">
              <w:rPr>
                <w:rFonts w:ascii="Times New Roman" w:hAnsi="Times New Roman"/>
                <w:b/>
                <w:bCs/>
                <w:sz w:val="24"/>
                <w:szCs w:val="24"/>
              </w:rPr>
              <w:t>Laboratory findings</w:t>
            </w:r>
          </w:p>
        </w:tc>
        <w:tc>
          <w:tcPr>
            <w:tcW w:w="2160" w:type="dxa"/>
            <w:gridSpan w:val="5"/>
            <w:tcBorders>
              <w:top w:val="single" w:sz="4" w:space="0" w:color="auto"/>
              <w:left w:val="nil"/>
              <w:right w:val="nil"/>
            </w:tcBorders>
            <w:shd w:val="clear" w:color="auto" w:fill="auto"/>
            <w:noWrap/>
          </w:tcPr>
          <w:p w14:paraId="22E590DF" w14:textId="77777777" w:rsidR="005E59D6" w:rsidRPr="009319B1" w:rsidRDefault="005E59D6" w:rsidP="005E59D6">
            <w:pPr>
              <w:spacing w:line="240" w:lineRule="auto"/>
              <w:jc w:val="center"/>
              <w:rPr>
                <w:rFonts w:ascii="Times New Roman" w:hAnsi="Times New Roman" w:cs="Arial"/>
                <w:b/>
                <w:bCs/>
                <w:sz w:val="24"/>
                <w:szCs w:val="24"/>
              </w:rPr>
            </w:pPr>
            <w:r w:rsidRPr="009319B1">
              <w:rPr>
                <w:rFonts w:ascii="Times New Roman" w:hAnsi="Times New Roman" w:cs="Arial"/>
                <w:b/>
                <w:bCs/>
                <w:sz w:val="24"/>
                <w:szCs w:val="24"/>
              </w:rPr>
              <w:t>Group I</w:t>
            </w:r>
          </w:p>
          <w:p w14:paraId="5BF36D96" w14:textId="77777777" w:rsidR="005E59D6" w:rsidRPr="009319B1" w:rsidRDefault="005E59D6" w:rsidP="005E59D6">
            <w:pPr>
              <w:spacing w:line="240" w:lineRule="auto"/>
              <w:jc w:val="center"/>
              <w:rPr>
                <w:rFonts w:ascii="Times New Roman" w:hAnsi="Times New Roman" w:cs="Arial"/>
                <w:b/>
                <w:bCs/>
                <w:sz w:val="24"/>
                <w:szCs w:val="24"/>
              </w:rPr>
            </w:pPr>
            <w:r w:rsidRPr="009319B1">
              <w:rPr>
                <w:rFonts w:ascii="Times New Roman" w:hAnsi="Times New Roman" w:cs="Arial"/>
                <w:b/>
                <w:bCs/>
                <w:sz w:val="24"/>
                <w:szCs w:val="24"/>
              </w:rPr>
              <w:t>(</w:t>
            </w:r>
            <w:r>
              <w:rPr>
                <w:rFonts w:ascii="Times New Roman" w:hAnsi="Times New Roman" w:cs="Arial"/>
                <w:b/>
                <w:bCs/>
                <w:sz w:val="24"/>
                <w:szCs w:val="24"/>
              </w:rPr>
              <w:t>n</w:t>
            </w:r>
            <w:r w:rsidRPr="009319B1">
              <w:rPr>
                <w:rFonts w:ascii="Times New Roman" w:hAnsi="Times New Roman" w:cs="Arial"/>
                <w:b/>
                <w:bCs/>
                <w:sz w:val="24"/>
                <w:szCs w:val="24"/>
              </w:rPr>
              <w:t>=47)</w:t>
            </w:r>
          </w:p>
        </w:tc>
        <w:tc>
          <w:tcPr>
            <w:tcW w:w="2157" w:type="dxa"/>
            <w:gridSpan w:val="4"/>
            <w:tcBorders>
              <w:top w:val="single" w:sz="4" w:space="0" w:color="auto"/>
              <w:left w:val="nil"/>
              <w:right w:val="nil"/>
            </w:tcBorders>
            <w:shd w:val="clear" w:color="auto" w:fill="auto"/>
            <w:noWrap/>
          </w:tcPr>
          <w:p w14:paraId="24C004A3" w14:textId="77777777" w:rsidR="005E59D6" w:rsidRPr="009319B1" w:rsidRDefault="005E59D6" w:rsidP="005E59D6">
            <w:pPr>
              <w:spacing w:line="240" w:lineRule="auto"/>
              <w:jc w:val="center"/>
              <w:rPr>
                <w:rFonts w:ascii="Times New Roman" w:hAnsi="Times New Roman" w:cs="Arial"/>
                <w:b/>
                <w:bCs/>
                <w:sz w:val="24"/>
                <w:szCs w:val="24"/>
              </w:rPr>
            </w:pPr>
            <w:r w:rsidRPr="009319B1">
              <w:rPr>
                <w:rFonts w:ascii="Times New Roman" w:hAnsi="Times New Roman" w:cs="Arial"/>
                <w:b/>
                <w:bCs/>
                <w:sz w:val="24"/>
                <w:szCs w:val="24"/>
              </w:rPr>
              <w:t>Group II</w:t>
            </w:r>
          </w:p>
          <w:p w14:paraId="757E9F54" w14:textId="77777777" w:rsidR="005E59D6" w:rsidRPr="009319B1" w:rsidRDefault="005E59D6" w:rsidP="005E59D6">
            <w:pPr>
              <w:spacing w:line="240" w:lineRule="auto"/>
              <w:jc w:val="center"/>
              <w:rPr>
                <w:rFonts w:ascii="Times New Roman" w:hAnsi="Times New Roman"/>
                <w:sz w:val="24"/>
                <w:szCs w:val="24"/>
              </w:rPr>
            </w:pPr>
            <w:r w:rsidRPr="009319B1">
              <w:rPr>
                <w:rFonts w:ascii="Times New Roman" w:hAnsi="Times New Roman" w:cs="Arial"/>
                <w:b/>
                <w:bCs/>
                <w:sz w:val="24"/>
                <w:szCs w:val="24"/>
              </w:rPr>
              <w:t>(</w:t>
            </w:r>
            <w:r>
              <w:rPr>
                <w:rFonts w:ascii="Times New Roman" w:hAnsi="Times New Roman" w:cs="Arial"/>
                <w:b/>
                <w:bCs/>
                <w:sz w:val="24"/>
                <w:szCs w:val="24"/>
              </w:rPr>
              <w:t>n</w:t>
            </w:r>
            <w:r w:rsidRPr="009319B1">
              <w:rPr>
                <w:rFonts w:ascii="Times New Roman" w:hAnsi="Times New Roman" w:cs="Arial"/>
                <w:b/>
                <w:bCs/>
                <w:sz w:val="24"/>
                <w:szCs w:val="24"/>
              </w:rPr>
              <w:t>=48)</w:t>
            </w:r>
          </w:p>
        </w:tc>
        <w:tc>
          <w:tcPr>
            <w:tcW w:w="1080" w:type="dxa"/>
            <w:gridSpan w:val="2"/>
            <w:tcBorders>
              <w:top w:val="single" w:sz="4" w:space="0" w:color="auto"/>
              <w:left w:val="nil"/>
              <w:bottom w:val="nil"/>
              <w:right w:val="nil"/>
            </w:tcBorders>
            <w:shd w:val="clear" w:color="auto" w:fill="auto"/>
            <w:noWrap/>
          </w:tcPr>
          <w:p w14:paraId="15B3499C" w14:textId="77777777" w:rsidR="005E59D6" w:rsidRPr="009319B1" w:rsidRDefault="005E59D6" w:rsidP="005E59D6">
            <w:pPr>
              <w:spacing w:line="240" w:lineRule="auto"/>
              <w:jc w:val="center"/>
              <w:rPr>
                <w:rFonts w:ascii="Times New Roman" w:hAnsi="Times New Roman"/>
                <w:b/>
                <w:bCs/>
                <w:sz w:val="24"/>
                <w:szCs w:val="24"/>
              </w:rPr>
            </w:pPr>
            <w:r w:rsidRPr="009319B1">
              <w:rPr>
                <w:rFonts w:ascii="Times New Roman" w:hAnsi="Times New Roman"/>
                <w:b/>
                <w:bCs/>
                <w:i/>
                <w:iCs/>
                <w:sz w:val="24"/>
                <w:szCs w:val="24"/>
              </w:rPr>
              <w:t>p</w:t>
            </w:r>
            <w:r w:rsidRPr="009319B1">
              <w:rPr>
                <w:rFonts w:ascii="Times New Roman" w:hAnsi="Times New Roman"/>
                <w:b/>
                <w:bCs/>
                <w:sz w:val="24"/>
                <w:szCs w:val="24"/>
              </w:rPr>
              <w:t xml:space="preserve"> value</w:t>
            </w:r>
          </w:p>
        </w:tc>
      </w:tr>
      <w:tr w:rsidR="005E59D6" w:rsidRPr="009319B1" w14:paraId="6166EA01" w14:textId="77777777" w:rsidTr="002B7B95">
        <w:trPr>
          <w:trHeight w:val="238"/>
        </w:trPr>
        <w:tc>
          <w:tcPr>
            <w:tcW w:w="3240" w:type="dxa"/>
            <w:vMerge/>
            <w:tcBorders>
              <w:left w:val="nil"/>
              <w:bottom w:val="single" w:sz="4" w:space="0" w:color="auto"/>
              <w:right w:val="nil"/>
            </w:tcBorders>
            <w:shd w:val="clear" w:color="auto" w:fill="auto"/>
            <w:noWrap/>
            <w:vAlign w:val="bottom"/>
          </w:tcPr>
          <w:p w14:paraId="3407E7DA" w14:textId="77777777" w:rsidR="005E59D6" w:rsidRPr="009319B1" w:rsidRDefault="005E59D6" w:rsidP="005E59D6">
            <w:pPr>
              <w:spacing w:line="240" w:lineRule="auto"/>
              <w:rPr>
                <w:rFonts w:ascii="Times New Roman" w:hAnsi="Times New Roman"/>
                <w:sz w:val="24"/>
                <w:szCs w:val="24"/>
              </w:rPr>
            </w:pPr>
          </w:p>
        </w:tc>
        <w:tc>
          <w:tcPr>
            <w:tcW w:w="2160" w:type="dxa"/>
            <w:gridSpan w:val="5"/>
            <w:tcBorders>
              <w:left w:val="nil"/>
              <w:bottom w:val="single" w:sz="4" w:space="0" w:color="auto"/>
              <w:right w:val="nil"/>
            </w:tcBorders>
            <w:shd w:val="clear" w:color="auto" w:fill="auto"/>
            <w:noWrap/>
          </w:tcPr>
          <w:p w14:paraId="2E56609A" w14:textId="77777777" w:rsidR="005E59D6" w:rsidRPr="009319B1" w:rsidRDefault="005E59D6" w:rsidP="005E59D6">
            <w:pPr>
              <w:spacing w:line="240" w:lineRule="auto"/>
              <w:jc w:val="center"/>
              <w:rPr>
                <w:rFonts w:ascii="Times New Roman" w:hAnsi="Times New Roman"/>
                <w:b/>
                <w:bCs/>
                <w:sz w:val="24"/>
                <w:szCs w:val="24"/>
              </w:rPr>
            </w:pPr>
          </w:p>
        </w:tc>
        <w:tc>
          <w:tcPr>
            <w:tcW w:w="2157" w:type="dxa"/>
            <w:gridSpan w:val="4"/>
            <w:tcBorders>
              <w:left w:val="nil"/>
              <w:bottom w:val="single" w:sz="4" w:space="0" w:color="auto"/>
              <w:right w:val="nil"/>
            </w:tcBorders>
            <w:shd w:val="clear" w:color="auto" w:fill="auto"/>
            <w:noWrap/>
          </w:tcPr>
          <w:p w14:paraId="42C4B595" w14:textId="77777777" w:rsidR="005E59D6" w:rsidRPr="009319B1" w:rsidRDefault="005E59D6" w:rsidP="005E59D6">
            <w:pPr>
              <w:spacing w:line="240" w:lineRule="auto"/>
              <w:jc w:val="center"/>
              <w:rPr>
                <w:rFonts w:ascii="Times New Roman" w:hAnsi="Times New Roman"/>
                <w:b/>
                <w:bCs/>
                <w:sz w:val="24"/>
                <w:szCs w:val="24"/>
              </w:rPr>
            </w:pPr>
          </w:p>
        </w:tc>
        <w:tc>
          <w:tcPr>
            <w:tcW w:w="1080" w:type="dxa"/>
            <w:gridSpan w:val="2"/>
            <w:tcBorders>
              <w:top w:val="nil"/>
              <w:left w:val="nil"/>
              <w:bottom w:val="single" w:sz="4" w:space="0" w:color="auto"/>
              <w:right w:val="nil"/>
            </w:tcBorders>
            <w:shd w:val="clear" w:color="auto" w:fill="auto"/>
            <w:noWrap/>
            <w:vAlign w:val="bottom"/>
          </w:tcPr>
          <w:p w14:paraId="0F76F378" w14:textId="77777777" w:rsidR="005E59D6" w:rsidRPr="009319B1" w:rsidRDefault="005E59D6" w:rsidP="005E59D6">
            <w:pPr>
              <w:spacing w:line="240" w:lineRule="auto"/>
              <w:rPr>
                <w:rFonts w:ascii="Times New Roman" w:hAnsi="Times New Roman"/>
                <w:sz w:val="24"/>
                <w:szCs w:val="24"/>
              </w:rPr>
            </w:pPr>
          </w:p>
        </w:tc>
      </w:tr>
      <w:tr w:rsidR="005E59D6" w:rsidRPr="009319B1" w14:paraId="53762A43" w14:textId="77777777" w:rsidTr="002B7B95">
        <w:trPr>
          <w:trHeight w:val="185"/>
        </w:trPr>
        <w:tc>
          <w:tcPr>
            <w:tcW w:w="3240" w:type="dxa"/>
            <w:tcBorders>
              <w:top w:val="single" w:sz="4" w:space="0" w:color="auto"/>
              <w:left w:val="nil"/>
              <w:right w:val="nil"/>
            </w:tcBorders>
            <w:shd w:val="clear" w:color="auto" w:fill="auto"/>
            <w:noWrap/>
            <w:vAlign w:val="center"/>
          </w:tcPr>
          <w:p w14:paraId="442C1708" w14:textId="77777777" w:rsidR="005E59D6" w:rsidRPr="0061691E" w:rsidRDefault="005E59D6" w:rsidP="005E59D6">
            <w:pPr>
              <w:autoSpaceDE w:val="0"/>
              <w:autoSpaceDN w:val="0"/>
              <w:adjustRightInd w:val="0"/>
              <w:spacing w:line="240" w:lineRule="auto"/>
              <w:rPr>
                <w:rFonts w:ascii="Times New Roman" w:eastAsia="Batang" w:hAnsi="Times New Roman"/>
                <w:sz w:val="24"/>
                <w:szCs w:val="24"/>
                <w:lang w:val="it-IT" w:eastAsia="ko-KR" w:bidi="bn-IN"/>
              </w:rPr>
            </w:pPr>
            <w:r w:rsidRPr="0061691E">
              <w:rPr>
                <w:rFonts w:ascii="Times New Roman" w:hAnsi="Times New Roman"/>
                <w:sz w:val="24"/>
                <w:szCs w:val="24"/>
                <w:lang w:val="it-IT"/>
              </w:rPr>
              <w:t>Serum cardiac troponin I (ng/ml)</w:t>
            </w:r>
          </w:p>
        </w:tc>
        <w:tc>
          <w:tcPr>
            <w:tcW w:w="1171" w:type="dxa"/>
            <w:gridSpan w:val="3"/>
            <w:tcBorders>
              <w:top w:val="single" w:sz="4" w:space="0" w:color="auto"/>
              <w:left w:val="nil"/>
              <w:right w:val="nil"/>
            </w:tcBorders>
            <w:shd w:val="clear" w:color="auto" w:fill="auto"/>
            <w:noWrap/>
          </w:tcPr>
          <w:p w14:paraId="6A7C729C" w14:textId="77777777" w:rsidR="005E59D6" w:rsidRPr="009319B1" w:rsidRDefault="005E59D6" w:rsidP="005E59D6">
            <w:pPr>
              <w:spacing w:line="240" w:lineRule="auto"/>
              <w:jc w:val="right"/>
              <w:rPr>
                <w:rFonts w:ascii="Times New Roman" w:hAnsi="Times New Roman"/>
                <w:sz w:val="24"/>
                <w:szCs w:val="24"/>
              </w:rPr>
            </w:pPr>
            <w:r w:rsidRPr="009319B1">
              <w:rPr>
                <w:rFonts w:ascii="Times New Roman" w:hAnsi="Times New Roman"/>
                <w:sz w:val="24"/>
                <w:szCs w:val="24"/>
              </w:rPr>
              <w:t>0.12</w:t>
            </w:r>
          </w:p>
        </w:tc>
        <w:tc>
          <w:tcPr>
            <w:tcW w:w="989" w:type="dxa"/>
            <w:gridSpan w:val="2"/>
            <w:tcBorders>
              <w:top w:val="single" w:sz="4" w:space="0" w:color="auto"/>
              <w:left w:val="nil"/>
              <w:right w:val="nil"/>
            </w:tcBorders>
            <w:shd w:val="clear" w:color="auto" w:fill="auto"/>
            <w:noWrap/>
          </w:tcPr>
          <w:p w14:paraId="4345A94E" w14:textId="77777777" w:rsidR="005E59D6" w:rsidRPr="009319B1" w:rsidRDefault="005E59D6" w:rsidP="005E59D6">
            <w:pPr>
              <w:spacing w:line="240" w:lineRule="auto"/>
              <w:rPr>
                <w:rFonts w:ascii="Times New Roman" w:hAnsi="Times New Roman"/>
                <w:sz w:val="24"/>
                <w:szCs w:val="24"/>
              </w:rPr>
            </w:pPr>
            <w:r w:rsidRPr="009319B1">
              <w:rPr>
                <w:rFonts w:ascii="Times New Roman" w:hAnsi="Times New Roman"/>
                <w:b/>
                <w:bCs/>
                <w:sz w:val="24"/>
                <w:szCs w:val="24"/>
              </w:rPr>
              <w:t>±</w:t>
            </w:r>
            <w:r w:rsidRPr="009319B1">
              <w:rPr>
                <w:rFonts w:ascii="Times New Roman" w:hAnsi="Times New Roman"/>
                <w:sz w:val="24"/>
                <w:szCs w:val="24"/>
              </w:rPr>
              <w:t>0.05</w:t>
            </w:r>
          </w:p>
        </w:tc>
        <w:tc>
          <w:tcPr>
            <w:tcW w:w="1171" w:type="dxa"/>
            <w:gridSpan w:val="2"/>
            <w:tcBorders>
              <w:top w:val="single" w:sz="4" w:space="0" w:color="auto"/>
              <w:left w:val="nil"/>
              <w:right w:val="nil"/>
            </w:tcBorders>
            <w:shd w:val="clear" w:color="auto" w:fill="auto"/>
            <w:noWrap/>
          </w:tcPr>
          <w:p w14:paraId="627CFEFC" w14:textId="77777777" w:rsidR="005E59D6" w:rsidRPr="009319B1" w:rsidRDefault="005E59D6" w:rsidP="005E59D6">
            <w:pPr>
              <w:spacing w:line="240" w:lineRule="auto"/>
              <w:jc w:val="right"/>
              <w:rPr>
                <w:rFonts w:ascii="Times New Roman" w:hAnsi="Times New Roman"/>
                <w:sz w:val="24"/>
                <w:szCs w:val="24"/>
              </w:rPr>
            </w:pPr>
            <w:r w:rsidRPr="009319B1">
              <w:rPr>
                <w:rFonts w:ascii="Times New Roman" w:hAnsi="Times New Roman"/>
                <w:sz w:val="24"/>
                <w:szCs w:val="24"/>
              </w:rPr>
              <w:t>0.65</w:t>
            </w:r>
          </w:p>
        </w:tc>
        <w:tc>
          <w:tcPr>
            <w:tcW w:w="986" w:type="dxa"/>
            <w:gridSpan w:val="2"/>
            <w:tcBorders>
              <w:top w:val="single" w:sz="4" w:space="0" w:color="auto"/>
              <w:left w:val="nil"/>
              <w:right w:val="nil"/>
            </w:tcBorders>
            <w:shd w:val="clear" w:color="auto" w:fill="auto"/>
            <w:noWrap/>
          </w:tcPr>
          <w:p w14:paraId="704EE7BB" w14:textId="77777777" w:rsidR="005E59D6" w:rsidRPr="009319B1" w:rsidRDefault="005E59D6" w:rsidP="005E59D6">
            <w:pPr>
              <w:spacing w:line="240" w:lineRule="auto"/>
              <w:rPr>
                <w:rFonts w:ascii="Times New Roman" w:hAnsi="Times New Roman"/>
                <w:sz w:val="24"/>
                <w:szCs w:val="24"/>
              </w:rPr>
            </w:pPr>
            <w:r w:rsidRPr="009319B1">
              <w:rPr>
                <w:rFonts w:ascii="Times New Roman" w:hAnsi="Times New Roman"/>
                <w:b/>
                <w:bCs/>
                <w:sz w:val="24"/>
                <w:szCs w:val="24"/>
              </w:rPr>
              <w:t>±</w:t>
            </w:r>
            <w:r w:rsidRPr="009319B1">
              <w:rPr>
                <w:rFonts w:ascii="Times New Roman" w:hAnsi="Times New Roman"/>
                <w:sz w:val="24"/>
                <w:szCs w:val="24"/>
              </w:rPr>
              <w:t>0.36</w:t>
            </w:r>
          </w:p>
        </w:tc>
        <w:tc>
          <w:tcPr>
            <w:tcW w:w="1080" w:type="dxa"/>
            <w:gridSpan w:val="2"/>
            <w:tcBorders>
              <w:top w:val="single" w:sz="4" w:space="0" w:color="auto"/>
              <w:left w:val="nil"/>
              <w:right w:val="nil"/>
            </w:tcBorders>
            <w:shd w:val="clear" w:color="auto" w:fill="auto"/>
            <w:noWrap/>
            <w:vAlign w:val="bottom"/>
          </w:tcPr>
          <w:p w14:paraId="1E1CD723" w14:textId="77777777" w:rsidR="005E59D6" w:rsidRPr="009319B1" w:rsidRDefault="005E59D6" w:rsidP="005E59D6">
            <w:pPr>
              <w:spacing w:line="240" w:lineRule="auto"/>
              <w:jc w:val="center"/>
              <w:rPr>
                <w:rFonts w:ascii="Times New Roman" w:hAnsi="Times New Roman"/>
                <w:sz w:val="24"/>
                <w:szCs w:val="24"/>
              </w:rPr>
            </w:pPr>
            <w:r w:rsidRPr="009319B1">
              <w:rPr>
                <w:rFonts w:ascii="Times New Roman" w:hAnsi="Times New Roman"/>
                <w:sz w:val="24"/>
                <w:szCs w:val="24"/>
              </w:rPr>
              <w:t>0.001</w:t>
            </w:r>
          </w:p>
        </w:tc>
      </w:tr>
      <w:tr w:rsidR="005E59D6" w:rsidRPr="009319B1" w14:paraId="5FE09F29" w14:textId="77777777" w:rsidTr="002B7B95">
        <w:trPr>
          <w:trHeight w:val="309"/>
        </w:trPr>
        <w:tc>
          <w:tcPr>
            <w:tcW w:w="3240" w:type="dxa"/>
            <w:tcBorders>
              <w:top w:val="nil"/>
              <w:left w:val="nil"/>
              <w:right w:val="nil"/>
            </w:tcBorders>
            <w:shd w:val="clear" w:color="auto" w:fill="auto"/>
            <w:noWrap/>
            <w:vAlign w:val="center"/>
          </w:tcPr>
          <w:p w14:paraId="7740304B" w14:textId="77777777" w:rsidR="005E59D6" w:rsidRPr="009319B1" w:rsidRDefault="005E59D6" w:rsidP="005E59D6">
            <w:pPr>
              <w:autoSpaceDE w:val="0"/>
              <w:autoSpaceDN w:val="0"/>
              <w:adjustRightInd w:val="0"/>
              <w:spacing w:line="240" w:lineRule="auto"/>
              <w:rPr>
                <w:rFonts w:ascii="Times New Roman" w:eastAsia="Batang" w:hAnsi="Times New Roman"/>
                <w:sz w:val="24"/>
                <w:szCs w:val="24"/>
                <w:lang w:eastAsia="ko-KR" w:bidi="bn-IN"/>
              </w:rPr>
            </w:pPr>
          </w:p>
        </w:tc>
        <w:tc>
          <w:tcPr>
            <w:tcW w:w="1171" w:type="dxa"/>
            <w:gridSpan w:val="3"/>
            <w:tcBorders>
              <w:top w:val="nil"/>
              <w:left w:val="nil"/>
              <w:right w:val="nil"/>
            </w:tcBorders>
            <w:shd w:val="clear" w:color="auto" w:fill="auto"/>
            <w:noWrap/>
          </w:tcPr>
          <w:p w14:paraId="748992EC" w14:textId="77777777" w:rsidR="005E59D6" w:rsidRPr="009319B1" w:rsidRDefault="005E59D6" w:rsidP="005E59D6">
            <w:pPr>
              <w:spacing w:line="240" w:lineRule="auto"/>
              <w:jc w:val="right"/>
              <w:rPr>
                <w:rFonts w:ascii="Times New Roman" w:hAnsi="Times New Roman"/>
                <w:sz w:val="24"/>
                <w:szCs w:val="24"/>
              </w:rPr>
            </w:pPr>
          </w:p>
        </w:tc>
        <w:tc>
          <w:tcPr>
            <w:tcW w:w="989" w:type="dxa"/>
            <w:gridSpan w:val="2"/>
            <w:tcBorders>
              <w:top w:val="nil"/>
              <w:left w:val="nil"/>
              <w:right w:val="nil"/>
            </w:tcBorders>
            <w:shd w:val="clear" w:color="auto" w:fill="auto"/>
            <w:noWrap/>
          </w:tcPr>
          <w:p w14:paraId="5CD6544E" w14:textId="77777777" w:rsidR="005E59D6" w:rsidRPr="009319B1" w:rsidRDefault="005E59D6" w:rsidP="005E59D6">
            <w:pPr>
              <w:spacing w:line="240" w:lineRule="auto"/>
              <w:rPr>
                <w:rFonts w:ascii="Times New Roman" w:hAnsi="Times New Roman"/>
                <w:sz w:val="24"/>
                <w:szCs w:val="24"/>
              </w:rPr>
            </w:pPr>
          </w:p>
        </w:tc>
        <w:tc>
          <w:tcPr>
            <w:tcW w:w="1171" w:type="dxa"/>
            <w:gridSpan w:val="2"/>
            <w:tcBorders>
              <w:top w:val="nil"/>
              <w:left w:val="nil"/>
              <w:right w:val="nil"/>
            </w:tcBorders>
            <w:shd w:val="clear" w:color="auto" w:fill="auto"/>
            <w:noWrap/>
          </w:tcPr>
          <w:p w14:paraId="256D15D2" w14:textId="77777777" w:rsidR="005E59D6" w:rsidRPr="009319B1" w:rsidRDefault="005E59D6" w:rsidP="005E59D6">
            <w:pPr>
              <w:spacing w:line="240" w:lineRule="auto"/>
              <w:jc w:val="right"/>
              <w:rPr>
                <w:rFonts w:ascii="Times New Roman" w:hAnsi="Times New Roman"/>
                <w:sz w:val="24"/>
                <w:szCs w:val="24"/>
              </w:rPr>
            </w:pPr>
          </w:p>
        </w:tc>
        <w:tc>
          <w:tcPr>
            <w:tcW w:w="986" w:type="dxa"/>
            <w:gridSpan w:val="2"/>
            <w:tcBorders>
              <w:top w:val="nil"/>
              <w:left w:val="nil"/>
              <w:right w:val="nil"/>
            </w:tcBorders>
            <w:shd w:val="clear" w:color="auto" w:fill="auto"/>
            <w:noWrap/>
          </w:tcPr>
          <w:p w14:paraId="64EAD8D4" w14:textId="77777777" w:rsidR="005E59D6" w:rsidRPr="009319B1" w:rsidRDefault="005E59D6" w:rsidP="005E59D6">
            <w:pPr>
              <w:spacing w:line="240" w:lineRule="auto"/>
              <w:rPr>
                <w:rFonts w:ascii="Times New Roman" w:hAnsi="Times New Roman"/>
                <w:sz w:val="24"/>
                <w:szCs w:val="24"/>
              </w:rPr>
            </w:pPr>
          </w:p>
        </w:tc>
        <w:tc>
          <w:tcPr>
            <w:tcW w:w="1080" w:type="dxa"/>
            <w:gridSpan w:val="2"/>
            <w:tcBorders>
              <w:top w:val="nil"/>
              <w:left w:val="nil"/>
              <w:right w:val="nil"/>
            </w:tcBorders>
            <w:shd w:val="clear" w:color="auto" w:fill="auto"/>
            <w:noWrap/>
            <w:vAlign w:val="bottom"/>
          </w:tcPr>
          <w:p w14:paraId="208D180E" w14:textId="77777777" w:rsidR="005E59D6" w:rsidRPr="009319B1" w:rsidRDefault="005E59D6" w:rsidP="005E59D6">
            <w:pPr>
              <w:spacing w:line="240" w:lineRule="auto"/>
              <w:rPr>
                <w:rFonts w:ascii="Times New Roman" w:hAnsi="Times New Roman"/>
                <w:sz w:val="24"/>
                <w:szCs w:val="24"/>
              </w:rPr>
            </w:pPr>
          </w:p>
        </w:tc>
      </w:tr>
      <w:tr w:rsidR="005E59D6" w:rsidRPr="009319B1" w14:paraId="2D71455B" w14:textId="77777777" w:rsidTr="002B7B95">
        <w:trPr>
          <w:trHeight w:val="256"/>
        </w:trPr>
        <w:tc>
          <w:tcPr>
            <w:tcW w:w="3240" w:type="dxa"/>
            <w:tcBorders>
              <w:left w:val="nil"/>
              <w:right w:val="nil"/>
            </w:tcBorders>
            <w:shd w:val="clear" w:color="auto" w:fill="auto"/>
            <w:noWrap/>
            <w:vAlign w:val="center"/>
          </w:tcPr>
          <w:p w14:paraId="4746CC13" w14:textId="77777777" w:rsidR="005E59D6" w:rsidRPr="009319B1" w:rsidRDefault="005E59D6" w:rsidP="005E59D6">
            <w:pPr>
              <w:autoSpaceDE w:val="0"/>
              <w:autoSpaceDN w:val="0"/>
              <w:adjustRightInd w:val="0"/>
              <w:spacing w:line="240" w:lineRule="auto"/>
              <w:rPr>
                <w:rFonts w:ascii="Times New Roman" w:eastAsia="Batang" w:hAnsi="Times New Roman"/>
                <w:sz w:val="24"/>
                <w:szCs w:val="24"/>
                <w:lang w:eastAsia="ko-KR" w:bidi="bn-IN"/>
              </w:rPr>
            </w:pPr>
            <w:r w:rsidRPr="009319B1">
              <w:rPr>
                <w:rFonts w:ascii="Times New Roman" w:hAnsi="Times New Roman"/>
                <w:sz w:val="24"/>
                <w:szCs w:val="24"/>
              </w:rPr>
              <w:t>RB</w:t>
            </w:r>
            <w:r>
              <w:rPr>
                <w:rFonts w:ascii="Times New Roman" w:hAnsi="Times New Roman"/>
                <w:sz w:val="24"/>
                <w:szCs w:val="24"/>
              </w:rPr>
              <w:t>G (</w:t>
            </w:r>
            <w:proofErr w:type="spellStart"/>
            <w:r>
              <w:rPr>
                <w:rFonts w:ascii="Times New Roman" w:hAnsi="Times New Roman"/>
                <w:sz w:val="24"/>
                <w:szCs w:val="24"/>
              </w:rPr>
              <w:t>mmol</w:t>
            </w:r>
            <w:proofErr w:type="spellEnd"/>
            <w:r>
              <w:rPr>
                <w:rFonts w:ascii="Times New Roman" w:hAnsi="Times New Roman"/>
                <w:sz w:val="24"/>
                <w:szCs w:val="24"/>
              </w:rPr>
              <w:t>/L)</w:t>
            </w:r>
          </w:p>
        </w:tc>
        <w:tc>
          <w:tcPr>
            <w:tcW w:w="1171" w:type="dxa"/>
            <w:gridSpan w:val="3"/>
            <w:tcBorders>
              <w:left w:val="nil"/>
              <w:right w:val="nil"/>
            </w:tcBorders>
            <w:shd w:val="clear" w:color="auto" w:fill="auto"/>
            <w:noWrap/>
          </w:tcPr>
          <w:p w14:paraId="020FC920" w14:textId="77777777" w:rsidR="005E59D6" w:rsidRPr="009319B1" w:rsidRDefault="005E59D6" w:rsidP="005E59D6">
            <w:pPr>
              <w:spacing w:line="240" w:lineRule="auto"/>
              <w:jc w:val="right"/>
              <w:rPr>
                <w:rFonts w:ascii="Times New Roman" w:hAnsi="Times New Roman"/>
                <w:sz w:val="24"/>
                <w:szCs w:val="24"/>
              </w:rPr>
            </w:pPr>
            <w:r w:rsidRPr="009319B1">
              <w:rPr>
                <w:rFonts w:ascii="Times New Roman" w:hAnsi="Times New Roman"/>
                <w:sz w:val="24"/>
                <w:szCs w:val="24"/>
              </w:rPr>
              <w:t>6.09</w:t>
            </w:r>
          </w:p>
        </w:tc>
        <w:tc>
          <w:tcPr>
            <w:tcW w:w="989" w:type="dxa"/>
            <w:gridSpan w:val="2"/>
            <w:tcBorders>
              <w:left w:val="nil"/>
              <w:right w:val="nil"/>
            </w:tcBorders>
            <w:shd w:val="clear" w:color="auto" w:fill="auto"/>
            <w:noWrap/>
          </w:tcPr>
          <w:p w14:paraId="32A38A65" w14:textId="77777777" w:rsidR="005E59D6" w:rsidRPr="009319B1" w:rsidRDefault="005E59D6" w:rsidP="005E59D6">
            <w:pPr>
              <w:spacing w:line="240" w:lineRule="auto"/>
              <w:rPr>
                <w:rFonts w:ascii="Times New Roman" w:hAnsi="Times New Roman"/>
                <w:sz w:val="24"/>
                <w:szCs w:val="24"/>
              </w:rPr>
            </w:pPr>
            <w:r w:rsidRPr="009319B1">
              <w:rPr>
                <w:rFonts w:ascii="Times New Roman" w:hAnsi="Times New Roman"/>
                <w:b/>
                <w:bCs/>
                <w:sz w:val="24"/>
                <w:szCs w:val="24"/>
              </w:rPr>
              <w:t>±</w:t>
            </w:r>
            <w:r w:rsidRPr="009319B1">
              <w:rPr>
                <w:rFonts w:ascii="Times New Roman" w:hAnsi="Times New Roman"/>
                <w:sz w:val="24"/>
                <w:szCs w:val="24"/>
              </w:rPr>
              <w:t>1.82</w:t>
            </w:r>
          </w:p>
        </w:tc>
        <w:tc>
          <w:tcPr>
            <w:tcW w:w="1171" w:type="dxa"/>
            <w:gridSpan w:val="2"/>
            <w:tcBorders>
              <w:left w:val="nil"/>
              <w:right w:val="nil"/>
            </w:tcBorders>
            <w:shd w:val="clear" w:color="auto" w:fill="auto"/>
            <w:noWrap/>
          </w:tcPr>
          <w:p w14:paraId="47012042" w14:textId="77777777" w:rsidR="005E59D6" w:rsidRPr="009319B1" w:rsidRDefault="005E59D6" w:rsidP="005E59D6">
            <w:pPr>
              <w:spacing w:line="240" w:lineRule="auto"/>
              <w:jc w:val="right"/>
              <w:rPr>
                <w:rFonts w:ascii="Times New Roman" w:hAnsi="Times New Roman"/>
                <w:sz w:val="24"/>
                <w:szCs w:val="24"/>
              </w:rPr>
            </w:pPr>
            <w:r w:rsidRPr="009319B1">
              <w:rPr>
                <w:rFonts w:ascii="Times New Roman" w:hAnsi="Times New Roman"/>
                <w:sz w:val="24"/>
                <w:szCs w:val="24"/>
              </w:rPr>
              <w:t>6.94</w:t>
            </w:r>
          </w:p>
        </w:tc>
        <w:tc>
          <w:tcPr>
            <w:tcW w:w="986" w:type="dxa"/>
            <w:gridSpan w:val="2"/>
            <w:tcBorders>
              <w:left w:val="nil"/>
              <w:right w:val="nil"/>
            </w:tcBorders>
            <w:shd w:val="clear" w:color="auto" w:fill="auto"/>
            <w:noWrap/>
          </w:tcPr>
          <w:p w14:paraId="113F4D1C" w14:textId="77777777" w:rsidR="005E59D6" w:rsidRPr="009319B1" w:rsidRDefault="005E59D6" w:rsidP="005E59D6">
            <w:pPr>
              <w:spacing w:line="240" w:lineRule="auto"/>
              <w:rPr>
                <w:rFonts w:ascii="Times New Roman" w:hAnsi="Times New Roman"/>
                <w:sz w:val="24"/>
                <w:szCs w:val="24"/>
              </w:rPr>
            </w:pPr>
            <w:r w:rsidRPr="009319B1">
              <w:rPr>
                <w:rFonts w:ascii="Times New Roman" w:hAnsi="Times New Roman"/>
                <w:b/>
                <w:bCs/>
                <w:sz w:val="24"/>
                <w:szCs w:val="24"/>
              </w:rPr>
              <w:t>±</w:t>
            </w:r>
            <w:r w:rsidRPr="00C17DDE">
              <w:rPr>
                <w:rFonts w:ascii="Times New Roman" w:hAnsi="Times New Roman"/>
                <w:sz w:val="24"/>
                <w:szCs w:val="24"/>
              </w:rPr>
              <w:t>3</w:t>
            </w:r>
            <w:r w:rsidRPr="009319B1">
              <w:rPr>
                <w:rFonts w:ascii="Times New Roman" w:hAnsi="Times New Roman"/>
                <w:sz w:val="24"/>
                <w:szCs w:val="24"/>
              </w:rPr>
              <w:t>.17</w:t>
            </w:r>
          </w:p>
        </w:tc>
        <w:tc>
          <w:tcPr>
            <w:tcW w:w="1080" w:type="dxa"/>
            <w:gridSpan w:val="2"/>
            <w:tcBorders>
              <w:left w:val="nil"/>
              <w:right w:val="nil"/>
            </w:tcBorders>
            <w:shd w:val="clear" w:color="auto" w:fill="auto"/>
            <w:noWrap/>
          </w:tcPr>
          <w:p w14:paraId="447DE970" w14:textId="77777777" w:rsidR="005E59D6" w:rsidRPr="009319B1" w:rsidRDefault="005E59D6" w:rsidP="005E59D6">
            <w:pPr>
              <w:spacing w:line="240" w:lineRule="auto"/>
              <w:jc w:val="center"/>
              <w:rPr>
                <w:rFonts w:ascii="Times New Roman" w:hAnsi="Times New Roman"/>
                <w:sz w:val="24"/>
                <w:szCs w:val="24"/>
              </w:rPr>
            </w:pPr>
            <w:r w:rsidRPr="009319B1">
              <w:rPr>
                <w:rFonts w:ascii="Times New Roman" w:hAnsi="Times New Roman"/>
                <w:sz w:val="24"/>
                <w:szCs w:val="24"/>
              </w:rPr>
              <w:t>0.115</w:t>
            </w:r>
          </w:p>
        </w:tc>
      </w:tr>
      <w:tr w:rsidR="005E59D6" w:rsidRPr="009319B1" w14:paraId="6B071DB5" w14:textId="77777777" w:rsidTr="002B7B95">
        <w:trPr>
          <w:trHeight w:val="256"/>
        </w:trPr>
        <w:tc>
          <w:tcPr>
            <w:tcW w:w="3240" w:type="dxa"/>
            <w:tcBorders>
              <w:top w:val="nil"/>
              <w:left w:val="nil"/>
              <w:right w:val="nil"/>
            </w:tcBorders>
            <w:shd w:val="clear" w:color="auto" w:fill="auto"/>
            <w:noWrap/>
            <w:vAlign w:val="center"/>
          </w:tcPr>
          <w:p w14:paraId="6D7E7B76" w14:textId="77777777" w:rsidR="005E59D6" w:rsidRPr="009319B1" w:rsidRDefault="005E59D6" w:rsidP="005E59D6">
            <w:pPr>
              <w:autoSpaceDE w:val="0"/>
              <w:autoSpaceDN w:val="0"/>
              <w:adjustRightInd w:val="0"/>
              <w:spacing w:line="240" w:lineRule="auto"/>
              <w:rPr>
                <w:rFonts w:ascii="Times New Roman" w:eastAsia="Batang" w:hAnsi="Times New Roman"/>
                <w:sz w:val="24"/>
                <w:szCs w:val="24"/>
                <w:lang w:eastAsia="ko-KR" w:bidi="bn-IN"/>
              </w:rPr>
            </w:pPr>
          </w:p>
        </w:tc>
        <w:tc>
          <w:tcPr>
            <w:tcW w:w="1171" w:type="dxa"/>
            <w:gridSpan w:val="3"/>
            <w:tcBorders>
              <w:top w:val="nil"/>
              <w:left w:val="nil"/>
              <w:right w:val="nil"/>
            </w:tcBorders>
            <w:shd w:val="clear" w:color="auto" w:fill="auto"/>
            <w:noWrap/>
          </w:tcPr>
          <w:p w14:paraId="2853620B" w14:textId="77777777" w:rsidR="005E59D6" w:rsidRPr="009319B1" w:rsidRDefault="005E59D6" w:rsidP="005E59D6">
            <w:pPr>
              <w:spacing w:line="240" w:lineRule="auto"/>
              <w:jc w:val="right"/>
              <w:rPr>
                <w:rFonts w:ascii="Times New Roman" w:hAnsi="Times New Roman"/>
                <w:sz w:val="24"/>
                <w:szCs w:val="24"/>
              </w:rPr>
            </w:pPr>
          </w:p>
        </w:tc>
        <w:tc>
          <w:tcPr>
            <w:tcW w:w="989" w:type="dxa"/>
            <w:gridSpan w:val="2"/>
            <w:tcBorders>
              <w:top w:val="nil"/>
              <w:left w:val="nil"/>
              <w:right w:val="nil"/>
            </w:tcBorders>
            <w:shd w:val="clear" w:color="auto" w:fill="auto"/>
            <w:noWrap/>
          </w:tcPr>
          <w:p w14:paraId="21E5035C" w14:textId="77777777" w:rsidR="005E59D6" w:rsidRPr="009319B1" w:rsidRDefault="005E59D6" w:rsidP="005E59D6">
            <w:pPr>
              <w:spacing w:line="240" w:lineRule="auto"/>
              <w:rPr>
                <w:rFonts w:ascii="Times New Roman" w:hAnsi="Times New Roman"/>
                <w:sz w:val="24"/>
                <w:szCs w:val="24"/>
              </w:rPr>
            </w:pPr>
          </w:p>
        </w:tc>
        <w:tc>
          <w:tcPr>
            <w:tcW w:w="1171" w:type="dxa"/>
            <w:gridSpan w:val="2"/>
            <w:tcBorders>
              <w:top w:val="nil"/>
              <w:left w:val="nil"/>
              <w:right w:val="nil"/>
            </w:tcBorders>
            <w:shd w:val="clear" w:color="auto" w:fill="auto"/>
            <w:noWrap/>
          </w:tcPr>
          <w:p w14:paraId="69BE9F36" w14:textId="77777777" w:rsidR="005E59D6" w:rsidRPr="009319B1" w:rsidRDefault="005E59D6" w:rsidP="005E59D6">
            <w:pPr>
              <w:spacing w:line="240" w:lineRule="auto"/>
              <w:jc w:val="right"/>
              <w:rPr>
                <w:rFonts w:ascii="Times New Roman" w:hAnsi="Times New Roman"/>
                <w:sz w:val="24"/>
                <w:szCs w:val="24"/>
              </w:rPr>
            </w:pPr>
          </w:p>
        </w:tc>
        <w:tc>
          <w:tcPr>
            <w:tcW w:w="986" w:type="dxa"/>
            <w:gridSpan w:val="2"/>
            <w:tcBorders>
              <w:top w:val="nil"/>
              <w:left w:val="nil"/>
              <w:right w:val="nil"/>
            </w:tcBorders>
            <w:shd w:val="clear" w:color="auto" w:fill="auto"/>
            <w:noWrap/>
          </w:tcPr>
          <w:p w14:paraId="50EEBCB3" w14:textId="77777777" w:rsidR="005E59D6" w:rsidRPr="009319B1" w:rsidRDefault="005E59D6" w:rsidP="005E59D6">
            <w:pPr>
              <w:spacing w:line="240" w:lineRule="auto"/>
              <w:rPr>
                <w:rFonts w:ascii="Times New Roman" w:hAnsi="Times New Roman"/>
                <w:sz w:val="24"/>
                <w:szCs w:val="24"/>
              </w:rPr>
            </w:pPr>
          </w:p>
        </w:tc>
        <w:tc>
          <w:tcPr>
            <w:tcW w:w="1080" w:type="dxa"/>
            <w:gridSpan w:val="2"/>
            <w:tcBorders>
              <w:top w:val="nil"/>
              <w:left w:val="nil"/>
              <w:right w:val="nil"/>
            </w:tcBorders>
            <w:shd w:val="clear" w:color="auto" w:fill="auto"/>
            <w:noWrap/>
          </w:tcPr>
          <w:p w14:paraId="71C9EFF2" w14:textId="77777777" w:rsidR="005E59D6" w:rsidRPr="009319B1" w:rsidRDefault="005E59D6" w:rsidP="005E59D6">
            <w:pPr>
              <w:spacing w:line="240" w:lineRule="auto"/>
              <w:jc w:val="center"/>
              <w:rPr>
                <w:rFonts w:ascii="Times New Roman" w:hAnsi="Times New Roman"/>
                <w:sz w:val="24"/>
                <w:szCs w:val="24"/>
              </w:rPr>
            </w:pPr>
          </w:p>
        </w:tc>
      </w:tr>
      <w:tr w:rsidR="005E59D6" w:rsidRPr="009319B1" w14:paraId="2DCC330E" w14:textId="77777777" w:rsidTr="002B7B95">
        <w:trPr>
          <w:trHeight w:val="256"/>
        </w:trPr>
        <w:tc>
          <w:tcPr>
            <w:tcW w:w="3240" w:type="dxa"/>
            <w:tcBorders>
              <w:left w:val="nil"/>
              <w:right w:val="nil"/>
            </w:tcBorders>
            <w:shd w:val="clear" w:color="auto" w:fill="auto"/>
            <w:noWrap/>
            <w:vAlign w:val="center"/>
          </w:tcPr>
          <w:p w14:paraId="0B0BA045" w14:textId="77777777" w:rsidR="005E59D6" w:rsidRPr="009319B1" w:rsidRDefault="005E59D6" w:rsidP="005E59D6">
            <w:pPr>
              <w:autoSpaceDE w:val="0"/>
              <w:autoSpaceDN w:val="0"/>
              <w:adjustRightInd w:val="0"/>
              <w:spacing w:line="240" w:lineRule="auto"/>
              <w:rPr>
                <w:rFonts w:ascii="Times New Roman" w:hAnsi="Times New Roman"/>
                <w:sz w:val="24"/>
                <w:szCs w:val="24"/>
              </w:rPr>
            </w:pPr>
            <w:r w:rsidRPr="009319B1">
              <w:rPr>
                <w:rFonts w:ascii="Times New Roman" w:hAnsi="Times New Roman"/>
                <w:sz w:val="24"/>
                <w:szCs w:val="24"/>
              </w:rPr>
              <w:t>Serum creatinine</w:t>
            </w:r>
            <w:r>
              <w:rPr>
                <w:rFonts w:ascii="Times New Roman" w:hAnsi="Times New Roman"/>
                <w:sz w:val="24"/>
                <w:szCs w:val="24"/>
              </w:rPr>
              <w:t xml:space="preserve"> (mg/dl)</w:t>
            </w:r>
          </w:p>
        </w:tc>
        <w:tc>
          <w:tcPr>
            <w:tcW w:w="1171" w:type="dxa"/>
            <w:gridSpan w:val="3"/>
            <w:tcBorders>
              <w:left w:val="nil"/>
              <w:right w:val="nil"/>
            </w:tcBorders>
            <w:shd w:val="clear" w:color="auto" w:fill="auto"/>
            <w:noWrap/>
          </w:tcPr>
          <w:p w14:paraId="58101FC0" w14:textId="77777777" w:rsidR="005E59D6" w:rsidRPr="009319B1" w:rsidRDefault="005E59D6" w:rsidP="005E59D6">
            <w:pPr>
              <w:spacing w:line="240" w:lineRule="auto"/>
              <w:jc w:val="right"/>
              <w:rPr>
                <w:rFonts w:ascii="Times New Roman" w:hAnsi="Times New Roman"/>
                <w:sz w:val="24"/>
                <w:szCs w:val="24"/>
              </w:rPr>
            </w:pPr>
            <w:r w:rsidRPr="009319B1">
              <w:rPr>
                <w:rFonts w:ascii="Times New Roman" w:hAnsi="Times New Roman"/>
                <w:sz w:val="24"/>
                <w:szCs w:val="24"/>
              </w:rPr>
              <w:t>1.09</w:t>
            </w:r>
          </w:p>
        </w:tc>
        <w:tc>
          <w:tcPr>
            <w:tcW w:w="989" w:type="dxa"/>
            <w:gridSpan w:val="2"/>
            <w:tcBorders>
              <w:left w:val="nil"/>
              <w:right w:val="nil"/>
            </w:tcBorders>
            <w:shd w:val="clear" w:color="auto" w:fill="auto"/>
            <w:noWrap/>
          </w:tcPr>
          <w:p w14:paraId="7D9EFACA" w14:textId="77777777" w:rsidR="005E59D6" w:rsidRPr="009319B1" w:rsidRDefault="005E59D6" w:rsidP="005E59D6">
            <w:pPr>
              <w:spacing w:line="240" w:lineRule="auto"/>
              <w:rPr>
                <w:rFonts w:ascii="Times New Roman" w:hAnsi="Times New Roman"/>
                <w:sz w:val="24"/>
                <w:szCs w:val="24"/>
              </w:rPr>
            </w:pPr>
            <w:r w:rsidRPr="009319B1">
              <w:rPr>
                <w:rFonts w:ascii="Times New Roman" w:hAnsi="Times New Roman"/>
                <w:b/>
                <w:bCs/>
                <w:sz w:val="24"/>
                <w:szCs w:val="24"/>
              </w:rPr>
              <w:t>±</w:t>
            </w:r>
            <w:r w:rsidRPr="009319B1">
              <w:rPr>
                <w:rFonts w:ascii="Times New Roman" w:hAnsi="Times New Roman"/>
                <w:sz w:val="24"/>
                <w:szCs w:val="24"/>
              </w:rPr>
              <w:t>0.2</w:t>
            </w:r>
          </w:p>
        </w:tc>
        <w:tc>
          <w:tcPr>
            <w:tcW w:w="1171" w:type="dxa"/>
            <w:gridSpan w:val="2"/>
            <w:tcBorders>
              <w:left w:val="nil"/>
              <w:right w:val="nil"/>
            </w:tcBorders>
            <w:shd w:val="clear" w:color="auto" w:fill="auto"/>
            <w:noWrap/>
          </w:tcPr>
          <w:p w14:paraId="570802C1" w14:textId="77777777" w:rsidR="005E59D6" w:rsidRPr="009319B1" w:rsidRDefault="005E59D6" w:rsidP="005E59D6">
            <w:pPr>
              <w:spacing w:line="240" w:lineRule="auto"/>
              <w:jc w:val="right"/>
              <w:rPr>
                <w:rFonts w:ascii="Times New Roman" w:hAnsi="Times New Roman"/>
                <w:sz w:val="24"/>
                <w:szCs w:val="24"/>
              </w:rPr>
            </w:pPr>
            <w:r w:rsidRPr="009319B1">
              <w:rPr>
                <w:rFonts w:ascii="Times New Roman" w:hAnsi="Times New Roman"/>
                <w:sz w:val="24"/>
                <w:szCs w:val="24"/>
              </w:rPr>
              <w:t>1.14</w:t>
            </w:r>
          </w:p>
        </w:tc>
        <w:tc>
          <w:tcPr>
            <w:tcW w:w="986" w:type="dxa"/>
            <w:gridSpan w:val="2"/>
            <w:tcBorders>
              <w:left w:val="nil"/>
              <w:right w:val="nil"/>
            </w:tcBorders>
            <w:shd w:val="clear" w:color="auto" w:fill="auto"/>
            <w:noWrap/>
          </w:tcPr>
          <w:p w14:paraId="695E8B30" w14:textId="77777777" w:rsidR="005E59D6" w:rsidRPr="009319B1" w:rsidRDefault="005E59D6" w:rsidP="005E59D6">
            <w:pPr>
              <w:spacing w:line="240" w:lineRule="auto"/>
              <w:rPr>
                <w:rFonts w:ascii="Times New Roman" w:hAnsi="Times New Roman"/>
                <w:sz w:val="24"/>
                <w:szCs w:val="24"/>
              </w:rPr>
            </w:pPr>
            <w:r w:rsidRPr="009319B1">
              <w:rPr>
                <w:rFonts w:ascii="Times New Roman" w:hAnsi="Times New Roman"/>
                <w:b/>
                <w:bCs/>
                <w:sz w:val="24"/>
                <w:szCs w:val="24"/>
              </w:rPr>
              <w:t>±</w:t>
            </w:r>
            <w:r w:rsidRPr="009319B1">
              <w:rPr>
                <w:rFonts w:ascii="Times New Roman" w:hAnsi="Times New Roman"/>
                <w:sz w:val="24"/>
                <w:szCs w:val="24"/>
              </w:rPr>
              <w:t>0.18</w:t>
            </w:r>
          </w:p>
        </w:tc>
        <w:tc>
          <w:tcPr>
            <w:tcW w:w="1080" w:type="dxa"/>
            <w:gridSpan w:val="2"/>
            <w:tcBorders>
              <w:left w:val="nil"/>
              <w:right w:val="nil"/>
            </w:tcBorders>
            <w:shd w:val="clear" w:color="auto" w:fill="auto"/>
            <w:noWrap/>
          </w:tcPr>
          <w:p w14:paraId="6B0EB1E9" w14:textId="77777777" w:rsidR="005E59D6" w:rsidRPr="009319B1" w:rsidRDefault="005E59D6" w:rsidP="005E59D6">
            <w:pPr>
              <w:spacing w:line="240" w:lineRule="auto"/>
              <w:jc w:val="center"/>
              <w:rPr>
                <w:rFonts w:ascii="Times New Roman" w:hAnsi="Times New Roman"/>
                <w:sz w:val="24"/>
                <w:szCs w:val="24"/>
              </w:rPr>
            </w:pPr>
            <w:r w:rsidRPr="009319B1">
              <w:rPr>
                <w:rFonts w:ascii="Times New Roman" w:hAnsi="Times New Roman"/>
                <w:sz w:val="24"/>
                <w:szCs w:val="24"/>
              </w:rPr>
              <w:t>0.203</w:t>
            </w:r>
          </w:p>
        </w:tc>
      </w:tr>
      <w:tr w:rsidR="005E59D6" w:rsidRPr="009319B1" w14:paraId="05963E49" w14:textId="77777777" w:rsidTr="002B7B95">
        <w:trPr>
          <w:trHeight w:val="256"/>
        </w:trPr>
        <w:tc>
          <w:tcPr>
            <w:tcW w:w="3240" w:type="dxa"/>
            <w:tcBorders>
              <w:top w:val="nil"/>
              <w:left w:val="nil"/>
              <w:bottom w:val="single" w:sz="4" w:space="0" w:color="auto"/>
              <w:right w:val="nil"/>
            </w:tcBorders>
            <w:shd w:val="clear" w:color="auto" w:fill="auto"/>
            <w:noWrap/>
            <w:vAlign w:val="center"/>
          </w:tcPr>
          <w:p w14:paraId="0DCF59DC" w14:textId="77777777" w:rsidR="005E59D6" w:rsidRPr="009319B1" w:rsidRDefault="005E59D6" w:rsidP="005E59D6">
            <w:pPr>
              <w:autoSpaceDE w:val="0"/>
              <w:autoSpaceDN w:val="0"/>
              <w:adjustRightInd w:val="0"/>
              <w:spacing w:line="240" w:lineRule="auto"/>
              <w:rPr>
                <w:rFonts w:ascii="Times New Roman" w:eastAsia="Batang" w:hAnsi="Times New Roman"/>
                <w:sz w:val="24"/>
                <w:szCs w:val="24"/>
                <w:lang w:eastAsia="ko-KR" w:bidi="bn-IN"/>
              </w:rPr>
            </w:pPr>
          </w:p>
        </w:tc>
        <w:tc>
          <w:tcPr>
            <w:tcW w:w="1171" w:type="dxa"/>
            <w:gridSpan w:val="3"/>
            <w:tcBorders>
              <w:top w:val="nil"/>
              <w:left w:val="nil"/>
              <w:bottom w:val="single" w:sz="4" w:space="0" w:color="auto"/>
              <w:right w:val="nil"/>
            </w:tcBorders>
            <w:shd w:val="clear" w:color="auto" w:fill="auto"/>
            <w:noWrap/>
          </w:tcPr>
          <w:p w14:paraId="66B7021E" w14:textId="77777777" w:rsidR="005E59D6" w:rsidRPr="009319B1" w:rsidRDefault="005E59D6" w:rsidP="005E59D6">
            <w:pPr>
              <w:spacing w:line="240" w:lineRule="auto"/>
              <w:jc w:val="right"/>
              <w:rPr>
                <w:rFonts w:ascii="Times New Roman" w:hAnsi="Times New Roman"/>
                <w:sz w:val="24"/>
                <w:szCs w:val="24"/>
              </w:rPr>
            </w:pPr>
          </w:p>
        </w:tc>
        <w:tc>
          <w:tcPr>
            <w:tcW w:w="989" w:type="dxa"/>
            <w:gridSpan w:val="2"/>
            <w:tcBorders>
              <w:top w:val="nil"/>
              <w:left w:val="nil"/>
              <w:bottom w:val="single" w:sz="4" w:space="0" w:color="auto"/>
              <w:right w:val="nil"/>
            </w:tcBorders>
            <w:shd w:val="clear" w:color="auto" w:fill="auto"/>
            <w:noWrap/>
          </w:tcPr>
          <w:p w14:paraId="15D937C1" w14:textId="77777777" w:rsidR="005E59D6" w:rsidRPr="009319B1" w:rsidRDefault="005E59D6" w:rsidP="005E59D6">
            <w:pPr>
              <w:spacing w:line="240" w:lineRule="auto"/>
              <w:rPr>
                <w:rFonts w:ascii="Times New Roman" w:hAnsi="Times New Roman"/>
                <w:sz w:val="24"/>
                <w:szCs w:val="24"/>
              </w:rPr>
            </w:pPr>
          </w:p>
        </w:tc>
        <w:tc>
          <w:tcPr>
            <w:tcW w:w="1171" w:type="dxa"/>
            <w:gridSpan w:val="2"/>
            <w:tcBorders>
              <w:top w:val="nil"/>
              <w:left w:val="nil"/>
              <w:bottom w:val="single" w:sz="4" w:space="0" w:color="auto"/>
              <w:right w:val="nil"/>
            </w:tcBorders>
            <w:shd w:val="clear" w:color="auto" w:fill="auto"/>
            <w:noWrap/>
          </w:tcPr>
          <w:p w14:paraId="493CAE72" w14:textId="77777777" w:rsidR="005E59D6" w:rsidRPr="009319B1" w:rsidRDefault="005E59D6" w:rsidP="005E59D6">
            <w:pPr>
              <w:spacing w:line="240" w:lineRule="auto"/>
              <w:jc w:val="right"/>
              <w:rPr>
                <w:rFonts w:ascii="Times New Roman" w:hAnsi="Times New Roman"/>
                <w:sz w:val="24"/>
                <w:szCs w:val="24"/>
              </w:rPr>
            </w:pPr>
          </w:p>
        </w:tc>
        <w:tc>
          <w:tcPr>
            <w:tcW w:w="986" w:type="dxa"/>
            <w:gridSpan w:val="2"/>
            <w:tcBorders>
              <w:top w:val="nil"/>
              <w:left w:val="nil"/>
              <w:bottom w:val="single" w:sz="4" w:space="0" w:color="auto"/>
              <w:right w:val="nil"/>
            </w:tcBorders>
            <w:shd w:val="clear" w:color="auto" w:fill="auto"/>
            <w:noWrap/>
          </w:tcPr>
          <w:p w14:paraId="37FD2242" w14:textId="77777777" w:rsidR="005E59D6" w:rsidRPr="009319B1" w:rsidRDefault="005E59D6" w:rsidP="005E59D6">
            <w:pPr>
              <w:spacing w:line="240" w:lineRule="auto"/>
              <w:rPr>
                <w:rFonts w:ascii="Times New Roman" w:hAnsi="Times New Roman"/>
                <w:sz w:val="24"/>
                <w:szCs w:val="24"/>
              </w:rPr>
            </w:pPr>
          </w:p>
        </w:tc>
        <w:tc>
          <w:tcPr>
            <w:tcW w:w="1080" w:type="dxa"/>
            <w:gridSpan w:val="2"/>
            <w:tcBorders>
              <w:top w:val="nil"/>
              <w:left w:val="nil"/>
              <w:bottom w:val="single" w:sz="4" w:space="0" w:color="auto"/>
              <w:right w:val="nil"/>
            </w:tcBorders>
            <w:shd w:val="clear" w:color="auto" w:fill="auto"/>
            <w:noWrap/>
          </w:tcPr>
          <w:p w14:paraId="05180576" w14:textId="77777777" w:rsidR="005E59D6" w:rsidRPr="009319B1" w:rsidRDefault="005E59D6" w:rsidP="005E59D6">
            <w:pPr>
              <w:spacing w:line="240" w:lineRule="auto"/>
              <w:jc w:val="center"/>
              <w:rPr>
                <w:rFonts w:ascii="Times New Roman" w:hAnsi="Times New Roman"/>
                <w:sz w:val="24"/>
                <w:szCs w:val="24"/>
              </w:rPr>
            </w:pPr>
          </w:p>
        </w:tc>
      </w:tr>
    </w:tbl>
    <w:p w14:paraId="6FE035C2" w14:textId="77777777" w:rsidR="005E59D6" w:rsidRPr="0058399A" w:rsidRDefault="005E59D6" w:rsidP="005E59D6">
      <w:pPr>
        <w:spacing w:line="360" w:lineRule="auto"/>
        <w:jc w:val="center"/>
        <w:rPr>
          <w:rFonts w:ascii="Times New Roman" w:hAnsi="Times New Roman" w:cs="Times New Roman"/>
          <w:b/>
          <w:sz w:val="24"/>
          <w:szCs w:val="24"/>
        </w:rPr>
      </w:pPr>
      <w:r w:rsidRPr="0058399A">
        <w:rPr>
          <w:rFonts w:ascii="Times New Roman" w:hAnsi="Times New Roman" w:cs="Times New Roman"/>
          <w:b/>
          <w:sz w:val="24"/>
          <w:szCs w:val="24"/>
        </w:rPr>
        <w:t>Table-3:</w:t>
      </w:r>
      <w:r>
        <w:rPr>
          <w:rFonts w:ascii="Times New Roman" w:hAnsi="Times New Roman" w:cs="Times New Roman"/>
          <w:b/>
          <w:sz w:val="24"/>
          <w:szCs w:val="24"/>
        </w:rPr>
        <w:t xml:space="preserve"> Investigation profile </w:t>
      </w:r>
      <w:r w:rsidRPr="0058399A">
        <w:rPr>
          <w:rFonts w:ascii="Times New Roman" w:hAnsi="Times New Roman" w:cs="Times New Roman"/>
          <w:b/>
          <w:sz w:val="24"/>
          <w:szCs w:val="24"/>
        </w:rPr>
        <w:t>of the study population</w:t>
      </w:r>
    </w:p>
    <w:p w14:paraId="077B3902" w14:textId="77777777" w:rsidR="005E59D6" w:rsidRDefault="005E59D6" w:rsidP="005E59D6">
      <w:pPr>
        <w:spacing w:line="360" w:lineRule="auto"/>
        <w:jc w:val="both"/>
        <w:rPr>
          <w:rFonts w:ascii="Times New Roman" w:hAnsi="Times New Roman" w:cs="Times New Roman"/>
          <w:sz w:val="24"/>
          <w:szCs w:val="24"/>
        </w:rPr>
      </w:pPr>
    </w:p>
    <w:p w14:paraId="1D46BA00" w14:textId="77777777" w:rsidR="005E59D6" w:rsidRDefault="005E59D6" w:rsidP="005E59D6">
      <w:pPr>
        <w:spacing w:line="360" w:lineRule="auto"/>
        <w:jc w:val="both"/>
        <w:rPr>
          <w:rFonts w:ascii="Times New Roman" w:hAnsi="Times New Roman" w:cs="Times New Roman"/>
          <w:sz w:val="24"/>
          <w:szCs w:val="24"/>
        </w:rPr>
      </w:pPr>
      <w:r w:rsidRPr="00A701EF">
        <w:rPr>
          <w:rFonts w:ascii="Times New Roman" w:hAnsi="Times New Roman" w:cs="Times New Roman"/>
          <w:sz w:val="24"/>
          <w:szCs w:val="24"/>
        </w:rPr>
        <w:t xml:space="preserve">It was observed that in Group I, majority (89.4%) patients </w:t>
      </w:r>
      <w:r>
        <w:rPr>
          <w:rFonts w:ascii="Times New Roman" w:hAnsi="Times New Roman" w:cs="Times New Roman"/>
          <w:sz w:val="24"/>
          <w:szCs w:val="24"/>
        </w:rPr>
        <w:t xml:space="preserve">belonged to independent group </w:t>
      </w:r>
      <w:r w:rsidRPr="00A701EF">
        <w:rPr>
          <w:rFonts w:ascii="Times New Roman" w:hAnsi="Times New Roman" w:cs="Times New Roman"/>
          <w:sz w:val="24"/>
          <w:szCs w:val="24"/>
        </w:rPr>
        <w:t xml:space="preserve">at discharge and 39(83.0%) </w:t>
      </w:r>
      <w:r>
        <w:rPr>
          <w:rFonts w:ascii="Times New Roman" w:hAnsi="Times New Roman" w:cs="Times New Roman"/>
          <w:sz w:val="24"/>
          <w:szCs w:val="24"/>
        </w:rPr>
        <w:t xml:space="preserve">were </w:t>
      </w:r>
      <w:r w:rsidRPr="00A701EF">
        <w:rPr>
          <w:rFonts w:ascii="Times New Roman" w:hAnsi="Times New Roman" w:cs="Times New Roman"/>
          <w:sz w:val="24"/>
          <w:szCs w:val="24"/>
        </w:rPr>
        <w:t>in</w:t>
      </w:r>
      <w:r>
        <w:rPr>
          <w:rFonts w:ascii="Times New Roman" w:hAnsi="Times New Roman" w:cs="Times New Roman"/>
          <w:sz w:val="24"/>
          <w:szCs w:val="24"/>
        </w:rPr>
        <w:t xml:space="preserve"> dependent</w:t>
      </w:r>
      <w:r w:rsidRPr="00A701EF">
        <w:rPr>
          <w:rFonts w:ascii="Times New Roman" w:hAnsi="Times New Roman" w:cs="Times New Roman"/>
          <w:sz w:val="24"/>
          <w:szCs w:val="24"/>
        </w:rPr>
        <w:t xml:space="preserve"> </w:t>
      </w:r>
      <w:r>
        <w:rPr>
          <w:rFonts w:ascii="Times New Roman" w:hAnsi="Times New Roman" w:cs="Times New Roman"/>
          <w:sz w:val="24"/>
          <w:szCs w:val="24"/>
        </w:rPr>
        <w:t xml:space="preserve">category </w:t>
      </w:r>
      <w:r w:rsidRPr="00A701EF">
        <w:rPr>
          <w:rFonts w:ascii="Times New Roman" w:hAnsi="Times New Roman" w:cs="Times New Roman"/>
          <w:sz w:val="24"/>
          <w:szCs w:val="24"/>
        </w:rPr>
        <w:t>at 3 month</w:t>
      </w:r>
      <w:r>
        <w:rPr>
          <w:rFonts w:ascii="Times New Roman" w:hAnsi="Times New Roman" w:cs="Times New Roman"/>
          <w:sz w:val="24"/>
          <w:szCs w:val="24"/>
        </w:rPr>
        <w:t xml:space="preserve"> according to modified Rankin Scale</w:t>
      </w:r>
      <w:r w:rsidRPr="00A701EF">
        <w:rPr>
          <w:rFonts w:ascii="Times New Roman" w:hAnsi="Times New Roman" w:cs="Times New Roman"/>
          <w:sz w:val="24"/>
          <w:szCs w:val="24"/>
        </w:rPr>
        <w:t xml:space="preserve">. In Group II, more than </w:t>
      </w:r>
      <w:r>
        <w:rPr>
          <w:rFonts w:ascii="Times New Roman" w:hAnsi="Times New Roman" w:cs="Times New Roman"/>
          <w:sz w:val="24"/>
          <w:szCs w:val="24"/>
        </w:rPr>
        <w:t>two third 33(68.7%) subjects were in the</w:t>
      </w:r>
      <w:r w:rsidRPr="00A701EF">
        <w:rPr>
          <w:rFonts w:ascii="Times New Roman" w:hAnsi="Times New Roman" w:cs="Times New Roman"/>
          <w:sz w:val="24"/>
          <w:szCs w:val="24"/>
        </w:rPr>
        <w:t xml:space="preserve"> independent</w:t>
      </w:r>
      <w:r>
        <w:rPr>
          <w:rFonts w:ascii="Times New Roman" w:hAnsi="Times New Roman" w:cs="Times New Roman"/>
          <w:sz w:val="24"/>
          <w:szCs w:val="24"/>
        </w:rPr>
        <w:t xml:space="preserve"> group during </w:t>
      </w:r>
      <w:r w:rsidRPr="00A701EF">
        <w:rPr>
          <w:rFonts w:ascii="Times New Roman" w:hAnsi="Times New Roman" w:cs="Times New Roman"/>
          <w:sz w:val="24"/>
          <w:szCs w:val="24"/>
        </w:rPr>
        <w:t>discharge and 27(56.3%) in at 3 month.</w:t>
      </w:r>
      <w:r>
        <w:rPr>
          <w:rFonts w:ascii="Times New Roman" w:hAnsi="Times New Roman" w:cs="Times New Roman"/>
          <w:sz w:val="24"/>
          <w:szCs w:val="24"/>
        </w:rPr>
        <w:t xml:space="preserve"> But 18(37.5%) patients were in dead category according to MRS in Group-II after 3 months.</w:t>
      </w:r>
      <w:r w:rsidRPr="00A701EF">
        <w:rPr>
          <w:rFonts w:ascii="Times New Roman" w:hAnsi="Times New Roman" w:cs="Times New Roman"/>
          <w:sz w:val="24"/>
          <w:szCs w:val="24"/>
        </w:rPr>
        <w:t xml:space="preserve"> The difference was statistically signifi</w:t>
      </w:r>
      <w:r>
        <w:rPr>
          <w:rFonts w:ascii="Times New Roman" w:hAnsi="Times New Roman" w:cs="Times New Roman"/>
          <w:sz w:val="24"/>
          <w:szCs w:val="24"/>
        </w:rPr>
        <w:t>cant (p&lt;0.05)</w:t>
      </w:r>
      <w:r w:rsidRPr="00A701EF">
        <w:rPr>
          <w:rFonts w:ascii="Times New Roman" w:hAnsi="Times New Roman" w:cs="Times New Roman"/>
          <w:sz w:val="24"/>
          <w:szCs w:val="24"/>
        </w:rPr>
        <w:t>.</w:t>
      </w:r>
    </w:p>
    <w:p w14:paraId="74DDD7B0" w14:textId="77777777" w:rsidR="007035BA" w:rsidRDefault="007035BA" w:rsidP="005E59D6">
      <w:pPr>
        <w:spacing w:line="360" w:lineRule="auto"/>
        <w:jc w:val="both"/>
        <w:rPr>
          <w:rFonts w:ascii="Times New Roman" w:hAnsi="Times New Roman" w:cs="Times New Roman"/>
          <w:sz w:val="24"/>
          <w:szCs w:val="24"/>
        </w:rPr>
      </w:pPr>
    </w:p>
    <w:p w14:paraId="7DA8681B" w14:textId="77777777" w:rsidR="007035BA" w:rsidRDefault="007035BA" w:rsidP="005E59D6">
      <w:pPr>
        <w:spacing w:line="360" w:lineRule="auto"/>
        <w:jc w:val="both"/>
        <w:rPr>
          <w:rFonts w:ascii="Times New Roman" w:hAnsi="Times New Roman" w:cs="Times New Roman"/>
          <w:sz w:val="24"/>
          <w:szCs w:val="24"/>
        </w:rPr>
      </w:pPr>
    </w:p>
    <w:p w14:paraId="40AEC6AD" w14:textId="77777777" w:rsidR="007035BA" w:rsidRDefault="007035BA" w:rsidP="005E59D6">
      <w:pPr>
        <w:spacing w:line="360" w:lineRule="auto"/>
        <w:jc w:val="both"/>
        <w:rPr>
          <w:rFonts w:ascii="Times New Roman" w:hAnsi="Times New Roman" w:cs="Times New Roman"/>
          <w:sz w:val="24"/>
          <w:szCs w:val="24"/>
        </w:rPr>
      </w:pPr>
    </w:p>
    <w:tbl>
      <w:tblPr>
        <w:tblW w:w="9050" w:type="dxa"/>
        <w:tblLayout w:type="fixed"/>
        <w:tblCellMar>
          <w:left w:w="0" w:type="dxa"/>
          <w:right w:w="0" w:type="dxa"/>
        </w:tblCellMar>
        <w:tblLook w:val="0000" w:firstRow="0" w:lastRow="0" w:firstColumn="0" w:lastColumn="0" w:noHBand="0" w:noVBand="0"/>
      </w:tblPr>
      <w:tblGrid>
        <w:gridCol w:w="1809"/>
        <w:gridCol w:w="711"/>
        <w:gridCol w:w="724"/>
        <w:gridCol w:w="536"/>
        <w:gridCol w:w="720"/>
        <w:gridCol w:w="900"/>
        <w:gridCol w:w="720"/>
        <w:gridCol w:w="628"/>
        <w:gridCol w:w="644"/>
        <w:gridCol w:w="741"/>
        <w:gridCol w:w="917"/>
      </w:tblGrid>
      <w:tr w:rsidR="005E59D6" w:rsidRPr="00215424" w14:paraId="62B40D30" w14:textId="77777777" w:rsidTr="002B7B95">
        <w:trPr>
          <w:trHeight w:val="272"/>
        </w:trPr>
        <w:tc>
          <w:tcPr>
            <w:tcW w:w="1809" w:type="dxa"/>
            <w:tcBorders>
              <w:top w:val="single" w:sz="4" w:space="0" w:color="auto"/>
            </w:tcBorders>
            <w:shd w:val="clear" w:color="auto" w:fill="auto"/>
            <w:noWrap/>
          </w:tcPr>
          <w:p w14:paraId="3D5A5549" w14:textId="77777777" w:rsidR="005E59D6" w:rsidRPr="00215424" w:rsidRDefault="005E59D6" w:rsidP="005E59D6">
            <w:pPr>
              <w:spacing w:line="360" w:lineRule="auto"/>
              <w:rPr>
                <w:rFonts w:ascii="Times New Roman" w:hAnsi="Times New Roman" w:cs="Times New Roman"/>
                <w:b/>
                <w:sz w:val="24"/>
                <w:szCs w:val="24"/>
              </w:rPr>
            </w:pPr>
            <w:r w:rsidRPr="00215424">
              <w:rPr>
                <w:rFonts w:ascii="Times New Roman" w:hAnsi="Times New Roman" w:cs="Times New Roman"/>
                <w:b/>
                <w:bCs/>
                <w:sz w:val="24"/>
                <w:szCs w:val="24"/>
              </w:rPr>
              <w:lastRenderedPageBreak/>
              <w:t>Modified Rankin Scale</w:t>
            </w:r>
          </w:p>
        </w:tc>
        <w:tc>
          <w:tcPr>
            <w:tcW w:w="2691" w:type="dxa"/>
            <w:gridSpan w:val="4"/>
            <w:tcBorders>
              <w:top w:val="single" w:sz="4" w:space="0" w:color="auto"/>
              <w:bottom w:val="single" w:sz="4" w:space="0" w:color="auto"/>
            </w:tcBorders>
            <w:shd w:val="clear" w:color="auto" w:fill="auto"/>
            <w:noWrap/>
          </w:tcPr>
          <w:p w14:paraId="4D86AFB4" w14:textId="77777777" w:rsidR="005E59D6" w:rsidRPr="00215424" w:rsidRDefault="005E59D6" w:rsidP="005E59D6">
            <w:pPr>
              <w:spacing w:line="360" w:lineRule="auto"/>
              <w:jc w:val="center"/>
              <w:rPr>
                <w:rFonts w:ascii="Times New Roman" w:hAnsi="Times New Roman" w:cs="Times New Roman"/>
                <w:b/>
                <w:sz w:val="24"/>
                <w:szCs w:val="24"/>
              </w:rPr>
            </w:pPr>
            <w:r w:rsidRPr="00215424">
              <w:rPr>
                <w:rFonts w:ascii="Times New Roman" w:hAnsi="Times New Roman" w:cs="Times New Roman"/>
                <w:b/>
                <w:sz w:val="24"/>
                <w:szCs w:val="24"/>
              </w:rPr>
              <w:t>Group-I</w:t>
            </w:r>
          </w:p>
          <w:p w14:paraId="430F7298" w14:textId="77777777" w:rsidR="005E59D6" w:rsidRPr="00215424" w:rsidRDefault="005E59D6" w:rsidP="005E59D6">
            <w:pPr>
              <w:spacing w:line="360" w:lineRule="auto"/>
              <w:jc w:val="center"/>
              <w:rPr>
                <w:rFonts w:ascii="Times New Roman" w:hAnsi="Times New Roman" w:cs="Times New Roman"/>
                <w:b/>
                <w:sz w:val="24"/>
                <w:szCs w:val="24"/>
              </w:rPr>
            </w:pPr>
            <w:r w:rsidRPr="00215424">
              <w:rPr>
                <w:rFonts w:ascii="Times New Roman" w:hAnsi="Times New Roman" w:cs="Times New Roman"/>
                <w:b/>
                <w:sz w:val="24"/>
                <w:szCs w:val="24"/>
              </w:rPr>
              <w:t>(n=47)</w:t>
            </w:r>
          </w:p>
        </w:tc>
        <w:tc>
          <w:tcPr>
            <w:tcW w:w="900" w:type="dxa"/>
            <w:tcBorders>
              <w:top w:val="single" w:sz="4" w:space="0" w:color="auto"/>
              <w:bottom w:val="single" w:sz="4" w:space="0" w:color="auto"/>
            </w:tcBorders>
            <w:shd w:val="clear" w:color="auto" w:fill="auto"/>
            <w:noWrap/>
          </w:tcPr>
          <w:p w14:paraId="42AC01C4" w14:textId="77777777" w:rsidR="005E59D6" w:rsidRPr="00215424" w:rsidRDefault="005E59D6" w:rsidP="005E59D6">
            <w:pPr>
              <w:spacing w:line="360" w:lineRule="auto"/>
              <w:jc w:val="center"/>
              <w:rPr>
                <w:rFonts w:ascii="Times New Roman" w:hAnsi="Times New Roman" w:cs="Times New Roman"/>
                <w:b/>
                <w:sz w:val="24"/>
                <w:szCs w:val="24"/>
              </w:rPr>
            </w:pPr>
          </w:p>
        </w:tc>
        <w:tc>
          <w:tcPr>
            <w:tcW w:w="2733" w:type="dxa"/>
            <w:gridSpan w:val="4"/>
            <w:tcBorders>
              <w:top w:val="single" w:sz="4" w:space="0" w:color="auto"/>
              <w:left w:val="nil"/>
              <w:bottom w:val="single" w:sz="4" w:space="0" w:color="auto"/>
            </w:tcBorders>
            <w:shd w:val="clear" w:color="auto" w:fill="auto"/>
          </w:tcPr>
          <w:p w14:paraId="5BCCA028" w14:textId="77777777" w:rsidR="005E59D6" w:rsidRPr="00215424" w:rsidRDefault="005E59D6" w:rsidP="005E59D6">
            <w:pPr>
              <w:spacing w:line="360" w:lineRule="auto"/>
              <w:jc w:val="center"/>
              <w:rPr>
                <w:rFonts w:ascii="Times New Roman" w:hAnsi="Times New Roman" w:cs="Times New Roman"/>
                <w:b/>
                <w:sz w:val="24"/>
                <w:szCs w:val="24"/>
              </w:rPr>
            </w:pPr>
            <w:r w:rsidRPr="00215424">
              <w:rPr>
                <w:rFonts w:ascii="Times New Roman" w:hAnsi="Times New Roman" w:cs="Times New Roman"/>
                <w:b/>
                <w:sz w:val="24"/>
                <w:szCs w:val="24"/>
              </w:rPr>
              <w:t>Group-II</w:t>
            </w:r>
          </w:p>
          <w:p w14:paraId="54290435" w14:textId="77777777" w:rsidR="005E59D6" w:rsidRPr="00215424" w:rsidRDefault="005E59D6" w:rsidP="005E59D6">
            <w:pPr>
              <w:spacing w:line="360" w:lineRule="auto"/>
              <w:jc w:val="center"/>
              <w:rPr>
                <w:rFonts w:ascii="Times New Roman" w:hAnsi="Times New Roman" w:cs="Times New Roman"/>
                <w:b/>
                <w:sz w:val="24"/>
                <w:szCs w:val="24"/>
              </w:rPr>
            </w:pPr>
            <w:r w:rsidRPr="00215424">
              <w:rPr>
                <w:rFonts w:ascii="Times New Roman" w:hAnsi="Times New Roman" w:cs="Times New Roman"/>
                <w:b/>
                <w:sz w:val="24"/>
                <w:szCs w:val="24"/>
              </w:rPr>
              <w:t xml:space="preserve"> (n=48)</w:t>
            </w:r>
          </w:p>
        </w:tc>
        <w:tc>
          <w:tcPr>
            <w:tcW w:w="917" w:type="dxa"/>
            <w:tcBorders>
              <w:top w:val="single" w:sz="4" w:space="0" w:color="auto"/>
              <w:left w:val="nil"/>
            </w:tcBorders>
            <w:shd w:val="clear" w:color="auto" w:fill="auto"/>
            <w:vAlign w:val="center"/>
          </w:tcPr>
          <w:p w14:paraId="449351C0" w14:textId="77777777" w:rsidR="005E59D6" w:rsidRPr="00215424" w:rsidRDefault="005E59D6" w:rsidP="005E59D6">
            <w:pPr>
              <w:spacing w:line="360" w:lineRule="auto"/>
              <w:jc w:val="center"/>
              <w:rPr>
                <w:rFonts w:ascii="Times New Roman" w:hAnsi="Times New Roman" w:cs="Times New Roman"/>
                <w:b/>
                <w:sz w:val="24"/>
                <w:szCs w:val="24"/>
              </w:rPr>
            </w:pPr>
          </w:p>
        </w:tc>
      </w:tr>
      <w:tr w:rsidR="005E59D6" w:rsidRPr="00215424" w14:paraId="5B9895F9" w14:textId="77777777" w:rsidTr="002B7B95">
        <w:trPr>
          <w:trHeight w:val="272"/>
        </w:trPr>
        <w:tc>
          <w:tcPr>
            <w:tcW w:w="1809" w:type="dxa"/>
            <w:tcBorders>
              <w:bottom w:val="single" w:sz="4" w:space="0" w:color="auto"/>
            </w:tcBorders>
            <w:shd w:val="clear" w:color="auto" w:fill="auto"/>
            <w:noWrap/>
            <w:vAlign w:val="bottom"/>
          </w:tcPr>
          <w:p w14:paraId="306ACD7E" w14:textId="77777777" w:rsidR="005E59D6" w:rsidRPr="00215424" w:rsidRDefault="005E59D6" w:rsidP="005E59D6">
            <w:pPr>
              <w:spacing w:line="360" w:lineRule="auto"/>
              <w:rPr>
                <w:rFonts w:ascii="Times New Roman" w:hAnsi="Times New Roman" w:cs="Times New Roman"/>
                <w:sz w:val="24"/>
                <w:szCs w:val="24"/>
              </w:rPr>
            </w:pPr>
          </w:p>
        </w:tc>
        <w:tc>
          <w:tcPr>
            <w:tcW w:w="1435" w:type="dxa"/>
            <w:gridSpan w:val="2"/>
            <w:tcBorders>
              <w:top w:val="single" w:sz="4" w:space="0" w:color="auto"/>
              <w:bottom w:val="single" w:sz="4" w:space="0" w:color="auto"/>
            </w:tcBorders>
            <w:shd w:val="clear" w:color="auto" w:fill="auto"/>
            <w:noWrap/>
          </w:tcPr>
          <w:p w14:paraId="0C5A3990" w14:textId="77777777" w:rsidR="005E59D6" w:rsidRPr="00215424" w:rsidRDefault="005E59D6" w:rsidP="005E59D6">
            <w:pPr>
              <w:spacing w:line="360" w:lineRule="auto"/>
              <w:jc w:val="center"/>
              <w:rPr>
                <w:rFonts w:ascii="Times New Roman" w:hAnsi="Times New Roman" w:cs="Times New Roman"/>
                <w:b/>
                <w:sz w:val="24"/>
                <w:szCs w:val="24"/>
              </w:rPr>
            </w:pPr>
            <w:r w:rsidRPr="00215424">
              <w:rPr>
                <w:rFonts w:ascii="Times New Roman" w:hAnsi="Times New Roman" w:cs="Times New Roman"/>
                <w:b/>
                <w:sz w:val="24"/>
                <w:szCs w:val="24"/>
              </w:rPr>
              <w:t>At discharge</w:t>
            </w:r>
          </w:p>
        </w:tc>
        <w:tc>
          <w:tcPr>
            <w:tcW w:w="1256" w:type="dxa"/>
            <w:gridSpan w:val="2"/>
            <w:tcBorders>
              <w:top w:val="single" w:sz="4" w:space="0" w:color="auto"/>
              <w:bottom w:val="single" w:sz="4" w:space="0" w:color="auto"/>
            </w:tcBorders>
            <w:shd w:val="clear" w:color="auto" w:fill="auto"/>
          </w:tcPr>
          <w:p w14:paraId="7C5EF42B" w14:textId="77777777" w:rsidR="005E59D6" w:rsidRPr="00215424" w:rsidRDefault="005E59D6" w:rsidP="005E59D6">
            <w:pPr>
              <w:spacing w:line="360" w:lineRule="auto"/>
              <w:jc w:val="center"/>
              <w:rPr>
                <w:rFonts w:ascii="Times New Roman" w:hAnsi="Times New Roman" w:cs="Times New Roman"/>
                <w:b/>
                <w:sz w:val="24"/>
                <w:szCs w:val="24"/>
              </w:rPr>
            </w:pPr>
            <w:r w:rsidRPr="00215424">
              <w:rPr>
                <w:rFonts w:ascii="Times New Roman" w:hAnsi="Times New Roman" w:cs="Times New Roman"/>
                <w:b/>
                <w:sz w:val="24"/>
                <w:szCs w:val="24"/>
              </w:rPr>
              <w:t>At 3 month</w:t>
            </w:r>
          </w:p>
        </w:tc>
        <w:tc>
          <w:tcPr>
            <w:tcW w:w="900" w:type="dxa"/>
            <w:tcBorders>
              <w:top w:val="single" w:sz="4" w:space="0" w:color="auto"/>
              <w:bottom w:val="single" w:sz="4" w:space="0" w:color="auto"/>
            </w:tcBorders>
            <w:shd w:val="clear" w:color="auto" w:fill="auto"/>
            <w:noWrap/>
          </w:tcPr>
          <w:p w14:paraId="61CA11ED" w14:textId="77777777" w:rsidR="005E59D6" w:rsidRPr="00215424" w:rsidRDefault="005E59D6" w:rsidP="005E59D6">
            <w:pPr>
              <w:spacing w:line="360" w:lineRule="auto"/>
              <w:jc w:val="center"/>
              <w:rPr>
                <w:rFonts w:ascii="Times New Roman" w:hAnsi="Times New Roman" w:cs="Times New Roman"/>
                <w:b/>
                <w:sz w:val="24"/>
                <w:szCs w:val="24"/>
              </w:rPr>
            </w:pPr>
            <w:r w:rsidRPr="00215424">
              <w:rPr>
                <w:rFonts w:ascii="Times New Roman" w:hAnsi="Times New Roman" w:cs="Times New Roman"/>
                <w:b/>
                <w:i/>
                <w:sz w:val="24"/>
                <w:szCs w:val="24"/>
              </w:rPr>
              <w:t>p</w:t>
            </w:r>
            <w:r w:rsidRPr="00215424">
              <w:rPr>
                <w:rFonts w:ascii="Times New Roman" w:hAnsi="Times New Roman" w:cs="Times New Roman"/>
                <w:b/>
                <w:sz w:val="24"/>
                <w:szCs w:val="24"/>
              </w:rPr>
              <w:t xml:space="preserve"> value</w:t>
            </w:r>
          </w:p>
        </w:tc>
        <w:tc>
          <w:tcPr>
            <w:tcW w:w="1348" w:type="dxa"/>
            <w:gridSpan w:val="2"/>
            <w:tcBorders>
              <w:top w:val="single" w:sz="4" w:space="0" w:color="auto"/>
              <w:left w:val="nil"/>
              <w:bottom w:val="single" w:sz="4" w:space="0" w:color="auto"/>
            </w:tcBorders>
            <w:shd w:val="clear" w:color="auto" w:fill="auto"/>
          </w:tcPr>
          <w:p w14:paraId="201E9820" w14:textId="77777777" w:rsidR="005E59D6" w:rsidRPr="00215424" w:rsidRDefault="005E59D6" w:rsidP="005E59D6">
            <w:pPr>
              <w:spacing w:line="360" w:lineRule="auto"/>
              <w:jc w:val="center"/>
              <w:rPr>
                <w:rFonts w:ascii="Times New Roman" w:hAnsi="Times New Roman" w:cs="Times New Roman"/>
                <w:b/>
                <w:sz w:val="24"/>
                <w:szCs w:val="24"/>
              </w:rPr>
            </w:pPr>
            <w:r w:rsidRPr="00215424">
              <w:rPr>
                <w:rFonts w:ascii="Times New Roman" w:hAnsi="Times New Roman" w:cs="Times New Roman"/>
                <w:b/>
                <w:sz w:val="24"/>
                <w:szCs w:val="24"/>
              </w:rPr>
              <w:t>At discharge</w:t>
            </w:r>
          </w:p>
        </w:tc>
        <w:tc>
          <w:tcPr>
            <w:tcW w:w="1385" w:type="dxa"/>
            <w:gridSpan w:val="2"/>
            <w:tcBorders>
              <w:top w:val="single" w:sz="4" w:space="0" w:color="auto"/>
              <w:bottom w:val="single" w:sz="4" w:space="0" w:color="auto"/>
            </w:tcBorders>
            <w:shd w:val="clear" w:color="auto" w:fill="auto"/>
          </w:tcPr>
          <w:p w14:paraId="50BED419" w14:textId="77777777" w:rsidR="005E59D6" w:rsidRPr="00215424" w:rsidRDefault="005E59D6" w:rsidP="005E59D6">
            <w:pPr>
              <w:spacing w:line="360" w:lineRule="auto"/>
              <w:jc w:val="center"/>
              <w:rPr>
                <w:rFonts w:ascii="Times New Roman" w:hAnsi="Times New Roman" w:cs="Times New Roman"/>
                <w:b/>
                <w:sz w:val="24"/>
                <w:szCs w:val="24"/>
              </w:rPr>
            </w:pPr>
            <w:r w:rsidRPr="00215424">
              <w:rPr>
                <w:rFonts w:ascii="Times New Roman" w:hAnsi="Times New Roman" w:cs="Times New Roman"/>
                <w:b/>
                <w:sz w:val="24"/>
                <w:szCs w:val="24"/>
              </w:rPr>
              <w:t>At 3 month</w:t>
            </w:r>
          </w:p>
        </w:tc>
        <w:tc>
          <w:tcPr>
            <w:tcW w:w="917" w:type="dxa"/>
            <w:tcBorders>
              <w:bottom w:val="single" w:sz="4" w:space="0" w:color="auto"/>
            </w:tcBorders>
            <w:shd w:val="clear" w:color="auto" w:fill="auto"/>
            <w:vAlign w:val="center"/>
          </w:tcPr>
          <w:p w14:paraId="43DBA011" w14:textId="77777777" w:rsidR="005E59D6" w:rsidRPr="00215424" w:rsidRDefault="005E59D6" w:rsidP="005E59D6">
            <w:pPr>
              <w:spacing w:line="360" w:lineRule="auto"/>
              <w:jc w:val="center"/>
              <w:rPr>
                <w:rFonts w:ascii="Times New Roman" w:hAnsi="Times New Roman" w:cs="Times New Roman"/>
                <w:sz w:val="24"/>
                <w:szCs w:val="24"/>
              </w:rPr>
            </w:pPr>
            <w:r w:rsidRPr="00215424">
              <w:rPr>
                <w:rFonts w:ascii="Times New Roman" w:hAnsi="Times New Roman" w:cs="Times New Roman"/>
                <w:b/>
                <w:i/>
                <w:sz w:val="24"/>
                <w:szCs w:val="24"/>
              </w:rPr>
              <w:t>p</w:t>
            </w:r>
            <w:r w:rsidRPr="00215424">
              <w:rPr>
                <w:rFonts w:ascii="Times New Roman" w:hAnsi="Times New Roman" w:cs="Times New Roman"/>
                <w:b/>
                <w:sz w:val="24"/>
                <w:szCs w:val="24"/>
              </w:rPr>
              <w:t xml:space="preserve"> value</w:t>
            </w:r>
          </w:p>
        </w:tc>
      </w:tr>
      <w:tr w:rsidR="005E59D6" w:rsidRPr="00215424" w14:paraId="7BB666DB" w14:textId="77777777" w:rsidTr="002B7B95">
        <w:trPr>
          <w:trHeight w:val="272"/>
        </w:trPr>
        <w:tc>
          <w:tcPr>
            <w:tcW w:w="1809" w:type="dxa"/>
            <w:tcBorders>
              <w:top w:val="single" w:sz="4" w:space="0" w:color="auto"/>
              <w:bottom w:val="single" w:sz="4" w:space="0" w:color="auto"/>
            </w:tcBorders>
            <w:shd w:val="clear" w:color="auto" w:fill="auto"/>
            <w:noWrap/>
            <w:vAlign w:val="bottom"/>
          </w:tcPr>
          <w:p w14:paraId="07BE5D95" w14:textId="77777777" w:rsidR="005E59D6" w:rsidRPr="00215424" w:rsidRDefault="005E59D6" w:rsidP="005E59D6">
            <w:pPr>
              <w:spacing w:line="360" w:lineRule="auto"/>
              <w:rPr>
                <w:rFonts w:ascii="Times New Roman" w:hAnsi="Times New Roman" w:cs="Times New Roman"/>
                <w:sz w:val="24"/>
                <w:szCs w:val="24"/>
              </w:rPr>
            </w:pPr>
          </w:p>
        </w:tc>
        <w:tc>
          <w:tcPr>
            <w:tcW w:w="711" w:type="dxa"/>
            <w:tcBorders>
              <w:top w:val="single" w:sz="4" w:space="0" w:color="auto"/>
              <w:bottom w:val="single" w:sz="4" w:space="0" w:color="auto"/>
            </w:tcBorders>
            <w:shd w:val="clear" w:color="auto" w:fill="auto"/>
            <w:noWrap/>
            <w:vAlign w:val="center"/>
          </w:tcPr>
          <w:p w14:paraId="2D18D4BA" w14:textId="77777777" w:rsidR="005E59D6" w:rsidRPr="00215424" w:rsidRDefault="005E59D6" w:rsidP="005E59D6">
            <w:pPr>
              <w:spacing w:line="360" w:lineRule="auto"/>
              <w:jc w:val="center"/>
              <w:rPr>
                <w:rFonts w:ascii="Times New Roman" w:hAnsi="Times New Roman" w:cs="Times New Roman"/>
                <w:sz w:val="24"/>
                <w:szCs w:val="24"/>
              </w:rPr>
            </w:pPr>
            <w:r w:rsidRPr="00215424">
              <w:rPr>
                <w:rFonts w:ascii="Times New Roman" w:hAnsi="Times New Roman" w:cs="Times New Roman"/>
                <w:b/>
                <w:sz w:val="24"/>
                <w:szCs w:val="24"/>
              </w:rPr>
              <w:t>n</w:t>
            </w:r>
          </w:p>
        </w:tc>
        <w:tc>
          <w:tcPr>
            <w:tcW w:w="724" w:type="dxa"/>
            <w:tcBorders>
              <w:top w:val="single" w:sz="4" w:space="0" w:color="auto"/>
              <w:bottom w:val="single" w:sz="4" w:space="0" w:color="auto"/>
            </w:tcBorders>
            <w:shd w:val="clear" w:color="auto" w:fill="auto"/>
            <w:vAlign w:val="center"/>
          </w:tcPr>
          <w:p w14:paraId="2CA5B4DE" w14:textId="77777777" w:rsidR="005E59D6" w:rsidRPr="00215424" w:rsidRDefault="005E59D6" w:rsidP="005E59D6">
            <w:pPr>
              <w:spacing w:line="360" w:lineRule="auto"/>
              <w:jc w:val="center"/>
              <w:rPr>
                <w:rFonts w:ascii="Times New Roman" w:hAnsi="Times New Roman" w:cs="Times New Roman"/>
                <w:sz w:val="24"/>
                <w:szCs w:val="24"/>
              </w:rPr>
            </w:pPr>
            <w:r w:rsidRPr="00215424">
              <w:rPr>
                <w:rFonts w:ascii="Times New Roman" w:hAnsi="Times New Roman" w:cs="Times New Roman"/>
                <w:b/>
                <w:sz w:val="24"/>
                <w:szCs w:val="24"/>
              </w:rPr>
              <w:t>%</w:t>
            </w:r>
          </w:p>
        </w:tc>
        <w:tc>
          <w:tcPr>
            <w:tcW w:w="536" w:type="dxa"/>
            <w:tcBorders>
              <w:top w:val="single" w:sz="4" w:space="0" w:color="auto"/>
              <w:bottom w:val="single" w:sz="4" w:space="0" w:color="auto"/>
            </w:tcBorders>
            <w:shd w:val="clear" w:color="auto" w:fill="auto"/>
            <w:vAlign w:val="center"/>
          </w:tcPr>
          <w:p w14:paraId="6C18858F" w14:textId="77777777" w:rsidR="005E59D6" w:rsidRPr="00215424" w:rsidRDefault="005E59D6" w:rsidP="005E59D6">
            <w:pPr>
              <w:spacing w:line="360" w:lineRule="auto"/>
              <w:jc w:val="center"/>
              <w:rPr>
                <w:rFonts w:ascii="Times New Roman" w:hAnsi="Times New Roman" w:cs="Times New Roman"/>
                <w:sz w:val="24"/>
                <w:szCs w:val="24"/>
              </w:rPr>
            </w:pPr>
            <w:r w:rsidRPr="00215424">
              <w:rPr>
                <w:rFonts w:ascii="Times New Roman" w:hAnsi="Times New Roman" w:cs="Times New Roman"/>
                <w:b/>
                <w:sz w:val="24"/>
                <w:szCs w:val="24"/>
              </w:rPr>
              <w:t>n</w:t>
            </w:r>
          </w:p>
        </w:tc>
        <w:tc>
          <w:tcPr>
            <w:tcW w:w="720" w:type="dxa"/>
            <w:tcBorders>
              <w:top w:val="single" w:sz="4" w:space="0" w:color="auto"/>
              <w:bottom w:val="single" w:sz="4" w:space="0" w:color="auto"/>
            </w:tcBorders>
            <w:shd w:val="clear" w:color="auto" w:fill="auto"/>
            <w:vAlign w:val="center"/>
          </w:tcPr>
          <w:p w14:paraId="03C8A1C9" w14:textId="77777777" w:rsidR="005E59D6" w:rsidRPr="00215424" w:rsidRDefault="005E59D6" w:rsidP="005E59D6">
            <w:pPr>
              <w:spacing w:line="360" w:lineRule="auto"/>
              <w:jc w:val="center"/>
              <w:rPr>
                <w:rFonts w:ascii="Times New Roman" w:hAnsi="Times New Roman" w:cs="Times New Roman"/>
                <w:sz w:val="24"/>
                <w:szCs w:val="24"/>
              </w:rPr>
            </w:pPr>
            <w:r w:rsidRPr="00215424">
              <w:rPr>
                <w:rFonts w:ascii="Times New Roman" w:hAnsi="Times New Roman" w:cs="Times New Roman"/>
                <w:b/>
                <w:sz w:val="24"/>
                <w:szCs w:val="24"/>
              </w:rPr>
              <w:t>%</w:t>
            </w:r>
          </w:p>
        </w:tc>
        <w:tc>
          <w:tcPr>
            <w:tcW w:w="900" w:type="dxa"/>
            <w:tcBorders>
              <w:top w:val="single" w:sz="4" w:space="0" w:color="auto"/>
              <w:bottom w:val="single" w:sz="4" w:space="0" w:color="auto"/>
            </w:tcBorders>
            <w:shd w:val="clear" w:color="auto" w:fill="auto"/>
            <w:noWrap/>
            <w:vAlign w:val="center"/>
          </w:tcPr>
          <w:p w14:paraId="42F33F9C" w14:textId="77777777" w:rsidR="005E59D6" w:rsidRPr="00215424" w:rsidRDefault="005E59D6" w:rsidP="005E59D6">
            <w:pPr>
              <w:spacing w:line="360" w:lineRule="auto"/>
              <w:jc w:val="center"/>
              <w:rPr>
                <w:rFonts w:ascii="Times New Roman" w:hAnsi="Times New Roman" w:cs="Times New Roman"/>
                <w:sz w:val="24"/>
                <w:szCs w:val="24"/>
              </w:rPr>
            </w:pPr>
          </w:p>
        </w:tc>
        <w:tc>
          <w:tcPr>
            <w:tcW w:w="720" w:type="dxa"/>
            <w:tcBorders>
              <w:top w:val="single" w:sz="4" w:space="0" w:color="auto"/>
              <w:left w:val="nil"/>
              <w:bottom w:val="single" w:sz="4" w:space="0" w:color="auto"/>
            </w:tcBorders>
            <w:shd w:val="clear" w:color="auto" w:fill="auto"/>
            <w:vAlign w:val="center"/>
          </w:tcPr>
          <w:p w14:paraId="08DC283B" w14:textId="77777777" w:rsidR="005E59D6" w:rsidRPr="00215424" w:rsidRDefault="005E59D6" w:rsidP="005E59D6">
            <w:pPr>
              <w:spacing w:line="360" w:lineRule="auto"/>
              <w:jc w:val="center"/>
              <w:rPr>
                <w:rFonts w:ascii="Times New Roman" w:hAnsi="Times New Roman" w:cs="Times New Roman"/>
                <w:sz w:val="24"/>
                <w:szCs w:val="24"/>
              </w:rPr>
            </w:pPr>
            <w:r w:rsidRPr="00215424">
              <w:rPr>
                <w:rFonts w:ascii="Times New Roman" w:hAnsi="Times New Roman" w:cs="Times New Roman"/>
                <w:b/>
                <w:sz w:val="24"/>
                <w:szCs w:val="24"/>
              </w:rPr>
              <w:t>n</w:t>
            </w:r>
          </w:p>
        </w:tc>
        <w:tc>
          <w:tcPr>
            <w:tcW w:w="628" w:type="dxa"/>
            <w:tcBorders>
              <w:top w:val="single" w:sz="4" w:space="0" w:color="auto"/>
              <w:bottom w:val="single" w:sz="4" w:space="0" w:color="auto"/>
            </w:tcBorders>
            <w:shd w:val="clear" w:color="auto" w:fill="auto"/>
            <w:vAlign w:val="center"/>
          </w:tcPr>
          <w:p w14:paraId="010009C6" w14:textId="77777777" w:rsidR="005E59D6" w:rsidRPr="00215424" w:rsidRDefault="005E59D6" w:rsidP="005E59D6">
            <w:pPr>
              <w:spacing w:line="360" w:lineRule="auto"/>
              <w:jc w:val="center"/>
              <w:rPr>
                <w:rFonts w:ascii="Times New Roman" w:hAnsi="Times New Roman" w:cs="Times New Roman"/>
                <w:sz w:val="24"/>
                <w:szCs w:val="24"/>
              </w:rPr>
            </w:pPr>
            <w:r w:rsidRPr="00215424">
              <w:rPr>
                <w:rFonts w:ascii="Times New Roman" w:hAnsi="Times New Roman" w:cs="Times New Roman"/>
                <w:b/>
                <w:sz w:val="24"/>
                <w:szCs w:val="24"/>
              </w:rPr>
              <w:t>%</w:t>
            </w:r>
          </w:p>
        </w:tc>
        <w:tc>
          <w:tcPr>
            <w:tcW w:w="644" w:type="dxa"/>
            <w:tcBorders>
              <w:top w:val="single" w:sz="4" w:space="0" w:color="auto"/>
              <w:bottom w:val="single" w:sz="4" w:space="0" w:color="auto"/>
            </w:tcBorders>
            <w:shd w:val="clear" w:color="auto" w:fill="auto"/>
            <w:vAlign w:val="center"/>
          </w:tcPr>
          <w:p w14:paraId="79839617" w14:textId="77777777" w:rsidR="005E59D6" w:rsidRPr="00215424" w:rsidRDefault="005E59D6" w:rsidP="005E59D6">
            <w:pPr>
              <w:spacing w:line="360" w:lineRule="auto"/>
              <w:jc w:val="center"/>
              <w:rPr>
                <w:rFonts w:ascii="Times New Roman" w:hAnsi="Times New Roman" w:cs="Times New Roman"/>
                <w:sz w:val="24"/>
                <w:szCs w:val="24"/>
              </w:rPr>
            </w:pPr>
            <w:r w:rsidRPr="00215424">
              <w:rPr>
                <w:rFonts w:ascii="Times New Roman" w:hAnsi="Times New Roman" w:cs="Times New Roman"/>
                <w:b/>
                <w:sz w:val="24"/>
                <w:szCs w:val="24"/>
              </w:rPr>
              <w:t>n</w:t>
            </w:r>
          </w:p>
        </w:tc>
        <w:tc>
          <w:tcPr>
            <w:tcW w:w="741" w:type="dxa"/>
            <w:tcBorders>
              <w:top w:val="single" w:sz="4" w:space="0" w:color="auto"/>
              <w:left w:val="nil"/>
              <w:bottom w:val="single" w:sz="4" w:space="0" w:color="auto"/>
            </w:tcBorders>
            <w:shd w:val="clear" w:color="auto" w:fill="auto"/>
            <w:vAlign w:val="center"/>
          </w:tcPr>
          <w:p w14:paraId="4821F428" w14:textId="77777777" w:rsidR="005E59D6" w:rsidRPr="00215424" w:rsidRDefault="005E59D6" w:rsidP="005E59D6">
            <w:pPr>
              <w:spacing w:line="360" w:lineRule="auto"/>
              <w:jc w:val="center"/>
              <w:rPr>
                <w:rFonts w:ascii="Times New Roman" w:hAnsi="Times New Roman" w:cs="Times New Roman"/>
                <w:sz w:val="24"/>
                <w:szCs w:val="24"/>
              </w:rPr>
            </w:pPr>
            <w:r w:rsidRPr="00215424">
              <w:rPr>
                <w:rFonts w:ascii="Times New Roman" w:hAnsi="Times New Roman" w:cs="Times New Roman"/>
                <w:b/>
                <w:sz w:val="24"/>
                <w:szCs w:val="24"/>
              </w:rPr>
              <w:t>%</w:t>
            </w:r>
          </w:p>
        </w:tc>
        <w:tc>
          <w:tcPr>
            <w:tcW w:w="917" w:type="dxa"/>
            <w:tcBorders>
              <w:top w:val="single" w:sz="4" w:space="0" w:color="auto"/>
              <w:bottom w:val="single" w:sz="4" w:space="0" w:color="auto"/>
            </w:tcBorders>
            <w:shd w:val="clear" w:color="auto" w:fill="auto"/>
            <w:vAlign w:val="center"/>
          </w:tcPr>
          <w:p w14:paraId="59A07507" w14:textId="77777777" w:rsidR="005E59D6" w:rsidRPr="00215424" w:rsidRDefault="005E59D6" w:rsidP="005E59D6">
            <w:pPr>
              <w:spacing w:line="360" w:lineRule="auto"/>
              <w:jc w:val="center"/>
              <w:rPr>
                <w:rFonts w:ascii="Times New Roman" w:hAnsi="Times New Roman" w:cs="Times New Roman"/>
                <w:sz w:val="24"/>
                <w:szCs w:val="24"/>
              </w:rPr>
            </w:pPr>
          </w:p>
        </w:tc>
      </w:tr>
      <w:tr w:rsidR="005E59D6" w:rsidRPr="00215424" w14:paraId="18738A27" w14:textId="77777777" w:rsidTr="002B7B95">
        <w:trPr>
          <w:trHeight w:val="272"/>
        </w:trPr>
        <w:tc>
          <w:tcPr>
            <w:tcW w:w="1809" w:type="dxa"/>
            <w:tcBorders>
              <w:top w:val="single" w:sz="4" w:space="0" w:color="auto"/>
            </w:tcBorders>
            <w:shd w:val="clear" w:color="auto" w:fill="auto"/>
            <w:noWrap/>
            <w:vAlign w:val="bottom"/>
          </w:tcPr>
          <w:p w14:paraId="1F94CD2E" w14:textId="77777777" w:rsidR="005E59D6" w:rsidRPr="00215424" w:rsidRDefault="005E59D6" w:rsidP="005E59D6">
            <w:pPr>
              <w:spacing w:line="360" w:lineRule="auto"/>
              <w:rPr>
                <w:rFonts w:ascii="Times New Roman" w:hAnsi="Times New Roman" w:cs="Times New Roman"/>
                <w:sz w:val="24"/>
                <w:szCs w:val="24"/>
              </w:rPr>
            </w:pPr>
            <w:r w:rsidRPr="00215424">
              <w:rPr>
                <w:rFonts w:ascii="Times New Roman" w:hAnsi="Times New Roman" w:cs="Times New Roman"/>
                <w:sz w:val="24"/>
                <w:szCs w:val="24"/>
              </w:rPr>
              <w:t>Independent</w:t>
            </w:r>
          </w:p>
        </w:tc>
        <w:tc>
          <w:tcPr>
            <w:tcW w:w="711" w:type="dxa"/>
            <w:tcBorders>
              <w:top w:val="single" w:sz="4" w:space="0" w:color="auto"/>
            </w:tcBorders>
            <w:shd w:val="clear" w:color="auto" w:fill="auto"/>
            <w:noWrap/>
            <w:vAlign w:val="center"/>
          </w:tcPr>
          <w:p w14:paraId="2A902DA9" w14:textId="77777777" w:rsidR="005E59D6" w:rsidRPr="00215424" w:rsidRDefault="005E59D6" w:rsidP="005E59D6">
            <w:pPr>
              <w:spacing w:line="360" w:lineRule="auto"/>
              <w:jc w:val="center"/>
              <w:rPr>
                <w:rFonts w:ascii="Times New Roman" w:hAnsi="Times New Roman" w:cs="Times New Roman"/>
                <w:sz w:val="24"/>
                <w:szCs w:val="24"/>
              </w:rPr>
            </w:pPr>
            <w:r w:rsidRPr="00215424">
              <w:rPr>
                <w:rFonts w:ascii="Times New Roman" w:hAnsi="Times New Roman" w:cs="Times New Roman"/>
                <w:sz w:val="24"/>
                <w:szCs w:val="24"/>
              </w:rPr>
              <w:t>42</w:t>
            </w:r>
          </w:p>
        </w:tc>
        <w:tc>
          <w:tcPr>
            <w:tcW w:w="724" w:type="dxa"/>
            <w:tcBorders>
              <w:top w:val="single" w:sz="4" w:space="0" w:color="auto"/>
            </w:tcBorders>
            <w:shd w:val="clear" w:color="auto" w:fill="auto"/>
            <w:vAlign w:val="center"/>
          </w:tcPr>
          <w:p w14:paraId="78347EF6" w14:textId="77777777" w:rsidR="005E59D6" w:rsidRPr="00215424" w:rsidRDefault="005E59D6" w:rsidP="005E59D6">
            <w:pPr>
              <w:spacing w:line="360" w:lineRule="auto"/>
              <w:jc w:val="center"/>
              <w:rPr>
                <w:rFonts w:ascii="Times New Roman" w:hAnsi="Times New Roman" w:cs="Times New Roman"/>
                <w:sz w:val="24"/>
                <w:szCs w:val="24"/>
              </w:rPr>
            </w:pPr>
            <w:r w:rsidRPr="00215424">
              <w:rPr>
                <w:rFonts w:ascii="Times New Roman" w:hAnsi="Times New Roman" w:cs="Times New Roman"/>
                <w:sz w:val="24"/>
                <w:szCs w:val="24"/>
              </w:rPr>
              <w:t>89.4</w:t>
            </w:r>
          </w:p>
        </w:tc>
        <w:tc>
          <w:tcPr>
            <w:tcW w:w="536" w:type="dxa"/>
            <w:tcBorders>
              <w:top w:val="single" w:sz="4" w:space="0" w:color="auto"/>
            </w:tcBorders>
            <w:shd w:val="clear" w:color="auto" w:fill="auto"/>
            <w:vAlign w:val="center"/>
          </w:tcPr>
          <w:p w14:paraId="10F7AA04" w14:textId="77777777" w:rsidR="005E59D6" w:rsidRPr="00215424" w:rsidRDefault="005E59D6" w:rsidP="005E59D6">
            <w:pPr>
              <w:spacing w:line="360" w:lineRule="auto"/>
              <w:jc w:val="center"/>
              <w:rPr>
                <w:rFonts w:ascii="Times New Roman" w:hAnsi="Times New Roman" w:cs="Times New Roman"/>
                <w:sz w:val="24"/>
                <w:szCs w:val="24"/>
              </w:rPr>
            </w:pPr>
            <w:r w:rsidRPr="00215424">
              <w:rPr>
                <w:rFonts w:ascii="Times New Roman" w:hAnsi="Times New Roman" w:cs="Times New Roman"/>
                <w:sz w:val="24"/>
                <w:szCs w:val="24"/>
              </w:rPr>
              <w:t>39</w:t>
            </w:r>
          </w:p>
        </w:tc>
        <w:tc>
          <w:tcPr>
            <w:tcW w:w="720" w:type="dxa"/>
            <w:tcBorders>
              <w:top w:val="single" w:sz="4" w:space="0" w:color="auto"/>
            </w:tcBorders>
            <w:shd w:val="clear" w:color="auto" w:fill="auto"/>
            <w:vAlign w:val="center"/>
          </w:tcPr>
          <w:p w14:paraId="08421EAB" w14:textId="77777777" w:rsidR="005E59D6" w:rsidRPr="00215424" w:rsidRDefault="005E59D6" w:rsidP="005E59D6">
            <w:pPr>
              <w:spacing w:line="360" w:lineRule="auto"/>
              <w:jc w:val="center"/>
              <w:rPr>
                <w:rFonts w:ascii="Times New Roman" w:hAnsi="Times New Roman" w:cs="Times New Roman"/>
                <w:sz w:val="24"/>
                <w:szCs w:val="24"/>
              </w:rPr>
            </w:pPr>
            <w:r w:rsidRPr="00215424">
              <w:rPr>
                <w:rFonts w:ascii="Times New Roman" w:hAnsi="Times New Roman" w:cs="Times New Roman"/>
                <w:sz w:val="24"/>
                <w:szCs w:val="24"/>
              </w:rPr>
              <w:t>83.0</w:t>
            </w:r>
          </w:p>
        </w:tc>
        <w:tc>
          <w:tcPr>
            <w:tcW w:w="900" w:type="dxa"/>
            <w:vMerge w:val="restart"/>
            <w:tcBorders>
              <w:top w:val="single" w:sz="4" w:space="0" w:color="auto"/>
            </w:tcBorders>
            <w:shd w:val="clear" w:color="auto" w:fill="auto"/>
            <w:noWrap/>
            <w:vAlign w:val="center"/>
          </w:tcPr>
          <w:p w14:paraId="6B9F36F9" w14:textId="77777777" w:rsidR="005E59D6" w:rsidRPr="00215424" w:rsidRDefault="005E59D6" w:rsidP="005E59D6">
            <w:pPr>
              <w:spacing w:line="360" w:lineRule="auto"/>
              <w:jc w:val="center"/>
              <w:rPr>
                <w:rFonts w:ascii="Times New Roman" w:hAnsi="Times New Roman" w:cs="Times New Roman"/>
                <w:sz w:val="24"/>
                <w:szCs w:val="24"/>
              </w:rPr>
            </w:pPr>
            <w:r w:rsidRPr="00215424">
              <w:rPr>
                <w:rFonts w:ascii="Times New Roman" w:hAnsi="Times New Roman" w:cs="Times New Roman"/>
                <w:sz w:val="24"/>
                <w:szCs w:val="24"/>
              </w:rPr>
              <w:t>0.543</w:t>
            </w:r>
          </w:p>
        </w:tc>
        <w:tc>
          <w:tcPr>
            <w:tcW w:w="720" w:type="dxa"/>
            <w:tcBorders>
              <w:top w:val="single" w:sz="4" w:space="0" w:color="auto"/>
              <w:left w:val="nil"/>
            </w:tcBorders>
            <w:shd w:val="clear" w:color="auto" w:fill="auto"/>
            <w:vAlign w:val="center"/>
          </w:tcPr>
          <w:p w14:paraId="560CD8C7" w14:textId="77777777" w:rsidR="005E59D6" w:rsidRPr="00215424" w:rsidRDefault="005E59D6" w:rsidP="005E59D6">
            <w:pPr>
              <w:spacing w:line="360" w:lineRule="auto"/>
              <w:jc w:val="center"/>
              <w:rPr>
                <w:rFonts w:ascii="Times New Roman" w:hAnsi="Times New Roman" w:cs="Times New Roman"/>
                <w:sz w:val="24"/>
                <w:szCs w:val="24"/>
              </w:rPr>
            </w:pPr>
            <w:r w:rsidRPr="00215424">
              <w:rPr>
                <w:rFonts w:ascii="Times New Roman" w:hAnsi="Times New Roman" w:cs="Times New Roman"/>
                <w:sz w:val="24"/>
                <w:szCs w:val="24"/>
              </w:rPr>
              <w:t>33</w:t>
            </w:r>
          </w:p>
        </w:tc>
        <w:tc>
          <w:tcPr>
            <w:tcW w:w="628" w:type="dxa"/>
            <w:tcBorders>
              <w:top w:val="single" w:sz="4" w:space="0" w:color="auto"/>
            </w:tcBorders>
            <w:shd w:val="clear" w:color="auto" w:fill="auto"/>
            <w:vAlign w:val="center"/>
          </w:tcPr>
          <w:p w14:paraId="45E540E8" w14:textId="77777777" w:rsidR="005E59D6" w:rsidRPr="00215424" w:rsidRDefault="005E59D6" w:rsidP="005E59D6">
            <w:pPr>
              <w:spacing w:line="360" w:lineRule="auto"/>
              <w:jc w:val="center"/>
              <w:rPr>
                <w:rFonts w:ascii="Times New Roman" w:hAnsi="Times New Roman" w:cs="Times New Roman"/>
                <w:sz w:val="24"/>
                <w:szCs w:val="24"/>
              </w:rPr>
            </w:pPr>
            <w:r w:rsidRPr="00215424">
              <w:rPr>
                <w:rFonts w:ascii="Times New Roman" w:hAnsi="Times New Roman" w:cs="Times New Roman"/>
                <w:sz w:val="24"/>
                <w:szCs w:val="24"/>
              </w:rPr>
              <w:t>68.7</w:t>
            </w:r>
          </w:p>
        </w:tc>
        <w:tc>
          <w:tcPr>
            <w:tcW w:w="644" w:type="dxa"/>
            <w:tcBorders>
              <w:top w:val="single" w:sz="4" w:space="0" w:color="auto"/>
            </w:tcBorders>
            <w:shd w:val="clear" w:color="auto" w:fill="auto"/>
            <w:vAlign w:val="center"/>
          </w:tcPr>
          <w:p w14:paraId="06F7CC5E" w14:textId="77777777" w:rsidR="005E59D6" w:rsidRPr="00215424" w:rsidRDefault="005E59D6" w:rsidP="005E59D6">
            <w:pPr>
              <w:spacing w:line="360" w:lineRule="auto"/>
              <w:jc w:val="center"/>
              <w:rPr>
                <w:rFonts w:ascii="Times New Roman" w:hAnsi="Times New Roman" w:cs="Times New Roman"/>
                <w:sz w:val="24"/>
                <w:szCs w:val="24"/>
              </w:rPr>
            </w:pPr>
            <w:r w:rsidRPr="00215424">
              <w:rPr>
                <w:rFonts w:ascii="Times New Roman" w:hAnsi="Times New Roman" w:cs="Times New Roman"/>
                <w:sz w:val="24"/>
                <w:szCs w:val="24"/>
              </w:rPr>
              <w:t>27</w:t>
            </w:r>
          </w:p>
        </w:tc>
        <w:tc>
          <w:tcPr>
            <w:tcW w:w="741" w:type="dxa"/>
            <w:tcBorders>
              <w:top w:val="single" w:sz="4" w:space="0" w:color="auto"/>
              <w:left w:val="nil"/>
            </w:tcBorders>
            <w:shd w:val="clear" w:color="auto" w:fill="auto"/>
            <w:vAlign w:val="center"/>
          </w:tcPr>
          <w:p w14:paraId="6B67DB95" w14:textId="77777777" w:rsidR="005E59D6" w:rsidRPr="00215424" w:rsidRDefault="005E59D6" w:rsidP="005E59D6">
            <w:pPr>
              <w:spacing w:line="360" w:lineRule="auto"/>
              <w:jc w:val="center"/>
              <w:rPr>
                <w:rFonts w:ascii="Times New Roman" w:hAnsi="Times New Roman" w:cs="Times New Roman"/>
                <w:sz w:val="24"/>
                <w:szCs w:val="24"/>
              </w:rPr>
            </w:pPr>
            <w:r w:rsidRPr="00215424">
              <w:rPr>
                <w:rFonts w:ascii="Times New Roman" w:hAnsi="Times New Roman" w:cs="Times New Roman"/>
                <w:sz w:val="24"/>
                <w:szCs w:val="24"/>
              </w:rPr>
              <w:t>56.3</w:t>
            </w:r>
          </w:p>
        </w:tc>
        <w:tc>
          <w:tcPr>
            <w:tcW w:w="917" w:type="dxa"/>
            <w:vMerge w:val="restart"/>
            <w:tcBorders>
              <w:top w:val="single" w:sz="4" w:space="0" w:color="auto"/>
            </w:tcBorders>
            <w:shd w:val="clear" w:color="auto" w:fill="auto"/>
            <w:vAlign w:val="center"/>
          </w:tcPr>
          <w:p w14:paraId="0A5FCE21" w14:textId="77777777" w:rsidR="005E59D6" w:rsidRPr="00215424" w:rsidRDefault="005E59D6" w:rsidP="005E59D6">
            <w:pPr>
              <w:spacing w:line="360" w:lineRule="auto"/>
              <w:jc w:val="center"/>
              <w:rPr>
                <w:rFonts w:ascii="Times New Roman" w:hAnsi="Times New Roman" w:cs="Times New Roman"/>
                <w:sz w:val="24"/>
                <w:szCs w:val="24"/>
              </w:rPr>
            </w:pPr>
            <w:r w:rsidRPr="00215424">
              <w:rPr>
                <w:rFonts w:ascii="Times New Roman" w:hAnsi="Times New Roman" w:cs="Times New Roman"/>
                <w:sz w:val="24"/>
                <w:szCs w:val="24"/>
              </w:rPr>
              <w:t>0.008</w:t>
            </w:r>
          </w:p>
        </w:tc>
      </w:tr>
      <w:tr w:rsidR="005E59D6" w:rsidRPr="00215424" w14:paraId="5A3F51CB" w14:textId="77777777" w:rsidTr="002B7B95">
        <w:trPr>
          <w:trHeight w:val="272"/>
        </w:trPr>
        <w:tc>
          <w:tcPr>
            <w:tcW w:w="1809" w:type="dxa"/>
            <w:shd w:val="clear" w:color="auto" w:fill="auto"/>
            <w:noWrap/>
            <w:vAlign w:val="bottom"/>
          </w:tcPr>
          <w:p w14:paraId="2387BC8E" w14:textId="77777777" w:rsidR="005E59D6" w:rsidRPr="00215424" w:rsidRDefault="005E59D6" w:rsidP="005E59D6">
            <w:pPr>
              <w:spacing w:line="360" w:lineRule="auto"/>
              <w:rPr>
                <w:rFonts w:ascii="Times New Roman" w:hAnsi="Times New Roman" w:cs="Times New Roman"/>
                <w:sz w:val="24"/>
                <w:szCs w:val="24"/>
              </w:rPr>
            </w:pPr>
            <w:r w:rsidRPr="00215424">
              <w:rPr>
                <w:rFonts w:ascii="Times New Roman" w:hAnsi="Times New Roman" w:cs="Times New Roman"/>
                <w:sz w:val="24"/>
                <w:szCs w:val="24"/>
              </w:rPr>
              <w:t>Dependent</w:t>
            </w:r>
          </w:p>
        </w:tc>
        <w:tc>
          <w:tcPr>
            <w:tcW w:w="711" w:type="dxa"/>
            <w:shd w:val="clear" w:color="auto" w:fill="auto"/>
            <w:noWrap/>
            <w:vAlign w:val="center"/>
          </w:tcPr>
          <w:p w14:paraId="29596AE1" w14:textId="77777777" w:rsidR="005E59D6" w:rsidRPr="00215424" w:rsidRDefault="005E59D6" w:rsidP="005E59D6">
            <w:pPr>
              <w:spacing w:line="360" w:lineRule="auto"/>
              <w:jc w:val="center"/>
              <w:rPr>
                <w:rFonts w:ascii="Times New Roman" w:hAnsi="Times New Roman" w:cs="Times New Roman"/>
                <w:sz w:val="24"/>
                <w:szCs w:val="24"/>
              </w:rPr>
            </w:pPr>
            <w:r w:rsidRPr="00215424">
              <w:rPr>
                <w:rFonts w:ascii="Times New Roman" w:hAnsi="Times New Roman" w:cs="Times New Roman"/>
                <w:sz w:val="24"/>
                <w:szCs w:val="24"/>
              </w:rPr>
              <w:t>4</w:t>
            </w:r>
          </w:p>
        </w:tc>
        <w:tc>
          <w:tcPr>
            <w:tcW w:w="724" w:type="dxa"/>
            <w:shd w:val="clear" w:color="auto" w:fill="auto"/>
            <w:vAlign w:val="center"/>
          </w:tcPr>
          <w:p w14:paraId="666604AA" w14:textId="77777777" w:rsidR="005E59D6" w:rsidRPr="00215424" w:rsidRDefault="005E59D6" w:rsidP="005E59D6">
            <w:pPr>
              <w:spacing w:line="360" w:lineRule="auto"/>
              <w:jc w:val="center"/>
              <w:rPr>
                <w:rFonts w:ascii="Times New Roman" w:hAnsi="Times New Roman" w:cs="Times New Roman"/>
                <w:sz w:val="24"/>
                <w:szCs w:val="24"/>
              </w:rPr>
            </w:pPr>
            <w:r w:rsidRPr="00215424">
              <w:rPr>
                <w:rFonts w:ascii="Times New Roman" w:hAnsi="Times New Roman" w:cs="Times New Roman"/>
                <w:sz w:val="24"/>
                <w:szCs w:val="24"/>
              </w:rPr>
              <w:t>8.5</w:t>
            </w:r>
          </w:p>
        </w:tc>
        <w:tc>
          <w:tcPr>
            <w:tcW w:w="536" w:type="dxa"/>
            <w:shd w:val="clear" w:color="auto" w:fill="auto"/>
            <w:vAlign w:val="center"/>
          </w:tcPr>
          <w:p w14:paraId="72CDE02C" w14:textId="77777777" w:rsidR="005E59D6" w:rsidRPr="00215424" w:rsidRDefault="005E59D6" w:rsidP="005E59D6">
            <w:pPr>
              <w:spacing w:line="360" w:lineRule="auto"/>
              <w:jc w:val="center"/>
              <w:rPr>
                <w:rFonts w:ascii="Times New Roman" w:hAnsi="Times New Roman" w:cs="Times New Roman"/>
                <w:sz w:val="24"/>
                <w:szCs w:val="24"/>
              </w:rPr>
            </w:pPr>
            <w:r w:rsidRPr="00215424">
              <w:rPr>
                <w:rFonts w:ascii="Times New Roman" w:hAnsi="Times New Roman" w:cs="Times New Roman"/>
                <w:sz w:val="24"/>
                <w:szCs w:val="24"/>
              </w:rPr>
              <w:t>5</w:t>
            </w:r>
          </w:p>
        </w:tc>
        <w:tc>
          <w:tcPr>
            <w:tcW w:w="720" w:type="dxa"/>
            <w:shd w:val="clear" w:color="auto" w:fill="auto"/>
            <w:vAlign w:val="center"/>
          </w:tcPr>
          <w:p w14:paraId="5F1DDFD5" w14:textId="77777777" w:rsidR="005E59D6" w:rsidRPr="00215424" w:rsidRDefault="005E59D6" w:rsidP="005E59D6">
            <w:pPr>
              <w:spacing w:line="360" w:lineRule="auto"/>
              <w:jc w:val="center"/>
              <w:rPr>
                <w:rFonts w:ascii="Times New Roman" w:hAnsi="Times New Roman" w:cs="Times New Roman"/>
                <w:sz w:val="24"/>
                <w:szCs w:val="24"/>
              </w:rPr>
            </w:pPr>
            <w:r w:rsidRPr="00215424">
              <w:rPr>
                <w:rFonts w:ascii="Times New Roman" w:hAnsi="Times New Roman" w:cs="Times New Roman"/>
                <w:sz w:val="24"/>
                <w:szCs w:val="24"/>
              </w:rPr>
              <w:t>10.6</w:t>
            </w:r>
          </w:p>
        </w:tc>
        <w:tc>
          <w:tcPr>
            <w:tcW w:w="900" w:type="dxa"/>
            <w:vMerge/>
            <w:shd w:val="clear" w:color="auto" w:fill="auto"/>
            <w:noWrap/>
            <w:vAlign w:val="center"/>
          </w:tcPr>
          <w:p w14:paraId="1820E54B" w14:textId="77777777" w:rsidR="005E59D6" w:rsidRPr="00215424" w:rsidRDefault="005E59D6" w:rsidP="005E59D6">
            <w:pPr>
              <w:spacing w:line="360" w:lineRule="auto"/>
              <w:jc w:val="center"/>
              <w:rPr>
                <w:rFonts w:ascii="Times New Roman" w:hAnsi="Times New Roman" w:cs="Times New Roman"/>
                <w:sz w:val="24"/>
                <w:szCs w:val="24"/>
              </w:rPr>
            </w:pPr>
          </w:p>
        </w:tc>
        <w:tc>
          <w:tcPr>
            <w:tcW w:w="720" w:type="dxa"/>
            <w:tcBorders>
              <w:left w:val="nil"/>
            </w:tcBorders>
            <w:shd w:val="clear" w:color="auto" w:fill="auto"/>
            <w:vAlign w:val="center"/>
          </w:tcPr>
          <w:p w14:paraId="41092BD6" w14:textId="77777777" w:rsidR="005E59D6" w:rsidRPr="00215424" w:rsidRDefault="005E59D6" w:rsidP="005E59D6">
            <w:pPr>
              <w:spacing w:line="360" w:lineRule="auto"/>
              <w:jc w:val="center"/>
              <w:rPr>
                <w:rFonts w:ascii="Times New Roman" w:hAnsi="Times New Roman" w:cs="Times New Roman"/>
                <w:sz w:val="24"/>
                <w:szCs w:val="24"/>
              </w:rPr>
            </w:pPr>
            <w:r w:rsidRPr="00215424">
              <w:rPr>
                <w:rFonts w:ascii="Times New Roman" w:hAnsi="Times New Roman" w:cs="Times New Roman"/>
                <w:sz w:val="24"/>
                <w:szCs w:val="24"/>
              </w:rPr>
              <w:t>9</w:t>
            </w:r>
          </w:p>
        </w:tc>
        <w:tc>
          <w:tcPr>
            <w:tcW w:w="628" w:type="dxa"/>
            <w:shd w:val="clear" w:color="auto" w:fill="auto"/>
            <w:vAlign w:val="center"/>
          </w:tcPr>
          <w:p w14:paraId="17E3966C" w14:textId="77777777" w:rsidR="005E59D6" w:rsidRPr="00215424" w:rsidRDefault="005E59D6" w:rsidP="005E59D6">
            <w:pPr>
              <w:spacing w:line="360" w:lineRule="auto"/>
              <w:jc w:val="center"/>
              <w:rPr>
                <w:rFonts w:ascii="Times New Roman" w:hAnsi="Times New Roman" w:cs="Times New Roman"/>
                <w:sz w:val="24"/>
                <w:szCs w:val="24"/>
              </w:rPr>
            </w:pPr>
            <w:r w:rsidRPr="00215424">
              <w:rPr>
                <w:rFonts w:ascii="Times New Roman" w:hAnsi="Times New Roman" w:cs="Times New Roman"/>
                <w:sz w:val="24"/>
                <w:szCs w:val="24"/>
              </w:rPr>
              <w:t>18.8</w:t>
            </w:r>
          </w:p>
        </w:tc>
        <w:tc>
          <w:tcPr>
            <w:tcW w:w="644" w:type="dxa"/>
            <w:shd w:val="clear" w:color="auto" w:fill="auto"/>
            <w:vAlign w:val="center"/>
          </w:tcPr>
          <w:p w14:paraId="110E735F" w14:textId="77777777" w:rsidR="005E59D6" w:rsidRPr="00215424" w:rsidRDefault="005E59D6" w:rsidP="005E59D6">
            <w:pPr>
              <w:spacing w:line="360" w:lineRule="auto"/>
              <w:jc w:val="center"/>
              <w:rPr>
                <w:rFonts w:ascii="Times New Roman" w:hAnsi="Times New Roman" w:cs="Times New Roman"/>
                <w:sz w:val="24"/>
                <w:szCs w:val="24"/>
              </w:rPr>
            </w:pPr>
            <w:r w:rsidRPr="00215424">
              <w:rPr>
                <w:rFonts w:ascii="Times New Roman" w:hAnsi="Times New Roman" w:cs="Times New Roman"/>
                <w:sz w:val="24"/>
                <w:szCs w:val="24"/>
              </w:rPr>
              <w:t>3</w:t>
            </w:r>
          </w:p>
        </w:tc>
        <w:tc>
          <w:tcPr>
            <w:tcW w:w="741" w:type="dxa"/>
            <w:tcBorders>
              <w:left w:val="nil"/>
            </w:tcBorders>
            <w:shd w:val="clear" w:color="auto" w:fill="auto"/>
            <w:vAlign w:val="center"/>
          </w:tcPr>
          <w:p w14:paraId="726CB796" w14:textId="77777777" w:rsidR="005E59D6" w:rsidRPr="00215424" w:rsidRDefault="005E59D6" w:rsidP="005E59D6">
            <w:pPr>
              <w:spacing w:line="360" w:lineRule="auto"/>
              <w:jc w:val="center"/>
              <w:rPr>
                <w:rFonts w:ascii="Times New Roman" w:hAnsi="Times New Roman" w:cs="Times New Roman"/>
                <w:sz w:val="24"/>
                <w:szCs w:val="24"/>
              </w:rPr>
            </w:pPr>
            <w:r w:rsidRPr="00215424">
              <w:rPr>
                <w:rFonts w:ascii="Times New Roman" w:hAnsi="Times New Roman" w:cs="Times New Roman"/>
                <w:sz w:val="24"/>
                <w:szCs w:val="24"/>
              </w:rPr>
              <w:t>6.3</w:t>
            </w:r>
          </w:p>
        </w:tc>
        <w:tc>
          <w:tcPr>
            <w:tcW w:w="917" w:type="dxa"/>
            <w:vMerge/>
            <w:shd w:val="clear" w:color="auto" w:fill="auto"/>
            <w:vAlign w:val="center"/>
          </w:tcPr>
          <w:p w14:paraId="4FCBD88C" w14:textId="77777777" w:rsidR="005E59D6" w:rsidRPr="00215424" w:rsidRDefault="005E59D6" w:rsidP="005E59D6">
            <w:pPr>
              <w:spacing w:line="360" w:lineRule="auto"/>
              <w:jc w:val="center"/>
              <w:rPr>
                <w:rFonts w:ascii="Times New Roman" w:hAnsi="Times New Roman" w:cs="Times New Roman"/>
                <w:sz w:val="24"/>
                <w:szCs w:val="24"/>
              </w:rPr>
            </w:pPr>
          </w:p>
        </w:tc>
      </w:tr>
      <w:tr w:rsidR="005E59D6" w:rsidRPr="00215424" w14:paraId="7F80B28E" w14:textId="77777777" w:rsidTr="002B7B95">
        <w:trPr>
          <w:trHeight w:val="272"/>
        </w:trPr>
        <w:tc>
          <w:tcPr>
            <w:tcW w:w="1809" w:type="dxa"/>
            <w:tcBorders>
              <w:bottom w:val="single" w:sz="4" w:space="0" w:color="auto"/>
            </w:tcBorders>
            <w:shd w:val="clear" w:color="auto" w:fill="auto"/>
            <w:noWrap/>
            <w:vAlign w:val="bottom"/>
          </w:tcPr>
          <w:p w14:paraId="4A31B7E8" w14:textId="77777777" w:rsidR="005E59D6" w:rsidRPr="00215424" w:rsidRDefault="005E59D6" w:rsidP="005E59D6">
            <w:pPr>
              <w:spacing w:line="360" w:lineRule="auto"/>
              <w:rPr>
                <w:rFonts w:ascii="Times New Roman" w:hAnsi="Times New Roman" w:cs="Times New Roman"/>
                <w:sz w:val="24"/>
                <w:szCs w:val="24"/>
              </w:rPr>
            </w:pPr>
            <w:r w:rsidRPr="00215424">
              <w:rPr>
                <w:rFonts w:ascii="Times New Roman" w:hAnsi="Times New Roman" w:cs="Times New Roman"/>
                <w:sz w:val="24"/>
                <w:szCs w:val="24"/>
              </w:rPr>
              <w:t>Dead</w:t>
            </w:r>
          </w:p>
        </w:tc>
        <w:tc>
          <w:tcPr>
            <w:tcW w:w="711" w:type="dxa"/>
            <w:tcBorders>
              <w:bottom w:val="single" w:sz="4" w:space="0" w:color="auto"/>
            </w:tcBorders>
            <w:shd w:val="clear" w:color="auto" w:fill="auto"/>
            <w:noWrap/>
            <w:vAlign w:val="center"/>
          </w:tcPr>
          <w:p w14:paraId="70690CFB" w14:textId="77777777" w:rsidR="005E59D6" w:rsidRPr="00215424" w:rsidRDefault="005E59D6" w:rsidP="005E59D6">
            <w:pPr>
              <w:spacing w:line="360" w:lineRule="auto"/>
              <w:jc w:val="center"/>
              <w:rPr>
                <w:rFonts w:ascii="Times New Roman" w:hAnsi="Times New Roman" w:cs="Times New Roman"/>
                <w:sz w:val="24"/>
                <w:szCs w:val="24"/>
              </w:rPr>
            </w:pPr>
            <w:r w:rsidRPr="00215424">
              <w:rPr>
                <w:rFonts w:ascii="Times New Roman" w:hAnsi="Times New Roman" w:cs="Times New Roman"/>
                <w:sz w:val="24"/>
                <w:szCs w:val="24"/>
              </w:rPr>
              <w:t>1</w:t>
            </w:r>
          </w:p>
        </w:tc>
        <w:tc>
          <w:tcPr>
            <w:tcW w:w="724" w:type="dxa"/>
            <w:tcBorders>
              <w:bottom w:val="single" w:sz="4" w:space="0" w:color="auto"/>
            </w:tcBorders>
            <w:shd w:val="clear" w:color="auto" w:fill="auto"/>
            <w:vAlign w:val="center"/>
          </w:tcPr>
          <w:p w14:paraId="0923E0E3" w14:textId="77777777" w:rsidR="005E59D6" w:rsidRPr="00215424" w:rsidRDefault="005E59D6" w:rsidP="005E59D6">
            <w:pPr>
              <w:spacing w:line="360" w:lineRule="auto"/>
              <w:jc w:val="center"/>
              <w:rPr>
                <w:rFonts w:ascii="Times New Roman" w:hAnsi="Times New Roman" w:cs="Times New Roman"/>
                <w:sz w:val="24"/>
                <w:szCs w:val="24"/>
              </w:rPr>
            </w:pPr>
            <w:r w:rsidRPr="00215424">
              <w:rPr>
                <w:rFonts w:ascii="Times New Roman" w:hAnsi="Times New Roman" w:cs="Times New Roman"/>
                <w:sz w:val="24"/>
                <w:szCs w:val="24"/>
              </w:rPr>
              <w:t>2.1</w:t>
            </w:r>
          </w:p>
        </w:tc>
        <w:tc>
          <w:tcPr>
            <w:tcW w:w="536" w:type="dxa"/>
            <w:tcBorders>
              <w:bottom w:val="single" w:sz="4" w:space="0" w:color="auto"/>
            </w:tcBorders>
            <w:shd w:val="clear" w:color="auto" w:fill="auto"/>
            <w:vAlign w:val="center"/>
          </w:tcPr>
          <w:p w14:paraId="407726ED" w14:textId="77777777" w:rsidR="005E59D6" w:rsidRPr="00215424" w:rsidRDefault="005E59D6" w:rsidP="005E59D6">
            <w:pPr>
              <w:spacing w:line="360" w:lineRule="auto"/>
              <w:jc w:val="center"/>
              <w:rPr>
                <w:rFonts w:ascii="Times New Roman" w:hAnsi="Times New Roman" w:cs="Times New Roman"/>
                <w:sz w:val="24"/>
                <w:szCs w:val="24"/>
              </w:rPr>
            </w:pPr>
            <w:r w:rsidRPr="00215424">
              <w:rPr>
                <w:rFonts w:ascii="Times New Roman" w:hAnsi="Times New Roman" w:cs="Times New Roman"/>
                <w:sz w:val="24"/>
                <w:szCs w:val="24"/>
              </w:rPr>
              <w:t>3</w:t>
            </w:r>
          </w:p>
        </w:tc>
        <w:tc>
          <w:tcPr>
            <w:tcW w:w="720" w:type="dxa"/>
            <w:tcBorders>
              <w:bottom w:val="single" w:sz="4" w:space="0" w:color="auto"/>
            </w:tcBorders>
            <w:shd w:val="clear" w:color="auto" w:fill="auto"/>
            <w:vAlign w:val="center"/>
          </w:tcPr>
          <w:p w14:paraId="361D305C" w14:textId="77777777" w:rsidR="005E59D6" w:rsidRPr="00215424" w:rsidRDefault="005E59D6" w:rsidP="005E59D6">
            <w:pPr>
              <w:spacing w:line="360" w:lineRule="auto"/>
              <w:jc w:val="center"/>
              <w:rPr>
                <w:rFonts w:ascii="Times New Roman" w:hAnsi="Times New Roman" w:cs="Times New Roman"/>
                <w:sz w:val="24"/>
                <w:szCs w:val="24"/>
              </w:rPr>
            </w:pPr>
            <w:r w:rsidRPr="00215424">
              <w:rPr>
                <w:rFonts w:ascii="Times New Roman" w:hAnsi="Times New Roman" w:cs="Times New Roman"/>
                <w:sz w:val="24"/>
                <w:szCs w:val="24"/>
              </w:rPr>
              <w:t>6.4</w:t>
            </w:r>
          </w:p>
        </w:tc>
        <w:tc>
          <w:tcPr>
            <w:tcW w:w="900" w:type="dxa"/>
            <w:vMerge/>
            <w:tcBorders>
              <w:bottom w:val="single" w:sz="4" w:space="0" w:color="auto"/>
            </w:tcBorders>
            <w:shd w:val="clear" w:color="auto" w:fill="auto"/>
            <w:noWrap/>
            <w:vAlign w:val="center"/>
          </w:tcPr>
          <w:p w14:paraId="18D5003B" w14:textId="77777777" w:rsidR="005E59D6" w:rsidRPr="00215424" w:rsidRDefault="005E59D6" w:rsidP="005E59D6">
            <w:pPr>
              <w:spacing w:line="360" w:lineRule="auto"/>
              <w:jc w:val="center"/>
              <w:rPr>
                <w:rFonts w:ascii="Times New Roman" w:hAnsi="Times New Roman" w:cs="Times New Roman"/>
                <w:sz w:val="24"/>
                <w:szCs w:val="24"/>
              </w:rPr>
            </w:pPr>
          </w:p>
        </w:tc>
        <w:tc>
          <w:tcPr>
            <w:tcW w:w="720" w:type="dxa"/>
            <w:tcBorders>
              <w:left w:val="nil"/>
              <w:bottom w:val="single" w:sz="4" w:space="0" w:color="auto"/>
            </w:tcBorders>
            <w:shd w:val="clear" w:color="auto" w:fill="auto"/>
            <w:vAlign w:val="center"/>
          </w:tcPr>
          <w:p w14:paraId="3E76A3DC" w14:textId="77777777" w:rsidR="005E59D6" w:rsidRPr="00215424" w:rsidRDefault="005E59D6" w:rsidP="005E59D6">
            <w:pPr>
              <w:spacing w:line="360" w:lineRule="auto"/>
              <w:jc w:val="center"/>
              <w:rPr>
                <w:rFonts w:ascii="Times New Roman" w:hAnsi="Times New Roman" w:cs="Times New Roman"/>
                <w:sz w:val="24"/>
                <w:szCs w:val="24"/>
              </w:rPr>
            </w:pPr>
            <w:r w:rsidRPr="00215424">
              <w:rPr>
                <w:rFonts w:ascii="Times New Roman" w:hAnsi="Times New Roman" w:cs="Times New Roman"/>
                <w:sz w:val="24"/>
                <w:szCs w:val="24"/>
              </w:rPr>
              <w:t>6</w:t>
            </w:r>
          </w:p>
        </w:tc>
        <w:tc>
          <w:tcPr>
            <w:tcW w:w="628" w:type="dxa"/>
            <w:tcBorders>
              <w:bottom w:val="single" w:sz="4" w:space="0" w:color="auto"/>
            </w:tcBorders>
            <w:shd w:val="clear" w:color="auto" w:fill="auto"/>
            <w:vAlign w:val="center"/>
          </w:tcPr>
          <w:p w14:paraId="68791340" w14:textId="77777777" w:rsidR="005E59D6" w:rsidRPr="00215424" w:rsidRDefault="005E59D6" w:rsidP="005E59D6">
            <w:pPr>
              <w:spacing w:line="360" w:lineRule="auto"/>
              <w:jc w:val="center"/>
              <w:rPr>
                <w:rFonts w:ascii="Times New Roman" w:hAnsi="Times New Roman" w:cs="Times New Roman"/>
                <w:sz w:val="24"/>
                <w:szCs w:val="24"/>
              </w:rPr>
            </w:pPr>
            <w:r w:rsidRPr="00215424">
              <w:rPr>
                <w:rFonts w:ascii="Times New Roman" w:hAnsi="Times New Roman" w:cs="Times New Roman"/>
                <w:sz w:val="24"/>
                <w:szCs w:val="24"/>
              </w:rPr>
              <w:t>12.5</w:t>
            </w:r>
          </w:p>
        </w:tc>
        <w:tc>
          <w:tcPr>
            <w:tcW w:w="644" w:type="dxa"/>
            <w:tcBorders>
              <w:bottom w:val="single" w:sz="4" w:space="0" w:color="auto"/>
            </w:tcBorders>
            <w:shd w:val="clear" w:color="auto" w:fill="auto"/>
            <w:vAlign w:val="center"/>
          </w:tcPr>
          <w:p w14:paraId="07E46069" w14:textId="77777777" w:rsidR="005E59D6" w:rsidRPr="00215424" w:rsidRDefault="005E59D6" w:rsidP="005E59D6">
            <w:pPr>
              <w:spacing w:line="360" w:lineRule="auto"/>
              <w:jc w:val="center"/>
              <w:rPr>
                <w:rFonts w:ascii="Times New Roman" w:hAnsi="Times New Roman" w:cs="Times New Roman"/>
                <w:sz w:val="24"/>
                <w:szCs w:val="24"/>
              </w:rPr>
            </w:pPr>
            <w:r w:rsidRPr="00215424">
              <w:rPr>
                <w:rFonts w:ascii="Times New Roman" w:hAnsi="Times New Roman" w:cs="Times New Roman"/>
                <w:sz w:val="24"/>
                <w:szCs w:val="24"/>
              </w:rPr>
              <w:t>18</w:t>
            </w:r>
          </w:p>
        </w:tc>
        <w:tc>
          <w:tcPr>
            <w:tcW w:w="741" w:type="dxa"/>
            <w:tcBorders>
              <w:left w:val="nil"/>
              <w:bottom w:val="single" w:sz="4" w:space="0" w:color="auto"/>
            </w:tcBorders>
            <w:shd w:val="clear" w:color="auto" w:fill="auto"/>
            <w:vAlign w:val="center"/>
          </w:tcPr>
          <w:p w14:paraId="5F534DAC" w14:textId="77777777" w:rsidR="005E59D6" w:rsidRPr="00215424" w:rsidRDefault="005E59D6" w:rsidP="005E59D6">
            <w:pPr>
              <w:spacing w:line="360" w:lineRule="auto"/>
              <w:jc w:val="center"/>
              <w:rPr>
                <w:rFonts w:ascii="Times New Roman" w:hAnsi="Times New Roman" w:cs="Times New Roman"/>
                <w:sz w:val="24"/>
                <w:szCs w:val="24"/>
              </w:rPr>
            </w:pPr>
            <w:r w:rsidRPr="00215424">
              <w:rPr>
                <w:rFonts w:ascii="Times New Roman" w:hAnsi="Times New Roman" w:cs="Times New Roman"/>
                <w:sz w:val="24"/>
                <w:szCs w:val="24"/>
              </w:rPr>
              <w:t>37.5</w:t>
            </w:r>
          </w:p>
        </w:tc>
        <w:tc>
          <w:tcPr>
            <w:tcW w:w="917" w:type="dxa"/>
            <w:vMerge/>
            <w:tcBorders>
              <w:bottom w:val="single" w:sz="4" w:space="0" w:color="auto"/>
            </w:tcBorders>
            <w:shd w:val="clear" w:color="auto" w:fill="auto"/>
            <w:vAlign w:val="center"/>
          </w:tcPr>
          <w:p w14:paraId="19D79BCC" w14:textId="77777777" w:rsidR="005E59D6" w:rsidRPr="00215424" w:rsidRDefault="005E59D6" w:rsidP="005E59D6">
            <w:pPr>
              <w:spacing w:line="360" w:lineRule="auto"/>
              <w:jc w:val="center"/>
              <w:rPr>
                <w:rFonts w:ascii="Times New Roman" w:hAnsi="Times New Roman" w:cs="Times New Roman"/>
                <w:sz w:val="24"/>
                <w:szCs w:val="24"/>
              </w:rPr>
            </w:pPr>
          </w:p>
        </w:tc>
      </w:tr>
    </w:tbl>
    <w:p w14:paraId="074EDC70" w14:textId="77777777" w:rsidR="005E59D6" w:rsidRPr="0058399A" w:rsidRDefault="005E59D6" w:rsidP="005E59D6">
      <w:pPr>
        <w:spacing w:line="360" w:lineRule="auto"/>
        <w:jc w:val="center"/>
        <w:rPr>
          <w:rFonts w:ascii="Times New Roman" w:hAnsi="Times New Roman" w:cs="Times New Roman"/>
          <w:b/>
          <w:sz w:val="24"/>
          <w:szCs w:val="24"/>
        </w:rPr>
      </w:pPr>
      <w:r w:rsidRPr="0058399A">
        <w:rPr>
          <w:rFonts w:ascii="Times New Roman" w:hAnsi="Times New Roman" w:cs="Times New Roman"/>
          <w:b/>
          <w:sz w:val="24"/>
          <w:szCs w:val="24"/>
        </w:rPr>
        <w:t>Table-</w:t>
      </w:r>
      <w:r>
        <w:rPr>
          <w:rFonts w:ascii="Times New Roman" w:hAnsi="Times New Roman" w:cs="Times New Roman"/>
          <w:b/>
          <w:sz w:val="24"/>
          <w:szCs w:val="24"/>
        </w:rPr>
        <w:t>4</w:t>
      </w:r>
      <w:r w:rsidRPr="0058399A">
        <w:rPr>
          <w:rFonts w:ascii="Times New Roman" w:hAnsi="Times New Roman" w:cs="Times New Roman"/>
          <w:b/>
          <w:sz w:val="24"/>
          <w:szCs w:val="24"/>
        </w:rPr>
        <w:t xml:space="preserve"> Comparison of outcome assessed by Modified Rankin Scale (MRS) at discharge and at the end of 3 month (n=95)</w:t>
      </w:r>
    </w:p>
    <w:p w14:paraId="776B690F" w14:textId="77777777" w:rsidR="005E59D6" w:rsidRDefault="005E59D6" w:rsidP="005E59D6">
      <w:pPr>
        <w:spacing w:line="360" w:lineRule="auto"/>
        <w:jc w:val="both"/>
      </w:pPr>
      <w:r w:rsidRPr="006D3A5D">
        <w:rPr>
          <w:rFonts w:ascii="Times New Roman" w:hAnsi="Times New Roman" w:cs="Times New Roman"/>
          <w:sz w:val="24"/>
          <w:szCs w:val="24"/>
        </w:rPr>
        <w:t>21(44.7%) patients had poor outco</w:t>
      </w:r>
      <w:r>
        <w:rPr>
          <w:rFonts w:ascii="Times New Roman" w:hAnsi="Times New Roman" w:cs="Times New Roman"/>
          <w:sz w:val="24"/>
          <w:szCs w:val="24"/>
        </w:rPr>
        <w:t xml:space="preserve">me in serum in group –II (cardiac troponin I &gt; </w:t>
      </w:r>
      <w:r w:rsidRPr="006D3A5D">
        <w:rPr>
          <w:rFonts w:ascii="Times New Roman" w:hAnsi="Times New Roman" w:cs="Times New Roman"/>
          <w:sz w:val="24"/>
          <w:szCs w:val="24"/>
        </w:rPr>
        <w:t>0.30</w:t>
      </w:r>
      <w:r>
        <w:rPr>
          <w:rFonts w:ascii="Times New Roman" w:hAnsi="Times New Roman" w:cs="Times New Roman"/>
          <w:sz w:val="24"/>
          <w:szCs w:val="24"/>
        </w:rPr>
        <w:t>)</w:t>
      </w:r>
      <w:r w:rsidRPr="006D3A5D">
        <w:rPr>
          <w:rFonts w:ascii="Times New Roman" w:hAnsi="Times New Roman" w:cs="Times New Roman"/>
          <w:sz w:val="24"/>
          <w:szCs w:val="24"/>
        </w:rPr>
        <w:t xml:space="preserve"> and </w:t>
      </w:r>
      <w:r>
        <w:rPr>
          <w:rFonts w:ascii="Times New Roman" w:hAnsi="Times New Roman" w:cs="Times New Roman"/>
          <w:sz w:val="24"/>
          <w:szCs w:val="24"/>
        </w:rPr>
        <w:t xml:space="preserve">only </w:t>
      </w:r>
      <w:r w:rsidRPr="006D3A5D">
        <w:rPr>
          <w:rFonts w:ascii="Times New Roman" w:hAnsi="Times New Roman" w:cs="Times New Roman"/>
          <w:sz w:val="24"/>
          <w:szCs w:val="24"/>
        </w:rPr>
        <w:t>8(17%)</w:t>
      </w:r>
      <w:r>
        <w:rPr>
          <w:rFonts w:ascii="Times New Roman" w:hAnsi="Times New Roman" w:cs="Times New Roman"/>
          <w:sz w:val="24"/>
          <w:szCs w:val="24"/>
        </w:rPr>
        <w:t xml:space="preserve"> patients in group-I</w:t>
      </w:r>
      <w:r w:rsidRPr="006D3A5D">
        <w:rPr>
          <w:rFonts w:ascii="Times New Roman" w:hAnsi="Times New Roman" w:cs="Times New Roman"/>
          <w:sz w:val="24"/>
          <w:szCs w:val="24"/>
        </w:rPr>
        <w:t xml:space="preserve"> </w:t>
      </w:r>
      <w:r>
        <w:rPr>
          <w:rFonts w:ascii="Times New Roman" w:hAnsi="Times New Roman" w:cs="Times New Roman"/>
          <w:sz w:val="24"/>
          <w:szCs w:val="24"/>
        </w:rPr>
        <w:t>(</w:t>
      </w:r>
      <w:r w:rsidRPr="006D3A5D">
        <w:rPr>
          <w:rFonts w:ascii="Times New Roman" w:hAnsi="Times New Roman" w:cs="Times New Roman"/>
          <w:sz w:val="24"/>
          <w:szCs w:val="24"/>
        </w:rPr>
        <w:t>serum cardiac troponin I &lt;0.30</w:t>
      </w:r>
      <w:r>
        <w:rPr>
          <w:rFonts w:ascii="Times New Roman" w:hAnsi="Times New Roman" w:cs="Times New Roman"/>
          <w:sz w:val="24"/>
          <w:szCs w:val="24"/>
        </w:rPr>
        <w:t xml:space="preserve">). The difference </w:t>
      </w:r>
      <w:r w:rsidRPr="006D3A5D">
        <w:rPr>
          <w:rFonts w:ascii="Times New Roman" w:hAnsi="Times New Roman" w:cs="Times New Roman"/>
          <w:sz w:val="24"/>
          <w:szCs w:val="24"/>
        </w:rPr>
        <w:t>was statistically significant (p&lt;0.05) between two groups.</w:t>
      </w:r>
      <w:r w:rsidRPr="006D3A5D">
        <w:t xml:space="preserve"> </w:t>
      </w:r>
    </w:p>
    <w:tbl>
      <w:tblPr>
        <w:tblW w:w="8493" w:type="dxa"/>
        <w:tblInd w:w="98" w:type="dxa"/>
        <w:tblBorders>
          <w:top w:val="single" w:sz="4" w:space="0" w:color="auto"/>
        </w:tblBorders>
        <w:tblLayout w:type="fixed"/>
        <w:tblLook w:val="0000" w:firstRow="0" w:lastRow="0" w:firstColumn="0" w:lastColumn="0" w:noHBand="0" w:noVBand="0"/>
      </w:tblPr>
      <w:tblGrid>
        <w:gridCol w:w="1810"/>
        <w:gridCol w:w="860"/>
        <w:gridCol w:w="861"/>
        <w:gridCol w:w="861"/>
        <w:gridCol w:w="861"/>
        <w:gridCol w:w="2165"/>
        <w:gridCol w:w="1075"/>
      </w:tblGrid>
      <w:tr w:rsidR="005E59D6" w:rsidRPr="009319B1" w14:paraId="1C806910" w14:textId="77777777" w:rsidTr="002B7B95">
        <w:trPr>
          <w:trHeight w:val="728"/>
        </w:trPr>
        <w:tc>
          <w:tcPr>
            <w:tcW w:w="1810" w:type="dxa"/>
            <w:tcBorders>
              <w:bottom w:val="single" w:sz="4" w:space="0" w:color="auto"/>
            </w:tcBorders>
            <w:shd w:val="clear" w:color="auto" w:fill="auto"/>
            <w:vAlign w:val="center"/>
          </w:tcPr>
          <w:p w14:paraId="6EAA6360" w14:textId="77777777" w:rsidR="005E59D6" w:rsidRPr="009319B1" w:rsidRDefault="005E59D6" w:rsidP="005E59D6">
            <w:pPr>
              <w:spacing w:line="240" w:lineRule="auto"/>
              <w:rPr>
                <w:rFonts w:ascii="Times New Roman" w:hAnsi="Times New Roman"/>
                <w:b/>
                <w:bCs/>
                <w:sz w:val="24"/>
                <w:szCs w:val="24"/>
              </w:rPr>
            </w:pPr>
            <w:r w:rsidRPr="009319B1">
              <w:rPr>
                <w:rFonts w:ascii="Times New Roman" w:hAnsi="Times New Roman"/>
                <w:b/>
                <w:bCs/>
                <w:sz w:val="24"/>
                <w:szCs w:val="24"/>
              </w:rPr>
              <w:t>Modified Rankin Scale (MRS)</w:t>
            </w:r>
          </w:p>
        </w:tc>
        <w:tc>
          <w:tcPr>
            <w:tcW w:w="3443" w:type="dxa"/>
            <w:gridSpan w:val="4"/>
            <w:tcBorders>
              <w:bottom w:val="single" w:sz="4" w:space="0" w:color="auto"/>
            </w:tcBorders>
            <w:shd w:val="clear" w:color="auto" w:fill="auto"/>
          </w:tcPr>
          <w:p w14:paraId="19B34EB1" w14:textId="77777777" w:rsidR="005E59D6" w:rsidRPr="009319B1" w:rsidRDefault="005E59D6" w:rsidP="005E59D6">
            <w:pPr>
              <w:spacing w:line="240" w:lineRule="auto"/>
              <w:jc w:val="center"/>
              <w:rPr>
                <w:rFonts w:ascii="Times New Roman" w:hAnsi="Times New Roman" w:cs="Arial"/>
                <w:sz w:val="24"/>
                <w:szCs w:val="24"/>
              </w:rPr>
            </w:pPr>
            <w:r w:rsidRPr="009319B1">
              <w:rPr>
                <w:rFonts w:ascii="Times New Roman" w:hAnsi="Times New Roman"/>
                <w:b/>
                <w:bCs/>
                <w:sz w:val="24"/>
                <w:szCs w:val="24"/>
              </w:rPr>
              <w:t>Serum cardiac troponin I</w:t>
            </w:r>
          </w:p>
        </w:tc>
        <w:tc>
          <w:tcPr>
            <w:tcW w:w="2165" w:type="dxa"/>
            <w:tcBorders>
              <w:bottom w:val="single" w:sz="4" w:space="0" w:color="auto"/>
            </w:tcBorders>
            <w:shd w:val="clear" w:color="auto" w:fill="auto"/>
          </w:tcPr>
          <w:p w14:paraId="0EDE96AC" w14:textId="77777777" w:rsidR="005E59D6" w:rsidRPr="009319B1" w:rsidRDefault="005E59D6" w:rsidP="005E59D6">
            <w:pPr>
              <w:spacing w:line="240" w:lineRule="auto"/>
              <w:jc w:val="center"/>
              <w:rPr>
                <w:rFonts w:ascii="Times New Roman" w:hAnsi="Times New Roman" w:cs="Arial"/>
                <w:b/>
                <w:bCs/>
                <w:sz w:val="24"/>
                <w:szCs w:val="24"/>
              </w:rPr>
            </w:pPr>
            <w:r w:rsidRPr="009319B1">
              <w:rPr>
                <w:rFonts w:ascii="Times New Roman" w:hAnsi="Times New Roman" w:cs="Arial"/>
                <w:b/>
                <w:bCs/>
                <w:sz w:val="24"/>
                <w:szCs w:val="24"/>
              </w:rPr>
              <w:t>OR (95% CI)</w:t>
            </w:r>
          </w:p>
        </w:tc>
        <w:tc>
          <w:tcPr>
            <w:tcW w:w="1075" w:type="dxa"/>
            <w:tcBorders>
              <w:bottom w:val="single" w:sz="4" w:space="0" w:color="auto"/>
            </w:tcBorders>
            <w:shd w:val="clear" w:color="auto" w:fill="auto"/>
          </w:tcPr>
          <w:p w14:paraId="0C470B12" w14:textId="77777777" w:rsidR="005E59D6" w:rsidRPr="009319B1" w:rsidRDefault="005E59D6" w:rsidP="005E59D6">
            <w:pPr>
              <w:spacing w:line="240" w:lineRule="auto"/>
              <w:jc w:val="center"/>
              <w:rPr>
                <w:rFonts w:ascii="Times New Roman" w:hAnsi="Times New Roman" w:cs="Arial"/>
                <w:b/>
                <w:bCs/>
                <w:i/>
                <w:iCs/>
                <w:sz w:val="24"/>
                <w:szCs w:val="24"/>
              </w:rPr>
            </w:pPr>
            <w:r w:rsidRPr="009319B1">
              <w:rPr>
                <w:rFonts w:ascii="Times New Roman" w:hAnsi="Times New Roman" w:cs="Arial"/>
                <w:b/>
                <w:bCs/>
                <w:i/>
                <w:iCs/>
                <w:sz w:val="24"/>
                <w:szCs w:val="24"/>
              </w:rPr>
              <w:t xml:space="preserve">p </w:t>
            </w:r>
            <w:r w:rsidRPr="009319B1">
              <w:rPr>
                <w:rFonts w:ascii="Times New Roman" w:hAnsi="Times New Roman" w:cs="Arial"/>
                <w:b/>
                <w:bCs/>
                <w:sz w:val="24"/>
                <w:szCs w:val="24"/>
              </w:rPr>
              <w:t>value</w:t>
            </w:r>
          </w:p>
        </w:tc>
      </w:tr>
      <w:tr w:rsidR="005E59D6" w:rsidRPr="009319B1" w14:paraId="51999331" w14:textId="77777777" w:rsidTr="002B7B95">
        <w:trPr>
          <w:trHeight w:val="327"/>
        </w:trPr>
        <w:tc>
          <w:tcPr>
            <w:tcW w:w="1810" w:type="dxa"/>
            <w:tcBorders>
              <w:top w:val="single" w:sz="4" w:space="0" w:color="auto"/>
            </w:tcBorders>
            <w:vAlign w:val="center"/>
          </w:tcPr>
          <w:p w14:paraId="054B5525" w14:textId="77777777" w:rsidR="005E59D6" w:rsidRPr="009319B1" w:rsidRDefault="005E59D6" w:rsidP="005E59D6">
            <w:pPr>
              <w:spacing w:line="240" w:lineRule="auto"/>
              <w:rPr>
                <w:rFonts w:ascii="Times New Roman" w:hAnsi="Times New Roman" w:cs="Arial"/>
                <w:sz w:val="24"/>
                <w:szCs w:val="24"/>
              </w:rPr>
            </w:pPr>
          </w:p>
        </w:tc>
        <w:tc>
          <w:tcPr>
            <w:tcW w:w="1721" w:type="dxa"/>
            <w:gridSpan w:val="2"/>
            <w:tcBorders>
              <w:top w:val="single" w:sz="4" w:space="0" w:color="auto"/>
              <w:bottom w:val="single" w:sz="4" w:space="0" w:color="auto"/>
            </w:tcBorders>
            <w:shd w:val="clear" w:color="auto" w:fill="auto"/>
            <w:noWrap/>
          </w:tcPr>
          <w:p w14:paraId="360E271C" w14:textId="77777777" w:rsidR="005E59D6" w:rsidRPr="00056323" w:rsidRDefault="005E59D6" w:rsidP="005E59D6">
            <w:pPr>
              <w:spacing w:line="240" w:lineRule="auto"/>
              <w:jc w:val="center"/>
              <w:rPr>
                <w:rFonts w:ascii="Times New Roman" w:hAnsi="Times New Roman" w:cs="Times New Roman"/>
                <w:b/>
              </w:rPr>
            </w:pPr>
            <w:r w:rsidRPr="00056323">
              <w:rPr>
                <w:rFonts w:ascii="Times New Roman" w:hAnsi="Times New Roman" w:cs="Times New Roman"/>
                <w:b/>
              </w:rPr>
              <w:t>Group-I</w:t>
            </w:r>
          </w:p>
          <w:p w14:paraId="57FF3FA0" w14:textId="77777777" w:rsidR="005E59D6" w:rsidRPr="00056323" w:rsidRDefault="005E59D6" w:rsidP="005E59D6">
            <w:pPr>
              <w:spacing w:line="240" w:lineRule="auto"/>
              <w:jc w:val="center"/>
              <w:rPr>
                <w:rFonts w:ascii="Times New Roman" w:hAnsi="Times New Roman" w:cs="Times New Roman"/>
                <w:b/>
              </w:rPr>
            </w:pPr>
            <w:r w:rsidRPr="00056323">
              <w:rPr>
                <w:rFonts w:ascii="Times New Roman" w:hAnsi="Times New Roman" w:cs="Times New Roman"/>
                <w:b/>
              </w:rPr>
              <w:t>(</w:t>
            </w:r>
            <w:r>
              <w:rPr>
                <w:rFonts w:ascii="Times New Roman" w:hAnsi="Times New Roman" w:cs="Times New Roman"/>
                <w:b/>
              </w:rPr>
              <w:t>n</w:t>
            </w:r>
            <w:r w:rsidRPr="00056323">
              <w:rPr>
                <w:rFonts w:ascii="Times New Roman" w:hAnsi="Times New Roman" w:cs="Times New Roman"/>
                <w:b/>
              </w:rPr>
              <w:t>=47)</w:t>
            </w:r>
          </w:p>
        </w:tc>
        <w:tc>
          <w:tcPr>
            <w:tcW w:w="1722" w:type="dxa"/>
            <w:gridSpan w:val="2"/>
            <w:tcBorders>
              <w:top w:val="single" w:sz="4" w:space="0" w:color="auto"/>
              <w:bottom w:val="single" w:sz="4" w:space="0" w:color="auto"/>
            </w:tcBorders>
            <w:shd w:val="clear" w:color="auto" w:fill="auto"/>
            <w:noWrap/>
          </w:tcPr>
          <w:p w14:paraId="7638D0E3" w14:textId="77777777" w:rsidR="005E59D6" w:rsidRPr="00056323" w:rsidRDefault="005E59D6" w:rsidP="005E59D6">
            <w:pPr>
              <w:spacing w:line="240" w:lineRule="auto"/>
              <w:jc w:val="center"/>
              <w:rPr>
                <w:rFonts w:ascii="Times New Roman" w:hAnsi="Times New Roman" w:cs="Times New Roman"/>
                <w:b/>
              </w:rPr>
            </w:pPr>
            <w:r w:rsidRPr="00056323">
              <w:rPr>
                <w:rFonts w:ascii="Times New Roman" w:hAnsi="Times New Roman" w:cs="Times New Roman"/>
                <w:b/>
              </w:rPr>
              <w:t>Group-II</w:t>
            </w:r>
          </w:p>
          <w:p w14:paraId="7CB286A7" w14:textId="77777777" w:rsidR="005E59D6" w:rsidRPr="00056323" w:rsidRDefault="005E59D6" w:rsidP="005E59D6">
            <w:pPr>
              <w:spacing w:line="240" w:lineRule="auto"/>
              <w:jc w:val="center"/>
              <w:rPr>
                <w:rFonts w:ascii="Times New Roman" w:hAnsi="Times New Roman" w:cs="Times New Roman"/>
                <w:b/>
              </w:rPr>
            </w:pPr>
            <w:r w:rsidRPr="00056323">
              <w:rPr>
                <w:rFonts w:ascii="Times New Roman" w:hAnsi="Times New Roman" w:cs="Times New Roman"/>
                <w:b/>
              </w:rPr>
              <w:t xml:space="preserve"> (</w:t>
            </w:r>
            <w:r>
              <w:rPr>
                <w:rFonts w:ascii="Times New Roman" w:hAnsi="Times New Roman" w:cs="Times New Roman"/>
                <w:b/>
              </w:rPr>
              <w:t>n</w:t>
            </w:r>
            <w:r w:rsidRPr="00056323">
              <w:rPr>
                <w:rFonts w:ascii="Times New Roman" w:hAnsi="Times New Roman" w:cs="Times New Roman"/>
                <w:b/>
              </w:rPr>
              <w:t>=48)</w:t>
            </w:r>
          </w:p>
        </w:tc>
        <w:tc>
          <w:tcPr>
            <w:tcW w:w="2165" w:type="dxa"/>
            <w:tcBorders>
              <w:top w:val="single" w:sz="4" w:space="0" w:color="auto"/>
            </w:tcBorders>
            <w:shd w:val="clear" w:color="auto" w:fill="auto"/>
            <w:vAlign w:val="bottom"/>
          </w:tcPr>
          <w:p w14:paraId="67E4ADFA" w14:textId="77777777" w:rsidR="005E59D6" w:rsidRPr="009319B1" w:rsidRDefault="005E59D6" w:rsidP="005E59D6">
            <w:pPr>
              <w:spacing w:line="240" w:lineRule="auto"/>
              <w:jc w:val="center"/>
              <w:rPr>
                <w:rFonts w:ascii="Times New Roman" w:hAnsi="Times New Roman" w:cs="Arial"/>
                <w:b/>
                <w:bCs/>
                <w:sz w:val="24"/>
                <w:szCs w:val="24"/>
              </w:rPr>
            </w:pPr>
          </w:p>
        </w:tc>
        <w:tc>
          <w:tcPr>
            <w:tcW w:w="1075" w:type="dxa"/>
            <w:tcBorders>
              <w:top w:val="single" w:sz="4" w:space="0" w:color="auto"/>
            </w:tcBorders>
            <w:shd w:val="clear" w:color="auto" w:fill="auto"/>
            <w:vAlign w:val="bottom"/>
          </w:tcPr>
          <w:p w14:paraId="4AF32CA8" w14:textId="77777777" w:rsidR="005E59D6" w:rsidRPr="009319B1" w:rsidRDefault="005E59D6" w:rsidP="005E59D6">
            <w:pPr>
              <w:spacing w:line="240" w:lineRule="auto"/>
              <w:rPr>
                <w:rFonts w:ascii="Times New Roman" w:hAnsi="Times New Roman" w:cs="Arial"/>
                <w:b/>
                <w:bCs/>
                <w:sz w:val="24"/>
                <w:szCs w:val="24"/>
              </w:rPr>
            </w:pPr>
          </w:p>
          <w:p w14:paraId="6E0504E4" w14:textId="77777777" w:rsidR="005E59D6" w:rsidRPr="009319B1" w:rsidRDefault="005E59D6" w:rsidP="005E59D6">
            <w:pPr>
              <w:spacing w:line="240" w:lineRule="auto"/>
              <w:jc w:val="center"/>
              <w:rPr>
                <w:rFonts w:ascii="Times New Roman" w:hAnsi="Times New Roman" w:cs="Arial"/>
                <w:b/>
                <w:bCs/>
                <w:sz w:val="24"/>
                <w:szCs w:val="24"/>
              </w:rPr>
            </w:pPr>
          </w:p>
        </w:tc>
      </w:tr>
      <w:tr w:rsidR="005E59D6" w:rsidRPr="009319B1" w14:paraId="61586152" w14:textId="77777777" w:rsidTr="002B7B95">
        <w:trPr>
          <w:trHeight w:val="327"/>
        </w:trPr>
        <w:tc>
          <w:tcPr>
            <w:tcW w:w="1810" w:type="dxa"/>
            <w:tcBorders>
              <w:bottom w:val="single" w:sz="4" w:space="0" w:color="auto"/>
            </w:tcBorders>
            <w:shd w:val="clear" w:color="auto" w:fill="auto"/>
            <w:noWrap/>
          </w:tcPr>
          <w:p w14:paraId="0BB09C17" w14:textId="77777777" w:rsidR="005E59D6" w:rsidRPr="009319B1" w:rsidRDefault="005E59D6" w:rsidP="005E59D6">
            <w:pPr>
              <w:spacing w:line="240" w:lineRule="auto"/>
              <w:rPr>
                <w:rFonts w:ascii="Times New Roman" w:hAnsi="Times New Roman" w:cs="Arial"/>
                <w:sz w:val="24"/>
                <w:szCs w:val="24"/>
              </w:rPr>
            </w:pPr>
          </w:p>
        </w:tc>
        <w:tc>
          <w:tcPr>
            <w:tcW w:w="860" w:type="dxa"/>
            <w:tcBorders>
              <w:top w:val="single" w:sz="4" w:space="0" w:color="auto"/>
              <w:bottom w:val="single" w:sz="4" w:space="0" w:color="auto"/>
            </w:tcBorders>
            <w:shd w:val="clear" w:color="auto" w:fill="auto"/>
            <w:noWrap/>
            <w:vAlign w:val="center"/>
          </w:tcPr>
          <w:p w14:paraId="1160D74E" w14:textId="77777777" w:rsidR="005E59D6" w:rsidRPr="009319B1" w:rsidRDefault="005E59D6" w:rsidP="005E59D6">
            <w:pPr>
              <w:spacing w:line="240" w:lineRule="auto"/>
              <w:jc w:val="center"/>
              <w:rPr>
                <w:rFonts w:ascii="Times New Roman" w:hAnsi="Times New Roman" w:cs="Arial"/>
                <w:b/>
                <w:bCs/>
                <w:sz w:val="24"/>
                <w:szCs w:val="24"/>
              </w:rPr>
            </w:pPr>
            <w:r>
              <w:rPr>
                <w:rFonts w:ascii="Times New Roman" w:hAnsi="Times New Roman" w:cs="Arial"/>
                <w:b/>
                <w:bCs/>
                <w:sz w:val="24"/>
                <w:szCs w:val="24"/>
              </w:rPr>
              <w:t>n</w:t>
            </w:r>
          </w:p>
        </w:tc>
        <w:tc>
          <w:tcPr>
            <w:tcW w:w="861" w:type="dxa"/>
            <w:tcBorders>
              <w:top w:val="single" w:sz="4" w:space="0" w:color="auto"/>
              <w:bottom w:val="single" w:sz="4" w:space="0" w:color="auto"/>
            </w:tcBorders>
            <w:shd w:val="clear" w:color="auto" w:fill="auto"/>
            <w:vAlign w:val="center"/>
          </w:tcPr>
          <w:p w14:paraId="4B30809C" w14:textId="77777777" w:rsidR="005E59D6" w:rsidRPr="009319B1" w:rsidRDefault="005E59D6" w:rsidP="005E59D6">
            <w:pPr>
              <w:spacing w:line="240" w:lineRule="auto"/>
              <w:jc w:val="center"/>
              <w:rPr>
                <w:rFonts w:ascii="Times New Roman" w:hAnsi="Times New Roman" w:cs="Arial"/>
                <w:b/>
                <w:bCs/>
                <w:sz w:val="24"/>
                <w:szCs w:val="24"/>
              </w:rPr>
            </w:pPr>
            <w:r w:rsidRPr="009319B1">
              <w:rPr>
                <w:rFonts w:ascii="Times New Roman" w:hAnsi="Times New Roman" w:cs="Arial"/>
                <w:b/>
                <w:bCs/>
                <w:sz w:val="24"/>
                <w:szCs w:val="24"/>
              </w:rPr>
              <w:t>%</w:t>
            </w:r>
          </w:p>
        </w:tc>
        <w:tc>
          <w:tcPr>
            <w:tcW w:w="861" w:type="dxa"/>
            <w:tcBorders>
              <w:top w:val="single" w:sz="4" w:space="0" w:color="auto"/>
              <w:bottom w:val="single" w:sz="4" w:space="0" w:color="auto"/>
            </w:tcBorders>
            <w:shd w:val="clear" w:color="auto" w:fill="auto"/>
            <w:noWrap/>
            <w:vAlign w:val="center"/>
          </w:tcPr>
          <w:p w14:paraId="1EC2C022" w14:textId="77777777" w:rsidR="005E59D6" w:rsidRPr="009319B1" w:rsidRDefault="005E59D6" w:rsidP="005E59D6">
            <w:pPr>
              <w:spacing w:line="240" w:lineRule="auto"/>
              <w:jc w:val="center"/>
              <w:rPr>
                <w:rFonts w:ascii="Times New Roman" w:hAnsi="Times New Roman" w:cs="Arial"/>
                <w:b/>
                <w:bCs/>
                <w:sz w:val="24"/>
                <w:szCs w:val="24"/>
              </w:rPr>
            </w:pPr>
            <w:r>
              <w:rPr>
                <w:rFonts w:ascii="Times New Roman" w:hAnsi="Times New Roman" w:cs="Arial"/>
                <w:b/>
                <w:bCs/>
                <w:sz w:val="24"/>
                <w:szCs w:val="24"/>
              </w:rPr>
              <w:t>n</w:t>
            </w:r>
          </w:p>
        </w:tc>
        <w:tc>
          <w:tcPr>
            <w:tcW w:w="861" w:type="dxa"/>
            <w:tcBorders>
              <w:top w:val="single" w:sz="4" w:space="0" w:color="auto"/>
              <w:bottom w:val="single" w:sz="4" w:space="0" w:color="auto"/>
            </w:tcBorders>
            <w:shd w:val="clear" w:color="auto" w:fill="auto"/>
            <w:vAlign w:val="center"/>
          </w:tcPr>
          <w:p w14:paraId="30519B90" w14:textId="77777777" w:rsidR="005E59D6" w:rsidRPr="009319B1" w:rsidRDefault="005E59D6" w:rsidP="005E59D6">
            <w:pPr>
              <w:spacing w:line="240" w:lineRule="auto"/>
              <w:jc w:val="center"/>
              <w:rPr>
                <w:rFonts w:ascii="Times New Roman" w:hAnsi="Times New Roman" w:cs="Arial"/>
                <w:b/>
                <w:bCs/>
                <w:sz w:val="24"/>
                <w:szCs w:val="24"/>
              </w:rPr>
            </w:pPr>
            <w:r w:rsidRPr="009319B1">
              <w:rPr>
                <w:rFonts w:ascii="Times New Roman" w:hAnsi="Times New Roman" w:cs="Arial"/>
                <w:b/>
                <w:bCs/>
                <w:sz w:val="24"/>
                <w:szCs w:val="24"/>
              </w:rPr>
              <w:t>%</w:t>
            </w:r>
          </w:p>
        </w:tc>
        <w:tc>
          <w:tcPr>
            <w:tcW w:w="2165" w:type="dxa"/>
            <w:tcBorders>
              <w:bottom w:val="single" w:sz="4" w:space="0" w:color="auto"/>
            </w:tcBorders>
            <w:shd w:val="clear" w:color="auto" w:fill="auto"/>
            <w:vAlign w:val="center"/>
          </w:tcPr>
          <w:p w14:paraId="45C9BA87" w14:textId="77777777" w:rsidR="005E59D6" w:rsidRPr="009319B1" w:rsidRDefault="005E59D6" w:rsidP="005E59D6">
            <w:pPr>
              <w:spacing w:line="240" w:lineRule="auto"/>
              <w:jc w:val="center"/>
              <w:rPr>
                <w:rFonts w:ascii="Times New Roman" w:hAnsi="Times New Roman" w:cs="Arial"/>
                <w:sz w:val="24"/>
                <w:szCs w:val="24"/>
              </w:rPr>
            </w:pPr>
          </w:p>
        </w:tc>
        <w:tc>
          <w:tcPr>
            <w:tcW w:w="1075" w:type="dxa"/>
            <w:tcBorders>
              <w:bottom w:val="single" w:sz="4" w:space="0" w:color="auto"/>
            </w:tcBorders>
            <w:shd w:val="clear" w:color="auto" w:fill="auto"/>
            <w:vAlign w:val="center"/>
          </w:tcPr>
          <w:p w14:paraId="6705B75D" w14:textId="77777777" w:rsidR="005E59D6" w:rsidRPr="009319B1" w:rsidRDefault="005E59D6" w:rsidP="005E59D6">
            <w:pPr>
              <w:spacing w:line="240" w:lineRule="auto"/>
              <w:jc w:val="center"/>
              <w:rPr>
                <w:rFonts w:ascii="Times New Roman" w:hAnsi="Times New Roman" w:cs="Arial"/>
                <w:sz w:val="24"/>
                <w:szCs w:val="24"/>
              </w:rPr>
            </w:pPr>
          </w:p>
        </w:tc>
      </w:tr>
      <w:tr w:rsidR="005E59D6" w:rsidRPr="009319B1" w14:paraId="3D572382" w14:textId="77777777" w:rsidTr="002B7B95">
        <w:trPr>
          <w:trHeight w:val="327"/>
        </w:trPr>
        <w:tc>
          <w:tcPr>
            <w:tcW w:w="1810" w:type="dxa"/>
            <w:tcBorders>
              <w:top w:val="single" w:sz="4" w:space="0" w:color="auto"/>
              <w:bottom w:val="nil"/>
            </w:tcBorders>
            <w:shd w:val="clear" w:color="auto" w:fill="auto"/>
            <w:noWrap/>
          </w:tcPr>
          <w:p w14:paraId="169A6E45" w14:textId="77777777" w:rsidR="005E59D6" w:rsidRPr="009319B1" w:rsidRDefault="005E59D6" w:rsidP="005E59D6">
            <w:pPr>
              <w:spacing w:line="240" w:lineRule="auto"/>
              <w:jc w:val="center"/>
              <w:rPr>
                <w:rFonts w:ascii="Times New Roman" w:hAnsi="Times New Roman" w:cs="Arial"/>
                <w:sz w:val="24"/>
                <w:szCs w:val="24"/>
              </w:rPr>
            </w:pPr>
            <w:r w:rsidRPr="009319B1">
              <w:rPr>
                <w:rFonts w:ascii="Times New Roman" w:hAnsi="Times New Roman" w:cs="Arial"/>
                <w:sz w:val="24"/>
                <w:szCs w:val="24"/>
              </w:rPr>
              <w:t>Good outcome</w:t>
            </w:r>
          </w:p>
        </w:tc>
        <w:tc>
          <w:tcPr>
            <w:tcW w:w="860" w:type="dxa"/>
            <w:tcBorders>
              <w:top w:val="single" w:sz="4" w:space="0" w:color="auto"/>
              <w:bottom w:val="nil"/>
            </w:tcBorders>
            <w:shd w:val="clear" w:color="auto" w:fill="auto"/>
            <w:noWrap/>
          </w:tcPr>
          <w:p w14:paraId="3D84FAA0" w14:textId="77777777" w:rsidR="005E59D6" w:rsidRPr="002C6A35" w:rsidRDefault="005E59D6" w:rsidP="005E59D6">
            <w:pPr>
              <w:spacing w:line="240" w:lineRule="auto"/>
              <w:jc w:val="center"/>
              <w:rPr>
                <w:rFonts w:ascii="Times New Roman" w:hAnsi="Times New Roman"/>
                <w:sz w:val="24"/>
                <w:szCs w:val="24"/>
              </w:rPr>
            </w:pPr>
            <w:r w:rsidRPr="002C6A35">
              <w:rPr>
                <w:rFonts w:ascii="Times New Roman" w:hAnsi="Times New Roman"/>
                <w:sz w:val="24"/>
                <w:szCs w:val="24"/>
              </w:rPr>
              <w:t>39</w:t>
            </w:r>
          </w:p>
        </w:tc>
        <w:tc>
          <w:tcPr>
            <w:tcW w:w="861" w:type="dxa"/>
            <w:tcBorders>
              <w:top w:val="single" w:sz="4" w:space="0" w:color="auto"/>
              <w:bottom w:val="nil"/>
            </w:tcBorders>
            <w:shd w:val="clear" w:color="auto" w:fill="auto"/>
          </w:tcPr>
          <w:p w14:paraId="318F9063" w14:textId="77777777" w:rsidR="005E59D6" w:rsidRPr="002C6A35" w:rsidRDefault="005E59D6" w:rsidP="005E59D6">
            <w:pPr>
              <w:spacing w:line="240" w:lineRule="auto"/>
              <w:jc w:val="center"/>
              <w:rPr>
                <w:rFonts w:ascii="Times New Roman" w:hAnsi="Times New Roman"/>
                <w:sz w:val="24"/>
                <w:szCs w:val="24"/>
              </w:rPr>
            </w:pPr>
            <w:r w:rsidRPr="002C6A35">
              <w:rPr>
                <w:rFonts w:ascii="Times New Roman" w:hAnsi="Times New Roman"/>
                <w:sz w:val="24"/>
                <w:szCs w:val="24"/>
              </w:rPr>
              <w:t>83.0</w:t>
            </w:r>
          </w:p>
        </w:tc>
        <w:tc>
          <w:tcPr>
            <w:tcW w:w="861" w:type="dxa"/>
            <w:tcBorders>
              <w:top w:val="single" w:sz="4" w:space="0" w:color="auto"/>
              <w:bottom w:val="nil"/>
            </w:tcBorders>
            <w:shd w:val="clear" w:color="auto" w:fill="auto"/>
            <w:noWrap/>
          </w:tcPr>
          <w:p w14:paraId="6BA2EBA5" w14:textId="77777777" w:rsidR="005E59D6" w:rsidRPr="002C6A35" w:rsidRDefault="005E59D6" w:rsidP="005E59D6">
            <w:pPr>
              <w:spacing w:line="240" w:lineRule="auto"/>
              <w:jc w:val="center"/>
              <w:rPr>
                <w:rFonts w:ascii="Times New Roman" w:hAnsi="Times New Roman"/>
                <w:sz w:val="24"/>
                <w:szCs w:val="24"/>
              </w:rPr>
            </w:pPr>
            <w:r w:rsidRPr="002C6A35">
              <w:rPr>
                <w:rFonts w:ascii="Times New Roman" w:hAnsi="Times New Roman"/>
                <w:sz w:val="24"/>
                <w:szCs w:val="24"/>
              </w:rPr>
              <w:t>27</w:t>
            </w:r>
          </w:p>
        </w:tc>
        <w:tc>
          <w:tcPr>
            <w:tcW w:w="861" w:type="dxa"/>
            <w:tcBorders>
              <w:top w:val="single" w:sz="4" w:space="0" w:color="auto"/>
              <w:bottom w:val="nil"/>
            </w:tcBorders>
            <w:shd w:val="clear" w:color="auto" w:fill="auto"/>
          </w:tcPr>
          <w:p w14:paraId="6437164B" w14:textId="77777777" w:rsidR="005E59D6" w:rsidRPr="002C6A35" w:rsidRDefault="005E59D6" w:rsidP="005E59D6">
            <w:pPr>
              <w:spacing w:line="240" w:lineRule="auto"/>
              <w:jc w:val="center"/>
              <w:rPr>
                <w:rFonts w:ascii="Times New Roman" w:hAnsi="Times New Roman"/>
                <w:sz w:val="24"/>
                <w:szCs w:val="24"/>
              </w:rPr>
            </w:pPr>
            <w:r w:rsidRPr="002C6A35">
              <w:rPr>
                <w:rFonts w:ascii="Times New Roman" w:hAnsi="Times New Roman"/>
                <w:sz w:val="24"/>
                <w:szCs w:val="24"/>
              </w:rPr>
              <w:t>57.4</w:t>
            </w:r>
          </w:p>
        </w:tc>
        <w:tc>
          <w:tcPr>
            <w:tcW w:w="2165" w:type="dxa"/>
            <w:vMerge w:val="restart"/>
            <w:tcBorders>
              <w:top w:val="single" w:sz="4" w:space="0" w:color="auto"/>
            </w:tcBorders>
            <w:shd w:val="clear" w:color="auto" w:fill="auto"/>
            <w:vAlign w:val="center"/>
          </w:tcPr>
          <w:p w14:paraId="305F371B" w14:textId="77777777" w:rsidR="005E59D6" w:rsidRPr="009319B1" w:rsidRDefault="005E59D6" w:rsidP="005E59D6">
            <w:pPr>
              <w:spacing w:line="240" w:lineRule="auto"/>
              <w:jc w:val="center"/>
              <w:rPr>
                <w:rFonts w:ascii="Times New Roman" w:hAnsi="Times New Roman" w:cs="Arial"/>
                <w:sz w:val="24"/>
                <w:szCs w:val="24"/>
              </w:rPr>
            </w:pPr>
            <w:r>
              <w:rPr>
                <w:rFonts w:ascii="Times New Roman" w:hAnsi="Times New Roman" w:cs="Arial"/>
                <w:sz w:val="24"/>
                <w:szCs w:val="24"/>
              </w:rPr>
              <w:t>3</w:t>
            </w:r>
            <w:r w:rsidRPr="009319B1">
              <w:rPr>
                <w:rFonts w:ascii="Times New Roman" w:hAnsi="Times New Roman" w:cs="Arial"/>
                <w:sz w:val="24"/>
                <w:szCs w:val="24"/>
              </w:rPr>
              <w:t>.</w:t>
            </w:r>
            <w:r>
              <w:rPr>
                <w:rFonts w:ascii="Times New Roman" w:hAnsi="Times New Roman" w:cs="Arial"/>
                <w:sz w:val="24"/>
                <w:szCs w:val="24"/>
              </w:rPr>
              <w:t>79</w:t>
            </w:r>
            <w:r w:rsidRPr="009319B1">
              <w:rPr>
                <w:rFonts w:ascii="Times New Roman" w:hAnsi="Times New Roman" w:cs="Arial"/>
                <w:sz w:val="24"/>
                <w:szCs w:val="24"/>
              </w:rPr>
              <w:t>(</w:t>
            </w:r>
            <w:r>
              <w:rPr>
                <w:rFonts w:ascii="Times New Roman" w:hAnsi="Times New Roman" w:cs="Arial"/>
                <w:sz w:val="24"/>
                <w:szCs w:val="24"/>
              </w:rPr>
              <w:t>1</w:t>
            </w:r>
            <w:r w:rsidRPr="009319B1">
              <w:rPr>
                <w:rFonts w:ascii="Times New Roman" w:hAnsi="Times New Roman" w:cs="Arial"/>
                <w:sz w:val="24"/>
                <w:szCs w:val="24"/>
              </w:rPr>
              <w:t>.</w:t>
            </w:r>
            <w:r>
              <w:rPr>
                <w:rFonts w:ascii="Times New Roman" w:hAnsi="Times New Roman" w:cs="Arial"/>
                <w:sz w:val="24"/>
                <w:szCs w:val="24"/>
              </w:rPr>
              <w:t>34</w:t>
            </w:r>
            <w:r w:rsidRPr="009319B1">
              <w:rPr>
                <w:rFonts w:ascii="Times New Roman" w:hAnsi="Times New Roman" w:cs="Arial"/>
                <w:sz w:val="24"/>
                <w:szCs w:val="24"/>
              </w:rPr>
              <w:t>-</w:t>
            </w:r>
            <w:r>
              <w:rPr>
                <w:rFonts w:ascii="Times New Roman" w:hAnsi="Times New Roman" w:cs="Arial"/>
                <w:sz w:val="24"/>
                <w:szCs w:val="24"/>
              </w:rPr>
              <w:t>1</w:t>
            </w:r>
            <w:r w:rsidRPr="009319B1">
              <w:rPr>
                <w:rFonts w:ascii="Times New Roman" w:hAnsi="Times New Roman" w:cs="Arial"/>
                <w:sz w:val="24"/>
                <w:szCs w:val="24"/>
              </w:rPr>
              <w:t>1.</w:t>
            </w:r>
            <w:r>
              <w:rPr>
                <w:rFonts w:ascii="Times New Roman" w:hAnsi="Times New Roman" w:cs="Arial"/>
                <w:sz w:val="24"/>
                <w:szCs w:val="24"/>
              </w:rPr>
              <w:t>00</w:t>
            </w:r>
            <w:r w:rsidRPr="009319B1">
              <w:rPr>
                <w:rFonts w:ascii="Times New Roman" w:hAnsi="Times New Roman" w:cs="Arial"/>
                <w:sz w:val="24"/>
                <w:szCs w:val="24"/>
              </w:rPr>
              <w:t>)</w:t>
            </w:r>
          </w:p>
        </w:tc>
        <w:tc>
          <w:tcPr>
            <w:tcW w:w="1075" w:type="dxa"/>
            <w:vMerge w:val="restart"/>
            <w:tcBorders>
              <w:top w:val="single" w:sz="4" w:space="0" w:color="auto"/>
            </w:tcBorders>
            <w:shd w:val="clear" w:color="auto" w:fill="auto"/>
            <w:vAlign w:val="center"/>
          </w:tcPr>
          <w:p w14:paraId="4FD1C3F3" w14:textId="77777777" w:rsidR="005E59D6" w:rsidRPr="009319B1" w:rsidRDefault="005E59D6" w:rsidP="005E59D6">
            <w:pPr>
              <w:spacing w:line="240" w:lineRule="auto"/>
              <w:jc w:val="center"/>
              <w:rPr>
                <w:rFonts w:ascii="Times New Roman" w:hAnsi="Times New Roman" w:cs="Arial"/>
                <w:sz w:val="24"/>
                <w:szCs w:val="24"/>
              </w:rPr>
            </w:pPr>
            <w:r w:rsidRPr="009319B1">
              <w:rPr>
                <w:rFonts w:ascii="Times New Roman" w:hAnsi="Times New Roman" w:cs="Arial"/>
                <w:sz w:val="24"/>
                <w:szCs w:val="24"/>
              </w:rPr>
              <w:t>0.00</w:t>
            </w:r>
            <w:r>
              <w:rPr>
                <w:rFonts w:ascii="Times New Roman" w:hAnsi="Times New Roman" w:cs="Arial"/>
                <w:sz w:val="24"/>
                <w:szCs w:val="24"/>
              </w:rPr>
              <w:t>5</w:t>
            </w:r>
          </w:p>
        </w:tc>
      </w:tr>
      <w:tr w:rsidR="005E59D6" w:rsidRPr="009319B1" w14:paraId="38C6ABA6" w14:textId="77777777" w:rsidTr="002B7B95">
        <w:trPr>
          <w:trHeight w:val="312"/>
        </w:trPr>
        <w:tc>
          <w:tcPr>
            <w:tcW w:w="1810" w:type="dxa"/>
            <w:tcBorders>
              <w:top w:val="nil"/>
              <w:bottom w:val="single" w:sz="4" w:space="0" w:color="auto"/>
            </w:tcBorders>
            <w:shd w:val="clear" w:color="auto" w:fill="auto"/>
            <w:noWrap/>
          </w:tcPr>
          <w:p w14:paraId="52FA1116" w14:textId="77777777" w:rsidR="005E59D6" w:rsidRPr="009319B1" w:rsidRDefault="005E59D6" w:rsidP="005E59D6">
            <w:pPr>
              <w:spacing w:line="360" w:lineRule="auto"/>
              <w:jc w:val="center"/>
              <w:rPr>
                <w:rFonts w:ascii="Times New Roman" w:hAnsi="Times New Roman" w:cs="Arial"/>
                <w:sz w:val="24"/>
                <w:szCs w:val="24"/>
              </w:rPr>
            </w:pPr>
            <w:r w:rsidRPr="009319B1">
              <w:rPr>
                <w:rFonts w:ascii="Times New Roman" w:hAnsi="Times New Roman" w:cs="Arial"/>
                <w:sz w:val="24"/>
                <w:szCs w:val="24"/>
              </w:rPr>
              <w:t>Poor outcome</w:t>
            </w:r>
          </w:p>
        </w:tc>
        <w:tc>
          <w:tcPr>
            <w:tcW w:w="860" w:type="dxa"/>
            <w:tcBorders>
              <w:top w:val="nil"/>
              <w:bottom w:val="single" w:sz="4" w:space="0" w:color="auto"/>
            </w:tcBorders>
            <w:shd w:val="clear" w:color="auto" w:fill="auto"/>
            <w:noWrap/>
          </w:tcPr>
          <w:p w14:paraId="5E6E512E" w14:textId="77777777" w:rsidR="005E59D6" w:rsidRPr="002C6A35" w:rsidRDefault="005E59D6" w:rsidP="005E59D6">
            <w:pPr>
              <w:spacing w:line="360" w:lineRule="auto"/>
              <w:jc w:val="center"/>
              <w:rPr>
                <w:rFonts w:ascii="Times New Roman" w:hAnsi="Times New Roman"/>
                <w:sz w:val="24"/>
                <w:szCs w:val="24"/>
              </w:rPr>
            </w:pPr>
            <w:r w:rsidRPr="002C6A35">
              <w:rPr>
                <w:rFonts w:ascii="Times New Roman" w:hAnsi="Times New Roman"/>
                <w:sz w:val="24"/>
                <w:szCs w:val="24"/>
              </w:rPr>
              <w:t>8</w:t>
            </w:r>
          </w:p>
        </w:tc>
        <w:tc>
          <w:tcPr>
            <w:tcW w:w="861" w:type="dxa"/>
            <w:tcBorders>
              <w:top w:val="nil"/>
              <w:bottom w:val="single" w:sz="4" w:space="0" w:color="auto"/>
            </w:tcBorders>
            <w:shd w:val="clear" w:color="auto" w:fill="auto"/>
          </w:tcPr>
          <w:p w14:paraId="492D49E5" w14:textId="77777777" w:rsidR="005E59D6" w:rsidRPr="002C6A35" w:rsidRDefault="005E59D6" w:rsidP="005E59D6">
            <w:pPr>
              <w:spacing w:line="360" w:lineRule="auto"/>
              <w:jc w:val="center"/>
              <w:rPr>
                <w:rFonts w:ascii="Times New Roman" w:hAnsi="Times New Roman"/>
                <w:sz w:val="24"/>
                <w:szCs w:val="24"/>
              </w:rPr>
            </w:pPr>
            <w:r w:rsidRPr="002C6A35">
              <w:rPr>
                <w:rFonts w:ascii="Times New Roman" w:hAnsi="Times New Roman"/>
                <w:sz w:val="24"/>
                <w:szCs w:val="24"/>
              </w:rPr>
              <w:t>17.0</w:t>
            </w:r>
          </w:p>
        </w:tc>
        <w:tc>
          <w:tcPr>
            <w:tcW w:w="861" w:type="dxa"/>
            <w:tcBorders>
              <w:top w:val="nil"/>
              <w:bottom w:val="single" w:sz="4" w:space="0" w:color="auto"/>
            </w:tcBorders>
            <w:shd w:val="clear" w:color="auto" w:fill="auto"/>
            <w:noWrap/>
          </w:tcPr>
          <w:p w14:paraId="6978BD84" w14:textId="77777777" w:rsidR="005E59D6" w:rsidRPr="002C6A35" w:rsidRDefault="005E59D6" w:rsidP="005E59D6">
            <w:pPr>
              <w:spacing w:line="360" w:lineRule="auto"/>
              <w:jc w:val="center"/>
              <w:rPr>
                <w:rFonts w:ascii="Times New Roman" w:hAnsi="Times New Roman"/>
                <w:sz w:val="24"/>
                <w:szCs w:val="24"/>
              </w:rPr>
            </w:pPr>
            <w:r w:rsidRPr="002C6A35">
              <w:rPr>
                <w:rFonts w:ascii="Times New Roman" w:hAnsi="Times New Roman"/>
                <w:sz w:val="24"/>
                <w:szCs w:val="24"/>
              </w:rPr>
              <w:t>21</w:t>
            </w:r>
          </w:p>
        </w:tc>
        <w:tc>
          <w:tcPr>
            <w:tcW w:w="861" w:type="dxa"/>
            <w:tcBorders>
              <w:top w:val="nil"/>
              <w:bottom w:val="single" w:sz="4" w:space="0" w:color="auto"/>
            </w:tcBorders>
            <w:shd w:val="clear" w:color="auto" w:fill="auto"/>
          </w:tcPr>
          <w:p w14:paraId="580B5D4C" w14:textId="77777777" w:rsidR="005E59D6" w:rsidRPr="002C6A35" w:rsidRDefault="005E59D6" w:rsidP="005E59D6">
            <w:pPr>
              <w:spacing w:line="360" w:lineRule="auto"/>
              <w:jc w:val="center"/>
              <w:rPr>
                <w:rFonts w:ascii="Times New Roman" w:hAnsi="Times New Roman"/>
                <w:sz w:val="24"/>
                <w:szCs w:val="24"/>
              </w:rPr>
            </w:pPr>
            <w:r w:rsidRPr="002C6A35">
              <w:rPr>
                <w:rFonts w:ascii="Times New Roman" w:hAnsi="Times New Roman"/>
                <w:sz w:val="24"/>
                <w:szCs w:val="24"/>
              </w:rPr>
              <w:t>44.7</w:t>
            </w:r>
          </w:p>
        </w:tc>
        <w:tc>
          <w:tcPr>
            <w:tcW w:w="2165" w:type="dxa"/>
            <w:vMerge/>
            <w:tcBorders>
              <w:bottom w:val="single" w:sz="4" w:space="0" w:color="auto"/>
            </w:tcBorders>
            <w:shd w:val="clear" w:color="auto" w:fill="auto"/>
            <w:vAlign w:val="center"/>
          </w:tcPr>
          <w:p w14:paraId="47071F79" w14:textId="77777777" w:rsidR="005E59D6" w:rsidRPr="009319B1" w:rsidRDefault="005E59D6" w:rsidP="005E59D6">
            <w:pPr>
              <w:spacing w:line="360" w:lineRule="auto"/>
              <w:jc w:val="center"/>
              <w:rPr>
                <w:rFonts w:ascii="Times New Roman" w:hAnsi="Times New Roman" w:cs="Arial"/>
                <w:sz w:val="24"/>
                <w:szCs w:val="24"/>
              </w:rPr>
            </w:pPr>
          </w:p>
        </w:tc>
        <w:tc>
          <w:tcPr>
            <w:tcW w:w="1075" w:type="dxa"/>
            <w:vMerge/>
            <w:tcBorders>
              <w:bottom w:val="single" w:sz="4" w:space="0" w:color="auto"/>
            </w:tcBorders>
            <w:shd w:val="clear" w:color="auto" w:fill="auto"/>
            <w:vAlign w:val="center"/>
          </w:tcPr>
          <w:p w14:paraId="774F5040" w14:textId="77777777" w:rsidR="005E59D6" w:rsidRPr="009319B1" w:rsidRDefault="005E59D6" w:rsidP="005E59D6">
            <w:pPr>
              <w:spacing w:line="360" w:lineRule="auto"/>
              <w:jc w:val="center"/>
              <w:rPr>
                <w:rFonts w:ascii="Times New Roman" w:hAnsi="Times New Roman" w:cs="Arial"/>
                <w:sz w:val="24"/>
                <w:szCs w:val="24"/>
              </w:rPr>
            </w:pPr>
          </w:p>
        </w:tc>
      </w:tr>
    </w:tbl>
    <w:p w14:paraId="38B3D7A5" w14:textId="77777777" w:rsidR="005E59D6" w:rsidRDefault="005E59D6" w:rsidP="005E59D6">
      <w:pPr>
        <w:spacing w:line="360" w:lineRule="auto"/>
        <w:jc w:val="center"/>
        <w:rPr>
          <w:rFonts w:ascii="Times New Roman" w:hAnsi="Times New Roman" w:cs="Times New Roman"/>
          <w:b/>
          <w:sz w:val="24"/>
          <w:szCs w:val="24"/>
        </w:rPr>
      </w:pPr>
      <w:r w:rsidRPr="002A5D19">
        <w:rPr>
          <w:rFonts w:ascii="Times New Roman" w:hAnsi="Times New Roman" w:cs="Times New Roman"/>
          <w:b/>
          <w:sz w:val="24"/>
          <w:szCs w:val="24"/>
        </w:rPr>
        <w:t>Table-5 showing association between Modified Rankin Scale (MRS) and Serum cardiac troponin I of the study patients at the end of 3 months</w:t>
      </w:r>
    </w:p>
    <w:p w14:paraId="6664B4B3" w14:textId="77777777" w:rsidR="005E59D6" w:rsidRPr="002A5D19" w:rsidRDefault="005E59D6" w:rsidP="005E59D6">
      <w:pPr>
        <w:spacing w:line="360" w:lineRule="auto"/>
        <w:jc w:val="both"/>
        <w:rPr>
          <w:rFonts w:ascii="Times New Roman" w:hAnsi="Times New Roman" w:cs="Times New Roman"/>
          <w:b/>
          <w:sz w:val="24"/>
          <w:szCs w:val="24"/>
        </w:rPr>
      </w:pPr>
      <w:r w:rsidRPr="006D3A5D">
        <w:rPr>
          <w:rFonts w:ascii="Times New Roman" w:hAnsi="Times New Roman" w:cs="Times New Roman"/>
          <w:sz w:val="24"/>
          <w:szCs w:val="24"/>
        </w:rPr>
        <w:t>Receiver-operator characteristic (ROC) was constructed using Serum cardiac troponin I had area under the curve 0.883, showed with a cut off value of &gt;0.3 having 85.7% sensitivity and 72.0%</w:t>
      </w:r>
      <w:r>
        <w:rPr>
          <w:rFonts w:ascii="Times New Roman" w:hAnsi="Times New Roman" w:cs="Times New Roman"/>
          <w:sz w:val="24"/>
          <w:szCs w:val="24"/>
        </w:rPr>
        <w:t xml:space="preserve"> </w:t>
      </w:r>
      <w:r w:rsidRPr="006D3A5D">
        <w:rPr>
          <w:rFonts w:ascii="Times New Roman" w:hAnsi="Times New Roman" w:cs="Times New Roman"/>
          <w:sz w:val="24"/>
          <w:szCs w:val="24"/>
        </w:rPr>
        <w:t xml:space="preserve">specificity for prediction of death in patients with Subarachnoid </w:t>
      </w:r>
      <w:proofErr w:type="spellStart"/>
      <w:r w:rsidRPr="006D3A5D">
        <w:rPr>
          <w:rFonts w:ascii="Times New Roman" w:hAnsi="Times New Roman" w:cs="Times New Roman"/>
          <w:sz w:val="24"/>
          <w:szCs w:val="24"/>
        </w:rPr>
        <w:t>Haemorrhage</w:t>
      </w:r>
      <w:proofErr w:type="spellEnd"/>
      <w:r>
        <w:rPr>
          <w:rFonts w:ascii="Times New Roman" w:hAnsi="Times New Roman" w:cs="Times New Roman"/>
          <w:sz w:val="24"/>
          <w:szCs w:val="24"/>
        </w:rPr>
        <w:t xml:space="preserve"> (Fig-1)</w:t>
      </w:r>
      <w:r w:rsidRPr="006D3A5D">
        <w:rPr>
          <w:rFonts w:ascii="Times New Roman" w:hAnsi="Times New Roman" w:cs="Times New Roman"/>
          <w:sz w:val="24"/>
          <w:szCs w:val="24"/>
        </w:rPr>
        <w:t>.</w:t>
      </w:r>
    </w:p>
    <w:p w14:paraId="4075161D" w14:textId="77777777" w:rsidR="005E59D6" w:rsidRDefault="005E59D6" w:rsidP="005E59D6">
      <w:pPr>
        <w:spacing w:line="360" w:lineRule="auto"/>
        <w:jc w:val="both"/>
        <w:rPr>
          <w:rFonts w:ascii="Times New Roman" w:hAnsi="Times New Roman" w:cs="Times New Roman"/>
          <w:b/>
          <w:sz w:val="24"/>
          <w:szCs w:val="24"/>
        </w:rPr>
      </w:pPr>
      <w:r w:rsidRPr="00C11027">
        <w:rPr>
          <w:rFonts w:ascii="Times New Roman" w:hAnsi="Times New Roman" w:cs="Times New Roman"/>
          <w:b/>
          <w:noProof/>
          <w:sz w:val="24"/>
          <w:szCs w:val="24"/>
        </w:rPr>
        <w:lastRenderedPageBreak/>
        <w:drawing>
          <wp:anchor distT="0" distB="0" distL="114300" distR="114300" simplePos="0" relativeHeight="251659264" behindDoc="0" locked="0" layoutInCell="1" allowOverlap="1" wp14:anchorId="3A8A2580" wp14:editId="60CD851A">
            <wp:simplePos x="0" y="0"/>
            <wp:positionH relativeFrom="column">
              <wp:posOffset>23302</wp:posOffset>
            </wp:positionH>
            <wp:positionV relativeFrom="paragraph">
              <wp:posOffset>497</wp:posOffset>
            </wp:positionV>
            <wp:extent cx="5495290" cy="4399915"/>
            <wp:effectExtent l="0" t="0" r="0" b="63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95290" cy="4399915"/>
                    </a:xfrm>
                    <a:prstGeom prst="rect">
                      <a:avLst/>
                    </a:prstGeom>
                    <a:noFill/>
                  </pic:spPr>
                </pic:pic>
              </a:graphicData>
            </a:graphic>
          </wp:anchor>
        </w:drawing>
      </w:r>
      <w:r w:rsidRPr="00C11027">
        <w:rPr>
          <w:rFonts w:ascii="Times New Roman" w:hAnsi="Times New Roman" w:cs="Times New Roman"/>
          <w:b/>
          <w:sz w:val="24"/>
          <w:szCs w:val="24"/>
        </w:rPr>
        <w:t xml:space="preserve">Fig-1: Receiver- operating characteristic (ROC) curve of serum cardiac troponin I for prediction of short term outcome in patients with Subarachnoid </w:t>
      </w:r>
      <w:proofErr w:type="spellStart"/>
      <w:r w:rsidRPr="00C11027">
        <w:rPr>
          <w:rFonts w:ascii="Times New Roman" w:hAnsi="Times New Roman" w:cs="Times New Roman"/>
          <w:b/>
          <w:sz w:val="24"/>
          <w:szCs w:val="24"/>
        </w:rPr>
        <w:t>Haemorrhage</w:t>
      </w:r>
      <w:proofErr w:type="spellEnd"/>
    </w:p>
    <w:p w14:paraId="4DA0FAA4" w14:textId="77777777" w:rsidR="005E59D6" w:rsidRDefault="005E59D6" w:rsidP="005E59D6">
      <w:pPr>
        <w:spacing w:line="360" w:lineRule="auto"/>
        <w:jc w:val="both"/>
        <w:rPr>
          <w:rFonts w:ascii="Times New Roman" w:hAnsi="Times New Roman" w:cs="Times New Roman"/>
          <w:sz w:val="24"/>
          <w:szCs w:val="24"/>
        </w:rPr>
      </w:pPr>
      <w:r w:rsidRPr="0058399A">
        <w:rPr>
          <w:rFonts w:ascii="Times New Roman" w:hAnsi="Times New Roman" w:cs="Times New Roman"/>
          <w:sz w:val="24"/>
          <w:szCs w:val="24"/>
        </w:rPr>
        <w:t>Multivariate logic regression analysis showed serum cardiac troponin I</w:t>
      </w:r>
      <w:r>
        <w:rPr>
          <w:rFonts w:ascii="Times New Roman" w:hAnsi="Times New Roman" w:cs="Times New Roman"/>
          <w:sz w:val="24"/>
          <w:szCs w:val="24"/>
        </w:rPr>
        <w:t xml:space="preserve"> &gt; </w:t>
      </w:r>
      <w:r w:rsidRPr="00E62F1B">
        <w:rPr>
          <w:rFonts w:ascii="Times New Roman" w:hAnsi="Times New Roman" w:cs="Times New Roman"/>
          <w:sz w:val="24"/>
          <w:szCs w:val="24"/>
        </w:rPr>
        <w:t>0.3 ng/ml</w:t>
      </w:r>
      <w:r w:rsidRPr="0058399A">
        <w:rPr>
          <w:rFonts w:ascii="Times New Roman" w:hAnsi="Times New Roman" w:cs="Times New Roman"/>
          <w:sz w:val="24"/>
          <w:szCs w:val="24"/>
        </w:rPr>
        <w:t xml:space="preserve">, </w:t>
      </w:r>
      <w:r>
        <w:rPr>
          <w:rFonts w:ascii="Times New Roman" w:hAnsi="Times New Roman" w:cs="Times New Roman"/>
          <w:sz w:val="24"/>
          <w:szCs w:val="24"/>
        </w:rPr>
        <w:t xml:space="preserve">was significantly (p&lt;0.05) associated with poor outcome (OR-2.29, 95% </w:t>
      </w:r>
      <w:proofErr w:type="gramStart"/>
      <w:r>
        <w:rPr>
          <w:rFonts w:ascii="Times New Roman" w:hAnsi="Times New Roman" w:cs="Times New Roman"/>
          <w:sz w:val="24"/>
          <w:szCs w:val="24"/>
        </w:rPr>
        <w:t>CI :</w:t>
      </w:r>
      <w:r w:rsidRPr="0058399A">
        <w:rPr>
          <w:rFonts w:ascii="Times New Roman" w:hAnsi="Times New Roman" w:cs="Times New Roman"/>
          <w:sz w:val="24"/>
          <w:szCs w:val="24"/>
        </w:rPr>
        <w:t>1.73</w:t>
      </w:r>
      <w:proofErr w:type="gramEnd"/>
      <w:r w:rsidRPr="0058399A">
        <w:rPr>
          <w:rFonts w:ascii="Times New Roman" w:hAnsi="Times New Roman" w:cs="Times New Roman"/>
          <w:sz w:val="24"/>
          <w:szCs w:val="24"/>
        </w:rPr>
        <w:t xml:space="preserve">-23.27) in patients having Subarachnoid </w:t>
      </w:r>
      <w:proofErr w:type="spellStart"/>
      <w:r w:rsidRPr="0058399A">
        <w:rPr>
          <w:rFonts w:ascii="Times New Roman" w:hAnsi="Times New Roman" w:cs="Times New Roman"/>
          <w:sz w:val="24"/>
          <w:szCs w:val="24"/>
        </w:rPr>
        <w:t>Haemorrhage</w:t>
      </w:r>
      <w:proofErr w:type="spellEnd"/>
      <w:r>
        <w:rPr>
          <w:rFonts w:ascii="Times New Roman" w:hAnsi="Times New Roman" w:cs="Times New Roman"/>
          <w:sz w:val="24"/>
          <w:szCs w:val="24"/>
        </w:rPr>
        <w:t xml:space="preserve"> (Table-6)</w:t>
      </w:r>
      <w:r w:rsidRPr="0058399A">
        <w:rPr>
          <w:rFonts w:ascii="Times New Roman" w:hAnsi="Times New Roman" w:cs="Times New Roman"/>
          <w:sz w:val="24"/>
          <w:szCs w:val="24"/>
        </w:rPr>
        <w:t>. Other parameters were not significantly associated with short term outcome</w:t>
      </w:r>
      <w:r>
        <w:rPr>
          <w:rFonts w:ascii="Times New Roman" w:hAnsi="Times New Roman" w:cs="Times New Roman"/>
          <w:sz w:val="24"/>
          <w:szCs w:val="24"/>
        </w:rPr>
        <w:t xml:space="preserve"> (p&gt;0.05)</w:t>
      </w:r>
      <w:r w:rsidRPr="0058399A">
        <w:rPr>
          <w:rFonts w:ascii="Times New Roman" w:hAnsi="Times New Roman" w:cs="Times New Roman"/>
          <w:sz w:val="24"/>
          <w:szCs w:val="24"/>
        </w:rPr>
        <w:t>.</w:t>
      </w:r>
    </w:p>
    <w:p w14:paraId="0C089FDC" w14:textId="77777777" w:rsidR="007035BA" w:rsidRDefault="007035BA" w:rsidP="005E59D6">
      <w:pPr>
        <w:spacing w:line="360" w:lineRule="auto"/>
        <w:jc w:val="both"/>
        <w:rPr>
          <w:rFonts w:ascii="Times New Roman" w:hAnsi="Times New Roman" w:cs="Times New Roman"/>
          <w:sz w:val="24"/>
          <w:szCs w:val="24"/>
        </w:rPr>
      </w:pPr>
    </w:p>
    <w:p w14:paraId="41E97990" w14:textId="77777777" w:rsidR="007035BA" w:rsidRDefault="007035BA" w:rsidP="005E59D6">
      <w:pPr>
        <w:spacing w:line="360" w:lineRule="auto"/>
        <w:jc w:val="both"/>
        <w:rPr>
          <w:rFonts w:ascii="Times New Roman" w:hAnsi="Times New Roman" w:cs="Times New Roman"/>
          <w:sz w:val="24"/>
          <w:szCs w:val="24"/>
        </w:rPr>
      </w:pPr>
    </w:p>
    <w:p w14:paraId="34E95D75" w14:textId="77777777" w:rsidR="007035BA" w:rsidRDefault="007035BA" w:rsidP="005E59D6">
      <w:pPr>
        <w:spacing w:line="360" w:lineRule="auto"/>
        <w:jc w:val="both"/>
        <w:rPr>
          <w:rFonts w:ascii="Times New Roman" w:hAnsi="Times New Roman" w:cs="Times New Roman"/>
          <w:sz w:val="24"/>
          <w:szCs w:val="24"/>
        </w:rPr>
      </w:pPr>
    </w:p>
    <w:p w14:paraId="77B32AAA" w14:textId="77777777" w:rsidR="007035BA" w:rsidRDefault="007035BA" w:rsidP="005E59D6">
      <w:pPr>
        <w:spacing w:line="360" w:lineRule="auto"/>
        <w:jc w:val="both"/>
        <w:rPr>
          <w:rFonts w:ascii="Times New Roman" w:hAnsi="Times New Roman" w:cs="Times New Roman"/>
          <w:sz w:val="24"/>
          <w:szCs w:val="24"/>
        </w:rPr>
      </w:pPr>
    </w:p>
    <w:p w14:paraId="2F78C1CE" w14:textId="77777777" w:rsidR="007035BA" w:rsidRDefault="007035BA" w:rsidP="005E59D6">
      <w:pPr>
        <w:spacing w:line="360" w:lineRule="auto"/>
        <w:jc w:val="both"/>
        <w:rPr>
          <w:rFonts w:ascii="Times New Roman" w:hAnsi="Times New Roman" w:cs="Times New Roman"/>
          <w:sz w:val="24"/>
          <w:szCs w:val="24"/>
        </w:rPr>
      </w:pPr>
      <w:bookmarkStart w:id="0" w:name="_GoBack"/>
      <w:bookmarkEnd w:id="0"/>
    </w:p>
    <w:tbl>
      <w:tblPr>
        <w:tblW w:w="8658"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72"/>
        <w:gridCol w:w="895"/>
        <w:gridCol w:w="772"/>
        <w:gridCol w:w="510"/>
        <w:gridCol w:w="1086"/>
        <w:gridCol w:w="772"/>
        <w:gridCol w:w="932"/>
        <w:gridCol w:w="919"/>
      </w:tblGrid>
      <w:tr w:rsidR="005E59D6" w:rsidRPr="009319B1" w14:paraId="4FA22141" w14:textId="77777777" w:rsidTr="002B7B95">
        <w:trPr>
          <w:trHeight w:val="360"/>
        </w:trPr>
        <w:tc>
          <w:tcPr>
            <w:tcW w:w="2772" w:type="dxa"/>
            <w:vMerge w:val="restart"/>
            <w:shd w:val="clear" w:color="auto" w:fill="auto"/>
          </w:tcPr>
          <w:p w14:paraId="33BC34A1" w14:textId="77777777" w:rsidR="005E59D6" w:rsidRPr="009319B1" w:rsidRDefault="005E59D6" w:rsidP="005E59D6">
            <w:pPr>
              <w:spacing w:line="240" w:lineRule="auto"/>
              <w:jc w:val="center"/>
              <w:rPr>
                <w:rFonts w:ascii="Times New Roman" w:hAnsi="Times New Roman"/>
                <w:b/>
                <w:bCs/>
                <w:sz w:val="24"/>
                <w:szCs w:val="24"/>
              </w:rPr>
            </w:pPr>
          </w:p>
        </w:tc>
        <w:tc>
          <w:tcPr>
            <w:tcW w:w="895" w:type="dxa"/>
            <w:vMerge w:val="restart"/>
            <w:shd w:val="clear" w:color="auto" w:fill="auto"/>
          </w:tcPr>
          <w:p w14:paraId="563BD02A" w14:textId="77777777" w:rsidR="005E59D6" w:rsidRPr="009319B1" w:rsidRDefault="005E59D6" w:rsidP="005E59D6">
            <w:pPr>
              <w:spacing w:line="240" w:lineRule="auto"/>
              <w:jc w:val="center"/>
              <w:rPr>
                <w:rFonts w:ascii="Times New Roman" w:hAnsi="Times New Roman"/>
                <w:b/>
                <w:bCs/>
                <w:sz w:val="24"/>
                <w:szCs w:val="24"/>
              </w:rPr>
            </w:pPr>
            <w:r w:rsidRPr="009319B1">
              <w:rPr>
                <w:rFonts w:ascii="Times New Roman" w:hAnsi="Times New Roman"/>
                <w:b/>
                <w:bCs/>
                <w:sz w:val="24"/>
                <w:szCs w:val="24"/>
              </w:rPr>
              <w:t>B</w:t>
            </w:r>
          </w:p>
        </w:tc>
        <w:tc>
          <w:tcPr>
            <w:tcW w:w="772" w:type="dxa"/>
            <w:vMerge w:val="restart"/>
            <w:shd w:val="clear" w:color="auto" w:fill="auto"/>
          </w:tcPr>
          <w:p w14:paraId="4FADC6A1" w14:textId="77777777" w:rsidR="005E59D6" w:rsidRPr="009319B1" w:rsidRDefault="005E59D6" w:rsidP="005E59D6">
            <w:pPr>
              <w:spacing w:line="240" w:lineRule="auto"/>
              <w:jc w:val="center"/>
              <w:rPr>
                <w:rFonts w:ascii="Times New Roman" w:hAnsi="Times New Roman"/>
                <w:b/>
                <w:bCs/>
                <w:sz w:val="24"/>
                <w:szCs w:val="24"/>
              </w:rPr>
            </w:pPr>
            <w:r w:rsidRPr="009319B1">
              <w:rPr>
                <w:rFonts w:ascii="Times New Roman" w:hAnsi="Times New Roman"/>
                <w:b/>
                <w:bCs/>
                <w:sz w:val="24"/>
                <w:szCs w:val="24"/>
              </w:rPr>
              <w:t>S.E.</w:t>
            </w:r>
          </w:p>
        </w:tc>
        <w:tc>
          <w:tcPr>
            <w:tcW w:w="510" w:type="dxa"/>
            <w:vMerge w:val="restart"/>
            <w:shd w:val="clear" w:color="auto" w:fill="auto"/>
          </w:tcPr>
          <w:p w14:paraId="58A9F37E" w14:textId="77777777" w:rsidR="005E59D6" w:rsidRPr="009319B1" w:rsidRDefault="005E59D6" w:rsidP="005E59D6">
            <w:pPr>
              <w:spacing w:line="240" w:lineRule="auto"/>
              <w:jc w:val="center"/>
              <w:rPr>
                <w:rFonts w:ascii="Times New Roman" w:hAnsi="Times New Roman"/>
                <w:b/>
                <w:bCs/>
                <w:sz w:val="24"/>
                <w:szCs w:val="24"/>
              </w:rPr>
            </w:pPr>
            <w:proofErr w:type="spellStart"/>
            <w:r w:rsidRPr="009319B1">
              <w:rPr>
                <w:rFonts w:ascii="Times New Roman" w:hAnsi="Times New Roman"/>
                <w:b/>
                <w:bCs/>
                <w:sz w:val="24"/>
                <w:szCs w:val="24"/>
              </w:rPr>
              <w:t>df</w:t>
            </w:r>
            <w:proofErr w:type="spellEnd"/>
          </w:p>
        </w:tc>
        <w:tc>
          <w:tcPr>
            <w:tcW w:w="1086" w:type="dxa"/>
            <w:vMerge w:val="restart"/>
            <w:shd w:val="clear" w:color="auto" w:fill="auto"/>
          </w:tcPr>
          <w:p w14:paraId="0AEEFCEC" w14:textId="77777777" w:rsidR="005E59D6" w:rsidRPr="009319B1" w:rsidRDefault="005E59D6" w:rsidP="005E59D6">
            <w:pPr>
              <w:spacing w:line="240" w:lineRule="auto"/>
              <w:jc w:val="center"/>
              <w:rPr>
                <w:rFonts w:ascii="Times New Roman" w:hAnsi="Times New Roman"/>
                <w:b/>
                <w:bCs/>
                <w:sz w:val="24"/>
                <w:szCs w:val="24"/>
              </w:rPr>
            </w:pPr>
            <w:r w:rsidRPr="009319B1">
              <w:rPr>
                <w:rFonts w:ascii="Times New Roman" w:hAnsi="Times New Roman"/>
                <w:b/>
                <w:bCs/>
                <w:i/>
                <w:iCs/>
                <w:sz w:val="24"/>
                <w:szCs w:val="24"/>
              </w:rPr>
              <w:t>p</w:t>
            </w:r>
            <w:r w:rsidRPr="009319B1">
              <w:rPr>
                <w:rFonts w:ascii="Times New Roman" w:hAnsi="Times New Roman"/>
                <w:b/>
                <w:bCs/>
                <w:sz w:val="24"/>
                <w:szCs w:val="24"/>
              </w:rPr>
              <w:t xml:space="preserve"> value</w:t>
            </w:r>
          </w:p>
        </w:tc>
        <w:tc>
          <w:tcPr>
            <w:tcW w:w="772" w:type="dxa"/>
            <w:vMerge w:val="restart"/>
            <w:shd w:val="clear" w:color="auto" w:fill="auto"/>
          </w:tcPr>
          <w:p w14:paraId="0D699C8A" w14:textId="77777777" w:rsidR="005E59D6" w:rsidRPr="009319B1" w:rsidRDefault="005E59D6" w:rsidP="005E59D6">
            <w:pPr>
              <w:tabs>
                <w:tab w:val="center" w:pos="508"/>
              </w:tabs>
              <w:spacing w:line="240" w:lineRule="auto"/>
              <w:jc w:val="center"/>
              <w:rPr>
                <w:rFonts w:ascii="Times New Roman" w:hAnsi="Times New Roman"/>
                <w:b/>
                <w:bCs/>
                <w:sz w:val="24"/>
                <w:szCs w:val="24"/>
              </w:rPr>
            </w:pPr>
            <w:r w:rsidRPr="009319B1">
              <w:rPr>
                <w:rFonts w:ascii="Times New Roman" w:hAnsi="Times New Roman"/>
                <w:b/>
                <w:bCs/>
                <w:sz w:val="24"/>
                <w:szCs w:val="24"/>
              </w:rPr>
              <w:t>OR</w:t>
            </w:r>
          </w:p>
        </w:tc>
        <w:tc>
          <w:tcPr>
            <w:tcW w:w="1851" w:type="dxa"/>
            <w:gridSpan w:val="2"/>
            <w:shd w:val="clear" w:color="auto" w:fill="auto"/>
          </w:tcPr>
          <w:p w14:paraId="27A71374" w14:textId="77777777" w:rsidR="005E59D6" w:rsidRPr="009319B1" w:rsidRDefault="005E59D6" w:rsidP="005E59D6">
            <w:pPr>
              <w:spacing w:line="240" w:lineRule="auto"/>
              <w:jc w:val="center"/>
              <w:rPr>
                <w:rFonts w:ascii="Times New Roman" w:hAnsi="Times New Roman"/>
                <w:b/>
                <w:bCs/>
                <w:sz w:val="24"/>
                <w:szCs w:val="24"/>
              </w:rPr>
            </w:pPr>
            <w:r w:rsidRPr="009319B1">
              <w:rPr>
                <w:rFonts w:ascii="Times New Roman" w:hAnsi="Times New Roman"/>
                <w:b/>
                <w:bCs/>
                <w:sz w:val="24"/>
                <w:szCs w:val="24"/>
              </w:rPr>
              <w:t>95% C.I.</w:t>
            </w:r>
          </w:p>
        </w:tc>
      </w:tr>
      <w:tr w:rsidR="005E59D6" w:rsidRPr="009319B1" w14:paraId="3C58124D" w14:textId="77777777" w:rsidTr="002B7B95">
        <w:trPr>
          <w:trHeight w:val="360"/>
        </w:trPr>
        <w:tc>
          <w:tcPr>
            <w:tcW w:w="2772" w:type="dxa"/>
            <w:vMerge/>
            <w:tcBorders>
              <w:bottom w:val="single" w:sz="4" w:space="0" w:color="auto"/>
            </w:tcBorders>
          </w:tcPr>
          <w:p w14:paraId="19E2ABD5" w14:textId="77777777" w:rsidR="005E59D6" w:rsidRPr="009319B1" w:rsidRDefault="005E59D6" w:rsidP="005E59D6">
            <w:pPr>
              <w:spacing w:line="240" w:lineRule="auto"/>
              <w:jc w:val="center"/>
              <w:rPr>
                <w:rFonts w:ascii="Times New Roman" w:hAnsi="Times New Roman"/>
                <w:b/>
                <w:bCs/>
                <w:sz w:val="24"/>
                <w:szCs w:val="24"/>
              </w:rPr>
            </w:pPr>
          </w:p>
        </w:tc>
        <w:tc>
          <w:tcPr>
            <w:tcW w:w="895" w:type="dxa"/>
            <w:vMerge/>
          </w:tcPr>
          <w:p w14:paraId="27E6CF77" w14:textId="77777777" w:rsidR="005E59D6" w:rsidRPr="009319B1" w:rsidRDefault="005E59D6" w:rsidP="005E59D6">
            <w:pPr>
              <w:spacing w:line="240" w:lineRule="auto"/>
              <w:jc w:val="center"/>
              <w:rPr>
                <w:rFonts w:ascii="Times New Roman" w:hAnsi="Times New Roman"/>
                <w:b/>
                <w:bCs/>
                <w:sz w:val="24"/>
                <w:szCs w:val="24"/>
              </w:rPr>
            </w:pPr>
          </w:p>
        </w:tc>
        <w:tc>
          <w:tcPr>
            <w:tcW w:w="772" w:type="dxa"/>
            <w:vMerge/>
          </w:tcPr>
          <w:p w14:paraId="5CB1CDD6" w14:textId="77777777" w:rsidR="005E59D6" w:rsidRPr="009319B1" w:rsidRDefault="005E59D6" w:rsidP="005E59D6">
            <w:pPr>
              <w:spacing w:line="240" w:lineRule="auto"/>
              <w:jc w:val="center"/>
              <w:rPr>
                <w:rFonts w:ascii="Times New Roman" w:hAnsi="Times New Roman"/>
                <w:b/>
                <w:bCs/>
                <w:sz w:val="24"/>
                <w:szCs w:val="24"/>
              </w:rPr>
            </w:pPr>
          </w:p>
        </w:tc>
        <w:tc>
          <w:tcPr>
            <w:tcW w:w="510" w:type="dxa"/>
            <w:vMerge/>
          </w:tcPr>
          <w:p w14:paraId="2C328121" w14:textId="77777777" w:rsidR="005E59D6" w:rsidRPr="009319B1" w:rsidRDefault="005E59D6" w:rsidP="005E59D6">
            <w:pPr>
              <w:spacing w:line="240" w:lineRule="auto"/>
              <w:jc w:val="center"/>
              <w:rPr>
                <w:rFonts w:ascii="Times New Roman" w:hAnsi="Times New Roman"/>
                <w:b/>
                <w:bCs/>
                <w:sz w:val="24"/>
                <w:szCs w:val="24"/>
              </w:rPr>
            </w:pPr>
          </w:p>
        </w:tc>
        <w:tc>
          <w:tcPr>
            <w:tcW w:w="1086" w:type="dxa"/>
            <w:vMerge/>
          </w:tcPr>
          <w:p w14:paraId="2890A888" w14:textId="77777777" w:rsidR="005E59D6" w:rsidRPr="009319B1" w:rsidRDefault="005E59D6" w:rsidP="005E59D6">
            <w:pPr>
              <w:spacing w:line="240" w:lineRule="auto"/>
              <w:jc w:val="center"/>
              <w:rPr>
                <w:rFonts w:ascii="Times New Roman" w:hAnsi="Times New Roman"/>
                <w:b/>
                <w:bCs/>
                <w:sz w:val="24"/>
                <w:szCs w:val="24"/>
              </w:rPr>
            </w:pPr>
          </w:p>
        </w:tc>
        <w:tc>
          <w:tcPr>
            <w:tcW w:w="772" w:type="dxa"/>
            <w:vMerge/>
          </w:tcPr>
          <w:p w14:paraId="509E1F34" w14:textId="77777777" w:rsidR="005E59D6" w:rsidRPr="009319B1" w:rsidRDefault="005E59D6" w:rsidP="005E59D6">
            <w:pPr>
              <w:spacing w:line="240" w:lineRule="auto"/>
              <w:jc w:val="center"/>
              <w:rPr>
                <w:rFonts w:ascii="Times New Roman" w:hAnsi="Times New Roman"/>
                <w:b/>
                <w:bCs/>
                <w:sz w:val="24"/>
                <w:szCs w:val="24"/>
              </w:rPr>
            </w:pPr>
          </w:p>
        </w:tc>
        <w:tc>
          <w:tcPr>
            <w:tcW w:w="932" w:type="dxa"/>
            <w:shd w:val="clear" w:color="auto" w:fill="auto"/>
          </w:tcPr>
          <w:p w14:paraId="5D1FF7C3" w14:textId="77777777" w:rsidR="005E59D6" w:rsidRPr="009319B1" w:rsidRDefault="005E59D6" w:rsidP="005E59D6">
            <w:pPr>
              <w:spacing w:line="240" w:lineRule="auto"/>
              <w:jc w:val="center"/>
              <w:rPr>
                <w:rFonts w:ascii="Times New Roman" w:hAnsi="Times New Roman"/>
                <w:b/>
                <w:bCs/>
                <w:sz w:val="24"/>
                <w:szCs w:val="24"/>
              </w:rPr>
            </w:pPr>
            <w:r w:rsidRPr="009319B1">
              <w:rPr>
                <w:rFonts w:ascii="Times New Roman" w:hAnsi="Times New Roman"/>
                <w:b/>
                <w:bCs/>
                <w:sz w:val="24"/>
                <w:szCs w:val="24"/>
              </w:rPr>
              <w:t>Lower</w:t>
            </w:r>
          </w:p>
        </w:tc>
        <w:tc>
          <w:tcPr>
            <w:tcW w:w="919" w:type="dxa"/>
            <w:shd w:val="clear" w:color="auto" w:fill="auto"/>
          </w:tcPr>
          <w:p w14:paraId="2E70E6EE" w14:textId="77777777" w:rsidR="005E59D6" w:rsidRPr="009319B1" w:rsidRDefault="005E59D6" w:rsidP="005E59D6">
            <w:pPr>
              <w:spacing w:line="240" w:lineRule="auto"/>
              <w:jc w:val="center"/>
              <w:rPr>
                <w:rFonts w:ascii="Times New Roman" w:hAnsi="Times New Roman"/>
                <w:b/>
                <w:bCs/>
                <w:sz w:val="24"/>
                <w:szCs w:val="24"/>
              </w:rPr>
            </w:pPr>
            <w:r w:rsidRPr="009319B1">
              <w:rPr>
                <w:rFonts w:ascii="Times New Roman" w:hAnsi="Times New Roman"/>
                <w:b/>
                <w:bCs/>
                <w:sz w:val="24"/>
                <w:szCs w:val="24"/>
              </w:rPr>
              <w:t>Upper</w:t>
            </w:r>
          </w:p>
        </w:tc>
      </w:tr>
      <w:tr w:rsidR="005E59D6" w:rsidRPr="009319B1" w14:paraId="1EAA5C7F" w14:textId="77777777" w:rsidTr="002B7B95">
        <w:trPr>
          <w:trHeight w:val="462"/>
        </w:trPr>
        <w:tc>
          <w:tcPr>
            <w:tcW w:w="2772" w:type="dxa"/>
            <w:tcBorders>
              <w:bottom w:val="nil"/>
            </w:tcBorders>
            <w:shd w:val="clear" w:color="auto" w:fill="auto"/>
          </w:tcPr>
          <w:p w14:paraId="19C2E5A6" w14:textId="77777777" w:rsidR="005E59D6" w:rsidRPr="009319B1" w:rsidRDefault="005E59D6" w:rsidP="005E59D6">
            <w:pPr>
              <w:spacing w:line="240" w:lineRule="auto"/>
              <w:rPr>
                <w:rFonts w:ascii="Times New Roman" w:hAnsi="Times New Roman"/>
                <w:sz w:val="24"/>
                <w:szCs w:val="24"/>
              </w:rPr>
            </w:pPr>
            <w:r w:rsidRPr="009319B1">
              <w:rPr>
                <w:rFonts w:ascii="Times New Roman" w:hAnsi="Times New Roman"/>
                <w:sz w:val="24"/>
                <w:szCs w:val="24"/>
              </w:rPr>
              <w:t>Serum cardiac troponin I</w:t>
            </w:r>
          </w:p>
        </w:tc>
        <w:tc>
          <w:tcPr>
            <w:tcW w:w="895" w:type="dxa"/>
            <w:tcBorders>
              <w:bottom w:val="nil"/>
            </w:tcBorders>
            <w:shd w:val="clear" w:color="auto" w:fill="auto"/>
            <w:noWrap/>
          </w:tcPr>
          <w:p w14:paraId="64F0C454" w14:textId="77777777" w:rsidR="005E59D6" w:rsidRPr="009319B1" w:rsidRDefault="005E59D6" w:rsidP="005E59D6">
            <w:pPr>
              <w:spacing w:line="240" w:lineRule="auto"/>
              <w:jc w:val="center"/>
              <w:rPr>
                <w:rFonts w:ascii="Times New Roman" w:hAnsi="Times New Roman"/>
                <w:sz w:val="24"/>
                <w:szCs w:val="24"/>
              </w:rPr>
            </w:pPr>
            <w:r w:rsidRPr="009319B1">
              <w:rPr>
                <w:rFonts w:ascii="Times New Roman" w:hAnsi="Times New Roman"/>
                <w:sz w:val="24"/>
                <w:szCs w:val="24"/>
              </w:rPr>
              <w:t>29.40</w:t>
            </w:r>
            <w:r>
              <w:rPr>
                <w:rFonts w:ascii="Times New Roman" w:hAnsi="Times New Roman"/>
                <w:sz w:val="24"/>
                <w:szCs w:val="24"/>
              </w:rPr>
              <w:t>0</w:t>
            </w:r>
          </w:p>
        </w:tc>
        <w:tc>
          <w:tcPr>
            <w:tcW w:w="772" w:type="dxa"/>
            <w:tcBorders>
              <w:bottom w:val="nil"/>
            </w:tcBorders>
            <w:shd w:val="clear" w:color="auto" w:fill="auto"/>
            <w:noWrap/>
          </w:tcPr>
          <w:p w14:paraId="03A8BF1C" w14:textId="77777777" w:rsidR="005E59D6" w:rsidRPr="009319B1" w:rsidRDefault="005E59D6" w:rsidP="005E59D6">
            <w:pPr>
              <w:spacing w:line="240" w:lineRule="auto"/>
              <w:jc w:val="center"/>
              <w:rPr>
                <w:rFonts w:ascii="Times New Roman" w:hAnsi="Times New Roman"/>
                <w:sz w:val="24"/>
                <w:szCs w:val="24"/>
              </w:rPr>
            </w:pPr>
            <w:r w:rsidRPr="009319B1">
              <w:rPr>
                <w:rFonts w:ascii="Times New Roman" w:hAnsi="Times New Roman"/>
                <w:sz w:val="24"/>
                <w:szCs w:val="24"/>
              </w:rPr>
              <w:t>8.24</w:t>
            </w:r>
          </w:p>
        </w:tc>
        <w:tc>
          <w:tcPr>
            <w:tcW w:w="510" w:type="dxa"/>
            <w:tcBorders>
              <w:bottom w:val="nil"/>
            </w:tcBorders>
            <w:shd w:val="clear" w:color="auto" w:fill="auto"/>
            <w:noWrap/>
          </w:tcPr>
          <w:p w14:paraId="7BB83A8F" w14:textId="77777777" w:rsidR="005E59D6" w:rsidRPr="009319B1" w:rsidRDefault="005E59D6" w:rsidP="005E59D6">
            <w:pPr>
              <w:spacing w:line="240" w:lineRule="auto"/>
              <w:jc w:val="center"/>
              <w:rPr>
                <w:rFonts w:ascii="Times New Roman" w:hAnsi="Times New Roman"/>
                <w:sz w:val="24"/>
                <w:szCs w:val="24"/>
              </w:rPr>
            </w:pPr>
            <w:r w:rsidRPr="009319B1">
              <w:rPr>
                <w:rFonts w:ascii="Times New Roman" w:hAnsi="Times New Roman"/>
                <w:sz w:val="24"/>
                <w:szCs w:val="24"/>
              </w:rPr>
              <w:t>1</w:t>
            </w:r>
          </w:p>
        </w:tc>
        <w:tc>
          <w:tcPr>
            <w:tcW w:w="1086" w:type="dxa"/>
            <w:tcBorders>
              <w:bottom w:val="nil"/>
            </w:tcBorders>
            <w:shd w:val="clear" w:color="auto" w:fill="auto"/>
            <w:noWrap/>
          </w:tcPr>
          <w:p w14:paraId="65AB724A" w14:textId="77777777" w:rsidR="005E59D6" w:rsidRPr="009319B1" w:rsidRDefault="005E59D6" w:rsidP="005E59D6">
            <w:pPr>
              <w:spacing w:line="240" w:lineRule="auto"/>
              <w:jc w:val="center"/>
              <w:rPr>
                <w:rFonts w:ascii="Times New Roman" w:hAnsi="Times New Roman"/>
                <w:sz w:val="24"/>
                <w:szCs w:val="24"/>
              </w:rPr>
            </w:pPr>
            <w:r w:rsidRPr="009319B1">
              <w:rPr>
                <w:rFonts w:ascii="Times New Roman" w:hAnsi="Times New Roman"/>
                <w:sz w:val="24"/>
                <w:szCs w:val="24"/>
              </w:rPr>
              <w:t>0.001</w:t>
            </w:r>
            <w:r w:rsidRPr="009319B1">
              <w:rPr>
                <w:rFonts w:ascii="Times New Roman" w:hAnsi="Times New Roman"/>
                <w:sz w:val="24"/>
                <w:szCs w:val="24"/>
                <w:vertAlign w:val="superscript"/>
              </w:rPr>
              <w:t>s</w:t>
            </w:r>
          </w:p>
        </w:tc>
        <w:tc>
          <w:tcPr>
            <w:tcW w:w="772" w:type="dxa"/>
            <w:tcBorders>
              <w:bottom w:val="nil"/>
            </w:tcBorders>
            <w:shd w:val="clear" w:color="auto" w:fill="auto"/>
            <w:noWrap/>
          </w:tcPr>
          <w:p w14:paraId="7D4C61E9" w14:textId="77777777" w:rsidR="005E59D6" w:rsidRPr="009319B1" w:rsidRDefault="005E59D6" w:rsidP="005E59D6">
            <w:pPr>
              <w:spacing w:line="240" w:lineRule="auto"/>
              <w:jc w:val="center"/>
              <w:rPr>
                <w:rFonts w:ascii="Times New Roman" w:hAnsi="Times New Roman"/>
                <w:sz w:val="24"/>
                <w:szCs w:val="24"/>
              </w:rPr>
            </w:pPr>
            <w:r w:rsidRPr="009319B1">
              <w:rPr>
                <w:rFonts w:ascii="Times New Roman" w:hAnsi="Times New Roman"/>
                <w:sz w:val="24"/>
                <w:szCs w:val="24"/>
              </w:rPr>
              <w:t>2.79</w:t>
            </w:r>
          </w:p>
        </w:tc>
        <w:tc>
          <w:tcPr>
            <w:tcW w:w="932" w:type="dxa"/>
            <w:tcBorders>
              <w:bottom w:val="nil"/>
            </w:tcBorders>
            <w:shd w:val="clear" w:color="auto" w:fill="auto"/>
            <w:noWrap/>
          </w:tcPr>
          <w:p w14:paraId="76553076" w14:textId="77777777" w:rsidR="005E59D6" w:rsidRPr="009319B1" w:rsidRDefault="005E59D6" w:rsidP="005E59D6">
            <w:pPr>
              <w:spacing w:line="240" w:lineRule="auto"/>
              <w:jc w:val="center"/>
              <w:rPr>
                <w:rFonts w:ascii="Times New Roman" w:hAnsi="Times New Roman"/>
                <w:sz w:val="24"/>
                <w:szCs w:val="24"/>
              </w:rPr>
            </w:pPr>
            <w:r w:rsidRPr="009319B1">
              <w:rPr>
                <w:rFonts w:ascii="Times New Roman" w:hAnsi="Times New Roman"/>
                <w:sz w:val="24"/>
                <w:szCs w:val="24"/>
              </w:rPr>
              <w:t>1.73</w:t>
            </w:r>
          </w:p>
        </w:tc>
        <w:tc>
          <w:tcPr>
            <w:tcW w:w="919" w:type="dxa"/>
            <w:tcBorders>
              <w:bottom w:val="nil"/>
            </w:tcBorders>
            <w:shd w:val="clear" w:color="auto" w:fill="auto"/>
            <w:noWrap/>
          </w:tcPr>
          <w:p w14:paraId="3D3112C8" w14:textId="77777777" w:rsidR="005E59D6" w:rsidRPr="009319B1" w:rsidRDefault="005E59D6" w:rsidP="005E59D6">
            <w:pPr>
              <w:spacing w:line="240" w:lineRule="auto"/>
              <w:jc w:val="center"/>
              <w:rPr>
                <w:rFonts w:ascii="Times New Roman" w:hAnsi="Times New Roman"/>
                <w:sz w:val="24"/>
                <w:szCs w:val="24"/>
              </w:rPr>
            </w:pPr>
            <w:r w:rsidRPr="009319B1">
              <w:rPr>
                <w:rFonts w:ascii="Times New Roman" w:hAnsi="Times New Roman"/>
                <w:sz w:val="24"/>
                <w:szCs w:val="24"/>
              </w:rPr>
              <w:t>23.27</w:t>
            </w:r>
          </w:p>
        </w:tc>
      </w:tr>
      <w:tr w:rsidR="005E59D6" w:rsidRPr="009319B1" w14:paraId="62CCF0FB" w14:textId="77777777" w:rsidTr="002B7B95">
        <w:trPr>
          <w:trHeight w:val="344"/>
        </w:trPr>
        <w:tc>
          <w:tcPr>
            <w:tcW w:w="2772" w:type="dxa"/>
            <w:tcBorders>
              <w:top w:val="nil"/>
              <w:left w:val="single" w:sz="4" w:space="0" w:color="auto"/>
              <w:bottom w:val="nil"/>
              <w:right w:val="single" w:sz="4" w:space="0" w:color="auto"/>
            </w:tcBorders>
            <w:shd w:val="clear" w:color="auto" w:fill="auto"/>
          </w:tcPr>
          <w:p w14:paraId="08AB45D0" w14:textId="77777777" w:rsidR="005E59D6" w:rsidRPr="009319B1" w:rsidRDefault="005E59D6" w:rsidP="005E59D6">
            <w:pPr>
              <w:spacing w:line="240" w:lineRule="auto"/>
              <w:rPr>
                <w:rFonts w:ascii="Times New Roman" w:hAnsi="Times New Roman"/>
                <w:sz w:val="24"/>
                <w:szCs w:val="24"/>
              </w:rPr>
            </w:pPr>
            <w:r w:rsidRPr="009319B1">
              <w:rPr>
                <w:rFonts w:ascii="Times New Roman" w:hAnsi="Times New Roman"/>
                <w:sz w:val="24"/>
                <w:szCs w:val="24"/>
              </w:rPr>
              <w:t>GCS</w:t>
            </w:r>
          </w:p>
        </w:tc>
        <w:tc>
          <w:tcPr>
            <w:tcW w:w="895" w:type="dxa"/>
            <w:tcBorders>
              <w:top w:val="nil"/>
              <w:left w:val="single" w:sz="4" w:space="0" w:color="auto"/>
              <w:bottom w:val="nil"/>
              <w:right w:val="single" w:sz="4" w:space="0" w:color="auto"/>
            </w:tcBorders>
            <w:shd w:val="clear" w:color="auto" w:fill="auto"/>
            <w:noWrap/>
          </w:tcPr>
          <w:p w14:paraId="2DA1EF97" w14:textId="77777777" w:rsidR="005E59D6" w:rsidRPr="009319B1" w:rsidRDefault="005E59D6" w:rsidP="005E59D6">
            <w:pPr>
              <w:spacing w:line="240" w:lineRule="auto"/>
              <w:jc w:val="center"/>
              <w:rPr>
                <w:rFonts w:ascii="Times New Roman" w:hAnsi="Times New Roman"/>
                <w:sz w:val="24"/>
                <w:szCs w:val="24"/>
              </w:rPr>
            </w:pPr>
            <w:r w:rsidRPr="009319B1">
              <w:rPr>
                <w:rFonts w:ascii="Times New Roman" w:hAnsi="Times New Roman"/>
                <w:sz w:val="24"/>
                <w:szCs w:val="24"/>
              </w:rPr>
              <w:t>0.23</w:t>
            </w:r>
            <w:r>
              <w:rPr>
                <w:rFonts w:ascii="Times New Roman" w:hAnsi="Times New Roman"/>
                <w:sz w:val="24"/>
                <w:szCs w:val="24"/>
              </w:rPr>
              <w:t>0</w:t>
            </w:r>
          </w:p>
        </w:tc>
        <w:tc>
          <w:tcPr>
            <w:tcW w:w="772" w:type="dxa"/>
            <w:tcBorders>
              <w:top w:val="nil"/>
              <w:left w:val="single" w:sz="4" w:space="0" w:color="auto"/>
              <w:bottom w:val="nil"/>
              <w:right w:val="single" w:sz="4" w:space="0" w:color="auto"/>
            </w:tcBorders>
            <w:shd w:val="clear" w:color="auto" w:fill="auto"/>
            <w:noWrap/>
          </w:tcPr>
          <w:p w14:paraId="38714215" w14:textId="77777777" w:rsidR="005E59D6" w:rsidRPr="009319B1" w:rsidRDefault="005E59D6" w:rsidP="005E59D6">
            <w:pPr>
              <w:spacing w:line="240" w:lineRule="auto"/>
              <w:jc w:val="center"/>
              <w:rPr>
                <w:rFonts w:ascii="Times New Roman" w:hAnsi="Times New Roman"/>
                <w:sz w:val="24"/>
                <w:szCs w:val="24"/>
              </w:rPr>
            </w:pPr>
            <w:r w:rsidRPr="009319B1">
              <w:rPr>
                <w:rFonts w:ascii="Times New Roman" w:hAnsi="Times New Roman"/>
                <w:sz w:val="24"/>
                <w:szCs w:val="24"/>
              </w:rPr>
              <w:t>0.51</w:t>
            </w:r>
          </w:p>
        </w:tc>
        <w:tc>
          <w:tcPr>
            <w:tcW w:w="510" w:type="dxa"/>
            <w:tcBorders>
              <w:top w:val="nil"/>
              <w:left w:val="single" w:sz="4" w:space="0" w:color="auto"/>
              <w:bottom w:val="nil"/>
              <w:right w:val="single" w:sz="4" w:space="0" w:color="auto"/>
            </w:tcBorders>
            <w:shd w:val="clear" w:color="auto" w:fill="auto"/>
            <w:noWrap/>
          </w:tcPr>
          <w:p w14:paraId="6C00EB61" w14:textId="77777777" w:rsidR="005E59D6" w:rsidRPr="009319B1" w:rsidRDefault="005E59D6" w:rsidP="005E59D6">
            <w:pPr>
              <w:spacing w:line="240" w:lineRule="auto"/>
              <w:jc w:val="center"/>
              <w:rPr>
                <w:rFonts w:ascii="Times New Roman" w:hAnsi="Times New Roman"/>
                <w:sz w:val="24"/>
                <w:szCs w:val="24"/>
              </w:rPr>
            </w:pPr>
            <w:r w:rsidRPr="009319B1">
              <w:rPr>
                <w:rFonts w:ascii="Times New Roman" w:hAnsi="Times New Roman"/>
                <w:sz w:val="24"/>
                <w:szCs w:val="24"/>
              </w:rPr>
              <w:t>1</w:t>
            </w:r>
          </w:p>
        </w:tc>
        <w:tc>
          <w:tcPr>
            <w:tcW w:w="1086" w:type="dxa"/>
            <w:tcBorders>
              <w:top w:val="nil"/>
              <w:left w:val="single" w:sz="4" w:space="0" w:color="auto"/>
              <w:bottom w:val="nil"/>
              <w:right w:val="single" w:sz="4" w:space="0" w:color="auto"/>
            </w:tcBorders>
            <w:shd w:val="clear" w:color="auto" w:fill="auto"/>
            <w:noWrap/>
          </w:tcPr>
          <w:p w14:paraId="7A52DA93" w14:textId="77777777" w:rsidR="005E59D6" w:rsidRPr="009319B1" w:rsidRDefault="005E59D6" w:rsidP="005E59D6">
            <w:pPr>
              <w:spacing w:line="240" w:lineRule="auto"/>
              <w:jc w:val="center"/>
              <w:rPr>
                <w:rFonts w:ascii="Times New Roman" w:hAnsi="Times New Roman"/>
                <w:sz w:val="24"/>
                <w:szCs w:val="24"/>
              </w:rPr>
            </w:pPr>
            <w:r w:rsidRPr="009319B1">
              <w:rPr>
                <w:rFonts w:ascii="Times New Roman" w:hAnsi="Times New Roman"/>
                <w:sz w:val="24"/>
                <w:szCs w:val="24"/>
              </w:rPr>
              <w:t>0.652</w:t>
            </w:r>
            <w:r w:rsidRPr="009319B1">
              <w:rPr>
                <w:rFonts w:ascii="Times New Roman" w:hAnsi="Times New Roman"/>
                <w:sz w:val="24"/>
                <w:szCs w:val="24"/>
                <w:vertAlign w:val="superscript"/>
              </w:rPr>
              <w:t xml:space="preserve"> ns</w:t>
            </w:r>
          </w:p>
        </w:tc>
        <w:tc>
          <w:tcPr>
            <w:tcW w:w="772" w:type="dxa"/>
            <w:tcBorders>
              <w:top w:val="nil"/>
              <w:left w:val="single" w:sz="4" w:space="0" w:color="auto"/>
              <w:bottom w:val="nil"/>
              <w:right w:val="single" w:sz="4" w:space="0" w:color="auto"/>
            </w:tcBorders>
            <w:shd w:val="clear" w:color="auto" w:fill="auto"/>
            <w:noWrap/>
          </w:tcPr>
          <w:p w14:paraId="579840CC" w14:textId="77777777" w:rsidR="005E59D6" w:rsidRPr="009319B1" w:rsidRDefault="005E59D6" w:rsidP="005E59D6">
            <w:pPr>
              <w:spacing w:line="240" w:lineRule="auto"/>
              <w:jc w:val="center"/>
              <w:rPr>
                <w:rFonts w:ascii="Times New Roman" w:hAnsi="Times New Roman"/>
                <w:sz w:val="24"/>
                <w:szCs w:val="24"/>
              </w:rPr>
            </w:pPr>
            <w:r w:rsidRPr="009319B1">
              <w:rPr>
                <w:rFonts w:ascii="Times New Roman" w:hAnsi="Times New Roman"/>
                <w:sz w:val="24"/>
                <w:szCs w:val="24"/>
              </w:rPr>
              <w:t>1.26</w:t>
            </w:r>
          </w:p>
        </w:tc>
        <w:tc>
          <w:tcPr>
            <w:tcW w:w="932" w:type="dxa"/>
            <w:tcBorders>
              <w:top w:val="nil"/>
              <w:left w:val="single" w:sz="4" w:space="0" w:color="auto"/>
              <w:bottom w:val="nil"/>
              <w:right w:val="single" w:sz="4" w:space="0" w:color="auto"/>
            </w:tcBorders>
            <w:shd w:val="clear" w:color="auto" w:fill="auto"/>
            <w:noWrap/>
          </w:tcPr>
          <w:p w14:paraId="06FAB4A5" w14:textId="77777777" w:rsidR="005E59D6" w:rsidRPr="009319B1" w:rsidRDefault="005E59D6" w:rsidP="005E59D6">
            <w:pPr>
              <w:spacing w:line="240" w:lineRule="auto"/>
              <w:jc w:val="center"/>
              <w:rPr>
                <w:rFonts w:ascii="Times New Roman" w:hAnsi="Times New Roman"/>
                <w:sz w:val="24"/>
                <w:szCs w:val="24"/>
              </w:rPr>
            </w:pPr>
            <w:r w:rsidRPr="009319B1">
              <w:rPr>
                <w:rFonts w:ascii="Times New Roman" w:hAnsi="Times New Roman"/>
                <w:sz w:val="24"/>
                <w:szCs w:val="24"/>
              </w:rPr>
              <w:t>0.46</w:t>
            </w:r>
          </w:p>
        </w:tc>
        <w:tc>
          <w:tcPr>
            <w:tcW w:w="919" w:type="dxa"/>
            <w:tcBorders>
              <w:top w:val="nil"/>
              <w:left w:val="single" w:sz="4" w:space="0" w:color="auto"/>
              <w:bottom w:val="nil"/>
              <w:right w:val="single" w:sz="4" w:space="0" w:color="auto"/>
            </w:tcBorders>
            <w:shd w:val="clear" w:color="auto" w:fill="auto"/>
            <w:noWrap/>
          </w:tcPr>
          <w:p w14:paraId="5AF0CBF2" w14:textId="77777777" w:rsidR="005E59D6" w:rsidRPr="009319B1" w:rsidRDefault="005E59D6" w:rsidP="005E59D6">
            <w:pPr>
              <w:spacing w:line="240" w:lineRule="auto"/>
              <w:jc w:val="center"/>
              <w:rPr>
                <w:rFonts w:ascii="Times New Roman" w:hAnsi="Times New Roman"/>
                <w:sz w:val="24"/>
                <w:szCs w:val="24"/>
              </w:rPr>
            </w:pPr>
            <w:r w:rsidRPr="009319B1">
              <w:rPr>
                <w:rFonts w:ascii="Times New Roman" w:hAnsi="Times New Roman"/>
                <w:sz w:val="24"/>
                <w:szCs w:val="24"/>
              </w:rPr>
              <w:t>3.43</w:t>
            </w:r>
          </w:p>
        </w:tc>
      </w:tr>
      <w:tr w:rsidR="005E59D6" w:rsidRPr="009319B1" w14:paraId="2A907957" w14:textId="77777777" w:rsidTr="002B7B95">
        <w:trPr>
          <w:trHeight w:val="344"/>
        </w:trPr>
        <w:tc>
          <w:tcPr>
            <w:tcW w:w="2772" w:type="dxa"/>
            <w:tcBorders>
              <w:top w:val="nil"/>
              <w:left w:val="single" w:sz="4" w:space="0" w:color="auto"/>
              <w:bottom w:val="nil"/>
              <w:right w:val="single" w:sz="4" w:space="0" w:color="auto"/>
            </w:tcBorders>
            <w:shd w:val="clear" w:color="auto" w:fill="auto"/>
          </w:tcPr>
          <w:p w14:paraId="6B45C6DD" w14:textId="77777777" w:rsidR="005E59D6" w:rsidRPr="009319B1" w:rsidRDefault="005E59D6" w:rsidP="005E59D6">
            <w:pPr>
              <w:spacing w:line="240" w:lineRule="auto"/>
              <w:rPr>
                <w:rFonts w:ascii="Times New Roman" w:hAnsi="Times New Roman"/>
                <w:sz w:val="24"/>
                <w:szCs w:val="24"/>
              </w:rPr>
            </w:pPr>
            <w:r w:rsidRPr="009319B1">
              <w:rPr>
                <w:rFonts w:ascii="Times New Roman" w:hAnsi="Times New Roman"/>
                <w:sz w:val="24"/>
                <w:szCs w:val="24"/>
              </w:rPr>
              <w:t>Age (in years)</w:t>
            </w:r>
          </w:p>
        </w:tc>
        <w:tc>
          <w:tcPr>
            <w:tcW w:w="895" w:type="dxa"/>
            <w:tcBorders>
              <w:top w:val="nil"/>
              <w:left w:val="single" w:sz="4" w:space="0" w:color="auto"/>
              <w:bottom w:val="nil"/>
              <w:right w:val="single" w:sz="4" w:space="0" w:color="auto"/>
            </w:tcBorders>
            <w:shd w:val="clear" w:color="auto" w:fill="auto"/>
            <w:noWrap/>
          </w:tcPr>
          <w:p w14:paraId="6EEB0BE3" w14:textId="77777777" w:rsidR="005E59D6" w:rsidRPr="009319B1" w:rsidRDefault="005E59D6" w:rsidP="005E59D6">
            <w:pPr>
              <w:spacing w:line="240" w:lineRule="auto"/>
              <w:jc w:val="center"/>
              <w:rPr>
                <w:rFonts w:ascii="Times New Roman" w:hAnsi="Times New Roman"/>
                <w:sz w:val="24"/>
                <w:szCs w:val="24"/>
              </w:rPr>
            </w:pPr>
            <w:r w:rsidRPr="009319B1">
              <w:rPr>
                <w:rFonts w:ascii="Times New Roman" w:hAnsi="Times New Roman"/>
                <w:sz w:val="24"/>
                <w:szCs w:val="24"/>
              </w:rPr>
              <w:t>0.032</w:t>
            </w:r>
          </w:p>
        </w:tc>
        <w:tc>
          <w:tcPr>
            <w:tcW w:w="772" w:type="dxa"/>
            <w:tcBorders>
              <w:top w:val="nil"/>
              <w:left w:val="single" w:sz="4" w:space="0" w:color="auto"/>
              <w:bottom w:val="nil"/>
              <w:right w:val="single" w:sz="4" w:space="0" w:color="auto"/>
            </w:tcBorders>
            <w:shd w:val="clear" w:color="auto" w:fill="auto"/>
            <w:noWrap/>
          </w:tcPr>
          <w:p w14:paraId="4A33EA31" w14:textId="77777777" w:rsidR="005E59D6" w:rsidRPr="009319B1" w:rsidRDefault="005E59D6" w:rsidP="005E59D6">
            <w:pPr>
              <w:spacing w:line="240" w:lineRule="auto"/>
              <w:jc w:val="center"/>
              <w:rPr>
                <w:rFonts w:ascii="Times New Roman" w:hAnsi="Times New Roman"/>
                <w:sz w:val="24"/>
                <w:szCs w:val="24"/>
              </w:rPr>
            </w:pPr>
            <w:r w:rsidRPr="009319B1">
              <w:rPr>
                <w:rFonts w:ascii="Times New Roman" w:hAnsi="Times New Roman"/>
                <w:sz w:val="24"/>
                <w:szCs w:val="24"/>
              </w:rPr>
              <w:t>0.05</w:t>
            </w:r>
          </w:p>
        </w:tc>
        <w:tc>
          <w:tcPr>
            <w:tcW w:w="510" w:type="dxa"/>
            <w:tcBorders>
              <w:top w:val="nil"/>
              <w:left w:val="single" w:sz="4" w:space="0" w:color="auto"/>
              <w:bottom w:val="nil"/>
              <w:right w:val="single" w:sz="4" w:space="0" w:color="auto"/>
            </w:tcBorders>
            <w:shd w:val="clear" w:color="auto" w:fill="auto"/>
            <w:noWrap/>
          </w:tcPr>
          <w:p w14:paraId="44AC34D7" w14:textId="77777777" w:rsidR="005E59D6" w:rsidRPr="009319B1" w:rsidRDefault="005E59D6" w:rsidP="005E59D6">
            <w:pPr>
              <w:spacing w:line="240" w:lineRule="auto"/>
              <w:jc w:val="center"/>
              <w:rPr>
                <w:rFonts w:ascii="Times New Roman" w:hAnsi="Times New Roman"/>
                <w:sz w:val="24"/>
                <w:szCs w:val="24"/>
              </w:rPr>
            </w:pPr>
            <w:r w:rsidRPr="009319B1">
              <w:rPr>
                <w:rFonts w:ascii="Times New Roman" w:hAnsi="Times New Roman"/>
                <w:sz w:val="24"/>
                <w:szCs w:val="24"/>
              </w:rPr>
              <w:t>1</w:t>
            </w:r>
          </w:p>
        </w:tc>
        <w:tc>
          <w:tcPr>
            <w:tcW w:w="1086" w:type="dxa"/>
            <w:tcBorders>
              <w:top w:val="nil"/>
              <w:left w:val="single" w:sz="4" w:space="0" w:color="auto"/>
              <w:bottom w:val="nil"/>
              <w:right w:val="single" w:sz="4" w:space="0" w:color="auto"/>
            </w:tcBorders>
            <w:shd w:val="clear" w:color="auto" w:fill="auto"/>
            <w:noWrap/>
          </w:tcPr>
          <w:p w14:paraId="1D73EA2F" w14:textId="77777777" w:rsidR="005E59D6" w:rsidRPr="009319B1" w:rsidRDefault="005E59D6" w:rsidP="005E59D6">
            <w:pPr>
              <w:spacing w:line="240" w:lineRule="auto"/>
              <w:jc w:val="center"/>
              <w:rPr>
                <w:rFonts w:ascii="Times New Roman" w:hAnsi="Times New Roman"/>
                <w:sz w:val="24"/>
                <w:szCs w:val="24"/>
              </w:rPr>
            </w:pPr>
            <w:r w:rsidRPr="009319B1">
              <w:rPr>
                <w:rFonts w:ascii="Times New Roman" w:hAnsi="Times New Roman"/>
                <w:sz w:val="24"/>
                <w:szCs w:val="24"/>
              </w:rPr>
              <w:t>0.582</w:t>
            </w:r>
            <w:r w:rsidRPr="009319B1">
              <w:rPr>
                <w:rFonts w:ascii="Times New Roman" w:hAnsi="Times New Roman"/>
                <w:sz w:val="24"/>
                <w:szCs w:val="24"/>
                <w:vertAlign w:val="superscript"/>
              </w:rPr>
              <w:t>ns</w:t>
            </w:r>
          </w:p>
        </w:tc>
        <w:tc>
          <w:tcPr>
            <w:tcW w:w="772" w:type="dxa"/>
            <w:tcBorders>
              <w:top w:val="nil"/>
              <w:left w:val="single" w:sz="4" w:space="0" w:color="auto"/>
              <w:bottom w:val="nil"/>
              <w:right w:val="single" w:sz="4" w:space="0" w:color="auto"/>
            </w:tcBorders>
            <w:shd w:val="clear" w:color="auto" w:fill="auto"/>
            <w:noWrap/>
          </w:tcPr>
          <w:p w14:paraId="02EBCAE5" w14:textId="77777777" w:rsidR="005E59D6" w:rsidRPr="009319B1" w:rsidRDefault="005E59D6" w:rsidP="005E59D6">
            <w:pPr>
              <w:spacing w:line="240" w:lineRule="auto"/>
              <w:jc w:val="center"/>
              <w:rPr>
                <w:rFonts w:ascii="Times New Roman" w:hAnsi="Times New Roman"/>
                <w:sz w:val="24"/>
                <w:szCs w:val="24"/>
              </w:rPr>
            </w:pPr>
            <w:r w:rsidRPr="009319B1">
              <w:rPr>
                <w:rFonts w:ascii="Times New Roman" w:hAnsi="Times New Roman"/>
                <w:sz w:val="24"/>
                <w:szCs w:val="24"/>
              </w:rPr>
              <w:t>1.03</w:t>
            </w:r>
          </w:p>
        </w:tc>
        <w:tc>
          <w:tcPr>
            <w:tcW w:w="932" w:type="dxa"/>
            <w:tcBorders>
              <w:top w:val="nil"/>
              <w:left w:val="single" w:sz="4" w:space="0" w:color="auto"/>
              <w:bottom w:val="nil"/>
              <w:right w:val="single" w:sz="4" w:space="0" w:color="auto"/>
            </w:tcBorders>
            <w:shd w:val="clear" w:color="auto" w:fill="auto"/>
            <w:noWrap/>
          </w:tcPr>
          <w:p w14:paraId="2AD3610D" w14:textId="77777777" w:rsidR="005E59D6" w:rsidRPr="009319B1" w:rsidRDefault="005E59D6" w:rsidP="005E59D6">
            <w:pPr>
              <w:spacing w:line="240" w:lineRule="auto"/>
              <w:jc w:val="center"/>
              <w:rPr>
                <w:rFonts w:ascii="Times New Roman" w:hAnsi="Times New Roman"/>
                <w:sz w:val="24"/>
                <w:szCs w:val="24"/>
              </w:rPr>
            </w:pPr>
            <w:r w:rsidRPr="009319B1">
              <w:rPr>
                <w:rFonts w:ascii="Times New Roman" w:hAnsi="Times New Roman"/>
                <w:sz w:val="24"/>
                <w:szCs w:val="24"/>
              </w:rPr>
              <w:t>0.92</w:t>
            </w:r>
          </w:p>
        </w:tc>
        <w:tc>
          <w:tcPr>
            <w:tcW w:w="919" w:type="dxa"/>
            <w:tcBorders>
              <w:top w:val="nil"/>
              <w:left w:val="single" w:sz="4" w:space="0" w:color="auto"/>
              <w:bottom w:val="nil"/>
              <w:right w:val="single" w:sz="4" w:space="0" w:color="auto"/>
            </w:tcBorders>
            <w:shd w:val="clear" w:color="auto" w:fill="auto"/>
            <w:noWrap/>
          </w:tcPr>
          <w:p w14:paraId="0A3EE980" w14:textId="77777777" w:rsidR="005E59D6" w:rsidRPr="009319B1" w:rsidRDefault="005E59D6" w:rsidP="005E59D6">
            <w:pPr>
              <w:spacing w:line="240" w:lineRule="auto"/>
              <w:jc w:val="center"/>
              <w:rPr>
                <w:rFonts w:ascii="Times New Roman" w:hAnsi="Times New Roman"/>
                <w:sz w:val="24"/>
                <w:szCs w:val="24"/>
              </w:rPr>
            </w:pPr>
            <w:r w:rsidRPr="009319B1">
              <w:rPr>
                <w:rFonts w:ascii="Times New Roman" w:hAnsi="Times New Roman"/>
                <w:sz w:val="24"/>
                <w:szCs w:val="24"/>
              </w:rPr>
              <w:t>1.15</w:t>
            </w:r>
          </w:p>
        </w:tc>
      </w:tr>
      <w:tr w:rsidR="005E59D6" w:rsidRPr="009319B1" w14:paraId="7ACF4E38" w14:textId="77777777" w:rsidTr="002B7B95">
        <w:trPr>
          <w:trHeight w:val="344"/>
        </w:trPr>
        <w:tc>
          <w:tcPr>
            <w:tcW w:w="2772" w:type="dxa"/>
            <w:tcBorders>
              <w:top w:val="nil"/>
              <w:left w:val="single" w:sz="4" w:space="0" w:color="auto"/>
              <w:bottom w:val="nil"/>
              <w:right w:val="single" w:sz="4" w:space="0" w:color="auto"/>
            </w:tcBorders>
            <w:shd w:val="clear" w:color="auto" w:fill="auto"/>
          </w:tcPr>
          <w:p w14:paraId="038BCE09" w14:textId="77777777" w:rsidR="005E59D6" w:rsidRPr="009319B1" w:rsidRDefault="005E59D6" w:rsidP="005E59D6">
            <w:pPr>
              <w:spacing w:line="240" w:lineRule="auto"/>
              <w:rPr>
                <w:rFonts w:ascii="Times New Roman" w:hAnsi="Times New Roman"/>
                <w:sz w:val="24"/>
                <w:szCs w:val="24"/>
              </w:rPr>
            </w:pPr>
            <w:r w:rsidRPr="009319B1">
              <w:rPr>
                <w:rFonts w:ascii="Times New Roman" w:hAnsi="Times New Roman"/>
                <w:sz w:val="24"/>
                <w:szCs w:val="24"/>
              </w:rPr>
              <w:t>Hypertension</w:t>
            </w:r>
          </w:p>
        </w:tc>
        <w:tc>
          <w:tcPr>
            <w:tcW w:w="895" w:type="dxa"/>
            <w:tcBorders>
              <w:top w:val="nil"/>
              <w:left w:val="single" w:sz="4" w:space="0" w:color="auto"/>
              <w:bottom w:val="nil"/>
              <w:right w:val="single" w:sz="4" w:space="0" w:color="auto"/>
            </w:tcBorders>
            <w:shd w:val="clear" w:color="auto" w:fill="auto"/>
            <w:noWrap/>
          </w:tcPr>
          <w:p w14:paraId="256BD110" w14:textId="77777777" w:rsidR="005E59D6" w:rsidRPr="009319B1" w:rsidRDefault="005E59D6" w:rsidP="005E59D6">
            <w:pPr>
              <w:spacing w:line="240" w:lineRule="auto"/>
              <w:jc w:val="center"/>
              <w:rPr>
                <w:rFonts w:ascii="Times New Roman" w:hAnsi="Times New Roman"/>
                <w:sz w:val="24"/>
                <w:szCs w:val="24"/>
              </w:rPr>
            </w:pPr>
            <w:r w:rsidRPr="009319B1">
              <w:rPr>
                <w:rFonts w:ascii="Times New Roman" w:hAnsi="Times New Roman"/>
                <w:sz w:val="24"/>
                <w:szCs w:val="24"/>
              </w:rPr>
              <w:t>-2.28</w:t>
            </w:r>
            <w:r>
              <w:rPr>
                <w:rFonts w:ascii="Times New Roman" w:hAnsi="Times New Roman"/>
                <w:sz w:val="24"/>
                <w:szCs w:val="24"/>
              </w:rPr>
              <w:t>0</w:t>
            </w:r>
          </w:p>
        </w:tc>
        <w:tc>
          <w:tcPr>
            <w:tcW w:w="772" w:type="dxa"/>
            <w:tcBorders>
              <w:top w:val="nil"/>
              <w:left w:val="single" w:sz="4" w:space="0" w:color="auto"/>
              <w:bottom w:val="nil"/>
              <w:right w:val="single" w:sz="4" w:space="0" w:color="auto"/>
            </w:tcBorders>
            <w:shd w:val="clear" w:color="auto" w:fill="auto"/>
            <w:noWrap/>
          </w:tcPr>
          <w:p w14:paraId="34402995" w14:textId="77777777" w:rsidR="005E59D6" w:rsidRPr="009319B1" w:rsidRDefault="005E59D6" w:rsidP="005E59D6">
            <w:pPr>
              <w:spacing w:line="240" w:lineRule="auto"/>
              <w:jc w:val="center"/>
              <w:rPr>
                <w:rFonts w:ascii="Times New Roman" w:hAnsi="Times New Roman"/>
                <w:sz w:val="24"/>
                <w:szCs w:val="24"/>
              </w:rPr>
            </w:pPr>
            <w:r w:rsidRPr="009319B1">
              <w:rPr>
                <w:rFonts w:ascii="Times New Roman" w:hAnsi="Times New Roman"/>
                <w:sz w:val="24"/>
                <w:szCs w:val="24"/>
              </w:rPr>
              <w:t>1.56</w:t>
            </w:r>
          </w:p>
        </w:tc>
        <w:tc>
          <w:tcPr>
            <w:tcW w:w="510" w:type="dxa"/>
            <w:tcBorders>
              <w:top w:val="nil"/>
              <w:left w:val="single" w:sz="4" w:space="0" w:color="auto"/>
              <w:bottom w:val="nil"/>
              <w:right w:val="single" w:sz="4" w:space="0" w:color="auto"/>
            </w:tcBorders>
            <w:shd w:val="clear" w:color="auto" w:fill="auto"/>
            <w:noWrap/>
          </w:tcPr>
          <w:p w14:paraId="1C87F9A5" w14:textId="77777777" w:rsidR="005E59D6" w:rsidRPr="009319B1" w:rsidRDefault="005E59D6" w:rsidP="005E59D6">
            <w:pPr>
              <w:spacing w:line="240" w:lineRule="auto"/>
              <w:jc w:val="center"/>
              <w:rPr>
                <w:rFonts w:ascii="Times New Roman" w:hAnsi="Times New Roman"/>
                <w:sz w:val="24"/>
                <w:szCs w:val="24"/>
              </w:rPr>
            </w:pPr>
            <w:r w:rsidRPr="009319B1">
              <w:rPr>
                <w:rFonts w:ascii="Times New Roman" w:hAnsi="Times New Roman"/>
                <w:sz w:val="24"/>
                <w:szCs w:val="24"/>
              </w:rPr>
              <w:t>1</w:t>
            </w:r>
          </w:p>
        </w:tc>
        <w:tc>
          <w:tcPr>
            <w:tcW w:w="1086" w:type="dxa"/>
            <w:tcBorders>
              <w:top w:val="nil"/>
              <w:left w:val="single" w:sz="4" w:space="0" w:color="auto"/>
              <w:bottom w:val="nil"/>
              <w:right w:val="single" w:sz="4" w:space="0" w:color="auto"/>
            </w:tcBorders>
            <w:shd w:val="clear" w:color="auto" w:fill="auto"/>
            <w:noWrap/>
          </w:tcPr>
          <w:p w14:paraId="2780F17B" w14:textId="77777777" w:rsidR="005E59D6" w:rsidRPr="009319B1" w:rsidRDefault="005E59D6" w:rsidP="005E59D6">
            <w:pPr>
              <w:spacing w:line="240" w:lineRule="auto"/>
              <w:jc w:val="center"/>
              <w:rPr>
                <w:rFonts w:ascii="Times New Roman" w:hAnsi="Times New Roman"/>
                <w:sz w:val="24"/>
                <w:szCs w:val="24"/>
              </w:rPr>
            </w:pPr>
            <w:r w:rsidRPr="009319B1">
              <w:rPr>
                <w:rFonts w:ascii="Times New Roman" w:hAnsi="Times New Roman"/>
                <w:sz w:val="24"/>
                <w:szCs w:val="24"/>
              </w:rPr>
              <w:t>0.143</w:t>
            </w:r>
            <w:r w:rsidRPr="009319B1">
              <w:rPr>
                <w:rFonts w:ascii="Times New Roman" w:hAnsi="Times New Roman"/>
                <w:sz w:val="24"/>
                <w:szCs w:val="24"/>
                <w:vertAlign w:val="superscript"/>
              </w:rPr>
              <w:t xml:space="preserve"> ns</w:t>
            </w:r>
          </w:p>
        </w:tc>
        <w:tc>
          <w:tcPr>
            <w:tcW w:w="772" w:type="dxa"/>
            <w:tcBorders>
              <w:top w:val="nil"/>
              <w:left w:val="single" w:sz="4" w:space="0" w:color="auto"/>
              <w:bottom w:val="nil"/>
              <w:right w:val="single" w:sz="4" w:space="0" w:color="auto"/>
            </w:tcBorders>
            <w:shd w:val="clear" w:color="auto" w:fill="auto"/>
            <w:noWrap/>
          </w:tcPr>
          <w:p w14:paraId="18BCBA8D" w14:textId="77777777" w:rsidR="005E59D6" w:rsidRPr="009319B1" w:rsidRDefault="005E59D6" w:rsidP="005E59D6">
            <w:pPr>
              <w:spacing w:line="240" w:lineRule="auto"/>
              <w:jc w:val="center"/>
              <w:rPr>
                <w:rFonts w:ascii="Times New Roman" w:hAnsi="Times New Roman"/>
                <w:sz w:val="24"/>
                <w:szCs w:val="24"/>
              </w:rPr>
            </w:pPr>
            <w:r w:rsidRPr="009319B1">
              <w:rPr>
                <w:rFonts w:ascii="Times New Roman" w:hAnsi="Times New Roman"/>
                <w:sz w:val="24"/>
                <w:szCs w:val="24"/>
              </w:rPr>
              <w:t>0.10</w:t>
            </w:r>
          </w:p>
        </w:tc>
        <w:tc>
          <w:tcPr>
            <w:tcW w:w="932" w:type="dxa"/>
            <w:tcBorders>
              <w:top w:val="nil"/>
              <w:left w:val="single" w:sz="4" w:space="0" w:color="auto"/>
              <w:bottom w:val="nil"/>
              <w:right w:val="single" w:sz="4" w:space="0" w:color="auto"/>
            </w:tcBorders>
            <w:shd w:val="clear" w:color="auto" w:fill="auto"/>
            <w:noWrap/>
          </w:tcPr>
          <w:p w14:paraId="1B4D75E9" w14:textId="77777777" w:rsidR="005E59D6" w:rsidRPr="009319B1" w:rsidRDefault="005E59D6" w:rsidP="005E59D6">
            <w:pPr>
              <w:spacing w:line="240" w:lineRule="auto"/>
              <w:jc w:val="center"/>
              <w:rPr>
                <w:rFonts w:ascii="Times New Roman" w:hAnsi="Times New Roman"/>
                <w:sz w:val="24"/>
                <w:szCs w:val="24"/>
              </w:rPr>
            </w:pPr>
            <w:r w:rsidRPr="009319B1">
              <w:rPr>
                <w:rFonts w:ascii="Times New Roman" w:hAnsi="Times New Roman"/>
                <w:sz w:val="24"/>
                <w:szCs w:val="24"/>
              </w:rPr>
              <w:t>0.01</w:t>
            </w:r>
          </w:p>
        </w:tc>
        <w:tc>
          <w:tcPr>
            <w:tcW w:w="919" w:type="dxa"/>
            <w:tcBorders>
              <w:top w:val="nil"/>
              <w:left w:val="single" w:sz="4" w:space="0" w:color="auto"/>
              <w:bottom w:val="nil"/>
              <w:right w:val="single" w:sz="4" w:space="0" w:color="auto"/>
            </w:tcBorders>
            <w:shd w:val="clear" w:color="auto" w:fill="auto"/>
            <w:noWrap/>
          </w:tcPr>
          <w:p w14:paraId="05B13873" w14:textId="77777777" w:rsidR="005E59D6" w:rsidRPr="009319B1" w:rsidRDefault="005E59D6" w:rsidP="005E59D6">
            <w:pPr>
              <w:spacing w:line="240" w:lineRule="auto"/>
              <w:jc w:val="center"/>
              <w:rPr>
                <w:rFonts w:ascii="Times New Roman" w:hAnsi="Times New Roman"/>
                <w:sz w:val="24"/>
                <w:szCs w:val="24"/>
              </w:rPr>
            </w:pPr>
            <w:r w:rsidRPr="009319B1">
              <w:rPr>
                <w:rFonts w:ascii="Times New Roman" w:hAnsi="Times New Roman"/>
                <w:sz w:val="24"/>
                <w:szCs w:val="24"/>
              </w:rPr>
              <w:t>2.16</w:t>
            </w:r>
          </w:p>
        </w:tc>
      </w:tr>
      <w:tr w:rsidR="005E59D6" w:rsidRPr="009319B1" w14:paraId="7E2B6CB4" w14:textId="77777777" w:rsidTr="002B7B95">
        <w:trPr>
          <w:trHeight w:val="344"/>
        </w:trPr>
        <w:tc>
          <w:tcPr>
            <w:tcW w:w="2772" w:type="dxa"/>
            <w:tcBorders>
              <w:top w:val="nil"/>
              <w:left w:val="single" w:sz="4" w:space="0" w:color="auto"/>
              <w:bottom w:val="nil"/>
              <w:right w:val="single" w:sz="4" w:space="0" w:color="auto"/>
            </w:tcBorders>
            <w:shd w:val="clear" w:color="auto" w:fill="auto"/>
          </w:tcPr>
          <w:p w14:paraId="7DF8AE41" w14:textId="77777777" w:rsidR="005E59D6" w:rsidRPr="009319B1" w:rsidRDefault="005E59D6" w:rsidP="005E59D6">
            <w:pPr>
              <w:spacing w:line="240" w:lineRule="auto"/>
              <w:rPr>
                <w:rFonts w:ascii="Times New Roman" w:hAnsi="Times New Roman"/>
                <w:sz w:val="24"/>
                <w:szCs w:val="24"/>
              </w:rPr>
            </w:pPr>
            <w:r w:rsidRPr="009319B1">
              <w:rPr>
                <w:rFonts w:ascii="Times New Roman" w:hAnsi="Times New Roman"/>
                <w:sz w:val="24"/>
                <w:szCs w:val="24"/>
              </w:rPr>
              <w:t>Hunt and Hess scale</w:t>
            </w:r>
          </w:p>
        </w:tc>
        <w:tc>
          <w:tcPr>
            <w:tcW w:w="895" w:type="dxa"/>
            <w:tcBorders>
              <w:top w:val="nil"/>
              <w:left w:val="single" w:sz="4" w:space="0" w:color="auto"/>
              <w:bottom w:val="nil"/>
              <w:right w:val="single" w:sz="4" w:space="0" w:color="auto"/>
            </w:tcBorders>
            <w:shd w:val="clear" w:color="auto" w:fill="auto"/>
            <w:noWrap/>
          </w:tcPr>
          <w:p w14:paraId="4841F3D1" w14:textId="77777777" w:rsidR="005E59D6" w:rsidRPr="009319B1" w:rsidRDefault="005E59D6" w:rsidP="005E59D6">
            <w:pPr>
              <w:spacing w:line="240" w:lineRule="auto"/>
              <w:jc w:val="center"/>
              <w:rPr>
                <w:rFonts w:ascii="Times New Roman" w:hAnsi="Times New Roman"/>
                <w:sz w:val="24"/>
                <w:szCs w:val="24"/>
              </w:rPr>
            </w:pPr>
            <w:r w:rsidRPr="009319B1">
              <w:rPr>
                <w:rFonts w:ascii="Times New Roman" w:hAnsi="Times New Roman"/>
                <w:sz w:val="24"/>
                <w:szCs w:val="24"/>
              </w:rPr>
              <w:t>-2.34</w:t>
            </w:r>
            <w:r>
              <w:rPr>
                <w:rFonts w:ascii="Times New Roman" w:hAnsi="Times New Roman"/>
                <w:sz w:val="24"/>
                <w:szCs w:val="24"/>
              </w:rPr>
              <w:t>0</w:t>
            </w:r>
          </w:p>
        </w:tc>
        <w:tc>
          <w:tcPr>
            <w:tcW w:w="772" w:type="dxa"/>
            <w:tcBorders>
              <w:top w:val="nil"/>
              <w:left w:val="single" w:sz="4" w:space="0" w:color="auto"/>
              <w:bottom w:val="nil"/>
              <w:right w:val="single" w:sz="4" w:space="0" w:color="auto"/>
            </w:tcBorders>
            <w:shd w:val="clear" w:color="auto" w:fill="auto"/>
            <w:noWrap/>
          </w:tcPr>
          <w:p w14:paraId="25336AAD" w14:textId="77777777" w:rsidR="005E59D6" w:rsidRPr="009319B1" w:rsidRDefault="005E59D6" w:rsidP="005E59D6">
            <w:pPr>
              <w:spacing w:line="240" w:lineRule="auto"/>
              <w:jc w:val="center"/>
              <w:rPr>
                <w:rFonts w:ascii="Times New Roman" w:hAnsi="Times New Roman"/>
                <w:sz w:val="24"/>
                <w:szCs w:val="24"/>
              </w:rPr>
            </w:pPr>
            <w:r w:rsidRPr="009319B1">
              <w:rPr>
                <w:rFonts w:ascii="Times New Roman" w:hAnsi="Times New Roman"/>
                <w:sz w:val="24"/>
                <w:szCs w:val="24"/>
              </w:rPr>
              <w:t>1.53</w:t>
            </w:r>
          </w:p>
        </w:tc>
        <w:tc>
          <w:tcPr>
            <w:tcW w:w="510" w:type="dxa"/>
            <w:tcBorders>
              <w:top w:val="nil"/>
              <w:left w:val="single" w:sz="4" w:space="0" w:color="auto"/>
              <w:bottom w:val="nil"/>
              <w:right w:val="single" w:sz="4" w:space="0" w:color="auto"/>
            </w:tcBorders>
            <w:shd w:val="clear" w:color="auto" w:fill="auto"/>
            <w:noWrap/>
          </w:tcPr>
          <w:p w14:paraId="409028D8" w14:textId="77777777" w:rsidR="005E59D6" w:rsidRPr="009319B1" w:rsidRDefault="005E59D6" w:rsidP="005E59D6">
            <w:pPr>
              <w:spacing w:line="240" w:lineRule="auto"/>
              <w:jc w:val="center"/>
              <w:rPr>
                <w:rFonts w:ascii="Times New Roman" w:hAnsi="Times New Roman"/>
                <w:sz w:val="24"/>
                <w:szCs w:val="24"/>
              </w:rPr>
            </w:pPr>
            <w:r w:rsidRPr="009319B1">
              <w:rPr>
                <w:rFonts w:ascii="Times New Roman" w:hAnsi="Times New Roman"/>
                <w:sz w:val="24"/>
                <w:szCs w:val="24"/>
              </w:rPr>
              <w:t>1</w:t>
            </w:r>
          </w:p>
        </w:tc>
        <w:tc>
          <w:tcPr>
            <w:tcW w:w="1086" w:type="dxa"/>
            <w:tcBorders>
              <w:top w:val="nil"/>
              <w:left w:val="single" w:sz="4" w:space="0" w:color="auto"/>
              <w:bottom w:val="nil"/>
              <w:right w:val="single" w:sz="4" w:space="0" w:color="auto"/>
            </w:tcBorders>
            <w:shd w:val="clear" w:color="auto" w:fill="auto"/>
            <w:noWrap/>
          </w:tcPr>
          <w:p w14:paraId="757BB092" w14:textId="77777777" w:rsidR="005E59D6" w:rsidRPr="009319B1" w:rsidRDefault="005E59D6" w:rsidP="005E59D6">
            <w:pPr>
              <w:spacing w:line="240" w:lineRule="auto"/>
              <w:jc w:val="center"/>
              <w:rPr>
                <w:rFonts w:ascii="Times New Roman" w:hAnsi="Times New Roman"/>
                <w:sz w:val="24"/>
                <w:szCs w:val="24"/>
              </w:rPr>
            </w:pPr>
            <w:r w:rsidRPr="009319B1">
              <w:rPr>
                <w:rFonts w:ascii="Times New Roman" w:hAnsi="Times New Roman"/>
                <w:sz w:val="24"/>
                <w:szCs w:val="24"/>
              </w:rPr>
              <w:t>0.127</w:t>
            </w:r>
            <w:r w:rsidRPr="009319B1">
              <w:rPr>
                <w:rFonts w:ascii="Times New Roman" w:hAnsi="Times New Roman"/>
                <w:sz w:val="24"/>
                <w:szCs w:val="24"/>
                <w:vertAlign w:val="superscript"/>
              </w:rPr>
              <w:t xml:space="preserve"> ns</w:t>
            </w:r>
          </w:p>
        </w:tc>
        <w:tc>
          <w:tcPr>
            <w:tcW w:w="772" w:type="dxa"/>
            <w:tcBorders>
              <w:top w:val="nil"/>
              <w:left w:val="single" w:sz="4" w:space="0" w:color="auto"/>
              <w:bottom w:val="nil"/>
              <w:right w:val="single" w:sz="4" w:space="0" w:color="auto"/>
            </w:tcBorders>
            <w:shd w:val="clear" w:color="auto" w:fill="auto"/>
            <w:noWrap/>
          </w:tcPr>
          <w:p w14:paraId="2531C388" w14:textId="77777777" w:rsidR="005E59D6" w:rsidRPr="009319B1" w:rsidRDefault="005E59D6" w:rsidP="005E59D6">
            <w:pPr>
              <w:spacing w:line="240" w:lineRule="auto"/>
              <w:jc w:val="center"/>
              <w:rPr>
                <w:rFonts w:ascii="Times New Roman" w:hAnsi="Times New Roman"/>
                <w:sz w:val="24"/>
                <w:szCs w:val="24"/>
              </w:rPr>
            </w:pPr>
            <w:r w:rsidRPr="009319B1">
              <w:rPr>
                <w:rFonts w:ascii="Times New Roman" w:hAnsi="Times New Roman"/>
                <w:sz w:val="24"/>
                <w:szCs w:val="24"/>
              </w:rPr>
              <w:t>0.09</w:t>
            </w:r>
          </w:p>
        </w:tc>
        <w:tc>
          <w:tcPr>
            <w:tcW w:w="932" w:type="dxa"/>
            <w:tcBorders>
              <w:top w:val="nil"/>
              <w:left w:val="single" w:sz="4" w:space="0" w:color="auto"/>
              <w:bottom w:val="nil"/>
              <w:right w:val="single" w:sz="4" w:space="0" w:color="auto"/>
            </w:tcBorders>
            <w:shd w:val="clear" w:color="auto" w:fill="auto"/>
            <w:noWrap/>
          </w:tcPr>
          <w:p w14:paraId="012700DE" w14:textId="77777777" w:rsidR="005E59D6" w:rsidRPr="009319B1" w:rsidRDefault="005E59D6" w:rsidP="005E59D6">
            <w:pPr>
              <w:spacing w:line="240" w:lineRule="auto"/>
              <w:jc w:val="center"/>
              <w:rPr>
                <w:rFonts w:ascii="Times New Roman" w:hAnsi="Times New Roman"/>
                <w:sz w:val="24"/>
                <w:szCs w:val="24"/>
              </w:rPr>
            </w:pPr>
            <w:r w:rsidRPr="009319B1">
              <w:rPr>
                <w:rFonts w:ascii="Times New Roman" w:hAnsi="Times New Roman"/>
                <w:sz w:val="24"/>
                <w:szCs w:val="24"/>
              </w:rPr>
              <w:t>0.01</w:t>
            </w:r>
          </w:p>
        </w:tc>
        <w:tc>
          <w:tcPr>
            <w:tcW w:w="919" w:type="dxa"/>
            <w:tcBorders>
              <w:top w:val="nil"/>
              <w:left w:val="single" w:sz="4" w:space="0" w:color="auto"/>
              <w:bottom w:val="nil"/>
              <w:right w:val="single" w:sz="4" w:space="0" w:color="auto"/>
            </w:tcBorders>
            <w:shd w:val="clear" w:color="auto" w:fill="auto"/>
            <w:noWrap/>
          </w:tcPr>
          <w:p w14:paraId="5058EA90" w14:textId="77777777" w:rsidR="005E59D6" w:rsidRPr="009319B1" w:rsidRDefault="005E59D6" w:rsidP="005E59D6">
            <w:pPr>
              <w:spacing w:line="240" w:lineRule="auto"/>
              <w:jc w:val="center"/>
              <w:rPr>
                <w:rFonts w:ascii="Times New Roman" w:hAnsi="Times New Roman"/>
                <w:sz w:val="24"/>
                <w:szCs w:val="24"/>
              </w:rPr>
            </w:pPr>
            <w:r w:rsidRPr="009319B1">
              <w:rPr>
                <w:rFonts w:ascii="Times New Roman" w:hAnsi="Times New Roman"/>
                <w:sz w:val="24"/>
                <w:szCs w:val="24"/>
              </w:rPr>
              <w:t>1.93</w:t>
            </w:r>
          </w:p>
        </w:tc>
      </w:tr>
      <w:tr w:rsidR="005E59D6" w:rsidRPr="009319B1" w14:paraId="1AEE85D8" w14:textId="77777777" w:rsidTr="002B7B95">
        <w:trPr>
          <w:trHeight w:val="360"/>
        </w:trPr>
        <w:tc>
          <w:tcPr>
            <w:tcW w:w="2772" w:type="dxa"/>
            <w:tcBorders>
              <w:top w:val="nil"/>
            </w:tcBorders>
            <w:shd w:val="clear" w:color="auto" w:fill="auto"/>
          </w:tcPr>
          <w:p w14:paraId="62F62B40" w14:textId="77777777" w:rsidR="005E59D6" w:rsidRPr="009319B1" w:rsidRDefault="005E59D6" w:rsidP="005E59D6">
            <w:pPr>
              <w:spacing w:line="240" w:lineRule="auto"/>
              <w:rPr>
                <w:rFonts w:ascii="Times New Roman" w:hAnsi="Times New Roman"/>
                <w:sz w:val="24"/>
                <w:szCs w:val="24"/>
              </w:rPr>
            </w:pPr>
            <w:r>
              <w:rPr>
                <w:rFonts w:ascii="Times New Roman" w:hAnsi="Times New Roman"/>
                <w:sz w:val="24"/>
                <w:szCs w:val="24"/>
              </w:rPr>
              <w:t>ECG</w:t>
            </w:r>
          </w:p>
        </w:tc>
        <w:tc>
          <w:tcPr>
            <w:tcW w:w="895" w:type="dxa"/>
            <w:tcBorders>
              <w:top w:val="nil"/>
            </w:tcBorders>
            <w:shd w:val="clear" w:color="auto" w:fill="auto"/>
            <w:noWrap/>
          </w:tcPr>
          <w:p w14:paraId="18E62BD1" w14:textId="77777777" w:rsidR="005E59D6" w:rsidRPr="009319B1" w:rsidRDefault="005E59D6" w:rsidP="005E59D6">
            <w:pPr>
              <w:spacing w:line="240" w:lineRule="auto"/>
              <w:jc w:val="center"/>
              <w:rPr>
                <w:rFonts w:ascii="Times New Roman" w:hAnsi="Times New Roman"/>
                <w:sz w:val="24"/>
                <w:szCs w:val="24"/>
              </w:rPr>
            </w:pPr>
            <w:r>
              <w:rPr>
                <w:rFonts w:ascii="Times New Roman" w:hAnsi="Times New Roman"/>
                <w:sz w:val="24"/>
                <w:szCs w:val="24"/>
              </w:rPr>
              <w:t>0.4</w:t>
            </w:r>
            <w:r w:rsidRPr="009319B1">
              <w:rPr>
                <w:rFonts w:ascii="Times New Roman" w:hAnsi="Times New Roman"/>
                <w:sz w:val="24"/>
                <w:szCs w:val="24"/>
              </w:rPr>
              <w:t>3</w:t>
            </w:r>
            <w:r>
              <w:rPr>
                <w:rFonts w:ascii="Times New Roman" w:hAnsi="Times New Roman"/>
                <w:sz w:val="24"/>
                <w:szCs w:val="24"/>
              </w:rPr>
              <w:t>0</w:t>
            </w:r>
          </w:p>
        </w:tc>
        <w:tc>
          <w:tcPr>
            <w:tcW w:w="772" w:type="dxa"/>
            <w:tcBorders>
              <w:top w:val="nil"/>
            </w:tcBorders>
            <w:shd w:val="clear" w:color="auto" w:fill="auto"/>
            <w:noWrap/>
          </w:tcPr>
          <w:p w14:paraId="512BA42D" w14:textId="77777777" w:rsidR="005E59D6" w:rsidRPr="009319B1" w:rsidRDefault="005E59D6" w:rsidP="005E59D6">
            <w:pPr>
              <w:spacing w:line="240" w:lineRule="auto"/>
              <w:jc w:val="center"/>
              <w:rPr>
                <w:rFonts w:ascii="Times New Roman" w:hAnsi="Times New Roman"/>
                <w:sz w:val="24"/>
                <w:szCs w:val="24"/>
              </w:rPr>
            </w:pPr>
            <w:r w:rsidRPr="009319B1">
              <w:rPr>
                <w:rFonts w:ascii="Times New Roman" w:hAnsi="Times New Roman"/>
                <w:sz w:val="24"/>
                <w:szCs w:val="24"/>
              </w:rPr>
              <w:t>0.</w:t>
            </w:r>
            <w:r>
              <w:rPr>
                <w:rFonts w:ascii="Times New Roman" w:hAnsi="Times New Roman"/>
                <w:sz w:val="24"/>
                <w:szCs w:val="24"/>
              </w:rPr>
              <w:t>6</w:t>
            </w:r>
            <w:r w:rsidRPr="009319B1">
              <w:rPr>
                <w:rFonts w:ascii="Times New Roman" w:hAnsi="Times New Roman"/>
                <w:sz w:val="24"/>
                <w:szCs w:val="24"/>
              </w:rPr>
              <w:t>1</w:t>
            </w:r>
          </w:p>
        </w:tc>
        <w:tc>
          <w:tcPr>
            <w:tcW w:w="510" w:type="dxa"/>
            <w:tcBorders>
              <w:top w:val="nil"/>
            </w:tcBorders>
            <w:shd w:val="clear" w:color="auto" w:fill="auto"/>
            <w:noWrap/>
          </w:tcPr>
          <w:p w14:paraId="1246357B" w14:textId="77777777" w:rsidR="005E59D6" w:rsidRPr="009319B1" w:rsidRDefault="005E59D6" w:rsidP="005E59D6">
            <w:pPr>
              <w:spacing w:line="240" w:lineRule="auto"/>
              <w:jc w:val="center"/>
              <w:rPr>
                <w:rFonts w:ascii="Times New Roman" w:hAnsi="Times New Roman"/>
                <w:sz w:val="24"/>
                <w:szCs w:val="24"/>
              </w:rPr>
            </w:pPr>
            <w:r w:rsidRPr="009319B1">
              <w:rPr>
                <w:rFonts w:ascii="Times New Roman" w:hAnsi="Times New Roman"/>
                <w:sz w:val="24"/>
                <w:szCs w:val="24"/>
              </w:rPr>
              <w:t>1</w:t>
            </w:r>
          </w:p>
        </w:tc>
        <w:tc>
          <w:tcPr>
            <w:tcW w:w="1086" w:type="dxa"/>
            <w:tcBorders>
              <w:top w:val="nil"/>
            </w:tcBorders>
            <w:shd w:val="clear" w:color="auto" w:fill="auto"/>
            <w:noWrap/>
          </w:tcPr>
          <w:p w14:paraId="2A7E6F13" w14:textId="77777777" w:rsidR="005E59D6" w:rsidRPr="009319B1" w:rsidRDefault="005E59D6" w:rsidP="005E59D6">
            <w:pPr>
              <w:spacing w:line="240" w:lineRule="auto"/>
              <w:jc w:val="center"/>
              <w:rPr>
                <w:rFonts w:ascii="Times New Roman" w:hAnsi="Times New Roman"/>
                <w:sz w:val="24"/>
                <w:szCs w:val="24"/>
              </w:rPr>
            </w:pPr>
            <w:r w:rsidRPr="009319B1">
              <w:rPr>
                <w:rFonts w:ascii="Times New Roman" w:hAnsi="Times New Roman"/>
                <w:sz w:val="24"/>
                <w:szCs w:val="24"/>
              </w:rPr>
              <w:t>0.</w:t>
            </w:r>
            <w:r>
              <w:rPr>
                <w:rFonts w:ascii="Times New Roman" w:hAnsi="Times New Roman"/>
                <w:sz w:val="24"/>
                <w:szCs w:val="24"/>
              </w:rPr>
              <w:t>3</w:t>
            </w:r>
            <w:r w:rsidRPr="009319B1">
              <w:rPr>
                <w:rFonts w:ascii="Times New Roman" w:hAnsi="Times New Roman"/>
                <w:sz w:val="24"/>
                <w:szCs w:val="24"/>
              </w:rPr>
              <w:t>52</w:t>
            </w:r>
            <w:r w:rsidRPr="009319B1">
              <w:rPr>
                <w:rFonts w:ascii="Times New Roman" w:hAnsi="Times New Roman"/>
                <w:sz w:val="24"/>
                <w:szCs w:val="24"/>
                <w:vertAlign w:val="superscript"/>
              </w:rPr>
              <w:t xml:space="preserve"> ns</w:t>
            </w:r>
          </w:p>
        </w:tc>
        <w:tc>
          <w:tcPr>
            <w:tcW w:w="772" w:type="dxa"/>
            <w:tcBorders>
              <w:top w:val="nil"/>
            </w:tcBorders>
            <w:shd w:val="clear" w:color="auto" w:fill="auto"/>
            <w:noWrap/>
          </w:tcPr>
          <w:p w14:paraId="4F77F901" w14:textId="77777777" w:rsidR="005E59D6" w:rsidRPr="009319B1" w:rsidRDefault="005E59D6" w:rsidP="005E59D6">
            <w:pPr>
              <w:spacing w:line="240" w:lineRule="auto"/>
              <w:jc w:val="center"/>
              <w:rPr>
                <w:rFonts w:ascii="Times New Roman" w:hAnsi="Times New Roman"/>
                <w:sz w:val="24"/>
                <w:szCs w:val="24"/>
              </w:rPr>
            </w:pPr>
            <w:r w:rsidRPr="009319B1">
              <w:rPr>
                <w:rFonts w:ascii="Times New Roman" w:hAnsi="Times New Roman"/>
                <w:sz w:val="24"/>
                <w:szCs w:val="24"/>
              </w:rPr>
              <w:t>1.</w:t>
            </w:r>
            <w:r>
              <w:rPr>
                <w:rFonts w:ascii="Times New Roman" w:hAnsi="Times New Roman"/>
                <w:sz w:val="24"/>
                <w:szCs w:val="24"/>
              </w:rPr>
              <w:t>1</w:t>
            </w:r>
            <w:r w:rsidRPr="009319B1">
              <w:rPr>
                <w:rFonts w:ascii="Times New Roman" w:hAnsi="Times New Roman"/>
                <w:sz w:val="24"/>
                <w:szCs w:val="24"/>
              </w:rPr>
              <w:t>6</w:t>
            </w:r>
          </w:p>
        </w:tc>
        <w:tc>
          <w:tcPr>
            <w:tcW w:w="932" w:type="dxa"/>
            <w:tcBorders>
              <w:top w:val="nil"/>
            </w:tcBorders>
            <w:shd w:val="clear" w:color="auto" w:fill="auto"/>
          </w:tcPr>
          <w:p w14:paraId="489871AE" w14:textId="77777777" w:rsidR="005E59D6" w:rsidRPr="009319B1" w:rsidRDefault="005E59D6" w:rsidP="005E59D6">
            <w:pPr>
              <w:spacing w:line="240" w:lineRule="auto"/>
              <w:jc w:val="center"/>
              <w:rPr>
                <w:rFonts w:ascii="Times New Roman" w:hAnsi="Times New Roman"/>
                <w:sz w:val="24"/>
                <w:szCs w:val="24"/>
              </w:rPr>
            </w:pPr>
            <w:r w:rsidRPr="009319B1">
              <w:rPr>
                <w:rFonts w:ascii="Times New Roman" w:hAnsi="Times New Roman"/>
                <w:sz w:val="24"/>
                <w:szCs w:val="24"/>
              </w:rPr>
              <w:t>0.</w:t>
            </w:r>
            <w:r>
              <w:rPr>
                <w:rFonts w:ascii="Times New Roman" w:hAnsi="Times New Roman"/>
                <w:sz w:val="24"/>
                <w:szCs w:val="24"/>
              </w:rPr>
              <w:t>5</w:t>
            </w:r>
            <w:r w:rsidRPr="009319B1">
              <w:rPr>
                <w:rFonts w:ascii="Times New Roman" w:hAnsi="Times New Roman"/>
                <w:sz w:val="24"/>
                <w:szCs w:val="24"/>
              </w:rPr>
              <w:t>6</w:t>
            </w:r>
          </w:p>
        </w:tc>
        <w:tc>
          <w:tcPr>
            <w:tcW w:w="919" w:type="dxa"/>
            <w:tcBorders>
              <w:top w:val="nil"/>
            </w:tcBorders>
            <w:shd w:val="clear" w:color="auto" w:fill="auto"/>
          </w:tcPr>
          <w:p w14:paraId="1B4E03A5" w14:textId="77777777" w:rsidR="005E59D6" w:rsidRPr="009319B1" w:rsidRDefault="005E59D6" w:rsidP="005E59D6">
            <w:pPr>
              <w:spacing w:line="240" w:lineRule="auto"/>
              <w:jc w:val="center"/>
              <w:rPr>
                <w:rFonts w:ascii="Times New Roman" w:hAnsi="Times New Roman"/>
                <w:sz w:val="24"/>
                <w:szCs w:val="24"/>
              </w:rPr>
            </w:pPr>
            <w:r>
              <w:rPr>
                <w:rFonts w:ascii="Times New Roman" w:hAnsi="Times New Roman"/>
                <w:sz w:val="24"/>
                <w:szCs w:val="24"/>
              </w:rPr>
              <w:t>2</w:t>
            </w:r>
            <w:r w:rsidRPr="009319B1">
              <w:rPr>
                <w:rFonts w:ascii="Times New Roman" w:hAnsi="Times New Roman"/>
                <w:sz w:val="24"/>
                <w:szCs w:val="24"/>
              </w:rPr>
              <w:t>.43</w:t>
            </w:r>
          </w:p>
        </w:tc>
      </w:tr>
    </w:tbl>
    <w:p w14:paraId="4B916C16" w14:textId="77777777" w:rsidR="005E59D6" w:rsidRDefault="005E59D6" w:rsidP="005E59D6">
      <w:pPr>
        <w:spacing w:line="360" w:lineRule="auto"/>
        <w:jc w:val="center"/>
        <w:rPr>
          <w:rFonts w:ascii="Times New Roman" w:hAnsi="Times New Roman" w:cs="Times New Roman"/>
          <w:b/>
          <w:sz w:val="24"/>
          <w:szCs w:val="24"/>
        </w:rPr>
      </w:pPr>
      <w:r>
        <w:rPr>
          <w:rFonts w:ascii="Times New Roman" w:hAnsi="Times New Roman" w:cs="Times New Roman"/>
          <w:b/>
          <w:sz w:val="24"/>
          <w:szCs w:val="24"/>
        </w:rPr>
        <w:t>Table-6</w:t>
      </w:r>
      <w:r w:rsidRPr="0058399A">
        <w:rPr>
          <w:b/>
        </w:rPr>
        <w:t>:</w:t>
      </w:r>
      <w:r>
        <w:rPr>
          <w:b/>
        </w:rPr>
        <w:t xml:space="preserve"> </w:t>
      </w:r>
      <w:r w:rsidRPr="0058399A">
        <w:rPr>
          <w:rFonts w:ascii="Times New Roman" w:hAnsi="Times New Roman" w:cs="Times New Roman"/>
          <w:b/>
          <w:sz w:val="24"/>
          <w:szCs w:val="24"/>
        </w:rPr>
        <w:t>Multivariate logistic regression analysis (n=95)</w:t>
      </w:r>
    </w:p>
    <w:p w14:paraId="24EC5FCF" w14:textId="77777777" w:rsidR="005E59D6" w:rsidRDefault="005E59D6" w:rsidP="005E59D6">
      <w:pPr>
        <w:spacing w:line="360" w:lineRule="auto"/>
        <w:jc w:val="both"/>
        <w:rPr>
          <w:rFonts w:ascii="Times New Roman" w:hAnsi="Times New Roman" w:cs="Times New Roman"/>
          <w:b/>
          <w:sz w:val="24"/>
          <w:szCs w:val="24"/>
        </w:rPr>
      </w:pPr>
    </w:p>
    <w:p w14:paraId="1B245D8C" w14:textId="77777777" w:rsidR="005E59D6" w:rsidRDefault="005E59D6" w:rsidP="005E59D6">
      <w:pPr>
        <w:spacing w:line="360" w:lineRule="auto"/>
        <w:jc w:val="both"/>
        <w:rPr>
          <w:rFonts w:ascii="Times New Roman" w:hAnsi="Times New Roman" w:cs="Times New Roman"/>
          <w:b/>
          <w:sz w:val="24"/>
          <w:szCs w:val="24"/>
        </w:rPr>
      </w:pPr>
    </w:p>
    <w:p w14:paraId="5D257310" w14:textId="77777777" w:rsidR="005E59D6" w:rsidRDefault="005E59D6" w:rsidP="005E59D6">
      <w:pPr>
        <w:spacing w:line="360" w:lineRule="auto"/>
        <w:jc w:val="both"/>
        <w:rPr>
          <w:rFonts w:ascii="Times New Roman" w:hAnsi="Times New Roman" w:cs="Times New Roman"/>
          <w:b/>
          <w:sz w:val="24"/>
          <w:szCs w:val="24"/>
        </w:rPr>
      </w:pPr>
    </w:p>
    <w:p w14:paraId="00BC174A" w14:textId="77777777" w:rsidR="005E59D6" w:rsidRDefault="005E59D6" w:rsidP="005E59D6">
      <w:pPr>
        <w:spacing w:line="360" w:lineRule="auto"/>
        <w:jc w:val="both"/>
        <w:rPr>
          <w:rFonts w:ascii="Times New Roman" w:hAnsi="Times New Roman" w:cs="Times New Roman"/>
          <w:b/>
          <w:sz w:val="24"/>
          <w:szCs w:val="24"/>
        </w:rPr>
      </w:pPr>
    </w:p>
    <w:p w14:paraId="4AD629A1" w14:textId="77777777" w:rsidR="005E59D6" w:rsidRDefault="005E59D6" w:rsidP="005E59D6">
      <w:pPr>
        <w:spacing w:line="360" w:lineRule="auto"/>
        <w:jc w:val="both"/>
        <w:rPr>
          <w:rFonts w:ascii="Times New Roman" w:hAnsi="Times New Roman" w:cs="Times New Roman"/>
          <w:b/>
          <w:sz w:val="24"/>
          <w:szCs w:val="24"/>
        </w:rPr>
      </w:pPr>
    </w:p>
    <w:p w14:paraId="1507E4BA" w14:textId="77777777" w:rsidR="005E59D6" w:rsidRDefault="005E59D6" w:rsidP="005E59D6">
      <w:pPr>
        <w:spacing w:line="360" w:lineRule="auto"/>
        <w:jc w:val="both"/>
        <w:rPr>
          <w:rFonts w:ascii="Times New Roman" w:hAnsi="Times New Roman" w:cs="Times New Roman"/>
          <w:b/>
          <w:sz w:val="24"/>
          <w:szCs w:val="24"/>
        </w:rPr>
      </w:pPr>
    </w:p>
    <w:p w14:paraId="6ADE6D56" w14:textId="77777777" w:rsidR="005E59D6" w:rsidRDefault="005E59D6" w:rsidP="005E59D6">
      <w:pPr>
        <w:spacing w:line="360" w:lineRule="auto"/>
        <w:jc w:val="both"/>
        <w:rPr>
          <w:rFonts w:ascii="Times New Roman" w:hAnsi="Times New Roman" w:cs="Times New Roman"/>
          <w:b/>
          <w:sz w:val="24"/>
          <w:szCs w:val="24"/>
        </w:rPr>
      </w:pPr>
    </w:p>
    <w:p w14:paraId="72157E2A" w14:textId="77777777" w:rsidR="005E59D6" w:rsidRDefault="005E59D6" w:rsidP="005E59D6">
      <w:pPr>
        <w:spacing w:line="360" w:lineRule="auto"/>
        <w:jc w:val="both"/>
        <w:rPr>
          <w:rFonts w:ascii="Times New Roman" w:hAnsi="Times New Roman" w:cs="Times New Roman"/>
          <w:b/>
          <w:sz w:val="24"/>
          <w:szCs w:val="24"/>
        </w:rPr>
      </w:pPr>
    </w:p>
    <w:p w14:paraId="3D961043" w14:textId="77777777" w:rsidR="005E59D6" w:rsidRDefault="005E59D6" w:rsidP="005E59D6">
      <w:pPr>
        <w:spacing w:line="360" w:lineRule="auto"/>
        <w:jc w:val="both"/>
        <w:rPr>
          <w:rFonts w:ascii="Times New Roman" w:hAnsi="Times New Roman" w:cs="Times New Roman"/>
          <w:b/>
          <w:sz w:val="24"/>
          <w:szCs w:val="24"/>
        </w:rPr>
      </w:pPr>
    </w:p>
    <w:p w14:paraId="40FAAFAF" w14:textId="77777777" w:rsidR="005E59D6" w:rsidRDefault="005E59D6" w:rsidP="005E59D6">
      <w:pPr>
        <w:spacing w:line="360" w:lineRule="auto"/>
        <w:jc w:val="both"/>
        <w:rPr>
          <w:rFonts w:ascii="Times New Roman" w:hAnsi="Times New Roman" w:cs="Times New Roman"/>
          <w:b/>
          <w:sz w:val="24"/>
          <w:szCs w:val="24"/>
        </w:rPr>
      </w:pPr>
    </w:p>
    <w:p w14:paraId="6C32A224" w14:textId="77777777" w:rsidR="005E59D6" w:rsidRDefault="005E59D6" w:rsidP="005E59D6">
      <w:pPr>
        <w:spacing w:line="360" w:lineRule="auto"/>
        <w:jc w:val="both"/>
        <w:rPr>
          <w:rFonts w:ascii="Times New Roman" w:hAnsi="Times New Roman" w:cs="Times New Roman"/>
          <w:b/>
          <w:sz w:val="24"/>
          <w:szCs w:val="24"/>
        </w:rPr>
      </w:pPr>
    </w:p>
    <w:p w14:paraId="6D83298C" w14:textId="77777777" w:rsidR="005E59D6" w:rsidRDefault="005E59D6" w:rsidP="005E59D6">
      <w:pPr>
        <w:spacing w:line="360" w:lineRule="auto"/>
        <w:jc w:val="both"/>
        <w:rPr>
          <w:rFonts w:ascii="Times New Roman" w:hAnsi="Times New Roman" w:cs="Times New Roman"/>
          <w:b/>
          <w:sz w:val="24"/>
          <w:szCs w:val="24"/>
        </w:rPr>
      </w:pPr>
    </w:p>
    <w:p w14:paraId="5BDDE468" w14:textId="77777777" w:rsidR="005E59D6" w:rsidRDefault="005E59D6" w:rsidP="005E59D6">
      <w:pPr>
        <w:spacing w:line="360" w:lineRule="auto"/>
        <w:jc w:val="both"/>
        <w:rPr>
          <w:rFonts w:ascii="Times New Roman" w:hAnsi="Times New Roman" w:cs="Times New Roman"/>
          <w:b/>
          <w:sz w:val="24"/>
          <w:szCs w:val="24"/>
        </w:rPr>
      </w:pPr>
    </w:p>
    <w:p w14:paraId="61A25936" w14:textId="77777777" w:rsidR="005E59D6" w:rsidRDefault="005E59D6" w:rsidP="005E59D6">
      <w:pPr>
        <w:spacing w:line="360" w:lineRule="auto"/>
        <w:jc w:val="both"/>
        <w:rPr>
          <w:rFonts w:ascii="Times New Roman" w:hAnsi="Times New Roman" w:cs="Times New Roman"/>
          <w:b/>
          <w:sz w:val="24"/>
          <w:szCs w:val="24"/>
        </w:rPr>
      </w:pPr>
    </w:p>
    <w:p w14:paraId="2C45518C" w14:textId="77777777" w:rsidR="005E59D6" w:rsidRDefault="005E59D6" w:rsidP="005E59D6">
      <w:pPr>
        <w:spacing w:line="360" w:lineRule="auto"/>
        <w:jc w:val="both"/>
        <w:rPr>
          <w:rFonts w:ascii="Times New Roman" w:hAnsi="Times New Roman" w:cs="Times New Roman"/>
          <w:b/>
          <w:sz w:val="24"/>
          <w:szCs w:val="24"/>
        </w:rPr>
      </w:pPr>
    </w:p>
    <w:p w14:paraId="6A90500E" w14:textId="77777777" w:rsidR="005E59D6" w:rsidRDefault="005E59D6" w:rsidP="005E59D6">
      <w:pPr>
        <w:spacing w:line="360" w:lineRule="auto"/>
        <w:jc w:val="both"/>
        <w:rPr>
          <w:rFonts w:ascii="Times New Roman" w:hAnsi="Times New Roman" w:cs="Times New Roman"/>
          <w:b/>
          <w:sz w:val="24"/>
          <w:szCs w:val="24"/>
        </w:rPr>
      </w:pPr>
      <w:r w:rsidRPr="00C11027">
        <w:rPr>
          <w:rFonts w:ascii="Times New Roman" w:hAnsi="Times New Roman" w:cs="Times New Roman"/>
          <w:b/>
          <w:sz w:val="24"/>
          <w:szCs w:val="24"/>
        </w:rPr>
        <w:lastRenderedPageBreak/>
        <w:t>Discussion:</w:t>
      </w:r>
    </w:p>
    <w:p w14:paraId="3D5C26F7" w14:textId="77777777" w:rsidR="005E59D6" w:rsidRDefault="005E59D6" w:rsidP="005E59D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This prospective observational </w:t>
      </w:r>
      <w:r w:rsidRPr="004D6071">
        <w:rPr>
          <w:rFonts w:ascii="Times New Roman" w:hAnsi="Times New Roman" w:cs="Times New Roman"/>
          <w:sz w:val="24"/>
          <w:szCs w:val="24"/>
        </w:rPr>
        <w:t xml:space="preserve">study was carried out with an aim to assess serum cardiac troponin I level after Subarachnoid </w:t>
      </w:r>
      <w:proofErr w:type="spellStart"/>
      <w:r w:rsidRPr="004D6071">
        <w:rPr>
          <w:rFonts w:ascii="Times New Roman" w:hAnsi="Times New Roman" w:cs="Times New Roman"/>
          <w:sz w:val="24"/>
          <w:szCs w:val="24"/>
        </w:rPr>
        <w:t>haemorrhage</w:t>
      </w:r>
      <w:proofErr w:type="spellEnd"/>
      <w:r w:rsidRPr="004D6071">
        <w:rPr>
          <w:rFonts w:ascii="Times New Roman" w:hAnsi="Times New Roman" w:cs="Times New Roman"/>
          <w:sz w:val="24"/>
          <w:szCs w:val="24"/>
        </w:rPr>
        <w:t xml:space="preserve"> (SAH) and to ascertain the mortality and morbidity in patients with Subarachnoid </w:t>
      </w:r>
      <w:proofErr w:type="spellStart"/>
      <w:r w:rsidRPr="004D6071">
        <w:rPr>
          <w:rFonts w:ascii="Times New Roman" w:hAnsi="Times New Roman" w:cs="Times New Roman"/>
          <w:sz w:val="24"/>
          <w:szCs w:val="24"/>
        </w:rPr>
        <w:t>haemorrhage</w:t>
      </w:r>
      <w:proofErr w:type="spellEnd"/>
      <w:r w:rsidRPr="004D6071">
        <w:rPr>
          <w:rFonts w:ascii="Times New Roman" w:hAnsi="Times New Roman" w:cs="Times New Roman"/>
          <w:sz w:val="24"/>
          <w:szCs w:val="24"/>
        </w:rPr>
        <w:t xml:space="preserve"> (SAH). This study also evaluates the association of serum cardiac troponin I and short term outcome in patients with subarachnoid </w:t>
      </w:r>
      <w:proofErr w:type="spellStart"/>
      <w:r w:rsidRPr="004D6071">
        <w:rPr>
          <w:rFonts w:ascii="Times New Roman" w:hAnsi="Times New Roman" w:cs="Times New Roman"/>
          <w:sz w:val="24"/>
          <w:szCs w:val="24"/>
        </w:rPr>
        <w:t>haemorrhage</w:t>
      </w:r>
      <w:proofErr w:type="spellEnd"/>
      <w:r w:rsidRPr="004D6071">
        <w:rPr>
          <w:rFonts w:ascii="Times New Roman" w:hAnsi="Times New Roman" w:cs="Times New Roman"/>
          <w:sz w:val="24"/>
          <w:szCs w:val="24"/>
        </w:rPr>
        <w:t xml:space="preserve"> (SAH) as well as to document the socio-demographic characteristics of the Subarachnoid </w:t>
      </w:r>
      <w:proofErr w:type="spellStart"/>
      <w:r w:rsidRPr="004D6071">
        <w:rPr>
          <w:rFonts w:ascii="Times New Roman" w:hAnsi="Times New Roman" w:cs="Times New Roman"/>
          <w:sz w:val="24"/>
          <w:szCs w:val="24"/>
        </w:rPr>
        <w:t>haemorrhage</w:t>
      </w:r>
      <w:proofErr w:type="spellEnd"/>
      <w:r w:rsidRPr="004D6071">
        <w:rPr>
          <w:rFonts w:ascii="Times New Roman" w:hAnsi="Times New Roman" w:cs="Times New Roman"/>
          <w:sz w:val="24"/>
          <w:szCs w:val="24"/>
        </w:rPr>
        <w:t xml:space="preserve"> (SAH) patients in our setting.</w:t>
      </w:r>
    </w:p>
    <w:p w14:paraId="134FB191" w14:textId="77777777" w:rsidR="005E59D6" w:rsidRDefault="005E59D6" w:rsidP="005E59D6">
      <w:pPr>
        <w:spacing w:line="360" w:lineRule="auto"/>
        <w:jc w:val="both"/>
        <w:rPr>
          <w:rFonts w:ascii="Times New Roman" w:hAnsi="Times New Roman" w:cs="Times New Roman"/>
          <w:sz w:val="24"/>
          <w:szCs w:val="24"/>
        </w:rPr>
      </w:pPr>
      <w:r w:rsidRPr="004D6071">
        <w:rPr>
          <w:rFonts w:ascii="Times New Roman" w:hAnsi="Times New Roman" w:cs="Times New Roman"/>
          <w:sz w:val="24"/>
          <w:szCs w:val="24"/>
        </w:rPr>
        <w:t xml:space="preserve">This study observed that the mean age was 50.51±9.13 vs 57.58±10.63 years in group I vs group II, which was significantly (p&lt;0.05) higher in group II and that is similar with </w:t>
      </w:r>
      <w:proofErr w:type="spellStart"/>
      <w:r w:rsidRPr="004D6071">
        <w:rPr>
          <w:rFonts w:ascii="Times New Roman" w:hAnsi="Times New Roman" w:cs="Times New Roman"/>
          <w:sz w:val="24"/>
          <w:szCs w:val="24"/>
        </w:rPr>
        <w:t>Miketic</w:t>
      </w:r>
      <w:proofErr w:type="spellEnd"/>
      <w:r w:rsidRPr="004D6071">
        <w:rPr>
          <w:rFonts w:ascii="Times New Roman" w:hAnsi="Times New Roman" w:cs="Times New Roman"/>
          <w:sz w:val="24"/>
          <w:szCs w:val="24"/>
        </w:rPr>
        <w:t xml:space="preserve"> et al. (2010) study, where they found the mean age was 53.61±10.3 years i</w:t>
      </w:r>
      <w:r>
        <w:rPr>
          <w:rFonts w:ascii="Times New Roman" w:hAnsi="Times New Roman" w:cs="Times New Roman"/>
          <w:sz w:val="24"/>
          <w:szCs w:val="24"/>
        </w:rPr>
        <w:t>n &lt;0.3 and 58.0±11.3 years in</w:t>
      </w:r>
      <w:r w:rsidRPr="009319B1">
        <w:rPr>
          <w:rFonts w:ascii="Times New Roman" w:hAnsi="Times New Roman"/>
          <w:sz w:val="24"/>
          <w:szCs w:val="24"/>
        </w:rPr>
        <w:sym w:font="Symbol" w:char="F0B3"/>
      </w:r>
      <w:r>
        <w:rPr>
          <w:rFonts w:ascii="Times New Roman" w:hAnsi="Times New Roman" w:cs="Times New Roman"/>
          <w:sz w:val="24"/>
          <w:szCs w:val="24"/>
        </w:rPr>
        <w:t xml:space="preserve"> </w:t>
      </w:r>
      <w:r w:rsidRPr="004D6071">
        <w:rPr>
          <w:rFonts w:ascii="Times New Roman" w:hAnsi="Times New Roman" w:cs="Times New Roman"/>
          <w:sz w:val="24"/>
          <w:szCs w:val="24"/>
        </w:rPr>
        <w:t xml:space="preserve">0.3, that was also significantly (p&lt;0.05) higher in patients with </w:t>
      </w:r>
      <w:proofErr w:type="spellStart"/>
      <w:r w:rsidRPr="004D6071">
        <w:rPr>
          <w:rFonts w:ascii="Times New Roman" w:hAnsi="Times New Roman" w:cs="Times New Roman"/>
          <w:sz w:val="24"/>
          <w:szCs w:val="24"/>
        </w:rPr>
        <w:t>cTnI</w:t>
      </w:r>
      <w:proofErr w:type="spellEnd"/>
      <w:r w:rsidRPr="004D6071">
        <w:rPr>
          <w:rFonts w:ascii="Times New Roman" w:hAnsi="Times New Roman" w:cs="Times New Roman"/>
          <w:sz w:val="24"/>
          <w:szCs w:val="24"/>
        </w:rPr>
        <w:t xml:space="preserve"> of 0.3 ng/mL or greater.</w:t>
      </w:r>
      <w:r w:rsidRPr="004D6071">
        <w:t xml:space="preserve"> </w:t>
      </w:r>
      <w:r w:rsidRPr="004D6071">
        <w:rPr>
          <w:rFonts w:ascii="Times New Roman" w:hAnsi="Times New Roman" w:cs="Times New Roman"/>
          <w:sz w:val="24"/>
          <w:szCs w:val="24"/>
        </w:rPr>
        <w:t xml:space="preserve">The study found that 57.4% patients were female in group I and 58.3% in group II. Female patients were predominant in both groups, however, the difference was statistically not significant (p&gt;0.05) between two groups. Similarly, </w:t>
      </w:r>
      <w:proofErr w:type="spellStart"/>
      <w:r w:rsidRPr="004D6071">
        <w:rPr>
          <w:rFonts w:ascii="Times New Roman" w:hAnsi="Times New Roman" w:cs="Times New Roman"/>
          <w:sz w:val="24"/>
          <w:szCs w:val="24"/>
        </w:rPr>
        <w:t>Miketic</w:t>
      </w:r>
      <w:proofErr w:type="spellEnd"/>
      <w:r w:rsidRPr="004D6071">
        <w:rPr>
          <w:rFonts w:ascii="Times New Roman" w:hAnsi="Times New Roman" w:cs="Times New Roman"/>
          <w:sz w:val="24"/>
          <w:szCs w:val="24"/>
        </w:rPr>
        <w:t xml:space="preserve"> et al. (2010) study observed that 72.0% patients female and 28.0% male were in </w:t>
      </w:r>
      <w:proofErr w:type="spellStart"/>
      <w:r w:rsidRPr="004D6071">
        <w:rPr>
          <w:rFonts w:ascii="Times New Roman" w:hAnsi="Times New Roman" w:cs="Times New Roman"/>
          <w:sz w:val="24"/>
          <w:szCs w:val="24"/>
        </w:rPr>
        <w:t>cTnI</w:t>
      </w:r>
      <w:proofErr w:type="spellEnd"/>
      <w:r w:rsidRPr="004D6071">
        <w:rPr>
          <w:rFonts w:ascii="Times New Roman" w:hAnsi="Times New Roman" w:cs="Times New Roman"/>
          <w:sz w:val="24"/>
          <w:szCs w:val="24"/>
        </w:rPr>
        <w:t xml:space="preserve"> &lt;0.3 ng/ml, 72.0% fema</w:t>
      </w:r>
      <w:r>
        <w:rPr>
          <w:rFonts w:ascii="Times New Roman" w:hAnsi="Times New Roman" w:cs="Times New Roman"/>
          <w:sz w:val="24"/>
          <w:szCs w:val="24"/>
        </w:rPr>
        <w:t xml:space="preserve">le and 28.0% male were in </w:t>
      </w:r>
      <w:proofErr w:type="spellStart"/>
      <w:r>
        <w:rPr>
          <w:rFonts w:ascii="Times New Roman" w:hAnsi="Times New Roman" w:cs="Times New Roman"/>
          <w:sz w:val="24"/>
          <w:szCs w:val="24"/>
        </w:rPr>
        <w:t>cTnI</w:t>
      </w:r>
      <w:proofErr w:type="spellEnd"/>
      <w:r>
        <w:rPr>
          <w:rFonts w:ascii="Times New Roman" w:hAnsi="Times New Roman" w:cs="Times New Roman"/>
          <w:sz w:val="24"/>
          <w:szCs w:val="24"/>
        </w:rPr>
        <w:t xml:space="preserve"> </w:t>
      </w:r>
      <w:r w:rsidRPr="009319B1">
        <w:rPr>
          <w:rFonts w:ascii="Times New Roman" w:hAnsi="Times New Roman"/>
          <w:sz w:val="24"/>
          <w:szCs w:val="24"/>
        </w:rPr>
        <w:sym w:font="Symbol" w:char="F0B3"/>
      </w:r>
      <w:r w:rsidRPr="004D6071">
        <w:rPr>
          <w:rFonts w:ascii="Times New Roman" w:hAnsi="Times New Roman" w:cs="Times New Roman"/>
          <w:sz w:val="24"/>
          <w:szCs w:val="24"/>
        </w:rPr>
        <w:t>0.3 ng/ml respectively.</w:t>
      </w:r>
      <w:r w:rsidRPr="004D6071">
        <w:t xml:space="preserve"> </w:t>
      </w:r>
      <w:r w:rsidRPr="004D6071">
        <w:rPr>
          <w:rFonts w:ascii="Times New Roman" w:hAnsi="Times New Roman" w:cs="Times New Roman"/>
          <w:sz w:val="24"/>
          <w:szCs w:val="24"/>
        </w:rPr>
        <w:t xml:space="preserve">In addition, the study deduced that 38.3% patients had hypertension in group I and 60.4% in group II. Hypertension was significantly (p&lt;0.05) higher in group II. </w:t>
      </w:r>
      <w:proofErr w:type="spellStart"/>
      <w:r w:rsidRPr="004D6071">
        <w:rPr>
          <w:rFonts w:ascii="Times New Roman" w:hAnsi="Times New Roman" w:cs="Times New Roman"/>
          <w:sz w:val="24"/>
          <w:szCs w:val="24"/>
        </w:rPr>
        <w:t>Naidech</w:t>
      </w:r>
      <w:proofErr w:type="spellEnd"/>
      <w:r w:rsidRPr="004D6071">
        <w:rPr>
          <w:rFonts w:ascii="Times New Roman" w:hAnsi="Times New Roman" w:cs="Times New Roman"/>
          <w:sz w:val="24"/>
          <w:szCs w:val="24"/>
        </w:rPr>
        <w:t xml:space="preserve"> et al. (2005) also noticed, hypertension was significantly (p&lt;0.05) higher in group II and elevated Troponin I may identify patients who are at increased risk for decompensation when hypertensive </w:t>
      </w:r>
      <w:proofErr w:type="spellStart"/>
      <w:r w:rsidRPr="004D6071">
        <w:rPr>
          <w:rFonts w:ascii="Times New Roman" w:hAnsi="Times New Roman" w:cs="Times New Roman"/>
          <w:sz w:val="24"/>
          <w:szCs w:val="24"/>
        </w:rPr>
        <w:t>hypervolemic</w:t>
      </w:r>
      <w:proofErr w:type="spellEnd"/>
      <w:r w:rsidRPr="004D6071">
        <w:rPr>
          <w:rFonts w:ascii="Times New Roman" w:hAnsi="Times New Roman" w:cs="Times New Roman"/>
          <w:sz w:val="24"/>
          <w:szCs w:val="24"/>
        </w:rPr>
        <w:t xml:space="preserve"> therapy is used.</w:t>
      </w:r>
    </w:p>
    <w:p w14:paraId="735BC75D" w14:textId="77777777" w:rsidR="005E59D6" w:rsidRDefault="005E59D6" w:rsidP="005E59D6">
      <w:pPr>
        <w:spacing w:line="360" w:lineRule="auto"/>
        <w:jc w:val="both"/>
        <w:rPr>
          <w:rFonts w:ascii="Times New Roman" w:hAnsi="Times New Roman" w:cs="Times New Roman"/>
          <w:sz w:val="24"/>
          <w:szCs w:val="24"/>
        </w:rPr>
      </w:pPr>
      <w:r w:rsidRPr="004D6071">
        <w:rPr>
          <w:rFonts w:ascii="Times New Roman" w:hAnsi="Times New Roman" w:cs="Times New Roman"/>
          <w:sz w:val="24"/>
          <w:szCs w:val="24"/>
        </w:rPr>
        <w:t xml:space="preserve">The study also revealed that the mean GCS was 13.85±1.41 in group I and 12.20±2.68 in group II. The mean GCS was significantly (p&lt;0.05) lower in group II. </w:t>
      </w:r>
      <w:proofErr w:type="spellStart"/>
      <w:r w:rsidRPr="004D6071">
        <w:rPr>
          <w:rFonts w:ascii="Times New Roman" w:hAnsi="Times New Roman" w:cs="Times New Roman"/>
          <w:sz w:val="24"/>
          <w:szCs w:val="24"/>
        </w:rPr>
        <w:t>Miketic</w:t>
      </w:r>
      <w:proofErr w:type="spellEnd"/>
      <w:r w:rsidRPr="004D6071">
        <w:rPr>
          <w:rFonts w:ascii="Times New Roman" w:hAnsi="Times New Roman" w:cs="Times New Roman"/>
          <w:sz w:val="24"/>
          <w:szCs w:val="24"/>
        </w:rPr>
        <w:t xml:space="preserve"> et al. (2010) study reported that patients with Troponin I of 0.3 ng/mL or greater had a lower mean admission GCS score(10.4±4.47) indicative of a more severe injury, than did patients with Troponin I less than 0.3 ng/mL GCS score(13.38±2.98; P&lt;0.05), which is comparable with the current study.</w:t>
      </w:r>
    </w:p>
    <w:p w14:paraId="22FC23C3" w14:textId="77777777" w:rsidR="005E59D6" w:rsidRDefault="005E59D6" w:rsidP="005E59D6">
      <w:pPr>
        <w:spacing w:line="360" w:lineRule="auto"/>
        <w:jc w:val="both"/>
        <w:rPr>
          <w:rFonts w:ascii="Times New Roman" w:hAnsi="Times New Roman" w:cs="Times New Roman"/>
          <w:sz w:val="24"/>
          <w:szCs w:val="24"/>
        </w:rPr>
      </w:pPr>
      <w:r w:rsidRPr="004D6071">
        <w:rPr>
          <w:rFonts w:ascii="Times New Roman" w:hAnsi="Times New Roman" w:cs="Times New Roman"/>
          <w:sz w:val="24"/>
          <w:szCs w:val="24"/>
        </w:rPr>
        <w:t xml:space="preserve">The degree of neurological injury as measured by the Hunt-Hess grade </w:t>
      </w:r>
      <w:r>
        <w:rPr>
          <w:rFonts w:ascii="Times New Roman" w:hAnsi="Times New Roman" w:cs="Times New Roman"/>
          <w:sz w:val="24"/>
          <w:szCs w:val="24"/>
        </w:rPr>
        <w:t xml:space="preserve">which </w:t>
      </w:r>
      <w:r w:rsidRPr="004D6071">
        <w:rPr>
          <w:rFonts w:ascii="Times New Roman" w:hAnsi="Times New Roman" w:cs="Times New Roman"/>
          <w:sz w:val="24"/>
          <w:szCs w:val="24"/>
        </w:rPr>
        <w:t xml:space="preserve">is a strong, independent predictor of myocardial necrosis after SAH, supporting the hypothesis that cardiac injury after SAH is a </w:t>
      </w:r>
      <w:proofErr w:type="spellStart"/>
      <w:r w:rsidRPr="004D6071">
        <w:rPr>
          <w:rFonts w:ascii="Times New Roman" w:hAnsi="Times New Roman" w:cs="Times New Roman"/>
          <w:sz w:val="24"/>
          <w:szCs w:val="24"/>
        </w:rPr>
        <w:t>neurally</w:t>
      </w:r>
      <w:proofErr w:type="spellEnd"/>
      <w:r w:rsidRPr="004D6071">
        <w:rPr>
          <w:rFonts w:ascii="Times New Roman" w:hAnsi="Times New Roman" w:cs="Times New Roman"/>
          <w:sz w:val="24"/>
          <w:szCs w:val="24"/>
        </w:rPr>
        <w:t xml:space="preserve"> mediated process (Tung et al. 2004). This study showed that 53.2% patients had less severe in group I and 20.8% in group II.  The difference was statistically </w:t>
      </w:r>
      <w:r w:rsidRPr="004D6071">
        <w:rPr>
          <w:rFonts w:ascii="Times New Roman" w:hAnsi="Times New Roman" w:cs="Times New Roman"/>
          <w:sz w:val="24"/>
          <w:szCs w:val="24"/>
        </w:rPr>
        <w:lastRenderedPageBreak/>
        <w:t>significant (p&lt;0.05) between two groups.</w:t>
      </w:r>
      <w:r w:rsidRPr="004D6071">
        <w:t xml:space="preserve"> </w:t>
      </w:r>
      <w:proofErr w:type="spellStart"/>
      <w:r w:rsidRPr="004D6071">
        <w:rPr>
          <w:rFonts w:ascii="Times New Roman" w:hAnsi="Times New Roman" w:cs="Times New Roman"/>
          <w:sz w:val="24"/>
          <w:szCs w:val="24"/>
        </w:rPr>
        <w:t>Naidech</w:t>
      </w:r>
      <w:proofErr w:type="spellEnd"/>
      <w:r w:rsidRPr="004D6071">
        <w:rPr>
          <w:rFonts w:ascii="Times New Roman" w:hAnsi="Times New Roman" w:cs="Times New Roman"/>
          <w:sz w:val="24"/>
          <w:szCs w:val="24"/>
        </w:rPr>
        <w:t xml:space="preserve"> et al. (2005) mentioned that admission clinical and radiographic variables predictive of increased peak troponin I levels included higher Hunt-Hess grade. The strong associations between the extent of troponin I elevation and various measures of SAH severity (e.g., Hunt-Hess grade) obtained by the authors. </w:t>
      </w:r>
      <w:proofErr w:type="spellStart"/>
      <w:r w:rsidRPr="004D6071">
        <w:rPr>
          <w:rFonts w:ascii="Times New Roman" w:hAnsi="Times New Roman" w:cs="Times New Roman"/>
          <w:sz w:val="24"/>
          <w:szCs w:val="24"/>
        </w:rPr>
        <w:t>Ramappa</w:t>
      </w:r>
      <w:proofErr w:type="spellEnd"/>
      <w:r w:rsidRPr="004D6071">
        <w:rPr>
          <w:rFonts w:ascii="Times New Roman" w:hAnsi="Times New Roman" w:cs="Times New Roman"/>
          <w:sz w:val="24"/>
          <w:szCs w:val="24"/>
        </w:rPr>
        <w:t xml:space="preserve"> et al. (2008) found Hunt and Hess scale significantly higher in group II.</w:t>
      </w:r>
    </w:p>
    <w:p w14:paraId="3DF4B5C0" w14:textId="77777777" w:rsidR="005E59D6" w:rsidRDefault="005E59D6" w:rsidP="005E59D6">
      <w:pPr>
        <w:spacing w:line="360" w:lineRule="auto"/>
        <w:jc w:val="both"/>
        <w:rPr>
          <w:rFonts w:ascii="Times New Roman" w:hAnsi="Times New Roman" w:cs="Times New Roman"/>
          <w:sz w:val="24"/>
          <w:szCs w:val="24"/>
        </w:rPr>
      </w:pPr>
      <w:r>
        <w:rPr>
          <w:rFonts w:ascii="Times New Roman" w:hAnsi="Times New Roman" w:cs="Times New Roman"/>
          <w:sz w:val="24"/>
          <w:szCs w:val="24"/>
        </w:rPr>
        <w:t>T</w:t>
      </w:r>
      <w:r w:rsidRPr="004D6071">
        <w:rPr>
          <w:rFonts w:ascii="Times New Roman" w:hAnsi="Times New Roman" w:cs="Times New Roman"/>
          <w:sz w:val="24"/>
          <w:szCs w:val="24"/>
        </w:rPr>
        <w:t xml:space="preserve">he mean serum cardiac troponin I was 0.12±0.05 in group I and 0.65±0.36 in group II. The mean serum cardiac troponin I was significantly (p&lt;0.05) higher in group II. A cardiac troponin I level &gt;1.0 </w:t>
      </w:r>
      <w:proofErr w:type="spellStart"/>
      <w:r w:rsidRPr="004D6071">
        <w:rPr>
          <w:rFonts w:ascii="Times New Roman" w:hAnsi="Times New Roman" w:cs="Times New Roman"/>
          <w:sz w:val="24"/>
          <w:szCs w:val="24"/>
        </w:rPr>
        <w:t>μg</w:t>
      </w:r>
      <w:proofErr w:type="spellEnd"/>
      <w:r w:rsidRPr="004D6071">
        <w:rPr>
          <w:rFonts w:ascii="Times New Roman" w:hAnsi="Times New Roman" w:cs="Times New Roman"/>
          <w:sz w:val="24"/>
          <w:szCs w:val="24"/>
        </w:rPr>
        <w:t>/L is independent predictor for the development of regional wall motion abnormalities, frequent after SAH (</w:t>
      </w:r>
      <w:proofErr w:type="spellStart"/>
      <w:r w:rsidRPr="004D6071">
        <w:rPr>
          <w:rFonts w:ascii="Times New Roman" w:hAnsi="Times New Roman" w:cs="Times New Roman"/>
          <w:sz w:val="24"/>
          <w:szCs w:val="24"/>
        </w:rPr>
        <w:t>Kothavale</w:t>
      </w:r>
      <w:proofErr w:type="spellEnd"/>
      <w:r w:rsidRPr="004D6071">
        <w:rPr>
          <w:rFonts w:ascii="Times New Roman" w:hAnsi="Times New Roman" w:cs="Times New Roman"/>
          <w:sz w:val="24"/>
          <w:szCs w:val="24"/>
        </w:rPr>
        <w:t xml:space="preserve"> et al. 2006). Thus left ventricular wall motion abnormalities seen on echocardiography are more common in patients with elevated troponin (Sak</w:t>
      </w:r>
      <w:r>
        <w:rPr>
          <w:rFonts w:ascii="Times New Roman" w:hAnsi="Times New Roman" w:cs="Times New Roman"/>
          <w:sz w:val="24"/>
          <w:szCs w:val="24"/>
        </w:rPr>
        <w:t>ar et al. 2018</w:t>
      </w:r>
      <w:r w:rsidRPr="004D6071">
        <w:rPr>
          <w:rFonts w:ascii="Times New Roman" w:hAnsi="Times New Roman" w:cs="Times New Roman"/>
          <w:sz w:val="24"/>
          <w:szCs w:val="24"/>
        </w:rPr>
        <w:t>).</w:t>
      </w:r>
    </w:p>
    <w:p w14:paraId="6FED4C48" w14:textId="77777777" w:rsidR="005E59D6" w:rsidRDefault="005E59D6" w:rsidP="005E59D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This present study also demonstrated </w:t>
      </w:r>
      <w:r w:rsidRPr="004D6071">
        <w:rPr>
          <w:rFonts w:ascii="Times New Roman" w:hAnsi="Times New Roman" w:cs="Times New Roman"/>
          <w:sz w:val="24"/>
          <w:szCs w:val="24"/>
        </w:rPr>
        <w:t>that the mean serum cardiac troponin I was 0.25±0.22 in independent, 0.35±0.24 dependent and 0.86±0.45 in death. The mean serum cardiac troponin I was significantly (p&lt;0.05) higher in death patients.</w:t>
      </w:r>
      <w:r w:rsidRPr="004D6071">
        <w:t xml:space="preserve"> </w:t>
      </w:r>
      <w:r w:rsidRPr="004D6071">
        <w:rPr>
          <w:rFonts w:ascii="Times New Roman" w:hAnsi="Times New Roman" w:cs="Times New Roman"/>
          <w:sz w:val="24"/>
          <w:szCs w:val="24"/>
        </w:rPr>
        <w:t xml:space="preserve">Receiver-operator characteristic (ROC) was constructed using serum cardiac troponin I had area under the curve 0.883, showed with a cut off value of &gt;0.3 having 85.7% sensitivity and 72.0% specificity for prediction of death in patients with Subarachnoid </w:t>
      </w:r>
      <w:proofErr w:type="spellStart"/>
      <w:r w:rsidRPr="004D6071">
        <w:rPr>
          <w:rFonts w:ascii="Times New Roman" w:hAnsi="Times New Roman" w:cs="Times New Roman"/>
          <w:sz w:val="24"/>
          <w:szCs w:val="24"/>
        </w:rPr>
        <w:t>Haemorrhage</w:t>
      </w:r>
      <w:proofErr w:type="spellEnd"/>
      <w:r w:rsidRPr="004D6071">
        <w:rPr>
          <w:rFonts w:ascii="Times New Roman" w:hAnsi="Times New Roman" w:cs="Times New Roman"/>
          <w:sz w:val="24"/>
          <w:szCs w:val="24"/>
        </w:rPr>
        <w:t xml:space="preserve">. Similarly, </w:t>
      </w:r>
      <w:proofErr w:type="spellStart"/>
      <w:r w:rsidRPr="004D6071">
        <w:rPr>
          <w:rFonts w:ascii="Times New Roman" w:hAnsi="Times New Roman" w:cs="Times New Roman"/>
          <w:sz w:val="24"/>
          <w:szCs w:val="24"/>
        </w:rPr>
        <w:t>Miketic</w:t>
      </w:r>
      <w:proofErr w:type="spellEnd"/>
      <w:r w:rsidRPr="004D6071">
        <w:rPr>
          <w:rFonts w:ascii="Times New Roman" w:hAnsi="Times New Roman" w:cs="Times New Roman"/>
          <w:sz w:val="24"/>
          <w:szCs w:val="24"/>
        </w:rPr>
        <w:t xml:space="preserve"> et al. (2010) study found poor outco</w:t>
      </w:r>
      <w:r>
        <w:rPr>
          <w:rFonts w:ascii="Times New Roman" w:hAnsi="Times New Roman" w:cs="Times New Roman"/>
          <w:sz w:val="24"/>
          <w:szCs w:val="24"/>
        </w:rPr>
        <w:t xml:space="preserve">me 45.0% in cardiac troponin I </w:t>
      </w:r>
      <w:r w:rsidRPr="009319B1">
        <w:rPr>
          <w:rFonts w:ascii="Times New Roman" w:hAnsi="Times New Roman"/>
          <w:sz w:val="24"/>
          <w:szCs w:val="24"/>
        </w:rPr>
        <w:sym w:font="Symbol" w:char="F0B3"/>
      </w:r>
      <w:r w:rsidRPr="004D6071">
        <w:rPr>
          <w:rFonts w:ascii="Times New Roman" w:hAnsi="Times New Roman" w:cs="Times New Roman"/>
          <w:sz w:val="24"/>
          <w:szCs w:val="24"/>
        </w:rPr>
        <w:t xml:space="preserve">0.3 ng/ml and 18.0% in cardiac troponin I &lt;0.3 ng/ml (p&lt;0.05). In another study </w:t>
      </w:r>
      <w:proofErr w:type="spellStart"/>
      <w:r w:rsidRPr="004D6071">
        <w:rPr>
          <w:rFonts w:ascii="Times New Roman" w:hAnsi="Times New Roman" w:cs="Times New Roman"/>
          <w:sz w:val="24"/>
          <w:szCs w:val="24"/>
        </w:rPr>
        <w:t>Suwatcharangkoon</w:t>
      </w:r>
      <w:proofErr w:type="spellEnd"/>
      <w:r w:rsidRPr="004D6071">
        <w:rPr>
          <w:rFonts w:ascii="Times New Roman" w:hAnsi="Times New Roman" w:cs="Times New Roman"/>
          <w:sz w:val="24"/>
          <w:szCs w:val="24"/>
        </w:rPr>
        <w:t xml:space="preserve"> et al. (2019) reported that treatment failure was associated with an increased risk of death or severe disability at 1 year modified Rankin Scale score of 4–6; 62.0% versus 25.0%; (p&lt;0.05).  In the same direction, Kumar et al. (2011) showed that neurological outcome was adversely related to increase in troponin I levels and </w:t>
      </w:r>
      <w:proofErr w:type="spellStart"/>
      <w:r w:rsidRPr="004D6071">
        <w:rPr>
          <w:rFonts w:ascii="Times New Roman" w:hAnsi="Times New Roman" w:cs="Times New Roman"/>
          <w:sz w:val="24"/>
          <w:szCs w:val="24"/>
        </w:rPr>
        <w:t>Ahmadian</w:t>
      </w:r>
      <w:proofErr w:type="spellEnd"/>
      <w:r w:rsidRPr="004D6071">
        <w:rPr>
          <w:rFonts w:ascii="Times New Roman" w:hAnsi="Times New Roman" w:cs="Times New Roman"/>
          <w:sz w:val="24"/>
          <w:szCs w:val="24"/>
        </w:rPr>
        <w:t xml:space="preserve"> et al. (2013) reported that associated levels of troponin I &gt;1 </w:t>
      </w:r>
      <w:proofErr w:type="spellStart"/>
      <w:r w:rsidRPr="004D6071">
        <w:rPr>
          <w:rFonts w:ascii="Times New Roman" w:hAnsi="Times New Roman" w:cs="Times New Roman"/>
          <w:sz w:val="24"/>
          <w:szCs w:val="24"/>
        </w:rPr>
        <w:t>μg</w:t>
      </w:r>
      <w:proofErr w:type="spellEnd"/>
      <w:r w:rsidRPr="004D6071">
        <w:rPr>
          <w:rFonts w:ascii="Times New Roman" w:hAnsi="Times New Roman" w:cs="Times New Roman"/>
          <w:sz w:val="24"/>
          <w:szCs w:val="24"/>
        </w:rPr>
        <w:t xml:space="preserve">/L are ten times higher risk of death. </w:t>
      </w:r>
    </w:p>
    <w:p w14:paraId="7D945592" w14:textId="77777777" w:rsidR="005E59D6" w:rsidRDefault="005E59D6" w:rsidP="005E59D6">
      <w:pPr>
        <w:spacing w:line="360" w:lineRule="auto"/>
        <w:jc w:val="both"/>
        <w:rPr>
          <w:rFonts w:ascii="Times New Roman" w:hAnsi="Times New Roman" w:cs="Times New Roman"/>
          <w:sz w:val="24"/>
          <w:szCs w:val="24"/>
        </w:rPr>
      </w:pPr>
      <w:r w:rsidRPr="004D6071">
        <w:rPr>
          <w:rFonts w:ascii="Times New Roman" w:hAnsi="Times New Roman" w:cs="Times New Roman"/>
          <w:sz w:val="24"/>
          <w:szCs w:val="24"/>
        </w:rPr>
        <w:t xml:space="preserve">In a large sample </w:t>
      </w:r>
      <w:proofErr w:type="spellStart"/>
      <w:r w:rsidRPr="004D6071">
        <w:rPr>
          <w:rFonts w:ascii="Times New Roman" w:hAnsi="Times New Roman" w:cs="Times New Roman"/>
          <w:sz w:val="24"/>
          <w:szCs w:val="24"/>
        </w:rPr>
        <w:t>Miketic</w:t>
      </w:r>
      <w:proofErr w:type="spellEnd"/>
      <w:r w:rsidRPr="004D6071">
        <w:rPr>
          <w:rFonts w:ascii="Times New Roman" w:hAnsi="Times New Roman" w:cs="Times New Roman"/>
          <w:sz w:val="24"/>
          <w:szCs w:val="24"/>
        </w:rPr>
        <w:t xml:space="preserve"> et al. (2010) found that 0.3 ng/mL or greater is an independent predictor of poorer functional outcomes even after adjustments for other potentially confounding factors such as race, sex, age, and, most importantly, SAH severity. Strikingly, their patients with elevated cardiac troponin I had nearly a 3-fold greater risk for poorer functional recovery and a 2-fold greater risk for more functional disability than did those without elevated cardiac troponin I and these risks were independent of SAH severity which is consistent with this study.</w:t>
      </w:r>
    </w:p>
    <w:p w14:paraId="3EA3C623" w14:textId="77777777" w:rsidR="005E59D6" w:rsidRDefault="005E59D6" w:rsidP="005E59D6">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There were some limitations of the study. It was a single </w:t>
      </w:r>
      <w:proofErr w:type="spellStart"/>
      <w:r>
        <w:rPr>
          <w:rFonts w:ascii="Times New Roman" w:hAnsi="Times New Roman" w:cs="Times New Roman"/>
          <w:sz w:val="24"/>
          <w:szCs w:val="24"/>
        </w:rPr>
        <w:t>centre</w:t>
      </w:r>
      <w:proofErr w:type="spellEnd"/>
      <w:r>
        <w:rPr>
          <w:rFonts w:ascii="Times New Roman" w:hAnsi="Times New Roman" w:cs="Times New Roman"/>
          <w:sz w:val="24"/>
          <w:szCs w:val="24"/>
        </w:rPr>
        <w:t xml:space="preserve"> study with a small sample size conducted over a short period of time. Further large scale multicenter study should be done to obtain better results.</w:t>
      </w:r>
    </w:p>
    <w:p w14:paraId="45354B97" w14:textId="77777777" w:rsidR="005E59D6" w:rsidRDefault="005E59D6" w:rsidP="005E59D6">
      <w:pPr>
        <w:spacing w:line="360" w:lineRule="auto"/>
        <w:jc w:val="both"/>
        <w:rPr>
          <w:rFonts w:ascii="Times New Roman" w:hAnsi="Times New Roman" w:cs="Times New Roman"/>
          <w:b/>
          <w:sz w:val="24"/>
          <w:szCs w:val="24"/>
        </w:rPr>
      </w:pPr>
    </w:p>
    <w:p w14:paraId="2BF50F8C" w14:textId="77777777" w:rsidR="005E59D6" w:rsidRDefault="005E59D6" w:rsidP="005E59D6">
      <w:pPr>
        <w:spacing w:line="360" w:lineRule="auto"/>
        <w:jc w:val="both"/>
        <w:rPr>
          <w:rFonts w:ascii="Times New Roman" w:hAnsi="Times New Roman" w:cs="Times New Roman"/>
          <w:b/>
          <w:sz w:val="24"/>
          <w:szCs w:val="24"/>
        </w:rPr>
      </w:pPr>
      <w:r w:rsidRPr="004D6071">
        <w:rPr>
          <w:rFonts w:ascii="Times New Roman" w:hAnsi="Times New Roman" w:cs="Times New Roman"/>
          <w:b/>
          <w:sz w:val="24"/>
          <w:szCs w:val="24"/>
        </w:rPr>
        <w:t>Conclusion:</w:t>
      </w:r>
    </w:p>
    <w:p w14:paraId="736237BC" w14:textId="77777777" w:rsidR="005E59D6" w:rsidRDefault="005E59D6" w:rsidP="005E59D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current study has showed significant </w:t>
      </w:r>
      <w:r w:rsidRPr="0096468A">
        <w:rPr>
          <w:rFonts w:ascii="Times New Roman" w:hAnsi="Times New Roman" w:cs="Times New Roman"/>
          <w:sz w:val="24"/>
          <w:szCs w:val="24"/>
        </w:rPr>
        <w:t xml:space="preserve">association of serum cardiac troponin I and short term outcome in patients with Subarachnoid </w:t>
      </w:r>
      <w:proofErr w:type="spellStart"/>
      <w:r w:rsidRPr="0096468A">
        <w:rPr>
          <w:rFonts w:ascii="Times New Roman" w:hAnsi="Times New Roman" w:cs="Times New Roman"/>
          <w:sz w:val="24"/>
          <w:szCs w:val="24"/>
        </w:rPr>
        <w:t>haemorrhage</w:t>
      </w:r>
      <w:proofErr w:type="spellEnd"/>
      <w:r w:rsidRPr="0096468A">
        <w:rPr>
          <w:rFonts w:ascii="Times New Roman" w:hAnsi="Times New Roman" w:cs="Times New Roman"/>
          <w:sz w:val="24"/>
          <w:szCs w:val="24"/>
        </w:rPr>
        <w:t xml:space="preserve"> (SAH).</w:t>
      </w:r>
      <w:r w:rsidRPr="0096468A">
        <w:t xml:space="preserve"> </w:t>
      </w:r>
      <w:r w:rsidRPr="000B1DA0">
        <w:rPr>
          <w:rFonts w:ascii="Times New Roman" w:hAnsi="Times New Roman" w:cs="Times New Roman"/>
          <w:sz w:val="24"/>
          <w:szCs w:val="24"/>
        </w:rPr>
        <w:t>Besides,</w:t>
      </w:r>
      <w:r>
        <w:t xml:space="preserve"> e</w:t>
      </w:r>
      <w:r w:rsidRPr="0096468A">
        <w:rPr>
          <w:rFonts w:ascii="Times New Roman" w:hAnsi="Times New Roman" w:cs="Times New Roman"/>
          <w:sz w:val="24"/>
          <w:szCs w:val="24"/>
        </w:rPr>
        <w:t>levations in serum card</w:t>
      </w:r>
      <w:r>
        <w:rPr>
          <w:rFonts w:ascii="Times New Roman" w:hAnsi="Times New Roman" w:cs="Times New Roman"/>
          <w:sz w:val="24"/>
          <w:szCs w:val="24"/>
        </w:rPr>
        <w:t xml:space="preserve">iac troponin I is an independent predictor </w:t>
      </w:r>
      <w:r w:rsidRPr="0096468A">
        <w:rPr>
          <w:rFonts w:ascii="Times New Roman" w:hAnsi="Times New Roman" w:cs="Times New Roman"/>
          <w:sz w:val="24"/>
          <w:szCs w:val="24"/>
        </w:rPr>
        <w:t>for poorer functional recovery and more severe functional disability</w:t>
      </w:r>
      <w:r>
        <w:rPr>
          <w:rFonts w:ascii="Times New Roman" w:hAnsi="Times New Roman" w:cs="Times New Roman"/>
          <w:sz w:val="24"/>
          <w:szCs w:val="24"/>
        </w:rPr>
        <w:t xml:space="preserve"> who suffers from SAH</w:t>
      </w:r>
      <w:r w:rsidRPr="0096468A">
        <w:rPr>
          <w:rFonts w:ascii="Times New Roman" w:hAnsi="Times New Roman" w:cs="Times New Roman"/>
          <w:sz w:val="24"/>
          <w:szCs w:val="24"/>
        </w:rPr>
        <w:t>.</w:t>
      </w:r>
      <w:r w:rsidRPr="0096468A">
        <w:t xml:space="preserve"> </w:t>
      </w:r>
      <w:r>
        <w:rPr>
          <w:rFonts w:ascii="Times New Roman" w:hAnsi="Times New Roman" w:cs="Times New Roman"/>
          <w:sz w:val="24"/>
          <w:szCs w:val="24"/>
        </w:rPr>
        <w:t>That’s why the current study recommends</w:t>
      </w:r>
      <w:r w:rsidRPr="0096468A">
        <w:rPr>
          <w:rFonts w:ascii="Times New Roman" w:hAnsi="Times New Roman" w:cs="Times New Roman"/>
          <w:sz w:val="24"/>
          <w:szCs w:val="24"/>
        </w:rPr>
        <w:t xml:space="preserve"> that serum cardiac troponin I measurement should </w:t>
      </w:r>
      <w:r>
        <w:rPr>
          <w:rFonts w:ascii="Times New Roman" w:hAnsi="Times New Roman" w:cs="Times New Roman"/>
          <w:sz w:val="24"/>
          <w:szCs w:val="24"/>
        </w:rPr>
        <w:t xml:space="preserve">be considered while treating </w:t>
      </w:r>
      <w:r w:rsidRPr="0096468A">
        <w:rPr>
          <w:rFonts w:ascii="Times New Roman" w:hAnsi="Times New Roman" w:cs="Times New Roman"/>
          <w:sz w:val="24"/>
          <w:szCs w:val="24"/>
        </w:rPr>
        <w:t>patients with SAH.</w:t>
      </w:r>
    </w:p>
    <w:p w14:paraId="1A012B40" w14:textId="77777777" w:rsidR="005E59D6" w:rsidRPr="0096468A" w:rsidRDefault="005E59D6" w:rsidP="005E59D6">
      <w:pPr>
        <w:spacing w:line="360" w:lineRule="auto"/>
        <w:jc w:val="both"/>
        <w:rPr>
          <w:rFonts w:ascii="Times New Roman" w:hAnsi="Times New Roman" w:cs="Times New Roman"/>
          <w:b/>
          <w:sz w:val="24"/>
          <w:szCs w:val="24"/>
        </w:rPr>
      </w:pPr>
      <w:r w:rsidRPr="0096468A">
        <w:rPr>
          <w:rFonts w:ascii="Times New Roman" w:hAnsi="Times New Roman" w:cs="Times New Roman"/>
          <w:b/>
          <w:sz w:val="24"/>
          <w:szCs w:val="24"/>
        </w:rPr>
        <w:t>Disclaimer (Artificial intelligence):</w:t>
      </w:r>
    </w:p>
    <w:p w14:paraId="39E4E4C8" w14:textId="77777777" w:rsidR="005E59D6" w:rsidRPr="0096468A" w:rsidRDefault="005E59D6" w:rsidP="005E59D6">
      <w:pPr>
        <w:spacing w:line="360" w:lineRule="auto"/>
        <w:jc w:val="both"/>
        <w:rPr>
          <w:rFonts w:ascii="Times New Roman" w:hAnsi="Times New Roman" w:cs="Times New Roman"/>
          <w:sz w:val="24"/>
          <w:szCs w:val="24"/>
        </w:rPr>
      </w:pPr>
      <w:r w:rsidRPr="0096468A">
        <w:rPr>
          <w:rFonts w:ascii="Times New Roman" w:hAnsi="Times New Roman" w:cs="Times New Roman"/>
          <w:sz w:val="24"/>
          <w:szCs w:val="24"/>
        </w:rPr>
        <w:t>Author(s) hereby declare that no generative AI technologies such as Large Language Models (</w:t>
      </w:r>
      <w:proofErr w:type="spellStart"/>
      <w:r w:rsidRPr="0096468A">
        <w:rPr>
          <w:rFonts w:ascii="Times New Roman" w:hAnsi="Times New Roman" w:cs="Times New Roman"/>
          <w:sz w:val="24"/>
          <w:szCs w:val="24"/>
        </w:rPr>
        <w:t>ChatGPT</w:t>
      </w:r>
      <w:proofErr w:type="spellEnd"/>
      <w:r w:rsidRPr="0096468A">
        <w:rPr>
          <w:rFonts w:ascii="Times New Roman" w:hAnsi="Times New Roman" w:cs="Times New Roman"/>
          <w:sz w:val="24"/>
          <w:szCs w:val="24"/>
        </w:rPr>
        <w:t>, COPILOT, etc.) and text-to-image generators have been used during the writing or editing of this manuscript.</w:t>
      </w:r>
    </w:p>
    <w:p w14:paraId="1D299EC8" w14:textId="77777777" w:rsidR="005E59D6" w:rsidRPr="0096468A" w:rsidRDefault="005E59D6" w:rsidP="005E59D6">
      <w:pPr>
        <w:spacing w:line="360" w:lineRule="auto"/>
        <w:jc w:val="both"/>
        <w:rPr>
          <w:rFonts w:ascii="Times New Roman" w:hAnsi="Times New Roman" w:cs="Times New Roman"/>
          <w:b/>
          <w:sz w:val="24"/>
          <w:szCs w:val="24"/>
        </w:rPr>
      </w:pPr>
      <w:r w:rsidRPr="0096468A">
        <w:rPr>
          <w:rFonts w:ascii="Times New Roman" w:hAnsi="Times New Roman" w:cs="Times New Roman"/>
          <w:b/>
          <w:sz w:val="24"/>
          <w:szCs w:val="24"/>
        </w:rPr>
        <w:t>CONSENT:</w:t>
      </w:r>
    </w:p>
    <w:p w14:paraId="60BD1521" w14:textId="77777777" w:rsidR="005E59D6" w:rsidRPr="0096468A" w:rsidRDefault="005E59D6" w:rsidP="005E59D6">
      <w:pPr>
        <w:spacing w:line="360" w:lineRule="auto"/>
        <w:jc w:val="both"/>
        <w:rPr>
          <w:rFonts w:ascii="Times New Roman" w:hAnsi="Times New Roman" w:cs="Times New Roman"/>
          <w:sz w:val="24"/>
          <w:szCs w:val="24"/>
        </w:rPr>
      </w:pPr>
      <w:r w:rsidRPr="0096468A">
        <w:rPr>
          <w:rFonts w:ascii="Times New Roman" w:hAnsi="Times New Roman" w:cs="Times New Roman"/>
          <w:sz w:val="24"/>
          <w:szCs w:val="24"/>
        </w:rPr>
        <w:t>Patient’s informed written consent was taken to publish her case for academic purpose.</w:t>
      </w:r>
    </w:p>
    <w:p w14:paraId="50E06EDA" w14:textId="77777777" w:rsidR="005E59D6" w:rsidRPr="0096468A" w:rsidRDefault="005E59D6" w:rsidP="005E59D6">
      <w:pPr>
        <w:spacing w:line="360" w:lineRule="auto"/>
        <w:jc w:val="both"/>
        <w:rPr>
          <w:rFonts w:ascii="Times New Roman" w:hAnsi="Times New Roman" w:cs="Times New Roman"/>
          <w:b/>
          <w:sz w:val="24"/>
          <w:szCs w:val="24"/>
        </w:rPr>
      </w:pPr>
      <w:r w:rsidRPr="0096468A">
        <w:rPr>
          <w:rFonts w:ascii="Times New Roman" w:hAnsi="Times New Roman" w:cs="Times New Roman"/>
          <w:b/>
          <w:sz w:val="24"/>
          <w:szCs w:val="24"/>
        </w:rPr>
        <w:t>ETHICAL APPROVAL:</w:t>
      </w:r>
    </w:p>
    <w:p w14:paraId="4D096F32" w14:textId="77777777" w:rsidR="005E59D6" w:rsidRPr="0096468A" w:rsidRDefault="005E59D6" w:rsidP="005E59D6">
      <w:pPr>
        <w:spacing w:line="360" w:lineRule="auto"/>
        <w:jc w:val="both"/>
        <w:rPr>
          <w:rFonts w:ascii="Times New Roman" w:hAnsi="Times New Roman" w:cs="Times New Roman"/>
          <w:sz w:val="24"/>
          <w:szCs w:val="24"/>
        </w:rPr>
      </w:pPr>
      <w:r w:rsidRPr="0096468A">
        <w:rPr>
          <w:rFonts w:ascii="Times New Roman" w:hAnsi="Times New Roman" w:cs="Times New Roman"/>
          <w:sz w:val="24"/>
          <w:szCs w:val="24"/>
        </w:rPr>
        <w:t>As per   international   standards   or   university standards   written   ethical   approval   has   been collected from Institutional ethical committee and preserved by the authors.</w:t>
      </w:r>
    </w:p>
    <w:p w14:paraId="65D5FE04" w14:textId="77777777" w:rsidR="005E59D6" w:rsidRDefault="005E59D6" w:rsidP="005E59D6">
      <w:pPr>
        <w:spacing w:line="360" w:lineRule="auto"/>
        <w:jc w:val="both"/>
        <w:rPr>
          <w:rFonts w:ascii="Times New Roman" w:hAnsi="Times New Roman" w:cs="Times New Roman"/>
          <w:b/>
          <w:sz w:val="24"/>
          <w:szCs w:val="24"/>
        </w:rPr>
      </w:pPr>
      <w:r w:rsidRPr="000B1DA0">
        <w:rPr>
          <w:rFonts w:ascii="Times New Roman" w:hAnsi="Times New Roman" w:cs="Times New Roman"/>
          <w:b/>
          <w:sz w:val="24"/>
          <w:szCs w:val="24"/>
        </w:rPr>
        <w:t>COMPETING INTERESTS DISCLAIMER:</w:t>
      </w:r>
    </w:p>
    <w:p w14:paraId="3B5D7137" w14:textId="5D7EC222" w:rsidR="005E59D6" w:rsidRPr="005E59D6" w:rsidRDefault="005E59D6" w:rsidP="005E59D6">
      <w:pPr>
        <w:spacing w:line="360" w:lineRule="auto"/>
        <w:jc w:val="both"/>
        <w:rPr>
          <w:rFonts w:ascii="Times New Roman" w:hAnsi="Times New Roman" w:cs="Times New Roman"/>
          <w:b/>
          <w:sz w:val="24"/>
          <w:szCs w:val="24"/>
        </w:rPr>
      </w:pPr>
      <w:r w:rsidRPr="000B1DA0">
        <w:rPr>
          <w:rFonts w:ascii="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14:paraId="0ACD2AD1" w14:textId="77777777" w:rsidR="005E59D6" w:rsidRDefault="005E59D6" w:rsidP="005E59D6">
      <w:pPr>
        <w:spacing w:line="360" w:lineRule="auto"/>
        <w:jc w:val="both"/>
        <w:rPr>
          <w:rFonts w:ascii="Times New Roman" w:hAnsi="Times New Roman" w:cs="Times New Roman"/>
          <w:sz w:val="24"/>
          <w:szCs w:val="24"/>
        </w:rPr>
      </w:pPr>
    </w:p>
    <w:p w14:paraId="7BF0539D" w14:textId="77777777" w:rsidR="005E59D6" w:rsidRDefault="005E59D6" w:rsidP="005E59D6">
      <w:pPr>
        <w:spacing w:line="360" w:lineRule="auto"/>
        <w:jc w:val="both"/>
        <w:rPr>
          <w:rFonts w:ascii="Times New Roman" w:hAnsi="Times New Roman" w:cs="Times New Roman"/>
          <w:sz w:val="24"/>
          <w:szCs w:val="24"/>
        </w:rPr>
      </w:pPr>
    </w:p>
    <w:p w14:paraId="4DC49702" w14:textId="77777777" w:rsidR="005E59D6" w:rsidRDefault="005E59D6" w:rsidP="005E59D6">
      <w:pPr>
        <w:spacing w:line="360" w:lineRule="auto"/>
        <w:jc w:val="both"/>
        <w:rPr>
          <w:rFonts w:ascii="Times New Roman" w:hAnsi="Times New Roman" w:cs="Times New Roman"/>
          <w:sz w:val="24"/>
          <w:szCs w:val="24"/>
        </w:rPr>
      </w:pPr>
    </w:p>
    <w:p w14:paraId="6B4895D3" w14:textId="77777777" w:rsidR="005E59D6" w:rsidRDefault="005E59D6" w:rsidP="005E59D6">
      <w:pPr>
        <w:spacing w:line="360" w:lineRule="auto"/>
        <w:jc w:val="both"/>
        <w:rPr>
          <w:rFonts w:ascii="Times New Roman" w:hAnsi="Times New Roman" w:cs="Times New Roman"/>
          <w:b/>
          <w:sz w:val="24"/>
          <w:szCs w:val="24"/>
        </w:rPr>
      </w:pPr>
      <w:r w:rsidRPr="0096468A">
        <w:rPr>
          <w:rFonts w:ascii="Times New Roman" w:hAnsi="Times New Roman" w:cs="Times New Roman"/>
          <w:b/>
          <w:sz w:val="24"/>
          <w:szCs w:val="24"/>
        </w:rPr>
        <w:lastRenderedPageBreak/>
        <w:t>References:</w:t>
      </w:r>
    </w:p>
    <w:p w14:paraId="5AA89D50" w14:textId="77777777" w:rsidR="005E59D6" w:rsidRDefault="005E59D6" w:rsidP="005E59D6">
      <w:pPr>
        <w:spacing w:line="360" w:lineRule="auto"/>
        <w:jc w:val="both"/>
        <w:rPr>
          <w:rFonts w:ascii="Times New Roman" w:hAnsi="Times New Roman" w:cs="Times New Roman"/>
          <w:sz w:val="24"/>
          <w:szCs w:val="24"/>
        </w:rPr>
      </w:pPr>
      <w:proofErr w:type="spellStart"/>
      <w:r w:rsidRPr="0096468A">
        <w:rPr>
          <w:rFonts w:ascii="Times New Roman" w:hAnsi="Times New Roman" w:cs="Times New Roman"/>
          <w:sz w:val="24"/>
          <w:szCs w:val="24"/>
        </w:rPr>
        <w:t>Ahmadian</w:t>
      </w:r>
      <w:proofErr w:type="spellEnd"/>
      <w:r w:rsidRPr="0096468A">
        <w:rPr>
          <w:rFonts w:ascii="Times New Roman" w:hAnsi="Times New Roman" w:cs="Times New Roman"/>
          <w:sz w:val="24"/>
          <w:szCs w:val="24"/>
        </w:rPr>
        <w:t xml:space="preserve">, A., </w:t>
      </w:r>
      <w:proofErr w:type="spellStart"/>
      <w:r w:rsidRPr="0096468A">
        <w:rPr>
          <w:rFonts w:ascii="Times New Roman" w:hAnsi="Times New Roman" w:cs="Times New Roman"/>
          <w:sz w:val="24"/>
          <w:szCs w:val="24"/>
        </w:rPr>
        <w:t>Mizzi</w:t>
      </w:r>
      <w:proofErr w:type="spellEnd"/>
      <w:r w:rsidRPr="0096468A">
        <w:rPr>
          <w:rFonts w:ascii="Times New Roman" w:hAnsi="Times New Roman" w:cs="Times New Roman"/>
          <w:sz w:val="24"/>
          <w:szCs w:val="24"/>
        </w:rPr>
        <w:t xml:space="preserve">, A., </w:t>
      </w:r>
      <w:proofErr w:type="spellStart"/>
      <w:r w:rsidRPr="0096468A">
        <w:rPr>
          <w:rFonts w:ascii="Times New Roman" w:hAnsi="Times New Roman" w:cs="Times New Roman"/>
          <w:sz w:val="24"/>
          <w:szCs w:val="24"/>
        </w:rPr>
        <w:t>Banasiak</w:t>
      </w:r>
      <w:proofErr w:type="spellEnd"/>
      <w:r w:rsidRPr="0096468A">
        <w:rPr>
          <w:rFonts w:ascii="Times New Roman" w:hAnsi="Times New Roman" w:cs="Times New Roman"/>
          <w:sz w:val="24"/>
          <w:szCs w:val="24"/>
        </w:rPr>
        <w:t xml:space="preserve">, M., </w:t>
      </w:r>
      <w:proofErr w:type="spellStart"/>
      <w:r w:rsidRPr="0096468A">
        <w:rPr>
          <w:rFonts w:ascii="Times New Roman" w:hAnsi="Times New Roman" w:cs="Times New Roman"/>
          <w:sz w:val="24"/>
          <w:szCs w:val="24"/>
        </w:rPr>
        <w:t>Downes</w:t>
      </w:r>
      <w:proofErr w:type="spellEnd"/>
      <w:r w:rsidRPr="0096468A">
        <w:rPr>
          <w:rFonts w:ascii="Times New Roman" w:hAnsi="Times New Roman" w:cs="Times New Roman"/>
          <w:sz w:val="24"/>
          <w:szCs w:val="24"/>
        </w:rPr>
        <w:t xml:space="preserve">, K., </w:t>
      </w:r>
      <w:proofErr w:type="spellStart"/>
      <w:r w:rsidRPr="0096468A">
        <w:rPr>
          <w:rFonts w:ascii="Times New Roman" w:hAnsi="Times New Roman" w:cs="Times New Roman"/>
          <w:sz w:val="24"/>
          <w:szCs w:val="24"/>
        </w:rPr>
        <w:t>Camporesi</w:t>
      </w:r>
      <w:proofErr w:type="spellEnd"/>
      <w:r w:rsidRPr="0096468A">
        <w:rPr>
          <w:rFonts w:ascii="Times New Roman" w:hAnsi="Times New Roman" w:cs="Times New Roman"/>
          <w:sz w:val="24"/>
          <w:szCs w:val="24"/>
        </w:rPr>
        <w:t xml:space="preserve">, E.M., </w:t>
      </w:r>
      <w:proofErr w:type="spellStart"/>
      <w:r w:rsidRPr="0096468A">
        <w:rPr>
          <w:rFonts w:ascii="Times New Roman" w:hAnsi="Times New Roman" w:cs="Times New Roman"/>
          <w:sz w:val="24"/>
          <w:szCs w:val="24"/>
        </w:rPr>
        <w:t>Sullebarger</w:t>
      </w:r>
      <w:proofErr w:type="spellEnd"/>
      <w:r w:rsidRPr="0096468A">
        <w:rPr>
          <w:rFonts w:ascii="Times New Roman" w:hAnsi="Times New Roman" w:cs="Times New Roman"/>
          <w:sz w:val="24"/>
          <w:szCs w:val="24"/>
        </w:rPr>
        <w:t xml:space="preserve">, J.T., </w:t>
      </w:r>
      <w:proofErr w:type="spellStart"/>
      <w:r w:rsidRPr="0096468A">
        <w:rPr>
          <w:rFonts w:ascii="Times New Roman" w:hAnsi="Times New Roman" w:cs="Times New Roman"/>
          <w:sz w:val="24"/>
          <w:szCs w:val="24"/>
        </w:rPr>
        <w:t>Vasan</w:t>
      </w:r>
      <w:proofErr w:type="spellEnd"/>
      <w:r w:rsidRPr="0096468A">
        <w:rPr>
          <w:rFonts w:ascii="Times New Roman" w:hAnsi="Times New Roman" w:cs="Times New Roman"/>
          <w:sz w:val="24"/>
          <w:szCs w:val="24"/>
        </w:rPr>
        <w:t xml:space="preserve">, R., </w:t>
      </w:r>
      <w:proofErr w:type="spellStart"/>
      <w:r w:rsidRPr="0096468A">
        <w:rPr>
          <w:rFonts w:ascii="Times New Roman" w:hAnsi="Times New Roman" w:cs="Times New Roman"/>
          <w:sz w:val="24"/>
          <w:szCs w:val="24"/>
        </w:rPr>
        <w:t>Mangar</w:t>
      </w:r>
      <w:proofErr w:type="spellEnd"/>
      <w:r w:rsidRPr="0096468A">
        <w:rPr>
          <w:rFonts w:ascii="Times New Roman" w:hAnsi="Times New Roman" w:cs="Times New Roman"/>
          <w:sz w:val="24"/>
          <w:szCs w:val="24"/>
        </w:rPr>
        <w:t xml:space="preserve">, D., van </w:t>
      </w:r>
      <w:proofErr w:type="spellStart"/>
      <w:r w:rsidRPr="0096468A">
        <w:rPr>
          <w:rFonts w:ascii="Times New Roman" w:hAnsi="Times New Roman" w:cs="Times New Roman"/>
          <w:sz w:val="24"/>
          <w:szCs w:val="24"/>
        </w:rPr>
        <w:t>Loveren</w:t>
      </w:r>
      <w:proofErr w:type="spellEnd"/>
      <w:r w:rsidRPr="0096468A">
        <w:rPr>
          <w:rFonts w:ascii="Times New Roman" w:hAnsi="Times New Roman" w:cs="Times New Roman"/>
          <w:sz w:val="24"/>
          <w:szCs w:val="24"/>
        </w:rPr>
        <w:t xml:space="preserve">, H.R. and </w:t>
      </w:r>
      <w:proofErr w:type="spellStart"/>
      <w:r w:rsidRPr="0096468A">
        <w:rPr>
          <w:rFonts w:ascii="Times New Roman" w:hAnsi="Times New Roman" w:cs="Times New Roman"/>
          <w:sz w:val="24"/>
          <w:szCs w:val="24"/>
        </w:rPr>
        <w:t>Agazzi</w:t>
      </w:r>
      <w:proofErr w:type="spellEnd"/>
      <w:r w:rsidRPr="0096468A">
        <w:rPr>
          <w:rFonts w:ascii="Times New Roman" w:hAnsi="Times New Roman" w:cs="Times New Roman"/>
          <w:sz w:val="24"/>
          <w:szCs w:val="24"/>
        </w:rPr>
        <w:t>, S., 2013. Cardiac manifestations of subarachnoid hemorrhage. Heart, lung and vessels, 5(3), pp.168-178.</w:t>
      </w:r>
    </w:p>
    <w:p w14:paraId="11A7E201" w14:textId="77777777" w:rsidR="005E59D6" w:rsidRDefault="005E59D6" w:rsidP="005E59D6">
      <w:pPr>
        <w:spacing w:line="360" w:lineRule="auto"/>
        <w:jc w:val="both"/>
        <w:rPr>
          <w:rFonts w:ascii="Times New Roman" w:hAnsi="Times New Roman" w:cs="Times New Roman"/>
          <w:sz w:val="24"/>
          <w:szCs w:val="24"/>
        </w:rPr>
      </w:pPr>
      <w:r w:rsidRPr="001B36F5">
        <w:rPr>
          <w:rFonts w:ascii="Times New Roman" w:hAnsi="Times New Roman" w:cs="Times New Roman"/>
          <w:sz w:val="24"/>
          <w:szCs w:val="24"/>
        </w:rPr>
        <w:t>Cushing, H., 1903. The blood-pressure reaction of acute cerebral compression, illustrated by cases of intracranial hemorrhage. The American Journal of the Medical Sciences (1827-1924), 125(6), p.1017.</w:t>
      </w:r>
    </w:p>
    <w:p w14:paraId="7095EEF7" w14:textId="77777777" w:rsidR="005E59D6" w:rsidRDefault="005E59D6" w:rsidP="005E59D6">
      <w:pPr>
        <w:spacing w:line="360" w:lineRule="auto"/>
        <w:jc w:val="both"/>
        <w:rPr>
          <w:rFonts w:ascii="Times New Roman" w:hAnsi="Times New Roman" w:cs="Times New Roman"/>
          <w:sz w:val="24"/>
          <w:szCs w:val="24"/>
        </w:rPr>
      </w:pPr>
      <w:proofErr w:type="spellStart"/>
      <w:r w:rsidRPr="001B36F5">
        <w:rPr>
          <w:rFonts w:ascii="Times New Roman" w:hAnsi="Times New Roman" w:cs="Times New Roman"/>
          <w:sz w:val="24"/>
          <w:szCs w:val="24"/>
        </w:rPr>
        <w:t>Feigin</w:t>
      </w:r>
      <w:proofErr w:type="spellEnd"/>
      <w:r w:rsidRPr="001B36F5">
        <w:rPr>
          <w:rFonts w:ascii="Times New Roman" w:hAnsi="Times New Roman" w:cs="Times New Roman"/>
          <w:sz w:val="24"/>
          <w:szCs w:val="24"/>
        </w:rPr>
        <w:t xml:space="preserve">, V.L., </w:t>
      </w:r>
      <w:proofErr w:type="spellStart"/>
      <w:r w:rsidRPr="001B36F5">
        <w:rPr>
          <w:rFonts w:ascii="Times New Roman" w:hAnsi="Times New Roman" w:cs="Times New Roman"/>
          <w:sz w:val="24"/>
          <w:szCs w:val="24"/>
        </w:rPr>
        <w:t>Rinkel</w:t>
      </w:r>
      <w:proofErr w:type="spellEnd"/>
      <w:r w:rsidRPr="001B36F5">
        <w:rPr>
          <w:rFonts w:ascii="Times New Roman" w:hAnsi="Times New Roman" w:cs="Times New Roman"/>
          <w:sz w:val="24"/>
          <w:szCs w:val="24"/>
        </w:rPr>
        <w:t xml:space="preserve">, G.J., Lawes, C.M., </w:t>
      </w:r>
      <w:proofErr w:type="spellStart"/>
      <w:r w:rsidRPr="001B36F5">
        <w:rPr>
          <w:rFonts w:ascii="Times New Roman" w:hAnsi="Times New Roman" w:cs="Times New Roman"/>
          <w:sz w:val="24"/>
          <w:szCs w:val="24"/>
        </w:rPr>
        <w:t>Algra</w:t>
      </w:r>
      <w:proofErr w:type="spellEnd"/>
      <w:r w:rsidRPr="001B36F5">
        <w:rPr>
          <w:rFonts w:ascii="Times New Roman" w:hAnsi="Times New Roman" w:cs="Times New Roman"/>
          <w:sz w:val="24"/>
          <w:szCs w:val="24"/>
        </w:rPr>
        <w:t xml:space="preserve">, A., Bennett, D.A., van </w:t>
      </w:r>
      <w:proofErr w:type="spellStart"/>
      <w:r w:rsidRPr="001B36F5">
        <w:rPr>
          <w:rFonts w:ascii="Times New Roman" w:hAnsi="Times New Roman" w:cs="Times New Roman"/>
          <w:sz w:val="24"/>
          <w:szCs w:val="24"/>
        </w:rPr>
        <w:t>Gijn</w:t>
      </w:r>
      <w:proofErr w:type="spellEnd"/>
      <w:r w:rsidRPr="001B36F5">
        <w:rPr>
          <w:rFonts w:ascii="Times New Roman" w:hAnsi="Times New Roman" w:cs="Times New Roman"/>
          <w:sz w:val="24"/>
          <w:szCs w:val="24"/>
        </w:rPr>
        <w:t>, J. and Anderson, C.S., 2005. Risk factors for subarachnoid hemorrhage: an updated systematic review of epidemiological studies. Stroke, 36(12), pp.2773-2780.</w:t>
      </w:r>
    </w:p>
    <w:p w14:paraId="42FD792F" w14:textId="77777777" w:rsidR="005E59D6" w:rsidRDefault="005E59D6" w:rsidP="005E59D6">
      <w:pPr>
        <w:spacing w:line="360" w:lineRule="auto"/>
        <w:jc w:val="both"/>
        <w:rPr>
          <w:rFonts w:ascii="Times New Roman" w:hAnsi="Times New Roman" w:cs="Times New Roman"/>
          <w:sz w:val="24"/>
          <w:szCs w:val="24"/>
        </w:rPr>
      </w:pPr>
      <w:proofErr w:type="spellStart"/>
      <w:r w:rsidRPr="001B36F5">
        <w:rPr>
          <w:rFonts w:ascii="Times New Roman" w:hAnsi="Times New Roman" w:cs="Times New Roman"/>
          <w:sz w:val="24"/>
          <w:szCs w:val="24"/>
        </w:rPr>
        <w:t>Jalanko</w:t>
      </w:r>
      <w:proofErr w:type="spellEnd"/>
      <w:r w:rsidRPr="001B36F5">
        <w:rPr>
          <w:rFonts w:ascii="Times New Roman" w:hAnsi="Times New Roman" w:cs="Times New Roman"/>
          <w:sz w:val="24"/>
          <w:szCs w:val="24"/>
        </w:rPr>
        <w:t xml:space="preserve">, M., </w:t>
      </w:r>
      <w:proofErr w:type="spellStart"/>
      <w:r w:rsidRPr="001B36F5">
        <w:rPr>
          <w:rFonts w:ascii="Times New Roman" w:hAnsi="Times New Roman" w:cs="Times New Roman"/>
          <w:sz w:val="24"/>
          <w:szCs w:val="24"/>
        </w:rPr>
        <w:t>Forsström</w:t>
      </w:r>
      <w:proofErr w:type="spellEnd"/>
      <w:r w:rsidRPr="001B36F5">
        <w:rPr>
          <w:rFonts w:ascii="Times New Roman" w:hAnsi="Times New Roman" w:cs="Times New Roman"/>
          <w:sz w:val="24"/>
          <w:szCs w:val="24"/>
        </w:rPr>
        <w:t xml:space="preserve">, F. and </w:t>
      </w:r>
      <w:proofErr w:type="spellStart"/>
      <w:r w:rsidRPr="001B36F5">
        <w:rPr>
          <w:rFonts w:ascii="Times New Roman" w:hAnsi="Times New Roman" w:cs="Times New Roman"/>
          <w:sz w:val="24"/>
          <w:szCs w:val="24"/>
        </w:rPr>
        <w:t>Lassus</w:t>
      </w:r>
      <w:proofErr w:type="spellEnd"/>
      <w:r w:rsidRPr="001B36F5">
        <w:rPr>
          <w:rFonts w:ascii="Times New Roman" w:hAnsi="Times New Roman" w:cs="Times New Roman"/>
          <w:sz w:val="24"/>
          <w:szCs w:val="24"/>
        </w:rPr>
        <w:t>, J., 2015. Cardiac troponin T elevation associated with transient global amnesia: another differential diagnosis of ‘</w:t>
      </w:r>
      <w:proofErr w:type="spellStart"/>
      <w:r w:rsidRPr="001B36F5">
        <w:rPr>
          <w:rFonts w:ascii="Times New Roman" w:hAnsi="Times New Roman" w:cs="Times New Roman"/>
          <w:sz w:val="24"/>
          <w:szCs w:val="24"/>
        </w:rPr>
        <w:t>troponosis</w:t>
      </w:r>
      <w:proofErr w:type="spellEnd"/>
      <w:r w:rsidRPr="001B36F5">
        <w:rPr>
          <w:rFonts w:ascii="Times New Roman" w:hAnsi="Times New Roman" w:cs="Times New Roman"/>
          <w:sz w:val="24"/>
          <w:szCs w:val="24"/>
        </w:rPr>
        <w:t>’. European Heart Journal: Acute Cardiovascular Care, 4(6), pp.561-564.</w:t>
      </w:r>
    </w:p>
    <w:p w14:paraId="111ED8DE" w14:textId="77777777" w:rsidR="005E59D6" w:rsidRDefault="005E59D6" w:rsidP="005E59D6">
      <w:pPr>
        <w:spacing w:line="360" w:lineRule="auto"/>
        <w:jc w:val="both"/>
        <w:rPr>
          <w:rFonts w:ascii="Times New Roman" w:hAnsi="Times New Roman" w:cs="Times New Roman"/>
          <w:sz w:val="24"/>
          <w:szCs w:val="24"/>
        </w:rPr>
      </w:pPr>
      <w:proofErr w:type="spellStart"/>
      <w:r w:rsidRPr="00AF3AB6">
        <w:rPr>
          <w:rFonts w:ascii="Times New Roman" w:hAnsi="Times New Roman" w:cs="Times New Roman"/>
          <w:sz w:val="24"/>
          <w:szCs w:val="24"/>
        </w:rPr>
        <w:t>Gupte</w:t>
      </w:r>
      <w:proofErr w:type="spellEnd"/>
      <w:r w:rsidRPr="00AF3AB6">
        <w:rPr>
          <w:rFonts w:ascii="Times New Roman" w:hAnsi="Times New Roman" w:cs="Times New Roman"/>
          <w:sz w:val="24"/>
          <w:szCs w:val="24"/>
        </w:rPr>
        <w:t xml:space="preserve"> M, John S, </w:t>
      </w:r>
      <w:proofErr w:type="spellStart"/>
      <w:r w:rsidRPr="00AF3AB6">
        <w:rPr>
          <w:rFonts w:ascii="Times New Roman" w:hAnsi="Times New Roman" w:cs="Times New Roman"/>
          <w:sz w:val="24"/>
          <w:szCs w:val="24"/>
        </w:rPr>
        <w:t>Prabhakaran</w:t>
      </w:r>
      <w:proofErr w:type="spellEnd"/>
      <w:r w:rsidRPr="00AF3AB6">
        <w:rPr>
          <w:rFonts w:ascii="Times New Roman" w:hAnsi="Times New Roman" w:cs="Times New Roman"/>
          <w:sz w:val="24"/>
          <w:szCs w:val="24"/>
        </w:rPr>
        <w:t xml:space="preserve"> S, Lee V. Troponin elevation in subarachnoid hemorrhage does not impact in-hospital mortality. </w:t>
      </w:r>
      <w:proofErr w:type="spellStart"/>
      <w:r w:rsidRPr="00AF3AB6">
        <w:rPr>
          <w:rFonts w:ascii="Times New Roman" w:hAnsi="Times New Roman" w:cs="Times New Roman"/>
          <w:sz w:val="24"/>
          <w:szCs w:val="24"/>
        </w:rPr>
        <w:t>Neurocrit</w:t>
      </w:r>
      <w:proofErr w:type="spellEnd"/>
      <w:r w:rsidRPr="00AF3AB6">
        <w:rPr>
          <w:rFonts w:ascii="Times New Roman" w:hAnsi="Times New Roman" w:cs="Times New Roman"/>
          <w:sz w:val="24"/>
          <w:szCs w:val="24"/>
        </w:rPr>
        <w:t xml:space="preserve"> Care. 2013</w:t>
      </w:r>
      <w:proofErr w:type="gramStart"/>
      <w:r w:rsidRPr="00AF3AB6">
        <w:rPr>
          <w:rFonts w:ascii="Times New Roman" w:hAnsi="Times New Roman" w:cs="Times New Roman"/>
          <w:sz w:val="24"/>
          <w:szCs w:val="24"/>
        </w:rPr>
        <w:t>;18:368</w:t>
      </w:r>
      <w:proofErr w:type="gramEnd"/>
      <w:r w:rsidRPr="00AF3AB6">
        <w:rPr>
          <w:rFonts w:ascii="Times New Roman" w:hAnsi="Times New Roman" w:cs="Times New Roman"/>
          <w:sz w:val="24"/>
          <w:szCs w:val="24"/>
        </w:rPr>
        <w:t>–373.</w:t>
      </w:r>
    </w:p>
    <w:p w14:paraId="6772797D" w14:textId="77777777" w:rsidR="005E59D6" w:rsidRDefault="005E59D6" w:rsidP="005E59D6">
      <w:pPr>
        <w:spacing w:line="360" w:lineRule="auto"/>
        <w:jc w:val="both"/>
        <w:rPr>
          <w:rFonts w:ascii="Times New Roman" w:hAnsi="Times New Roman" w:cs="Times New Roman"/>
          <w:sz w:val="24"/>
          <w:szCs w:val="24"/>
        </w:rPr>
      </w:pPr>
      <w:r w:rsidRPr="001B36F5">
        <w:rPr>
          <w:rFonts w:ascii="Times New Roman" w:hAnsi="Times New Roman" w:cs="Times New Roman"/>
          <w:sz w:val="24"/>
          <w:szCs w:val="24"/>
        </w:rPr>
        <w:t xml:space="preserve">Greenberg, M.S., 2006. Handbook of neurosurgery. 6thed. New York: </w:t>
      </w:r>
      <w:proofErr w:type="spellStart"/>
      <w:r w:rsidRPr="001B36F5">
        <w:rPr>
          <w:rFonts w:ascii="Times New Roman" w:hAnsi="Times New Roman" w:cs="Times New Roman"/>
          <w:sz w:val="24"/>
          <w:szCs w:val="24"/>
        </w:rPr>
        <w:t>Thieme</w:t>
      </w:r>
      <w:proofErr w:type="spellEnd"/>
      <w:r w:rsidRPr="001B36F5">
        <w:rPr>
          <w:rFonts w:ascii="Times New Roman" w:hAnsi="Times New Roman" w:cs="Times New Roman"/>
          <w:sz w:val="24"/>
          <w:szCs w:val="24"/>
        </w:rPr>
        <w:t xml:space="preserve"> Medical Publishers, p.789.</w:t>
      </w:r>
    </w:p>
    <w:p w14:paraId="2DAB9D22" w14:textId="77777777" w:rsidR="005E59D6" w:rsidRDefault="005E59D6" w:rsidP="005E59D6">
      <w:pPr>
        <w:spacing w:line="360" w:lineRule="auto"/>
        <w:jc w:val="both"/>
        <w:rPr>
          <w:rFonts w:ascii="Times New Roman" w:hAnsi="Times New Roman" w:cs="Times New Roman"/>
          <w:sz w:val="24"/>
          <w:szCs w:val="24"/>
        </w:rPr>
      </w:pPr>
      <w:proofErr w:type="spellStart"/>
      <w:r w:rsidRPr="0096468A">
        <w:rPr>
          <w:rFonts w:ascii="Times New Roman" w:hAnsi="Times New Roman" w:cs="Times New Roman"/>
          <w:sz w:val="24"/>
          <w:szCs w:val="24"/>
        </w:rPr>
        <w:t>Kothavale</w:t>
      </w:r>
      <w:proofErr w:type="spellEnd"/>
      <w:r w:rsidRPr="0096468A">
        <w:rPr>
          <w:rFonts w:ascii="Times New Roman" w:hAnsi="Times New Roman" w:cs="Times New Roman"/>
          <w:sz w:val="24"/>
          <w:szCs w:val="24"/>
        </w:rPr>
        <w:t xml:space="preserve">, A., </w:t>
      </w:r>
      <w:proofErr w:type="spellStart"/>
      <w:r w:rsidRPr="0096468A">
        <w:rPr>
          <w:rFonts w:ascii="Times New Roman" w:hAnsi="Times New Roman" w:cs="Times New Roman"/>
          <w:sz w:val="24"/>
          <w:szCs w:val="24"/>
        </w:rPr>
        <w:t>Banki</w:t>
      </w:r>
      <w:proofErr w:type="spellEnd"/>
      <w:r w:rsidRPr="0096468A">
        <w:rPr>
          <w:rFonts w:ascii="Times New Roman" w:hAnsi="Times New Roman" w:cs="Times New Roman"/>
          <w:sz w:val="24"/>
          <w:szCs w:val="24"/>
        </w:rPr>
        <w:t xml:space="preserve">, N.M., </w:t>
      </w:r>
      <w:proofErr w:type="spellStart"/>
      <w:r w:rsidRPr="0096468A">
        <w:rPr>
          <w:rFonts w:ascii="Times New Roman" w:hAnsi="Times New Roman" w:cs="Times New Roman"/>
          <w:sz w:val="24"/>
          <w:szCs w:val="24"/>
        </w:rPr>
        <w:t>Kopelnik</w:t>
      </w:r>
      <w:proofErr w:type="spellEnd"/>
      <w:r w:rsidRPr="0096468A">
        <w:rPr>
          <w:rFonts w:ascii="Times New Roman" w:hAnsi="Times New Roman" w:cs="Times New Roman"/>
          <w:sz w:val="24"/>
          <w:szCs w:val="24"/>
        </w:rPr>
        <w:t xml:space="preserve">, A., </w:t>
      </w:r>
      <w:proofErr w:type="spellStart"/>
      <w:r w:rsidRPr="0096468A">
        <w:rPr>
          <w:rFonts w:ascii="Times New Roman" w:hAnsi="Times New Roman" w:cs="Times New Roman"/>
          <w:sz w:val="24"/>
          <w:szCs w:val="24"/>
        </w:rPr>
        <w:t>Yarlagadda</w:t>
      </w:r>
      <w:proofErr w:type="spellEnd"/>
      <w:r w:rsidRPr="0096468A">
        <w:rPr>
          <w:rFonts w:ascii="Times New Roman" w:hAnsi="Times New Roman" w:cs="Times New Roman"/>
          <w:sz w:val="24"/>
          <w:szCs w:val="24"/>
        </w:rPr>
        <w:t xml:space="preserve">, S., Lawton, M.T., </w:t>
      </w:r>
      <w:proofErr w:type="spellStart"/>
      <w:proofErr w:type="gramStart"/>
      <w:r w:rsidRPr="0096468A">
        <w:rPr>
          <w:rFonts w:ascii="Times New Roman" w:hAnsi="Times New Roman" w:cs="Times New Roman"/>
          <w:sz w:val="24"/>
          <w:szCs w:val="24"/>
        </w:rPr>
        <w:t>Ko</w:t>
      </w:r>
      <w:proofErr w:type="spellEnd"/>
      <w:proofErr w:type="gramEnd"/>
      <w:r w:rsidRPr="0096468A">
        <w:rPr>
          <w:rFonts w:ascii="Times New Roman" w:hAnsi="Times New Roman" w:cs="Times New Roman"/>
          <w:sz w:val="24"/>
          <w:szCs w:val="24"/>
        </w:rPr>
        <w:t xml:space="preserve">, N., Smith, W.S., Drew, B., Foster, E. and </w:t>
      </w:r>
      <w:proofErr w:type="spellStart"/>
      <w:r w:rsidRPr="0096468A">
        <w:rPr>
          <w:rFonts w:ascii="Times New Roman" w:hAnsi="Times New Roman" w:cs="Times New Roman"/>
          <w:sz w:val="24"/>
          <w:szCs w:val="24"/>
        </w:rPr>
        <w:t>Zaroff</w:t>
      </w:r>
      <w:proofErr w:type="spellEnd"/>
      <w:r w:rsidRPr="0096468A">
        <w:rPr>
          <w:rFonts w:ascii="Times New Roman" w:hAnsi="Times New Roman" w:cs="Times New Roman"/>
          <w:sz w:val="24"/>
          <w:szCs w:val="24"/>
        </w:rPr>
        <w:t xml:space="preserve">, J.G., 2006. Predictors of left ventricular regional wall motion abnormalities after subarachnoid hemorrhage. </w:t>
      </w:r>
      <w:proofErr w:type="spellStart"/>
      <w:r w:rsidRPr="0096468A">
        <w:rPr>
          <w:rFonts w:ascii="Times New Roman" w:hAnsi="Times New Roman" w:cs="Times New Roman"/>
          <w:sz w:val="24"/>
          <w:szCs w:val="24"/>
        </w:rPr>
        <w:t>Neurocritical</w:t>
      </w:r>
      <w:proofErr w:type="spellEnd"/>
      <w:r w:rsidRPr="0096468A">
        <w:rPr>
          <w:rFonts w:ascii="Times New Roman" w:hAnsi="Times New Roman" w:cs="Times New Roman"/>
          <w:sz w:val="24"/>
          <w:szCs w:val="24"/>
        </w:rPr>
        <w:t xml:space="preserve"> Care, 4(3), pp.199-205.</w:t>
      </w:r>
    </w:p>
    <w:p w14:paraId="2BB7EA55" w14:textId="77777777" w:rsidR="005E59D6" w:rsidRDefault="005E59D6" w:rsidP="005E59D6">
      <w:pPr>
        <w:spacing w:line="360" w:lineRule="auto"/>
        <w:jc w:val="both"/>
        <w:rPr>
          <w:rFonts w:ascii="Times New Roman" w:hAnsi="Times New Roman" w:cs="Times New Roman"/>
          <w:sz w:val="24"/>
          <w:szCs w:val="24"/>
        </w:rPr>
      </w:pPr>
      <w:r w:rsidRPr="001B36F5">
        <w:rPr>
          <w:rFonts w:ascii="Times New Roman" w:hAnsi="Times New Roman" w:cs="Times New Roman"/>
          <w:sz w:val="24"/>
          <w:szCs w:val="24"/>
        </w:rPr>
        <w:t xml:space="preserve">Kumar, P.V., </w:t>
      </w:r>
      <w:proofErr w:type="spellStart"/>
      <w:r w:rsidRPr="001B36F5">
        <w:rPr>
          <w:rFonts w:ascii="Times New Roman" w:hAnsi="Times New Roman" w:cs="Times New Roman"/>
          <w:sz w:val="24"/>
          <w:szCs w:val="24"/>
        </w:rPr>
        <w:t>Vannemreddy</w:t>
      </w:r>
      <w:proofErr w:type="spellEnd"/>
      <w:r w:rsidRPr="001B36F5">
        <w:rPr>
          <w:rFonts w:ascii="Times New Roman" w:hAnsi="Times New Roman" w:cs="Times New Roman"/>
          <w:sz w:val="24"/>
          <w:szCs w:val="24"/>
        </w:rPr>
        <w:t>, P., Kumar, D., Nanda, A. and Reddy, P., 2011. Cardiac troponin I levels are a marker of myocardial dysfunction in subarachnoid hemorrhage and predicts poor neurologic outcome. The Journal of the Louisiana State Medical Society: official organ of the Louisiana State Medical Society, 163(5), pp.257-260.</w:t>
      </w:r>
    </w:p>
    <w:p w14:paraId="49A59592" w14:textId="77777777" w:rsidR="005E59D6" w:rsidRDefault="005E59D6" w:rsidP="005E59D6">
      <w:pPr>
        <w:spacing w:line="360" w:lineRule="auto"/>
        <w:jc w:val="both"/>
        <w:rPr>
          <w:rFonts w:ascii="Times New Roman" w:hAnsi="Times New Roman" w:cs="Times New Roman"/>
          <w:sz w:val="24"/>
          <w:szCs w:val="24"/>
        </w:rPr>
      </w:pPr>
      <w:r w:rsidRPr="001B36F5">
        <w:rPr>
          <w:rFonts w:ascii="Times New Roman" w:hAnsi="Times New Roman" w:cs="Times New Roman"/>
          <w:sz w:val="24"/>
          <w:szCs w:val="24"/>
        </w:rPr>
        <w:t xml:space="preserve">Liang, C.W., Chen, R., </w:t>
      </w:r>
      <w:proofErr w:type="spellStart"/>
      <w:r w:rsidRPr="001B36F5">
        <w:rPr>
          <w:rFonts w:ascii="Times New Roman" w:hAnsi="Times New Roman" w:cs="Times New Roman"/>
          <w:sz w:val="24"/>
          <w:szCs w:val="24"/>
        </w:rPr>
        <w:t>Macri</w:t>
      </w:r>
      <w:proofErr w:type="spellEnd"/>
      <w:r w:rsidRPr="001B36F5">
        <w:rPr>
          <w:rFonts w:ascii="Times New Roman" w:hAnsi="Times New Roman" w:cs="Times New Roman"/>
          <w:sz w:val="24"/>
          <w:szCs w:val="24"/>
        </w:rPr>
        <w:t>, E. and Naval, N., 2013. Preadmission beta-blockers are associated with decreased incidence of neurogenic stunned myocardium in aneurysmal subarachnoid hemorrhage. Journal of Stroke and Cerebrovascular Diseases, 22(5), pp.601-607.</w:t>
      </w:r>
    </w:p>
    <w:p w14:paraId="7067E1F2" w14:textId="77777777" w:rsidR="005E59D6" w:rsidRDefault="005E59D6" w:rsidP="005E59D6">
      <w:pPr>
        <w:spacing w:line="360" w:lineRule="auto"/>
        <w:jc w:val="both"/>
        <w:rPr>
          <w:rFonts w:ascii="Times New Roman" w:hAnsi="Times New Roman" w:cs="Times New Roman"/>
          <w:sz w:val="24"/>
          <w:szCs w:val="24"/>
        </w:rPr>
      </w:pPr>
      <w:r w:rsidRPr="005316DD">
        <w:rPr>
          <w:rFonts w:ascii="Times New Roman" w:hAnsi="Times New Roman" w:cs="Times New Roman"/>
          <w:sz w:val="24"/>
          <w:szCs w:val="24"/>
        </w:rPr>
        <w:lastRenderedPageBreak/>
        <w:t>Malik AN, Bradley A Gross BA, Lai PM, Moses ZB, Du R.</w:t>
      </w:r>
      <w:r w:rsidRPr="005316DD">
        <w:t xml:space="preserve"> </w:t>
      </w:r>
      <w:r w:rsidRPr="005316DD">
        <w:rPr>
          <w:rFonts w:ascii="Times New Roman" w:hAnsi="Times New Roman" w:cs="Times New Roman"/>
          <w:sz w:val="24"/>
          <w:szCs w:val="24"/>
        </w:rPr>
        <w:t>Neurogenic stress cardiomyopathy after aneurysmal subarachnoid hemorrhage.</w:t>
      </w:r>
      <w:r w:rsidRPr="005316DD">
        <w:t xml:space="preserve"> </w:t>
      </w:r>
      <w:r w:rsidRPr="005316DD">
        <w:rPr>
          <w:rFonts w:ascii="Times New Roman" w:hAnsi="Times New Roman" w:cs="Times New Roman"/>
          <w:sz w:val="24"/>
          <w:szCs w:val="24"/>
        </w:rPr>
        <w:t xml:space="preserve">World </w:t>
      </w:r>
      <w:proofErr w:type="spellStart"/>
      <w:r w:rsidRPr="005316DD">
        <w:rPr>
          <w:rFonts w:ascii="Times New Roman" w:hAnsi="Times New Roman" w:cs="Times New Roman"/>
          <w:sz w:val="24"/>
          <w:szCs w:val="24"/>
        </w:rPr>
        <w:t>Neurosurg</w:t>
      </w:r>
      <w:proofErr w:type="spellEnd"/>
      <w:r w:rsidRPr="005316DD">
        <w:rPr>
          <w:rFonts w:ascii="Times New Roman" w:hAnsi="Times New Roman" w:cs="Times New Roman"/>
          <w:sz w:val="24"/>
          <w:szCs w:val="24"/>
        </w:rPr>
        <w:t>. 2015</w:t>
      </w:r>
      <w:proofErr w:type="gramStart"/>
      <w:r w:rsidRPr="005316DD">
        <w:rPr>
          <w:rFonts w:ascii="Times New Roman" w:hAnsi="Times New Roman" w:cs="Times New Roman"/>
          <w:sz w:val="24"/>
          <w:szCs w:val="24"/>
        </w:rPr>
        <w:t>;83:880</w:t>
      </w:r>
      <w:proofErr w:type="gramEnd"/>
      <w:r w:rsidRPr="005316DD">
        <w:rPr>
          <w:rFonts w:ascii="Times New Roman" w:hAnsi="Times New Roman" w:cs="Times New Roman"/>
          <w:sz w:val="24"/>
          <w:szCs w:val="24"/>
        </w:rPr>
        <w:t>–885.</w:t>
      </w:r>
    </w:p>
    <w:p w14:paraId="5C53EDEF" w14:textId="77777777" w:rsidR="005E59D6" w:rsidRDefault="005E59D6" w:rsidP="005E59D6">
      <w:pPr>
        <w:spacing w:line="360" w:lineRule="auto"/>
        <w:jc w:val="both"/>
        <w:rPr>
          <w:rFonts w:ascii="Times New Roman" w:hAnsi="Times New Roman" w:cs="Times New Roman"/>
          <w:sz w:val="24"/>
          <w:szCs w:val="24"/>
        </w:rPr>
      </w:pPr>
      <w:proofErr w:type="spellStart"/>
      <w:r w:rsidRPr="0096468A">
        <w:rPr>
          <w:rFonts w:ascii="Times New Roman" w:hAnsi="Times New Roman" w:cs="Times New Roman"/>
          <w:sz w:val="24"/>
          <w:szCs w:val="24"/>
        </w:rPr>
        <w:t>Miketic</w:t>
      </w:r>
      <w:proofErr w:type="spellEnd"/>
      <w:r w:rsidRPr="0096468A">
        <w:rPr>
          <w:rFonts w:ascii="Times New Roman" w:hAnsi="Times New Roman" w:cs="Times New Roman"/>
          <w:sz w:val="24"/>
          <w:szCs w:val="24"/>
        </w:rPr>
        <w:t xml:space="preserve">, J.K., </w:t>
      </w:r>
      <w:proofErr w:type="spellStart"/>
      <w:r w:rsidRPr="0096468A">
        <w:rPr>
          <w:rFonts w:ascii="Times New Roman" w:hAnsi="Times New Roman" w:cs="Times New Roman"/>
          <w:sz w:val="24"/>
          <w:szCs w:val="24"/>
        </w:rPr>
        <w:t>Hravnak</w:t>
      </w:r>
      <w:proofErr w:type="spellEnd"/>
      <w:r w:rsidRPr="0096468A">
        <w:rPr>
          <w:rFonts w:ascii="Times New Roman" w:hAnsi="Times New Roman" w:cs="Times New Roman"/>
          <w:sz w:val="24"/>
          <w:szCs w:val="24"/>
        </w:rPr>
        <w:t xml:space="preserve">, M., </w:t>
      </w:r>
      <w:proofErr w:type="spellStart"/>
      <w:r w:rsidRPr="0096468A">
        <w:rPr>
          <w:rFonts w:ascii="Times New Roman" w:hAnsi="Times New Roman" w:cs="Times New Roman"/>
          <w:sz w:val="24"/>
          <w:szCs w:val="24"/>
        </w:rPr>
        <w:t>Sereika</w:t>
      </w:r>
      <w:proofErr w:type="spellEnd"/>
      <w:r w:rsidRPr="0096468A">
        <w:rPr>
          <w:rFonts w:ascii="Times New Roman" w:hAnsi="Times New Roman" w:cs="Times New Roman"/>
          <w:sz w:val="24"/>
          <w:szCs w:val="24"/>
        </w:rPr>
        <w:t xml:space="preserve">, S.M. and </w:t>
      </w:r>
      <w:proofErr w:type="spellStart"/>
      <w:r w:rsidRPr="0096468A">
        <w:rPr>
          <w:rFonts w:ascii="Times New Roman" w:hAnsi="Times New Roman" w:cs="Times New Roman"/>
          <w:sz w:val="24"/>
          <w:szCs w:val="24"/>
        </w:rPr>
        <w:t>Crago</w:t>
      </w:r>
      <w:proofErr w:type="spellEnd"/>
      <w:r w:rsidRPr="0096468A">
        <w:rPr>
          <w:rFonts w:ascii="Times New Roman" w:hAnsi="Times New Roman" w:cs="Times New Roman"/>
          <w:sz w:val="24"/>
          <w:szCs w:val="24"/>
        </w:rPr>
        <w:t>, E.A., 2010. Elevated cardiac troponin I and functional recovery and disability in patients after aneurysmal subarachnoid hemorrhage. American Journal of Critical Care, 19(6), pp.522-528.</w:t>
      </w:r>
    </w:p>
    <w:p w14:paraId="1ADBCEC1" w14:textId="77777777" w:rsidR="005E59D6" w:rsidRDefault="005E59D6" w:rsidP="005E59D6">
      <w:pPr>
        <w:spacing w:line="360" w:lineRule="auto"/>
        <w:jc w:val="both"/>
        <w:rPr>
          <w:rFonts w:ascii="Times New Roman" w:hAnsi="Times New Roman" w:cs="Times New Roman"/>
          <w:sz w:val="24"/>
          <w:szCs w:val="24"/>
        </w:rPr>
      </w:pPr>
      <w:r w:rsidRPr="001B36F5">
        <w:rPr>
          <w:rFonts w:ascii="Times New Roman" w:hAnsi="Times New Roman" w:cs="Times New Roman"/>
          <w:sz w:val="24"/>
          <w:szCs w:val="24"/>
        </w:rPr>
        <w:t xml:space="preserve">Murthy, S.B., Shah, S., Rao, C.P.V., Suarez, J.I. and </w:t>
      </w:r>
      <w:proofErr w:type="spellStart"/>
      <w:r w:rsidRPr="001B36F5">
        <w:rPr>
          <w:rFonts w:ascii="Times New Roman" w:hAnsi="Times New Roman" w:cs="Times New Roman"/>
          <w:sz w:val="24"/>
          <w:szCs w:val="24"/>
        </w:rPr>
        <w:t>Bershad</w:t>
      </w:r>
      <w:proofErr w:type="spellEnd"/>
      <w:r w:rsidRPr="001B36F5">
        <w:rPr>
          <w:rFonts w:ascii="Times New Roman" w:hAnsi="Times New Roman" w:cs="Times New Roman"/>
          <w:sz w:val="24"/>
          <w:szCs w:val="24"/>
        </w:rPr>
        <w:t>, E.M., 2014. Clinical characteristics of myocardial stunning in acute stroke. Journal of Clinical Neuroscience, 21(8), pp.1279-1282.</w:t>
      </w:r>
    </w:p>
    <w:p w14:paraId="7D978F49" w14:textId="77777777" w:rsidR="005E59D6" w:rsidRDefault="005E59D6" w:rsidP="005E59D6">
      <w:pPr>
        <w:spacing w:line="360" w:lineRule="auto"/>
        <w:jc w:val="both"/>
      </w:pPr>
      <w:proofErr w:type="spellStart"/>
      <w:r w:rsidRPr="0096468A">
        <w:rPr>
          <w:rFonts w:ascii="Times New Roman" w:hAnsi="Times New Roman" w:cs="Times New Roman"/>
          <w:sz w:val="24"/>
          <w:szCs w:val="24"/>
        </w:rPr>
        <w:t>Naidech</w:t>
      </w:r>
      <w:proofErr w:type="spellEnd"/>
      <w:r w:rsidRPr="0096468A">
        <w:rPr>
          <w:rFonts w:ascii="Times New Roman" w:hAnsi="Times New Roman" w:cs="Times New Roman"/>
          <w:sz w:val="24"/>
          <w:szCs w:val="24"/>
        </w:rPr>
        <w:t xml:space="preserve">, A.M., </w:t>
      </w:r>
      <w:proofErr w:type="spellStart"/>
      <w:r w:rsidRPr="0096468A">
        <w:rPr>
          <w:rFonts w:ascii="Times New Roman" w:hAnsi="Times New Roman" w:cs="Times New Roman"/>
          <w:sz w:val="24"/>
          <w:szCs w:val="24"/>
        </w:rPr>
        <w:t>Kreiter</w:t>
      </w:r>
      <w:proofErr w:type="spellEnd"/>
      <w:r w:rsidRPr="0096468A">
        <w:rPr>
          <w:rFonts w:ascii="Times New Roman" w:hAnsi="Times New Roman" w:cs="Times New Roman"/>
          <w:sz w:val="24"/>
          <w:szCs w:val="24"/>
        </w:rPr>
        <w:t xml:space="preserve">, K.T., </w:t>
      </w:r>
      <w:proofErr w:type="spellStart"/>
      <w:r w:rsidRPr="0096468A">
        <w:rPr>
          <w:rFonts w:ascii="Times New Roman" w:hAnsi="Times New Roman" w:cs="Times New Roman"/>
          <w:sz w:val="24"/>
          <w:szCs w:val="24"/>
        </w:rPr>
        <w:t>Janjua</w:t>
      </w:r>
      <w:proofErr w:type="spellEnd"/>
      <w:r w:rsidRPr="0096468A">
        <w:rPr>
          <w:rFonts w:ascii="Times New Roman" w:hAnsi="Times New Roman" w:cs="Times New Roman"/>
          <w:sz w:val="24"/>
          <w:szCs w:val="24"/>
        </w:rPr>
        <w:t xml:space="preserve">, N., </w:t>
      </w:r>
      <w:proofErr w:type="spellStart"/>
      <w:r w:rsidRPr="0096468A">
        <w:rPr>
          <w:rFonts w:ascii="Times New Roman" w:hAnsi="Times New Roman" w:cs="Times New Roman"/>
          <w:sz w:val="24"/>
          <w:szCs w:val="24"/>
        </w:rPr>
        <w:t>Ostapkovich</w:t>
      </w:r>
      <w:proofErr w:type="spellEnd"/>
      <w:r w:rsidRPr="0096468A">
        <w:rPr>
          <w:rFonts w:ascii="Times New Roman" w:hAnsi="Times New Roman" w:cs="Times New Roman"/>
          <w:sz w:val="24"/>
          <w:szCs w:val="24"/>
        </w:rPr>
        <w:t xml:space="preserve">, N.D., Parra, A., </w:t>
      </w:r>
      <w:proofErr w:type="spellStart"/>
      <w:r w:rsidRPr="0096468A">
        <w:rPr>
          <w:rFonts w:ascii="Times New Roman" w:hAnsi="Times New Roman" w:cs="Times New Roman"/>
          <w:sz w:val="24"/>
          <w:szCs w:val="24"/>
        </w:rPr>
        <w:t>Commichau</w:t>
      </w:r>
      <w:proofErr w:type="spellEnd"/>
      <w:r w:rsidRPr="0096468A">
        <w:rPr>
          <w:rFonts w:ascii="Times New Roman" w:hAnsi="Times New Roman" w:cs="Times New Roman"/>
          <w:sz w:val="24"/>
          <w:szCs w:val="24"/>
        </w:rPr>
        <w:t>, C., Fitzsimmons, B.F.M., Connolly, E.S. and Mayer, S.A., 2005. Cardiac troponin elevation, cardiovascular morbidity, and outcome after subarachnoid hemorrhage. Circulation, 112(18), pp.2851-2856.</w:t>
      </w:r>
      <w:r w:rsidRPr="006D6D05">
        <w:t xml:space="preserve"> </w:t>
      </w:r>
    </w:p>
    <w:p w14:paraId="3A60E72B" w14:textId="77777777" w:rsidR="005E59D6" w:rsidRDefault="005E59D6" w:rsidP="005E59D6">
      <w:pPr>
        <w:spacing w:line="360" w:lineRule="auto"/>
        <w:jc w:val="both"/>
        <w:rPr>
          <w:rFonts w:ascii="Times New Roman" w:hAnsi="Times New Roman" w:cs="Times New Roman"/>
          <w:sz w:val="24"/>
          <w:szCs w:val="24"/>
        </w:rPr>
      </w:pPr>
      <w:proofErr w:type="spellStart"/>
      <w:r w:rsidRPr="006D6D05">
        <w:rPr>
          <w:rFonts w:ascii="Times New Roman" w:hAnsi="Times New Roman" w:cs="Times New Roman"/>
          <w:sz w:val="24"/>
          <w:szCs w:val="24"/>
        </w:rPr>
        <w:t>Oras</w:t>
      </w:r>
      <w:proofErr w:type="spellEnd"/>
      <w:r w:rsidRPr="006D6D05">
        <w:rPr>
          <w:rFonts w:ascii="Times New Roman" w:hAnsi="Times New Roman" w:cs="Times New Roman"/>
          <w:sz w:val="24"/>
          <w:szCs w:val="24"/>
        </w:rPr>
        <w:t xml:space="preserve">, J., </w:t>
      </w:r>
      <w:proofErr w:type="spellStart"/>
      <w:r w:rsidRPr="006D6D05">
        <w:rPr>
          <w:rFonts w:ascii="Times New Roman" w:hAnsi="Times New Roman" w:cs="Times New Roman"/>
          <w:sz w:val="24"/>
          <w:szCs w:val="24"/>
        </w:rPr>
        <w:t>Grivans</w:t>
      </w:r>
      <w:proofErr w:type="spellEnd"/>
      <w:r w:rsidRPr="006D6D05">
        <w:rPr>
          <w:rFonts w:ascii="Times New Roman" w:hAnsi="Times New Roman" w:cs="Times New Roman"/>
          <w:sz w:val="24"/>
          <w:szCs w:val="24"/>
        </w:rPr>
        <w:t xml:space="preserve">, C., Bartley, A., </w:t>
      </w:r>
      <w:proofErr w:type="spellStart"/>
      <w:r w:rsidRPr="006D6D05">
        <w:rPr>
          <w:rFonts w:ascii="Times New Roman" w:hAnsi="Times New Roman" w:cs="Times New Roman"/>
          <w:sz w:val="24"/>
          <w:szCs w:val="24"/>
        </w:rPr>
        <w:t>Rydenhag</w:t>
      </w:r>
      <w:proofErr w:type="spellEnd"/>
      <w:r w:rsidRPr="006D6D05">
        <w:rPr>
          <w:rFonts w:ascii="Times New Roman" w:hAnsi="Times New Roman" w:cs="Times New Roman"/>
          <w:sz w:val="24"/>
          <w:szCs w:val="24"/>
        </w:rPr>
        <w:t xml:space="preserve">, B., </w:t>
      </w:r>
      <w:proofErr w:type="spellStart"/>
      <w:r w:rsidRPr="006D6D05">
        <w:rPr>
          <w:rFonts w:ascii="Times New Roman" w:hAnsi="Times New Roman" w:cs="Times New Roman"/>
          <w:sz w:val="24"/>
          <w:szCs w:val="24"/>
        </w:rPr>
        <w:t>Ricksten</w:t>
      </w:r>
      <w:proofErr w:type="spellEnd"/>
      <w:r w:rsidRPr="006D6D05">
        <w:rPr>
          <w:rFonts w:ascii="Times New Roman" w:hAnsi="Times New Roman" w:cs="Times New Roman"/>
          <w:sz w:val="24"/>
          <w:szCs w:val="24"/>
        </w:rPr>
        <w:t xml:space="preserve">, S.E. and </w:t>
      </w:r>
      <w:proofErr w:type="spellStart"/>
      <w:r w:rsidRPr="006D6D05">
        <w:rPr>
          <w:rFonts w:ascii="Times New Roman" w:hAnsi="Times New Roman" w:cs="Times New Roman"/>
          <w:sz w:val="24"/>
          <w:szCs w:val="24"/>
        </w:rPr>
        <w:t>Seeman-Lodding</w:t>
      </w:r>
      <w:proofErr w:type="spellEnd"/>
      <w:r w:rsidRPr="006D6D05">
        <w:rPr>
          <w:rFonts w:ascii="Times New Roman" w:hAnsi="Times New Roman" w:cs="Times New Roman"/>
          <w:sz w:val="24"/>
          <w:szCs w:val="24"/>
        </w:rPr>
        <w:t xml:space="preserve">, H., 2015. Elevated high-sensitive troponin T on admission is an indicator of poor long-term outcome in patients with subarachnoid </w:t>
      </w:r>
      <w:proofErr w:type="spellStart"/>
      <w:r w:rsidRPr="006D6D05">
        <w:rPr>
          <w:rFonts w:ascii="Times New Roman" w:hAnsi="Times New Roman" w:cs="Times New Roman"/>
          <w:sz w:val="24"/>
          <w:szCs w:val="24"/>
        </w:rPr>
        <w:t>haemorrhage</w:t>
      </w:r>
      <w:proofErr w:type="spellEnd"/>
      <w:r w:rsidRPr="006D6D05">
        <w:rPr>
          <w:rFonts w:ascii="Times New Roman" w:hAnsi="Times New Roman" w:cs="Times New Roman"/>
          <w:sz w:val="24"/>
          <w:szCs w:val="24"/>
        </w:rPr>
        <w:t>: a prospective observational study. Critical care, 20(1), p.11.</w:t>
      </w:r>
    </w:p>
    <w:p w14:paraId="32913C02" w14:textId="77777777" w:rsidR="005E59D6" w:rsidRDefault="005E59D6" w:rsidP="005E59D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Potter </w:t>
      </w:r>
      <w:proofErr w:type="spellStart"/>
      <w:r>
        <w:rPr>
          <w:rFonts w:ascii="Times New Roman" w:hAnsi="Times New Roman" w:cs="Times New Roman"/>
          <w:sz w:val="24"/>
          <w:szCs w:val="24"/>
        </w:rPr>
        <w:t>J</w:t>
      </w:r>
      <w:proofErr w:type="gramStart"/>
      <w:r>
        <w:rPr>
          <w:rFonts w:ascii="Times New Roman" w:hAnsi="Times New Roman" w:cs="Times New Roman"/>
          <w:sz w:val="24"/>
          <w:szCs w:val="24"/>
        </w:rPr>
        <w:t>,Hickman</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EP,Cullen</w:t>
      </w:r>
      <w:proofErr w:type="spellEnd"/>
      <w:r>
        <w:rPr>
          <w:rFonts w:ascii="Times New Roman" w:hAnsi="Times New Roman" w:cs="Times New Roman"/>
          <w:sz w:val="24"/>
          <w:szCs w:val="24"/>
        </w:rPr>
        <w:t xml:space="preserve"> L.</w:t>
      </w:r>
      <w:r w:rsidRPr="006D6D05">
        <w:t xml:space="preserve"> </w:t>
      </w:r>
      <w:r w:rsidRPr="006D6D05">
        <w:rPr>
          <w:rFonts w:ascii="Times New Roman" w:hAnsi="Times New Roman" w:cs="Times New Roman"/>
          <w:sz w:val="24"/>
          <w:szCs w:val="24"/>
        </w:rPr>
        <w:t>Troponins in myocardial infarction and injury</w:t>
      </w:r>
      <w:r>
        <w:rPr>
          <w:rFonts w:ascii="Times New Roman" w:hAnsi="Times New Roman" w:cs="Times New Roman"/>
          <w:sz w:val="24"/>
          <w:szCs w:val="24"/>
        </w:rPr>
        <w:t>.</w:t>
      </w:r>
      <w:r w:rsidRPr="006D6D05">
        <w:t xml:space="preserve"> </w:t>
      </w:r>
      <w:proofErr w:type="spellStart"/>
      <w:r w:rsidRPr="006D6D05">
        <w:rPr>
          <w:rFonts w:ascii="Times New Roman" w:hAnsi="Times New Roman" w:cs="Times New Roman"/>
          <w:sz w:val="24"/>
          <w:szCs w:val="24"/>
        </w:rPr>
        <w:t>Aust</w:t>
      </w:r>
      <w:proofErr w:type="spellEnd"/>
      <w:r w:rsidRPr="006D6D05">
        <w:rPr>
          <w:rFonts w:ascii="Times New Roman" w:hAnsi="Times New Roman" w:cs="Times New Roman"/>
          <w:sz w:val="24"/>
          <w:szCs w:val="24"/>
        </w:rPr>
        <w:t xml:space="preserve"> </w:t>
      </w:r>
      <w:proofErr w:type="spellStart"/>
      <w:r w:rsidRPr="006D6D05">
        <w:rPr>
          <w:rFonts w:ascii="Times New Roman" w:hAnsi="Times New Roman" w:cs="Times New Roman"/>
          <w:sz w:val="24"/>
          <w:szCs w:val="24"/>
        </w:rPr>
        <w:t>Prescr</w:t>
      </w:r>
      <w:proofErr w:type="spellEnd"/>
      <w:r w:rsidRPr="006D6D05">
        <w:rPr>
          <w:rFonts w:ascii="Times New Roman" w:hAnsi="Times New Roman" w:cs="Times New Roman"/>
          <w:sz w:val="24"/>
          <w:szCs w:val="24"/>
        </w:rPr>
        <w:t>. 2022 Apr 1</w:t>
      </w:r>
      <w:proofErr w:type="gramStart"/>
      <w:r w:rsidRPr="006D6D05">
        <w:rPr>
          <w:rFonts w:ascii="Times New Roman" w:hAnsi="Times New Roman" w:cs="Times New Roman"/>
          <w:sz w:val="24"/>
          <w:szCs w:val="24"/>
        </w:rPr>
        <w:t>;45</w:t>
      </w:r>
      <w:proofErr w:type="gramEnd"/>
      <w:r w:rsidRPr="006D6D05">
        <w:rPr>
          <w:rFonts w:ascii="Times New Roman" w:hAnsi="Times New Roman" w:cs="Times New Roman"/>
          <w:sz w:val="24"/>
          <w:szCs w:val="24"/>
        </w:rPr>
        <w:t>(2):53–57.</w:t>
      </w:r>
    </w:p>
    <w:p w14:paraId="08B7D4F9" w14:textId="77777777" w:rsidR="005E59D6" w:rsidRDefault="005E59D6" w:rsidP="005E59D6">
      <w:pPr>
        <w:spacing w:line="360" w:lineRule="auto"/>
        <w:jc w:val="both"/>
        <w:rPr>
          <w:rFonts w:ascii="Times New Roman" w:hAnsi="Times New Roman" w:cs="Times New Roman"/>
          <w:sz w:val="24"/>
          <w:szCs w:val="24"/>
        </w:rPr>
      </w:pPr>
      <w:proofErr w:type="spellStart"/>
      <w:r w:rsidRPr="0096468A">
        <w:rPr>
          <w:rFonts w:ascii="Times New Roman" w:hAnsi="Times New Roman" w:cs="Times New Roman"/>
          <w:sz w:val="24"/>
          <w:szCs w:val="24"/>
        </w:rPr>
        <w:t>Ramappa</w:t>
      </w:r>
      <w:proofErr w:type="spellEnd"/>
      <w:r w:rsidRPr="0096468A">
        <w:rPr>
          <w:rFonts w:ascii="Times New Roman" w:hAnsi="Times New Roman" w:cs="Times New Roman"/>
          <w:sz w:val="24"/>
          <w:szCs w:val="24"/>
        </w:rPr>
        <w:t xml:space="preserve">, P., </w:t>
      </w:r>
      <w:proofErr w:type="spellStart"/>
      <w:r w:rsidRPr="0096468A">
        <w:rPr>
          <w:rFonts w:ascii="Times New Roman" w:hAnsi="Times New Roman" w:cs="Times New Roman"/>
          <w:sz w:val="24"/>
          <w:szCs w:val="24"/>
        </w:rPr>
        <w:t>Thatai</w:t>
      </w:r>
      <w:proofErr w:type="spellEnd"/>
      <w:r w:rsidRPr="0096468A">
        <w:rPr>
          <w:rFonts w:ascii="Times New Roman" w:hAnsi="Times New Roman" w:cs="Times New Roman"/>
          <w:sz w:val="24"/>
          <w:szCs w:val="24"/>
        </w:rPr>
        <w:t xml:space="preserve">, D., </w:t>
      </w:r>
      <w:proofErr w:type="spellStart"/>
      <w:r w:rsidRPr="0096468A">
        <w:rPr>
          <w:rFonts w:ascii="Times New Roman" w:hAnsi="Times New Roman" w:cs="Times New Roman"/>
          <w:sz w:val="24"/>
          <w:szCs w:val="24"/>
        </w:rPr>
        <w:t>Coplin</w:t>
      </w:r>
      <w:proofErr w:type="spellEnd"/>
      <w:r w:rsidRPr="0096468A">
        <w:rPr>
          <w:rFonts w:ascii="Times New Roman" w:hAnsi="Times New Roman" w:cs="Times New Roman"/>
          <w:sz w:val="24"/>
          <w:szCs w:val="24"/>
        </w:rPr>
        <w:t xml:space="preserve">, W., Gellman, S., </w:t>
      </w:r>
      <w:proofErr w:type="spellStart"/>
      <w:r w:rsidRPr="0096468A">
        <w:rPr>
          <w:rFonts w:ascii="Times New Roman" w:hAnsi="Times New Roman" w:cs="Times New Roman"/>
          <w:sz w:val="24"/>
          <w:szCs w:val="24"/>
        </w:rPr>
        <w:t>Carhuapoma</w:t>
      </w:r>
      <w:proofErr w:type="spellEnd"/>
      <w:r w:rsidRPr="0096468A">
        <w:rPr>
          <w:rFonts w:ascii="Times New Roman" w:hAnsi="Times New Roman" w:cs="Times New Roman"/>
          <w:sz w:val="24"/>
          <w:szCs w:val="24"/>
        </w:rPr>
        <w:t xml:space="preserve">, J.R., </w:t>
      </w:r>
      <w:proofErr w:type="spellStart"/>
      <w:r w:rsidRPr="0096468A">
        <w:rPr>
          <w:rFonts w:ascii="Times New Roman" w:hAnsi="Times New Roman" w:cs="Times New Roman"/>
          <w:sz w:val="24"/>
          <w:szCs w:val="24"/>
        </w:rPr>
        <w:t>Quah</w:t>
      </w:r>
      <w:proofErr w:type="spellEnd"/>
      <w:r w:rsidRPr="0096468A">
        <w:rPr>
          <w:rFonts w:ascii="Times New Roman" w:hAnsi="Times New Roman" w:cs="Times New Roman"/>
          <w:sz w:val="24"/>
          <w:szCs w:val="24"/>
        </w:rPr>
        <w:t xml:space="preserve">, R., Atkinson, B. and Marsh, J.D., 2008. Cardiac troponin-I: a predictor of prognosis in subarachnoid hemorrhage. </w:t>
      </w:r>
      <w:proofErr w:type="spellStart"/>
      <w:r w:rsidRPr="0096468A">
        <w:rPr>
          <w:rFonts w:ascii="Times New Roman" w:hAnsi="Times New Roman" w:cs="Times New Roman"/>
          <w:sz w:val="24"/>
          <w:szCs w:val="24"/>
        </w:rPr>
        <w:t>Neurocritical</w:t>
      </w:r>
      <w:proofErr w:type="spellEnd"/>
      <w:r w:rsidRPr="0096468A">
        <w:rPr>
          <w:rFonts w:ascii="Times New Roman" w:hAnsi="Times New Roman" w:cs="Times New Roman"/>
          <w:sz w:val="24"/>
          <w:szCs w:val="24"/>
        </w:rPr>
        <w:t xml:space="preserve"> Care, 8(3), pp.398-403.</w:t>
      </w:r>
    </w:p>
    <w:p w14:paraId="0F72096F" w14:textId="77777777" w:rsidR="005E59D6" w:rsidRDefault="005E59D6" w:rsidP="005E59D6">
      <w:pPr>
        <w:spacing w:line="360" w:lineRule="auto"/>
        <w:jc w:val="both"/>
        <w:rPr>
          <w:rFonts w:ascii="Times New Roman" w:hAnsi="Times New Roman" w:cs="Times New Roman"/>
          <w:sz w:val="24"/>
          <w:szCs w:val="24"/>
        </w:rPr>
      </w:pPr>
      <w:r w:rsidRPr="0096468A">
        <w:rPr>
          <w:rFonts w:ascii="Times New Roman" w:hAnsi="Times New Roman" w:cs="Times New Roman"/>
          <w:sz w:val="24"/>
          <w:szCs w:val="24"/>
        </w:rPr>
        <w:t>Richard, C., 2011. Stress-related cardiomyopathies. Annals of intensive care, 1(1), p.39.</w:t>
      </w:r>
    </w:p>
    <w:p w14:paraId="24E0AAE9" w14:textId="77777777" w:rsidR="005E59D6" w:rsidRDefault="005E59D6" w:rsidP="005E59D6">
      <w:pPr>
        <w:spacing w:line="360" w:lineRule="auto"/>
        <w:jc w:val="both"/>
        <w:rPr>
          <w:rFonts w:ascii="Times New Roman" w:hAnsi="Times New Roman" w:cs="Times New Roman"/>
          <w:sz w:val="24"/>
          <w:szCs w:val="24"/>
        </w:rPr>
      </w:pPr>
      <w:proofErr w:type="spellStart"/>
      <w:r w:rsidRPr="0096468A">
        <w:rPr>
          <w:rFonts w:ascii="Times New Roman" w:hAnsi="Times New Roman" w:cs="Times New Roman"/>
          <w:sz w:val="24"/>
          <w:szCs w:val="24"/>
        </w:rPr>
        <w:t>Sarker</w:t>
      </w:r>
      <w:proofErr w:type="spellEnd"/>
      <w:r w:rsidRPr="0096468A">
        <w:rPr>
          <w:rFonts w:ascii="Times New Roman" w:hAnsi="Times New Roman" w:cs="Times New Roman"/>
          <w:sz w:val="24"/>
          <w:szCs w:val="24"/>
        </w:rPr>
        <w:t xml:space="preserve">, A., </w:t>
      </w:r>
      <w:proofErr w:type="spellStart"/>
      <w:r w:rsidRPr="0096468A">
        <w:rPr>
          <w:rFonts w:ascii="Times New Roman" w:hAnsi="Times New Roman" w:cs="Times New Roman"/>
          <w:sz w:val="24"/>
          <w:szCs w:val="24"/>
        </w:rPr>
        <w:t>Hoque</w:t>
      </w:r>
      <w:proofErr w:type="spellEnd"/>
      <w:r w:rsidRPr="0096468A">
        <w:rPr>
          <w:rFonts w:ascii="Times New Roman" w:hAnsi="Times New Roman" w:cs="Times New Roman"/>
          <w:sz w:val="24"/>
          <w:szCs w:val="24"/>
        </w:rPr>
        <w:t xml:space="preserve">, M.A., Khan, M.M.R., Rahman, M.K., </w:t>
      </w:r>
      <w:proofErr w:type="spellStart"/>
      <w:r w:rsidRPr="0096468A">
        <w:rPr>
          <w:rFonts w:ascii="Times New Roman" w:hAnsi="Times New Roman" w:cs="Times New Roman"/>
          <w:sz w:val="24"/>
          <w:szCs w:val="24"/>
        </w:rPr>
        <w:t>Alam</w:t>
      </w:r>
      <w:proofErr w:type="spellEnd"/>
      <w:r w:rsidRPr="0096468A">
        <w:rPr>
          <w:rFonts w:ascii="Times New Roman" w:hAnsi="Times New Roman" w:cs="Times New Roman"/>
          <w:sz w:val="24"/>
          <w:szCs w:val="24"/>
        </w:rPr>
        <w:t xml:space="preserve">, S.M., </w:t>
      </w:r>
      <w:proofErr w:type="spellStart"/>
      <w:r w:rsidRPr="0096468A">
        <w:rPr>
          <w:rFonts w:ascii="Times New Roman" w:hAnsi="Times New Roman" w:cs="Times New Roman"/>
          <w:sz w:val="24"/>
          <w:szCs w:val="24"/>
        </w:rPr>
        <w:t>Majumder</w:t>
      </w:r>
      <w:proofErr w:type="spellEnd"/>
      <w:r w:rsidRPr="0096468A">
        <w:rPr>
          <w:rFonts w:ascii="Times New Roman" w:hAnsi="Times New Roman" w:cs="Times New Roman"/>
          <w:sz w:val="24"/>
          <w:szCs w:val="24"/>
        </w:rPr>
        <w:t xml:space="preserve">, S., </w:t>
      </w:r>
      <w:proofErr w:type="spellStart"/>
      <w:r w:rsidRPr="0096468A">
        <w:rPr>
          <w:rFonts w:ascii="Times New Roman" w:hAnsi="Times New Roman" w:cs="Times New Roman"/>
          <w:sz w:val="24"/>
          <w:szCs w:val="24"/>
        </w:rPr>
        <w:t>Sardar</w:t>
      </w:r>
      <w:proofErr w:type="spellEnd"/>
      <w:r w:rsidRPr="0096468A">
        <w:rPr>
          <w:rFonts w:ascii="Times New Roman" w:hAnsi="Times New Roman" w:cs="Times New Roman"/>
          <w:sz w:val="24"/>
          <w:szCs w:val="24"/>
        </w:rPr>
        <w:t>, M.A.H. and</w:t>
      </w:r>
      <w:r>
        <w:rPr>
          <w:rFonts w:ascii="Times New Roman" w:hAnsi="Times New Roman" w:cs="Times New Roman"/>
          <w:sz w:val="24"/>
          <w:szCs w:val="24"/>
        </w:rPr>
        <w:t xml:space="preserve"> Hasan, M.A., 2018</w:t>
      </w:r>
      <w:r w:rsidRPr="0096468A">
        <w:rPr>
          <w:rFonts w:ascii="Times New Roman" w:hAnsi="Times New Roman" w:cs="Times New Roman"/>
          <w:sz w:val="24"/>
          <w:szCs w:val="24"/>
        </w:rPr>
        <w:t>. Troponin I Changes in Patients with Subarachnoid Hemorrhage. TAJ: Journal of Teachers Association, 27(2), pp.39-43.</w:t>
      </w:r>
    </w:p>
    <w:p w14:paraId="5A098057" w14:textId="77777777" w:rsidR="005E59D6" w:rsidRDefault="005E59D6" w:rsidP="005E59D6">
      <w:pPr>
        <w:spacing w:line="360" w:lineRule="auto"/>
        <w:jc w:val="both"/>
        <w:rPr>
          <w:rFonts w:ascii="Times New Roman" w:hAnsi="Times New Roman" w:cs="Times New Roman"/>
          <w:sz w:val="24"/>
          <w:szCs w:val="24"/>
        </w:rPr>
      </w:pPr>
      <w:r w:rsidRPr="001B36F5">
        <w:rPr>
          <w:rFonts w:ascii="Times New Roman" w:hAnsi="Times New Roman" w:cs="Times New Roman"/>
          <w:sz w:val="24"/>
          <w:szCs w:val="24"/>
        </w:rPr>
        <w:t>Spears, J., Macdonald, R.L. and Weir, B., 2011. Perioperative management of Subarachnoid Hemorrhage. In: Winn HR, editor. Youmans Neurological Surgery. 6thed. Vol. 4. Philadelphia: Saunders (Elsevier); p.3785-3786.</w:t>
      </w:r>
    </w:p>
    <w:p w14:paraId="398D5F53" w14:textId="77777777" w:rsidR="005E59D6" w:rsidRDefault="005E59D6" w:rsidP="005E59D6">
      <w:pPr>
        <w:spacing w:line="360" w:lineRule="auto"/>
        <w:jc w:val="both"/>
        <w:rPr>
          <w:rFonts w:ascii="Times New Roman" w:hAnsi="Times New Roman" w:cs="Times New Roman"/>
          <w:sz w:val="24"/>
          <w:szCs w:val="24"/>
        </w:rPr>
      </w:pPr>
      <w:r w:rsidRPr="001B36F5">
        <w:rPr>
          <w:rFonts w:ascii="Times New Roman" w:hAnsi="Times New Roman" w:cs="Times New Roman"/>
          <w:sz w:val="24"/>
          <w:szCs w:val="24"/>
        </w:rPr>
        <w:lastRenderedPageBreak/>
        <w:t xml:space="preserve">Suarez, J.I., </w:t>
      </w:r>
      <w:proofErr w:type="spellStart"/>
      <w:r w:rsidRPr="001B36F5">
        <w:rPr>
          <w:rFonts w:ascii="Times New Roman" w:hAnsi="Times New Roman" w:cs="Times New Roman"/>
          <w:sz w:val="24"/>
          <w:szCs w:val="24"/>
        </w:rPr>
        <w:t>Tarr</w:t>
      </w:r>
      <w:proofErr w:type="spellEnd"/>
      <w:r w:rsidRPr="001B36F5">
        <w:rPr>
          <w:rFonts w:ascii="Times New Roman" w:hAnsi="Times New Roman" w:cs="Times New Roman"/>
          <w:sz w:val="24"/>
          <w:szCs w:val="24"/>
        </w:rPr>
        <w:t>, R.W. and Selman, W.R., 2006. Aneurysmal subarachnoid hemorrhage. New England Journal of Medicine, 354(4), pp.387-396.</w:t>
      </w:r>
    </w:p>
    <w:p w14:paraId="7F8EC532" w14:textId="77777777" w:rsidR="005E59D6" w:rsidRDefault="005E59D6" w:rsidP="005E59D6">
      <w:pPr>
        <w:spacing w:line="360" w:lineRule="auto"/>
        <w:jc w:val="both"/>
        <w:rPr>
          <w:rFonts w:ascii="Times New Roman" w:hAnsi="Times New Roman" w:cs="Times New Roman"/>
          <w:sz w:val="24"/>
          <w:szCs w:val="24"/>
        </w:rPr>
      </w:pPr>
      <w:proofErr w:type="spellStart"/>
      <w:r w:rsidRPr="0096468A">
        <w:rPr>
          <w:rFonts w:ascii="Times New Roman" w:hAnsi="Times New Roman" w:cs="Times New Roman"/>
          <w:sz w:val="24"/>
          <w:szCs w:val="24"/>
        </w:rPr>
        <w:t>Suwatcharangkoon</w:t>
      </w:r>
      <w:proofErr w:type="spellEnd"/>
      <w:r w:rsidRPr="0096468A">
        <w:rPr>
          <w:rFonts w:ascii="Times New Roman" w:hAnsi="Times New Roman" w:cs="Times New Roman"/>
          <w:sz w:val="24"/>
          <w:szCs w:val="24"/>
        </w:rPr>
        <w:t xml:space="preserve">, S., De </w:t>
      </w:r>
      <w:proofErr w:type="spellStart"/>
      <w:r w:rsidRPr="0096468A">
        <w:rPr>
          <w:rFonts w:ascii="Times New Roman" w:hAnsi="Times New Roman" w:cs="Times New Roman"/>
          <w:sz w:val="24"/>
          <w:szCs w:val="24"/>
        </w:rPr>
        <w:t>Marchis</w:t>
      </w:r>
      <w:proofErr w:type="spellEnd"/>
      <w:r w:rsidRPr="0096468A">
        <w:rPr>
          <w:rFonts w:ascii="Times New Roman" w:hAnsi="Times New Roman" w:cs="Times New Roman"/>
          <w:sz w:val="24"/>
          <w:szCs w:val="24"/>
        </w:rPr>
        <w:t xml:space="preserve">, G.M., </w:t>
      </w:r>
      <w:proofErr w:type="spellStart"/>
      <w:r w:rsidRPr="0096468A">
        <w:rPr>
          <w:rFonts w:ascii="Times New Roman" w:hAnsi="Times New Roman" w:cs="Times New Roman"/>
          <w:sz w:val="24"/>
          <w:szCs w:val="24"/>
        </w:rPr>
        <w:t>Witsch</w:t>
      </w:r>
      <w:proofErr w:type="spellEnd"/>
      <w:r w:rsidRPr="0096468A">
        <w:rPr>
          <w:rFonts w:ascii="Times New Roman" w:hAnsi="Times New Roman" w:cs="Times New Roman"/>
          <w:sz w:val="24"/>
          <w:szCs w:val="24"/>
        </w:rPr>
        <w:t xml:space="preserve">, J., Meyers, E., Velazquez, A., </w:t>
      </w:r>
      <w:proofErr w:type="spellStart"/>
      <w:r w:rsidRPr="0096468A">
        <w:rPr>
          <w:rFonts w:ascii="Times New Roman" w:hAnsi="Times New Roman" w:cs="Times New Roman"/>
          <w:sz w:val="24"/>
          <w:szCs w:val="24"/>
        </w:rPr>
        <w:t>Falo</w:t>
      </w:r>
      <w:proofErr w:type="spellEnd"/>
      <w:r w:rsidRPr="0096468A">
        <w:rPr>
          <w:rFonts w:ascii="Times New Roman" w:hAnsi="Times New Roman" w:cs="Times New Roman"/>
          <w:sz w:val="24"/>
          <w:szCs w:val="24"/>
        </w:rPr>
        <w:t xml:space="preserve">, C., Schmidt, J.M., Agarwal, S., Connolly, E.S., Claassen, J. and Mayer, S.A., 2019. Medical treatment failure for symptomatic vasospasm after subarachnoid hemorrhage threatens long-term </w:t>
      </w:r>
      <w:proofErr w:type="spellStart"/>
      <w:r w:rsidRPr="0096468A">
        <w:rPr>
          <w:rFonts w:ascii="Times New Roman" w:hAnsi="Times New Roman" w:cs="Times New Roman"/>
          <w:sz w:val="24"/>
          <w:szCs w:val="24"/>
        </w:rPr>
        <w:t>outcome.Stroke</w:t>
      </w:r>
      <w:proofErr w:type="spellEnd"/>
      <w:r w:rsidRPr="0096468A">
        <w:rPr>
          <w:rFonts w:ascii="Times New Roman" w:hAnsi="Times New Roman" w:cs="Times New Roman"/>
          <w:sz w:val="24"/>
          <w:szCs w:val="24"/>
        </w:rPr>
        <w:t>, 50(7), pp.1696-1702.</w:t>
      </w:r>
    </w:p>
    <w:p w14:paraId="23300B66" w14:textId="77777777" w:rsidR="005E59D6" w:rsidRDefault="005E59D6" w:rsidP="005E59D6">
      <w:pPr>
        <w:spacing w:line="360" w:lineRule="auto"/>
        <w:jc w:val="both"/>
        <w:rPr>
          <w:rFonts w:ascii="Times New Roman" w:hAnsi="Times New Roman" w:cs="Times New Roman"/>
          <w:sz w:val="24"/>
          <w:szCs w:val="24"/>
        </w:rPr>
      </w:pPr>
      <w:r w:rsidRPr="0096468A">
        <w:rPr>
          <w:rFonts w:ascii="Times New Roman" w:hAnsi="Times New Roman" w:cs="Times New Roman"/>
          <w:sz w:val="24"/>
          <w:szCs w:val="24"/>
        </w:rPr>
        <w:t xml:space="preserve">Tung, P., </w:t>
      </w:r>
      <w:proofErr w:type="spellStart"/>
      <w:r w:rsidRPr="0096468A">
        <w:rPr>
          <w:rFonts w:ascii="Times New Roman" w:hAnsi="Times New Roman" w:cs="Times New Roman"/>
          <w:sz w:val="24"/>
          <w:szCs w:val="24"/>
        </w:rPr>
        <w:t>Kopelnik</w:t>
      </w:r>
      <w:proofErr w:type="spellEnd"/>
      <w:r w:rsidRPr="0096468A">
        <w:rPr>
          <w:rFonts w:ascii="Times New Roman" w:hAnsi="Times New Roman" w:cs="Times New Roman"/>
          <w:sz w:val="24"/>
          <w:szCs w:val="24"/>
        </w:rPr>
        <w:t xml:space="preserve">, A., </w:t>
      </w:r>
      <w:proofErr w:type="spellStart"/>
      <w:r w:rsidRPr="0096468A">
        <w:rPr>
          <w:rFonts w:ascii="Times New Roman" w:hAnsi="Times New Roman" w:cs="Times New Roman"/>
          <w:sz w:val="24"/>
          <w:szCs w:val="24"/>
        </w:rPr>
        <w:t>Banki</w:t>
      </w:r>
      <w:proofErr w:type="spellEnd"/>
      <w:r w:rsidRPr="0096468A">
        <w:rPr>
          <w:rFonts w:ascii="Times New Roman" w:hAnsi="Times New Roman" w:cs="Times New Roman"/>
          <w:sz w:val="24"/>
          <w:szCs w:val="24"/>
        </w:rPr>
        <w:t xml:space="preserve">, N., Ong, K., </w:t>
      </w:r>
      <w:proofErr w:type="spellStart"/>
      <w:proofErr w:type="gramStart"/>
      <w:r w:rsidRPr="0096468A">
        <w:rPr>
          <w:rFonts w:ascii="Times New Roman" w:hAnsi="Times New Roman" w:cs="Times New Roman"/>
          <w:sz w:val="24"/>
          <w:szCs w:val="24"/>
        </w:rPr>
        <w:t>Ko</w:t>
      </w:r>
      <w:proofErr w:type="spellEnd"/>
      <w:proofErr w:type="gramEnd"/>
      <w:r w:rsidRPr="0096468A">
        <w:rPr>
          <w:rFonts w:ascii="Times New Roman" w:hAnsi="Times New Roman" w:cs="Times New Roman"/>
          <w:sz w:val="24"/>
          <w:szCs w:val="24"/>
        </w:rPr>
        <w:t xml:space="preserve">, N., Lawton, M.T., </w:t>
      </w:r>
      <w:proofErr w:type="spellStart"/>
      <w:r w:rsidRPr="0096468A">
        <w:rPr>
          <w:rFonts w:ascii="Times New Roman" w:hAnsi="Times New Roman" w:cs="Times New Roman"/>
          <w:sz w:val="24"/>
          <w:szCs w:val="24"/>
        </w:rPr>
        <w:t>Gress</w:t>
      </w:r>
      <w:proofErr w:type="spellEnd"/>
      <w:r w:rsidRPr="0096468A">
        <w:rPr>
          <w:rFonts w:ascii="Times New Roman" w:hAnsi="Times New Roman" w:cs="Times New Roman"/>
          <w:sz w:val="24"/>
          <w:szCs w:val="24"/>
        </w:rPr>
        <w:t xml:space="preserve">, D., Drew, B., Foster, E., </w:t>
      </w:r>
      <w:proofErr w:type="spellStart"/>
      <w:r w:rsidRPr="0096468A">
        <w:rPr>
          <w:rFonts w:ascii="Times New Roman" w:hAnsi="Times New Roman" w:cs="Times New Roman"/>
          <w:sz w:val="24"/>
          <w:szCs w:val="24"/>
        </w:rPr>
        <w:t>Parmley</w:t>
      </w:r>
      <w:proofErr w:type="spellEnd"/>
      <w:r w:rsidRPr="0096468A">
        <w:rPr>
          <w:rFonts w:ascii="Times New Roman" w:hAnsi="Times New Roman" w:cs="Times New Roman"/>
          <w:sz w:val="24"/>
          <w:szCs w:val="24"/>
        </w:rPr>
        <w:t xml:space="preserve">, W. and </w:t>
      </w:r>
      <w:proofErr w:type="spellStart"/>
      <w:r w:rsidRPr="0096468A">
        <w:rPr>
          <w:rFonts w:ascii="Times New Roman" w:hAnsi="Times New Roman" w:cs="Times New Roman"/>
          <w:sz w:val="24"/>
          <w:szCs w:val="24"/>
        </w:rPr>
        <w:t>Zaroff</w:t>
      </w:r>
      <w:proofErr w:type="spellEnd"/>
      <w:r w:rsidRPr="0096468A">
        <w:rPr>
          <w:rFonts w:ascii="Times New Roman" w:hAnsi="Times New Roman" w:cs="Times New Roman"/>
          <w:sz w:val="24"/>
          <w:szCs w:val="24"/>
        </w:rPr>
        <w:t xml:space="preserve">, J., 2004. Predictors of </w:t>
      </w:r>
      <w:proofErr w:type="spellStart"/>
      <w:r w:rsidRPr="0096468A">
        <w:rPr>
          <w:rFonts w:ascii="Times New Roman" w:hAnsi="Times New Roman" w:cs="Times New Roman"/>
          <w:sz w:val="24"/>
          <w:szCs w:val="24"/>
        </w:rPr>
        <w:t>neurocardiogenic</w:t>
      </w:r>
      <w:proofErr w:type="spellEnd"/>
      <w:r w:rsidRPr="0096468A">
        <w:rPr>
          <w:rFonts w:ascii="Times New Roman" w:hAnsi="Times New Roman" w:cs="Times New Roman"/>
          <w:sz w:val="24"/>
          <w:szCs w:val="24"/>
        </w:rPr>
        <w:t xml:space="preserve"> injury after subarachnoid hemorrhage. Stroke, 35(2), pp.548-551.</w:t>
      </w:r>
    </w:p>
    <w:p w14:paraId="053201D4" w14:textId="77777777" w:rsidR="005E59D6" w:rsidRDefault="005E59D6" w:rsidP="005E59D6">
      <w:pPr>
        <w:spacing w:line="360" w:lineRule="auto"/>
        <w:jc w:val="both"/>
        <w:rPr>
          <w:rFonts w:ascii="Times New Roman" w:hAnsi="Times New Roman" w:cs="Times New Roman"/>
          <w:sz w:val="24"/>
          <w:szCs w:val="24"/>
        </w:rPr>
      </w:pPr>
      <w:r w:rsidRPr="001B36F5">
        <w:rPr>
          <w:rFonts w:ascii="Times New Roman" w:hAnsi="Times New Roman" w:cs="Times New Roman"/>
          <w:sz w:val="24"/>
          <w:szCs w:val="24"/>
        </w:rPr>
        <w:t xml:space="preserve">Van </w:t>
      </w:r>
      <w:proofErr w:type="spellStart"/>
      <w:r w:rsidRPr="001B36F5">
        <w:rPr>
          <w:rFonts w:ascii="Times New Roman" w:hAnsi="Times New Roman" w:cs="Times New Roman"/>
          <w:sz w:val="24"/>
          <w:szCs w:val="24"/>
        </w:rPr>
        <w:t>Gijn</w:t>
      </w:r>
      <w:proofErr w:type="spellEnd"/>
      <w:r w:rsidRPr="001B36F5">
        <w:rPr>
          <w:rFonts w:ascii="Times New Roman" w:hAnsi="Times New Roman" w:cs="Times New Roman"/>
          <w:sz w:val="24"/>
          <w:szCs w:val="24"/>
        </w:rPr>
        <w:t xml:space="preserve">, J., Kerr, R.S. and </w:t>
      </w:r>
      <w:proofErr w:type="spellStart"/>
      <w:r w:rsidRPr="001B36F5">
        <w:rPr>
          <w:rFonts w:ascii="Times New Roman" w:hAnsi="Times New Roman" w:cs="Times New Roman"/>
          <w:sz w:val="24"/>
          <w:szCs w:val="24"/>
        </w:rPr>
        <w:t>Rinkel</w:t>
      </w:r>
      <w:proofErr w:type="spellEnd"/>
      <w:r w:rsidRPr="001B36F5">
        <w:rPr>
          <w:rFonts w:ascii="Times New Roman" w:hAnsi="Times New Roman" w:cs="Times New Roman"/>
          <w:sz w:val="24"/>
          <w:szCs w:val="24"/>
        </w:rPr>
        <w:t xml:space="preserve">, G.J., 2007. Subarachnoid </w:t>
      </w:r>
      <w:proofErr w:type="spellStart"/>
      <w:r w:rsidRPr="001B36F5">
        <w:rPr>
          <w:rFonts w:ascii="Times New Roman" w:hAnsi="Times New Roman" w:cs="Times New Roman"/>
          <w:sz w:val="24"/>
          <w:szCs w:val="24"/>
        </w:rPr>
        <w:t>haemorrhage</w:t>
      </w:r>
      <w:proofErr w:type="spellEnd"/>
      <w:r w:rsidRPr="001B36F5">
        <w:rPr>
          <w:rFonts w:ascii="Times New Roman" w:hAnsi="Times New Roman" w:cs="Times New Roman"/>
          <w:sz w:val="24"/>
          <w:szCs w:val="24"/>
        </w:rPr>
        <w:t>. The Lancet, 369(9558), pp.306-318.</w:t>
      </w:r>
    </w:p>
    <w:p w14:paraId="6A7CD736" w14:textId="77777777" w:rsidR="005E59D6" w:rsidRDefault="005E59D6" w:rsidP="005E59D6">
      <w:pPr>
        <w:spacing w:line="360" w:lineRule="auto"/>
        <w:jc w:val="both"/>
      </w:pPr>
      <w:proofErr w:type="spellStart"/>
      <w:r w:rsidRPr="001B36F5">
        <w:rPr>
          <w:rFonts w:ascii="Times New Roman" w:hAnsi="Times New Roman" w:cs="Times New Roman"/>
          <w:sz w:val="24"/>
          <w:szCs w:val="24"/>
        </w:rPr>
        <w:t>Wybraniec</w:t>
      </w:r>
      <w:proofErr w:type="spellEnd"/>
      <w:r w:rsidRPr="001B36F5">
        <w:rPr>
          <w:rFonts w:ascii="Times New Roman" w:hAnsi="Times New Roman" w:cs="Times New Roman"/>
          <w:sz w:val="24"/>
          <w:szCs w:val="24"/>
        </w:rPr>
        <w:t xml:space="preserve">, M.T., </w:t>
      </w:r>
      <w:proofErr w:type="spellStart"/>
      <w:r w:rsidRPr="001B36F5">
        <w:rPr>
          <w:rFonts w:ascii="Times New Roman" w:hAnsi="Times New Roman" w:cs="Times New Roman"/>
          <w:sz w:val="24"/>
          <w:szCs w:val="24"/>
        </w:rPr>
        <w:t>Mizia-Stec</w:t>
      </w:r>
      <w:proofErr w:type="spellEnd"/>
      <w:r w:rsidRPr="001B36F5">
        <w:rPr>
          <w:rFonts w:ascii="Times New Roman" w:hAnsi="Times New Roman" w:cs="Times New Roman"/>
          <w:sz w:val="24"/>
          <w:szCs w:val="24"/>
        </w:rPr>
        <w:t xml:space="preserve">, K. and </w:t>
      </w:r>
      <w:proofErr w:type="spellStart"/>
      <w:r w:rsidRPr="001B36F5">
        <w:rPr>
          <w:rFonts w:ascii="Times New Roman" w:hAnsi="Times New Roman" w:cs="Times New Roman"/>
          <w:sz w:val="24"/>
          <w:szCs w:val="24"/>
        </w:rPr>
        <w:t>Krzych</w:t>
      </w:r>
      <w:proofErr w:type="spellEnd"/>
      <w:r w:rsidRPr="001B36F5">
        <w:rPr>
          <w:rFonts w:ascii="Times New Roman" w:hAnsi="Times New Roman" w:cs="Times New Roman"/>
          <w:sz w:val="24"/>
          <w:szCs w:val="24"/>
        </w:rPr>
        <w:t xml:space="preserve">, Ł., 2014. </w:t>
      </w:r>
      <w:proofErr w:type="spellStart"/>
      <w:r w:rsidRPr="001B36F5">
        <w:rPr>
          <w:rFonts w:ascii="Times New Roman" w:hAnsi="Times New Roman" w:cs="Times New Roman"/>
          <w:sz w:val="24"/>
          <w:szCs w:val="24"/>
        </w:rPr>
        <w:t>Neurocardiogenic</w:t>
      </w:r>
      <w:proofErr w:type="spellEnd"/>
      <w:r w:rsidRPr="001B36F5">
        <w:rPr>
          <w:rFonts w:ascii="Times New Roman" w:hAnsi="Times New Roman" w:cs="Times New Roman"/>
          <w:sz w:val="24"/>
          <w:szCs w:val="24"/>
        </w:rPr>
        <w:t xml:space="preserve"> injury in subarachnoid hemorrhage: A wide spectrum of </w:t>
      </w:r>
      <w:proofErr w:type="spellStart"/>
      <w:r w:rsidRPr="001B36F5">
        <w:rPr>
          <w:rFonts w:ascii="Times New Roman" w:hAnsi="Times New Roman" w:cs="Times New Roman"/>
          <w:sz w:val="24"/>
          <w:szCs w:val="24"/>
        </w:rPr>
        <w:t>catecholamin</w:t>
      </w:r>
      <w:proofErr w:type="spellEnd"/>
      <w:r w:rsidRPr="001B36F5">
        <w:rPr>
          <w:rFonts w:ascii="Times New Roman" w:hAnsi="Times New Roman" w:cs="Times New Roman"/>
          <w:sz w:val="24"/>
          <w:szCs w:val="24"/>
        </w:rPr>
        <w:t>-mediated brain-heart interactions. Cardiology J</w:t>
      </w:r>
      <w:r w:rsidRPr="00AF3AB6">
        <w:t xml:space="preserve"> </w:t>
      </w:r>
    </w:p>
    <w:p w14:paraId="52593178" w14:textId="77777777" w:rsidR="005E59D6" w:rsidRPr="00AF3AB6" w:rsidRDefault="005E59D6" w:rsidP="005E59D6">
      <w:pPr>
        <w:spacing w:line="360" w:lineRule="auto"/>
        <w:jc w:val="both"/>
        <w:rPr>
          <w:rFonts w:ascii="Times New Roman" w:hAnsi="Times New Roman" w:cs="Times New Roman"/>
          <w:sz w:val="24"/>
          <w:szCs w:val="24"/>
        </w:rPr>
      </w:pPr>
      <w:r w:rsidRPr="00AF3AB6">
        <w:rPr>
          <w:rFonts w:ascii="Times New Roman" w:hAnsi="Times New Roman" w:cs="Times New Roman"/>
          <w:sz w:val="24"/>
          <w:szCs w:val="24"/>
        </w:rPr>
        <w:t xml:space="preserve">Yousef KM, </w:t>
      </w:r>
      <w:proofErr w:type="spellStart"/>
      <w:r w:rsidRPr="00AF3AB6">
        <w:rPr>
          <w:rFonts w:ascii="Times New Roman" w:hAnsi="Times New Roman" w:cs="Times New Roman"/>
          <w:sz w:val="24"/>
          <w:szCs w:val="24"/>
        </w:rPr>
        <w:t>Crago</w:t>
      </w:r>
      <w:proofErr w:type="spellEnd"/>
      <w:r w:rsidRPr="00AF3AB6">
        <w:rPr>
          <w:rFonts w:ascii="Times New Roman" w:hAnsi="Times New Roman" w:cs="Times New Roman"/>
          <w:sz w:val="24"/>
          <w:szCs w:val="24"/>
        </w:rPr>
        <w:t xml:space="preserve"> E, Lagattuta TF, </w:t>
      </w:r>
      <w:proofErr w:type="spellStart"/>
      <w:r w:rsidRPr="00AF3AB6">
        <w:rPr>
          <w:rFonts w:ascii="Times New Roman" w:hAnsi="Times New Roman" w:cs="Times New Roman"/>
          <w:sz w:val="24"/>
          <w:szCs w:val="24"/>
        </w:rPr>
        <w:t>Hravnak</w:t>
      </w:r>
      <w:proofErr w:type="spellEnd"/>
      <w:r w:rsidRPr="00AF3AB6">
        <w:rPr>
          <w:rFonts w:ascii="Times New Roman" w:hAnsi="Times New Roman" w:cs="Times New Roman"/>
          <w:sz w:val="24"/>
          <w:szCs w:val="24"/>
        </w:rPr>
        <w:t xml:space="preserve"> M.</w:t>
      </w:r>
      <w:r w:rsidRPr="00AF3AB6">
        <w:rPr>
          <w:rFonts w:ascii="Times New Roman" w:hAnsi="Times New Roman" w:cs="Times New Roman"/>
          <w:color w:val="1B1B1B"/>
          <w:sz w:val="24"/>
          <w:szCs w:val="24"/>
          <w:shd w:val="clear" w:color="auto" w:fill="FFFFFF"/>
        </w:rPr>
        <w:t xml:space="preserve"> Clinical presentation to the emergency department predicts subarachnoid hemorrhage-associated myocardial Injury. </w:t>
      </w:r>
      <w:r w:rsidRPr="00AF3AB6">
        <w:rPr>
          <w:rFonts w:ascii="Times New Roman" w:hAnsi="Times New Roman" w:cs="Times New Roman"/>
          <w:sz w:val="24"/>
          <w:szCs w:val="24"/>
        </w:rPr>
        <w:t xml:space="preserve">J </w:t>
      </w:r>
      <w:proofErr w:type="spellStart"/>
      <w:r w:rsidRPr="00AF3AB6">
        <w:rPr>
          <w:rFonts w:ascii="Times New Roman" w:hAnsi="Times New Roman" w:cs="Times New Roman"/>
          <w:sz w:val="24"/>
          <w:szCs w:val="24"/>
        </w:rPr>
        <w:t>Emerg</w:t>
      </w:r>
      <w:proofErr w:type="spellEnd"/>
      <w:r w:rsidRPr="00AF3AB6">
        <w:rPr>
          <w:rFonts w:ascii="Times New Roman" w:hAnsi="Times New Roman" w:cs="Times New Roman"/>
          <w:sz w:val="24"/>
          <w:szCs w:val="24"/>
        </w:rPr>
        <w:t xml:space="preserve"> </w:t>
      </w:r>
      <w:proofErr w:type="spellStart"/>
      <w:r w:rsidRPr="00AF3AB6">
        <w:rPr>
          <w:rFonts w:ascii="Times New Roman" w:hAnsi="Times New Roman" w:cs="Times New Roman"/>
          <w:sz w:val="24"/>
          <w:szCs w:val="24"/>
        </w:rPr>
        <w:t>Nurs</w:t>
      </w:r>
      <w:proofErr w:type="spellEnd"/>
      <w:r w:rsidRPr="00AF3AB6">
        <w:rPr>
          <w:rFonts w:ascii="Times New Roman" w:hAnsi="Times New Roman" w:cs="Times New Roman"/>
          <w:sz w:val="24"/>
          <w:szCs w:val="24"/>
        </w:rPr>
        <w:t>. 2018</w:t>
      </w:r>
      <w:proofErr w:type="gramStart"/>
      <w:r w:rsidRPr="00AF3AB6">
        <w:rPr>
          <w:rFonts w:ascii="Times New Roman" w:hAnsi="Times New Roman" w:cs="Times New Roman"/>
          <w:sz w:val="24"/>
          <w:szCs w:val="24"/>
        </w:rPr>
        <w:t>;44:132</w:t>
      </w:r>
      <w:proofErr w:type="gramEnd"/>
      <w:r w:rsidRPr="00AF3AB6">
        <w:rPr>
          <w:rFonts w:ascii="Times New Roman" w:hAnsi="Times New Roman" w:cs="Times New Roman"/>
          <w:sz w:val="24"/>
          <w:szCs w:val="24"/>
        </w:rPr>
        <w:t>–138..</w:t>
      </w:r>
    </w:p>
    <w:p w14:paraId="42CBB64A" w14:textId="77777777" w:rsidR="005E59D6" w:rsidRPr="0096468A" w:rsidRDefault="005E59D6" w:rsidP="005E59D6">
      <w:pPr>
        <w:spacing w:line="360" w:lineRule="auto"/>
        <w:jc w:val="both"/>
        <w:rPr>
          <w:rFonts w:ascii="Times New Roman" w:hAnsi="Times New Roman" w:cs="Times New Roman"/>
          <w:sz w:val="24"/>
          <w:szCs w:val="24"/>
        </w:rPr>
      </w:pPr>
      <w:r w:rsidRPr="001B36F5">
        <w:rPr>
          <w:rFonts w:ascii="Times New Roman" w:hAnsi="Times New Roman" w:cs="Times New Roman"/>
          <w:sz w:val="24"/>
          <w:szCs w:val="24"/>
        </w:rPr>
        <w:t>Zhang, L., Wang, Z. and Qi, S., 2015. Cardiac troponin elevation and outcome after subarachnoid hemorrhage: a systematic review and meta-analysis. Journal of Stroke and Cerebrovascular Diseases, 24(10), pp.2375-2384.</w:t>
      </w:r>
    </w:p>
    <w:p w14:paraId="1C1D0BBA" w14:textId="77777777" w:rsidR="005E59D6" w:rsidRPr="0096468A" w:rsidRDefault="005E59D6" w:rsidP="005E59D6">
      <w:pPr>
        <w:spacing w:line="360" w:lineRule="auto"/>
        <w:jc w:val="both"/>
        <w:rPr>
          <w:rFonts w:ascii="Times New Roman" w:hAnsi="Times New Roman" w:cs="Times New Roman"/>
          <w:b/>
          <w:sz w:val="24"/>
          <w:szCs w:val="24"/>
        </w:rPr>
      </w:pPr>
    </w:p>
    <w:p w14:paraId="2157A60E" w14:textId="77777777" w:rsidR="005E59D6" w:rsidRPr="004D6071" w:rsidRDefault="005E59D6" w:rsidP="005E59D6">
      <w:pPr>
        <w:spacing w:line="360" w:lineRule="auto"/>
        <w:jc w:val="both"/>
        <w:rPr>
          <w:rFonts w:ascii="Times New Roman" w:hAnsi="Times New Roman" w:cs="Times New Roman"/>
          <w:sz w:val="24"/>
          <w:szCs w:val="24"/>
        </w:rPr>
      </w:pPr>
    </w:p>
    <w:p w14:paraId="0A790EFD" w14:textId="77777777" w:rsidR="005E59D6" w:rsidRPr="00775D89" w:rsidRDefault="005E59D6" w:rsidP="005E59D6">
      <w:pPr>
        <w:jc w:val="both"/>
        <w:rPr>
          <w:rFonts w:ascii="Times New Roman" w:hAnsi="Times New Roman" w:cs="Times New Roman"/>
          <w:b/>
          <w:sz w:val="24"/>
          <w:szCs w:val="24"/>
          <w:u w:val="single"/>
        </w:rPr>
      </w:pPr>
    </w:p>
    <w:sectPr w:rsidR="005E59D6" w:rsidRPr="00775D8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0D001E" w14:textId="77777777" w:rsidR="00275EE1" w:rsidRDefault="00275EE1" w:rsidP="00A7347B">
      <w:pPr>
        <w:spacing w:after="0" w:line="240" w:lineRule="auto"/>
      </w:pPr>
      <w:r>
        <w:separator/>
      </w:r>
    </w:p>
  </w:endnote>
  <w:endnote w:type="continuationSeparator" w:id="0">
    <w:p w14:paraId="2AC3BBF2" w14:textId="77777777" w:rsidR="00275EE1" w:rsidRDefault="00275EE1" w:rsidP="00A734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93E39F" w14:textId="77777777" w:rsidR="00A7347B" w:rsidRDefault="00A7347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E1F040" w14:textId="77777777" w:rsidR="00A7347B" w:rsidRDefault="00A7347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7612D2" w14:textId="77777777" w:rsidR="00A7347B" w:rsidRDefault="00A734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40C687" w14:textId="77777777" w:rsidR="00275EE1" w:rsidRDefault="00275EE1" w:rsidP="00A7347B">
      <w:pPr>
        <w:spacing w:after="0" w:line="240" w:lineRule="auto"/>
      </w:pPr>
      <w:r>
        <w:separator/>
      </w:r>
    </w:p>
  </w:footnote>
  <w:footnote w:type="continuationSeparator" w:id="0">
    <w:p w14:paraId="70550D69" w14:textId="77777777" w:rsidR="00275EE1" w:rsidRDefault="00275EE1" w:rsidP="00A734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133DC1" w14:textId="4770FF38" w:rsidR="00A7347B" w:rsidRDefault="00275EE1">
    <w:pPr>
      <w:pStyle w:val="Header"/>
    </w:pPr>
    <w:r>
      <w:rPr>
        <w:noProof/>
      </w:rPr>
      <w:pict w14:anchorId="50E39F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3183282"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07070A" w14:textId="783401B9" w:rsidR="00A7347B" w:rsidRDefault="00275EE1">
    <w:pPr>
      <w:pStyle w:val="Header"/>
    </w:pPr>
    <w:r>
      <w:rPr>
        <w:noProof/>
      </w:rPr>
      <w:pict w14:anchorId="6E957E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3183283"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596F20" w14:textId="4D2A4DA4" w:rsidR="00A7347B" w:rsidRDefault="00275EE1">
    <w:pPr>
      <w:pStyle w:val="Header"/>
    </w:pPr>
    <w:r>
      <w:rPr>
        <w:noProof/>
      </w:rPr>
      <w:pict w14:anchorId="0BD032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3183281"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F4A"/>
    <w:rsid w:val="00090DF9"/>
    <w:rsid w:val="001B36F5"/>
    <w:rsid w:val="00230FD5"/>
    <w:rsid w:val="00275EE1"/>
    <w:rsid w:val="002A5D19"/>
    <w:rsid w:val="004D6071"/>
    <w:rsid w:val="0058399A"/>
    <w:rsid w:val="005E52D3"/>
    <w:rsid w:val="005E59D6"/>
    <w:rsid w:val="00606F97"/>
    <w:rsid w:val="0067138F"/>
    <w:rsid w:val="006C2FEE"/>
    <w:rsid w:val="006D3A5D"/>
    <w:rsid w:val="007035BA"/>
    <w:rsid w:val="0075292B"/>
    <w:rsid w:val="00775D89"/>
    <w:rsid w:val="0096468A"/>
    <w:rsid w:val="00984F4A"/>
    <w:rsid w:val="00A64FB3"/>
    <w:rsid w:val="00A701EF"/>
    <w:rsid w:val="00A7347B"/>
    <w:rsid w:val="00AA6436"/>
    <w:rsid w:val="00AE3E80"/>
    <w:rsid w:val="00BA4D39"/>
    <w:rsid w:val="00C11027"/>
    <w:rsid w:val="00CD3C62"/>
    <w:rsid w:val="00D978A6"/>
    <w:rsid w:val="00E20EC8"/>
    <w:rsid w:val="00E62F1B"/>
    <w:rsid w:val="00E9417E"/>
    <w:rsid w:val="00EB5D1C"/>
    <w:rsid w:val="00F136BE"/>
    <w:rsid w:val="00FE2D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2052"/>
    <o:shapelayout v:ext="edit">
      <o:idmap v:ext="edit" data="1"/>
    </o:shapelayout>
  </w:shapeDefaults>
  <w:decimalSymbol w:val="."/>
  <w:listSeparator w:val=","/>
  <w14:docId w14:val="141F25A3"/>
  <w15:chartTrackingRefBased/>
  <w15:docId w15:val="{C8592096-DC12-4535-9474-BD23D2D62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CharCharCharCharCharCharCharCharCharCharCharChar">
    <w:name w:val="Char Char Char Char Char Char Char Char Char Char Char Char Char Char Char Char"/>
    <w:basedOn w:val="Normal"/>
    <w:rsid w:val="00984F4A"/>
    <w:pPr>
      <w:spacing w:line="240" w:lineRule="exact"/>
    </w:pPr>
    <w:rPr>
      <w:rFonts w:ascii="Verdana" w:eastAsia="SimSun" w:hAnsi="Verdana" w:cs="Verdana"/>
      <w:sz w:val="20"/>
      <w:szCs w:val="20"/>
    </w:rPr>
  </w:style>
  <w:style w:type="table" w:styleId="TableGrid">
    <w:name w:val="Table Grid"/>
    <w:basedOn w:val="TableNormal"/>
    <w:uiPriority w:val="39"/>
    <w:rsid w:val="00CD3C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75D89"/>
    <w:rPr>
      <w:color w:val="0563C1" w:themeColor="hyperlink"/>
      <w:u w:val="single"/>
    </w:rPr>
  </w:style>
  <w:style w:type="character" w:customStyle="1" w:styleId="UnresolvedMention">
    <w:name w:val="Unresolved Mention"/>
    <w:basedOn w:val="DefaultParagraphFont"/>
    <w:uiPriority w:val="99"/>
    <w:semiHidden/>
    <w:unhideWhenUsed/>
    <w:rsid w:val="00775D89"/>
    <w:rPr>
      <w:color w:val="605E5C"/>
      <w:shd w:val="clear" w:color="auto" w:fill="E1DFDD"/>
    </w:rPr>
  </w:style>
  <w:style w:type="paragraph" w:styleId="Header">
    <w:name w:val="header"/>
    <w:basedOn w:val="Normal"/>
    <w:link w:val="HeaderChar"/>
    <w:uiPriority w:val="99"/>
    <w:unhideWhenUsed/>
    <w:rsid w:val="00A734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347B"/>
  </w:style>
  <w:style w:type="paragraph" w:styleId="Footer">
    <w:name w:val="footer"/>
    <w:basedOn w:val="Normal"/>
    <w:link w:val="FooterChar"/>
    <w:uiPriority w:val="99"/>
    <w:unhideWhenUsed/>
    <w:rsid w:val="00A734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34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TotalTime>
  <Pages>1</Pages>
  <Words>4376</Words>
  <Characters>24948</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27</cp:revision>
  <dcterms:created xsi:type="dcterms:W3CDTF">2025-09-04T12:51:00Z</dcterms:created>
  <dcterms:modified xsi:type="dcterms:W3CDTF">2025-09-11T16:45:00Z</dcterms:modified>
</cp:coreProperties>
</file>