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1FFBA" w14:textId="77777777" w:rsidR="00754C9A" w:rsidRDefault="00754C9A" w:rsidP="00441B6F">
      <w:pPr>
        <w:pStyle w:val="Title"/>
        <w:spacing w:after="0"/>
        <w:jc w:val="both"/>
        <w:rPr>
          <w:rFonts w:ascii="Arial" w:hAnsi="Arial" w:cs="Arial"/>
        </w:rPr>
      </w:pPr>
    </w:p>
    <w:p w14:paraId="33F32252" w14:textId="4890B634" w:rsidR="00983834" w:rsidRPr="00080C2D" w:rsidRDefault="00983834" w:rsidP="00983834">
      <w:pPr>
        <w:rPr>
          <w:rFonts w:asciiTheme="minorBidi" w:hAnsiTheme="minorBidi" w:cstheme="minorBidi"/>
          <w:b/>
          <w:bCs/>
          <w:color w:val="000000" w:themeColor="dark1"/>
          <w:kern w:val="24"/>
          <w:sz w:val="36"/>
          <w:szCs w:val="36"/>
        </w:rPr>
      </w:pPr>
      <w:r w:rsidRPr="00983834">
        <w:rPr>
          <w:rFonts w:ascii="Arial" w:hAnsi="Arial" w:cs="Arial"/>
          <w:b/>
          <w:sz w:val="36"/>
          <w:szCs w:val="36"/>
        </w:rPr>
        <w:t>Should high dose corticosteroids be abandoned in the treatment of post traumatic optic neuropathy</w:t>
      </w:r>
      <w:proofErr w:type="gramStart"/>
      <w:r w:rsidRPr="00983834">
        <w:rPr>
          <w:rFonts w:ascii="Arial" w:hAnsi="Arial" w:cs="Arial"/>
          <w:b/>
          <w:sz w:val="36"/>
          <w:szCs w:val="36"/>
        </w:rPr>
        <w:t>?</w:t>
      </w:r>
      <w:r w:rsidR="00D00BC7">
        <w:rPr>
          <w:rFonts w:ascii="Arial" w:hAnsi="Arial" w:cs="Arial"/>
          <w:b/>
          <w:sz w:val="36"/>
          <w:szCs w:val="36"/>
        </w:rPr>
        <w:t xml:space="preserve"> </w:t>
      </w:r>
      <w:r>
        <w:rPr>
          <w:rFonts w:ascii="Arial" w:hAnsi="Arial" w:cs="Arial"/>
          <w:b/>
          <w:sz w:val="36"/>
          <w:szCs w:val="36"/>
        </w:rPr>
        <w:t>:</w:t>
      </w:r>
      <w:proofErr w:type="gramEnd"/>
      <w:r w:rsidR="00D00BC7">
        <w:rPr>
          <w:rFonts w:ascii="Arial" w:hAnsi="Arial" w:cs="Arial"/>
          <w:b/>
          <w:sz w:val="36"/>
          <w:szCs w:val="36"/>
        </w:rPr>
        <w:t xml:space="preserve"> </w:t>
      </w:r>
      <w:r w:rsidR="00A97DCB">
        <w:rPr>
          <w:rFonts w:asciiTheme="minorBidi" w:hAnsiTheme="minorBidi" w:cstheme="minorBidi"/>
          <w:b/>
          <w:bCs/>
          <w:color w:val="000000" w:themeColor="dark1"/>
          <w:kern w:val="24"/>
          <w:sz w:val="36"/>
          <w:szCs w:val="36"/>
        </w:rPr>
        <w:t>A c</w:t>
      </w:r>
      <w:r w:rsidRPr="00080C2D">
        <w:rPr>
          <w:rFonts w:asciiTheme="minorBidi" w:hAnsiTheme="minorBidi" w:cstheme="minorBidi"/>
          <w:b/>
          <w:bCs/>
          <w:color w:val="000000" w:themeColor="dark1"/>
          <w:kern w:val="24"/>
          <w:sz w:val="36"/>
          <w:szCs w:val="36"/>
        </w:rPr>
        <w:t xml:space="preserve">ase </w:t>
      </w:r>
      <w:r w:rsidR="00A97DCB">
        <w:rPr>
          <w:rFonts w:asciiTheme="minorBidi" w:hAnsiTheme="minorBidi" w:cstheme="minorBidi"/>
          <w:b/>
          <w:bCs/>
          <w:color w:val="000000" w:themeColor="dark1"/>
          <w:kern w:val="24"/>
          <w:sz w:val="36"/>
          <w:szCs w:val="36"/>
        </w:rPr>
        <w:t>r</w:t>
      </w:r>
      <w:r w:rsidRPr="00080C2D">
        <w:rPr>
          <w:rFonts w:asciiTheme="minorBidi" w:hAnsiTheme="minorBidi" w:cstheme="minorBidi"/>
          <w:b/>
          <w:bCs/>
          <w:color w:val="000000" w:themeColor="dark1"/>
          <w:kern w:val="24"/>
          <w:sz w:val="36"/>
          <w:szCs w:val="36"/>
        </w:rPr>
        <w:t>eport</w:t>
      </w:r>
    </w:p>
    <w:p w14:paraId="11787670" w14:textId="77777777" w:rsidR="00983834" w:rsidRPr="00790ADA" w:rsidRDefault="00983834" w:rsidP="00983834">
      <w:pPr>
        <w:pStyle w:val="Author"/>
        <w:spacing w:line="240" w:lineRule="auto"/>
        <w:jc w:val="both"/>
        <w:rPr>
          <w:rFonts w:ascii="Arial" w:hAnsi="Arial" w:cs="Arial"/>
          <w:sz w:val="36"/>
        </w:rPr>
      </w:pPr>
    </w:p>
    <w:p w14:paraId="213EDCB6" w14:textId="55646793" w:rsidR="00983834" w:rsidRDefault="00983834" w:rsidP="00983834">
      <w:pPr>
        <w:rPr>
          <w:rFonts w:ascii="Arial" w:hAnsi="Arial" w:cs="Arial"/>
          <w:b/>
          <w:sz w:val="36"/>
          <w:szCs w:val="36"/>
        </w:rPr>
      </w:pPr>
    </w:p>
    <w:p w14:paraId="7A53C812" w14:textId="77777777" w:rsidR="00983834" w:rsidRPr="00983834" w:rsidRDefault="00983834" w:rsidP="00983834">
      <w:pPr>
        <w:rPr>
          <w:rFonts w:ascii="Arial" w:hAnsi="Arial" w:cs="Arial"/>
          <w:b/>
          <w:sz w:val="36"/>
          <w:szCs w:val="36"/>
        </w:rPr>
      </w:pPr>
    </w:p>
    <w:p w14:paraId="2B2835F0" w14:textId="77777777" w:rsidR="00A258C3" w:rsidRPr="00790ADA" w:rsidRDefault="00A258C3" w:rsidP="00441B6F">
      <w:pPr>
        <w:pStyle w:val="Author"/>
        <w:spacing w:line="240" w:lineRule="auto"/>
        <w:jc w:val="both"/>
        <w:rPr>
          <w:rFonts w:ascii="Arial" w:hAnsi="Arial" w:cs="Arial"/>
          <w:sz w:val="36"/>
        </w:rPr>
      </w:pPr>
    </w:p>
    <w:p w14:paraId="169AC236" w14:textId="699932FF" w:rsidR="00B01FCD" w:rsidRPr="00FB3A86" w:rsidRDefault="00F556DA" w:rsidP="00441B6F">
      <w:pPr>
        <w:pStyle w:val="Copyright"/>
        <w:spacing w:after="0" w:line="240" w:lineRule="auto"/>
        <w:jc w:val="both"/>
        <w:rPr>
          <w:rFonts w:ascii="Arial" w:hAnsi="Arial" w:cs="Arial"/>
        </w:rPr>
        <w:sectPr w:rsidR="00B01FCD" w:rsidRPr="00FB3A86" w:rsidSect="00412475">
          <w:footerReference w:type="default" r:id="rId8"/>
          <w:headerReference w:type="first" r:id="rId9"/>
          <w:footerReference w:type="first" r:id="rId10"/>
          <w:pgSz w:w="12240" w:h="15840" w:code="1"/>
          <w:pgMar w:top="1440" w:right="2016" w:bottom="2016" w:left="2016" w:header="720" w:footer="1296" w:gutter="0"/>
          <w:lnNumType w:countBy="1" w:restart="continuous"/>
          <w:cols w:space="720"/>
          <w:docGrid w:linePitch="272"/>
        </w:sectPr>
      </w:pPr>
      <w:r>
        <w:rPr>
          <w:rFonts w:ascii="Arial" w:hAnsi="Arial" w:cs="Arial"/>
          <w:noProof/>
        </w:rPr>
        <mc:AlternateContent>
          <mc:Choice Requires="wps">
            <w:drawing>
              <wp:inline distT="0" distB="0" distL="0" distR="0" wp14:anchorId="28509640" wp14:editId="40C1E5C9">
                <wp:extent cx="5303520" cy="635"/>
                <wp:effectExtent l="13335" t="13335" r="17145" b="15240"/>
                <wp:docPr id="91049848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AF07D3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A194B16" w14:textId="5923857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476271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8FCAF9F" w14:textId="77777777" w:rsidTr="001E44FE">
        <w:tc>
          <w:tcPr>
            <w:tcW w:w="9576" w:type="dxa"/>
            <w:shd w:val="clear" w:color="auto" w:fill="F2F2F2"/>
          </w:tcPr>
          <w:p w14:paraId="4B05ACD0" w14:textId="77777777" w:rsidR="00E3114E" w:rsidRDefault="00E3114E" w:rsidP="00441B6F">
            <w:pPr>
              <w:pStyle w:val="Body"/>
              <w:spacing w:after="0"/>
              <w:rPr>
                <w:rFonts w:ascii="Arial" w:eastAsia="Calibri" w:hAnsi="Arial" w:cs="Arial"/>
                <w:szCs w:val="22"/>
              </w:rPr>
            </w:pPr>
          </w:p>
          <w:p w14:paraId="133B4A3A" w14:textId="6E91CB44" w:rsidR="00BA1B01" w:rsidRPr="00BA1B01" w:rsidRDefault="00BA1B01" w:rsidP="00D23523">
            <w:pPr>
              <w:pStyle w:val="Body"/>
              <w:spacing w:after="0"/>
              <w:rPr>
                <w:rFonts w:ascii="Arial" w:eastAsia="Calibri" w:hAnsi="Arial" w:cs="Arial"/>
                <w:szCs w:val="22"/>
              </w:rPr>
            </w:pPr>
            <w:r w:rsidRPr="00BA1B01">
              <w:rPr>
                <w:rFonts w:ascii="Arial" w:eastAsia="Calibri" w:hAnsi="Arial" w:cs="Arial"/>
                <w:b/>
                <w:szCs w:val="22"/>
              </w:rPr>
              <w:t>Aims:</w:t>
            </w:r>
            <w:r w:rsidR="00D23523">
              <w:rPr>
                <w:rFonts w:ascii="Arial" w:eastAsia="Calibri" w:hAnsi="Arial" w:cs="Arial"/>
                <w:b/>
                <w:szCs w:val="22"/>
              </w:rPr>
              <w:t xml:space="preserve"> </w:t>
            </w:r>
            <w:r w:rsidR="00D23523" w:rsidRPr="00D23523">
              <w:rPr>
                <w:rFonts w:ascii="Arial" w:eastAsia="Calibri" w:hAnsi="Arial" w:cs="Arial"/>
                <w:szCs w:val="22"/>
              </w:rPr>
              <w:t>Post-traumatic optic neuropathy (TON) is an uncommon but potentially devastating complication of head trauma. Its management remains controversial, and the role of systemic corticosteroids is increasingly questioned. The aim of this report is to describe the clinical presentation and spontaneous recovery in a patient with TON.</w:t>
            </w:r>
          </w:p>
          <w:p w14:paraId="2BE23A2C" w14:textId="6948716A" w:rsidR="00BA1B01" w:rsidRDefault="00D23523" w:rsidP="00D23523">
            <w:pPr>
              <w:pStyle w:val="Body"/>
              <w:spacing w:after="0"/>
              <w:rPr>
                <w:rFonts w:ascii="Arial" w:eastAsia="Calibri" w:hAnsi="Arial" w:cs="Arial"/>
                <w:szCs w:val="22"/>
              </w:rPr>
            </w:pPr>
            <w:r w:rsidRPr="00D23523">
              <w:rPr>
                <w:rFonts w:ascii="Arial" w:eastAsia="Calibri" w:hAnsi="Arial" w:cs="Arial"/>
                <w:b/>
                <w:bCs/>
                <w:szCs w:val="22"/>
              </w:rPr>
              <w:t>Presentation of Case:</w:t>
            </w:r>
            <w:r w:rsidRPr="00D23523">
              <w:rPr>
                <w:rFonts w:ascii="Arial" w:eastAsia="Calibri" w:hAnsi="Arial" w:cs="Arial"/>
                <w:szCs w:val="22"/>
              </w:rPr>
              <w:t xml:space="preserve"> We report the case of a 27-year-old male who sustained a head trauma following a road traffic accident, resulting in bilateral severe visual loss. Initial ophthalmologic examination revealed visual acuity limited to light perception in both eyes, with a relative afferent pupillary defect and normal anterior segments. Fundus examination showed a normal optic disc in the right eye and sectoral pallor in the left eye. Electrophysiological testing demonstrated delayed and reduced visual evoked potentials, and optical coherence tomography confirmed optic nerve fiber loss. Magnetic resonance imaging revealed an edematous contusion of the optic nerve within the optic canal, associated with a temporal contusion. Conservative management with close monitoring was adopted. At one-month follow-up, visual acuity improved to 10/10 in the right eye, while the left eye remained s</w:t>
            </w:r>
            <w:bookmarkStart w:id="0" w:name="_GoBack"/>
            <w:r w:rsidRPr="00D23523">
              <w:rPr>
                <w:rFonts w:ascii="Arial" w:eastAsia="Calibri" w:hAnsi="Arial" w:cs="Arial"/>
                <w:szCs w:val="22"/>
              </w:rPr>
              <w:t>table</w:t>
            </w:r>
            <w:bookmarkEnd w:id="0"/>
            <w:r w:rsidRPr="00D23523">
              <w:rPr>
                <w:rFonts w:ascii="Arial" w:eastAsia="Calibri" w:hAnsi="Arial" w:cs="Arial"/>
                <w:szCs w:val="22"/>
              </w:rPr>
              <w:t xml:space="preserve"> at light perception.</w:t>
            </w:r>
          </w:p>
          <w:p w14:paraId="40052AEB" w14:textId="1191467B" w:rsidR="00D23523" w:rsidRPr="00BA1B01" w:rsidRDefault="00D23523" w:rsidP="00D23523">
            <w:pPr>
              <w:pStyle w:val="Body"/>
              <w:spacing w:after="0"/>
              <w:rPr>
                <w:rFonts w:ascii="Arial" w:eastAsia="Calibri" w:hAnsi="Arial" w:cs="Arial"/>
                <w:szCs w:val="22"/>
              </w:rPr>
            </w:pPr>
            <w:r w:rsidRPr="00D23523">
              <w:rPr>
                <w:rFonts w:ascii="Arial" w:eastAsia="Calibri" w:hAnsi="Arial" w:cs="Arial"/>
                <w:b/>
                <w:bCs/>
                <w:szCs w:val="22"/>
              </w:rPr>
              <w:t>Discussion:</w:t>
            </w:r>
            <w:r w:rsidRPr="00D23523">
              <w:rPr>
                <w:rFonts w:ascii="Arial" w:eastAsia="Calibri" w:hAnsi="Arial" w:cs="Arial"/>
                <w:szCs w:val="22"/>
              </w:rPr>
              <w:t xml:space="preserve"> TON primarily affects young adults, most often following high-energy trauma. Visual prognosis depends largely on initial visual acuity. The pathophysiology may involve optic canal fracture, microvascular injury, or direct nerve contusion. Management remains debated: neither surgical decompression nor high-dose systemic corticosteroids have demonstrated clear benefit, and corticosteroids may even be harmful. Our case illustrates the potential for spontaneous visual recovery under observation alone.</w:t>
            </w:r>
          </w:p>
          <w:p w14:paraId="130F6BDB" w14:textId="58BC1D76" w:rsidR="00636EB2" w:rsidRDefault="00BA1B01" w:rsidP="00D23523">
            <w:pPr>
              <w:pStyle w:val="Body"/>
              <w:spacing w:after="0"/>
              <w:rPr>
                <w:rFonts w:ascii="Arial" w:eastAsia="Calibri" w:hAnsi="Arial" w:cs="Arial"/>
                <w:szCs w:val="22"/>
              </w:rPr>
            </w:pPr>
            <w:r w:rsidRPr="00BA1B01">
              <w:rPr>
                <w:rFonts w:ascii="Arial" w:eastAsia="Calibri" w:hAnsi="Arial" w:cs="Arial"/>
                <w:b/>
                <w:bCs/>
                <w:szCs w:val="22"/>
              </w:rPr>
              <w:t>Conclusion</w:t>
            </w:r>
            <w:r w:rsidR="00D23523">
              <w:rPr>
                <w:rFonts w:ascii="Arial" w:eastAsia="Calibri" w:hAnsi="Arial" w:cs="Arial"/>
                <w:b/>
                <w:bCs/>
                <w:szCs w:val="22"/>
              </w:rPr>
              <w:t xml:space="preserve">: </w:t>
            </w:r>
            <w:r w:rsidR="00D23523" w:rsidRPr="00D23523">
              <w:rPr>
                <w:rFonts w:ascii="Arial" w:eastAsia="Calibri" w:hAnsi="Arial" w:cs="Arial"/>
                <w:szCs w:val="22"/>
              </w:rPr>
              <w:t>High-dose systemic corticosteroids are not recommended in TON due to their lack of efficacy and possible harmful effects. Careful monitoring and individualized management appear to be the safest strategy until further evidence clarifies optimal treatment.</w:t>
            </w:r>
          </w:p>
          <w:p w14:paraId="51A95A5E" w14:textId="5210C317" w:rsidR="00505F06" w:rsidRPr="00BA1B01" w:rsidRDefault="00505F06" w:rsidP="00441B6F">
            <w:pPr>
              <w:pStyle w:val="Body"/>
              <w:spacing w:after="0"/>
              <w:rPr>
                <w:rFonts w:ascii="Arial" w:eastAsia="Calibri" w:hAnsi="Arial" w:cs="Arial"/>
                <w:szCs w:val="22"/>
              </w:rPr>
            </w:pPr>
          </w:p>
        </w:tc>
      </w:tr>
    </w:tbl>
    <w:p w14:paraId="40EA610C" w14:textId="77777777" w:rsidR="00636EB2" w:rsidRDefault="00636EB2" w:rsidP="00441B6F">
      <w:pPr>
        <w:pStyle w:val="Body"/>
        <w:spacing w:after="0"/>
        <w:rPr>
          <w:rFonts w:ascii="Arial" w:hAnsi="Arial" w:cs="Arial"/>
          <w:i/>
        </w:rPr>
      </w:pPr>
    </w:p>
    <w:p w14:paraId="06842165" w14:textId="591DEDB6" w:rsidR="00924E75" w:rsidRPr="00924E75" w:rsidRDefault="00A24E7E" w:rsidP="00924E75">
      <w:pPr>
        <w:pStyle w:val="Body"/>
        <w:rPr>
          <w:rFonts w:ascii="Arial" w:hAnsi="Arial" w:cs="Arial"/>
          <w:i/>
        </w:rPr>
      </w:pPr>
      <w:r>
        <w:rPr>
          <w:rFonts w:ascii="Arial" w:hAnsi="Arial" w:cs="Arial"/>
          <w:i/>
        </w:rPr>
        <w:t xml:space="preserve">Keywords: </w:t>
      </w:r>
      <w:r w:rsidR="00924E75" w:rsidRPr="00924E75">
        <w:rPr>
          <w:rFonts w:ascii="Arial" w:hAnsi="Arial" w:cs="Arial"/>
          <w:i/>
        </w:rPr>
        <w:t>Traumatic optic neuropathy</w:t>
      </w:r>
      <w:r w:rsidR="00924E75">
        <w:rPr>
          <w:rFonts w:ascii="Arial" w:hAnsi="Arial" w:cs="Arial"/>
          <w:i/>
        </w:rPr>
        <w:t>,</w:t>
      </w:r>
      <w:r w:rsidR="00042949">
        <w:rPr>
          <w:rFonts w:ascii="Arial" w:hAnsi="Arial" w:cs="Arial"/>
          <w:i/>
        </w:rPr>
        <w:t xml:space="preserve"> </w:t>
      </w:r>
      <w:r w:rsidR="00924E75" w:rsidRPr="00924E75">
        <w:rPr>
          <w:rFonts w:ascii="Arial" w:hAnsi="Arial" w:cs="Arial"/>
          <w:i/>
        </w:rPr>
        <w:t>Visual outcome</w:t>
      </w:r>
      <w:r w:rsidR="00924E75">
        <w:rPr>
          <w:rFonts w:ascii="Arial" w:hAnsi="Arial" w:cs="Arial"/>
          <w:i/>
        </w:rPr>
        <w:t>,</w:t>
      </w:r>
      <w:r w:rsidR="00924E75" w:rsidRPr="00924E75">
        <w:rPr>
          <w:rFonts w:ascii="Arial" w:hAnsi="Arial" w:cs="Arial"/>
          <w:i/>
        </w:rPr>
        <w:t xml:space="preserve"> Optic nerve </w:t>
      </w:r>
      <w:r w:rsidR="00042949" w:rsidRPr="00924E75">
        <w:rPr>
          <w:rFonts w:ascii="Arial" w:hAnsi="Arial" w:cs="Arial"/>
          <w:i/>
        </w:rPr>
        <w:t>injury</w:t>
      </w:r>
      <w:r w:rsidR="00042949">
        <w:rPr>
          <w:rFonts w:ascii="Arial" w:hAnsi="Arial" w:cs="Arial"/>
          <w:i/>
        </w:rPr>
        <w:t>,</w:t>
      </w:r>
      <w:r w:rsidR="00042949" w:rsidRPr="00924E75">
        <w:rPr>
          <w:rFonts w:ascii="Arial" w:hAnsi="Arial" w:cs="Arial"/>
          <w:i/>
        </w:rPr>
        <w:t xml:space="preserve"> Corticosteroids</w:t>
      </w:r>
      <w:r w:rsidR="00924E75">
        <w:rPr>
          <w:rFonts w:ascii="Arial" w:hAnsi="Arial" w:cs="Arial"/>
          <w:i/>
        </w:rPr>
        <w:t>,</w:t>
      </w:r>
      <w:r w:rsidR="00042949">
        <w:rPr>
          <w:rFonts w:ascii="Arial" w:hAnsi="Arial" w:cs="Arial"/>
          <w:i/>
        </w:rPr>
        <w:t xml:space="preserve"> </w:t>
      </w:r>
      <w:r w:rsidR="00924E75" w:rsidRPr="00924E75">
        <w:rPr>
          <w:rFonts w:ascii="Arial" w:hAnsi="Arial" w:cs="Arial"/>
          <w:i/>
        </w:rPr>
        <w:t>Conservative treatment</w:t>
      </w:r>
    </w:p>
    <w:p w14:paraId="422A8476" w14:textId="77777777" w:rsidR="0024282C" w:rsidRDefault="0024282C" w:rsidP="00441B6F">
      <w:pPr>
        <w:pStyle w:val="Body"/>
        <w:spacing w:after="0"/>
        <w:rPr>
          <w:rFonts w:ascii="Arial" w:hAnsi="Arial" w:cs="Arial"/>
          <w:i/>
          <w:sz w:val="18"/>
        </w:rPr>
      </w:pPr>
    </w:p>
    <w:p w14:paraId="74287AAE" w14:textId="77777777" w:rsidR="00505F06" w:rsidRPr="00A24E7E" w:rsidRDefault="00505F06" w:rsidP="00441B6F">
      <w:pPr>
        <w:pStyle w:val="Body"/>
        <w:spacing w:after="0"/>
        <w:rPr>
          <w:rFonts w:ascii="Arial" w:hAnsi="Arial" w:cs="Arial"/>
          <w:i/>
        </w:rPr>
      </w:pPr>
    </w:p>
    <w:p w14:paraId="4FF760EB" w14:textId="638D1E9C"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604DED03" w14:textId="77777777" w:rsidR="00790ADA" w:rsidRPr="00FB3A86" w:rsidRDefault="00790ADA" w:rsidP="00441B6F">
      <w:pPr>
        <w:pStyle w:val="AbstHead"/>
        <w:spacing w:after="0"/>
        <w:jc w:val="both"/>
        <w:rPr>
          <w:rFonts w:ascii="Arial" w:hAnsi="Arial" w:cs="Arial"/>
        </w:rPr>
      </w:pPr>
    </w:p>
    <w:p w14:paraId="02C9306F" w14:textId="6D0E0AD8" w:rsidR="00251BE4" w:rsidRDefault="00CB4925" w:rsidP="00CB4925">
      <w:pPr>
        <w:pStyle w:val="Body"/>
        <w:spacing w:after="0"/>
        <w:rPr>
          <w:rFonts w:ascii="Arial" w:hAnsi="Arial" w:cs="Arial"/>
        </w:rPr>
      </w:pPr>
      <w:r w:rsidRPr="00CB4925">
        <w:rPr>
          <w:rFonts w:ascii="Arial" w:hAnsi="Arial" w:cs="Arial"/>
        </w:rPr>
        <w:t>Post-traumatic optic neuropathy (TON) is a well-recognized cause of visual impairment following head trauma. Despite its clinical relevance, radiological evidence of a lesion along the visual pathway is detected in only approximately 5% of affected patients (Levin, 1999). The optimal management of TON remains a subject of debate, with available therapeutic options yielding unsatisfactory outcomes. High-dose systemic corticosteroids, once widely advocated, are now regarded as ineffective and potentially harmful (</w:t>
      </w:r>
      <w:proofErr w:type="spellStart"/>
      <w:r w:rsidRPr="00CB4925">
        <w:rPr>
          <w:rFonts w:ascii="Arial" w:hAnsi="Arial" w:cs="Arial"/>
        </w:rPr>
        <w:t>Steinshapir</w:t>
      </w:r>
      <w:proofErr w:type="spellEnd"/>
      <w:r w:rsidRPr="00CB4925">
        <w:rPr>
          <w:rFonts w:ascii="Arial" w:hAnsi="Arial" w:cs="Arial"/>
        </w:rPr>
        <w:t>, 2020). The objective of this study is to report the clinical features and the spontaneous favorable course observed in a case of traumatic optic neuropathy.</w:t>
      </w:r>
    </w:p>
    <w:p w14:paraId="1ACF400C" w14:textId="77777777" w:rsidR="00251BE4" w:rsidRDefault="00251BE4" w:rsidP="00441B6F">
      <w:pPr>
        <w:pStyle w:val="Body"/>
        <w:spacing w:after="0"/>
        <w:rPr>
          <w:rFonts w:ascii="Arial" w:hAnsi="Arial" w:cs="Arial"/>
        </w:rPr>
      </w:pPr>
    </w:p>
    <w:p w14:paraId="76B28785" w14:textId="77777777" w:rsidR="00251BE4" w:rsidRDefault="00251BE4" w:rsidP="00441B6F">
      <w:pPr>
        <w:pStyle w:val="Body"/>
        <w:spacing w:after="0"/>
        <w:rPr>
          <w:rFonts w:ascii="Arial" w:eastAsia="Calibri" w:hAnsi="Arial" w:cs="Arial"/>
          <w:szCs w:val="22"/>
        </w:rPr>
      </w:pPr>
    </w:p>
    <w:p w14:paraId="43B85FEF" w14:textId="77777777" w:rsidR="00251BE4" w:rsidRDefault="00251BE4" w:rsidP="00251BE4">
      <w:pPr>
        <w:pStyle w:val="Body"/>
        <w:spacing w:after="0"/>
        <w:jc w:val="left"/>
        <w:rPr>
          <w:rFonts w:ascii="Arial" w:eastAsia="Calibri" w:hAnsi="Arial" w:cs="Arial"/>
          <w:b/>
          <w:bCs/>
          <w:szCs w:val="22"/>
        </w:rPr>
      </w:pPr>
      <w:r w:rsidRPr="00251BE4">
        <w:rPr>
          <w:rFonts w:ascii="Arial" w:eastAsia="Calibri" w:hAnsi="Arial" w:cs="Arial"/>
          <w:b/>
          <w:bCs/>
          <w:szCs w:val="22"/>
        </w:rPr>
        <w:t>PRESENTATION OF CASE</w:t>
      </w:r>
    </w:p>
    <w:p w14:paraId="65E35B80" w14:textId="6E1F5979" w:rsidR="00251BE4" w:rsidRPr="00251BE4" w:rsidRDefault="00251BE4" w:rsidP="00251BE4">
      <w:pPr>
        <w:pStyle w:val="Body"/>
        <w:spacing w:after="0"/>
        <w:jc w:val="left"/>
        <w:rPr>
          <w:rFonts w:ascii="Arial" w:eastAsia="Calibri" w:hAnsi="Arial" w:cs="Arial"/>
          <w:szCs w:val="22"/>
        </w:rPr>
      </w:pPr>
      <w:r w:rsidRPr="00251BE4">
        <w:rPr>
          <w:rFonts w:ascii="Arial" w:eastAsia="Calibri" w:hAnsi="Arial" w:cs="Arial"/>
          <w:szCs w:val="22"/>
        </w:rPr>
        <w:br/>
        <w:t>We report the case of a 27-year-old male patient, with no significant past medical history, who sustained a road traffic accident resulting in head trauma. The trauma was associated with an initial loss of consciousness and a sutured eyebrow laceration. Following the injury, the patient experienced a persistent bilateral decrease in visual acuity.</w:t>
      </w:r>
    </w:p>
    <w:p w14:paraId="1F15B436" w14:textId="44C155CD" w:rsidR="00A9616D" w:rsidRDefault="00251BE4" w:rsidP="00251BE4">
      <w:pPr>
        <w:pStyle w:val="Body"/>
        <w:spacing w:after="0"/>
        <w:rPr>
          <w:rFonts w:ascii="Arial" w:eastAsia="Calibri" w:hAnsi="Arial" w:cs="Arial"/>
          <w:szCs w:val="22"/>
        </w:rPr>
      </w:pPr>
      <w:r w:rsidRPr="00251BE4">
        <w:rPr>
          <w:rFonts w:ascii="Arial" w:eastAsia="Calibri" w:hAnsi="Arial" w:cs="Arial"/>
          <w:szCs w:val="22"/>
        </w:rPr>
        <w:t xml:space="preserve">Initial ophthalmologic examination revealed best-corrected visual acuity limited to light perception in both eyes. The anterior segment and intraocular pressure were within normal limits. Assessment of pupillary responses demonstrated a relative afferent pupillary defect associated with poorly reactive mydriasis. Extraocular motility was normal. Fundus examination showed a normal optic disc in the right eye, while the left eye exhibited sectoral optic disc pallor (Figure 1). </w:t>
      </w:r>
    </w:p>
    <w:p w14:paraId="5CE15B14" w14:textId="77777777" w:rsidR="00A9616D" w:rsidRDefault="00A9616D" w:rsidP="00251BE4">
      <w:pPr>
        <w:pStyle w:val="Body"/>
        <w:spacing w:after="0"/>
        <w:rPr>
          <w:rFonts w:ascii="Arial" w:eastAsia="Calibri" w:hAnsi="Arial" w:cs="Arial"/>
          <w:szCs w:val="22"/>
        </w:rPr>
      </w:pPr>
    </w:p>
    <w:p w14:paraId="27B0FDE4" w14:textId="4DA20BFA" w:rsidR="00A9616D" w:rsidRDefault="00A9616D" w:rsidP="00251BE4">
      <w:pPr>
        <w:pStyle w:val="Body"/>
        <w:spacing w:after="0"/>
        <w:rPr>
          <w:rFonts w:ascii="Arial" w:eastAsia="Calibri" w:hAnsi="Arial" w:cs="Arial"/>
          <w:szCs w:val="22"/>
        </w:rPr>
      </w:pPr>
    </w:p>
    <w:p w14:paraId="3B58AE8E" w14:textId="77777777" w:rsidR="00A9616D" w:rsidRDefault="00A9616D" w:rsidP="00251BE4">
      <w:pPr>
        <w:pStyle w:val="Body"/>
        <w:spacing w:after="0"/>
        <w:rPr>
          <w:rFonts w:ascii="Arial" w:eastAsia="Calibri" w:hAnsi="Arial" w:cs="Arial"/>
          <w:szCs w:val="22"/>
        </w:rPr>
      </w:pPr>
    </w:p>
    <w:p w14:paraId="27BA9298" w14:textId="512BB293" w:rsidR="00A9616D" w:rsidRDefault="00A9616D" w:rsidP="00251BE4">
      <w:pPr>
        <w:pStyle w:val="Body"/>
        <w:spacing w:after="0"/>
        <w:rPr>
          <w:rFonts w:ascii="Arial" w:eastAsia="Calibri" w:hAnsi="Arial" w:cs="Arial"/>
          <w:szCs w:val="22"/>
        </w:rPr>
      </w:pPr>
    </w:p>
    <w:p w14:paraId="44E9DDDF" w14:textId="0FDE92F1" w:rsidR="00A9616D" w:rsidRDefault="00A9616D" w:rsidP="00251BE4">
      <w:pPr>
        <w:pStyle w:val="Body"/>
        <w:spacing w:after="0"/>
        <w:rPr>
          <w:rFonts w:ascii="Arial" w:eastAsia="Calibri" w:hAnsi="Arial" w:cs="Arial"/>
          <w:szCs w:val="22"/>
        </w:rPr>
      </w:pPr>
    </w:p>
    <w:p w14:paraId="726E4D73" w14:textId="4EC1CC7F" w:rsidR="00A9616D" w:rsidRDefault="00A9616D" w:rsidP="00251BE4">
      <w:pPr>
        <w:pStyle w:val="Body"/>
        <w:spacing w:after="0"/>
        <w:rPr>
          <w:rFonts w:ascii="Arial" w:eastAsia="Calibri" w:hAnsi="Arial" w:cs="Arial"/>
          <w:szCs w:val="22"/>
        </w:rPr>
      </w:pPr>
    </w:p>
    <w:p w14:paraId="3AA93F4B" w14:textId="05F14F95" w:rsidR="00A9616D" w:rsidRDefault="00A9616D" w:rsidP="00251BE4">
      <w:pPr>
        <w:pStyle w:val="Body"/>
        <w:spacing w:after="0"/>
        <w:rPr>
          <w:rFonts w:ascii="Arial" w:eastAsia="Calibri" w:hAnsi="Arial" w:cs="Arial"/>
          <w:szCs w:val="22"/>
        </w:rPr>
      </w:pPr>
    </w:p>
    <w:p w14:paraId="3E07C2C0" w14:textId="3A8B24C2" w:rsidR="00A9616D" w:rsidRDefault="00A9616D" w:rsidP="00251BE4">
      <w:pPr>
        <w:pStyle w:val="Body"/>
        <w:spacing w:after="0"/>
        <w:rPr>
          <w:rFonts w:ascii="Arial" w:eastAsia="Calibri" w:hAnsi="Arial" w:cs="Arial"/>
          <w:szCs w:val="22"/>
        </w:rPr>
      </w:pPr>
    </w:p>
    <w:p w14:paraId="45CE20F4" w14:textId="4C0DEA23" w:rsidR="00A9616D" w:rsidRDefault="00A9616D" w:rsidP="00251BE4">
      <w:pPr>
        <w:pStyle w:val="Body"/>
        <w:spacing w:after="0"/>
        <w:rPr>
          <w:rFonts w:ascii="Arial" w:eastAsia="Calibri" w:hAnsi="Arial" w:cs="Arial"/>
          <w:szCs w:val="22"/>
        </w:rPr>
      </w:pPr>
    </w:p>
    <w:p w14:paraId="2FF4AAF5" w14:textId="6CE46D95" w:rsidR="00A9616D" w:rsidRDefault="00AC7E01" w:rsidP="00251BE4">
      <w:pPr>
        <w:pStyle w:val="Body"/>
        <w:spacing w:after="0"/>
        <w:rPr>
          <w:rFonts w:ascii="Arial" w:eastAsia="Calibri" w:hAnsi="Arial" w:cs="Arial"/>
          <w:szCs w:val="22"/>
        </w:rPr>
      </w:pPr>
      <w:r>
        <w:rPr>
          <w:rFonts w:ascii="Arial" w:eastAsia="Calibri" w:hAnsi="Arial" w:cs="Arial"/>
          <w:noProof/>
          <w:szCs w:val="22"/>
        </w:rPr>
        <mc:AlternateContent>
          <mc:Choice Requires="wps">
            <w:drawing>
              <wp:anchor distT="0" distB="0" distL="114300" distR="114300" simplePos="0" relativeHeight="251661312" behindDoc="0" locked="0" layoutInCell="1" allowOverlap="1" wp14:anchorId="280B695B" wp14:editId="3D4E6A24">
                <wp:simplePos x="0" y="0"/>
                <wp:positionH relativeFrom="column">
                  <wp:posOffset>2377440</wp:posOffset>
                </wp:positionH>
                <wp:positionV relativeFrom="paragraph">
                  <wp:posOffset>-646176</wp:posOffset>
                </wp:positionV>
                <wp:extent cx="682244" cy="249555"/>
                <wp:effectExtent l="0" t="0" r="22860" b="17145"/>
                <wp:wrapNone/>
                <wp:docPr id="397819072" name="Rectangle 1"/>
                <wp:cNvGraphicFramePr/>
                <a:graphic xmlns:a="http://schemas.openxmlformats.org/drawingml/2006/main">
                  <a:graphicData uri="http://schemas.microsoft.com/office/word/2010/wordprocessingShape">
                    <wps:wsp>
                      <wps:cNvSpPr/>
                      <wps:spPr>
                        <a:xfrm>
                          <a:off x="0" y="0"/>
                          <a:ext cx="682244" cy="249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9B673F4" id="Rectangle 1" o:spid="_x0000_s1026" style="position:absolute;margin-left:187.2pt;margin-top:-50.9pt;width:53.7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Gb6TgIAANMEAAAOAAAAZHJzL2Uyb0RvYy54bWysVMFu2zAMvQ/YPwi6r04Cp1uDOkXQIsOA&#10;oi3QDj2zshQbkEWNUuJkXz9Kdpu226lYDgopUhTf06PPL/adFTtNoUVXyenJRArtFNat21Ty58P6&#10;yzcpQgRXg0WnK3nQQV4sP3867/1Cz7BBW2sSXMSFRe8r2cToF0URVKM7CCfoteOgQeogskuboibo&#10;uXpni9lkclr0SLUnVDoE3r0agnKZ6xujVbw1JugobCW5t5hXyutTWovlOSw2BL5p1dgGfKCLDlrH&#10;l76UuoIIYkvtX6W6VhEGNPFEYVegMa3SGQOjmU7eoblvwOuMhckJ/oWm8P/Kqpvdvb8jpqH3YRHY&#10;TCj2hrr0z/2JfSbr8EKW3kehePP022xWllIoDs3Ks/l8nsgsjoc9hfhdYyeSUUnit8gUwe46xCH1&#10;OSXdFdC29bq1NjuHcGlJ7ICfjV+7xl4KCyHyZiXX+Tfe9uaYdaLnbublhN9aAevJWIhsdr6uZHAb&#10;KcBuWKgqUu7lzenwsUsTiCsIzdBtrjj2Zl3CorMMR8xHlpP1hPXhjgThoMvg1brlateM9A6Ihcgw&#10;eLjiLS/GImPD0ZKiQfr9r/2Uz/rgqBQ9C5tx/9oCaSbwh2PlnE3LMk1Cdsr51xk79Dry9Dritt0l&#10;8iNMeYy9ymbKj/bZNITdI8/gKt3KIXCK7x4YHp3LOAwcT7HSq1VOY/V7iNfu3qtUPPGUeHzYPwL5&#10;UTGRpXaDz0MAi3fCGXLTSYerbUTTZlUdeWU1JocnJ+tynPI0mq/9nHX8Fi3/AAAA//8DAFBLAwQU&#10;AAYACAAAACEAVRkCX+EAAAAMAQAADwAAAGRycy9kb3ducmV2LnhtbEyPQU+DQBCF7yb+h82YeGsX&#10;KlaCLI1p1PRkIvTgcWFHIGVnCbst+O+dnvQ2M+/lzffy3WIHccHJ944UxOsIBFLjTE+tgmP1tkpB&#10;+KDJ6MERKvhBD7vi9ibXmXEzfeKlDK3gEPKZVtCFMGZS+qZDq/3ajUisfbvJ6sDr1Eoz6ZnD7SA3&#10;UbSVVvfEHzo94r7D5lSerYLqUB3jOoynfk5fy/3Xx/tQH6xS93fLyzOIgEv4M8MVn9GhYKbancl4&#10;MSh4eEoStipYxVHMJdiSpNeh5tN28wiyyOX/EsUvAAAA//8DAFBLAQItABQABgAIAAAAIQC2gziS&#10;/gAAAOEBAAATAAAAAAAAAAAAAAAAAAAAAABbQ29udGVudF9UeXBlc10ueG1sUEsBAi0AFAAGAAgA&#10;AAAhADj9If/WAAAAlAEAAAsAAAAAAAAAAAAAAAAALwEAAF9yZWxzLy5yZWxzUEsBAi0AFAAGAAgA&#10;AAAhAFiQZvpOAgAA0wQAAA4AAAAAAAAAAAAAAAAALgIAAGRycy9lMm9Eb2MueG1sUEsBAi0AFAAG&#10;AAgAAAAhAFUZAl/hAAAADAEAAA8AAAAAAAAAAAAAAAAAqAQAAGRycy9kb3ducmV2LnhtbFBLBQYA&#10;AAAABAAEAPMAAAC2BQAAAAA=&#10;" fillcolor="window" strokecolor="window" strokeweight="2pt"/>
            </w:pict>
          </mc:Fallback>
        </mc:AlternateContent>
      </w:r>
      <w:r w:rsidR="00A9616D">
        <w:rPr>
          <w:rFonts w:ascii="Arial" w:eastAsia="Calibri" w:hAnsi="Arial" w:cs="Arial"/>
          <w:noProof/>
          <w:szCs w:val="22"/>
        </w:rPr>
        <w:drawing>
          <wp:anchor distT="0" distB="0" distL="114300" distR="114300" simplePos="0" relativeHeight="251658240" behindDoc="1" locked="0" layoutInCell="1" allowOverlap="1" wp14:anchorId="3AC760E9" wp14:editId="525FD972">
            <wp:simplePos x="0" y="0"/>
            <wp:positionH relativeFrom="column">
              <wp:posOffset>-5461</wp:posOffset>
            </wp:positionH>
            <wp:positionV relativeFrom="paragraph">
              <wp:posOffset>-572770</wp:posOffset>
            </wp:positionV>
            <wp:extent cx="5595148" cy="2139696"/>
            <wp:effectExtent l="0" t="0" r="5715" b="0"/>
            <wp:wrapNone/>
            <wp:docPr id="587954805" name="Image 52"/>
            <wp:cNvGraphicFramePr/>
            <a:graphic xmlns:a="http://schemas.openxmlformats.org/drawingml/2006/main">
              <a:graphicData uri="http://schemas.openxmlformats.org/drawingml/2006/picture">
                <pic:pic xmlns:pic="http://schemas.openxmlformats.org/drawingml/2006/picture">
                  <pic:nvPicPr>
                    <pic:cNvPr id="587954805" name="Image 52"/>
                    <pic:cNvPicPr/>
                  </pic:nvPicPr>
                  <pic:blipFill>
                    <a:blip r:embed="rId11" cstate="print"/>
                    <a:stretch>
                      <a:fillRect/>
                    </a:stretch>
                  </pic:blipFill>
                  <pic:spPr>
                    <a:xfrm>
                      <a:off x="0" y="0"/>
                      <a:ext cx="5595148" cy="2139696"/>
                    </a:xfrm>
                    <a:prstGeom prst="rect">
                      <a:avLst/>
                    </a:prstGeom>
                  </pic:spPr>
                </pic:pic>
              </a:graphicData>
            </a:graphic>
            <wp14:sizeRelH relativeFrom="margin">
              <wp14:pctWidth>0</wp14:pctWidth>
            </wp14:sizeRelH>
            <wp14:sizeRelV relativeFrom="margin">
              <wp14:pctHeight>0</wp14:pctHeight>
            </wp14:sizeRelV>
          </wp:anchor>
        </w:drawing>
      </w:r>
      <w:r w:rsidR="00A9616D">
        <w:rPr>
          <w:rFonts w:ascii="Arial" w:eastAsia="Calibri" w:hAnsi="Arial" w:cs="Arial"/>
          <w:noProof/>
          <w:szCs w:val="22"/>
        </w:rPr>
        <w:t xml:space="preserve">   </w:t>
      </w:r>
    </w:p>
    <w:p w14:paraId="34E41A89" w14:textId="1D616CDD" w:rsidR="00A9616D" w:rsidRDefault="00A9616D" w:rsidP="00251BE4">
      <w:pPr>
        <w:pStyle w:val="Body"/>
        <w:spacing w:after="0"/>
        <w:rPr>
          <w:rFonts w:ascii="Arial" w:eastAsia="Calibri" w:hAnsi="Arial" w:cs="Arial"/>
          <w:szCs w:val="22"/>
        </w:rPr>
      </w:pPr>
    </w:p>
    <w:p w14:paraId="57D7C2B3" w14:textId="555B17CD" w:rsidR="00A9616D" w:rsidRDefault="00A9616D" w:rsidP="00251BE4">
      <w:pPr>
        <w:pStyle w:val="Body"/>
        <w:spacing w:after="0"/>
        <w:rPr>
          <w:rFonts w:ascii="Arial" w:eastAsia="Calibri" w:hAnsi="Arial" w:cs="Arial"/>
          <w:szCs w:val="22"/>
        </w:rPr>
      </w:pPr>
    </w:p>
    <w:p w14:paraId="39423677" w14:textId="77777777" w:rsidR="00A9616D" w:rsidRDefault="00A9616D" w:rsidP="00251BE4">
      <w:pPr>
        <w:pStyle w:val="Body"/>
        <w:spacing w:after="0"/>
        <w:rPr>
          <w:rFonts w:ascii="Arial" w:eastAsia="Calibri" w:hAnsi="Arial" w:cs="Arial"/>
          <w:szCs w:val="22"/>
        </w:rPr>
      </w:pPr>
    </w:p>
    <w:p w14:paraId="0819E011" w14:textId="09305295" w:rsidR="00A9616D" w:rsidRDefault="00A9616D" w:rsidP="00251BE4">
      <w:pPr>
        <w:pStyle w:val="Body"/>
        <w:spacing w:after="0"/>
        <w:rPr>
          <w:rFonts w:ascii="Arial" w:eastAsia="Calibri" w:hAnsi="Arial" w:cs="Arial"/>
          <w:szCs w:val="22"/>
        </w:rPr>
      </w:pPr>
    </w:p>
    <w:p w14:paraId="6F793B69" w14:textId="1794C63C" w:rsidR="00A9616D" w:rsidRDefault="00A9616D" w:rsidP="00251BE4">
      <w:pPr>
        <w:pStyle w:val="Body"/>
        <w:spacing w:after="0"/>
        <w:rPr>
          <w:rFonts w:ascii="Arial" w:eastAsia="Calibri" w:hAnsi="Arial" w:cs="Arial"/>
          <w:szCs w:val="22"/>
        </w:rPr>
      </w:pPr>
    </w:p>
    <w:p w14:paraId="7690A796" w14:textId="3B8B820C" w:rsidR="00A9616D" w:rsidRDefault="00A9616D" w:rsidP="00251BE4">
      <w:pPr>
        <w:pStyle w:val="Body"/>
        <w:spacing w:after="0"/>
        <w:rPr>
          <w:rFonts w:ascii="Arial" w:eastAsia="Calibri" w:hAnsi="Arial" w:cs="Arial"/>
          <w:szCs w:val="22"/>
        </w:rPr>
      </w:pPr>
    </w:p>
    <w:p w14:paraId="5AF6FE62" w14:textId="06BEE31B" w:rsidR="00A9616D" w:rsidRDefault="00A9616D" w:rsidP="00251BE4">
      <w:pPr>
        <w:pStyle w:val="Body"/>
        <w:spacing w:after="0"/>
        <w:rPr>
          <w:rFonts w:ascii="Arial" w:eastAsia="Calibri" w:hAnsi="Arial" w:cs="Arial"/>
          <w:szCs w:val="22"/>
        </w:rPr>
      </w:pPr>
    </w:p>
    <w:p w14:paraId="00ED533D" w14:textId="1E4AAB94" w:rsidR="00A9616D" w:rsidRDefault="005A2FAA" w:rsidP="00251BE4">
      <w:pPr>
        <w:pStyle w:val="Body"/>
        <w:spacing w:after="0"/>
        <w:rPr>
          <w:rFonts w:ascii="Arial" w:eastAsia="Calibri" w:hAnsi="Arial" w:cs="Arial"/>
          <w:szCs w:val="22"/>
        </w:rPr>
      </w:pPr>
      <w:r>
        <w:rPr>
          <w:rFonts w:ascii="Arial" w:eastAsia="Calibri" w:hAnsi="Arial" w:cs="Arial"/>
          <w:noProof/>
          <w:szCs w:val="22"/>
        </w:rPr>
        <mc:AlternateContent>
          <mc:Choice Requires="wps">
            <w:drawing>
              <wp:anchor distT="0" distB="0" distL="114300" distR="114300" simplePos="0" relativeHeight="251659264" behindDoc="0" locked="0" layoutInCell="1" allowOverlap="1" wp14:anchorId="2A4FF240" wp14:editId="4225C048">
                <wp:simplePos x="0" y="0"/>
                <wp:positionH relativeFrom="column">
                  <wp:posOffset>2036064</wp:posOffset>
                </wp:positionH>
                <wp:positionV relativeFrom="paragraph">
                  <wp:posOffset>148335</wp:posOffset>
                </wp:positionV>
                <wp:extent cx="1115060" cy="249555"/>
                <wp:effectExtent l="0" t="0" r="27940" b="17145"/>
                <wp:wrapNone/>
                <wp:docPr id="285419670" name="Rectangle 1"/>
                <wp:cNvGraphicFramePr/>
                <a:graphic xmlns:a="http://schemas.openxmlformats.org/drawingml/2006/main">
                  <a:graphicData uri="http://schemas.microsoft.com/office/word/2010/wordprocessingShape">
                    <wps:wsp>
                      <wps:cNvSpPr/>
                      <wps:spPr>
                        <a:xfrm>
                          <a:off x="0" y="0"/>
                          <a:ext cx="1115060" cy="24955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282DAAC3" id="Rectangle 1" o:spid="_x0000_s1026" style="position:absolute;margin-left:160.3pt;margin-top:11.7pt;width:87.8pt;height:19.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yRZQIAACwFAAAOAAAAZHJzL2Uyb0RvYy54bWysVE1v2zAMvQ/YfxB0Xx0HSbcGdYqgRYcB&#10;RVesHXpWZCkRJosapcTJfv0o2XGyLqdhF5k0yccPPer6ZtdYtlUYDLiKlxcjzpSTUBu3qvj3l/sP&#10;nzgLUbhaWHCq4nsV+M38/bvr1s/UGNZga4WMQFyYtb7i6xj9rCiCXKtGhAvwypFRAzYikoqrokbR&#10;Enpji/FodFm0gLVHkCoE+nvXGfk842utZPyqdVCR2YpTbTGfmM9lOov5tZitUPi1kX0Z4h+qaIRx&#10;lHSAuhNRsA2av6AaIxEC6HghoSlAayNV7oG6KUdvunleC69yLzSc4Icxhf8HKx+3z/4JaQytD7NA&#10;Yupip7FJX6qP7fKw9sOw1C4yST/LspyOLmmmkmzjydV0Ok3TLI7RHkP8rKBhSag40mXkGYntQ4id&#10;68ElJbMunQGsqe+NtVlJNFC3FtlW0AUuV2Wf4sSLEqbI4lh/luLeqg71m9LM1FTxOGfP1DpiCimV&#10;i5c9rnXkncI0VTAElucCbTwU0/umMJUpNwSOzgX+mXGIyFnBxSG4MQ7wHED9Y8jc+R+673pO7S+h&#10;3j8hQ+gIH7y8N3QJDyLEJ4HEcLo32tr4lQ5toa049BJna8Bf5/4nfyIeWTlraWMqHn5uBCrO7BdH&#10;lLwqJ5O0YlmZTD+OScFTy/LU4jbNLdCdlvQ+eJnF5B/tQdQIzSst9yJlJZNwknJXXEY8KLex22R6&#10;HqRaLLIbrZUX8cE9e5nA01QTyV52rwJ9z8RIHH6Ew3aJ2RtCdr4p0sFiE0GbzNbjXPt500pmvvfP&#10;R9r5Uz17HR+5+W8AAAD//wMAUEsDBBQABgAIAAAAIQDZWd5V3wAAAAkBAAAPAAAAZHJzL2Rvd25y&#10;ZXYueG1sTI9BTsMwEEX3SNzBGiQ2Ves0rQINmVRVEQsWCGg5gBMPSYQ9jmInDbfHrGA5+k//vyn2&#10;szViosF3jhHWqwQEce10xw3Cx/lpeQ/CB8VaGceE8E0e9uX1VaFy7S78TtMpNCKWsM8VQhtCn0vp&#10;65as8ivXE8fs0w1WhXgOjdSDusRya2SaJJm0quO40Kqeji3VX6fRIhzD67R4rKqD0ePize9env3a&#10;9Yi3N/PhAUSgOfzB8Ksf1aGMTpUbWXthEDZpkkUUId1sQURgu8tSEBVClt6BLAv5/4PyBwAA//8D&#10;AFBLAQItABQABgAIAAAAIQC2gziS/gAAAOEBAAATAAAAAAAAAAAAAAAAAAAAAABbQ29udGVudF9U&#10;eXBlc10ueG1sUEsBAi0AFAAGAAgAAAAhADj9If/WAAAAlAEAAAsAAAAAAAAAAAAAAAAALwEAAF9y&#10;ZWxzLy5yZWxzUEsBAi0AFAAGAAgAAAAhAGF6XJFlAgAALAUAAA4AAAAAAAAAAAAAAAAALgIAAGRy&#10;cy9lMm9Eb2MueG1sUEsBAi0AFAAGAAgAAAAhANlZ3lXfAAAACQEAAA8AAAAAAAAAAAAAAAAAvwQA&#10;AGRycy9kb3ducmV2LnhtbFBLBQYAAAAABAAEAPMAAADLBQAAAAA=&#10;" fillcolor="white [3201]" strokecolor="white [3212]" strokeweight="2pt"/>
            </w:pict>
          </mc:Fallback>
        </mc:AlternateContent>
      </w:r>
    </w:p>
    <w:p w14:paraId="3ED0134D" w14:textId="75FDF5BA" w:rsidR="00A9616D" w:rsidRDefault="00A9616D" w:rsidP="00251BE4">
      <w:pPr>
        <w:pStyle w:val="Body"/>
        <w:spacing w:after="0"/>
        <w:rPr>
          <w:rFonts w:ascii="Arial" w:eastAsia="Calibri" w:hAnsi="Arial" w:cs="Arial"/>
          <w:szCs w:val="22"/>
        </w:rPr>
      </w:pPr>
    </w:p>
    <w:p w14:paraId="3B353548" w14:textId="3CEFAA51" w:rsidR="00A9616D" w:rsidRDefault="00A9616D" w:rsidP="00251BE4">
      <w:pPr>
        <w:pStyle w:val="Body"/>
        <w:spacing w:after="0"/>
        <w:rPr>
          <w:rFonts w:ascii="Arial" w:eastAsia="Calibri" w:hAnsi="Arial" w:cs="Arial"/>
          <w:szCs w:val="22"/>
        </w:rPr>
      </w:pPr>
    </w:p>
    <w:p w14:paraId="5D631B87" w14:textId="5CF07A99" w:rsidR="00A9616D" w:rsidRDefault="00A9616D" w:rsidP="00251BE4">
      <w:pPr>
        <w:pStyle w:val="Body"/>
        <w:spacing w:after="0"/>
        <w:rPr>
          <w:rFonts w:ascii="Arial" w:eastAsia="Calibri" w:hAnsi="Arial" w:cs="Arial"/>
          <w:szCs w:val="22"/>
        </w:rPr>
      </w:pPr>
    </w:p>
    <w:p w14:paraId="2B6EFEA3" w14:textId="3E9A1A73" w:rsidR="00A9616D" w:rsidRDefault="00A9616D" w:rsidP="00A9616D">
      <w:pPr>
        <w:pStyle w:val="Body"/>
        <w:spacing w:after="0"/>
        <w:rPr>
          <w:rFonts w:ascii="Arial" w:eastAsia="Calibri" w:hAnsi="Arial" w:cs="Arial"/>
          <w:szCs w:val="22"/>
        </w:rPr>
      </w:pPr>
      <w:r w:rsidRPr="00A9616D">
        <w:rPr>
          <w:rFonts w:ascii="Arial" w:eastAsia="Calibri" w:hAnsi="Arial" w:cs="Arial"/>
          <w:b/>
          <w:bCs/>
          <w:szCs w:val="22"/>
        </w:rPr>
        <w:t>Figure 1.</w:t>
      </w:r>
      <w:r w:rsidRPr="00A9616D">
        <w:rPr>
          <w:rFonts w:ascii="Arial" w:eastAsia="Calibri" w:hAnsi="Arial" w:cs="Arial"/>
          <w:szCs w:val="22"/>
        </w:rPr>
        <w:t xml:space="preserve"> Fundus examination </w:t>
      </w:r>
      <w:r w:rsidR="00D00BC7">
        <w:rPr>
          <w:rFonts w:ascii="Arial" w:eastAsia="Calibri" w:hAnsi="Arial" w:cs="Arial"/>
          <w:szCs w:val="22"/>
        </w:rPr>
        <w:t>of right and left eye</w:t>
      </w:r>
    </w:p>
    <w:p w14:paraId="6EB64E09" w14:textId="3FCC70E8" w:rsidR="00A9616D" w:rsidRDefault="00A9616D" w:rsidP="00251BE4">
      <w:pPr>
        <w:pStyle w:val="Body"/>
        <w:spacing w:after="0"/>
        <w:rPr>
          <w:rFonts w:ascii="Arial" w:eastAsia="Calibri" w:hAnsi="Arial" w:cs="Arial"/>
          <w:szCs w:val="22"/>
        </w:rPr>
      </w:pPr>
    </w:p>
    <w:p w14:paraId="1B63BC9F" w14:textId="77777777" w:rsidR="00A9616D" w:rsidRDefault="00A9616D" w:rsidP="00251BE4">
      <w:pPr>
        <w:pStyle w:val="Body"/>
        <w:spacing w:after="0"/>
        <w:rPr>
          <w:rFonts w:ascii="Arial" w:eastAsia="Calibri" w:hAnsi="Arial" w:cs="Arial"/>
          <w:szCs w:val="22"/>
        </w:rPr>
      </w:pPr>
    </w:p>
    <w:p w14:paraId="5E3A2BB8" w14:textId="4CBAE436"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The profound bilateral visual impairment (meeting the criteria for legal blindness) precluded visual field testing.</w:t>
      </w:r>
    </w:p>
    <w:p w14:paraId="78AC1319" w14:textId="752C1531"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Electrophysiological evaluation using visual evoked potentials (VEPs) revealed delayed responses with reduced amplitudes (Figure 2):</w:t>
      </w:r>
    </w:p>
    <w:p w14:paraId="7C659D70" w14:textId="7FEA64D1" w:rsidR="00251BE4" w:rsidRPr="00251BE4" w:rsidRDefault="00251BE4" w:rsidP="00251BE4">
      <w:pPr>
        <w:pStyle w:val="Body"/>
        <w:numPr>
          <w:ilvl w:val="0"/>
          <w:numId w:val="31"/>
        </w:numPr>
        <w:spacing w:after="0"/>
        <w:rPr>
          <w:rFonts w:ascii="Arial" w:eastAsia="Calibri" w:hAnsi="Arial" w:cs="Arial"/>
          <w:szCs w:val="22"/>
        </w:rPr>
      </w:pPr>
      <w:r w:rsidRPr="00251BE4">
        <w:rPr>
          <w:rFonts w:ascii="Arial" w:eastAsia="Calibri" w:hAnsi="Arial" w:cs="Arial"/>
          <w:b/>
          <w:bCs/>
          <w:szCs w:val="22"/>
        </w:rPr>
        <w:lastRenderedPageBreak/>
        <w:t>Right eye:</w:t>
      </w:r>
      <w:r w:rsidRPr="00251BE4">
        <w:rPr>
          <w:rFonts w:ascii="Arial" w:eastAsia="Calibri" w:hAnsi="Arial" w:cs="Arial"/>
          <w:szCs w:val="22"/>
        </w:rPr>
        <w:t xml:space="preserve"> preserved waveforms with P100 latency delay at 30° and 60° checkerboard stimulation; </w:t>
      </w:r>
      <w:proofErr w:type="spellStart"/>
      <w:r w:rsidRPr="00251BE4">
        <w:rPr>
          <w:rFonts w:ascii="Arial" w:eastAsia="Calibri" w:hAnsi="Arial" w:cs="Arial"/>
          <w:szCs w:val="22"/>
        </w:rPr>
        <w:t>hypovolted</w:t>
      </w:r>
      <w:proofErr w:type="spellEnd"/>
      <w:r w:rsidRPr="00251BE4">
        <w:rPr>
          <w:rFonts w:ascii="Arial" w:eastAsia="Calibri" w:hAnsi="Arial" w:cs="Arial"/>
          <w:szCs w:val="22"/>
        </w:rPr>
        <w:t>, disorganized responses to both checkerboard and flash stimuli.</w:t>
      </w:r>
    </w:p>
    <w:p w14:paraId="6155DF86" w14:textId="6C6A3733" w:rsidR="00251BE4" w:rsidRDefault="00251BE4" w:rsidP="00251BE4">
      <w:pPr>
        <w:pStyle w:val="Body"/>
        <w:numPr>
          <w:ilvl w:val="0"/>
          <w:numId w:val="31"/>
        </w:numPr>
        <w:spacing w:after="0"/>
        <w:rPr>
          <w:rFonts w:ascii="Arial" w:eastAsia="Calibri" w:hAnsi="Arial" w:cs="Arial"/>
          <w:szCs w:val="22"/>
        </w:rPr>
      </w:pPr>
      <w:r w:rsidRPr="00251BE4">
        <w:rPr>
          <w:rFonts w:ascii="Arial" w:eastAsia="Calibri" w:hAnsi="Arial" w:cs="Arial"/>
          <w:b/>
          <w:bCs/>
          <w:szCs w:val="22"/>
        </w:rPr>
        <w:t>Left eye:</w:t>
      </w:r>
      <w:r w:rsidRPr="00251BE4">
        <w:rPr>
          <w:rFonts w:ascii="Arial" w:eastAsia="Calibri" w:hAnsi="Arial" w:cs="Arial"/>
          <w:szCs w:val="22"/>
        </w:rPr>
        <w:t xml:space="preserve"> severely reduced and disorganized responses to checkerboard and flash stimuli.</w:t>
      </w:r>
    </w:p>
    <w:p w14:paraId="0672DC67" w14:textId="4A52CDA2" w:rsidR="0047416A" w:rsidRDefault="0047416A" w:rsidP="0047416A">
      <w:pPr>
        <w:pStyle w:val="Body"/>
        <w:spacing w:after="0"/>
        <w:rPr>
          <w:rFonts w:ascii="Arial" w:eastAsia="Calibri" w:hAnsi="Arial" w:cs="Arial"/>
          <w:szCs w:val="22"/>
        </w:rPr>
      </w:pPr>
      <w:r>
        <w:rPr>
          <w:rFonts w:ascii="Arial" w:eastAsia="Calibri" w:hAnsi="Arial" w:cs="Arial"/>
          <w:noProof/>
          <w:szCs w:val="22"/>
        </w:rPr>
        <w:drawing>
          <wp:anchor distT="0" distB="0" distL="114300" distR="114300" simplePos="0" relativeHeight="251664384" behindDoc="1" locked="0" layoutInCell="1" allowOverlap="1" wp14:anchorId="65A79917" wp14:editId="2A2CF741">
            <wp:simplePos x="0" y="0"/>
            <wp:positionH relativeFrom="column">
              <wp:posOffset>-36576</wp:posOffset>
            </wp:positionH>
            <wp:positionV relativeFrom="paragraph">
              <wp:posOffset>99568</wp:posOffset>
            </wp:positionV>
            <wp:extent cx="6016625" cy="3074014"/>
            <wp:effectExtent l="0" t="0" r="3175" b="0"/>
            <wp:wrapNone/>
            <wp:docPr id="187849619" name="Image 55"/>
            <wp:cNvGraphicFramePr/>
            <a:graphic xmlns:a="http://schemas.openxmlformats.org/drawingml/2006/main">
              <a:graphicData uri="http://schemas.openxmlformats.org/drawingml/2006/picture">
                <pic:pic xmlns:pic="http://schemas.openxmlformats.org/drawingml/2006/picture">
                  <pic:nvPicPr>
                    <pic:cNvPr id="187849619" name="Image 55"/>
                    <pic:cNvPicPr/>
                  </pic:nvPicPr>
                  <pic:blipFill rotWithShape="1">
                    <a:blip r:embed="rId12" cstate="print"/>
                    <a:srcRect l="6113" r="1030"/>
                    <a:stretch>
                      <a:fillRect/>
                    </a:stretch>
                  </pic:blipFill>
                  <pic:spPr>
                    <a:xfrm>
                      <a:off x="0" y="0"/>
                      <a:ext cx="6016625" cy="3074014"/>
                    </a:xfrm>
                    <a:prstGeom prst="rect">
                      <a:avLst/>
                    </a:prstGeom>
                  </pic:spPr>
                </pic:pic>
              </a:graphicData>
            </a:graphic>
          </wp:anchor>
        </w:drawing>
      </w:r>
    </w:p>
    <w:p w14:paraId="02FBD4BD" w14:textId="77777777" w:rsidR="0047416A" w:rsidRDefault="0047416A" w:rsidP="0047416A">
      <w:pPr>
        <w:pStyle w:val="Body"/>
        <w:spacing w:after="0"/>
        <w:rPr>
          <w:rFonts w:ascii="Arial" w:eastAsia="Calibri" w:hAnsi="Arial" w:cs="Arial"/>
          <w:szCs w:val="22"/>
        </w:rPr>
      </w:pPr>
    </w:p>
    <w:p w14:paraId="15AE0802" w14:textId="4CCDB243" w:rsidR="0047416A" w:rsidRDefault="0047416A" w:rsidP="0047416A">
      <w:pPr>
        <w:pStyle w:val="Body"/>
        <w:spacing w:after="0"/>
        <w:rPr>
          <w:rFonts w:ascii="Arial" w:eastAsia="Calibri" w:hAnsi="Arial" w:cs="Arial"/>
          <w:szCs w:val="22"/>
        </w:rPr>
      </w:pPr>
    </w:p>
    <w:p w14:paraId="2F96C0AF" w14:textId="77777777" w:rsidR="0047416A" w:rsidRDefault="0047416A" w:rsidP="0047416A">
      <w:pPr>
        <w:pStyle w:val="Body"/>
        <w:spacing w:after="0"/>
        <w:rPr>
          <w:rFonts w:ascii="Arial" w:eastAsia="Calibri" w:hAnsi="Arial" w:cs="Arial"/>
          <w:szCs w:val="22"/>
        </w:rPr>
      </w:pPr>
    </w:p>
    <w:p w14:paraId="5BB3B7F3" w14:textId="77777777" w:rsidR="0047416A" w:rsidRDefault="0047416A" w:rsidP="0047416A">
      <w:pPr>
        <w:pStyle w:val="Body"/>
        <w:spacing w:after="0"/>
        <w:rPr>
          <w:rFonts w:ascii="Arial" w:eastAsia="Calibri" w:hAnsi="Arial" w:cs="Arial"/>
          <w:szCs w:val="22"/>
        </w:rPr>
      </w:pPr>
    </w:p>
    <w:p w14:paraId="28C67655" w14:textId="77777777" w:rsidR="0047416A" w:rsidRDefault="0047416A" w:rsidP="0047416A">
      <w:pPr>
        <w:pStyle w:val="Body"/>
        <w:spacing w:after="0"/>
        <w:rPr>
          <w:rFonts w:ascii="Arial" w:eastAsia="Calibri" w:hAnsi="Arial" w:cs="Arial"/>
          <w:szCs w:val="22"/>
        </w:rPr>
      </w:pPr>
    </w:p>
    <w:p w14:paraId="06301ED7" w14:textId="77777777" w:rsidR="0047416A" w:rsidRDefault="0047416A" w:rsidP="0047416A">
      <w:pPr>
        <w:pStyle w:val="Body"/>
        <w:spacing w:after="0"/>
        <w:rPr>
          <w:rFonts w:ascii="Arial" w:eastAsia="Calibri" w:hAnsi="Arial" w:cs="Arial"/>
          <w:szCs w:val="22"/>
        </w:rPr>
      </w:pPr>
    </w:p>
    <w:p w14:paraId="71CEB6E8" w14:textId="77777777" w:rsidR="0047416A" w:rsidRDefault="0047416A" w:rsidP="0047416A">
      <w:pPr>
        <w:pStyle w:val="Body"/>
        <w:spacing w:after="0"/>
        <w:rPr>
          <w:rFonts w:ascii="Arial" w:eastAsia="Calibri" w:hAnsi="Arial" w:cs="Arial"/>
          <w:szCs w:val="22"/>
        </w:rPr>
      </w:pPr>
    </w:p>
    <w:p w14:paraId="60407470" w14:textId="77777777" w:rsidR="0047416A" w:rsidRDefault="0047416A" w:rsidP="0047416A">
      <w:pPr>
        <w:pStyle w:val="Body"/>
        <w:spacing w:after="0"/>
        <w:rPr>
          <w:rFonts w:ascii="Arial" w:eastAsia="Calibri" w:hAnsi="Arial" w:cs="Arial"/>
          <w:szCs w:val="22"/>
        </w:rPr>
      </w:pPr>
    </w:p>
    <w:p w14:paraId="5F140326" w14:textId="77777777" w:rsidR="0047416A" w:rsidRDefault="0047416A" w:rsidP="0047416A">
      <w:pPr>
        <w:pStyle w:val="Body"/>
        <w:spacing w:after="0"/>
        <w:rPr>
          <w:rFonts w:ascii="Arial" w:eastAsia="Calibri" w:hAnsi="Arial" w:cs="Arial"/>
          <w:szCs w:val="22"/>
        </w:rPr>
      </w:pPr>
    </w:p>
    <w:p w14:paraId="59D47550" w14:textId="77777777" w:rsidR="0047416A" w:rsidRDefault="0047416A" w:rsidP="0047416A">
      <w:pPr>
        <w:pStyle w:val="Body"/>
        <w:spacing w:after="0"/>
        <w:rPr>
          <w:rFonts w:ascii="Arial" w:eastAsia="Calibri" w:hAnsi="Arial" w:cs="Arial"/>
          <w:szCs w:val="22"/>
        </w:rPr>
      </w:pPr>
    </w:p>
    <w:p w14:paraId="69E64332" w14:textId="77777777" w:rsidR="0047416A" w:rsidRDefault="0047416A" w:rsidP="0047416A">
      <w:pPr>
        <w:pStyle w:val="Body"/>
        <w:spacing w:after="0"/>
        <w:rPr>
          <w:rFonts w:ascii="Arial" w:eastAsia="Calibri" w:hAnsi="Arial" w:cs="Arial"/>
          <w:szCs w:val="22"/>
        </w:rPr>
      </w:pPr>
    </w:p>
    <w:p w14:paraId="6B4B0C14" w14:textId="77777777" w:rsidR="0047416A" w:rsidRDefault="0047416A" w:rsidP="0047416A">
      <w:pPr>
        <w:pStyle w:val="Body"/>
        <w:spacing w:after="0"/>
        <w:rPr>
          <w:rFonts w:ascii="Arial" w:eastAsia="Calibri" w:hAnsi="Arial" w:cs="Arial"/>
          <w:szCs w:val="22"/>
        </w:rPr>
      </w:pPr>
    </w:p>
    <w:p w14:paraId="2E9DD936" w14:textId="77777777" w:rsidR="0047416A" w:rsidRDefault="0047416A" w:rsidP="0047416A">
      <w:pPr>
        <w:pStyle w:val="Body"/>
        <w:spacing w:after="0"/>
        <w:rPr>
          <w:rFonts w:ascii="Arial" w:eastAsia="Calibri" w:hAnsi="Arial" w:cs="Arial"/>
          <w:szCs w:val="22"/>
        </w:rPr>
      </w:pPr>
    </w:p>
    <w:p w14:paraId="5F12169F" w14:textId="77777777" w:rsidR="0047416A" w:rsidRDefault="0047416A" w:rsidP="0047416A">
      <w:pPr>
        <w:pStyle w:val="Body"/>
        <w:spacing w:after="0"/>
        <w:rPr>
          <w:rFonts w:ascii="Arial" w:eastAsia="Calibri" w:hAnsi="Arial" w:cs="Arial"/>
          <w:szCs w:val="22"/>
        </w:rPr>
      </w:pPr>
    </w:p>
    <w:p w14:paraId="12A086C7" w14:textId="77777777" w:rsidR="0047416A" w:rsidRDefault="0047416A" w:rsidP="0047416A">
      <w:pPr>
        <w:pStyle w:val="Body"/>
        <w:spacing w:after="0"/>
        <w:rPr>
          <w:rFonts w:ascii="Arial" w:eastAsia="Calibri" w:hAnsi="Arial" w:cs="Arial"/>
          <w:szCs w:val="22"/>
        </w:rPr>
      </w:pPr>
    </w:p>
    <w:p w14:paraId="4029B76E" w14:textId="77777777" w:rsidR="0047416A" w:rsidRDefault="0047416A" w:rsidP="0047416A">
      <w:pPr>
        <w:pStyle w:val="Body"/>
        <w:spacing w:after="0"/>
        <w:rPr>
          <w:rFonts w:ascii="Arial" w:eastAsia="Calibri" w:hAnsi="Arial" w:cs="Arial"/>
          <w:szCs w:val="22"/>
        </w:rPr>
      </w:pPr>
    </w:p>
    <w:p w14:paraId="575BCD5A" w14:textId="77777777" w:rsidR="0047416A" w:rsidRDefault="0047416A" w:rsidP="0047416A">
      <w:pPr>
        <w:pStyle w:val="Body"/>
        <w:spacing w:after="0"/>
        <w:rPr>
          <w:rFonts w:ascii="Arial" w:eastAsia="Calibri" w:hAnsi="Arial" w:cs="Arial"/>
          <w:szCs w:val="22"/>
        </w:rPr>
      </w:pPr>
    </w:p>
    <w:p w14:paraId="5EF8B397" w14:textId="77777777" w:rsidR="0047416A" w:rsidRDefault="0047416A" w:rsidP="0047416A">
      <w:pPr>
        <w:pStyle w:val="Body"/>
        <w:spacing w:after="0"/>
        <w:rPr>
          <w:rFonts w:ascii="Arial" w:eastAsia="Calibri" w:hAnsi="Arial" w:cs="Arial"/>
          <w:szCs w:val="22"/>
        </w:rPr>
      </w:pPr>
    </w:p>
    <w:p w14:paraId="168F30E7" w14:textId="77777777" w:rsidR="0047416A" w:rsidRDefault="0047416A" w:rsidP="0047416A">
      <w:pPr>
        <w:pStyle w:val="Body"/>
        <w:spacing w:after="0"/>
        <w:rPr>
          <w:rFonts w:ascii="Arial" w:eastAsia="Calibri" w:hAnsi="Arial" w:cs="Arial"/>
          <w:szCs w:val="22"/>
        </w:rPr>
      </w:pPr>
    </w:p>
    <w:p w14:paraId="3CA3DAD8" w14:textId="77777777" w:rsidR="0047416A" w:rsidRDefault="0047416A" w:rsidP="0047416A">
      <w:pPr>
        <w:pStyle w:val="Body"/>
        <w:spacing w:after="0"/>
        <w:rPr>
          <w:rFonts w:ascii="Arial" w:eastAsia="Calibri" w:hAnsi="Arial" w:cs="Arial"/>
          <w:szCs w:val="22"/>
        </w:rPr>
      </w:pPr>
    </w:p>
    <w:p w14:paraId="26847FFC" w14:textId="77777777" w:rsidR="0047416A" w:rsidRDefault="0047416A" w:rsidP="0047416A">
      <w:pPr>
        <w:pStyle w:val="Body"/>
        <w:spacing w:after="0"/>
        <w:rPr>
          <w:rFonts w:ascii="Arial" w:eastAsia="Calibri" w:hAnsi="Arial" w:cs="Arial"/>
          <w:szCs w:val="22"/>
        </w:rPr>
      </w:pPr>
    </w:p>
    <w:p w14:paraId="6CF1D01C" w14:textId="77777777" w:rsidR="0047416A" w:rsidRDefault="0047416A" w:rsidP="0047416A">
      <w:pPr>
        <w:pStyle w:val="Body"/>
        <w:spacing w:after="0"/>
        <w:rPr>
          <w:rFonts w:ascii="Arial" w:eastAsia="Calibri" w:hAnsi="Arial" w:cs="Arial"/>
          <w:szCs w:val="22"/>
        </w:rPr>
      </w:pPr>
    </w:p>
    <w:p w14:paraId="421DDB7B" w14:textId="0FF94D24" w:rsidR="0047416A" w:rsidRDefault="0047416A" w:rsidP="0047416A">
      <w:pPr>
        <w:pStyle w:val="Body"/>
        <w:spacing w:after="0"/>
        <w:rPr>
          <w:rFonts w:ascii="Arial" w:eastAsia="Calibri" w:hAnsi="Arial" w:cs="Arial"/>
          <w:szCs w:val="22"/>
        </w:rPr>
      </w:pPr>
      <w:r w:rsidRPr="0047416A">
        <w:rPr>
          <w:rFonts w:ascii="Arial" w:eastAsia="Calibri" w:hAnsi="Arial" w:cs="Arial"/>
          <w:b/>
          <w:bCs/>
          <w:szCs w:val="22"/>
        </w:rPr>
        <w:t xml:space="preserve">Figure </w:t>
      </w:r>
      <w:r w:rsidR="00493BC5">
        <w:rPr>
          <w:rFonts w:ascii="Arial" w:eastAsia="Calibri" w:hAnsi="Arial" w:cs="Arial"/>
          <w:b/>
          <w:bCs/>
          <w:szCs w:val="22"/>
        </w:rPr>
        <w:t>2</w:t>
      </w:r>
      <w:r w:rsidRPr="0047416A">
        <w:rPr>
          <w:rFonts w:ascii="Arial" w:eastAsia="Calibri" w:hAnsi="Arial" w:cs="Arial"/>
          <w:b/>
          <w:bCs/>
          <w:szCs w:val="22"/>
        </w:rPr>
        <w:t>.</w:t>
      </w:r>
      <w:r w:rsidRPr="0047416A">
        <w:rPr>
          <w:rFonts w:ascii="Arial" w:eastAsia="Calibri" w:hAnsi="Arial" w:cs="Arial"/>
          <w:szCs w:val="22"/>
        </w:rPr>
        <w:t xml:space="preserve"> Visual evoked potentials (VEP). Delayed responses with reduced amplitudes were observed</w:t>
      </w:r>
      <w:r>
        <w:rPr>
          <w:rFonts w:ascii="Arial" w:eastAsia="Calibri" w:hAnsi="Arial" w:cs="Arial"/>
          <w:szCs w:val="22"/>
        </w:rPr>
        <w:t>:</w:t>
      </w:r>
      <w:r w:rsidRPr="0047416A">
        <w:rPr>
          <w:rFonts w:ascii="Arial" w:eastAsia="Calibri" w:hAnsi="Arial" w:cs="Arial"/>
          <w:szCs w:val="22"/>
        </w:rPr>
        <w:br/>
        <w:t xml:space="preserve">(A) Right eye: preserved waveform with P100 latency delay at 30° and 60° checkerboard stimulation; </w:t>
      </w:r>
      <w:proofErr w:type="spellStart"/>
      <w:r w:rsidRPr="0047416A">
        <w:rPr>
          <w:rFonts w:ascii="Arial" w:eastAsia="Calibri" w:hAnsi="Arial" w:cs="Arial"/>
          <w:szCs w:val="22"/>
        </w:rPr>
        <w:t>hypovolted</w:t>
      </w:r>
      <w:proofErr w:type="spellEnd"/>
      <w:r w:rsidRPr="0047416A">
        <w:rPr>
          <w:rFonts w:ascii="Arial" w:eastAsia="Calibri" w:hAnsi="Arial" w:cs="Arial"/>
          <w:szCs w:val="22"/>
        </w:rPr>
        <w:t xml:space="preserve"> and disorganized responses to both checkerboard and flash stimuli.</w:t>
      </w:r>
      <w:r w:rsidRPr="0047416A">
        <w:rPr>
          <w:rFonts w:ascii="Arial" w:eastAsia="Calibri" w:hAnsi="Arial" w:cs="Arial"/>
          <w:szCs w:val="22"/>
        </w:rPr>
        <w:br/>
        <w:t>(B) Left eye: markedly reduced and disorganized responses to checkerboard and flash stimuli.</w:t>
      </w:r>
    </w:p>
    <w:p w14:paraId="6F68C83D" w14:textId="77777777" w:rsidR="0047416A" w:rsidRDefault="0047416A" w:rsidP="0047416A">
      <w:pPr>
        <w:pStyle w:val="Body"/>
        <w:spacing w:after="0"/>
        <w:rPr>
          <w:rFonts w:ascii="Arial" w:eastAsia="Calibri" w:hAnsi="Arial" w:cs="Arial"/>
          <w:szCs w:val="22"/>
        </w:rPr>
      </w:pPr>
    </w:p>
    <w:p w14:paraId="080E4273" w14:textId="77777777" w:rsidR="0047416A" w:rsidRPr="00251BE4" w:rsidRDefault="0047416A" w:rsidP="0047416A">
      <w:pPr>
        <w:pStyle w:val="Body"/>
        <w:spacing w:after="0"/>
        <w:rPr>
          <w:rFonts w:ascii="Arial" w:eastAsia="Calibri" w:hAnsi="Arial" w:cs="Arial"/>
          <w:szCs w:val="22"/>
        </w:rPr>
      </w:pPr>
    </w:p>
    <w:p w14:paraId="366D120A" w14:textId="56830141" w:rsidR="00251BE4" w:rsidRDefault="00251BE4" w:rsidP="00251BE4">
      <w:pPr>
        <w:pStyle w:val="Body"/>
        <w:spacing w:after="0"/>
        <w:rPr>
          <w:rFonts w:ascii="Arial" w:eastAsia="Calibri" w:hAnsi="Arial" w:cs="Arial"/>
          <w:szCs w:val="22"/>
        </w:rPr>
      </w:pPr>
      <w:r w:rsidRPr="00251BE4">
        <w:rPr>
          <w:rFonts w:ascii="Arial" w:eastAsia="Calibri" w:hAnsi="Arial" w:cs="Arial"/>
          <w:szCs w:val="22"/>
        </w:rPr>
        <w:t xml:space="preserve">Magnetic resonance imaging (MRI) revealed an edematous contusion of the optic nerve within the optic canal measuring 4 mm in its long axis, associated with a temporal </w:t>
      </w:r>
      <w:proofErr w:type="spellStart"/>
      <w:r w:rsidRPr="00251BE4">
        <w:rPr>
          <w:rFonts w:ascii="Arial" w:eastAsia="Calibri" w:hAnsi="Arial" w:cs="Arial"/>
          <w:szCs w:val="22"/>
        </w:rPr>
        <w:t>edemato</w:t>
      </w:r>
      <w:proofErr w:type="spellEnd"/>
      <w:r w:rsidRPr="00251BE4">
        <w:rPr>
          <w:rFonts w:ascii="Arial" w:eastAsia="Calibri" w:hAnsi="Arial" w:cs="Arial"/>
          <w:szCs w:val="22"/>
        </w:rPr>
        <w:t xml:space="preserve">-hemorrhagic contusion measuring 20 mm (Figure </w:t>
      </w:r>
      <w:r w:rsidR="00493BC5">
        <w:rPr>
          <w:rFonts w:ascii="Arial" w:eastAsia="Calibri" w:hAnsi="Arial" w:cs="Arial"/>
          <w:szCs w:val="22"/>
        </w:rPr>
        <w:t>3</w:t>
      </w:r>
      <w:r w:rsidRPr="00251BE4">
        <w:rPr>
          <w:rFonts w:ascii="Arial" w:eastAsia="Calibri" w:hAnsi="Arial" w:cs="Arial"/>
          <w:szCs w:val="22"/>
        </w:rPr>
        <w:t>).</w:t>
      </w:r>
    </w:p>
    <w:p w14:paraId="7B167741" w14:textId="77777777" w:rsidR="00493BC5" w:rsidRDefault="00493BC5" w:rsidP="00251BE4">
      <w:pPr>
        <w:pStyle w:val="Body"/>
        <w:spacing w:after="0"/>
        <w:rPr>
          <w:rFonts w:ascii="Arial" w:eastAsia="Calibri" w:hAnsi="Arial" w:cs="Arial"/>
          <w:szCs w:val="22"/>
        </w:rPr>
      </w:pPr>
    </w:p>
    <w:p w14:paraId="634C4DF3" w14:textId="77777777" w:rsidR="00493BC5" w:rsidRDefault="00493BC5" w:rsidP="00251BE4">
      <w:pPr>
        <w:pStyle w:val="Body"/>
        <w:spacing w:after="0"/>
        <w:rPr>
          <w:rFonts w:ascii="Arial" w:eastAsia="Calibri" w:hAnsi="Arial" w:cs="Arial"/>
          <w:szCs w:val="22"/>
        </w:rPr>
      </w:pPr>
    </w:p>
    <w:p w14:paraId="028A0240" w14:textId="77777777" w:rsidR="00493BC5" w:rsidRDefault="00493BC5" w:rsidP="00251BE4">
      <w:pPr>
        <w:pStyle w:val="Body"/>
        <w:spacing w:after="0"/>
        <w:rPr>
          <w:rFonts w:ascii="Arial" w:eastAsia="Calibri" w:hAnsi="Arial" w:cs="Arial"/>
          <w:szCs w:val="22"/>
        </w:rPr>
      </w:pPr>
    </w:p>
    <w:p w14:paraId="430A366F" w14:textId="46BA6904" w:rsidR="00493BC5" w:rsidRDefault="00493BC5" w:rsidP="00251BE4">
      <w:pPr>
        <w:pStyle w:val="Body"/>
        <w:spacing w:after="0"/>
        <w:rPr>
          <w:rFonts w:ascii="Arial" w:eastAsia="Calibri" w:hAnsi="Arial" w:cs="Arial"/>
          <w:szCs w:val="22"/>
        </w:rPr>
      </w:pPr>
      <w:r>
        <w:rPr>
          <w:noProof/>
        </w:rPr>
        <w:drawing>
          <wp:anchor distT="0" distB="0" distL="114300" distR="114300" simplePos="0" relativeHeight="251666432" behindDoc="0" locked="0" layoutInCell="1" allowOverlap="1" wp14:anchorId="785B93CB" wp14:editId="38D344E9">
            <wp:simplePos x="0" y="0"/>
            <wp:positionH relativeFrom="column">
              <wp:posOffset>0</wp:posOffset>
            </wp:positionH>
            <wp:positionV relativeFrom="paragraph">
              <wp:posOffset>-635</wp:posOffset>
            </wp:positionV>
            <wp:extent cx="4338320" cy="2438400"/>
            <wp:effectExtent l="0" t="0" r="0" b="0"/>
            <wp:wrapNone/>
            <wp:docPr id="58" name="Image 1" descr="Une image contenant Imagerie médicale, radiologie, film radio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58" name="Image 1" descr="Une image contenant Imagerie médicale, radiologie, film radiographique&#10;&#10;Le contenu généré par l’IA peut être incorrect."/>
                    <pic:cNvPicPr/>
                  </pic:nvPicPr>
                  <pic:blipFill>
                    <a:blip r:embed="rId13" cstate="print"/>
                    <a:stretch>
                      <a:fillRect/>
                    </a:stretch>
                  </pic:blipFill>
                  <pic:spPr>
                    <a:xfrm>
                      <a:off x="0" y="0"/>
                      <a:ext cx="4338320" cy="2438400"/>
                    </a:xfrm>
                    <a:prstGeom prst="rect">
                      <a:avLst/>
                    </a:prstGeom>
                  </pic:spPr>
                </pic:pic>
              </a:graphicData>
            </a:graphic>
          </wp:anchor>
        </w:drawing>
      </w:r>
    </w:p>
    <w:p w14:paraId="41BAFD9B" w14:textId="77777777" w:rsidR="00493BC5" w:rsidRDefault="00493BC5" w:rsidP="00251BE4">
      <w:pPr>
        <w:pStyle w:val="Body"/>
        <w:spacing w:after="0"/>
        <w:rPr>
          <w:rFonts w:ascii="Arial" w:eastAsia="Calibri" w:hAnsi="Arial" w:cs="Arial"/>
          <w:szCs w:val="22"/>
        </w:rPr>
      </w:pPr>
    </w:p>
    <w:p w14:paraId="2AD5EC6F" w14:textId="77777777" w:rsidR="00493BC5" w:rsidRDefault="00493BC5" w:rsidP="00251BE4">
      <w:pPr>
        <w:pStyle w:val="Body"/>
        <w:spacing w:after="0"/>
        <w:rPr>
          <w:rFonts w:ascii="Arial" w:eastAsia="Calibri" w:hAnsi="Arial" w:cs="Arial"/>
          <w:szCs w:val="22"/>
        </w:rPr>
      </w:pPr>
    </w:p>
    <w:p w14:paraId="4EA2E3FD" w14:textId="77777777" w:rsidR="00493BC5" w:rsidRDefault="00493BC5" w:rsidP="00251BE4">
      <w:pPr>
        <w:pStyle w:val="Body"/>
        <w:spacing w:after="0"/>
        <w:rPr>
          <w:rFonts w:ascii="Arial" w:eastAsia="Calibri" w:hAnsi="Arial" w:cs="Arial"/>
          <w:szCs w:val="22"/>
        </w:rPr>
      </w:pPr>
    </w:p>
    <w:p w14:paraId="0CCE2D43" w14:textId="77777777" w:rsidR="00493BC5" w:rsidRDefault="00493BC5" w:rsidP="00251BE4">
      <w:pPr>
        <w:pStyle w:val="Body"/>
        <w:spacing w:after="0"/>
        <w:rPr>
          <w:rFonts w:ascii="Arial" w:eastAsia="Calibri" w:hAnsi="Arial" w:cs="Arial"/>
          <w:szCs w:val="22"/>
        </w:rPr>
      </w:pPr>
    </w:p>
    <w:p w14:paraId="251EC470" w14:textId="77777777" w:rsidR="00493BC5" w:rsidRDefault="00493BC5" w:rsidP="00251BE4">
      <w:pPr>
        <w:pStyle w:val="Body"/>
        <w:spacing w:after="0"/>
        <w:rPr>
          <w:rFonts w:ascii="Arial" w:eastAsia="Calibri" w:hAnsi="Arial" w:cs="Arial"/>
          <w:szCs w:val="22"/>
        </w:rPr>
      </w:pPr>
    </w:p>
    <w:p w14:paraId="6F23000E" w14:textId="77777777" w:rsidR="00493BC5" w:rsidRDefault="00493BC5" w:rsidP="00251BE4">
      <w:pPr>
        <w:pStyle w:val="Body"/>
        <w:spacing w:after="0"/>
        <w:rPr>
          <w:rFonts w:ascii="Arial" w:eastAsia="Calibri" w:hAnsi="Arial" w:cs="Arial"/>
          <w:szCs w:val="22"/>
        </w:rPr>
      </w:pPr>
    </w:p>
    <w:p w14:paraId="69AC5DF5" w14:textId="77777777" w:rsidR="00493BC5" w:rsidRDefault="00493BC5" w:rsidP="00251BE4">
      <w:pPr>
        <w:pStyle w:val="Body"/>
        <w:spacing w:after="0"/>
        <w:rPr>
          <w:rFonts w:ascii="Arial" w:eastAsia="Calibri" w:hAnsi="Arial" w:cs="Arial"/>
          <w:szCs w:val="22"/>
        </w:rPr>
      </w:pPr>
    </w:p>
    <w:p w14:paraId="434EC484" w14:textId="77777777" w:rsidR="00493BC5" w:rsidRDefault="00493BC5" w:rsidP="00251BE4">
      <w:pPr>
        <w:pStyle w:val="Body"/>
        <w:spacing w:after="0"/>
        <w:rPr>
          <w:rFonts w:ascii="Arial" w:eastAsia="Calibri" w:hAnsi="Arial" w:cs="Arial"/>
          <w:szCs w:val="22"/>
        </w:rPr>
      </w:pPr>
    </w:p>
    <w:p w14:paraId="47BEE4F5" w14:textId="77777777" w:rsidR="00493BC5" w:rsidRDefault="00493BC5" w:rsidP="00251BE4">
      <w:pPr>
        <w:pStyle w:val="Body"/>
        <w:spacing w:after="0"/>
        <w:rPr>
          <w:rFonts w:ascii="Arial" w:eastAsia="Calibri" w:hAnsi="Arial" w:cs="Arial"/>
          <w:szCs w:val="22"/>
        </w:rPr>
      </w:pPr>
    </w:p>
    <w:p w14:paraId="34883DF2" w14:textId="77777777" w:rsidR="004268DD" w:rsidRDefault="004268DD" w:rsidP="00251BE4">
      <w:pPr>
        <w:pStyle w:val="Body"/>
        <w:spacing w:after="0"/>
        <w:rPr>
          <w:rFonts w:ascii="Arial" w:eastAsia="Calibri" w:hAnsi="Arial" w:cs="Arial"/>
          <w:szCs w:val="22"/>
        </w:rPr>
      </w:pPr>
    </w:p>
    <w:p w14:paraId="64603AEE" w14:textId="77777777" w:rsidR="004268DD" w:rsidRDefault="004268DD" w:rsidP="00251BE4">
      <w:pPr>
        <w:pStyle w:val="Body"/>
        <w:spacing w:after="0"/>
        <w:rPr>
          <w:rFonts w:ascii="Arial" w:eastAsia="Calibri" w:hAnsi="Arial" w:cs="Arial"/>
          <w:szCs w:val="22"/>
        </w:rPr>
      </w:pPr>
    </w:p>
    <w:p w14:paraId="0FAB071A" w14:textId="77777777" w:rsidR="004268DD" w:rsidRDefault="004268DD" w:rsidP="00251BE4">
      <w:pPr>
        <w:pStyle w:val="Body"/>
        <w:spacing w:after="0"/>
        <w:rPr>
          <w:rFonts w:ascii="Arial" w:eastAsia="Calibri" w:hAnsi="Arial" w:cs="Arial"/>
          <w:szCs w:val="22"/>
        </w:rPr>
      </w:pPr>
    </w:p>
    <w:p w14:paraId="1174DB2E" w14:textId="77777777" w:rsidR="004268DD" w:rsidRDefault="004268DD" w:rsidP="00251BE4">
      <w:pPr>
        <w:pStyle w:val="Body"/>
        <w:spacing w:after="0"/>
        <w:rPr>
          <w:rFonts w:ascii="Arial" w:eastAsia="Calibri" w:hAnsi="Arial" w:cs="Arial"/>
          <w:szCs w:val="22"/>
        </w:rPr>
      </w:pPr>
    </w:p>
    <w:p w14:paraId="6C10B03A" w14:textId="77777777" w:rsidR="004268DD" w:rsidRDefault="004268DD" w:rsidP="00251BE4">
      <w:pPr>
        <w:pStyle w:val="Body"/>
        <w:spacing w:after="0"/>
        <w:rPr>
          <w:rFonts w:ascii="Arial" w:eastAsia="Calibri" w:hAnsi="Arial" w:cs="Arial"/>
          <w:szCs w:val="22"/>
        </w:rPr>
      </w:pPr>
    </w:p>
    <w:p w14:paraId="2B6F4B1C" w14:textId="77777777" w:rsidR="00493BC5" w:rsidRDefault="00493BC5" w:rsidP="00251BE4">
      <w:pPr>
        <w:pStyle w:val="Body"/>
        <w:spacing w:after="0"/>
        <w:rPr>
          <w:rFonts w:ascii="Arial" w:eastAsia="Calibri" w:hAnsi="Arial" w:cs="Arial"/>
          <w:szCs w:val="22"/>
        </w:rPr>
      </w:pPr>
    </w:p>
    <w:p w14:paraId="5BAE364A" w14:textId="77777777" w:rsidR="00493BC5" w:rsidRDefault="00493BC5" w:rsidP="00251BE4">
      <w:pPr>
        <w:pStyle w:val="Body"/>
        <w:spacing w:after="0"/>
        <w:rPr>
          <w:rFonts w:ascii="Arial" w:eastAsia="Calibri" w:hAnsi="Arial" w:cs="Arial"/>
          <w:szCs w:val="22"/>
        </w:rPr>
      </w:pPr>
    </w:p>
    <w:p w14:paraId="61502752" w14:textId="77777777" w:rsidR="00493BC5" w:rsidRDefault="00493BC5" w:rsidP="00251BE4">
      <w:pPr>
        <w:pStyle w:val="Body"/>
        <w:spacing w:after="0"/>
        <w:rPr>
          <w:rFonts w:ascii="Arial" w:eastAsia="Calibri" w:hAnsi="Arial" w:cs="Arial"/>
          <w:szCs w:val="22"/>
        </w:rPr>
      </w:pPr>
    </w:p>
    <w:p w14:paraId="7EF192C3" w14:textId="73BEACBC" w:rsidR="00493BC5" w:rsidRDefault="00493BC5" w:rsidP="00493BC5">
      <w:pPr>
        <w:pStyle w:val="Body"/>
        <w:spacing w:after="0"/>
        <w:rPr>
          <w:rFonts w:ascii="Arial" w:eastAsia="Calibri" w:hAnsi="Arial" w:cs="Arial"/>
          <w:szCs w:val="22"/>
        </w:rPr>
      </w:pPr>
      <w:r w:rsidRPr="00493BC5">
        <w:rPr>
          <w:rFonts w:ascii="Arial" w:eastAsia="Calibri" w:hAnsi="Arial" w:cs="Arial"/>
          <w:b/>
          <w:bCs/>
          <w:szCs w:val="22"/>
        </w:rPr>
        <w:t xml:space="preserve">Figure </w:t>
      </w:r>
      <w:r>
        <w:rPr>
          <w:rFonts w:ascii="Arial" w:eastAsia="Calibri" w:hAnsi="Arial" w:cs="Arial"/>
          <w:b/>
          <w:bCs/>
          <w:szCs w:val="22"/>
        </w:rPr>
        <w:t>3</w:t>
      </w:r>
      <w:r w:rsidRPr="00493BC5">
        <w:rPr>
          <w:rFonts w:ascii="Arial" w:eastAsia="Calibri" w:hAnsi="Arial" w:cs="Arial"/>
          <w:b/>
          <w:bCs/>
          <w:szCs w:val="22"/>
        </w:rPr>
        <w:t>.</w:t>
      </w:r>
      <w:r w:rsidRPr="00493BC5">
        <w:rPr>
          <w:rFonts w:ascii="Arial" w:eastAsia="Calibri" w:hAnsi="Arial" w:cs="Arial"/>
          <w:szCs w:val="22"/>
        </w:rPr>
        <w:t xml:space="preserve"> Axial MRI demonstrating an edematous contusion of the optic nerve before and after gadolinium contrast administration.</w:t>
      </w:r>
    </w:p>
    <w:p w14:paraId="1159D4DD" w14:textId="77777777" w:rsidR="00251BE4" w:rsidRPr="00251BE4" w:rsidRDefault="00251BE4" w:rsidP="00251BE4">
      <w:pPr>
        <w:pStyle w:val="Body"/>
        <w:spacing w:after="0"/>
        <w:rPr>
          <w:rFonts w:ascii="Arial" w:eastAsia="Calibri" w:hAnsi="Arial" w:cs="Arial"/>
          <w:szCs w:val="22"/>
        </w:rPr>
      </w:pPr>
      <w:r w:rsidRPr="00251BE4">
        <w:rPr>
          <w:rFonts w:ascii="Arial" w:eastAsia="Calibri" w:hAnsi="Arial" w:cs="Arial"/>
          <w:szCs w:val="22"/>
        </w:rPr>
        <w:t>Given these findings, a conservative approach with close observation was adopted. Follow-up at one month showed significant functional recovery in the right eye, with visual acuity improving to 10/10, while the left eye remained stable with only light perception.</w:t>
      </w:r>
    </w:p>
    <w:p w14:paraId="77D4C9AA" w14:textId="77777777" w:rsidR="00251BE4" w:rsidRDefault="00251BE4" w:rsidP="00441B6F">
      <w:pPr>
        <w:pStyle w:val="Body"/>
        <w:spacing w:after="0"/>
        <w:rPr>
          <w:rFonts w:ascii="Arial" w:eastAsia="Calibri" w:hAnsi="Arial" w:cs="Arial"/>
          <w:szCs w:val="22"/>
        </w:rPr>
      </w:pPr>
    </w:p>
    <w:p w14:paraId="30333433" w14:textId="77777777" w:rsidR="00790ADA" w:rsidRPr="00FB3A86" w:rsidRDefault="00790ADA" w:rsidP="00441B6F">
      <w:pPr>
        <w:pStyle w:val="Body"/>
        <w:spacing w:after="0"/>
        <w:rPr>
          <w:rFonts w:ascii="Arial" w:hAnsi="Arial" w:cs="Arial"/>
        </w:rPr>
      </w:pPr>
    </w:p>
    <w:p w14:paraId="37665E05" w14:textId="592E4238"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w:t>
      </w:r>
      <w:r>
        <w:rPr>
          <w:rFonts w:ascii="Arial" w:hAnsi="Arial" w:cs="Arial"/>
        </w:rPr>
        <w:t>discussion</w:t>
      </w:r>
    </w:p>
    <w:p w14:paraId="781E05A4" w14:textId="77777777" w:rsidR="00DA7038" w:rsidRDefault="00DA7038" w:rsidP="00441B6F">
      <w:pPr>
        <w:pStyle w:val="Body"/>
        <w:spacing w:after="0"/>
        <w:rPr>
          <w:rFonts w:ascii="Arial" w:hAnsi="Arial" w:cs="Arial"/>
        </w:rPr>
      </w:pPr>
    </w:p>
    <w:p w14:paraId="0583C195" w14:textId="2323CFEA" w:rsidR="008F3B90" w:rsidRPr="008F3B90" w:rsidRDefault="008F3B90" w:rsidP="008F3B90">
      <w:pPr>
        <w:pStyle w:val="Body"/>
        <w:rPr>
          <w:rFonts w:ascii="Arial" w:hAnsi="Arial" w:cs="Arial"/>
        </w:rPr>
      </w:pPr>
      <w:r w:rsidRPr="008F3B90">
        <w:rPr>
          <w:rFonts w:ascii="Arial" w:hAnsi="Arial" w:cs="Arial"/>
        </w:rPr>
        <w:t>Post-traumatic optic neuropathy (TON) predominantly affects young adults, particularly males under the age of 30, with road traffic accidents representing the leading cause. Loss of consciousness is reported in nearly half of the cases (</w:t>
      </w:r>
      <w:proofErr w:type="spellStart"/>
      <w:r w:rsidRPr="008F3B90">
        <w:rPr>
          <w:rFonts w:ascii="Arial" w:hAnsi="Arial" w:cs="Arial"/>
        </w:rPr>
        <w:t>Steinsapir</w:t>
      </w:r>
      <w:proofErr w:type="spellEnd"/>
      <w:r w:rsidRPr="008F3B90">
        <w:rPr>
          <w:rFonts w:ascii="Arial" w:hAnsi="Arial" w:cs="Arial"/>
        </w:rPr>
        <w:t xml:space="preserve"> &amp; Goldberg, 1994). The degree of visual impairment varies considerably and does not always correlate with the severity of trauma; however, absence of light perception at presentation is observed in approximately 40% of patients, and initial visual acuity remains the most reliable predictor of the final visual outcome (Levin et al., 1999). The underlying mechanisms of TON include optic canal fracture, disruption of the optic nerve microvasculature, neuronal stretching, or direct contusion of the nerve. In our patient, the clinical and radiological findings were most consistent with optic nerve contusion.</w:t>
      </w:r>
    </w:p>
    <w:p w14:paraId="2AA625CE" w14:textId="77777777" w:rsidR="008F3B90" w:rsidRPr="008F3B90" w:rsidRDefault="008F3B90" w:rsidP="008F3B90">
      <w:pPr>
        <w:pStyle w:val="Body"/>
        <w:rPr>
          <w:rFonts w:ascii="Arial" w:hAnsi="Arial" w:cs="Arial"/>
        </w:rPr>
      </w:pPr>
      <w:r w:rsidRPr="008F3B90">
        <w:rPr>
          <w:rFonts w:ascii="Arial" w:hAnsi="Arial" w:cs="Arial"/>
        </w:rPr>
        <w:t>The management of TON remains controversial, as no universally accepted guidelines currently exist. Various strategies, including surgical decompression, high-dose corticosteroid therapy, or simple observation, have been proposed, but the supporting evidence remains inconsistent. Early studies suggested a potential benefit of high-dose corticosteroids extrapolated from spinal cord injury protocols, but the International Optic Nerve Trauma Study demonstrated no significant advantage, and subsequent randomized controlled trials confirmed the absence of consistent efficacy (Levin et al., 1999). Furthermore, the CRASH trial reported increased mortality and severe disability at six months among head-injured patients treated with high-dose corticosteroids, raising major concerns about their safety in TON (Edwards et al., 2005). More recent analyses have reinforced these findings, suggesting that the risks associated with corticosteroids may outweigh any potential benefit (Hosseini Siyanaki et al., 2023).</w:t>
      </w:r>
    </w:p>
    <w:p w14:paraId="43051DE9" w14:textId="77777777" w:rsidR="008F3B90" w:rsidRPr="008F3B90" w:rsidRDefault="008F3B90" w:rsidP="008F3B90">
      <w:pPr>
        <w:pStyle w:val="Body"/>
        <w:rPr>
          <w:rFonts w:ascii="Arial" w:hAnsi="Arial" w:cs="Arial"/>
        </w:rPr>
      </w:pPr>
      <w:r w:rsidRPr="008F3B90">
        <w:rPr>
          <w:rFonts w:ascii="Arial" w:hAnsi="Arial" w:cs="Arial"/>
        </w:rPr>
        <w:t>The role of surgical decompression is equally debated. While it has been considered in cases with radiological evidence of bony fragments or hematoma compressing the optic nerve, most studies show no clear advantage over conservative management. A systematic review emphasized that surgery should be restricted to patients with documented mechanical compression, whereas conservative treatment appears reasonable in cases of mild injury or absence of structural impingement (Hosseini Siyanaki et al., 2023). More recent reports have explored combined approaches such as endoscopic optic nerve decompression with corticosteroids, which may provide some benefit in patients presenting with no-light perception, although the overall level of evidence remains low and results inconclusive (Wang et al., 2022). Conversely, a recent analysis highlighted that patients presenting with residual light perception had significantly better chances of visual recovery compared to those with no-light perception, and that surgical treatment appeared more effective than corticosteroids in this subgroup, whereas no significant difference between treatment options was observed in patients with complete vision loss (Zhang et al., 2024).</w:t>
      </w:r>
    </w:p>
    <w:p w14:paraId="365957D3" w14:textId="77777777" w:rsidR="008F3B90" w:rsidRPr="008F3B90" w:rsidRDefault="008F3B90" w:rsidP="008F3B90">
      <w:pPr>
        <w:pStyle w:val="Body"/>
        <w:rPr>
          <w:rFonts w:ascii="Arial" w:hAnsi="Arial" w:cs="Arial"/>
        </w:rPr>
      </w:pPr>
      <w:r w:rsidRPr="008F3B90">
        <w:rPr>
          <w:rFonts w:ascii="Arial" w:hAnsi="Arial" w:cs="Arial"/>
        </w:rPr>
        <w:lastRenderedPageBreak/>
        <w:t>In the present case, we adopted a conservative strategy of close clinical monitoring without intervention. Remarkably, the patient exhibited dramatic spontaneous recovery in the right eye, with visual acuity improving from light perception to 10/10 within one month, while the left eye remained stable at light perception. This outcome illustrates the unpredictable natural history of TON and highlights the importance of individualized management strategies, guided by initial clinical presentation, imaging findings, and the risk–benefit profile of available interventions.</w:t>
      </w:r>
    </w:p>
    <w:p w14:paraId="193B5DAC" w14:textId="091E7065" w:rsidR="00B01FCD" w:rsidRPr="00173767" w:rsidRDefault="00173767" w:rsidP="008F3B90">
      <w:pPr>
        <w:pStyle w:val="Body"/>
        <w:rPr>
          <w:rFonts w:ascii="Arial" w:hAnsi="Arial" w:cs="Arial"/>
          <w:b/>
          <w:bCs/>
        </w:rPr>
      </w:pPr>
      <w:r w:rsidRPr="00173767">
        <w:rPr>
          <w:rFonts w:ascii="Arial" w:hAnsi="Arial" w:cs="Arial"/>
          <w:b/>
          <w:bCs/>
        </w:rPr>
        <w:t xml:space="preserve"> 4. CONCLUSION</w:t>
      </w:r>
    </w:p>
    <w:p w14:paraId="15853FF7" w14:textId="77777777" w:rsidR="00790ADA" w:rsidRPr="00FB3A86" w:rsidRDefault="00790ADA" w:rsidP="00441B6F">
      <w:pPr>
        <w:pStyle w:val="ConcHead"/>
        <w:spacing w:after="0"/>
        <w:jc w:val="both"/>
        <w:rPr>
          <w:rFonts w:ascii="Arial" w:hAnsi="Arial" w:cs="Arial"/>
        </w:rPr>
      </w:pPr>
    </w:p>
    <w:p w14:paraId="12212576" w14:textId="3B34915E" w:rsidR="00DA7038" w:rsidRDefault="00DA7038" w:rsidP="00DA7038">
      <w:pPr>
        <w:pStyle w:val="Body"/>
        <w:spacing w:after="0"/>
        <w:rPr>
          <w:rFonts w:ascii="Arial" w:hAnsi="Arial" w:cs="Arial"/>
        </w:rPr>
      </w:pPr>
      <w:r w:rsidRPr="00DA7038">
        <w:rPr>
          <w:rFonts w:ascii="Arial" w:hAnsi="Arial" w:cs="Arial"/>
        </w:rPr>
        <w:t>The management of post-traumatic optic neuropathy remains challenging and controversial. Current evidence discourages the use of high-dose systemic corticosteroids, as they appear to be ineffective and may even be associated with increased morbidity and mortality in patients with head trauma. Observation and individualized patient-centered management remain the most reasonable approach until more conclusive therapeutic strategies become available.</w:t>
      </w:r>
    </w:p>
    <w:p w14:paraId="3F95F0A7" w14:textId="77777777" w:rsidR="00DA7038" w:rsidRDefault="00DA7038" w:rsidP="00DA7038">
      <w:pPr>
        <w:pStyle w:val="Body"/>
        <w:spacing w:after="0"/>
        <w:rPr>
          <w:rFonts w:ascii="Arial" w:hAnsi="Arial" w:cs="Arial"/>
        </w:rPr>
      </w:pPr>
    </w:p>
    <w:p w14:paraId="6C28D599" w14:textId="77777777" w:rsidR="00983834" w:rsidRDefault="00983834" w:rsidP="00983834">
      <w:pPr>
        <w:pStyle w:val="Body"/>
        <w:rPr>
          <w:rFonts w:ascii="Arial" w:hAnsi="Arial" w:cs="Arial"/>
          <w:b/>
          <w:bCs/>
        </w:rPr>
      </w:pPr>
      <w:r w:rsidRPr="00DE2D13">
        <w:rPr>
          <w:rFonts w:ascii="Arial" w:hAnsi="Arial" w:cs="Arial"/>
          <w:b/>
          <w:bCs/>
        </w:rPr>
        <w:t>CONSENT</w:t>
      </w:r>
    </w:p>
    <w:p w14:paraId="75974ABC" w14:textId="77777777" w:rsidR="00983834" w:rsidRDefault="00983834" w:rsidP="00983834">
      <w:pPr>
        <w:pStyle w:val="Body"/>
        <w:rPr>
          <w:rFonts w:ascii="Arial" w:hAnsi="Arial" w:cs="Arial"/>
        </w:rPr>
      </w:pPr>
      <w:r w:rsidRPr="00E00D17">
        <w:rPr>
          <w:rFonts w:ascii="Arial" w:hAnsi="Arial" w:cs="Arial"/>
        </w:rPr>
        <w:t>All authors declare that ‘written informed consent was obtained from the patient for publication of this case report and accompanying images.</w:t>
      </w:r>
    </w:p>
    <w:p w14:paraId="15EF81F5" w14:textId="77777777" w:rsidR="00983834" w:rsidRPr="00DE2D13" w:rsidRDefault="00983834" w:rsidP="00983834">
      <w:pPr>
        <w:pStyle w:val="Body"/>
        <w:rPr>
          <w:rFonts w:ascii="Arial" w:hAnsi="Arial" w:cs="Arial"/>
          <w:b/>
          <w:bCs/>
        </w:rPr>
      </w:pPr>
      <w:r w:rsidRPr="00DE2D13">
        <w:rPr>
          <w:rFonts w:ascii="Arial" w:hAnsi="Arial" w:cs="Arial"/>
          <w:b/>
          <w:bCs/>
        </w:rPr>
        <w:t xml:space="preserve">ETHICAL APPROVAL </w:t>
      </w:r>
    </w:p>
    <w:p w14:paraId="20594F80" w14:textId="77777777" w:rsidR="00983834" w:rsidRDefault="00983834" w:rsidP="00983834">
      <w:pPr>
        <w:pStyle w:val="Body"/>
        <w:rPr>
          <w:rFonts w:ascii="Arial" w:hAnsi="Arial" w:cs="Arial"/>
        </w:rPr>
      </w:pPr>
      <w:r w:rsidRPr="00DE2D13">
        <w:rPr>
          <w:rFonts w:ascii="Arial" w:hAnsi="Arial" w:cs="Arial"/>
        </w:rPr>
        <w:t>As   per   international   standards   or   university standards   written   ethical   approval   has   been collected and preserved by the author(s).</w:t>
      </w:r>
    </w:p>
    <w:p w14:paraId="172054EF" w14:textId="77777777" w:rsidR="00983834" w:rsidRDefault="00983834" w:rsidP="00983834">
      <w:pPr>
        <w:pStyle w:val="ReferHead"/>
        <w:spacing w:after="0"/>
        <w:jc w:val="both"/>
        <w:rPr>
          <w:rFonts w:ascii="Arial" w:hAnsi="Arial" w:cs="Arial"/>
          <w:bCs/>
        </w:rPr>
      </w:pPr>
      <w:r w:rsidRPr="00371FB6">
        <w:rPr>
          <w:rFonts w:ascii="Arial" w:hAnsi="Arial" w:cs="Arial"/>
          <w:bCs/>
        </w:rPr>
        <w:t>Authors’ Contributions</w:t>
      </w:r>
    </w:p>
    <w:p w14:paraId="2C9CA16A" w14:textId="77777777" w:rsidR="00983834" w:rsidRDefault="00983834" w:rsidP="00983834">
      <w:pPr>
        <w:spacing w:line="480" w:lineRule="auto"/>
        <w:jc w:val="both"/>
        <w:rPr>
          <w:rFonts w:asciiTheme="majorBidi" w:hAnsiTheme="majorBidi" w:cstheme="majorBidi"/>
          <w:color w:val="2F312F"/>
        </w:rPr>
      </w:pPr>
    </w:p>
    <w:p w14:paraId="638DAE6F" w14:textId="20FD3310" w:rsidR="00983834" w:rsidRPr="00963B4F" w:rsidRDefault="00983834" w:rsidP="00983834">
      <w:pPr>
        <w:jc w:val="both"/>
        <w:rPr>
          <w:rFonts w:asciiTheme="minorBidi" w:hAnsiTheme="minorBidi" w:cstheme="minorBidi"/>
          <w:color w:val="2F312F"/>
        </w:rPr>
      </w:pPr>
      <w:r w:rsidRPr="00283E29">
        <w:rPr>
          <w:rFonts w:asciiTheme="majorBidi" w:hAnsiTheme="majorBidi" w:cstheme="majorBidi"/>
          <w:color w:val="2F312F"/>
        </w:rPr>
        <w:t xml:space="preserve"> </w:t>
      </w:r>
      <w:r w:rsidRPr="00963B4F">
        <w:rPr>
          <w:rFonts w:asciiTheme="minorBidi" w:hAnsiTheme="minorBidi" w:cstheme="minorBidi"/>
          <w:color w:val="2F312F"/>
        </w:rPr>
        <w:t xml:space="preserve">Lotfi Chaabani designed the study, performed the statistical analysis, wrote the protocol, </w:t>
      </w:r>
    </w:p>
    <w:p w14:paraId="4D69C066" w14:textId="77777777" w:rsidR="00983834" w:rsidRPr="00963B4F" w:rsidRDefault="00983834" w:rsidP="00983834">
      <w:pPr>
        <w:jc w:val="both"/>
        <w:rPr>
          <w:rFonts w:asciiTheme="minorBidi" w:hAnsiTheme="minorBidi" w:cstheme="minorBidi"/>
          <w:color w:val="2F312F"/>
        </w:rPr>
      </w:pPr>
      <w:r w:rsidRPr="00963B4F">
        <w:rPr>
          <w:rFonts w:asciiTheme="minorBidi" w:hAnsiTheme="minorBidi" w:cstheme="minorBidi"/>
          <w:color w:val="2F312F"/>
        </w:rPr>
        <w:t xml:space="preserve"> and wrote the first draft of the manuscript, </w:t>
      </w:r>
      <w:proofErr w:type="spellStart"/>
      <w:r>
        <w:rPr>
          <w:rFonts w:asciiTheme="minorBidi" w:hAnsiTheme="minorBidi" w:cstheme="minorBidi"/>
          <w:color w:val="2F312F"/>
        </w:rPr>
        <w:t>Yosra</w:t>
      </w:r>
      <w:proofErr w:type="spellEnd"/>
      <w:r>
        <w:rPr>
          <w:rFonts w:asciiTheme="minorBidi" w:hAnsiTheme="minorBidi" w:cstheme="minorBidi"/>
          <w:color w:val="2F312F"/>
        </w:rPr>
        <w:t xml:space="preserve"> </w:t>
      </w:r>
      <w:proofErr w:type="spellStart"/>
      <w:r>
        <w:rPr>
          <w:rFonts w:asciiTheme="minorBidi" w:hAnsiTheme="minorBidi" w:cstheme="minorBidi"/>
          <w:color w:val="2F312F"/>
        </w:rPr>
        <w:t>Doulemi</w:t>
      </w:r>
      <w:proofErr w:type="spellEnd"/>
      <w:r>
        <w:rPr>
          <w:rFonts w:asciiTheme="minorBidi" w:hAnsiTheme="minorBidi" w:cstheme="minorBidi"/>
          <w:color w:val="2F312F"/>
        </w:rPr>
        <w:t xml:space="preserve">, </w:t>
      </w:r>
      <w:proofErr w:type="spellStart"/>
      <w:r>
        <w:rPr>
          <w:rFonts w:asciiTheme="minorBidi" w:hAnsiTheme="minorBidi" w:cstheme="minorBidi"/>
          <w:color w:val="2F312F"/>
        </w:rPr>
        <w:t>Saifedine</w:t>
      </w:r>
      <w:proofErr w:type="spellEnd"/>
      <w:r>
        <w:rPr>
          <w:rFonts w:asciiTheme="minorBidi" w:hAnsiTheme="minorBidi" w:cstheme="minorBidi"/>
          <w:color w:val="2F312F"/>
        </w:rPr>
        <w:t xml:space="preserve"> </w:t>
      </w:r>
      <w:proofErr w:type="spellStart"/>
      <w:r>
        <w:rPr>
          <w:rFonts w:asciiTheme="minorBidi" w:hAnsiTheme="minorBidi" w:cstheme="minorBidi"/>
          <w:color w:val="2F312F"/>
        </w:rPr>
        <w:t>Ksouri</w:t>
      </w:r>
      <w:proofErr w:type="spellEnd"/>
      <w:r w:rsidRPr="00963B4F">
        <w:rPr>
          <w:rFonts w:asciiTheme="minorBidi" w:hAnsiTheme="minorBidi" w:cstheme="minorBidi"/>
          <w:color w:val="2F312F"/>
        </w:rPr>
        <w:t xml:space="preserve"> managed the literature searches.</w:t>
      </w:r>
    </w:p>
    <w:p w14:paraId="000CE180" w14:textId="1A602557" w:rsidR="00983834" w:rsidRDefault="00983834" w:rsidP="00983834">
      <w:pPr>
        <w:pStyle w:val="Body"/>
        <w:rPr>
          <w:rFonts w:asciiTheme="minorBidi" w:hAnsiTheme="minorBidi" w:cstheme="minorBidi"/>
          <w:color w:val="2F312F"/>
        </w:rPr>
      </w:pPr>
      <w:r w:rsidRPr="00963B4F">
        <w:rPr>
          <w:rFonts w:asciiTheme="minorBidi" w:hAnsiTheme="minorBidi" w:cstheme="minorBidi"/>
          <w:color w:val="2F312F"/>
        </w:rPr>
        <w:t>All authors read and approved the final manuscript</w:t>
      </w:r>
    </w:p>
    <w:p w14:paraId="75852B88" w14:textId="7A1DEADC" w:rsidR="002F7A57" w:rsidRDefault="002F7A57" w:rsidP="00983834">
      <w:pPr>
        <w:pStyle w:val="Body"/>
        <w:rPr>
          <w:rFonts w:ascii="Arial" w:hAnsi="Arial" w:cs="Arial"/>
        </w:rPr>
      </w:pPr>
    </w:p>
    <w:p w14:paraId="6D97FD24" w14:textId="77777777" w:rsidR="002F7A57" w:rsidRPr="00D00BC7" w:rsidRDefault="002F7A57" w:rsidP="002F7A57">
      <w:pPr>
        <w:rPr>
          <w:rFonts w:asciiTheme="minorHAnsi" w:hAnsiTheme="minorHAnsi"/>
          <w:b/>
        </w:rPr>
      </w:pPr>
      <w:r w:rsidRPr="00D00BC7">
        <w:rPr>
          <w:b/>
        </w:rPr>
        <w:t>Disclaimer (Artificial intelligence)</w:t>
      </w:r>
    </w:p>
    <w:p w14:paraId="7AD75193" w14:textId="77777777" w:rsidR="002F7A57" w:rsidRDefault="002F7A57" w:rsidP="002F7A57">
      <w:r>
        <w:t xml:space="preserve">Option 1: </w:t>
      </w:r>
    </w:p>
    <w:p w14:paraId="31616C37" w14:textId="77777777" w:rsidR="002F7A57" w:rsidRDefault="002F7A57" w:rsidP="002F7A57">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01813E8B" w14:textId="77777777" w:rsidR="002F7A57" w:rsidRDefault="002F7A57" w:rsidP="002F7A57">
      <w:r>
        <w:t xml:space="preserve">Option 2: </w:t>
      </w:r>
    </w:p>
    <w:p w14:paraId="564915B0" w14:textId="77777777" w:rsidR="002F7A57" w:rsidRDefault="002F7A57" w:rsidP="002F7A57">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CD1EDCF" w14:textId="77777777" w:rsidR="002F7A57" w:rsidRDefault="002F7A57" w:rsidP="002F7A57">
      <w:r>
        <w:t>Details of the AI usage are given below:</w:t>
      </w:r>
    </w:p>
    <w:p w14:paraId="2C9D0095" w14:textId="77777777" w:rsidR="002F7A57" w:rsidRDefault="002F7A57" w:rsidP="002F7A57">
      <w:r>
        <w:t>1.</w:t>
      </w:r>
    </w:p>
    <w:p w14:paraId="1E2C1A90" w14:textId="77777777" w:rsidR="002F7A57" w:rsidRDefault="002F7A57" w:rsidP="002F7A57">
      <w:r>
        <w:t>2.</w:t>
      </w:r>
    </w:p>
    <w:p w14:paraId="1D03D643" w14:textId="77777777" w:rsidR="002F7A57" w:rsidRDefault="002F7A57" w:rsidP="002F7A57">
      <w:r>
        <w:t>3.</w:t>
      </w:r>
    </w:p>
    <w:p w14:paraId="373F9AE9" w14:textId="77777777" w:rsidR="002F7A57" w:rsidRDefault="002F7A57" w:rsidP="002F7A57"/>
    <w:p w14:paraId="1E26BCEE" w14:textId="77777777" w:rsidR="002F7A57" w:rsidRDefault="002F7A57" w:rsidP="002F7A57"/>
    <w:p w14:paraId="68C80643" w14:textId="77777777" w:rsidR="002F7A57" w:rsidRDefault="002F7A57" w:rsidP="00983834">
      <w:pPr>
        <w:pStyle w:val="Body"/>
        <w:rPr>
          <w:rFonts w:ascii="Arial" w:hAnsi="Arial" w:cs="Arial"/>
        </w:rPr>
      </w:pPr>
    </w:p>
    <w:p w14:paraId="69A1295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BBB6D6" w14:textId="77777777" w:rsidR="00790ADA" w:rsidRPr="00FB3A86" w:rsidRDefault="00790ADA" w:rsidP="00441B6F">
      <w:pPr>
        <w:pStyle w:val="ReferHead"/>
        <w:spacing w:after="0"/>
        <w:jc w:val="both"/>
        <w:rPr>
          <w:rFonts w:ascii="Arial" w:hAnsi="Arial" w:cs="Arial"/>
        </w:rPr>
      </w:pPr>
    </w:p>
    <w:p w14:paraId="213A5D36" w14:textId="7494D637" w:rsidR="00173767" w:rsidRPr="00173767" w:rsidRDefault="00173767" w:rsidP="00173767">
      <w:pPr>
        <w:pStyle w:val="Body"/>
        <w:spacing w:after="0"/>
      </w:pPr>
      <w:r w:rsidRPr="00173767">
        <w:rPr>
          <w:lang w:val="fr-FR"/>
        </w:rPr>
        <w:t>1.</w:t>
      </w:r>
      <w:r w:rsidRPr="00173767">
        <w:t xml:space="preserve"> </w:t>
      </w:r>
      <w:proofErr w:type="spellStart"/>
      <w:r w:rsidRPr="00173767">
        <w:t>Steinsapir</w:t>
      </w:r>
      <w:proofErr w:type="spellEnd"/>
      <w:r w:rsidRPr="00173767">
        <w:t xml:space="preserve"> KD, Goldberg RA. Traumatic optic neuropathy. </w:t>
      </w:r>
      <w:proofErr w:type="spellStart"/>
      <w:r w:rsidRPr="00173767">
        <w:rPr>
          <w:i/>
          <w:iCs/>
        </w:rPr>
        <w:t>Surv</w:t>
      </w:r>
      <w:proofErr w:type="spellEnd"/>
      <w:r w:rsidRPr="00173767">
        <w:rPr>
          <w:i/>
          <w:iCs/>
        </w:rPr>
        <w:t xml:space="preserve"> </w:t>
      </w:r>
      <w:proofErr w:type="spellStart"/>
      <w:r w:rsidRPr="00173767">
        <w:rPr>
          <w:i/>
          <w:iCs/>
        </w:rPr>
        <w:t>Ophthalmol</w:t>
      </w:r>
      <w:proofErr w:type="spellEnd"/>
      <w:r w:rsidRPr="00173767">
        <w:rPr>
          <w:i/>
          <w:iCs/>
        </w:rPr>
        <w:t>.</w:t>
      </w:r>
      <w:r w:rsidRPr="00173767">
        <w:t xml:space="preserve"> 1994;38(6):487-518. doi:10.1016/0039-6257(94)90140-6.</w:t>
      </w:r>
    </w:p>
    <w:p w14:paraId="5716A1BB" w14:textId="011CA44F" w:rsidR="00173767" w:rsidRPr="00173767" w:rsidRDefault="00173767" w:rsidP="00173767">
      <w:pPr>
        <w:pStyle w:val="Body"/>
        <w:spacing w:after="0"/>
      </w:pPr>
      <w:r w:rsidRPr="00173767">
        <w:t xml:space="preserve">2. Levin LA, Beck RW, Joseph MP, Seiff S, Kraker R; The International Optic Nerve Trauma Study Group. The treatment of traumatic optic neuropathy: The International Optic Nerve Trauma Study. </w:t>
      </w:r>
      <w:r w:rsidRPr="00173767">
        <w:rPr>
          <w:i/>
          <w:iCs/>
        </w:rPr>
        <w:t>Ophthalmology.</w:t>
      </w:r>
      <w:r w:rsidRPr="00173767">
        <w:t xml:space="preserve"> 1999;106(7):1268-1277. doi:10.1016/S0161-6420(99)00707-2.</w:t>
      </w:r>
    </w:p>
    <w:p w14:paraId="1A4756DB" w14:textId="5D93781E" w:rsidR="00173767" w:rsidRPr="00173767" w:rsidRDefault="00173767" w:rsidP="00173767">
      <w:pPr>
        <w:pStyle w:val="Body"/>
        <w:spacing w:after="0"/>
      </w:pPr>
      <w:r w:rsidRPr="00173767">
        <w:rPr>
          <w:lang w:val="fr-FR"/>
        </w:rPr>
        <w:t>3.</w:t>
      </w:r>
      <w:r w:rsidRPr="00173767">
        <w:t xml:space="preserve"> Anderson RL, Panje WR, Gross CE. Optic nerve blindness following blunt forehead trauma. </w:t>
      </w:r>
      <w:r w:rsidRPr="00173767">
        <w:rPr>
          <w:i/>
          <w:iCs/>
        </w:rPr>
        <w:t>Ophthalmology.</w:t>
      </w:r>
      <w:r w:rsidRPr="00173767">
        <w:t xml:space="preserve"> 1982;89(5):445-455. doi:10.1016/S0161-6420(82)34704-6.</w:t>
      </w:r>
    </w:p>
    <w:p w14:paraId="3DDBD3D2" w14:textId="13B156F4" w:rsidR="00173767" w:rsidRPr="00173767" w:rsidRDefault="00173767" w:rsidP="00173767">
      <w:pPr>
        <w:pStyle w:val="Body"/>
        <w:spacing w:after="0"/>
      </w:pPr>
      <w:r w:rsidRPr="00173767">
        <w:t xml:space="preserve">4. Spoor TC, Hartel WC, Lensink DB, Wilkinson MJ. Treatment of traumatic optic neuropathy with corticosteroids. </w:t>
      </w:r>
      <w:r w:rsidRPr="00173767">
        <w:rPr>
          <w:i/>
          <w:iCs/>
        </w:rPr>
        <w:t xml:space="preserve">Am J </w:t>
      </w:r>
      <w:proofErr w:type="spellStart"/>
      <w:r w:rsidRPr="00173767">
        <w:rPr>
          <w:i/>
          <w:iCs/>
        </w:rPr>
        <w:t>Ophthalmol</w:t>
      </w:r>
      <w:proofErr w:type="spellEnd"/>
      <w:r w:rsidRPr="00173767">
        <w:rPr>
          <w:i/>
          <w:iCs/>
        </w:rPr>
        <w:t>.</w:t>
      </w:r>
      <w:r w:rsidRPr="00173767">
        <w:t xml:space="preserve"> 1990;110(6):665-669. doi:10.1016/S0002-9394(14)77068-2.</w:t>
      </w:r>
    </w:p>
    <w:p w14:paraId="3559E4F9" w14:textId="2B3C746D" w:rsidR="00173767" w:rsidRPr="00173767" w:rsidRDefault="00173767" w:rsidP="00173767">
      <w:pPr>
        <w:pStyle w:val="Body"/>
        <w:spacing w:after="0"/>
      </w:pPr>
      <w:r w:rsidRPr="00173767">
        <w:rPr>
          <w:lang w:val="fr-FR"/>
        </w:rPr>
        <w:t>5.</w:t>
      </w:r>
      <w:r w:rsidRPr="00173767">
        <w:t xml:space="preserve"> MRC CRASH Trial Collaborators. Final results of MRC CRASH, a randomized placebo-controlled trial of intravenous corticosteroid in adults with head injury—outcomes at 6 months. </w:t>
      </w:r>
      <w:r w:rsidRPr="00173767">
        <w:rPr>
          <w:i/>
          <w:iCs/>
        </w:rPr>
        <w:t>Lancet.</w:t>
      </w:r>
      <w:r w:rsidRPr="00173767">
        <w:t xml:space="preserve"> 2005;365(9475):1957-1959. doi:10.1016/S0140-6736(05)66552-X.</w:t>
      </w:r>
    </w:p>
    <w:p w14:paraId="54B1FB73" w14:textId="58CC9EA0" w:rsidR="00173767" w:rsidRPr="00173767" w:rsidRDefault="00173767" w:rsidP="00173767">
      <w:pPr>
        <w:pStyle w:val="Body"/>
        <w:spacing w:after="0"/>
      </w:pPr>
      <w:r w:rsidRPr="00173767">
        <w:t xml:space="preserve">6.Yu-Wai-Man P, Griffiths PG. Steroids for traumatic optic neuropathy. </w:t>
      </w:r>
      <w:r w:rsidRPr="00173767">
        <w:rPr>
          <w:i/>
          <w:iCs/>
        </w:rPr>
        <w:t>Cochrane Database Syst Rev.</w:t>
      </w:r>
      <w:r w:rsidRPr="00173767">
        <w:t xml:space="preserve"> 2013;(6):CD006032. </w:t>
      </w:r>
      <w:proofErr w:type="gramStart"/>
      <w:r w:rsidRPr="00173767">
        <w:t>doi:10.1002/14651858.CD006032.pub3</w:t>
      </w:r>
      <w:proofErr w:type="gramEnd"/>
      <w:r w:rsidRPr="00173767">
        <w:t>.</w:t>
      </w:r>
    </w:p>
    <w:p w14:paraId="4B084032" w14:textId="0294BF01" w:rsidR="00173767" w:rsidRPr="00173767" w:rsidRDefault="00173767" w:rsidP="00173767">
      <w:pPr>
        <w:pStyle w:val="Body"/>
        <w:spacing w:after="0"/>
        <w:rPr>
          <w:lang w:val="fr-FR"/>
        </w:rPr>
      </w:pPr>
      <w:r w:rsidRPr="00173767">
        <w:rPr>
          <w:lang w:val="fr-FR"/>
        </w:rPr>
        <w:t xml:space="preserve">7.Wang </w:t>
      </w:r>
      <w:proofErr w:type="spellStart"/>
      <w:r w:rsidRPr="00173767">
        <w:rPr>
          <w:lang w:val="fr-FR"/>
        </w:rPr>
        <w:t>Y</w:t>
      </w:r>
      <w:proofErr w:type="spellEnd"/>
      <w:r w:rsidRPr="00173767">
        <w:rPr>
          <w:lang w:val="fr-FR"/>
        </w:rPr>
        <w:t xml:space="preserve">, Li J, Han S, et al. </w:t>
      </w:r>
      <w:r w:rsidRPr="00173767">
        <w:t xml:space="preserve">Effectiveness of endoscopic optic nerve decompression for traumatic optic neuropathy: A systematic review and meta-analysis. </w:t>
      </w:r>
      <w:r w:rsidRPr="00173767">
        <w:rPr>
          <w:i/>
          <w:iCs/>
          <w:lang w:val="fr-FR"/>
        </w:rPr>
        <w:t xml:space="preserve">Front </w:t>
      </w:r>
      <w:proofErr w:type="spellStart"/>
      <w:r w:rsidRPr="00173767">
        <w:rPr>
          <w:i/>
          <w:iCs/>
          <w:lang w:val="fr-FR"/>
        </w:rPr>
        <w:t>Neurol</w:t>
      </w:r>
      <w:proofErr w:type="spellEnd"/>
      <w:r w:rsidRPr="00173767">
        <w:rPr>
          <w:i/>
          <w:iCs/>
          <w:lang w:val="fr-FR"/>
        </w:rPr>
        <w:t>.</w:t>
      </w:r>
      <w:r w:rsidRPr="00173767">
        <w:rPr>
          <w:lang w:val="fr-FR"/>
        </w:rPr>
        <w:t xml:space="preserve"> </w:t>
      </w:r>
      <w:proofErr w:type="gramStart"/>
      <w:r w:rsidRPr="00173767">
        <w:rPr>
          <w:lang w:val="fr-FR"/>
        </w:rPr>
        <w:t>2022;</w:t>
      </w:r>
      <w:proofErr w:type="gramEnd"/>
      <w:r w:rsidRPr="00173767">
        <w:rPr>
          <w:lang w:val="fr-FR"/>
        </w:rPr>
        <w:t xml:space="preserve">13:972588. </w:t>
      </w:r>
      <w:proofErr w:type="gramStart"/>
      <w:r w:rsidRPr="00173767">
        <w:rPr>
          <w:lang w:val="fr-FR"/>
        </w:rPr>
        <w:t>doi:</w:t>
      </w:r>
      <w:proofErr w:type="gramEnd"/>
      <w:r w:rsidRPr="00173767">
        <w:rPr>
          <w:lang w:val="fr-FR"/>
        </w:rPr>
        <w:t>10.3389/fneur.2022.972588.</w:t>
      </w:r>
    </w:p>
    <w:p w14:paraId="16939AB4" w14:textId="08132EEB" w:rsidR="00173767" w:rsidRPr="00173767" w:rsidRDefault="00173767" w:rsidP="00173767">
      <w:pPr>
        <w:pStyle w:val="Body"/>
        <w:spacing w:after="0"/>
        <w:rPr>
          <w:lang w:val="fr-FR"/>
        </w:rPr>
      </w:pPr>
      <w:r w:rsidRPr="00173767">
        <w:rPr>
          <w:lang w:val="fr-FR"/>
        </w:rPr>
        <w:t xml:space="preserve">8.Zhang Y, Wang X, Chen S, et al. </w:t>
      </w:r>
      <w:r w:rsidRPr="00173767">
        <w:t xml:space="preserve">Prognostic factors and treatment outcomes in traumatic optic neuropathy: A systematic review and meta-analysis. </w:t>
      </w:r>
      <w:r w:rsidRPr="00173767">
        <w:rPr>
          <w:i/>
          <w:iCs/>
          <w:lang w:val="fr-FR"/>
        </w:rPr>
        <w:t>Front Med (Lausanne).</w:t>
      </w:r>
      <w:r w:rsidRPr="00173767">
        <w:rPr>
          <w:lang w:val="fr-FR"/>
        </w:rPr>
        <w:t xml:space="preserve"> </w:t>
      </w:r>
      <w:proofErr w:type="gramStart"/>
      <w:r w:rsidRPr="00173767">
        <w:rPr>
          <w:lang w:val="fr-FR"/>
        </w:rPr>
        <w:t>2024;</w:t>
      </w:r>
      <w:proofErr w:type="gramEnd"/>
      <w:r w:rsidRPr="00173767">
        <w:rPr>
          <w:lang w:val="fr-FR"/>
        </w:rPr>
        <w:t xml:space="preserve">11:1358974. </w:t>
      </w:r>
      <w:proofErr w:type="gramStart"/>
      <w:r w:rsidRPr="00173767">
        <w:rPr>
          <w:lang w:val="fr-FR"/>
        </w:rPr>
        <w:t>doi:</w:t>
      </w:r>
      <w:proofErr w:type="gramEnd"/>
      <w:r w:rsidRPr="00173767">
        <w:rPr>
          <w:lang w:val="fr-FR"/>
        </w:rPr>
        <w:t>10.3389/fmed.2024.1358974.</w:t>
      </w:r>
    </w:p>
    <w:p w14:paraId="1F0CDD39" w14:textId="77777777" w:rsidR="00173767" w:rsidRPr="00173767" w:rsidRDefault="00173767" w:rsidP="00194421">
      <w:pPr>
        <w:pStyle w:val="Body"/>
        <w:spacing w:after="0"/>
      </w:pPr>
    </w:p>
    <w:p w14:paraId="3AEAB64A" w14:textId="77777777" w:rsidR="00173767" w:rsidRDefault="00173767" w:rsidP="00194421">
      <w:pPr>
        <w:pStyle w:val="Body"/>
        <w:spacing w:after="0"/>
      </w:pPr>
    </w:p>
    <w:sectPr w:rsidR="00173767" w:rsidSect="00194421">
      <w:type w:val="continuous"/>
      <w:pgSz w:w="12240" w:h="15840"/>
      <w:pgMar w:top="1440" w:right="2016" w:bottom="2016" w:left="2016" w:header="720" w:footer="1123" w:gutter="0"/>
      <w:lnNumType w:countBy="1" w:restart="continuous"/>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D4E9A5" w14:textId="77777777" w:rsidR="004E6668" w:rsidRDefault="004E6668" w:rsidP="00C37E61">
      <w:r>
        <w:separator/>
      </w:r>
    </w:p>
  </w:endnote>
  <w:endnote w:type="continuationSeparator" w:id="0">
    <w:p w14:paraId="2165E73F" w14:textId="77777777" w:rsidR="004E6668" w:rsidRDefault="004E666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EB8E9" w14:textId="30338B8B" w:rsidR="002F7A57" w:rsidRDefault="002F7A57" w:rsidP="002F7A57">
    <w:pPr>
      <w:pStyle w:val="Footer"/>
    </w:pPr>
  </w:p>
  <w:p w14:paraId="4FE8A600" w14:textId="199121A3" w:rsidR="00C37E61" w:rsidRDefault="00C37E61" w:rsidP="00C37E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558C" w14:textId="77777777" w:rsidR="009E048A" w:rsidRDefault="009E048A">
    <w:pPr>
      <w:pStyle w:val="Footer"/>
      <w:rPr>
        <w:rFonts w:ascii="Arial" w:hAnsi="Arial" w:cs="Arial"/>
        <w:sz w:val="16"/>
      </w:rPr>
    </w:pPr>
  </w:p>
  <w:p w14:paraId="0E14DC7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15982D6" w14:textId="77777777" w:rsidR="009E048A" w:rsidRDefault="009E048A">
    <w:pPr>
      <w:pStyle w:val="Footer"/>
      <w:rPr>
        <w:rFonts w:ascii="Arial" w:hAnsi="Arial" w:cs="Arial"/>
        <w:sz w:val="16"/>
      </w:rPr>
    </w:pPr>
  </w:p>
  <w:p w14:paraId="71FD36E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4AE21" w14:textId="77777777" w:rsidR="004E6668" w:rsidRDefault="004E6668" w:rsidP="00C37E61">
      <w:r>
        <w:separator/>
      </w:r>
    </w:p>
  </w:footnote>
  <w:footnote w:type="continuationSeparator" w:id="0">
    <w:p w14:paraId="45331C26" w14:textId="77777777" w:rsidR="004E6668" w:rsidRDefault="004E6668"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17E59" w14:textId="77777777" w:rsidR="00296529" w:rsidRPr="00296529" w:rsidRDefault="00296529" w:rsidP="00296529">
    <w:pPr>
      <w:ind w:left="2160"/>
      <w:jc w:val="center"/>
      <w:rPr>
        <w:rFonts w:ascii="Times New Roman" w:eastAsia="Calibri" w:hAnsi="Times New Roman"/>
        <w:i/>
        <w:sz w:val="18"/>
        <w:szCs w:val="22"/>
      </w:rPr>
    </w:pPr>
  </w:p>
  <w:p w14:paraId="0D08F3C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7CCBC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A314E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46663F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71610D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48FCEB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C66D27"/>
    <w:multiLevelType w:val="multilevel"/>
    <w:tmpl w:val="5C4EB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465C1"/>
    <w:multiLevelType w:val="hybridMultilevel"/>
    <w:tmpl w:val="AAA874B8"/>
    <w:numStyleLink w:val="Style1import"/>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1A75CEA"/>
    <w:multiLevelType w:val="hybridMultilevel"/>
    <w:tmpl w:val="AAA874B8"/>
    <w:styleLink w:val="Style1import"/>
    <w:lvl w:ilvl="0" w:tplc="2D14A7B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79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FED0C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98379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D87E4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182E96">
      <w:start w:val="1"/>
      <w:numFmt w:val="bullet"/>
      <w:lvlText w:val="▪"/>
      <w:lvlJc w:val="left"/>
      <w:pPr>
        <w:tabs>
          <w:tab w:val="left" w:pos="360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C8668E">
      <w:start w:val="1"/>
      <w:numFmt w:val="bullet"/>
      <w:lvlText w:val="▪"/>
      <w:lvlJc w:val="left"/>
      <w:pPr>
        <w:tabs>
          <w:tab w:val="left" w:pos="3600"/>
        </w:tabs>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0444F40">
      <w:start w:val="1"/>
      <w:numFmt w:val="bullet"/>
      <w:lvlText w:val="▪"/>
      <w:lvlJc w:val="left"/>
      <w:pPr>
        <w:tabs>
          <w:tab w:val="left" w:pos="360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AE6C9C">
      <w:start w:val="1"/>
      <w:numFmt w:val="bullet"/>
      <w:lvlText w:val="▪"/>
      <w:lvlJc w:val="left"/>
      <w:pPr>
        <w:tabs>
          <w:tab w:val="left" w:pos="360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8"/>
  </w:num>
  <w:num w:numId="10">
    <w:abstractNumId w:val="2"/>
  </w:num>
  <w:num w:numId="11">
    <w:abstractNumId w:val="21"/>
  </w:num>
  <w:num w:numId="12">
    <w:abstractNumId w:val="3"/>
  </w:num>
  <w:num w:numId="13">
    <w:abstractNumId w:val="20"/>
  </w:num>
  <w:num w:numId="14">
    <w:abstractNumId w:val="9"/>
  </w:num>
  <w:num w:numId="15">
    <w:abstractNumId w:val="24"/>
  </w:num>
  <w:num w:numId="16">
    <w:abstractNumId w:val="5"/>
  </w:num>
  <w:num w:numId="17">
    <w:abstractNumId w:val="25"/>
  </w:num>
  <w:num w:numId="18">
    <w:abstractNumId w:val="16"/>
  </w:num>
  <w:num w:numId="19">
    <w:abstractNumId w:val="31"/>
  </w:num>
  <w:num w:numId="20">
    <w:abstractNumId w:val="13"/>
  </w:num>
  <w:num w:numId="21">
    <w:abstractNumId w:val="10"/>
  </w:num>
  <w:num w:numId="22">
    <w:abstractNumId w:val="15"/>
  </w:num>
  <w:num w:numId="23">
    <w:abstractNumId w:val="22"/>
  </w:num>
  <w:num w:numId="24">
    <w:abstractNumId w:val="29"/>
  </w:num>
  <w:num w:numId="25">
    <w:abstractNumId w:val="4"/>
  </w:num>
  <w:num w:numId="26">
    <w:abstractNumId w:val="19"/>
  </w:num>
  <w:num w:numId="27">
    <w:abstractNumId w:val="23"/>
  </w:num>
  <w:num w:numId="28">
    <w:abstractNumId w:val="30"/>
  </w:num>
  <w:num w:numId="29">
    <w:abstractNumId w:val="27"/>
  </w:num>
  <w:num w:numId="30">
    <w:abstractNumId w:val="11"/>
  </w:num>
  <w:num w:numId="31">
    <w:abstractNumId w:val="8"/>
  </w:num>
  <w:num w:numId="32">
    <w:abstractNumId w:val="17"/>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2949"/>
    <w:rsid w:val="0004579C"/>
    <w:rsid w:val="00064E6E"/>
    <w:rsid w:val="0006507B"/>
    <w:rsid w:val="000A47FA"/>
    <w:rsid w:val="000A65D3"/>
    <w:rsid w:val="000B1E33"/>
    <w:rsid w:val="000D689F"/>
    <w:rsid w:val="000E7B7B"/>
    <w:rsid w:val="000E7D62"/>
    <w:rsid w:val="00103357"/>
    <w:rsid w:val="00123C9F"/>
    <w:rsid w:val="00126190"/>
    <w:rsid w:val="00130F17"/>
    <w:rsid w:val="001320BF"/>
    <w:rsid w:val="00163BC4"/>
    <w:rsid w:val="00173767"/>
    <w:rsid w:val="00191062"/>
    <w:rsid w:val="00192B72"/>
    <w:rsid w:val="00194421"/>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1BE4"/>
    <w:rsid w:val="002556F6"/>
    <w:rsid w:val="00283105"/>
    <w:rsid w:val="00284C4C"/>
    <w:rsid w:val="00287E68"/>
    <w:rsid w:val="00296529"/>
    <w:rsid w:val="002B27FB"/>
    <w:rsid w:val="002B685A"/>
    <w:rsid w:val="002C57D2"/>
    <w:rsid w:val="002E0D56"/>
    <w:rsid w:val="002F7A57"/>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268DD"/>
    <w:rsid w:val="00440F43"/>
    <w:rsid w:val="00441B6F"/>
    <w:rsid w:val="00446221"/>
    <w:rsid w:val="00450E62"/>
    <w:rsid w:val="004539DB"/>
    <w:rsid w:val="00471A80"/>
    <w:rsid w:val="0047416A"/>
    <w:rsid w:val="00493BC5"/>
    <w:rsid w:val="004D305E"/>
    <w:rsid w:val="004D4277"/>
    <w:rsid w:val="004E6668"/>
    <w:rsid w:val="00501972"/>
    <w:rsid w:val="00502516"/>
    <w:rsid w:val="00505F06"/>
    <w:rsid w:val="00506828"/>
    <w:rsid w:val="0051430C"/>
    <w:rsid w:val="0053056E"/>
    <w:rsid w:val="00554FDA"/>
    <w:rsid w:val="005A2FAA"/>
    <w:rsid w:val="005C784C"/>
    <w:rsid w:val="005D17F6"/>
    <w:rsid w:val="005E5539"/>
    <w:rsid w:val="00602BF5"/>
    <w:rsid w:val="00617FDD"/>
    <w:rsid w:val="00633614"/>
    <w:rsid w:val="00633F68"/>
    <w:rsid w:val="00636EB2"/>
    <w:rsid w:val="006375B8"/>
    <w:rsid w:val="0066510A"/>
    <w:rsid w:val="00673F9F"/>
    <w:rsid w:val="00674255"/>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07C3"/>
    <w:rsid w:val="00790ADA"/>
    <w:rsid w:val="007D2288"/>
    <w:rsid w:val="007E088F"/>
    <w:rsid w:val="007F7B32"/>
    <w:rsid w:val="00804BC2"/>
    <w:rsid w:val="0081431A"/>
    <w:rsid w:val="0083216F"/>
    <w:rsid w:val="00860000"/>
    <w:rsid w:val="00863BD3"/>
    <w:rsid w:val="008641ED"/>
    <w:rsid w:val="00866D66"/>
    <w:rsid w:val="008671C6"/>
    <w:rsid w:val="0087008F"/>
    <w:rsid w:val="00875803"/>
    <w:rsid w:val="00881E92"/>
    <w:rsid w:val="008B459E"/>
    <w:rsid w:val="008C67B1"/>
    <w:rsid w:val="008E13AE"/>
    <w:rsid w:val="008E1506"/>
    <w:rsid w:val="008E710C"/>
    <w:rsid w:val="008F3B90"/>
    <w:rsid w:val="008F69D6"/>
    <w:rsid w:val="00902823"/>
    <w:rsid w:val="00915CA6"/>
    <w:rsid w:val="00924E75"/>
    <w:rsid w:val="00927834"/>
    <w:rsid w:val="009500A6"/>
    <w:rsid w:val="00957C18"/>
    <w:rsid w:val="009659BA"/>
    <w:rsid w:val="00983040"/>
    <w:rsid w:val="00983834"/>
    <w:rsid w:val="009861CA"/>
    <w:rsid w:val="009A6ECA"/>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616D"/>
    <w:rsid w:val="00A97DCB"/>
    <w:rsid w:val="00AA6219"/>
    <w:rsid w:val="00AA74E0"/>
    <w:rsid w:val="00AB703F"/>
    <w:rsid w:val="00AC6BB8"/>
    <w:rsid w:val="00AC7E01"/>
    <w:rsid w:val="00AE008F"/>
    <w:rsid w:val="00B01FCD"/>
    <w:rsid w:val="00B1776C"/>
    <w:rsid w:val="00B4292D"/>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4925"/>
    <w:rsid w:val="00CD6755"/>
    <w:rsid w:val="00CD6856"/>
    <w:rsid w:val="00CE0089"/>
    <w:rsid w:val="00CE793C"/>
    <w:rsid w:val="00CF193C"/>
    <w:rsid w:val="00D00BC7"/>
    <w:rsid w:val="00D173F1"/>
    <w:rsid w:val="00D23523"/>
    <w:rsid w:val="00D47793"/>
    <w:rsid w:val="00D74CB0"/>
    <w:rsid w:val="00D8295D"/>
    <w:rsid w:val="00DA7038"/>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90D3D"/>
    <w:rsid w:val="00EA012C"/>
    <w:rsid w:val="00EC6A55"/>
    <w:rsid w:val="00ED0288"/>
    <w:rsid w:val="00EE52CB"/>
    <w:rsid w:val="00EF581D"/>
    <w:rsid w:val="00EF7FD8"/>
    <w:rsid w:val="00F06F59"/>
    <w:rsid w:val="00F17988"/>
    <w:rsid w:val="00F469F0"/>
    <w:rsid w:val="00F53273"/>
    <w:rsid w:val="00F556DA"/>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D7FED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924E75"/>
    <w:rPr>
      <w:rFonts w:ascii="Times New Roman" w:hAnsi="Times New Roman"/>
      <w:sz w:val="24"/>
      <w:szCs w:val="24"/>
    </w:rPr>
  </w:style>
  <w:style w:type="character" w:customStyle="1" w:styleId="Aucun">
    <w:name w:val="Aucun"/>
    <w:rsid w:val="00983834"/>
    <w:rPr>
      <w:lang w:val="fr-FR"/>
    </w:rPr>
  </w:style>
  <w:style w:type="paragraph" w:customStyle="1" w:styleId="Corps">
    <w:name w:val="Corps"/>
    <w:rsid w:val="00983834"/>
    <w:pPr>
      <w:pBdr>
        <w:top w:val="nil"/>
        <w:left w:val="nil"/>
        <w:bottom w:val="nil"/>
        <w:right w:val="nil"/>
        <w:between w:val="nil"/>
        <w:bar w:val="nil"/>
      </w:pBdr>
    </w:pPr>
    <w:rPr>
      <w:rFonts w:eastAsia="Arial Unicode MS" w:cs="Arial Unicode MS"/>
      <w:color w:val="000000"/>
      <w:sz w:val="24"/>
      <w:szCs w:val="24"/>
      <w:u w:color="000000"/>
      <w:bdr w:val="nil"/>
      <w:lang w:val="fr-FR" w:eastAsia="fr-FR"/>
    </w:rPr>
  </w:style>
  <w:style w:type="numbering" w:customStyle="1" w:styleId="Style1import">
    <w:name w:val="Style 1 importé"/>
    <w:rsid w:val="00983834"/>
    <w:pPr>
      <w:numPr>
        <w:numId w:val="32"/>
      </w:numPr>
    </w:pPr>
  </w:style>
  <w:style w:type="character" w:customStyle="1" w:styleId="Hyperlink0">
    <w:name w:val="Hyperlink.0"/>
    <w:basedOn w:val="DefaultParagraphFont"/>
    <w:rsid w:val="00983834"/>
    <w:rPr>
      <w:color w:val="0563C1"/>
      <w:kern w:val="0"/>
      <w:u w:val="single" w:color="0563C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813832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978FB0-EFDD-4A74-A078-2A655E625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144</TotalTime>
  <Pages>6</Pages>
  <Words>1861</Words>
  <Characters>10614</Characters>
  <Application>Microsoft Office Word</Application>
  <DocSecurity>0</DocSecurity>
  <Lines>88</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12451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27</cp:revision>
  <cp:lastPrinted>1999-07-06T11:00:00Z</cp:lastPrinted>
  <dcterms:created xsi:type="dcterms:W3CDTF">2025-08-22T17:14:00Z</dcterms:created>
  <dcterms:modified xsi:type="dcterms:W3CDTF">2025-09-02T11:45:00Z</dcterms:modified>
</cp:coreProperties>
</file>