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4702DA" w14:textId="4FCEB383" w:rsidR="00DF2CD0" w:rsidRPr="00DF2CD0" w:rsidRDefault="00A7361F" w:rsidP="00DF2CD0">
      <w:pPr>
        <w:pStyle w:val="TitleatAbstractPage"/>
        <w:spacing w:after="240"/>
        <w:rPr>
          <w:rFonts w:ascii="Times New Roman" w:hAnsi="Times New Roman" w:cs="Times New Roman"/>
          <w:sz w:val="24"/>
          <w:szCs w:val="24"/>
        </w:rPr>
      </w:pPr>
      <w:bookmarkStart w:id="0" w:name="_Hlk38703211"/>
      <w:bookmarkStart w:id="1" w:name="_Hlk34433139"/>
      <w:r w:rsidRPr="00A7361F">
        <w:rPr>
          <w:rFonts w:ascii="Times New Roman" w:hAnsi="Times New Roman" w:cs="Times New Roman"/>
          <w:sz w:val="24"/>
          <w:szCs w:val="24"/>
        </w:rPr>
        <w:t xml:space="preserve">Multi-Scale Seismic Tomography </w:t>
      </w:r>
      <w:r w:rsidR="00EA4A19" w:rsidRPr="00EA4A19">
        <w:rPr>
          <w:rFonts w:ascii="Times New Roman" w:hAnsi="Times New Roman" w:cs="Times New Roman"/>
          <w:sz w:val="24"/>
          <w:szCs w:val="24"/>
        </w:rPr>
        <w:t>in Rift Zones</w:t>
      </w:r>
      <w:r w:rsidRPr="00A7361F">
        <w:rPr>
          <w:rFonts w:ascii="Times New Roman" w:hAnsi="Times New Roman" w:cs="Times New Roman"/>
          <w:sz w:val="24"/>
          <w:szCs w:val="24"/>
        </w:rPr>
        <w:t xml:space="preserve">: Implications for Lithospheric Evolution in the </w:t>
      </w:r>
      <w:r w:rsidR="00915DAC" w:rsidRPr="00915DAC">
        <w:rPr>
          <w:rFonts w:ascii="Times New Roman" w:hAnsi="Times New Roman" w:cs="Times New Roman"/>
          <w:sz w:val="24"/>
          <w:szCs w:val="24"/>
        </w:rPr>
        <w:t>Afar</w:t>
      </w:r>
      <w:r w:rsidR="00DF2CD0" w:rsidRPr="00DB530C">
        <w:rPr>
          <w:rFonts w:ascii="Times New Roman" w:hAnsi="Times New Roman" w:cs="Times New Roman"/>
          <w:sz w:val="24"/>
          <w:szCs w:val="24"/>
        </w:rPr>
        <w:t xml:space="preserve"> </w:t>
      </w:r>
      <w:r>
        <w:rPr>
          <w:rFonts w:ascii="Times New Roman" w:hAnsi="Times New Roman" w:cs="Times New Roman"/>
          <w:sz w:val="24"/>
          <w:szCs w:val="24"/>
        </w:rPr>
        <w:t>R</w:t>
      </w:r>
      <w:r w:rsidR="00915DAC" w:rsidRPr="00915DAC">
        <w:rPr>
          <w:rFonts w:ascii="Times New Roman" w:hAnsi="Times New Roman" w:cs="Times New Roman"/>
          <w:sz w:val="24"/>
          <w:szCs w:val="24"/>
        </w:rPr>
        <w:t>egion</w:t>
      </w:r>
    </w:p>
    <w:p w14:paraId="085BEECB" w14:textId="77777777" w:rsidR="009474CD" w:rsidRDefault="009474CD" w:rsidP="000A009B">
      <w:pPr>
        <w:pStyle w:val="Heading1"/>
      </w:pPr>
      <w:bookmarkStart w:id="2" w:name="_Hlk10501045"/>
      <w:bookmarkEnd w:id="0"/>
      <w:bookmarkEnd w:id="1"/>
    </w:p>
    <w:p w14:paraId="5D7926D3" w14:textId="12B6C2CD" w:rsidR="00461A9E" w:rsidRPr="004D4245" w:rsidRDefault="00461A9E" w:rsidP="000A009B">
      <w:pPr>
        <w:pStyle w:val="Heading1"/>
      </w:pPr>
      <w:r w:rsidRPr="004D4245">
        <w:t>Abstract</w:t>
      </w:r>
    </w:p>
    <w:bookmarkEnd w:id="2"/>
    <w:p w14:paraId="0999F28B" w14:textId="05502774" w:rsidR="00707A83" w:rsidRPr="00707A83" w:rsidRDefault="008F7873" w:rsidP="00707A83">
      <w:pPr>
        <w:spacing w:before="0" w:line="360" w:lineRule="auto"/>
        <w:ind w:right="-22"/>
        <w:rPr>
          <w:rFonts w:cs="Times New Roman"/>
          <w:szCs w:val="24"/>
          <w:lang w:val="en-GB"/>
        </w:rPr>
      </w:pPr>
      <w:r w:rsidRPr="008F7873">
        <w:rPr>
          <w:rFonts w:cs="Times New Roman"/>
          <w:szCs w:val="24"/>
        </w:rPr>
        <w:t>The Afar Depression, a nascent oceanic basin within the East African Rift system, offers a unique natural laboratory to investigate the interplay between mantle dynamics and continental breakup.</w:t>
      </w:r>
      <w:r w:rsidR="002E00D4">
        <w:rPr>
          <w:rFonts w:cs="Times New Roman"/>
          <w:szCs w:val="24"/>
        </w:rPr>
        <w:t xml:space="preserve"> </w:t>
      </w:r>
      <w:r w:rsidR="00763F12" w:rsidRPr="00763F12">
        <w:rPr>
          <w:rFonts w:cs="Times New Roman"/>
          <w:szCs w:val="24"/>
        </w:rPr>
        <w:t xml:space="preserve">This study employs seismic </w:t>
      </w:r>
      <w:r w:rsidR="009F79AC">
        <w:rPr>
          <w:rFonts w:cs="Times New Roman"/>
          <w:szCs w:val="24"/>
        </w:rPr>
        <w:t>travel-time</w:t>
      </w:r>
      <w:r w:rsidR="00763F12" w:rsidRPr="00763F12">
        <w:rPr>
          <w:rFonts w:cs="Times New Roman"/>
          <w:szCs w:val="24"/>
        </w:rPr>
        <w:t xml:space="preserve"> tomography to elucidate the interplay between deep mantle dynamics and surface tectonics </w:t>
      </w:r>
      <w:r w:rsidR="004523B6" w:rsidRPr="0000736F">
        <w:rPr>
          <w:rFonts w:cs="Times New Roman"/>
          <w:szCs w:val="24"/>
        </w:rPr>
        <w:t xml:space="preserve">beneath the Afar region, encompassing </w:t>
      </w:r>
      <w:r w:rsidR="00763F12" w:rsidRPr="00763F12">
        <w:rPr>
          <w:rFonts w:cs="Times New Roman"/>
          <w:szCs w:val="24"/>
        </w:rPr>
        <w:t>northern Ethiopia, Eritrea, Djibouti, northwestern Somalia, and southern Yemen.</w:t>
      </w:r>
      <w:r w:rsidR="00F867AE" w:rsidRPr="00F867AE">
        <w:rPr>
          <w:rFonts w:cs="Times New Roman"/>
          <w:szCs w:val="24"/>
        </w:rPr>
        <w:t xml:space="preserve"> </w:t>
      </w:r>
      <w:r w:rsidR="007A2176" w:rsidRPr="0000736F">
        <w:rPr>
          <w:rFonts w:cs="Times New Roman"/>
          <w:szCs w:val="24"/>
        </w:rPr>
        <w:t>Utili</w:t>
      </w:r>
      <w:r w:rsidR="007C1BBC">
        <w:rPr>
          <w:rFonts w:cs="Times New Roman"/>
          <w:szCs w:val="24"/>
        </w:rPr>
        <w:t>s</w:t>
      </w:r>
      <w:r w:rsidR="007A2176" w:rsidRPr="0000736F">
        <w:rPr>
          <w:rFonts w:cs="Times New Roman"/>
          <w:szCs w:val="24"/>
        </w:rPr>
        <w:t>ing 17,476 first arrival P-waves from 2,911 earthquakes recorded at 114 seismic stations between 1976 and 2023</w:t>
      </w:r>
      <w:r w:rsidR="00F867AE" w:rsidRPr="00F867AE">
        <w:rPr>
          <w:rFonts w:cs="Times New Roman"/>
          <w:szCs w:val="24"/>
        </w:rPr>
        <w:t xml:space="preserve">, a </w:t>
      </w:r>
      <w:r w:rsidR="000F372F">
        <w:rPr>
          <w:rFonts w:cs="Times New Roman"/>
          <w:szCs w:val="24"/>
        </w:rPr>
        <w:t>3D</w:t>
      </w:r>
      <w:r w:rsidR="00F867AE" w:rsidRPr="00F867AE">
        <w:rPr>
          <w:rFonts w:cs="Times New Roman"/>
          <w:szCs w:val="24"/>
        </w:rPr>
        <w:t xml:space="preserve"> P-wave velocity model </w:t>
      </w:r>
      <w:r w:rsidR="00B1699C">
        <w:rPr>
          <w:rFonts w:cs="Times New Roman"/>
          <w:szCs w:val="24"/>
        </w:rPr>
        <w:t>i</w:t>
      </w:r>
      <w:r w:rsidR="00F867AE" w:rsidRPr="00F867AE">
        <w:rPr>
          <w:rFonts w:cs="Times New Roman"/>
          <w:szCs w:val="24"/>
        </w:rPr>
        <w:t>s developed to a depth of 70 km.</w:t>
      </w:r>
      <w:r w:rsidR="00B1699C" w:rsidRPr="00B1699C">
        <w:rPr>
          <w:rFonts w:cs="Times New Roman"/>
          <w:szCs w:val="24"/>
        </w:rPr>
        <w:t xml:space="preserve"> </w:t>
      </w:r>
      <w:r w:rsidR="00DD77E7">
        <w:rPr>
          <w:rFonts w:cs="Times New Roman"/>
          <w:szCs w:val="24"/>
        </w:rPr>
        <w:t>The</w:t>
      </w:r>
      <w:r w:rsidR="00B1699C" w:rsidRPr="0000736F">
        <w:rPr>
          <w:rFonts w:cs="Times New Roman"/>
          <w:szCs w:val="24"/>
        </w:rPr>
        <w:t xml:space="preserve"> analysis incorporated three different grid resolutions (0.25°, 0.5°, and 1.0°) to optimi</w:t>
      </w:r>
      <w:r w:rsidR="00860A7C">
        <w:rPr>
          <w:rFonts w:cs="Times New Roman"/>
          <w:szCs w:val="24"/>
        </w:rPr>
        <w:t>s</w:t>
      </w:r>
      <w:r w:rsidR="00B1699C" w:rsidRPr="0000736F">
        <w:rPr>
          <w:rFonts w:cs="Times New Roman"/>
          <w:szCs w:val="24"/>
        </w:rPr>
        <w:t>e the balance between detailed resolution and robust structural imaging.</w:t>
      </w:r>
      <w:r w:rsidR="00F20577" w:rsidRPr="00F20577">
        <w:rPr>
          <w:rFonts w:cs="Times New Roman"/>
          <w:szCs w:val="24"/>
        </w:rPr>
        <w:t xml:space="preserve"> </w:t>
      </w:r>
      <w:r w:rsidR="00F20577" w:rsidRPr="0000736F">
        <w:rPr>
          <w:rFonts w:cs="Times New Roman"/>
          <w:szCs w:val="24"/>
        </w:rPr>
        <w:t>Checkerboard and structural reconstruction tests confirm good resolution across most of the study area.</w:t>
      </w:r>
      <w:r w:rsidR="00F20577">
        <w:rPr>
          <w:rFonts w:cs="Times New Roman"/>
          <w:szCs w:val="24"/>
        </w:rPr>
        <w:t xml:space="preserve"> </w:t>
      </w:r>
      <w:r w:rsidR="0000736F" w:rsidRPr="0000736F">
        <w:rPr>
          <w:rFonts w:cs="Times New Roman"/>
          <w:szCs w:val="24"/>
        </w:rPr>
        <w:t xml:space="preserve">The resulting tomographic images reveal significant velocity heterogeneity throughout the region, with prominent low-velocity zones (LVZs) beneath tectonically active areas including the Afar Depression, Red Sea Rift, </w:t>
      </w:r>
      <w:r w:rsidR="00353BAF">
        <w:rPr>
          <w:rFonts w:cs="Times New Roman"/>
          <w:szCs w:val="24"/>
        </w:rPr>
        <w:t>G</w:t>
      </w:r>
      <w:r w:rsidR="00FE10A3">
        <w:rPr>
          <w:rFonts w:cs="Times New Roman"/>
          <w:szCs w:val="24"/>
        </w:rPr>
        <w:t xml:space="preserve">ulf of </w:t>
      </w:r>
      <w:r w:rsidR="00353BAF">
        <w:rPr>
          <w:rFonts w:cs="Times New Roman"/>
          <w:szCs w:val="24"/>
        </w:rPr>
        <w:t>A</w:t>
      </w:r>
      <w:r w:rsidR="00FE10A3">
        <w:rPr>
          <w:rFonts w:cs="Times New Roman"/>
          <w:szCs w:val="24"/>
        </w:rPr>
        <w:t xml:space="preserve">den </w:t>
      </w:r>
      <w:r w:rsidR="00353BAF">
        <w:rPr>
          <w:rFonts w:cs="Times New Roman"/>
          <w:szCs w:val="24"/>
        </w:rPr>
        <w:t>R</w:t>
      </w:r>
      <w:r w:rsidR="00FE10A3">
        <w:rPr>
          <w:rFonts w:cs="Times New Roman"/>
          <w:szCs w:val="24"/>
        </w:rPr>
        <w:t>ift</w:t>
      </w:r>
      <w:r w:rsidR="0000736F" w:rsidRPr="0000736F">
        <w:rPr>
          <w:rFonts w:cs="Times New Roman"/>
          <w:szCs w:val="24"/>
        </w:rPr>
        <w:t>, and Main Ethiopian Rift. These LVZs extend from shallow depths to 70 km, suggesting the presence of thermally perturbed lithosphere, partial melting, and active magmatism. Conversely, high-velocity zones (HVZs) predominate beneath the more stable Nubian, Arabian, and Somalian plates, indicating cooler, thicker lithosphere. The spatial distribution of earthquakes along boundaries between velocity anomalies further supports the relationship between seismic activity and tectonic stress at interfaces between hot, weak mantle material and cooler, stronger lithosphere. Our findings contribute to the understanding of how mantle dynamics influence continental breakup and incipient seafloor spreading in plume-assisted rift systems, supporting models of passive upwelling beneath magmatic segments driven by far-field stresses and buoyancy-related processes.</w:t>
      </w:r>
    </w:p>
    <w:p w14:paraId="4149FDAE" w14:textId="77777777" w:rsidR="00C33FA6" w:rsidRDefault="00461A9E" w:rsidP="00EB233B">
      <w:pPr>
        <w:spacing w:line="360" w:lineRule="auto"/>
        <w:ind w:firstLine="0"/>
        <w:rPr>
          <w:rFonts w:cs="Times New Roman"/>
          <w:szCs w:val="24"/>
        </w:rPr>
      </w:pPr>
      <w:r w:rsidRPr="004D4245">
        <w:rPr>
          <w:rFonts w:cs="Times New Roman"/>
          <w:b/>
          <w:bCs/>
          <w:szCs w:val="24"/>
        </w:rPr>
        <w:t>Keywords</w:t>
      </w:r>
      <w:r w:rsidRPr="004D4245">
        <w:rPr>
          <w:rFonts w:cs="Times New Roman"/>
          <w:szCs w:val="24"/>
        </w:rPr>
        <w:t xml:space="preserve">: </w:t>
      </w:r>
      <w:r w:rsidR="006C75CB" w:rsidRPr="00706E72">
        <w:rPr>
          <w:rFonts w:cs="Times New Roman"/>
          <w:szCs w:val="24"/>
        </w:rPr>
        <w:t>Seismic t</w:t>
      </w:r>
      <w:r w:rsidR="00B15DB9" w:rsidRPr="00706E72">
        <w:rPr>
          <w:rFonts w:cs="Times New Roman"/>
          <w:szCs w:val="24"/>
        </w:rPr>
        <w:t>omography</w:t>
      </w:r>
      <w:r w:rsidR="00524C3D" w:rsidRPr="00706E72">
        <w:rPr>
          <w:rFonts w:cs="Times New Roman"/>
          <w:szCs w:val="24"/>
        </w:rPr>
        <w:t xml:space="preserve">; </w:t>
      </w:r>
      <w:r w:rsidR="00B559EE" w:rsidRPr="00706E72">
        <w:rPr>
          <w:rFonts w:cs="Times New Roman"/>
          <w:szCs w:val="24"/>
        </w:rPr>
        <w:t xml:space="preserve">P-wave; </w:t>
      </w:r>
      <w:r w:rsidR="00B559EE" w:rsidRPr="00B559EE">
        <w:rPr>
          <w:rFonts w:cs="Times New Roman"/>
          <w:szCs w:val="24"/>
        </w:rPr>
        <w:t>Continental rifting</w:t>
      </w:r>
      <w:r w:rsidR="00763254">
        <w:rPr>
          <w:rFonts w:cs="Times New Roman"/>
          <w:szCs w:val="24"/>
        </w:rPr>
        <w:t xml:space="preserve">; </w:t>
      </w:r>
      <w:r w:rsidR="009C1B80" w:rsidRPr="00706E72">
        <w:rPr>
          <w:rFonts w:cs="Times New Roman"/>
          <w:szCs w:val="24"/>
        </w:rPr>
        <w:t>lithosphere</w:t>
      </w:r>
      <w:r w:rsidR="00287707" w:rsidRPr="00706E72">
        <w:rPr>
          <w:rFonts w:cs="Times New Roman"/>
          <w:szCs w:val="24"/>
        </w:rPr>
        <w:t xml:space="preserve">; </w:t>
      </w:r>
      <w:r w:rsidR="00D927C2" w:rsidRPr="00706E72">
        <w:rPr>
          <w:rFonts w:cs="Times New Roman"/>
          <w:szCs w:val="24"/>
        </w:rPr>
        <w:t>Afar</w:t>
      </w:r>
      <w:r w:rsidR="00991DA1">
        <w:rPr>
          <w:rFonts w:cs="Times New Roman"/>
          <w:szCs w:val="24"/>
        </w:rPr>
        <w:t xml:space="preserve"> region</w:t>
      </w:r>
      <w:r w:rsidR="004734BB" w:rsidRPr="00706E72">
        <w:rPr>
          <w:rFonts w:cs="Times New Roman"/>
          <w:szCs w:val="24"/>
        </w:rPr>
        <w:t>.</w:t>
      </w:r>
    </w:p>
    <w:p w14:paraId="7BEDFE3F" w14:textId="0F817C97" w:rsidR="00524C3D" w:rsidRPr="004D4245" w:rsidRDefault="00C33FA6" w:rsidP="00EB233B">
      <w:pPr>
        <w:spacing w:line="360" w:lineRule="auto"/>
        <w:ind w:firstLine="0"/>
        <w:rPr>
          <w:rFonts w:cs="Times New Roman"/>
          <w:szCs w:val="24"/>
        </w:rPr>
      </w:pPr>
      <w:r w:rsidRPr="00F22E2E">
        <w:rPr>
          <w:rFonts w:cs="Times New Roman"/>
          <w:b/>
          <w:bCs/>
          <w:color w:val="EE0000"/>
          <w:szCs w:val="24"/>
        </w:rPr>
        <w:t>Type of Article</w:t>
      </w:r>
      <w:r>
        <w:rPr>
          <w:rFonts w:cs="Times New Roman"/>
          <w:szCs w:val="24"/>
        </w:rPr>
        <w:t>:</w:t>
      </w:r>
      <w:r w:rsidRPr="00C33FA6">
        <w:t xml:space="preserve"> </w:t>
      </w:r>
      <w:r w:rsidRPr="00C33FA6">
        <w:rPr>
          <w:rFonts w:cs="Times New Roman"/>
          <w:szCs w:val="24"/>
        </w:rPr>
        <w:t>Original Research Article</w:t>
      </w:r>
      <w:r w:rsidR="00524C3D" w:rsidRPr="004D4245">
        <w:rPr>
          <w:rFonts w:cs="Times New Roman"/>
          <w:szCs w:val="24"/>
        </w:rPr>
        <w:br w:type="page"/>
      </w:r>
    </w:p>
    <w:p w14:paraId="3E2167F0" w14:textId="72744945" w:rsidR="00461A9E" w:rsidRPr="004D4245" w:rsidRDefault="00461A9E" w:rsidP="000A009B">
      <w:pPr>
        <w:pStyle w:val="Heading1"/>
      </w:pPr>
      <w:r w:rsidRPr="004D4245">
        <w:lastRenderedPageBreak/>
        <w:t>1</w:t>
      </w:r>
      <w:r w:rsidRPr="004D4245">
        <w:tab/>
      </w:r>
      <w:r w:rsidR="00831FD8" w:rsidRPr="004D4245">
        <w:t>INTRODUCTION</w:t>
      </w:r>
    </w:p>
    <w:p w14:paraId="0CC8192A" w14:textId="2C8496F0" w:rsidR="00E5496B" w:rsidRDefault="00161EBA" w:rsidP="00BE7C4F">
      <w:pPr>
        <w:spacing w:before="0" w:line="360" w:lineRule="auto"/>
        <w:ind w:firstLine="426"/>
        <w:rPr>
          <w:rFonts w:cs="Times New Roman"/>
          <w:szCs w:val="24"/>
        </w:rPr>
      </w:pPr>
      <w:r w:rsidRPr="00161EBA">
        <w:rPr>
          <w:rFonts w:cs="Times New Roman"/>
          <w:szCs w:val="24"/>
        </w:rPr>
        <w:t>Continental break-up represents a critical phase in Earth's tectonic evolution, where sustained extensional forces gradually thin and rupture the rigid lithosphere, ultimately forming new oceanic basins.</w:t>
      </w:r>
      <w:r>
        <w:rPr>
          <w:rFonts w:cs="Times New Roman"/>
          <w:szCs w:val="24"/>
        </w:rPr>
        <w:t xml:space="preserve"> </w:t>
      </w:r>
      <w:r w:rsidR="00F25FB6" w:rsidRPr="00F25FB6">
        <w:rPr>
          <w:rFonts w:cs="Times New Roman"/>
          <w:szCs w:val="24"/>
        </w:rPr>
        <w:t xml:space="preserve">The East African Rift (EAR) exemplifies this process as an active continental rift system potentially evolving toward seafloor spreading. </w:t>
      </w:r>
      <w:r w:rsidR="009C2B4A" w:rsidRPr="009C2B4A">
        <w:rPr>
          <w:rFonts w:cs="Times New Roman"/>
          <w:szCs w:val="24"/>
        </w:rPr>
        <w:t xml:space="preserve">Within this system, the Main Ethiopian Rift (MER) </w:t>
      </w:r>
      <w:r w:rsidR="0031293B" w:rsidRPr="0031293B">
        <w:rPr>
          <w:rFonts w:cs="Times New Roman"/>
          <w:szCs w:val="24"/>
        </w:rPr>
        <w:t>extends northeastward into the Afar Depression (AD), a tectonically complex region encompassing northern Ethiopia, Eritrea, Djibouti, and northwestern Somalia</w:t>
      </w:r>
      <w:r w:rsidR="00095C05" w:rsidRPr="00095C05">
        <w:rPr>
          <w:rFonts w:cs="Times New Roman"/>
          <w:szCs w:val="24"/>
        </w:rPr>
        <w:t xml:space="preserve"> (Fig. </w:t>
      </w:r>
      <w:r w:rsidR="00095C05" w:rsidRPr="00615AC4">
        <w:rPr>
          <w:rFonts w:cs="Times New Roman"/>
          <w:color w:val="0000FF"/>
          <w:szCs w:val="24"/>
        </w:rPr>
        <w:t>1a</w:t>
      </w:r>
      <w:r w:rsidR="00095C05" w:rsidRPr="00095C05">
        <w:rPr>
          <w:rFonts w:cs="Times New Roman"/>
          <w:szCs w:val="24"/>
        </w:rPr>
        <w:t>).</w:t>
      </w:r>
      <w:r w:rsidR="009479FF" w:rsidRPr="009479FF">
        <w:rPr>
          <w:rFonts w:cs="Times New Roman"/>
          <w:szCs w:val="24"/>
        </w:rPr>
        <w:t xml:space="preserve"> </w:t>
      </w:r>
      <w:r w:rsidR="00997394" w:rsidRPr="00997394">
        <w:rPr>
          <w:rFonts w:cs="Times New Roman"/>
          <w:szCs w:val="24"/>
        </w:rPr>
        <w:t xml:space="preserve">The </w:t>
      </w:r>
      <w:r w:rsidR="0064454F" w:rsidRPr="009C2B4A">
        <w:rPr>
          <w:rFonts w:cs="Times New Roman"/>
          <w:szCs w:val="24"/>
        </w:rPr>
        <w:t>AD</w:t>
      </w:r>
      <w:r w:rsidR="0064454F" w:rsidRPr="00997394">
        <w:rPr>
          <w:rFonts w:cs="Times New Roman"/>
          <w:szCs w:val="24"/>
        </w:rPr>
        <w:t xml:space="preserve"> </w:t>
      </w:r>
      <w:r w:rsidR="00997394" w:rsidRPr="00997394">
        <w:rPr>
          <w:rFonts w:cs="Times New Roman"/>
          <w:szCs w:val="24"/>
        </w:rPr>
        <w:t xml:space="preserve">is </w:t>
      </w:r>
      <w:r w:rsidR="00095C05">
        <w:rPr>
          <w:rFonts w:cs="Times New Roman"/>
          <w:szCs w:val="24"/>
        </w:rPr>
        <w:t>c</w:t>
      </w:r>
      <w:r w:rsidR="00095C05" w:rsidRPr="00095C05">
        <w:rPr>
          <w:rFonts w:cs="Times New Roman"/>
          <w:szCs w:val="24"/>
        </w:rPr>
        <w:t>haracteri</w:t>
      </w:r>
      <w:r w:rsidR="00860A7C">
        <w:rPr>
          <w:rFonts w:cs="Times New Roman"/>
          <w:szCs w:val="24"/>
        </w:rPr>
        <w:t>s</w:t>
      </w:r>
      <w:r w:rsidR="00095C05" w:rsidRPr="00095C05">
        <w:rPr>
          <w:rFonts w:cs="Times New Roman"/>
          <w:szCs w:val="24"/>
        </w:rPr>
        <w:t>ed</w:t>
      </w:r>
      <w:r w:rsidR="00997394" w:rsidRPr="00997394">
        <w:rPr>
          <w:rFonts w:cs="Times New Roman"/>
          <w:szCs w:val="24"/>
        </w:rPr>
        <w:t xml:space="preserve"> </w:t>
      </w:r>
      <w:r w:rsidR="00AB3750" w:rsidRPr="00AB3750">
        <w:rPr>
          <w:rFonts w:cs="Times New Roman"/>
          <w:szCs w:val="24"/>
        </w:rPr>
        <w:t>by</w:t>
      </w:r>
      <w:r w:rsidR="00650DD7" w:rsidRPr="00650DD7">
        <w:t xml:space="preserve"> </w:t>
      </w:r>
      <w:r w:rsidR="00650DD7" w:rsidRPr="00650DD7">
        <w:rPr>
          <w:rFonts w:cs="Times New Roman"/>
          <w:szCs w:val="24"/>
        </w:rPr>
        <w:t>extensive</w:t>
      </w:r>
      <w:r w:rsidR="00AB3750" w:rsidRPr="00AB3750">
        <w:rPr>
          <w:rFonts w:cs="Times New Roman"/>
          <w:szCs w:val="24"/>
        </w:rPr>
        <w:t xml:space="preserve"> Oligocene flood basalt</w:t>
      </w:r>
      <w:r w:rsidR="00AB3750">
        <w:rPr>
          <w:rFonts w:cs="Times New Roman"/>
          <w:szCs w:val="24"/>
        </w:rPr>
        <w:t>s</w:t>
      </w:r>
      <w:r w:rsidR="00AB3750" w:rsidRPr="00AB3750">
        <w:rPr>
          <w:rFonts w:cs="Times New Roman"/>
          <w:szCs w:val="24"/>
        </w:rPr>
        <w:t xml:space="preserve"> </w:t>
      </w:r>
      <w:r w:rsidR="00997394">
        <w:rPr>
          <w:rFonts w:cs="Times New Roman"/>
          <w:szCs w:val="24"/>
        </w:rPr>
        <w:t>(</w:t>
      </w:r>
      <w:r w:rsidR="00997394" w:rsidRPr="00FF5EB0">
        <w:rPr>
          <w:rFonts w:cs="Times New Roman"/>
          <w:color w:val="0000FF"/>
          <w:szCs w:val="24"/>
        </w:rPr>
        <w:t xml:space="preserve">Kieffer </w:t>
      </w:r>
      <w:r w:rsidR="00997394" w:rsidRPr="006B2FBF">
        <w:rPr>
          <w:rFonts w:cs="Times New Roman"/>
          <w:i/>
          <w:iCs/>
          <w:color w:val="0000FF"/>
          <w:szCs w:val="24"/>
        </w:rPr>
        <w:t xml:space="preserve">et al., </w:t>
      </w:r>
      <w:r w:rsidR="00997394">
        <w:rPr>
          <w:rFonts w:cs="Times New Roman"/>
          <w:color w:val="0000FF"/>
          <w:szCs w:val="24"/>
        </w:rPr>
        <w:fldChar w:fldCharType="begin"/>
      </w:r>
      <w:r w:rsidR="00997394">
        <w:rPr>
          <w:rFonts w:cs="Times New Roman"/>
          <w:color w:val="0000FF"/>
          <w:szCs w:val="24"/>
        </w:rPr>
        <w:instrText xml:space="preserve"> ADDIN EN.CITE &lt;EndNote&gt;&lt;Cite Hidden="1"&gt;&lt;Author&gt;Kieffer&lt;/Author&gt;&lt;Year&gt;2004&lt;/Year&gt;&lt;RecNum&gt;5017&lt;/RecNum&gt;&lt;record&gt;&lt;rec-number&gt;5017&lt;/rec-number&gt;&lt;foreign-keys&gt;&lt;key app="EN" db-id="50wxdpzd9vd5r7e9t5b595djrfpttrxw9avp" timestamp="1651177104"&gt;5017&lt;/key&gt;&lt;/foreign-keys&gt;&lt;ref-type name="Journal Article"&gt;17&lt;/ref-type&gt;&lt;contributors&gt;&lt;authors&gt;&lt;author&gt;Kieffer, Bruno&lt;/author&gt;&lt;author&gt;Arndt, Nicholas&lt;/author&gt;&lt;author&gt;Lapierre, Henriette&lt;/author&gt;&lt;author&gt;Bastien, Florence&lt;/author&gt;&lt;author&gt;Bosch, Delphine&lt;/author&gt;&lt;author&gt;Pecher, Arnaud&lt;/author&gt;&lt;author&gt;Yirgu, Gezahegn&lt;/author&gt;&lt;author&gt;Ayalew, Dereje&lt;/author&gt;&lt;author&gt;Weis, Dominique&lt;/author&gt;&lt;author&gt;Jerram, Dougal A&lt;/author&gt;&lt;/authors&gt;&lt;/contributors&gt;&lt;titles&gt;&lt;title&gt;Flood and shield basalts from Ethiopia: magmas from the African superswell&lt;/title&gt;&lt;secondary-title&gt;Journal of Petrology&lt;/secondary-title&gt;&lt;/titles&gt;&lt;periodical&gt;&lt;full-title&gt;Journal of Petrology&lt;/full-title&gt;&lt;/periodical&gt;&lt;pages&gt;793-834&lt;/pages&gt;&lt;volume&gt;45&lt;/volume&gt;&lt;number&gt;4&lt;/number&gt;&lt;dates&gt;&lt;year&gt;2004&lt;/year&gt;&lt;/dates&gt;&lt;isbn&gt;1460-2415&lt;/isbn&gt;&lt;urls&gt;&lt;/urls&gt;&lt;electronic-resource-num&gt;10.1093/petrology/egg112.&lt;/electronic-resource-num&gt;&lt;/record&gt;&lt;/Cite&gt;&lt;/EndNote&gt;</w:instrText>
      </w:r>
      <w:r w:rsidR="00997394">
        <w:rPr>
          <w:rFonts w:cs="Times New Roman"/>
          <w:color w:val="0000FF"/>
          <w:szCs w:val="24"/>
        </w:rPr>
        <w:fldChar w:fldCharType="end"/>
      </w:r>
      <w:r w:rsidR="00997394" w:rsidRPr="00FF5EB0">
        <w:rPr>
          <w:rFonts w:cs="Times New Roman"/>
          <w:color w:val="0000FF"/>
          <w:szCs w:val="24"/>
        </w:rPr>
        <w:t>2004</w:t>
      </w:r>
      <w:r w:rsidR="00A70375">
        <w:rPr>
          <w:rFonts w:cs="Times New Roman"/>
          <w:color w:val="0000FF"/>
          <w:szCs w:val="24"/>
        </w:rPr>
        <w:t>;</w:t>
      </w:r>
      <w:r w:rsidR="00A70375" w:rsidRPr="00A70375">
        <w:rPr>
          <w:rFonts w:cs="Times New Roman"/>
          <w:color w:val="0000FF"/>
          <w:szCs w:val="24"/>
        </w:rPr>
        <w:t xml:space="preserve"> </w:t>
      </w:r>
      <w:r w:rsidR="00A70375" w:rsidRPr="004D4245">
        <w:rPr>
          <w:rFonts w:cs="Times New Roman"/>
          <w:color w:val="0000FF"/>
          <w:szCs w:val="24"/>
        </w:rPr>
        <w:t xml:space="preserve">Civiero </w:t>
      </w:r>
      <w:r w:rsidR="00A70375" w:rsidRPr="004D4245">
        <w:rPr>
          <w:rFonts w:cs="Times New Roman"/>
          <w:i/>
          <w:iCs/>
          <w:color w:val="0000FF"/>
          <w:szCs w:val="24"/>
        </w:rPr>
        <w:t>et al</w:t>
      </w:r>
      <w:r w:rsidR="00A70375" w:rsidRPr="004D4245">
        <w:rPr>
          <w:rFonts w:cs="Times New Roman"/>
          <w:color w:val="0000FF"/>
          <w:szCs w:val="24"/>
        </w:rPr>
        <w:t>., 2015</w:t>
      </w:r>
      <w:r w:rsidR="00997394">
        <w:rPr>
          <w:rFonts w:cs="Times New Roman"/>
          <w:color w:val="0000FF"/>
          <w:szCs w:val="24"/>
        </w:rPr>
        <w:fldChar w:fldCharType="begin">
          <w:fldData xml:space="preserve">PEVuZE5vdGU+PENpdGUgSGlkZGVuPSIxIj48QXV0aG9yPkNpdmllcm88L0F1dGhvcj48WWVhcj4y
MDE2PC9ZZWFyPjxSZWNOdW0+NTAxNjwvUmVjTnVtPjxyZWNvcmQ+PHJlYy1udW1iZXI+NTAxNjwv
cmVjLW51bWJlcj48Zm9yZWlnbi1rZXlzPjxrZXkgYXBwPSJFTiIgZGItaWQ9IjUwd3hkcHpkOXZk
NXI3ZTl0NWI1OTVkanJmcHR0cnh3OWF2cCIgdGltZXN0YW1wPSIxNjUxMTU4NjkzIj41MDE2PC9r
ZXk+PC9mb3JlaWduLWtleXM+PHJlZi10eXBlIG5hbWU9IkpvdXJuYWwgQXJ0aWNsZSI+MTc8L3Jl
Zi10eXBlPjxjb250cmlidXRvcnM+PGF1dGhvcnM+PGF1dGhvcj5DaXZpZXJvLCBDaGlhcmE8L2F1
dGhvcj48YXV0aG9yPkdvZXMsIFNhc2tpYTwvYXV0aG9yPjxhdXRob3I+SGFtbW9uZCwgSmFtZXMg
T1M8L2F1dGhvcj48YXV0aG9yPkZpc2h3aWNrLCBTdGV3YXJ0PC9hdXRob3I+PGF1dGhvcj5BaG1l
ZCwgQWJkdWxoYWtpbTwvYXV0aG9yPjxhdXRob3I+QXllbGUsIEF0YWxheTwvYXV0aG9yPjxhdXRo
b3I+RG91YnJlLCBDZWNpbGU8L2F1dGhvcj48YXV0aG9yPkdvaXRvbSwgQmVyaGU8L2F1dGhvcj48
YXV0aG9yPktlaXIsIERlcmVrPC9hdXRob3I+PGF1dGhvcj5LZW5kYWxsLCBKIE1pY2hhZWw8L2F1
dGhvcj48L2F1dGhvcnM+PC9jb250cmlidXRvcnM+PHRpdGxlcz48dGl0bGU+U21hbGzigJBzY2Fs
ZSB0aGVybWFsIHVwd2VsbGluZ3MgdW5kZXIgdGhlIG5vcnRoZXJuIEVhc3QgQWZyaWNhbiBSaWZ0
IGZyb20gUyB0cmF2ZWwgdGltZSB0b21vZ3JhcGh5PC90aXRsZT48c2Vjb25kYXJ5LXRpdGxlPkpv
dXJuYWwgb2YgR2VvcGh5c2ljYWwgUmVzZWFyY2g6IFNvbGlkIEVhcnRoPC9zZWNvbmRhcnktdGl0
bGU+PC90aXRsZXM+PHBlcmlvZGljYWw+PGZ1bGwtdGl0bGU+Sm91cm5hbCBvZiBHZW9waHlzaWNh
bCBSZXNlYXJjaDogU29saWQgRWFydGg8L2Z1bGwtdGl0bGU+PC9wZXJpb2RpY2FsPjxwYWdlcz43
Mzk1LTc0MDg8L3BhZ2VzPjx2b2x1bWU+MTIxPC92b2x1bWU+PG51bWJlcj4xMDwvbnVtYmVyPjxk
YXRlcz48eWVhcj4yMDE2PC95ZWFyPjwvZGF0ZXM+PGlzYm4+MjE2OS05MzEzPC9pc2JuPjx1cmxz
PjwvdXJscz48ZWxlY3Ryb25pYy1yZXNvdXJjZS1udW0+MTAuMTAwMi8yMDE2SkIwMTMwNzAuPC9l
bGVjdHJvbmljLXJlc291cmNlLW51bT48L3JlY29yZD48L0NpdGU+PENpdGUgSGlkZGVuPSIxIj48
QXV0aG9yPkNpdmllcm88L0F1dGhvcj48WWVhcj4yMDE1PC9ZZWFyPjxSZWNOdW0+NDkzNjwvUmVj
TnVtPjxyZWNvcmQ+PHJlYy1udW1iZXI+NDkzNjwvcmVjLW51bWJlcj48Zm9yZWlnbi1rZXlzPjxr
ZXkgYXBwPSJFTiIgZGItaWQ9IjUwd3hkcHpkOXZkNXI3ZTl0NWI1OTVkanJmcHR0cnh3OWF2cCIg
dGltZXN0YW1wPSIxNjQ3Njg4NTk5Ij40OTM2PC9rZXk+PC9mb3JlaWduLWtleXM+PHJlZi10eXBl
IG5hbWU9IkpvdXJuYWwgQXJ0aWNsZSI+MTc8L3JlZi10eXBlPjxjb250cmlidXRvcnM+PGF1dGhv
cnM+PGF1dGhvcj5DaXZpZXJvLCBDaGlhcmE8L2F1dGhvcj48YXV0aG9yPkhhbW1vbmQsIEphbWVz
IE9TPC9hdXRob3I+PGF1dGhvcj5Hb2VzLCBTYXNraWE8L2F1dGhvcj48YXV0aG9yPkZpc2h3aWNr
LCBTdGV3YXJ0PC9hdXRob3I+PGF1dGhvcj5BaG1lZCwgQWJkdWxoYWtpbTwvYXV0aG9yPjxhdXRo
b3I+QXllbGUsIEF0YWxheTwvYXV0aG9yPjxhdXRob3I+RG91YnJlLCBDZWNpbGU8L2F1dGhvcj48
YXV0aG9yPkdvaXRvbSwgQmVyaGU8L2F1dGhvcj48YXV0aG9yPktlaXIsIERlcmVrPC9hdXRob3I+
PGF1dGhvcj5LZW5kYWxsLCBK4oCQTWljaGFlbDwvYXV0aG9yPjwvYXV0aG9ycz48L2NvbnRyaWJ1
dG9ycz48dGl0bGVzPjx0aXRsZT5NdWx0aXBsZSBtYW50bGUgdXB3ZWxsaW5ncyBpbiB0aGUgdHJh
bnNpdGlvbiB6b25lIGJlbmVhdGggdGhlIG5vcnRoZXJuIEUgYXN04oCQQSBmcmljYW4gUiBpZnQg
c3lzdGVtIGZyb20gcmVsYXRpdmUgUOKAkHdhdmUgdHJhdmVs4oCQdGltZSB0b21vZ3JhcGh5PC90
aXRsZT48c2Vjb25kYXJ5LXRpdGxlPkdlb2NoZW1pc3RyeSwgR2VvcGh5c2ljcywgR2Vvc3lzdGVt
czwvc2Vjb25kYXJ5LXRpdGxlPjwvdGl0bGVzPjxwZXJpb2RpY2FsPjxmdWxsLXRpdGxlPkdlb2No
ZW1pc3RyeSwgR2VvcGh5c2ljcywgR2Vvc3lzdGVtczwvZnVsbC10aXRsZT48L3BlcmlvZGljYWw+
PHBhZ2VzPjI5NDktMjk2ODwvcGFnZXM+PHZvbHVtZT4xNjwvdm9sdW1lPjxudW1iZXI+OTwvbnVt
YmVyPjxkYXRlcz48eWVhcj4yMDE1PC95ZWFyPjwvZGF0ZXM+PGlzYm4+MTUyNS0yMDI3PC9pc2Ju
Pjx1cmxzPjwvdXJscz48ZWxlY3Ryb25pYy1yZXNvdXJjZS1udW0+MTAuMTAwMi8yMDE1R0MwMDU5
NDguPC9lbGVjdHJvbmljLXJlc291cmNlLW51bT48L3JlY29yZD48L0NpdGU+PC9FbmROb3RlPn==
</w:fldData>
        </w:fldChar>
      </w:r>
      <w:r w:rsidR="00997394">
        <w:rPr>
          <w:rFonts w:cs="Times New Roman"/>
          <w:color w:val="0000FF"/>
          <w:szCs w:val="24"/>
        </w:rPr>
        <w:instrText xml:space="preserve"> ADDIN EN.CITE </w:instrText>
      </w:r>
      <w:r w:rsidR="00997394">
        <w:rPr>
          <w:rFonts w:cs="Times New Roman"/>
          <w:color w:val="0000FF"/>
          <w:szCs w:val="24"/>
        </w:rPr>
        <w:fldChar w:fldCharType="begin">
          <w:fldData xml:space="preserve">PEVuZE5vdGU+PENpdGUgSGlkZGVuPSIxIj48QXV0aG9yPkNpdmllcm88L0F1dGhvcj48WWVhcj4y
MDE2PC9ZZWFyPjxSZWNOdW0+NTAxNjwvUmVjTnVtPjxyZWNvcmQ+PHJlYy1udW1iZXI+NTAxNjwv
cmVjLW51bWJlcj48Zm9yZWlnbi1rZXlzPjxrZXkgYXBwPSJFTiIgZGItaWQ9IjUwd3hkcHpkOXZk
NXI3ZTl0NWI1OTVkanJmcHR0cnh3OWF2cCIgdGltZXN0YW1wPSIxNjUxMTU4NjkzIj41MDE2PC9r
ZXk+PC9mb3JlaWduLWtleXM+PHJlZi10eXBlIG5hbWU9IkpvdXJuYWwgQXJ0aWNsZSI+MTc8L3Jl
Zi10eXBlPjxjb250cmlidXRvcnM+PGF1dGhvcnM+PGF1dGhvcj5DaXZpZXJvLCBDaGlhcmE8L2F1
dGhvcj48YXV0aG9yPkdvZXMsIFNhc2tpYTwvYXV0aG9yPjxhdXRob3I+SGFtbW9uZCwgSmFtZXMg
T1M8L2F1dGhvcj48YXV0aG9yPkZpc2h3aWNrLCBTdGV3YXJ0PC9hdXRob3I+PGF1dGhvcj5BaG1l
ZCwgQWJkdWxoYWtpbTwvYXV0aG9yPjxhdXRob3I+QXllbGUsIEF0YWxheTwvYXV0aG9yPjxhdXRo
b3I+RG91YnJlLCBDZWNpbGU8L2F1dGhvcj48YXV0aG9yPkdvaXRvbSwgQmVyaGU8L2F1dGhvcj48
YXV0aG9yPktlaXIsIERlcmVrPC9hdXRob3I+PGF1dGhvcj5LZW5kYWxsLCBKIE1pY2hhZWw8L2F1
dGhvcj48L2F1dGhvcnM+PC9jb250cmlidXRvcnM+PHRpdGxlcz48dGl0bGU+U21hbGzigJBzY2Fs
ZSB0aGVybWFsIHVwd2VsbGluZ3MgdW5kZXIgdGhlIG5vcnRoZXJuIEVhc3QgQWZyaWNhbiBSaWZ0
IGZyb20gUyB0cmF2ZWwgdGltZSB0b21vZ3JhcGh5PC90aXRsZT48c2Vjb25kYXJ5LXRpdGxlPkpv
dXJuYWwgb2YgR2VvcGh5c2ljYWwgUmVzZWFyY2g6IFNvbGlkIEVhcnRoPC9zZWNvbmRhcnktdGl0
bGU+PC90aXRsZXM+PHBlcmlvZGljYWw+PGZ1bGwtdGl0bGU+Sm91cm5hbCBvZiBHZW9waHlzaWNh
bCBSZXNlYXJjaDogU29saWQgRWFydGg8L2Z1bGwtdGl0bGU+PC9wZXJpb2RpY2FsPjxwYWdlcz43
Mzk1LTc0MDg8L3BhZ2VzPjx2b2x1bWU+MTIxPC92b2x1bWU+PG51bWJlcj4xMDwvbnVtYmVyPjxk
YXRlcz48eWVhcj4yMDE2PC95ZWFyPjwvZGF0ZXM+PGlzYm4+MjE2OS05MzEzPC9pc2JuPjx1cmxz
PjwvdXJscz48ZWxlY3Ryb25pYy1yZXNvdXJjZS1udW0+MTAuMTAwMi8yMDE2SkIwMTMwNzAuPC9l
bGVjdHJvbmljLXJlc291cmNlLW51bT48L3JlY29yZD48L0NpdGU+PENpdGUgSGlkZGVuPSIxIj48
QXV0aG9yPkNpdmllcm88L0F1dGhvcj48WWVhcj4yMDE1PC9ZZWFyPjxSZWNOdW0+NDkzNjwvUmVj
TnVtPjxyZWNvcmQ+PHJlYy1udW1iZXI+NDkzNjwvcmVjLW51bWJlcj48Zm9yZWlnbi1rZXlzPjxr
ZXkgYXBwPSJFTiIgZGItaWQ9IjUwd3hkcHpkOXZkNXI3ZTl0NWI1OTVkanJmcHR0cnh3OWF2cCIg
dGltZXN0YW1wPSIxNjQ3Njg4NTk5Ij40OTM2PC9rZXk+PC9mb3JlaWduLWtleXM+PHJlZi10eXBl
IG5hbWU9IkpvdXJuYWwgQXJ0aWNsZSI+MTc8L3JlZi10eXBlPjxjb250cmlidXRvcnM+PGF1dGhv
cnM+PGF1dGhvcj5DaXZpZXJvLCBDaGlhcmE8L2F1dGhvcj48YXV0aG9yPkhhbW1vbmQsIEphbWVz
IE9TPC9hdXRob3I+PGF1dGhvcj5Hb2VzLCBTYXNraWE8L2F1dGhvcj48YXV0aG9yPkZpc2h3aWNr
LCBTdGV3YXJ0PC9hdXRob3I+PGF1dGhvcj5BaG1lZCwgQWJkdWxoYWtpbTwvYXV0aG9yPjxhdXRo
b3I+QXllbGUsIEF0YWxheTwvYXV0aG9yPjxhdXRob3I+RG91YnJlLCBDZWNpbGU8L2F1dGhvcj48
YXV0aG9yPkdvaXRvbSwgQmVyaGU8L2F1dGhvcj48YXV0aG9yPktlaXIsIERlcmVrPC9hdXRob3I+
PGF1dGhvcj5LZW5kYWxsLCBK4oCQTWljaGFlbDwvYXV0aG9yPjwvYXV0aG9ycz48L2NvbnRyaWJ1
dG9ycz48dGl0bGVzPjx0aXRsZT5NdWx0aXBsZSBtYW50bGUgdXB3ZWxsaW5ncyBpbiB0aGUgdHJh
bnNpdGlvbiB6b25lIGJlbmVhdGggdGhlIG5vcnRoZXJuIEUgYXN04oCQQSBmcmljYW4gUiBpZnQg
c3lzdGVtIGZyb20gcmVsYXRpdmUgUOKAkHdhdmUgdHJhdmVs4oCQdGltZSB0b21vZ3JhcGh5PC90
aXRsZT48c2Vjb25kYXJ5LXRpdGxlPkdlb2NoZW1pc3RyeSwgR2VvcGh5c2ljcywgR2Vvc3lzdGVt
czwvc2Vjb25kYXJ5LXRpdGxlPjwvdGl0bGVzPjxwZXJpb2RpY2FsPjxmdWxsLXRpdGxlPkdlb2No
ZW1pc3RyeSwgR2VvcGh5c2ljcywgR2Vvc3lzdGVtczwvZnVsbC10aXRsZT48L3BlcmlvZGljYWw+
PHBhZ2VzPjI5NDktMjk2ODwvcGFnZXM+PHZvbHVtZT4xNjwvdm9sdW1lPjxudW1iZXI+OTwvbnVt
YmVyPjxkYXRlcz48eWVhcj4yMDE1PC95ZWFyPjwvZGF0ZXM+PGlzYm4+MTUyNS0yMDI3PC9pc2Ju
Pjx1cmxzPjwvdXJscz48ZWxlY3Ryb25pYy1yZXNvdXJjZS1udW0+MTAuMTAwMi8yMDE1R0MwMDU5
NDguPC9lbGVjdHJvbmljLXJlc291cmNlLW51bT48L3JlY29yZD48L0NpdGU+PC9FbmROb3RlPn==
</w:fldData>
        </w:fldChar>
      </w:r>
      <w:r w:rsidR="00997394">
        <w:rPr>
          <w:rFonts w:cs="Times New Roman"/>
          <w:color w:val="0000FF"/>
          <w:szCs w:val="24"/>
        </w:rPr>
        <w:instrText xml:space="preserve"> ADDIN EN.CITE.DATA </w:instrText>
      </w:r>
      <w:r w:rsidR="00997394">
        <w:rPr>
          <w:rFonts w:cs="Times New Roman"/>
          <w:color w:val="0000FF"/>
          <w:szCs w:val="24"/>
        </w:rPr>
      </w:r>
      <w:r w:rsidR="00997394">
        <w:rPr>
          <w:rFonts w:cs="Times New Roman"/>
          <w:color w:val="0000FF"/>
          <w:szCs w:val="24"/>
        </w:rPr>
        <w:fldChar w:fldCharType="end"/>
      </w:r>
      <w:r w:rsidR="00997394">
        <w:rPr>
          <w:rFonts w:cs="Times New Roman"/>
          <w:color w:val="0000FF"/>
          <w:szCs w:val="24"/>
        </w:rPr>
      </w:r>
      <w:r w:rsidR="00997394">
        <w:rPr>
          <w:rFonts w:cs="Times New Roman"/>
          <w:color w:val="0000FF"/>
          <w:szCs w:val="24"/>
        </w:rPr>
        <w:fldChar w:fldCharType="end"/>
      </w:r>
      <w:r w:rsidR="00997394" w:rsidRPr="004D4245">
        <w:rPr>
          <w:rFonts w:cs="Times New Roman"/>
          <w:szCs w:val="24"/>
        </w:rPr>
        <w:t>)</w:t>
      </w:r>
      <w:r w:rsidR="00997394" w:rsidRPr="00997394">
        <w:t xml:space="preserve"> </w:t>
      </w:r>
      <w:r w:rsidR="00615AC4" w:rsidRPr="00615AC4">
        <w:rPr>
          <w:rFonts w:cs="Times New Roman"/>
          <w:szCs w:val="24"/>
        </w:rPr>
        <w:t xml:space="preserve">and intense volcanism, phenomena often linked to </w:t>
      </w:r>
      <w:r w:rsidR="00982674" w:rsidRPr="00982674">
        <w:rPr>
          <w:rFonts w:cs="Times New Roman"/>
          <w:szCs w:val="24"/>
        </w:rPr>
        <w:t>hot mantle upwelling</w:t>
      </w:r>
      <w:r w:rsidR="002B2976" w:rsidRPr="002B2976">
        <w:rPr>
          <w:rFonts w:cs="Times New Roman"/>
          <w:szCs w:val="24"/>
        </w:rPr>
        <w:t>—a process capable of triggering volcanism even at distances removed from active plate boundaries</w:t>
      </w:r>
      <w:r w:rsidR="00E666AB">
        <w:rPr>
          <w:rFonts w:cs="Times New Roman"/>
          <w:szCs w:val="24"/>
        </w:rPr>
        <w:t xml:space="preserve"> </w:t>
      </w:r>
      <w:r w:rsidR="00982674" w:rsidRPr="00556243">
        <w:rPr>
          <w:rFonts w:cs="Times New Roman"/>
          <w:szCs w:val="24"/>
        </w:rPr>
        <w:t>(</w:t>
      </w:r>
      <w:r w:rsidR="00982674" w:rsidRPr="00086116">
        <w:rPr>
          <w:rFonts w:cs="Times New Roman"/>
          <w:color w:val="0000FF"/>
          <w:szCs w:val="24"/>
        </w:rPr>
        <w:t>Morgan,</w:t>
      </w:r>
      <w:r w:rsidR="00982674">
        <w:rPr>
          <w:rFonts w:cs="Times New Roman"/>
          <w:color w:val="0000FF"/>
          <w:szCs w:val="24"/>
        </w:rPr>
        <w:fldChar w:fldCharType="begin"/>
      </w:r>
      <w:r w:rsidR="00982674">
        <w:rPr>
          <w:rFonts w:cs="Times New Roman"/>
          <w:color w:val="0000FF"/>
          <w:szCs w:val="24"/>
        </w:rPr>
        <w:instrText xml:space="preserve"> ADDIN EN.CITE &lt;EndNote&gt;&lt;Cite Hidden="1"&gt;&lt;Author&gt;Morgan&lt;/Author&gt;&lt;Year&gt;1971&lt;/Year&gt;&lt;RecNum&gt;5018&lt;/RecNum&gt;&lt;record&gt;&lt;rec-number&gt;5018&lt;/rec-number&gt;&lt;foreign-keys&gt;&lt;key app="EN" db-id="50wxdpzd9vd5r7e9t5b595djrfpttrxw9avp" timestamp="1651179315"&gt;5018&lt;/key&gt;&lt;/foreign-keys&gt;&lt;ref-type name="Journal Article"&gt;17&lt;/ref-type&gt;&lt;contributors&gt;&lt;authors&gt;&lt;author&gt;Morgan, W Jason&lt;/author&gt;&lt;/authors&gt;&lt;/contributors&gt;&lt;titles&gt;&lt;title&gt;Convection plumes in the lower mantle&lt;/title&gt;&lt;secondary-title&gt;Nature&lt;/secondary-title&gt;&lt;/titles&gt;&lt;periodical&gt;&lt;full-title&gt;Nature&lt;/full-title&gt;&lt;/periodical&gt;&lt;pages&gt;42-43&lt;/pages&gt;&lt;volume&gt;230&lt;/volume&gt;&lt;number&gt;5288&lt;/number&gt;&lt;dates&gt;&lt;year&gt;1971&lt;/year&gt;&lt;/dates&gt;&lt;isbn&gt;1476-4687&lt;/isbn&gt;&lt;urls&gt;&lt;/urls&gt;&lt;/record&gt;&lt;/Cite&gt;&lt;/EndNote&gt;</w:instrText>
      </w:r>
      <w:r w:rsidR="00982674">
        <w:rPr>
          <w:rFonts w:cs="Times New Roman"/>
          <w:color w:val="0000FF"/>
          <w:szCs w:val="24"/>
        </w:rPr>
        <w:fldChar w:fldCharType="end"/>
      </w:r>
      <w:r w:rsidR="00982674" w:rsidRPr="00086116">
        <w:rPr>
          <w:rFonts w:cs="Times New Roman"/>
          <w:color w:val="0000FF"/>
          <w:szCs w:val="24"/>
        </w:rPr>
        <w:t xml:space="preserve"> 1971</w:t>
      </w:r>
      <w:r w:rsidR="00982674" w:rsidRPr="00556243">
        <w:rPr>
          <w:rFonts w:cs="Times New Roman"/>
          <w:szCs w:val="24"/>
        </w:rPr>
        <w:t>).</w:t>
      </w:r>
      <w:r w:rsidR="00C06510">
        <w:rPr>
          <w:rFonts w:cs="Times New Roman"/>
          <w:szCs w:val="24"/>
        </w:rPr>
        <w:t xml:space="preserve"> </w:t>
      </w:r>
      <w:r w:rsidR="002B2976" w:rsidRPr="002B2976">
        <w:rPr>
          <w:rFonts w:cs="Times New Roman"/>
          <w:szCs w:val="24"/>
        </w:rPr>
        <w:t xml:space="preserve">A key element in this tectonic setting is the African Superplume, a Large Low Shear Velocity Province anchored at the core-mantle boundary beneath southern Africa </w:t>
      </w:r>
      <w:r w:rsidR="00B34617" w:rsidRPr="00B34617">
        <w:rPr>
          <w:rFonts w:cs="Times New Roman"/>
          <w:szCs w:val="24"/>
        </w:rPr>
        <w:t>(</w:t>
      </w:r>
      <w:r w:rsidR="00B34617" w:rsidRPr="00B34617">
        <w:rPr>
          <w:rFonts w:cs="Times New Roman"/>
          <w:color w:val="0000FF"/>
          <w:szCs w:val="24"/>
        </w:rPr>
        <w:t>Yuan and Li, 2020</w:t>
      </w:r>
      <w:r w:rsidR="00B34617" w:rsidRPr="00B34617">
        <w:rPr>
          <w:rFonts w:cs="Times New Roman"/>
          <w:szCs w:val="24"/>
        </w:rPr>
        <w:t>)</w:t>
      </w:r>
      <w:r w:rsidR="00216DDD">
        <w:rPr>
          <w:rFonts w:cs="Times New Roman"/>
          <w:szCs w:val="24"/>
        </w:rPr>
        <w:t xml:space="preserve">. </w:t>
      </w:r>
      <w:r w:rsidR="0054303A">
        <w:rPr>
          <w:rFonts w:cs="Times New Roman"/>
          <w:szCs w:val="24"/>
        </w:rPr>
        <w:t>E</w:t>
      </w:r>
      <w:r w:rsidR="00216DDD" w:rsidRPr="00216DDD">
        <w:rPr>
          <w:rFonts w:cs="Times New Roman"/>
          <w:szCs w:val="24"/>
        </w:rPr>
        <w:t>vidence suggests that this superplume has ascended toward the lithospheric base beneath regions including Ethiopia, the Gulf of Aden, the Red Sea, and Arabia</w:t>
      </w:r>
      <w:r w:rsidR="00676E39">
        <w:rPr>
          <w:rFonts w:cs="Times New Roman"/>
          <w:szCs w:val="24"/>
        </w:rPr>
        <w:t xml:space="preserve"> </w:t>
      </w:r>
      <w:r w:rsidR="00676E39" w:rsidRPr="00CC5851">
        <w:rPr>
          <w:rFonts w:cs="Times New Roman"/>
          <w:szCs w:val="24"/>
        </w:rPr>
        <w:t>(</w:t>
      </w:r>
      <w:r w:rsidR="00676E39" w:rsidRPr="008821DE">
        <w:rPr>
          <w:rFonts w:cs="Times New Roman"/>
          <w:color w:val="0000FF"/>
          <w:szCs w:val="24"/>
        </w:rPr>
        <w:t xml:space="preserve">Schilling, </w:t>
      </w:r>
      <w:r w:rsidR="00676E39">
        <w:rPr>
          <w:rFonts w:cs="Times New Roman"/>
          <w:color w:val="0000FF"/>
          <w:szCs w:val="24"/>
        </w:rPr>
        <w:fldChar w:fldCharType="begin"/>
      </w:r>
      <w:r w:rsidR="00676E39">
        <w:rPr>
          <w:rFonts w:cs="Times New Roman"/>
          <w:color w:val="0000FF"/>
          <w:szCs w:val="24"/>
        </w:rPr>
        <w:instrText xml:space="preserve"> ADDIN EN.CITE &lt;EndNote&gt;&lt;Cite Hidden="1"&gt;&lt;Author&gt;Schilling&lt;/Author&gt;&lt;Year&gt;1973&lt;/Year&gt;&lt;RecNum&gt;5023&lt;/RecNum&gt;&lt;record&gt;&lt;rec-number&gt;5023&lt;/rec-number&gt;&lt;foreign-keys&gt;&lt;key app="EN" db-id="50wxdpzd9vd5r7e9t5b595djrfpttrxw9avp" timestamp="1651231973"&gt;5023&lt;/key&gt;&lt;/foreign-keys&gt;&lt;ref-type name="Journal Article"&gt;17&lt;/ref-type&gt;&lt;contributors&gt;&lt;authors&gt;&lt;author&gt;Schilling, JG&lt;/author&gt;&lt;/authors&gt;&lt;/contributors&gt;&lt;titles&gt;&lt;title&gt;Afar mantle plume: rare earth evidence&lt;/title&gt;&lt;secondary-title&gt;Nature Physical Science&lt;/secondary-title&gt;&lt;/titles&gt;&lt;periodical&gt;&lt;full-title&gt;Nature Physical Science&lt;/full-title&gt;&lt;/periodical&gt;&lt;pages&gt;2-5&lt;/pages&gt;&lt;volume&gt;242&lt;/volume&gt;&lt;number&gt;114&lt;/number&gt;&lt;dates&gt;&lt;year&gt;1973&lt;/year&gt;&lt;/dates&gt;&lt;isbn&gt;2058-1106&lt;/isbn&gt;&lt;urls&gt;&lt;/urls&gt;&lt;/record&gt;&lt;/Cite&gt;&lt;/EndNote&gt;</w:instrText>
      </w:r>
      <w:r w:rsidR="00676E39">
        <w:rPr>
          <w:rFonts w:cs="Times New Roman"/>
          <w:color w:val="0000FF"/>
          <w:szCs w:val="24"/>
        </w:rPr>
        <w:fldChar w:fldCharType="end"/>
      </w:r>
      <w:r w:rsidR="00676E39" w:rsidRPr="008821DE">
        <w:rPr>
          <w:rFonts w:cs="Times New Roman"/>
          <w:color w:val="0000FF"/>
          <w:szCs w:val="24"/>
        </w:rPr>
        <w:t xml:space="preserve">1973; </w:t>
      </w:r>
      <w:r w:rsidR="00676E39" w:rsidRPr="00624FA8">
        <w:rPr>
          <w:rFonts w:cs="Times New Roman"/>
          <w:color w:val="0000FF"/>
          <w:szCs w:val="24"/>
        </w:rPr>
        <w:t xml:space="preserve">Li </w:t>
      </w:r>
      <w:r w:rsidR="00676E39" w:rsidRPr="00D40E76">
        <w:rPr>
          <w:rFonts w:cs="Times New Roman"/>
          <w:i/>
          <w:iCs/>
          <w:color w:val="0000FF"/>
          <w:szCs w:val="24"/>
        </w:rPr>
        <w:t>et al.,</w:t>
      </w:r>
      <w:r w:rsidR="00676E39" w:rsidRPr="00624FA8">
        <w:rPr>
          <w:rFonts w:cs="Times New Roman"/>
          <w:color w:val="0000FF"/>
          <w:szCs w:val="24"/>
        </w:rPr>
        <w:t xml:space="preserve"> </w:t>
      </w:r>
      <w:r w:rsidR="00676E39">
        <w:rPr>
          <w:rFonts w:cs="Times New Roman"/>
          <w:color w:val="0000FF"/>
          <w:szCs w:val="24"/>
        </w:rPr>
        <w:fldChar w:fldCharType="begin"/>
      </w:r>
      <w:r w:rsidR="00676E39">
        <w:rPr>
          <w:rFonts w:cs="Times New Roman"/>
          <w:color w:val="0000FF"/>
          <w:szCs w:val="24"/>
        </w:rPr>
        <w:instrText xml:space="preserve"> ADDIN EN.CITE &lt;EndNote&gt;&lt;Cite Hidden="1"&gt;&lt;Author&gt;Li&lt;/Author&gt;&lt;Year&gt;2008&lt;/Year&gt;&lt;RecNum&gt;4984&lt;/RecNum&gt;&lt;record&gt;&lt;rec-number&gt;4984&lt;/rec-number&gt;&lt;foreign-keys&gt;&lt;key app="EN" db-id="50wxdpzd9vd5r7e9t5b595djrfpttrxw9avp" timestamp="1649052148"&gt;4984&lt;/key&gt;&lt;/foreign-keys&gt;&lt;ref-type name="Journal Article"&gt;17&lt;/ref-type&gt;&lt;contributors&gt;&lt;authors&gt;&lt;author&gt;Li, Chang&lt;/author&gt;&lt;author&gt;van der Hilst, Robert D&lt;/author&gt;&lt;author&gt;Engdahl, E Robert&lt;/author&gt;&lt;author&gt;Burdick, Scott&lt;/author&gt;&lt;/authors&gt;&lt;/contributors&gt;&lt;titles&gt;&lt;title&gt;A new global model for P wave speed variations in Earth&amp;apos;s mantle&lt;/title&gt;&lt;secondary-title&gt;Geochemistry, Geophysics, Geosystems&lt;/secondary-title&gt;&lt;/titles&gt;&lt;periodical&gt;&lt;full-title&gt;Geochemistry, Geophysics, Geosystems&lt;/full-title&gt;&lt;/periodical&gt;&lt;volume&gt;9&lt;/volume&gt;&lt;number&gt;5&lt;/number&gt;&lt;dates&gt;&lt;year&gt;2008&lt;/year&gt;&lt;/dates&gt;&lt;isbn&gt;1525-2027&lt;/isbn&gt;&lt;urls&gt;&lt;/urls&gt;&lt;electronic-resource-num&gt;10.1029/2007GC001806.&lt;/electronic-resource-num&gt;&lt;/record&gt;&lt;/Cite&gt;&lt;/EndNote&gt;</w:instrText>
      </w:r>
      <w:r w:rsidR="00676E39">
        <w:rPr>
          <w:rFonts w:cs="Times New Roman"/>
          <w:color w:val="0000FF"/>
          <w:szCs w:val="24"/>
        </w:rPr>
        <w:fldChar w:fldCharType="end"/>
      </w:r>
      <w:r w:rsidR="00676E39" w:rsidRPr="00624FA8">
        <w:rPr>
          <w:rFonts w:cs="Times New Roman"/>
          <w:color w:val="0000FF"/>
          <w:szCs w:val="24"/>
        </w:rPr>
        <w:t>2008</w:t>
      </w:r>
      <w:r w:rsidR="00676E39">
        <w:rPr>
          <w:rFonts w:cs="Times New Roman"/>
          <w:color w:val="0000FF"/>
          <w:szCs w:val="24"/>
        </w:rPr>
        <w:t>;</w:t>
      </w:r>
      <w:r w:rsidR="00676E39" w:rsidRPr="002F6C2D">
        <w:rPr>
          <w:rFonts w:cs="Times New Roman"/>
          <w:color w:val="0000FF"/>
          <w:szCs w:val="24"/>
        </w:rPr>
        <w:t xml:space="preserve"> </w:t>
      </w:r>
      <w:proofErr w:type="spellStart"/>
      <w:r w:rsidR="00676E39" w:rsidRPr="003D0972">
        <w:rPr>
          <w:rFonts w:cs="Times New Roman"/>
          <w:color w:val="0000FF"/>
          <w:szCs w:val="24"/>
        </w:rPr>
        <w:t>Mulibo</w:t>
      </w:r>
      <w:proofErr w:type="spellEnd"/>
      <w:r w:rsidR="00676E39" w:rsidRPr="003D0972">
        <w:rPr>
          <w:rFonts w:cs="Times New Roman"/>
          <w:color w:val="0000FF"/>
          <w:szCs w:val="24"/>
        </w:rPr>
        <w:t xml:space="preserve"> and Nyblade, </w:t>
      </w:r>
      <w:r w:rsidR="00676E39">
        <w:rPr>
          <w:rFonts w:cs="Times New Roman"/>
          <w:color w:val="0000FF"/>
          <w:szCs w:val="24"/>
        </w:rPr>
        <w:fldChar w:fldCharType="begin"/>
      </w:r>
      <w:r w:rsidR="00676E39">
        <w:rPr>
          <w:rFonts w:cs="Times New Roman"/>
          <w:color w:val="0000FF"/>
          <w:szCs w:val="24"/>
        </w:rPr>
        <w:instrText xml:space="preserve"> ADDIN EN.CITE &lt;EndNote&gt;&lt;Cite Hidden="1"&gt;&lt;Author&gt;Mulibo&lt;/Author&gt;&lt;Year&gt;2013&lt;/Year&gt;&lt;RecNum&gt;5022&lt;/RecNum&gt;&lt;record&gt;&lt;rec-number&gt;5022&lt;/rec-number&gt;&lt;foreign-keys&gt;&lt;key app="EN" db-id="50wxdpzd9vd5r7e9t5b595djrfpttrxw9avp" timestamp="1651219696"&gt;5022&lt;/key&gt;&lt;/foreign-keys&gt;&lt;ref-type name="Journal Article"&gt;17&lt;/ref-type&gt;&lt;contributors&gt;&lt;authors&gt;&lt;author&gt;Mulibo, Gabriel D&lt;/author&gt;&lt;author&gt;Nyblade, Andrew A&lt;/author&gt;&lt;/authors&gt;&lt;/contributors&gt;&lt;titles&gt;&lt;title&gt;The P and S wave velocity structure of the mantle beneath eastern Africa and the African superplume anomaly&lt;/title&gt;&lt;secondary-title&gt;Geochemistry, Geophysics, Geosystems&lt;/secondary-title&gt;&lt;/titles&gt;&lt;periodical&gt;&lt;full-title&gt;Geochemistry, Geophysics, Geosystems&lt;/full-title&gt;&lt;/periodical&gt;&lt;pages&gt;2696-2715&lt;/pages&gt;&lt;volume&gt;14&lt;/volume&gt;&lt;number&gt;8&lt;/number&gt;&lt;dates&gt;&lt;year&gt;2013&lt;/year&gt;&lt;/dates&gt;&lt;isbn&gt;1525-2027&lt;/isbn&gt;&lt;urls&gt;&lt;/urls&gt;&lt;electronic-resource-num&gt;10.1002/ggge.20150.&lt;/electronic-resource-num&gt;&lt;/record&gt;&lt;/Cite&gt;&lt;/EndNote&gt;</w:instrText>
      </w:r>
      <w:r w:rsidR="00676E39">
        <w:rPr>
          <w:rFonts w:cs="Times New Roman"/>
          <w:color w:val="0000FF"/>
          <w:szCs w:val="24"/>
        </w:rPr>
        <w:fldChar w:fldCharType="end"/>
      </w:r>
      <w:r w:rsidR="00676E39" w:rsidRPr="003D0972">
        <w:rPr>
          <w:rFonts w:cs="Times New Roman"/>
          <w:color w:val="0000FF"/>
          <w:szCs w:val="24"/>
        </w:rPr>
        <w:t>201</w:t>
      </w:r>
      <w:r w:rsidR="00676E39">
        <w:rPr>
          <w:rFonts w:cs="Times New Roman"/>
          <w:color w:val="0000FF"/>
          <w:szCs w:val="24"/>
        </w:rPr>
        <w:t>3</w:t>
      </w:r>
      <w:r w:rsidR="00676E39" w:rsidRPr="004D4245">
        <w:rPr>
          <w:rFonts w:cs="Times New Roman"/>
          <w:color w:val="0000FF"/>
          <w:szCs w:val="24"/>
        </w:rPr>
        <w:t>;</w:t>
      </w:r>
      <w:r w:rsidR="00676E39">
        <w:rPr>
          <w:rFonts w:cs="Times New Roman"/>
          <w:color w:val="0000FF"/>
          <w:szCs w:val="24"/>
        </w:rPr>
        <w:t xml:space="preserve"> </w:t>
      </w:r>
      <w:r w:rsidR="00676E39" w:rsidRPr="004D4245">
        <w:rPr>
          <w:rFonts w:cs="Times New Roman"/>
          <w:color w:val="0000FF"/>
          <w:szCs w:val="24"/>
        </w:rPr>
        <w:t xml:space="preserve">Lim </w:t>
      </w:r>
      <w:r w:rsidR="00676E39" w:rsidRPr="004D4245">
        <w:rPr>
          <w:rFonts w:cs="Times New Roman"/>
          <w:i/>
          <w:iCs/>
          <w:color w:val="0000FF"/>
          <w:szCs w:val="24"/>
        </w:rPr>
        <w:t>et al.,</w:t>
      </w:r>
      <w:r w:rsidR="00676E39" w:rsidRPr="004D4245">
        <w:rPr>
          <w:rFonts w:cs="Times New Roman"/>
          <w:color w:val="0000FF"/>
          <w:szCs w:val="24"/>
        </w:rPr>
        <w:t xml:space="preserve"> </w:t>
      </w:r>
      <w:r w:rsidR="00676E39">
        <w:rPr>
          <w:rFonts w:cs="Times New Roman"/>
          <w:color w:val="0000FF"/>
          <w:szCs w:val="24"/>
        </w:rPr>
        <w:fldChar w:fldCharType="begin"/>
      </w:r>
      <w:r w:rsidR="00676E39">
        <w:rPr>
          <w:rFonts w:cs="Times New Roman"/>
          <w:color w:val="0000FF"/>
          <w:szCs w:val="24"/>
        </w:rPr>
        <w:instrText xml:space="preserve"> ADDIN EN.CITE &lt;EndNote&gt;&lt;Cite Hidden="1"&gt;&lt;Author&gt;Lim&lt;/Author&gt;&lt;Year&gt;2020&lt;/Year&gt;&lt;RecNum&gt;4958&lt;/RecNum&gt;&lt;record&gt;&lt;rec-number&gt;4958&lt;/rec-number&gt;&lt;foreign-keys&gt;&lt;key app="EN" db-id="50wxdpzd9vd5r7e9t5b595djrfpttrxw9avp" timestamp="1648147842"&gt;4958&lt;/key&gt;&lt;/foreign-keys&gt;&lt;ref-type name="Journal Article"&gt;17&lt;/ref-type&gt;&lt;contributors&gt;&lt;authors&gt;&lt;author&gt;Lim, Jung‐A&lt;/author&gt;&lt;author&gt;Chang, Sung‐Joon&lt;/author&gt;&lt;author&gt;Mai, P Martin&lt;/author&gt;&lt;author&gt;Zahran, Hani&lt;/author&gt;&lt;/authors&gt;&lt;/contributors&gt;&lt;titles&gt;&lt;title&gt;Asthenospheric flow of plume material beneath Arabia inferred from S wave traveltime tomography&lt;/title&gt;&lt;secondary-title&gt;Journal of Geophysical Research: Solid Earth&lt;/secondary-title&gt;&lt;/titles&gt;&lt;periodical&gt;&lt;full-title&gt;Journal of Geophysical Research: Solid Earth&lt;/full-title&gt;&lt;/periodical&gt;&lt;pages&gt;1-18&lt;/pages&gt;&lt;volume&gt;125&lt;/volume&gt;&lt;number&gt;8&lt;/number&gt;&lt;dates&gt;&lt;year&gt;2020&lt;/year&gt;&lt;/dates&gt;&lt;isbn&gt;2169-9313&lt;/isbn&gt;&lt;urls&gt;&lt;/urls&gt;&lt;electronic-resource-num&gt;10.1029/2020JB019668.&lt;/electronic-resource-num&gt;&lt;/record&gt;&lt;/Cite&gt;&lt;/EndNote&gt;</w:instrText>
      </w:r>
      <w:r w:rsidR="00676E39">
        <w:rPr>
          <w:rFonts w:cs="Times New Roman"/>
          <w:color w:val="0000FF"/>
          <w:szCs w:val="24"/>
        </w:rPr>
        <w:fldChar w:fldCharType="end"/>
      </w:r>
      <w:r w:rsidR="00676E39" w:rsidRPr="004D4245">
        <w:rPr>
          <w:rFonts w:cs="Times New Roman"/>
          <w:color w:val="0000FF"/>
          <w:szCs w:val="24"/>
        </w:rPr>
        <w:t>2020</w:t>
      </w:r>
      <w:r w:rsidR="00676E39" w:rsidRPr="00CC5851">
        <w:rPr>
          <w:rFonts w:cs="Times New Roman"/>
          <w:szCs w:val="24"/>
        </w:rPr>
        <w:t>)</w:t>
      </w:r>
      <w:r w:rsidR="00676E39">
        <w:rPr>
          <w:rFonts w:cs="Times New Roman"/>
          <w:szCs w:val="24"/>
        </w:rPr>
        <w:t>.</w:t>
      </w:r>
      <w:r w:rsidR="002E66E5">
        <w:rPr>
          <w:rFonts w:cs="Times New Roman"/>
          <w:szCs w:val="24"/>
        </w:rPr>
        <w:t xml:space="preserve"> </w:t>
      </w:r>
      <w:r w:rsidR="00E5496B" w:rsidRPr="00E5496B">
        <w:rPr>
          <w:rFonts w:cs="Times New Roman"/>
          <w:szCs w:val="24"/>
        </w:rPr>
        <w:t>Notably, the uplift of the Ethiopian Plateau, averaging around 2.5 km in elevation, is likely a surface expression of this mantle upwelling, while the extensive volcanism observed across the EAR and adjacent plateau</w:t>
      </w:r>
      <w:r w:rsidR="00BB115E">
        <w:rPr>
          <w:rFonts w:cs="Times New Roman"/>
          <w:szCs w:val="24"/>
        </w:rPr>
        <w:t>x</w:t>
      </w:r>
      <w:r w:rsidR="00E5496B" w:rsidRPr="00E5496B">
        <w:rPr>
          <w:rFonts w:cs="Times New Roman"/>
          <w:szCs w:val="24"/>
        </w:rPr>
        <w:t xml:space="preserve"> underscores the dynamic influence of mantle processes on surface tectonics</w:t>
      </w:r>
      <w:r w:rsidR="00311127">
        <w:rPr>
          <w:rFonts w:cs="Times New Roman"/>
          <w:szCs w:val="24"/>
        </w:rPr>
        <w:t xml:space="preserve"> </w:t>
      </w:r>
      <w:r w:rsidR="00311127" w:rsidRPr="00E03612">
        <w:rPr>
          <w:rFonts w:cs="Times New Roman"/>
          <w:szCs w:val="24"/>
        </w:rPr>
        <w:t>(</w:t>
      </w:r>
      <w:r w:rsidR="00311127" w:rsidRPr="00775871">
        <w:rPr>
          <w:rFonts w:cs="Times New Roman"/>
          <w:color w:val="0000FF"/>
          <w:szCs w:val="24"/>
        </w:rPr>
        <w:t xml:space="preserve">Keranen </w:t>
      </w:r>
      <w:r w:rsidR="00311127" w:rsidRPr="00775871">
        <w:rPr>
          <w:rFonts w:cs="Times New Roman"/>
          <w:i/>
          <w:iCs/>
          <w:color w:val="0000FF"/>
          <w:szCs w:val="24"/>
        </w:rPr>
        <w:t>et al.,</w:t>
      </w:r>
      <w:r w:rsidR="00311127" w:rsidRPr="00775871">
        <w:rPr>
          <w:rFonts w:cs="Times New Roman"/>
          <w:color w:val="0000FF"/>
          <w:szCs w:val="24"/>
        </w:rPr>
        <w:t xml:space="preserve"> 2009</w:t>
      </w:r>
      <w:r w:rsidR="00311127" w:rsidRPr="00E03612">
        <w:rPr>
          <w:rFonts w:cs="Times New Roman"/>
          <w:szCs w:val="24"/>
        </w:rPr>
        <w:t>)</w:t>
      </w:r>
      <w:r w:rsidR="00311127">
        <w:rPr>
          <w:rFonts w:cs="Times New Roman"/>
          <w:szCs w:val="24"/>
        </w:rPr>
        <w:fldChar w:fldCharType="begin"/>
      </w:r>
      <w:r w:rsidR="00311127">
        <w:rPr>
          <w:rFonts w:cs="Times New Roman"/>
          <w:szCs w:val="24"/>
        </w:rPr>
        <w:instrText xml:space="preserve"> ADDIN EN.CITE &lt;EndNote&gt;&lt;Cite Hidden="1"&gt;&lt;Author&gt;Keranen&lt;/Author&gt;&lt;Year&gt;2009&lt;/Year&gt;&lt;RecNum&gt;4968&lt;/RecNum&gt;&lt;record&gt;&lt;rec-number&gt;4968&lt;/rec-number&gt;&lt;foreign-keys&gt;&lt;key app="EN" db-id="50wxdpzd9vd5r7e9t5b595djrfpttrxw9avp" timestamp="1648205125"&gt;4968&lt;/key&gt;&lt;/foreign-keys&gt;&lt;ref-type name="Journal Article"&gt;17&lt;/ref-type&gt;&lt;contributors&gt;&lt;authors&gt;&lt;author&gt;Keranen, Katie M&lt;/author&gt;&lt;author&gt;Klemperer, Simon L&lt;/author&gt;&lt;author&gt;Julia, Jordi&lt;/author&gt;&lt;author&gt;Lawrence, Jesse F&lt;/author&gt;&lt;author&gt;Nyblade, Andy A&lt;/author&gt;&lt;/authors&gt;&lt;/contributors&gt;&lt;titles&gt;&lt;title&gt;Low lower crustal velocity across Ethiopia: Is the Main Ethiopian Rift a narrow rift in a hot craton?&lt;/title&gt;&lt;secondary-title&gt;Geochemistry, Geophysics, Geosystems&lt;/secondary-title&gt;&lt;/titles&gt;&lt;periodical&gt;&lt;full-title&gt;Geochemistry, Geophysics, Geosystems&lt;/full-title&gt;&lt;/periodical&gt;&lt;volume&gt;10&lt;/volume&gt;&lt;number&gt;5&lt;/number&gt;&lt;dates&gt;&lt;year&gt;2009&lt;/year&gt;&lt;/dates&gt;&lt;isbn&gt;1525-2027&lt;/isbn&gt;&lt;urls&gt;&lt;/urls&gt;&lt;electronic-resource-num&gt;10.1029/2008GC002293.&lt;/electronic-resource-num&gt;&lt;/record&gt;&lt;/Cite&gt;&lt;/EndNote&gt;</w:instrText>
      </w:r>
      <w:r w:rsidR="00311127">
        <w:rPr>
          <w:rFonts w:cs="Times New Roman"/>
          <w:szCs w:val="24"/>
        </w:rPr>
        <w:fldChar w:fldCharType="end"/>
      </w:r>
      <w:r w:rsidR="00311127">
        <w:rPr>
          <w:rFonts w:cs="Times New Roman"/>
          <w:szCs w:val="24"/>
        </w:rPr>
        <w:t>.</w:t>
      </w:r>
      <w:r w:rsidR="00D436AF">
        <w:rPr>
          <w:rFonts w:cs="Times New Roman"/>
          <w:szCs w:val="24"/>
        </w:rPr>
        <w:t xml:space="preserve"> </w:t>
      </w:r>
      <w:r w:rsidR="00E5496B" w:rsidRPr="00E5496B">
        <w:rPr>
          <w:rFonts w:cs="Times New Roman"/>
          <w:szCs w:val="24"/>
        </w:rPr>
        <w:t>Ongoing continental break-up in the region appears to be driven by a synergistic effect of far-field tectonic stresses</w:t>
      </w:r>
      <w:r w:rsidR="0054303A">
        <w:rPr>
          <w:rFonts w:cs="Times New Roman"/>
          <w:szCs w:val="24"/>
        </w:rPr>
        <w:t xml:space="preserve"> </w:t>
      </w:r>
      <w:r w:rsidR="0054303A" w:rsidRPr="007931CF">
        <w:rPr>
          <w:rFonts w:cs="Times New Roman"/>
          <w:szCs w:val="24"/>
        </w:rPr>
        <w:t>(</w:t>
      </w:r>
      <w:r w:rsidR="0054303A" w:rsidRPr="007931CF">
        <w:rPr>
          <w:rFonts w:cs="Times New Roman"/>
          <w:color w:val="0000FF"/>
          <w:szCs w:val="24"/>
        </w:rPr>
        <w:t>Menzies</w:t>
      </w:r>
      <w:r w:rsidR="0054303A" w:rsidRPr="007931CF">
        <w:rPr>
          <w:rFonts w:cs="Times New Roman"/>
          <w:color w:val="0000FF"/>
          <w:szCs w:val="24"/>
        </w:rPr>
        <w:fldChar w:fldCharType="begin"/>
      </w:r>
      <w:r w:rsidR="0054303A" w:rsidRPr="007931CF">
        <w:rPr>
          <w:rFonts w:cs="Times New Roman"/>
          <w:color w:val="0000FF"/>
          <w:szCs w:val="24"/>
        </w:rPr>
        <w:instrText xml:space="preserve"> ADDIN EN.CITE &lt;EndNote&gt;&lt;Cite Hidden="1"&gt;&lt;Author&gt;Menzies&lt;/Author&gt;&lt;Year&gt;1997&lt;/Year&gt;&lt;RecNum&gt;4975&lt;/RecNum&gt;&lt;record&gt;&lt;rec-number&gt;4975&lt;/rec-number&gt;&lt;foreign-keys&gt;&lt;key app="EN" db-id="50wxdpzd9vd5r7e9t5b595djrfpttrxw9avp" timestamp="1648226337"&gt;4975&lt;/key&gt;&lt;/foreign-keys&gt;&lt;ref-type name="Journal Article"&gt;17&lt;/ref-type&gt;&lt;contributors&gt;&lt;authors&gt;&lt;author&gt;Menzies, Martin&lt;/author&gt;&lt;author&gt;Gallagher, Kerry&lt;/author&gt;&lt;author&gt;Yelland, Andrew&lt;/author&gt;&lt;author&gt;Hurford, Anthony J&lt;/author&gt;&lt;/authors&gt;&lt;/contributors&gt;&lt;titles&gt;&lt;title&gt;Volcanic and nonvolcanic rifted margins of the Red Sea and Gulf of Aden: crustal cooling and margin evolution in Yemen&lt;/title&gt;&lt;secondary-title&gt;Geochimica et Cosmochimica Acta&lt;/secondary-title&gt;&lt;/titles&gt;&lt;periodical&gt;&lt;full-title&gt;Geochimica et Cosmochimica Acta&lt;/full-title&gt;&lt;/periodical&gt;&lt;pages&gt;2511-2527&lt;/pages&gt;&lt;volume&gt;61&lt;/volume&gt;&lt;number&gt;12&lt;/number&gt;&lt;dates&gt;&lt;year&gt;1997&lt;/year&gt;&lt;/dates&gt;&lt;isbn&gt;0016-7037&lt;/isbn&gt;&lt;urls&gt;&lt;/urls&gt;&lt;electronic-resource-num&gt;10.1016/S0016-7037(97)00108-7.&lt;/electronic-resource-num&gt;&lt;/record&gt;&lt;/Cite&gt;&lt;/EndNote&gt;</w:instrText>
      </w:r>
      <w:r w:rsidR="0054303A" w:rsidRPr="007931CF">
        <w:rPr>
          <w:rFonts w:cs="Times New Roman"/>
          <w:color w:val="0000FF"/>
          <w:szCs w:val="24"/>
        </w:rPr>
        <w:fldChar w:fldCharType="end"/>
      </w:r>
      <w:r w:rsidR="0054303A" w:rsidRPr="007931CF">
        <w:rPr>
          <w:rFonts w:cs="Times New Roman"/>
          <w:color w:val="0000FF"/>
          <w:szCs w:val="24"/>
        </w:rPr>
        <w:t xml:space="preserve"> </w:t>
      </w:r>
      <w:r w:rsidR="0054303A" w:rsidRPr="007931CF">
        <w:rPr>
          <w:rFonts w:cs="Times New Roman"/>
          <w:i/>
          <w:iCs/>
          <w:color w:val="0000FF"/>
          <w:szCs w:val="24"/>
        </w:rPr>
        <w:t>et al.,</w:t>
      </w:r>
      <w:r w:rsidR="0054303A" w:rsidRPr="007931CF">
        <w:rPr>
          <w:rFonts w:cs="Times New Roman"/>
          <w:color w:val="0000FF"/>
          <w:szCs w:val="24"/>
        </w:rPr>
        <w:t xml:space="preserve"> 1997</w:t>
      </w:r>
      <w:r w:rsidR="0054303A" w:rsidRPr="007931CF">
        <w:rPr>
          <w:rFonts w:cs="Times New Roman"/>
          <w:szCs w:val="24"/>
        </w:rPr>
        <w:t>)</w:t>
      </w:r>
      <w:r w:rsidR="0054303A">
        <w:rPr>
          <w:rFonts w:cs="Times New Roman"/>
          <w:szCs w:val="24"/>
        </w:rPr>
        <w:t xml:space="preserve"> </w:t>
      </w:r>
      <w:r w:rsidR="00E5496B" w:rsidRPr="00E5496B">
        <w:rPr>
          <w:rFonts w:cs="Times New Roman"/>
          <w:szCs w:val="24"/>
        </w:rPr>
        <w:t>and magma-assisted rifting</w:t>
      </w:r>
      <w:r w:rsidR="0054303A">
        <w:rPr>
          <w:rFonts w:cs="Times New Roman"/>
          <w:szCs w:val="24"/>
        </w:rPr>
        <w:t xml:space="preserve"> </w:t>
      </w:r>
      <w:r w:rsidR="0054303A" w:rsidRPr="00FC7892">
        <w:rPr>
          <w:rFonts w:cs="Times New Roman"/>
          <w:szCs w:val="24"/>
        </w:rPr>
        <w:t>(</w:t>
      </w:r>
      <w:r w:rsidR="0054303A" w:rsidRPr="00FC7892">
        <w:rPr>
          <w:rFonts w:cs="Times New Roman"/>
          <w:color w:val="0000FF"/>
          <w:szCs w:val="24"/>
        </w:rPr>
        <w:t>Buck, 2004</w:t>
      </w:r>
      <w:r w:rsidR="0054303A" w:rsidRPr="00FC7892">
        <w:rPr>
          <w:rFonts w:cs="Times New Roman"/>
          <w:szCs w:val="24"/>
        </w:rPr>
        <w:t>)</w:t>
      </w:r>
      <w:r w:rsidR="00E5496B" w:rsidRPr="00E5496B">
        <w:rPr>
          <w:rFonts w:cs="Times New Roman"/>
          <w:szCs w:val="24"/>
        </w:rPr>
        <w:t>.</w:t>
      </w:r>
    </w:p>
    <w:p w14:paraId="7F988B6D" w14:textId="11569E64" w:rsidR="00E06711" w:rsidRDefault="00F6407D" w:rsidP="00BE7C4F">
      <w:pPr>
        <w:spacing w:before="0" w:line="360" w:lineRule="auto"/>
        <w:ind w:firstLine="426"/>
        <w:rPr>
          <w:rFonts w:cs="Times New Roman"/>
          <w:szCs w:val="24"/>
        </w:rPr>
      </w:pPr>
      <w:r w:rsidRPr="00F6407D">
        <w:rPr>
          <w:rFonts w:cs="Times New Roman"/>
          <w:szCs w:val="24"/>
        </w:rPr>
        <w:t xml:space="preserve">To unravel the connections between deep mantle processes and surface tectonics, geophysical studies have focused on crustal structure and seismic properties. Receiver function analyses across the Afar region </w:t>
      </w:r>
      <w:r w:rsidR="004D2F30" w:rsidRPr="004D4245">
        <w:rPr>
          <w:rFonts w:cs="Times New Roman"/>
          <w:szCs w:val="24"/>
        </w:rPr>
        <w:t>(e.g.,</w:t>
      </w:r>
      <w:r w:rsidR="004D2F30">
        <w:rPr>
          <w:rFonts w:cs="Times New Roman"/>
          <w:szCs w:val="24"/>
        </w:rPr>
        <w:t xml:space="preserve"> </w:t>
      </w:r>
      <w:proofErr w:type="spellStart"/>
      <w:r w:rsidR="004D2F30" w:rsidRPr="002478E9">
        <w:rPr>
          <w:rFonts w:cs="Times New Roman"/>
          <w:color w:val="0000FF"/>
          <w:szCs w:val="24"/>
        </w:rPr>
        <w:t>Dugda</w:t>
      </w:r>
      <w:proofErr w:type="spellEnd"/>
      <w:r w:rsidR="004D2F30" w:rsidRPr="002478E9">
        <w:rPr>
          <w:rFonts w:cs="Times New Roman"/>
          <w:color w:val="0000FF"/>
          <w:szCs w:val="24"/>
        </w:rPr>
        <w:t xml:space="preserve"> </w:t>
      </w:r>
      <w:r w:rsidR="004D2F30" w:rsidRPr="002478E9">
        <w:rPr>
          <w:rFonts w:cs="Times New Roman"/>
          <w:i/>
          <w:iCs/>
          <w:color w:val="0000FF"/>
          <w:szCs w:val="24"/>
        </w:rPr>
        <w:t>et al.,</w:t>
      </w:r>
      <w:r w:rsidR="004D2F30" w:rsidRPr="002478E9">
        <w:rPr>
          <w:rFonts w:cs="Times New Roman"/>
          <w:color w:val="0000FF"/>
          <w:szCs w:val="24"/>
        </w:rPr>
        <w:t xml:space="preserve"> 2005; Stuart </w:t>
      </w:r>
      <w:r w:rsidR="004D2F30" w:rsidRPr="002478E9">
        <w:rPr>
          <w:rFonts w:cs="Times New Roman"/>
          <w:i/>
          <w:iCs/>
          <w:color w:val="0000FF"/>
          <w:szCs w:val="24"/>
        </w:rPr>
        <w:t>et al.,</w:t>
      </w:r>
      <w:r w:rsidR="004D2F30" w:rsidRPr="007B3DFC">
        <w:rPr>
          <w:rFonts w:cs="Times New Roman"/>
          <w:color w:val="0000FF"/>
          <w:szCs w:val="24"/>
        </w:rPr>
        <w:t xml:space="preserve"> 2006</w:t>
      </w:r>
      <w:r w:rsidR="004D2F30">
        <w:rPr>
          <w:rFonts w:cs="Times New Roman"/>
          <w:color w:val="0000FF"/>
          <w:szCs w:val="24"/>
        </w:rPr>
        <w:t>;</w:t>
      </w:r>
      <w:r w:rsidR="004D2F30">
        <w:rPr>
          <w:rFonts w:cs="Times New Roman"/>
          <w:szCs w:val="24"/>
        </w:rPr>
        <w:t xml:space="preserve"> </w:t>
      </w:r>
      <w:r w:rsidR="004D2F30">
        <w:rPr>
          <w:rFonts w:cs="Times New Roman"/>
          <w:szCs w:val="24"/>
        </w:rPr>
        <w:fldChar w:fldCharType="begin"/>
      </w:r>
      <w:r w:rsidR="004D2F30">
        <w:rPr>
          <w:rFonts w:cs="Times New Roman"/>
          <w:szCs w:val="24"/>
        </w:rPr>
        <w:instrText xml:space="preserve"> ADDIN EN.CITE &lt;EndNote&gt;&lt;Cite Hidden="1"&gt;&lt;Author&gt;Stuart&lt;/Author&gt;&lt;Year&gt;2006&lt;/Year&gt;&lt;RecNum&gt;4982&lt;/RecNum&gt;&lt;record&gt;&lt;rec-number&gt;4982&lt;/rec-number&gt;&lt;foreign-keys&gt;&lt;key app="EN" db-id="50wxdpzd9vd5r7e9t5b595djrfpttrxw9avp" timestamp="1648903264"&gt;4982&lt;/key&gt;&lt;/foreign-keys&gt;&lt;ref-type name="Journal Article"&gt;17&lt;/ref-type&gt;&lt;contributors&gt;&lt;authors&gt;&lt;author&gt;Stuart, GW&lt;/author&gt;&lt;author&gt;Bastow, ID&lt;/author&gt;&lt;author&gt;Ebinger, CJ&lt;/author&gt;&lt;/authors&gt;&lt;/contributors&gt;&lt;titles&gt;&lt;title&gt;Crustal structure of the northern Main Ethiopian Rift from receiver function studies&lt;/title&gt;&lt;secondary-title&gt;Geological Society, London, Special Publications&lt;/secondary-title&gt;&lt;/titles&gt;&lt;periodical&gt;&lt;full-title&gt;Geological Society, London, Special Publications&lt;/full-title&gt;&lt;/periodical&gt;&lt;pages&gt;253-267&lt;/pages&gt;&lt;volume&gt;259&lt;/volume&gt;&lt;number&gt;1&lt;/number&gt;&lt;dates&gt;&lt;year&gt;2006&lt;/year&gt;&lt;/dates&gt;&lt;isbn&gt;0305-8719&lt;/isbn&gt;&lt;urls&gt;&lt;/urls&gt;&lt;electronic-resource-num&gt;10.1144/GSL.SP.2006.259.01.20.&lt;/electronic-resource-num&gt;&lt;/record&gt;&lt;/Cite&gt;&lt;Cite Hidden="1"&gt;&lt;Author&gt;Dugda&lt;/Author&gt;&lt;Year&gt;2005&lt;/Year&gt;&lt;RecNum&gt;4981&lt;/RecNum&gt;&lt;record&gt;&lt;rec-number&gt;4981&lt;/rec-number&gt;&lt;foreign-keys&gt;&lt;key app="EN" db-id="50wxdpzd9vd5r7e9t5b595djrfpttrxw9avp" timestamp="1648902906"&gt;4981&lt;/key&gt;&lt;/foreign-keys&gt;&lt;ref-type name="Journal Article"&gt;17&lt;/ref-type&gt;&lt;contributors&gt;&lt;authors&gt;&lt;author&gt;Dugda, Mulugeta T&lt;/author&gt;&lt;author&gt;Nyblade, Andrew A&lt;/author&gt;&lt;author&gt;Julia, Jordi&lt;/author&gt;&lt;author&gt;Langston, Charles A&lt;/author&gt;&lt;author&gt;Ammon, Charles J&lt;/author&gt;&lt;author&gt;Simiyu, Silas&lt;/author&gt;&lt;/authors&gt;&lt;/contributors&gt;&lt;titles&gt;&lt;title&gt;Crustal structure in Ethiopia and Kenya from receiver function analysis: Implications for rift development in eastern Africa&lt;/title&gt;&lt;secondary-title&gt;Journal of Geophysical Research: Solid Earth&lt;/secondary-title&gt;&lt;short-title&gt;s&lt;/short-title&gt;&lt;/titles&gt;&lt;periodical&gt;&lt;full-title&gt;Journal of Geophysical Research: Solid Earth&lt;/full-title&gt;&lt;/periodical&gt;&lt;volume&gt;110&lt;/volume&gt;&lt;number&gt;B1&lt;/number&gt;&lt;dates&gt;&lt;year&gt;2005&lt;/year&gt;&lt;/dates&gt;&lt;isbn&gt;0148-0227&lt;/isbn&gt;&lt;urls&gt;&lt;/urls&gt;&lt;electronic-resource-num&gt;10.1029/2004JB003065.&lt;/electronic-resource-num&gt;&lt;/record&gt;&lt;/Cite&gt;&lt;/EndNote&gt;</w:instrText>
      </w:r>
      <w:r w:rsidR="004D2F30">
        <w:rPr>
          <w:rFonts w:cs="Times New Roman"/>
          <w:szCs w:val="24"/>
        </w:rPr>
        <w:fldChar w:fldCharType="end"/>
      </w:r>
      <w:r w:rsidR="004D2F30" w:rsidRPr="004D4245">
        <w:rPr>
          <w:rFonts w:cs="Times New Roman"/>
          <w:color w:val="0000FF"/>
          <w:szCs w:val="24"/>
        </w:rPr>
        <w:t xml:space="preserve">Hammond </w:t>
      </w:r>
      <w:r w:rsidR="004D2F30" w:rsidRPr="00BC0700">
        <w:rPr>
          <w:rFonts w:cs="Times New Roman"/>
          <w:i/>
          <w:iCs/>
          <w:color w:val="0000FF"/>
          <w:szCs w:val="24"/>
        </w:rPr>
        <w:t>et al.,</w:t>
      </w:r>
      <w:r w:rsidR="004D2F30" w:rsidRPr="004D4245">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Hidden="1"&gt;&lt;Author&gt;Hammond&lt;/Author&gt;&lt;Year&gt;2011&lt;/Year&gt;&lt;RecNum&gt;4932&lt;/RecNum&gt;&lt;record&gt;&lt;rec-number&gt;4932&lt;/rec-number&gt;&lt;foreign-keys&gt;&lt;key app="EN" db-id="50wxdpzd9vd5r7e9t5b595djrfpttrxw9avp" timestamp="1647686796"&gt;4932&lt;/key&gt;&lt;/foreign-keys&gt;&lt;ref-type name="Journal Article"&gt;17&lt;/ref-type&gt;&lt;contributors&gt;&lt;authors&gt;&lt;author&gt;Hammond, James OS&lt;/author&gt;&lt;author&gt;Kendall, J‐M&lt;/author&gt;&lt;author&gt;Stuart, GW&lt;/author&gt;&lt;author&gt;Keir, D&lt;/author&gt;&lt;author&gt;Ebinger, C&lt;/author&gt;&lt;author&gt;Ayele, A&lt;/author&gt;&lt;author&gt;Belachew, M&lt;/author&gt;&lt;/authors&gt;&lt;/contributors&gt;&lt;titles&gt;&lt;title&gt;The nature of the crust beneath the Afar triple junction: Evidence from receiver functions&lt;/title&gt;&lt;secondary-title&gt;Geochemistry, Geophysics, Geosystems&lt;/secondary-title&gt;&lt;/titles&gt;&lt;periodical&gt;&lt;full-title&gt;Geochemistry, Geophysics, Geosystems&lt;/full-title&gt;&lt;/periodical&gt;&lt;volume&gt;12&lt;/volume&gt;&lt;number&gt;12&lt;/number&gt;&lt;dates&gt;&lt;year&gt;2011&lt;/year&gt;&lt;/dates&gt;&lt;isbn&gt;1525-2027&lt;/isbn&gt;&lt;urls&gt;&lt;/urls&gt;&lt;electronic-resource-num&gt;10.1029/2011GC003738.&lt;/electronic-resource-num&gt;&lt;/record&gt;&lt;/Cite&gt;&lt;/EndNote&gt;</w:instrText>
      </w:r>
      <w:r w:rsidR="004D2F30">
        <w:rPr>
          <w:rFonts w:cs="Times New Roman"/>
          <w:color w:val="0000FF"/>
          <w:szCs w:val="24"/>
        </w:rPr>
        <w:fldChar w:fldCharType="end"/>
      </w:r>
      <w:r w:rsidR="004D2F30" w:rsidRPr="004D4245">
        <w:rPr>
          <w:rFonts w:cs="Times New Roman"/>
          <w:color w:val="0000FF"/>
          <w:szCs w:val="24"/>
        </w:rPr>
        <w:t xml:space="preserve">2011; </w:t>
      </w:r>
      <w:proofErr w:type="spellStart"/>
      <w:r w:rsidR="004D2F30" w:rsidRPr="004B288A">
        <w:rPr>
          <w:rFonts w:cs="Times New Roman"/>
          <w:color w:val="0000FF"/>
          <w:szCs w:val="24"/>
        </w:rPr>
        <w:t>Kibre</w:t>
      </w:r>
      <w:r w:rsidR="004D2F30">
        <w:rPr>
          <w:rFonts w:cs="Times New Roman"/>
          <w:color w:val="0000FF"/>
          <w:szCs w:val="24"/>
        </w:rPr>
        <w:t>t</w:t>
      </w:r>
      <w:proofErr w:type="spellEnd"/>
      <w:r w:rsidR="004D2F30" w:rsidRPr="004B288A">
        <w:rPr>
          <w:rFonts w:cs="Times New Roman"/>
          <w:color w:val="0000FF"/>
          <w:szCs w:val="24"/>
        </w:rPr>
        <w:t xml:space="preserve"> </w:t>
      </w:r>
      <w:r w:rsidR="004D2F30" w:rsidRPr="004B288A">
        <w:rPr>
          <w:rFonts w:cs="Times New Roman"/>
          <w:i/>
          <w:iCs/>
          <w:color w:val="0000FF"/>
          <w:szCs w:val="24"/>
        </w:rPr>
        <w:t>et al.,</w:t>
      </w:r>
      <w:r w:rsidR="004D2F30" w:rsidRPr="004B288A">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Hidden="1"&gt;&lt;Author&gt;Kibret&lt;/Author&gt;&lt;Year&gt;2019&lt;/Year&gt;&lt;RecNum&gt;4989&lt;/RecNum&gt;&lt;record&gt;&lt;rec-number&gt;4989&lt;/rec-number&gt;&lt;foreign-keys&gt;&lt;key app="EN" db-id="50wxdpzd9vd5r7e9t5b595djrfpttrxw9avp" timestamp="1649071743"&gt;4989&lt;/key&gt;&lt;/foreign-keys&gt;&lt;ref-type name="Journal Article"&gt;17&lt;/ref-type&gt;&lt;contributors&gt;&lt;authors&gt;&lt;author&gt;Kibret, Birhanu A&lt;/author&gt;&lt;author&gt;Ayele, Atalay&lt;/author&gt;&lt;author&gt;Keir, Derek&lt;/author&gt;&lt;/authors&gt;&lt;/contributors&gt;&lt;titles&gt;&lt;title&gt;Crustal thickness estimates beneath four seismic stations in Ethiopia inferred from p-wave receiver function studies&lt;/title&gt;&lt;secondary-title&gt;Journal of African Earth Sciences&lt;/secondary-title&gt;&lt;/titles&gt;&lt;periodical&gt;&lt;full-title&gt;Journal of African Earth Sciences&lt;/full-title&gt;&lt;/periodical&gt;&lt;pages&gt;264-271&lt;/pages&gt;&lt;volume&gt;150&lt;/volume&gt;&lt;dates&gt;&lt;year&gt;2019&lt;/year&gt;&lt;/dates&gt;&lt;isbn&gt;1464-343X&lt;/isbn&gt;&lt;urls&gt;&lt;/urls&gt;&lt;/record&gt;&lt;/Cite&gt;&lt;/EndNote&gt;</w:instrText>
      </w:r>
      <w:r w:rsidR="004D2F30">
        <w:rPr>
          <w:rFonts w:cs="Times New Roman"/>
          <w:color w:val="0000FF"/>
          <w:szCs w:val="24"/>
        </w:rPr>
        <w:fldChar w:fldCharType="end"/>
      </w:r>
      <w:r w:rsidR="004D2F30" w:rsidRPr="004B288A">
        <w:rPr>
          <w:rFonts w:cs="Times New Roman"/>
          <w:color w:val="0000FF"/>
          <w:szCs w:val="24"/>
        </w:rPr>
        <w:t>20</w:t>
      </w:r>
      <w:r w:rsidR="004D2F30">
        <w:rPr>
          <w:rFonts w:cs="Times New Roman"/>
          <w:color w:val="0000FF"/>
          <w:szCs w:val="24"/>
        </w:rPr>
        <w:t>19</w:t>
      </w:r>
      <w:r w:rsidR="004D2F30" w:rsidRPr="004B288A">
        <w:rPr>
          <w:rFonts w:cs="Times New Roman"/>
          <w:color w:val="0000FF"/>
          <w:szCs w:val="24"/>
        </w:rPr>
        <w:t xml:space="preserve">; </w:t>
      </w:r>
      <w:r w:rsidR="004D2F30" w:rsidRPr="004D4245">
        <w:rPr>
          <w:rFonts w:cs="Times New Roman"/>
          <w:color w:val="0000FF"/>
          <w:szCs w:val="24"/>
        </w:rPr>
        <w:t xml:space="preserve">Kumar </w:t>
      </w:r>
      <w:r w:rsidR="004D2F30" w:rsidRPr="00F30537">
        <w:rPr>
          <w:rFonts w:cs="Times New Roman"/>
          <w:i/>
          <w:iCs/>
          <w:color w:val="0000FF"/>
          <w:szCs w:val="24"/>
        </w:rPr>
        <w:t>et al.,</w:t>
      </w:r>
      <w:r w:rsidR="004D2F30" w:rsidRPr="004D4245">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Hidden="1"&gt;&lt;Author&gt;Kumar&lt;/Author&gt;&lt;Year&gt;2021&lt;/Year&gt;&lt;RecNum&gt;4925&lt;/RecNum&gt;&lt;record&gt;&lt;rec-number&gt;4925&lt;/rec-number&gt;&lt;foreign-keys&gt;&lt;key app="EN" db-id="50wxdpzd9vd5r7e9t5b595djrfpttrxw9avp" timestamp="1647685624"&gt;4925&lt;/key&gt;&lt;/foreign-keys&gt;&lt;ref-type name="Journal Article"&gt;17&lt;/ref-type&gt;&lt;contributors&gt;&lt;authors&gt;&lt;author&gt;Kumar, U&lt;/author&gt;&lt;author&gt;Legendre, CP&lt;/author&gt;&lt;author&gt;Huang, BS&lt;/author&gt;&lt;/authors&gt;&lt;/contributors&gt;&lt;titles&gt;&lt;title&gt;Crustal structure and upper mantle anisotropy of the Afar triple junction&lt;/title&gt;&lt;secondary-title&gt;Earth, Planets Space&lt;/secondary-title&gt;&lt;/titles&gt;&lt;periodical&gt;&lt;full-title&gt;Earth, planets space&lt;/full-title&gt;&lt;/periodical&gt;&lt;pages&gt;1-17&lt;/pages&gt;&lt;volume&gt;73&lt;/volume&gt;&lt;number&gt;1&lt;/number&gt;&lt;dates&gt;&lt;year&gt;2021&lt;/year&gt;&lt;/dates&gt;&lt;isbn&gt;1880-5981&lt;/isbn&gt;&lt;urls&gt;&lt;/urls&gt;&lt;electronic-resource-num&gt;10.1186/s40623-021-01495-0.&lt;/electronic-resource-num&gt;&lt;/record&gt;&lt;/Cite&gt;&lt;/EndNote&gt;</w:instrText>
      </w:r>
      <w:r w:rsidR="004D2F30">
        <w:rPr>
          <w:rFonts w:cs="Times New Roman"/>
          <w:color w:val="0000FF"/>
          <w:szCs w:val="24"/>
        </w:rPr>
        <w:fldChar w:fldCharType="end"/>
      </w:r>
      <w:r w:rsidR="004D2F30" w:rsidRPr="004D4245">
        <w:rPr>
          <w:rFonts w:cs="Times New Roman"/>
          <w:color w:val="0000FF"/>
          <w:szCs w:val="24"/>
        </w:rPr>
        <w:t xml:space="preserve">2021; Wang </w:t>
      </w:r>
      <w:r w:rsidR="004D2F30" w:rsidRPr="00F30537">
        <w:rPr>
          <w:rFonts w:cs="Times New Roman"/>
          <w:i/>
          <w:iCs/>
          <w:color w:val="0000FF"/>
          <w:szCs w:val="24"/>
        </w:rPr>
        <w:t>et al</w:t>
      </w:r>
      <w:r w:rsidR="004D2F30" w:rsidRPr="004D4245">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Hidden="1"&gt;&lt;Author&gt;Wang&lt;/Author&gt;&lt;Year&gt;2021&lt;/Year&gt;&lt;RecNum&gt;4947&lt;/RecNum&gt;&lt;record&gt;&lt;rec-number&gt;4947&lt;/rec-number&gt;&lt;foreign-keys&gt;&lt;key app="EN" db-id="50wxdpzd9vd5r7e9t5b595djrfpttrxw9avp" timestamp="1647942867"&gt;4947&lt;/key&gt;&lt;/foreign-keys&gt;&lt;ref-type name="Journal Article"&gt;17&lt;/ref-type&gt;&lt;contributors&gt;&lt;authors&gt;&lt;author&gt;Wang, Tuo&lt;/author&gt;&lt;author&gt;Gao, Stephen S&lt;/author&gt;&lt;author&gt;Yang, Qiuyue&lt;/author&gt;&lt;author&gt;Liu, Kelly H&lt;/author&gt;&lt;/authors&gt;&lt;/contributors&gt;&lt;titles&gt;&lt;title&gt;Crustal structure beneath the Ethiopian Plateau and adjacent areas from receiver functions: Implications for partial melting and magmatic underplating&lt;/title&gt;&lt;secondary-title&gt;Tectonophysics&lt;/secondary-title&gt;&lt;/titles&gt;&lt;periodical&gt;&lt;full-title&gt;Tectonophysics&lt;/full-title&gt;&lt;/periodical&gt;&lt;pages&gt;228857&lt;/pages&gt;&lt;volume&gt;809&lt;/volume&gt;&lt;dates&gt;&lt;year&gt;2021&lt;/year&gt;&lt;/dates&gt;&lt;isbn&gt;0040-1951&lt;/isbn&gt;&lt;urls&gt;&lt;/urls&gt;&lt;electronic-resource-num&gt;10.1016/j.tecto.2021.228857.&lt;/electronic-resource-num&gt;&lt;/record&gt;&lt;/Cite&gt;&lt;/EndNote&gt;</w:instrText>
      </w:r>
      <w:r w:rsidR="004D2F30">
        <w:rPr>
          <w:rFonts w:cs="Times New Roman"/>
          <w:color w:val="0000FF"/>
          <w:szCs w:val="24"/>
        </w:rPr>
        <w:fldChar w:fldCharType="end"/>
      </w:r>
      <w:r w:rsidR="004D2F30" w:rsidRPr="004D4245">
        <w:rPr>
          <w:rFonts w:cs="Times New Roman"/>
          <w:color w:val="0000FF"/>
          <w:szCs w:val="24"/>
        </w:rPr>
        <w:t>2021</w:t>
      </w:r>
      <w:r w:rsidR="004D2F30">
        <w:rPr>
          <w:rFonts w:cs="Times New Roman"/>
          <w:color w:val="0000FF"/>
          <w:szCs w:val="24"/>
        </w:rPr>
        <w:t xml:space="preserve">; </w:t>
      </w:r>
      <w:r w:rsidR="004D2F30" w:rsidRPr="00237DEC">
        <w:rPr>
          <w:rFonts w:cs="Times New Roman"/>
          <w:color w:val="0000FF"/>
          <w:szCs w:val="24"/>
        </w:rPr>
        <w:t>Ahmed</w:t>
      </w:r>
      <w:r w:rsidR="004D2F30" w:rsidRPr="004D4245">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Hidden="1"&gt;&lt;Author&gt;Ahmed&lt;/Author&gt;&lt;Year&gt;2022&lt;/Year&gt;&lt;RecNum&gt;5335&lt;/RecNum&gt;&lt;record&gt;&lt;rec-number&gt;5335&lt;/rec-number&gt;&lt;foreign-keys&gt;&lt;key app="EN" db-id="50wxdpzd9vd5r7e9t5b595djrfpttrxw9avp" timestamp="1660600509"&gt;5335&lt;/key&gt;&lt;/foreign-keys&gt;&lt;ref-type name="Journal Article"&gt;17&lt;/ref-type&gt;&lt;contributors&gt;&lt;authors&gt;&lt;author&gt;Ahmed, Abdulhakim&lt;/author&gt;&lt;author&gt;Doubre, Cecile&lt;/author&gt;&lt;author&gt;Leroy, Sylvie&lt;/author&gt;&lt;author&gt;Keir, Derek&lt;/author&gt;&lt;author&gt;Pagli, Carolina&lt;/author&gt;&lt;author&gt;Hammond, James OS&lt;/author&gt;&lt;author&gt;Ayele, Atalay&lt;/author&gt;&lt;author&gt;de Berc, Maxime Be&lt;/author&gt;&lt;author&gt;Grunberg, Marc&lt;/author&gt;&lt;author&gt;Vergne, Jerome&lt;/author&gt;&lt;/authors&gt;&lt;/contributors&gt;&lt;titles&gt;&lt;title&gt;Across and along-strike crustal structure variations of the western Afar margin and adjacent plateau: Insights from receiver functions analysis&lt;/title&gt;&lt;secondary-title&gt;Journal of African Earth Sciences&lt;/secondary-title&gt;&lt;/titles&gt;&lt;periodical&gt;&lt;full-title&gt;Journal of African Earth Sciences&lt;/full-title&gt;&lt;/periodical&gt;&lt;pages&gt;104570&lt;/pages&gt;&lt;volume&gt;192&lt;/volume&gt;&lt;dates&gt;&lt;year&gt;2022&lt;/year&gt;&lt;/dates&gt;&lt;isbn&gt;1464-343X&lt;/isbn&gt;&lt;urls&gt;&lt;/urls&gt;&lt;electronic-resource-num&gt;https://doi.org/10.1016/j.jafrearsci.2022.104570.&lt;/electronic-resource-num&gt;&lt;/record&gt;&lt;/Cite&gt;&lt;/EndNote&gt;</w:instrText>
      </w:r>
      <w:r w:rsidR="004D2F30">
        <w:rPr>
          <w:rFonts w:cs="Times New Roman"/>
          <w:color w:val="0000FF"/>
          <w:szCs w:val="24"/>
        </w:rPr>
        <w:fldChar w:fldCharType="end"/>
      </w:r>
      <w:r w:rsidR="004D2F30" w:rsidRPr="00F30537">
        <w:rPr>
          <w:rFonts w:cs="Times New Roman"/>
          <w:i/>
          <w:iCs/>
          <w:color w:val="0000FF"/>
          <w:szCs w:val="24"/>
        </w:rPr>
        <w:t>et al</w:t>
      </w:r>
      <w:r w:rsidR="004D2F30" w:rsidRPr="004D4245">
        <w:rPr>
          <w:rFonts w:cs="Times New Roman"/>
          <w:color w:val="0000FF"/>
          <w:szCs w:val="24"/>
        </w:rPr>
        <w:t>., 202</w:t>
      </w:r>
      <w:r w:rsidR="004D2F30">
        <w:rPr>
          <w:rFonts w:cs="Times New Roman"/>
          <w:color w:val="0000FF"/>
          <w:szCs w:val="24"/>
        </w:rPr>
        <w:t>2</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Hidden="1"&gt;&lt;Author&gt;Kibret&lt;/Author&gt;&lt;Year&gt;2022&lt;/Year&gt;&lt;RecNum&gt;4980&lt;/RecNum&gt;&lt;record&gt;&lt;rec-number&gt;4980&lt;/rec-number&gt;&lt;foreign-keys&gt;&lt;key app="EN" db-id="50wxdpzd9vd5r7e9t5b595djrfpttrxw9avp" timestamp="1648890142"&gt;4980&lt;/key&gt;&lt;/foreign-keys&gt;&lt;ref-type name="Journal Article"&gt;17&lt;/ref-type&gt;&lt;contributors&gt;&lt;authors&gt;&lt;author&gt;Kibret, Birhanu A&lt;/author&gt;&lt;author&gt;Ayele, Atalay&lt;/author&gt;&lt;author&gt;Keir, Derek&lt;/author&gt;&lt;/authors&gt;&lt;/contributors&gt;&lt;titles&gt;&lt;title&gt;Modelling S-Wave Velocity Structure Beneath the Central Main Ethiopian Rift Using Receiver Functions&lt;/title&gt;&lt;secondary-title&gt;Frontiers in Earth Science&lt;/secondary-title&gt;&lt;/titles&gt;&lt;periodical&gt;&lt;full-title&gt;Frontiers in Earth Science&lt;/full-title&gt;&lt;/periodical&gt;&lt;pages&gt;773783&lt;/pages&gt;&lt;volume&gt;10&lt;/volume&gt;&lt;dates&gt;&lt;year&gt;2022&lt;/year&gt;&lt;/dates&gt;&lt;isbn&gt;2296-6463&lt;/isbn&gt;&lt;urls&gt;&lt;/urls&gt;&lt;electronic-resource-num&gt;10.3389/feart.2022.773783.&lt;/electronic-resource-num&gt;&lt;/record&gt;&lt;/Cite&gt;&lt;/EndNote&gt;</w:instrText>
      </w:r>
      <w:r w:rsidR="004D2F30">
        <w:rPr>
          <w:rFonts w:cs="Times New Roman"/>
          <w:color w:val="0000FF"/>
          <w:szCs w:val="24"/>
        </w:rPr>
        <w:fldChar w:fldCharType="end"/>
      </w:r>
      <w:r w:rsidR="004D2F30" w:rsidRPr="004D4245">
        <w:rPr>
          <w:rFonts w:cs="Times New Roman"/>
          <w:szCs w:val="24"/>
        </w:rPr>
        <w:t xml:space="preserve">) </w:t>
      </w:r>
      <w:r w:rsidRPr="00F6407D">
        <w:rPr>
          <w:rFonts w:cs="Times New Roman"/>
          <w:szCs w:val="24"/>
        </w:rPr>
        <w:t>reveal a thinned crust (15–45 km) with locali</w:t>
      </w:r>
      <w:r w:rsidR="00FF4007">
        <w:rPr>
          <w:rFonts w:cs="Times New Roman"/>
          <w:szCs w:val="24"/>
        </w:rPr>
        <w:t>s</w:t>
      </w:r>
      <w:r w:rsidRPr="00F6407D">
        <w:rPr>
          <w:rFonts w:cs="Times New Roman"/>
          <w:szCs w:val="24"/>
        </w:rPr>
        <w:t xml:space="preserve">ed zones of extreme thinning (21–38 km) beneath active spreading centers. Elevated Vp/Vs and Poisson’s ratios in these areas </w:t>
      </w:r>
      <w:r w:rsidR="00674989" w:rsidRPr="00674989">
        <w:rPr>
          <w:rFonts w:cs="Times New Roman"/>
          <w:szCs w:val="24"/>
        </w:rPr>
        <w:t>further imply pervasive partial melting of the crust, likely induced by mantle-derived magmatism.</w:t>
      </w:r>
      <w:r w:rsidRPr="00F6407D">
        <w:rPr>
          <w:rFonts w:cs="Times New Roman"/>
          <w:szCs w:val="24"/>
        </w:rPr>
        <w:t xml:space="preserve"> </w:t>
      </w:r>
      <w:r w:rsidR="00FB3710" w:rsidRPr="00FB3710">
        <w:rPr>
          <w:rFonts w:cs="Times New Roman"/>
          <w:szCs w:val="24"/>
        </w:rPr>
        <w:t>Moreover, seismic tomography studies—employing both body</w:t>
      </w:r>
      <w:r w:rsidR="007170E0">
        <w:rPr>
          <w:rFonts w:cs="Times New Roman"/>
          <w:szCs w:val="24"/>
        </w:rPr>
        <w:t>-wave</w:t>
      </w:r>
      <w:r w:rsidR="00FB3710" w:rsidRPr="00FB3710">
        <w:rPr>
          <w:rFonts w:cs="Times New Roman"/>
          <w:szCs w:val="24"/>
        </w:rPr>
        <w:t xml:space="preserve"> </w:t>
      </w:r>
      <w:r w:rsidR="007170E0" w:rsidRPr="004D4245">
        <w:rPr>
          <w:rFonts w:cs="Times New Roman"/>
          <w:szCs w:val="24"/>
        </w:rPr>
        <w:t>(e.g.,</w:t>
      </w:r>
      <w:r w:rsidR="007170E0">
        <w:rPr>
          <w:rFonts w:cs="Times New Roman"/>
          <w:szCs w:val="24"/>
        </w:rPr>
        <w:t xml:space="preserve"> </w:t>
      </w:r>
      <w:r w:rsidR="007170E0" w:rsidRPr="004D4245">
        <w:rPr>
          <w:rFonts w:cs="Times New Roman"/>
          <w:color w:val="0000FF"/>
          <w:szCs w:val="24"/>
        </w:rPr>
        <w:t xml:space="preserve">Benoit </w:t>
      </w:r>
      <w:r w:rsidR="007170E0" w:rsidRPr="003B56E5">
        <w:rPr>
          <w:rFonts w:cs="Times New Roman"/>
          <w:i/>
          <w:iCs/>
          <w:color w:val="0000FF"/>
          <w:szCs w:val="24"/>
        </w:rPr>
        <w:t>et al.,</w:t>
      </w:r>
      <w:r w:rsidR="007170E0" w:rsidRPr="004D4245">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Hidden="1"&gt;&lt;Author&gt;Benoit&lt;/Author&gt;&lt;Year&gt;2006&lt;/Year&gt;&lt;RecNum&gt;4986&lt;/RecNum&gt;&lt;record&gt;&lt;rec-number&gt;4986&lt;/rec-number&gt;&lt;foreign-keys&gt;&lt;key app="EN" db-id="50wxdpzd9vd5r7e9t5b595djrfpttrxw9avp" timestamp="1649055165"&gt;4986&lt;/key&gt;&lt;/foreign-keys&gt;&lt;ref-type name="Journal Article"&gt;17&lt;/ref-type&gt;&lt;contributors&gt;&lt;authors&gt;&lt;author&gt;Benoit, Margaret H&lt;/author&gt;&lt;author&gt;Nyblade, Andrew A&lt;/author&gt;&lt;author&gt;VanDecar, John C&lt;/author&gt;&lt;/authors&gt;&lt;/contributors&gt;&lt;titles&gt;&lt;title&gt;Upper mantle P-wave speed variations beneath Ethiopia and the origin of the Afar hotspot&lt;/title&gt;&lt;secondary-title&gt;Geology&lt;/secondary-title&gt;&lt;/titles&gt;&lt;periodical&gt;&lt;full-title&gt;Geology&lt;/full-title&gt;&lt;/periodical&gt;&lt;pages&gt;329-332&lt;/pages&gt;&lt;volume&gt;34&lt;/volume&gt;&lt;number&gt;5&lt;/number&gt;&lt;dates&gt;&lt;year&gt;2006&lt;/year&gt;&lt;/dates&gt;&lt;isbn&gt;1943-2682&lt;/isbn&gt;&lt;urls&gt;&lt;/urls&gt;&lt;electronic-resource-num&gt;https://doi.org/10.1130/G22281.1.&lt;/electronic-resource-num&gt;&lt;/record&gt;&lt;/Cite&gt;&lt;/EndNote&gt;</w:instrText>
      </w:r>
      <w:r w:rsidR="007170E0">
        <w:rPr>
          <w:rFonts w:cs="Times New Roman"/>
          <w:color w:val="0000FF"/>
          <w:szCs w:val="24"/>
        </w:rPr>
        <w:fldChar w:fldCharType="end"/>
      </w:r>
      <w:r w:rsidR="007170E0" w:rsidRPr="004D4245">
        <w:rPr>
          <w:rFonts w:cs="Times New Roman"/>
          <w:color w:val="0000FF"/>
          <w:szCs w:val="24"/>
        </w:rPr>
        <w:t>2006; Koulakov</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Hidden="1"&gt;&lt;Author&gt;Koulakov&lt;/Author&gt;&lt;Year&gt;2007&lt;/Year&gt;&lt;RecNum&gt;4942&lt;/RecNum&gt;&lt;record&gt;&lt;rec-number&gt;4942&lt;/rec-number&gt;&lt;foreign-keys&gt;&lt;key app="EN" db-id="50wxdpzd9vd5r7e9t5b595djrfpttrxw9avp" timestamp="1647932888"&gt;4942&lt;/key&gt;&lt;/foreign-keys&gt;&lt;ref-type name="Conference Proceedings"&gt;10&lt;/ref-type&gt;&lt;contributors&gt;&lt;authors&gt;&lt;author&gt;Koulakov, I Yu&lt;/author&gt;&lt;/authors&gt;&lt;/contributors&gt;&lt;titles&gt;&lt;title&gt;Structure of the Afar and Tanzania plumes based on the regional tomography using ISC data&lt;/title&gt;&lt;secondary-title&gt;Doklady Earth Sciences&lt;/secondary-title&gt;&lt;/titles&gt;&lt;pages&gt;1287&lt;/pages&gt;&lt;volume&gt;417&lt;/volume&gt;&lt;number&gt;1&lt;/number&gt;&lt;dates&gt;&lt;year&gt;2007&lt;/year&gt;&lt;/dates&gt;&lt;publisher&gt;Citeseer&lt;/publisher&gt;&lt;isbn&gt;1028-334X&lt;/isbn&gt;&lt;urls&gt;&lt;/urls&gt;&lt;/record&gt;&lt;/Cite&gt;&lt;/EndNote&gt;</w:instrText>
      </w:r>
      <w:r w:rsidR="007170E0">
        <w:rPr>
          <w:rFonts w:cs="Times New Roman"/>
          <w:color w:val="0000FF"/>
          <w:szCs w:val="24"/>
        </w:rPr>
        <w:fldChar w:fldCharType="end"/>
      </w:r>
      <w:r w:rsidR="007170E0" w:rsidRPr="004D4245">
        <w:rPr>
          <w:rFonts w:cs="Times New Roman"/>
          <w:color w:val="0000FF"/>
          <w:szCs w:val="24"/>
        </w:rPr>
        <w:t xml:space="preserve"> 2007; </w:t>
      </w:r>
      <w:bookmarkStart w:id="3" w:name="_Hlk100844890"/>
      <w:r w:rsidR="007170E0" w:rsidRPr="004D4245">
        <w:rPr>
          <w:rFonts w:cs="Times New Roman"/>
          <w:color w:val="0000FF"/>
          <w:szCs w:val="24"/>
        </w:rPr>
        <w:t>Bastow</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Hidden="1"&gt;&lt;Author&gt;Bastow&lt;/Author&gt;&lt;Year&gt;2008&lt;/Year&gt;&lt;RecNum&gt;4934&lt;/RecNum&gt;&lt;record&gt;&lt;rec-number&gt;4934&lt;/rec-number&gt;&lt;foreign-keys&gt;&lt;key app="EN" db-id="50wxdpzd9vd5r7e9t5b595djrfpttrxw9avp" timestamp="1647688223"&gt;4934&lt;/key&gt;&lt;/foreign-keys&gt;&lt;ref-type name="Journal Article"&gt;17&lt;/ref-type&gt;&lt;contributors&gt;&lt;authors&gt;&lt;author&gt;Bastow, ID&lt;/author&gt;&lt;author&gt;Nyblade, AA&lt;/author&gt;&lt;author&gt;Stuart, GW&lt;/author&gt;&lt;author&gt;Rooney, TO&lt;/author&gt;&lt;author&gt;Benoit, MH&lt;/author&gt;&lt;/authors&gt;&lt;/contributors&gt;&lt;titles&gt;&lt;title&gt;Upper mantle seismic structure beneath the Ethiopian hot spot: Rifting at the edge of the African low‐velocity anomaly&lt;/title&gt;&lt;secondary-title&gt;Geochemistry, Geophysics, Geosystems&lt;/secondary-title&gt;&lt;/titles&gt;&lt;periodical&gt;&lt;full-title&gt;Geochemistry, Geophysics, Geosystems&lt;/full-title&gt;&lt;/periodical&gt;&lt;volume&gt;9&lt;/volume&gt;&lt;number&gt;12&lt;/number&gt;&lt;dates&gt;&lt;year&gt;2008&lt;/year&gt;&lt;/dates&gt;&lt;isbn&gt;1525-2027&lt;/isbn&gt;&lt;urls&gt;&lt;/urls&gt;&lt;electronic-resource-num&gt;https://doi.org/10.1029/2008GC002107.&lt;/electronic-resource-num&gt;&lt;/record&gt;&lt;/Cite&gt;&lt;/EndNote&gt;</w:instrText>
      </w:r>
      <w:r w:rsidR="007170E0">
        <w:rPr>
          <w:rFonts w:cs="Times New Roman"/>
          <w:color w:val="0000FF"/>
          <w:szCs w:val="24"/>
        </w:rPr>
        <w:fldChar w:fldCharType="end"/>
      </w:r>
      <w:r w:rsidR="007170E0" w:rsidRPr="004D4245">
        <w:rPr>
          <w:rFonts w:cs="Times New Roman"/>
          <w:color w:val="0000FF"/>
          <w:szCs w:val="24"/>
        </w:rPr>
        <w:t xml:space="preserve"> </w:t>
      </w:r>
      <w:r w:rsidR="007170E0" w:rsidRPr="004D4245">
        <w:rPr>
          <w:rFonts w:cs="Times New Roman"/>
          <w:i/>
          <w:iCs/>
          <w:color w:val="0000FF"/>
          <w:szCs w:val="24"/>
        </w:rPr>
        <w:t>et al</w:t>
      </w:r>
      <w:r w:rsidR="007170E0" w:rsidRPr="004D4245">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Hidden="1"&gt;&lt;Author&gt;Bastow&lt;/Author&gt;&lt;Year&gt;2005&lt;/Year&gt;&lt;RecNum&gt;4959&lt;/RecNum&gt;&lt;record&gt;&lt;rec-number&gt;4959&lt;/rec-number&gt;&lt;foreign-keys&gt;&lt;key app="EN" db-id="50wxdpzd9vd5r7e9t5b595djrfpttrxw9avp" timestamp="1648200693"&gt;4959&lt;/key&gt;&lt;/foreign-keys&gt;&lt;ref-type name="Journal Article"&gt;17&lt;/ref-type&gt;&lt;contributors&gt;&lt;authors&gt;&lt;author&gt;Bastow, Ian D&lt;/author&gt;&lt;author&gt;Stuart, Graham W&lt;/author&gt;&lt;author&gt;Kendall, J-Michael&lt;/author&gt;&lt;author&gt;Ebinger, Cynthia J&lt;/author&gt;&lt;/authors&gt;&lt;/contributors&gt;&lt;titles&gt;&lt;title&gt;Upper-mantle seismic structure in a region of incipient continental breakup: northern Ethiopian rift&lt;/title&gt;&lt;secondary-title&gt;Geophysical Journal International&lt;/secondary-title&gt;&lt;/titles&gt;&lt;periodical&gt;&lt;full-title&gt;Geophysical Journal International&lt;/full-title&gt;&lt;/periodical&gt;&lt;pages&gt;479-493&lt;/pages&gt;&lt;volume&gt;162&lt;/volume&gt;&lt;number&gt;2&lt;/number&gt;&lt;dates&gt;&lt;year&gt;2005&lt;/year&gt;&lt;/dates&gt;&lt;isbn&gt;1365-246X&lt;/isbn&gt;&lt;urls&gt;&lt;/urls&gt;&lt;electronic-resource-num&gt;https://doi.org/10.1111/j.1365-246X.2005.02666.x.&lt;/electronic-resource-num&gt;&lt;/record&gt;&lt;/Cite&gt;&lt;/EndNote&gt;</w:instrText>
      </w:r>
      <w:r w:rsidR="007170E0">
        <w:rPr>
          <w:rFonts w:cs="Times New Roman"/>
          <w:color w:val="0000FF"/>
          <w:szCs w:val="24"/>
        </w:rPr>
        <w:fldChar w:fldCharType="end"/>
      </w:r>
      <w:r w:rsidR="007170E0" w:rsidRPr="004D4245">
        <w:rPr>
          <w:rFonts w:cs="Times New Roman"/>
          <w:color w:val="0000FF"/>
          <w:szCs w:val="24"/>
        </w:rPr>
        <w:t>2005, 2008;</w:t>
      </w:r>
      <w:r w:rsidR="007170E0">
        <w:rPr>
          <w:rFonts w:cs="Times New Roman"/>
          <w:color w:val="0000FF"/>
          <w:szCs w:val="24"/>
        </w:rPr>
        <w:t xml:space="preserve"> </w:t>
      </w:r>
      <w:r w:rsidR="007170E0" w:rsidRPr="004D4245">
        <w:rPr>
          <w:rFonts w:cs="Times New Roman"/>
          <w:color w:val="0000FF"/>
          <w:szCs w:val="24"/>
        </w:rPr>
        <w:t>Hansen</w:t>
      </w:r>
      <w:r w:rsidR="007170E0">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Hidden="1"&gt;&lt;Author&gt;Hansen&lt;/Author&gt;&lt;Year&gt;2013&lt;/Year&gt;&lt;RecNum&gt;4941&lt;/RecNum&gt;&lt;record&gt;&lt;rec-number&gt;4941&lt;/rec-number&gt;&lt;foreign-keys&gt;&lt;key app="EN" db-id="50wxdpzd9vd5r7e9t5b595djrfpttrxw9avp" timestamp="1647932189"&gt;4941&lt;/key&gt;&lt;/foreign-keys&gt;&lt;ref-type name="Journal Article"&gt;17&lt;/ref-type&gt;&lt;contributors&gt;&lt;authors&gt;&lt;author&gt;Hansen, Samantha E&lt;/author&gt;&lt;author&gt;Nyblade, Andrew A&lt;/author&gt;&lt;/authors&gt;&lt;/contributors&gt;&lt;titles&gt;&lt;title&gt;The deep seismic structure of the Ethiopia/Afar hotspot and the African superplume&lt;/title&gt;&lt;secondary-title&gt;Geophysical Journal International&lt;/secondary-title&gt;&lt;/titles&gt;&lt;periodical&gt;&lt;full-title&gt;Geophysical Journal International&lt;/full-title&gt;&lt;/periodical&gt;&lt;pages&gt;118-124&lt;/pages&gt;&lt;volume&gt;194&lt;/volume&gt;&lt;number&gt;1&lt;/number&gt;&lt;dates&gt;&lt;year&gt;2013&lt;/year&gt;&lt;/dates&gt;&lt;isbn&gt;1365-246X&lt;/isbn&gt;&lt;urls&gt;&lt;/urls&gt;&lt;/record&gt;&lt;/Cite&gt;&lt;/EndNote&gt;</w:instrText>
      </w:r>
      <w:r w:rsidR="007170E0">
        <w:rPr>
          <w:rFonts w:cs="Times New Roman"/>
          <w:color w:val="0000FF"/>
          <w:szCs w:val="24"/>
        </w:rPr>
        <w:fldChar w:fldCharType="end"/>
      </w:r>
      <w:r w:rsidR="007170E0" w:rsidRPr="004D4245">
        <w:rPr>
          <w:rFonts w:cs="Times New Roman"/>
          <w:color w:val="0000FF"/>
          <w:szCs w:val="24"/>
        </w:rPr>
        <w:t>and Nyblade, 2013;</w:t>
      </w:r>
      <w:r w:rsidR="007170E0" w:rsidRPr="004D4245">
        <w:rPr>
          <w:rFonts w:cs="Times New Roman"/>
          <w:szCs w:val="24"/>
        </w:rPr>
        <w:t xml:space="preserve"> </w:t>
      </w:r>
      <w:r w:rsidR="007170E0" w:rsidRPr="004D4245">
        <w:rPr>
          <w:rFonts w:cs="Times New Roman"/>
          <w:color w:val="0000FF"/>
          <w:szCs w:val="24"/>
        </w:rPr>
        <w:t xml:space="preserve">Civiero </w:t>
      </w:r>
      <w:r w:rsidR="007170E0" w:rsidRPr="004D4245">
        <w:rPr>
          <w:rFonts w:cs="Times New Roman"/>
          <w:i/>
          <w:iCs/>
          <w:color w:val="0000FF"/>
          <w:szCs w:val="24"/>
        </w:rPr>
        <w:t>et al</w:t>
      </w:r>
      <w:r w:rsidR="007170E0" w:rsidRPr="004D4245">
        <w:rPr>
          <w:rFonts w:cs="Times New Roman"/>
          <w:color w:val="0000FF"/>
          <w:szCs w:val="24"/>
        </w:rPr>
        <w:t>., 2015</w:t>
      </w:r>
      <w:r w:rsidR="007170E0">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Hidden="1"&gt;&lt;Author&gt;Civiero&lt;/Author&gt;&lt;Year&gt;2016&lt;/Year&gt;&lt;RecNum&gt;5016&lt;/RecNum&gt;&lt;record&gt;&lt;rec-number&gt;5016&lt;/rec-number&gt;&lt;foreign-keys&gt;&lt;key app="EN" db-id="50wxdpzd9vd5r7e9t5b595djrfpttrxw9avp" timestamp="1651158693"&gt;5016&lt;/key&gt;&lt;/foreign-keys&gt;&lt;ref-type name="Journal Article"&gt;17&lt;/ref-type&gt;&lt;contributors&gt;&lt;authors&gt;&lt;author&gt;Civiero, Chiara&lt;/author&gt;&lt;author&gt;Goes, Saskia&lt;/author&gt;&lt;author&gt;Hammond, James OS&lt;/author&gt;&lt;author&gt;Fishwick, Stewart&lt;/author&gt;&lt;author&gt;Ahmed, Abdulhakim&lt;/author&gt;&lt;author&gt;Ayele, Atalay&lt;/author&gt;&lt;author&gt;Doubre, Cecile&lt;/author&gt;&lt;author&gt;Goitom, Berhe&lt;/author&gt;&lt;author&gt;Keir, Derek&lt;/author&gt;&lt;author&gt;Kendall, J Michael&lt;/author&gt;&lt;/authors&gt;&lt;/contributors&gt;&lt;titles&gt;&lt;title&gt;Small‐scale thermal upwellings under the northern East African Rift from S travel time tomography&lt;/title&gt;&lt;secondary-title&gt;Journal of Geophysical Research: Solid Earth&lt;/secondary-title&gt;&lt;/titles&gt;&lt;periodical&gt;&lt;full-title&gt;Journal of Geophysical Research: Solid Earth&lt;/full-title&gt;&lt;/periodical&gt;&lt;pages&gt;7395-7408&lt;/pages&gt;&lt;volume&gt;121&lt;/volume&gt;&lt;number&gt;10&lt;/number&gt;&lt;dates&gt;&lt;year&gt;2016&lt;/year&gt;&lt;/dates&gt;&lt;isbn&gt;2169-9313&lt;/isbn&gt;&lt;urls&gt;&lt;/urls&gt;&lt;electronic-resource-num&gt;10.1002/2016JB013070.&lt;/electronic-resource-num&gt;&lt;/record&gt;&lt;/Cite&gt;&lt;/EndNote&gt;</w:instrText>
      </w:r>
      <w:r w:rsidR="007170E0">
        <w:rPr>
          <w:rFonts w:cs="Times New Roman"/>
          <w:color w:val="0000FF"/>
          <w:szCs w:val="24"/>
        </w:rPr>
        <w:fldChar w:fldCharType="end"/>
      </w:r>
      <w:r w:rsidR="007170E0">
        <w:rPr>
          <w:rFonts w:cs="Times New Roman"/>
          <w:color w:val="0000FF"/>
          <w:szCs w:val="24"/>
        </w:rPr>
        <w:t>2016</w:t>
      </w:r>
      <w:r w:rsidR="007170E0" w:rsidRPr="004D4245">
        <w:rPr>
          <w:rFonts w:cs="Times New Roman"/>
          <w:color w:val="0000FF"/>
          <w:szCs w:val="24"/>
        </w:rPr>
        <w:fldChar w:fldCharType="begin"/>
      </w:r>
      <w:r w:rsidR="007170E0">
        <w:rPr>
          <w:rFonts w:cs="Times New Roman"/>
          <w:color w:val="0000FF"/>
          <w:szCs w:val="24"/>
        </w:rPr>
        <w:instrText xml:space="preserve"> ADDIN EN.CITE &lt;EndNote&gt;&lt;Cite Hidden="1"&gt;&lt;Author&gt;Civiero&lt;/Author&gt;&lt;Year&gt;2015&lt;/Year&gt;&lt;RecNum&gt;4936&lt;/RecNum&gt;&lt;record&gt;&lt;rec-number&gt;4936&lt;/rec-number&gt;&lt;foreign-keys&gt;&lt;key app="EN" db-id="50wxdpzd9vd5r7e9t5b595djrfpttrxw9avp" timestamp="1647688599"&gt;4936&lt;/key&gt;&lt;/foreign-keys&gt;&lt;ref-type name="Journal Article"&gt;17&lt;/ref-type&gt;&lt;contributors&gt;&lt;authors&gt;&lt;author&gt;Civiero, Chiara&lt;/author&gt;&lt;author&gt;Hammond, James OS&lt;/author&gt;&lt;author&gt;Goes, Saskia&lt;/author&gt;&lt;author&gt;Fishwick, Stewart&lt;/author&gt;&lt;author&gt;Ahmed, Abdulhakim&lt;/author&gt;&lt;author&gt;Ayele, Atalay&lt;/author&gt;&lt;author&gt;Doubre, Cecile&lt;/author&gt;&lt;author&gt;Goitom, Berhe&lt;/author&gt;&lt;author&gt;Keir, Derek&lt;/author&gt;&lt;author&gt;Kendall, J‐Michael&lt;/author&gt;&lt;/authors&gt;&lt;/contributors&gt;&lt;titles&gt;&lt;title&gt;Multiple mantle upwellings in the transition zone beneath the northern E ast‐A frican R ift system from relative P‐wave travel‐time tomography&lt;/title&gt;&lt;secondary-title&gt;Geochemistry, Geophysics, Geosystems&lt;/secondary-title&gt;&lt;/titles&gt;&lt;periodical&gt;&lt;full-title&gt;Geochemistry, Geophysics, Geosystems&lt;/full-title&gt;&lt;/periodical&gt;&lt;pages&gt;2949-2968&lt;/pages&gt;&lt;volume&gt;16&lt;/volume&gt;&lt;number&gt;9&lt;/number&gt;&lt;dates&gt;&lt;year&gt;2015&lt;/year&gt;&lt;/dates&gt;&lt;isbn&gt;1525-2027&lt;/isbn&gt;&lt;urls&gt;&lt;/urls&gt;&lt;electronic-resource-num&gt;10.1002/2015GC005948.&lt;/electronic-resource-num&gt;&lt;/record&gt;&lt;/Cite&gt;&lt;/EndNote&gt;</w:instrText>
      </w:r>
      <w:r w:rsidR="007170E0" w:rsidRPr="004D4245">
        <w:rPr>
          <w:rFonts w:cs="Times New Roman"/>
          <w:color w:val="0000FF"/>
          <w:szCs w:val="24"/>
        </w:rPr>
        <w:fldChar w:fldCharType="end"/>
      </w:r>
      <w:r w:rsidR="007170E0" w:rsidRPr="004D4245">
        <w:rPr>
          <w:rFonts w:cs="Times New Roman"/>
          <w:color w:val="0000FF"/>
          <w:szCs w:val="24"/>
        </w:rPr>
        <w:t xml:space="preserve">; Lim </w:t>
      </w:r>
      <w:r w:rsidR="007170E0" w:rsidRPr="004D4245">
        <w:rPr>
          <w:rFonts w:cs="Times New Roman"/>
          <w:i/>
          <w:iCs/>
          <w:color w:val="0000FF"/>
          <w:szCs w:val="24"/>
        </w:rPr>
        <w:t>et al.,</w:t>
      </w:r>
      <w:r w:rsidR="007170E0" w:rsidRPr="004D4245">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Hidden="1"&gt;&lt;Author&gt;Lim&lt;/Author&gt;&lt;Year&gt;2020&lt;/Year&gt;&lt;RecNum&gt;4958&lt;/RecNum&gt;&lt;record&gt;&lt;rec-number&gt;4958&lt;/rec-number&gt;&lt;foreign-keys&gt;&lt;key app="EN" db-id="50wxdpzd9vd5r7e9t5b595djrfpttrxw9avp" timestamp="1648147842"&gt;4958&lt;/key&gt;&lt;/foreign-keys&gt;&lt;ref-type name="Journal Article"&gt;17&lt;/ref-type&gt;&lt;contributors&gt;&lt;authors&gt;&lt;author&gt;Lim, Jung‐A&lt;/author&gt;&lt;author&gt;Chang, Sung‐Joon&lt;/author&gt;&lt;author&gt;Mai, P Martin&lt;/author&gt;&lt;author&gt;Zahran, Hani&lt;/author&gt;&lt;/authors&gt;&lt;/contributors&gt;&lt;titles&gt;&lt;title&gt;Asthenospheric flow of plume material beneath Arabia inferred from S wave traveltime tomography&lt;/title&gt;&lt;secondary-title&gt;Journal of Geophysical Research: Solid Earth&lt;/secondary-title&gt;&lt;/titles&gt;&lt;periodical&gt;&lt;full-title&gt;Journal of Geophysical Research: Solid Earth&lt;/full-title&gt;&lt;/periodical&gt;&lt;pages&gt;1-18&lt;/pages&gt;&lt;volume&gt;125&lt;/volume&gt;&lt;number&gt;8&lt;/number&gt;&lt;dates&gt;&lt;year&gt;2020&lt;/year&gt;&lt;/dates&gt;&lt;isbn&gt;2169-9313&lt;/isbn&gt;&lt;urls&gt;&lt;/urls&gt;&lt;electronic-resource-num&gt;10.1029/2020JB019668.&lt;/electronic-resource-num&gt;&lt;/record&gt;&lt;/Cite&gt;&lt;/EndNote&gt;</w:instrText>
      </w:r>
      <w:r w:rsidR="007170E0">
        <w:rPr>
          <w:rFonts w:cs="Times New Roman"/>
          <w:color w:val="0000FF"/>
          <w:szCs w:val="24"/>
        </w:rPr>
        <w:fldChar w:fldCharType="end"/>
      </w:r>
      <w:r w:rsidR="007170E0" w:rsidRPr="004D4245">
        <w:rPr>
          <w:rFonts w:cs="Times New Roman"/>
          <w:color w:val="0000FF"/>
          <w:szCs w:val="24"/>
        </w:rPr>
        <w:t>2020</w:t>
      </w:r>
      <w:bookmarkEnd w:id="3"/>
      <w:r w:rsidR="007170E0" w:rsidRPr="004D4245">
        <w:rPr>
          <w:rFonts w:cs="Times New Roman"/>
          <w:szCs w:val="24"/>
        </w:rPr>
        <w:t xml:space="preserve">) </w:t>
      </w:r>
      <w:r w:rsidR="00FB3710" w:rsidRPr="00FB3710">
        <w:rPr>
          <w:rFonts w:cs="Times New Roman"/>
          <w:szCs w:val="24"/>
        </w:rPr>
        <w:t xml:space="preserve">and surface-wave </w:t>
      </w:r>
      <w:r w:rsidR="00FA2061" w:rsidRPr="004D4245">
        <w:rPr>
          <w:rFonts w:cs="Times New Roman"/>
          <w:szCs w:val="24"/>
        </w:rPr>
        <w:t xml:space="preserve">(e.g., </w:t>
      </w:r>
      <w:proofErr w:type="spellStart"/>
      <w:r w:rsidR="00FA2061" w:rsidRPr="004D4245">
        <w:rPr>
          <w:rFonts w:cs="Times New Roman"/>
          <w:color w:val="0000FF"/>
          <w:szCs w:val="24"/>
        </w:rPr>
        <w:t>Sebai</w:t>
      </w:r>
      <w:proofErr w:type="spellEnd"/>
      <w:r w:rsidR="00FA2061" w:rsidRPr="004D4245">
        <w:rPr>
          <w:rFonts w:cs="Times New Roman"/>
          <w:color w:val="0000FF"/>
          <w:szCs w:val="24"/>
        </w:rPr>
        <w:t xml:space="preserve"> </w:t>
      </w:r>
      <w:r w:rsidR="00FA2061" w:rsidRPr="004D4245">
        <w:rPr>
          <w:rFonts w:cs="Times New Roman"/>
          <w:i/>
          <w:iCs/>
          <w:color w:val="0000FF"/>
          <w:szCs w:val="24"/>
        </w:rPr>
        <w:t>et al</w:t>
      </w:r>
      <w:r w:rsidR="00FA2061" w:rsidRPr="004D4245">
        <w:rPr>
          <w:rFonts w:cs="Times New Roman"/>
          <w:color w:val="0000FF"/>
          <w:szCs w:val="24"/>
        </w:rPr>
        <w:t xml:space="preserve">., </w:t>
      </w:r>
      <w:r w:rsidR="00FA2061">
        <w:rPr>
          <w:rFonts w:cs="Times New Roman"/>
          <w:color w:val="0000FF"/>
          <w:szCs w:val="24"/>
        </w:rPr>
        <w:fldChar w:fldCharType="begin"/>
      </w:r>
      <w:r w:rsidR="00FA2061">
        <w:rPr>
          <w:rFonts w:cs="Times New Roman"/>
          <w:color w:val="0000FF"/>
          <w:szCs w:val="24"/>
        </w:rPr>
        <w:instrText xml:space="preserve"> ADDIN EN.CITE &lt;EndNote&gt;&lt;Cite Hidden="1"&gt;&lt;Author&gt;Sebai&lt;/Author&gt;&lt;Year&gt;2006&lt;/Year&gt;&lt;RecNum&gt;4988&lt;/RecNum&gt;&lt;record&gt;&lt;rec-number&gt;4988&lt;/rec-number&gt;&lt;foreign-keys&gt;&lt;key app="EN" db-id="50wxdpzd9vd5r7e9t5b595djrfpttrxw9avp" timestamp="1649065653"&gt;4988&lt;/key&gt;&lt;/foreign-keys&gt;&lt;ref-type name="Journal Article"&gt;17&lt;/ref-type&gt;&lt;contributors&gt;&lt;authors&gt;&lt;author&gt;Sebai, Amal&lt;/author&gt;&lt;author&gt;Stutzmann, Eléonore&lt;/author&gt;&lt;author&gt;Montagner, Jean-Paul&lt;/author&gt;&lt;author&gt;Sicilia, Déborah&lt;/author&gt;&lt;author&gt;Beucler, Eric&lt;/author&gt;&lt;/authors&gt;&lt;/contributors&gt;&lt;titles&gt;&lt;title&gt;Anisotropic structure of the African upper mantle from Rayleigh and Love wave tomography&lt;/title&gt;&lt;secondary-title&gt;Physics of the Earth Planetary Interiors&lt;/secondary-title&gt;&lt;/titles&gt;&lt;periodical&gt;&lt;full-title&gt;Physics of the Earth Planetary Interiors&lt;/full-title&gt;&lt;/periodical&gt;&lt;pages&gt;48-62&lt;/pages&gt;&lt;volume&gt;155&lt;/volume&gt;&lt;number&gt;1-2&lt;/number&gt;&lt;dates&gt;&lt;year&gt;2006&lt;/year&gt;&lt;/dates&gt;&lt;isbn&gt;0031-9201&lt;/isbn&gt;&lt;urls&gt;&lt;/urls&gt;&lt;electronic-resource-num&gt;10.1016/j.pepi.2005.09.009.&lt;/electronic-resource-num&gt;&lt;/record&gt;&lt;/Cite&gt;&lt;/EndNote&gt;</w:instrText>
      </w:r>
      <w:r w:rsidR="00FA2061">
        <w:rPr>
          <w:rFonts w:cs="Times New Roman"/>
          <w:color w:val="0000FF"/>
          <w:szCs w:val="24"/>
        </w:rPr>
        <w:fldChar w:fldCharType="end"/>
      </w:r>
      <w:r w:rsidR="00FA2061" w:rsidRPr="004D4245">
        <w:rPr>
          <w:rFonts w:cs="Times New Roman"/>
          <w:color w:val="0000FF"/>
          <w:szCs w:val="24"/>
        </w:rPr>
        <w:t xml:space="preserve">2006; </w:t>
      </w:r>
      <w:bookmarkStart w:id="4" w:name="_Hlk100844960"/>
      <w:r w:rsidR="00FA2061" w:rsidRPr="00110D0D">
        <w:rPr>
          <w:rFonts w:cs="Times New Roman"/>
          <w:color w:val="0000FF"/>
          <w:szCs w:val="24"/>
        </w:rPr>
        <w:t>Guidarelli</w:t>
      </w:r>
      <w:r w:rsidR="00FA2061">
        <w:rPr>
          <w:rFonts w:cs="Times New Roman"/>
          <w:color w:val="0000FF"/>
          <w:szCs w:val="24"/>
        </w:rPr>
        <w:fldChar w:fldCharType="begin"/>
      </w:r>
      <w:r w:rsidR="00FA2061">
        <w:rPr>
          <w:rFonts w:cs="Times New Roman"/>
          <w:color w:val="0000FF"/>
          <w:szCs w:val="24"/>
        </w:rPr>
        <w:instrText xml:space="preserve"> ADDIN EN.CITE &lt;EndNote&gt;&lt;Cite Hidden="1"&gt;&lt;Author&gt;Guidarelli&lt;/Author&gt;&lt;Year&gt;2011&lt;/Year&gt;&lt;RecNum&gt;5337&lt;/RecNum&gt;&lt;record&gt;&lt;rec-number&gt;5337&lt;/rec-number&gt;&lt;foreign-keys&gt;&lt;key app="EN" db-id="50wxdpzd9vd5r7e9t5b595djrfpttrxw9avp" timestamp="1660601424"&gt;5337&lt;/key&gt;&lt;/foreign-keys&gt;&lt;ref-type name="Journal Article"&gt;17&lt;/ref-type&gt;&lt;contributors&gt;&lt;authors&gt;&lt;author&gt;Guidarelli, M.&lt;/author&gt;&lt;author&gt;Stuart, G.&lt;/author&gt;&lt;author&gt;Hammond, J. O. S.&lt;/author&gt;&lt;author&gt;Kendall, J. M.&lt;/author&gt;&lt;author&gt;Ayele, A&lt;/author&gt;&lt;author&gt;Belachew, M.&lt;/author&gt;&lt;/authors&gt;&lt;/contributors&gt;&lt;titles&gt;&lt;title&gt;Surface wave tomography across Afar, Ethiopia: Crustal structure at a rift triple-junction zone&lt;/title&gt;&lt;secondary-title&gt;Geophysical Research Letters&lt;/secondary-title&gt;&lt;/titles&gt;&lt;periodical&gt;&lt;full-title&gt;Geophys Res Lett&lt;/full-title&gt;&lt;abbr-1&gt;Geophysical research letters&lt;/abbr-1&gt;&lt;/periodical&gt;&lt;volume&gt;38&lt;/volume&gt;&lt;number&gt;24&lt;/number&gt;&lt;dates&gt;&lt;year&gt;2011&lt;/year&gt;&lt;/dates&gt;&lt;isbn&gt;0094-8276&lt;/isbn&gt;&lt;urls&gt;&lt;related-urls&gt;&lt;url&gt;https://agupubs.onlinelibrary.wiley.com/doi/abs/10.1029/2011GL046840&lt;/url&gt;&lt;/related-urls&gt;&lt;/urls&gt;&lt;electronic-resource-num&gt;https://doi.org/10.1029/2011GL046840.&lt;/electronic-resource-num&gt;&lt;/record&gt;&lt;/Cite&gt;&lt;/EndNote&gt;</w:instrText>
      </w:r>
      <w:r w:rsidR="00FA2061">
        <w:rPr>
          <w:rFonts w:cs="Times New Roman"/>
          <w:color w:val="0000FF"/>
          <w:szCs w:val="24"/>
        </w:rPr>
        <w:fldChar w:fldCharType="end"/>
      </w:r>
      <w:r w:rsidR="00FA2061" w:rsidRPr="00110D0D">
        <w:rPr>
          <w:rFonts w:cs="Times New Roman"/>
          <w:color w:val="0000FF"/>
          <w:szCs w:val="24"/>
        </w:rPr>
        <w:t xml:space="preserve"> </w:t>
      </w:r>
      <w:r w:rsidR="00FA2061" w:rsidRPr="00110D0D">
        <w:rPr>
          <w:rFonts w:cs="Times New Roman"/>
          <w:i/>
          <w:iCs/>
          <w:color w:val="0000FF"/>
          <w:szCs w:val="24"/>
        </w:rPr>
        <w:t>et al.,</w:t>
      </w:r>
      <w:r w:rsidR="00FA2061" w:rsidRPr="00110D0D">
        <w:rPr>
          <w:rFonts w:cs="Times New Roman"/>
          <w:color w:val="0000FF"/>
          <w:szCs w:val="24"/>
        </w:rPr>
        <w:t xml:space="preserve"> 2011; </w:t>
      </w:r>
      <w:r w:rsidR="00FA2061" w:rsidRPr="004D4245">
        <w:rPr>
          <w:rFonts w:cs="Times New Roman"/>
          <w:color w:val="0000FF"/>
          <w:szCs w:val="24"/>
        </w:rPr>
        <w:t xml:space="preserve">Gallacher </w:t>
      </w:r>
      <w:r w:rsidR="00FA2061" w:rsidRPr="004D4245">
        <w:rPr>
          <w:rFonts w:cs="Times New Roman"/>
          <w:i/>
          <w:iCs/>
          <w:color w:val="0000FF"/>
          <w:szCs w:val="24"/>
        </w:rPr>
        <w:t>et al.,</w:t>
      </w:r>
      <w:r w:rsidR="00FA2061" w:rsidRPr="004D4245">
        <w:rPr>
          <w:rFonts w:cs="Times New Roman"/>
          <w:color w:val="0000FF"/>
          <w:szCs w:val="24"/>
        </w:rPr>
        <w:t xml:space="preserve"> 2016; Chambers </w:t>
      </w:r>
      <w:r w:rsidR="00FA2061" w:rsidRPr="004D4245">
        <w:rPr>
          <w:rFonts w:cs="Times New Roman"/>
          <w:i/>
          <w:iCs/>
          <w:color w:val="0000FF"/>
          <w:szCs w:val="24"/>
        </w:rPr>
        <w:t>et al</w:t>
      </w:r>
      <w:r w:rsidR="00FA2061" w:rsidRPr="004D4245">
        <w:rPr>
          <w:rFonts w:cs="Times New Roman"/>
          <w:color w:val="0000FF"/>
          <w:szCs w:val="24"/>
        </w:rPr>
        <w:t xml:space="preserve">., </w:t>
      </w:r>
      <w:r w:rsidR="00FA2061" w:rsidRPr="004D4245">
        <w:rPr>
          <w:rFonts w:cs="Times New Roman"/>
          <w:color w:val="0000FF"/>
          <w:szCs w:val="24"/>
        </w:rPr>
        <w:fldChar w:fldCharType="begin"/>
      </w:r>
      <w:r w:rsidR="00FA2061">
        <w:rPr>
          <w:rFonts w:cs="Times New Roman"/>
          <w:color w:val="0000FF"/>
          <w:szCs w:val="24"/>
        </w:rPr>
        <w:instrText xml:space="preserve"> ADDIN EN.CITE &lt;EndNote&gt;&lt;Cite Hidden="1"&gt;&lt;Author&gt;Chambers&lt;/Author&gt;&lt;Year&gt;2019&lt;/Year&gt;&lt;RecNum&gt;4923&lt;/RecNum&gt;&lt;record&gt;&lt;rec-number&gt;4923&lt;/rec-number&gt;&lt;foreign-keys&gt;&lt;key app="EN" db-id="50wxdpzd9vd5r7e9t5b595djrfpttrxw9avp" timestamp="1647035397"&gt;4923&lt;/key&gt;&lt;/foreign-keys&gt;&lt;ref-type name="Journal Article"&gt;17&lt;/ref-type&gt;&lt;contributors&gt;&lt;authors&gt;&lt;author&gt;Chambers, Emma L&lt;/author&gt;&lt;author&gt;Harmon, Nicholas&lt;/author&gt;&lt;author&gt;Keir, Derek&lt;/author&gt;&lt;author&gt;Rychert, Catherine A&lt;/author&gt;&lt;/authors&gt;&lt;/contributors&gt;&lt;titles&gt;&lt;title&gt;Using ambient noise to image the northern East African Rift&lt;/title&gt;&lt;secondary-title&gt;Geochemistry, Geophysics, Geosystems&lt;/secondary-title&gt;&lt;/titles&gt;&lt;periodical&gt;&lt;full-title&gt;Geochemistry, Geophysics, Geosystems&lt;/full-title&gt;&lt;/periodical&gt;&lt;pages&gt;2091-2109&lt;/pages&gt;&lt;volume&gt;20&lt;/volume&gt;&lt;number&gt;4&lt;/number&gt;&lt;dates&gt;&lt;year&gt;2019&lt;/year&gt;&lt;/dates&gt;&lt;isbn&gt;1525-2027&lt;/isbn&gt;&lt;urls&gt;&lt;/urls&gt;&lt;electronic-resource-num&gt;https://doi.org/10.1029/2018GC008129.&lt;/electronic-resource-num&gt;&lt;/record&gt;&lt;/Cite&gt;&lt;/EndNote&gt;</w:instrText>
      </w:r>
      <w:r w:rsidR="00FA2061" w:rsidRPr="004D4245">
        <w:rPr>
          <w:rFonts w:cs="Times New Roman"/>
          <w:color w:val="0000FF"/>
          <w:szCs w:val="24"/>
        </w:rPr>
        <w:fldChar w:fldCharType="end"/>
      </w:r>
      <w:r w:rsidR="00FA2061" w:rsidRPr="004D4245">
        <w:rPr>
          <w:rFonts w:cs="Times New Roman"/>
          <w:color w:val="0000FF"/>
          <w:szCs w:val="24"/>
        </w:rPr>
        <w:t>2019</w:t>
      </w:r>
      <w:bookmarkEnd w:id="4"/>
      <w:r w:rsidR="00FA2061" w:rsidRPr="004D4245">
        <w:rPr>
          <w:rFonts w:cs="Times New Roman"/>
          <w:szCs w:val="24"/>
        </w:rPr>
        <w:t>)</w:t>
      </w:r>
      <w:r w:rsidR="00FA2061">
        <w:rPr>
          <w:rFonts w:cs="Times New Roman"/>
          <w:szCs w:val="24"/>
        </w:rPr>
        <w:t xml:space="preserve"> </w:t>
      </w:r>
      <w:r w:rsidR="00FB3710" w:rsidRPr="00FB3710">
        <w:rPr>
          <w:rFonts w:cs="Times New Roman"/>
          <w:szCs w:val="24"/>
        </w:rPr>
        <w:t xml:space="preserve">analyses—consistently identify low-velocity anomalies within the upper mantle beneath Afar, indicative of thermal and </w:t>
      </w:r>
      <w:r w:rsidR="00FB3710" w:rsidRPr="00FB3710">
        <w:rPr>
          <w:rFonts w:cs="Times New Roman"/>
          <w:szCs w:val="24"/>
        </w:rPr>
        <w:lastRenderedPageBreak/>
        <w:t>compositional variations associated with mantle upwelling</w:t>
      </w:r>
      <w:r w:rsidR="00C279FC">
        <w:rPr>
          <w:rFonts w:cs="Times New Roman"/>
          <w:szCs w:val="24"/>
        </w:rPr>
        <w:t xml:space="preserve">. </w:t>
      </w:r>
      <w:r w:rsidR="0069207D" w:rsidRPr="0069207D">
        <w:rPr>
          <w:rFonts w:cs="Times New Roman"/>
          <w:szCs w:val="24"/>
        </w:rPr>
        <w:t xml:space="preserve">For instance, </w:t>
      </w:r>
      <w:r w:rsidR="006F4BA2" w:rsidRPr="00C326BE">
        <w:rPr>
          <w:rFonts w:cs="Times New Roman"/>
          <w:szCs w:val="24"/>
        </w:rPr>
        <w:t xml:space="preserve">Civiero </w:t>
      </w:r>
      <w:r w:rsidR="006F4BA2" w:rsidRPr="00C326BE">
        <w:rPr>
          <w:rFonts w:cs="Times New Roman"/>
          <w:i/>
          <w:iCs/>
          <w:szCs w:val="24"/>
        </w:rPr>
        <w:t>et al.</w:t>
      </w:r>
      <w:r w:rsidR="006F4BA2" w:rsidRPr="00C326BE">
        <w:rPr>
          <w:rFonts w:cs="Times New Roman"/>
          <w:szCs w:val="24"/>
        </w:rPr>
        <w:t xml:space="preserve"> </w:t>
      </w:r>
      <w:r w:rsidR="006F4BA2">
        <w:rPr>
          <w:rFonts w:cs="Times New Roman"/>
          <w:szCs w:val="24"/>
        </w:rPr>
        <w:t>(</w:t>
      </w:r>
      <w:r w:rsidR="006F4BA2" w:rsidRPr="008A509E">
        <w:rPr>
          <w:rFonts w:cs="Times New Roman"/>
          <w:color w:val="0000FF"/>
          <w:szCs w:val="24"/>
        </w:rPr>
        <w:t>2015</w:t>
      </w:r>
      <w:r w:rsidR="006F4BA2">
        <w:rPr>
          <w:rFonts w:cs="Times New Roman"/>
          <w:szCs w:val="24"/>
        </w:rPr>
        <w:t>)</w:t>
      </w:r>
      <w:r w:rsidR="006F4BA2" w:rsidRPr="008A509E">
        <w:t xml:space="preserve"> </w:t>
      </w:r>
      <w:r w:rsidR="00B279C1" w:rsidRPr="00B279C1">
        <w:rPr>
          <w:rFonts w:cs="Times New Roman"/>
          <w:szCs w:val="24"/>
        </w:rPr>
        <w:t>used relative p</w:t>
      </w:r>
      <w:r w:rsidR="00B279C1">
        <w:rPr>
          <w:rFonts w:cs="Times New Roman"/>
          <w:szCs w:val="24"/>
        </w:rPr>
        <w:t>-</w:t>
      </w:r>
      <w:r w:rsidR="00B279C1" w:rsidRPr="00B279C1">
        <w:rPr>
          <w:rFonts w:cs="Times New Roman"/>
          <w:szCs w:val="24"/>
        </w:rPr>
        <w:t xml:space="preserve">wave </w:t>
      </w:r>
      <w:r w:rsidR="009F79AC">
        <w:rPr>
          <w:rFonts w:cs="Times New Roman"/>
          <w:szCs w:val="24"/>
        </w:rPr>
        <w:t>travel-time</w:t>
      </w:r>
      <w:r w:rsidR="00B279C1" w:rsidRPr="00B279C1">
        <w:rPr>
          <w:rFonts w:cs="Times New Roman"/>
          <w:szCs w:val="24"/>
        </w:rPr>
        <w:t xml:space="preserve"> analysis to identify</w:t>
      </w:r>
      <w:r w:rsidR="006569B3">
        <w:rPr>
          <w:rFonts w:cs="Times New Roman"/>
          <w:szCs w:val="24"/>
        </w:rPr>
        <w:t xml:space="preserve"> </w:t>
      </w:r>
      <w:r w:rsidR="0069207D" w:rsidRPr="0069207D">
        <w:rPr>
          <w:rFonts w:cs="Times New Roman"/>
          <w:szCs w:val="24"/>
        </w:rPr>
        <w:t xml:space="preserve">two low-velocity clusters (200–800 km depth) beneath Afar and west of the MER, while </w:t>
      </w:r>
      <w:r w:rsidR="006F4BA2" w:rsidRPr="004D4245">
        <w:rPr>
          <w:rFonts w:cs="Times New Roman"/>
          <w:szCs w:val="24"/>
        </w:rPr>
        <w:t xml:space="preserve">Lim </w:t>
      </w:r>
      <w:r w:rsidR="006F4BA2" w:rsidRPr="004D4245">
        <w:rPr>
          <w:rFonts w:cs="Times New Roman"/>
          <w:i/>
          <w:iCs/>
          <w:szCs w:val="24"/>
        </w:rPr>
        <w:t>et al.</w:t>
      </w:r>
      <w:r w:rsidR="006F4BA2" w:rsidRPr="004D4245">
        <w:rPr>
          <w:rFonts w:cs="Times New Roman"/>
          <w:szCs w:val="24"/>
        </w:rPr>
        <w:t xml:space="preserve"> (</w:t>
      </w:r>
      <w:r w:rsidR="006F4BA2" w:rsidRPr="004D4245">
        <w:rPr>
          <w:rFonts w:cs="Times New Roman"/>
          <w:color w:val="0000FF"/>
          <w:szCs w:val="24"/>
        </w:rPr>
        <w:t>2020</w:t>
      </w:r>
      <w:r w:rsidR="006F4BA2" w:rsidRPr="004D4245">
        <w:rPr>
          <w:rFonts w:cs="Times New Roman"/>
          <w:szCs w:val="24"/>
        </w:rPr>
        <w:t xml:space="preserve">) </w:t>
      </w:r>
      <w:r w:rsidR="00CC3583" w:rsidRPr="00CC3583">
        <w:rPr>
          <w:rFonts w:cs="Times New Roman"/>
          <w:szCs w:val="24"/>
        </w:rPr>
        <w:t>detected a 100–300 km deep low-velocity anomaly beneath the Arabian shield, which they interpreted as a northward flow of plume material from the upper mantle.</w:t>
      </w:r>
      <w:r w:rsidR="0069207D" w:rsidRPr="0069207D">
        <w:rPr>
          <w:rFonts w:cs="Times New Roman"/>
          <w:szCs w:val="24"/>
        </w:rPr>
        <w:t xml:space="preserve"> Despite consensus on </w:t>
      </w:r>
      <w:r w:rsidR="005C4ADC">
        <w:rPr>
          <w:rFonts w:cs="Times New Roman"/>
          <w:szCs w:val="24"/>
        </w:rPr>
        <w:t xml:space="preserve">the role of </w:t>
      </w:r>
      <w:r w:rsidR="0069207D" w:rsidRPr="0069207D">
        <w:rPr>
          <w:rFonts w:cs="Times New Roman"/>
          <w:szCs w:val="24"/>
        </w:rPr>
        <w:t>mantle upwelling, debates persist regarding the number, geometry, and vertical extent of these upwellings.</w:t>
      </w:r>
    </w:p>
    <w:p w14:paraId="277B690A" w14:textId="77777777" w:rsidR="00731E34" w:rsidRDefault="00731E34" w:rsidP="00BE7C4F">
      <w:pPr>
        <w:spacing w:before="0" w:line="360" w:lineRule="auto"/>
        <w:ind w:firstLine="426"/>
        <w:rPr>
          <w:rFonts w:cs="Times New Roman"/>
          <w:szCs w:val="24"/>
        </w:rPr>
      </w:pPr>
    </w:p>
    <w:p w14:paraId="5C185F63" w14:textId="77777777" w:rsidR="00EC476E" w:rsidRDefault="00EC476E" w:rsidP="00EC476E">
      <w:pPr>
        <w:spacing w:before="0" w:line="240" w:lineRule="auto"/>
        <w:ind w:left="709" w:hanging="709"/>
        <w:rPr>
          <w:rFonts w:cs="Times New Roman"/>
          <w:noProof/>
          <w:szCs w:val="24"/>
        </w:rPr>
      </w:pPr>
      <w:r w:rsidRPr="00845810">
        <w:rPr>
          <w:noProof/>
        </w:rPr>
        <w:drawing>
          <wp:inline distT="0" distB="0" distL="0" distR="0" wp14:anchorId="476C763A" wp14:editId="27005BF3">
            <wp:extent cx="6106795" cy="3504899"/>
            <wp:effectExtent l="0" t="0" r="825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06795" cy="3504899"/>
                    </a:xfrm>
                    <a:prstGeom prst="rect">
                      <a:avLst/>
                    </a:prstGeom>
                  </pic:spPr>
                </pic:pic>
              </a:graphicData>
            </a:graphic>
          </wp:inline>
        </w:drawing>
      </w:r>
    </w:p>
    <w:p w14:paraId="2E10513A" w14:textId="77777777" w:rsidR="00EC476E" w:rsidRDefault="00EC476E" w:rsidP="00EC476E">
      <w:pPr>
        <w:spacing w:before="0" w:line="240" w:lineRule="auto"/>
        <w:ind w:left="709" w:hanging="709"/>
        <w:rPr>
          <w:rFonts w:cs="Times New Roman"/>
          <w:noProof/>
          <w:szCs w:val="24"/>
        </w:rPr>
      </w:pPr>
    </w:p>
    <w:p w14:paraId="4308E600" w14:textId="58613457" w:rsidR="00EC476E" w:rsidRDefault="00EC476E" w:rsidP="00BA7835">
      <w:pPr>
        <w:spacing w:before="0" w:line="240" w:lineRule="auto"/>
        <w:ind w:firstLine="0"/>
        <w:rPr>
          <w:rFonts w:cs="Times New Roman"/>
          <w:noProof/>
          <w:szCs w:val="24"/>
        </w:rPr>
      </w:pPr>
      <w:r w:rsidRPr="00036346">
        <w:rPr>
          <w:rFonts w:cs="Times New Roman"/>
          <w:noProof/>
          <w:sz w:val="22"/>
        </w:rPr>
        <w:t>Figure 1</w:t>
      </w:r>
      <w:r w:rsidR="00BA7835" w:rsidRPr="00036346">
        <w:rPr>
          <w:rFonts w:cs="Times New Roman"/>
          <w:noProof/>
          <w:sz w:val="22"/>
        </w:rPr>
        <w:t xml:space="preserve">: </w:t>
      </w:r>
      <w:r w:rsidRPr="00036346">
        <w:rPr>
          <w:rFonts w:cs="Times New Roman"/>
          <w:b/>
          <w:bCs/>
          <w:noProof/>
          <w:sz w:val="22"/>
        </w:rPr>
        <w:t>(a)</w:t>
      </w:r>
      <w:r w:rsidRPr="00036346">
        <w:rPr>
          <w:rFonts w:cs="Times New Roman"/>
          <w:noProof/>
          <w:sz w:val="22"/>
        </w:rPr>
        <w:t xml:space="preserve"> Location map of the study region, </w:t>
      </w:r>
      <w:r w:rsidRPr="00036346">
        <w:rPr>
          <w:rFonts w:cs="Times New Roman"/>
          <w:b/>
          <w:bCs/>
          <w:noProof/>
          <w:sz w:val="22"/>
        </w:rPr>
        <w:t>(b)</w:t>
      </w:r>
      <w:r w:rsidRPr="00036346">
        <w:rPr>
          <w:rFonts w:cs="Times New Roman"/>
          <w:noProof/>
          <w:sz w:val="22"/>
        </w:rPr>
        <w:t xml:space="preserve"> Tectonic setting of the region showing earthquake epicenters (circles increasing with magnitude between mb 3.0 and 7.0) and seismic stations (blue triangles).</w:t>
      </w:r>
    </w:p>
    <w:p w14:paraId="062734CF" w14:textId="77777777" w:rsidR="00EC476E" w:rsidRDefault="00EC476E" w:rsidP="00BE7C4F">
      <w:pPr>
        <w:spacing w:before="0" w:line="360" w:lineRule="auto"/>
        <w:ind w:firstLine="426"/>
        <w:rPr>
          <w:rFonts w:cs="Times New Roman"/>
          <w:szCs w:val="24"/>
        </w:rPr>
      </w:pPr>
    </w:p>
    <w:p w14:paraId="3D2982BC" w14:textId="4479763B" w:rsidR="00E970DE" w:rsidRDefault="006A03A2" w:rsidP="00F7686E">
      <w:pPr>
        <w:spacing w:before="0" w:line="360" w:lineRule="auto"/>
        <w:ind w:firstLine="426"/>
        <w:rPr>
          <w:rFonts w:cs="Times New Roman"/>
          <w:szCs w:val="24"/>
        </w:rPr>
      </w:pPr>
      <w:r w:rsidRPr="009761BA">
        <w:rPr>
          <w:rFonts w:cs="Times New Roman"/>
          <w:szCs w:val="24"/>
        </w:rPr>
        <w:t>In contrast to earlier investigations that primarily emphasi</w:t>
      </w:r>
      <w:r w:rsidR="00A76826">
        <w:rPr>
          <w:rFonts w:cs="Times New Roman"/>
          <w:szCs w:val="24"/>
        </w:rPr>
        <w:t>s</w:t>
      </w:r>
      <w:r w:rsidRPr="009761BA">
        <w:rPr>
          <w:rFonts w:cs="Times New Roman"/>
          <w:szCs w:val="24"/>
        </w:rPr>
        <w:t>ed mantle features</w:t>
      </w:r>
      <w:r w:rsidR="00AD4C09" w:rsidRPr="009761BA">
        <w:rPr>
          <w:rFonts w:cs="Times New Roman"/>
          <w:szCs w:val="24"/>
        </w:rPr>
        <w:t xml:space="preserve"> </w:t>
      </w:r>
      <w:r w:rsidRPr="009761BA">
        <w:rPr>
          <w:rFonts w:cs="Times New Roman"/>
          <w:szCs w:val="24"/>
        </w:rPr>
        <w:t>(</w:t>
      </w:r>
      <w:r w:rsidRPr="009761BA">
        <w:rPr>
          <w:rFonts w:cs="Times New Roman"/>
          <w:color w:val="0000FF"/>
          <w:szCs w:val="24"/>
        </w:rPr>
        <w:t xml:space="preserve">Lim </w:t>
      </w:r>
      <w:r w:rsidRPr="009761BA">
        <w:rPr>
          <w:rFonts w:cs="Times New Roman"/>
          <w:i/>
          <w:iCs/>
          <w:color w:val="0000FF"/>
          <w:szCs w:val="24"/>
        </w:rPr>
        <w:t>et al.,</w:t>
      </w:r>
      <w:r w:rsidRPr="009761BA">
        <w:rPr>
          <w:rFonts w:cs="Times New Roman"/>
          <w:color w:val="0000FF"/>
          <w:szCs w:val="24"/>
        </w:rPr>
        <w:t xml:space="preserve"> 2020</w:t>
      </w:r>
      <w:r w:rsidRPr="009761BA">
        <w:rPr>
          <w:rFonts w:cs="Times New Roman"/>
          <w:szCs w:val="24"/>
        </w:rPr>
        <w:t>), experiments such as the Ethiopia Afar Geoscientific Lithospheric Experiment (EAGLE) have been specifically designed to probe both the crust and the upper mantle</w:t>
      </w:r>
      <w:r w:rsidR="00AD4C09" w:rsidRPr="009761BA">
        <w:rPr>
          <w:rFonts w:cs="Times New Roman"/>
          <w:szCs w:val="24"/>
        </w:rPr>
        <w:t xml:space="preserve"> (</w:t>
      </w:r>
      <w:r w:rsidR="00AD4C09" w:rsidRPr="009761BA">
        <w:rPr>
          <w:rFonts w:cs="Times New Roman"/>
          <w:color w:val="0000FF"/>
          <w:szCs w:val="24"/>
        </w:rPr>
        <w:t xml:space="preserve">Mackenzie </w:t>
      </w:r>
      <w:r w:rsidR="00AD4C09" w:rsidRPr="009761BA">
        <w:rPr>
          <w:rFonts w:cs="Times New Roman"/>
          <w:i/>
          <w:iCs/>
          <w:color w:val="0000FF"/>
          <w:szCs w:val="24"/>
        </w:rPr>
        <w:t>et al</w:t>
      </w:r>
      <w:r w:rsidR="00AD4C09" w:rsidRPr="009761BA">
        <w:rPr>
          <w:rFonts w:cs="Times New Roman"/>
          <w:color w:val="0000FF"/>
          <w:szCs w:val="24"/>
        </w:rPr>
        <w:t xml:space="preserve">., 2005; Maguire </w:t>
      </w:r>
      <w:r w:rsidR="00AD4C09" w:rsidRPr="009761BA">
        <w:rPr>
          <w:rFonts w:cs="Times New Roman"/>
          <w:i/>
          <w:iCs/>
          <w:color w:val="0000FF"/>
          <w:szCs w:val="24"/>
        </w:rPr>
        <w:t>et al</w:t>
      </w:r>
      <w:r w:rsidR="00AD4C09" w:rsidRPr="009761BA">
        <w:rPr>
          <w:rFonts w:cs="Times New Roman"/>
          <w:color w:val="0000FF"/>
          <w:szCs w:val="24"/>
        </w:rPr>
        <w:t>., 2006</w:t>
      </w:r>
      <w:r w:rsidR="00AD4C09" w:rsidRPr="009761BA">
        <w:rPr>
          <w:rFonts w:cs="Times New Roman"/>
          <w:szCs w:val="24"/>
        </w:rPr>
        <w:t>)</w:t>
      </w:r>
      <w:r w:rsidRPr="009761BA">
        <w:rPr>
          <w:rFonts w:cs="Times New Roman"/>
          <w:szCs w:val="24"/>
        </w:rPr>
        <w:t>.</w:t>
      </w:r>
      <w:r w:rsidR="00AD4C09" w:rsidRPr="009761BA">
        <w:rPr>
          <w:rFonts w:cs="Times New Roman"/>
          <w:szCs w:val="24"/>
        </w:rPr>
        <w:t xml:space="preserve"> </w:t>
      </w:r>
      <w:r w:rsidRPr="009761BA">
        <w:rPr>
          <w:rFonts w:cs="Times New Roman"/>
          <w:szCs w:val="24"/>
        </w:rPr>
        <w:t>The EAGLE deployment, targeting a transitional segment of the MER valley</w:t>
      </w:r>
      <w:r w:rsidR="006A4DD6" w:rsidRPr="009761BA">
        <w:rPr>
          <w:rFonts w:cs="Times New Roman"/>
          <w:szCs w:val="24"/>
        </w:rPr>
        <w:t>(</w:t>
      </w:r>
      <w:r w:rsidR="006A4DD6" w:rsidRPr="009761BA">
        <w:rPr>
          <w:rFonts w:cs="Times New Roman"/>
          <w:color w:val="0000FF"/>
          <w:szCs w:val="24"/>
        </w:rPr>
        <w:t xml:space="preserve">Kendall </w:t>
      </w:r>
      <w:r w:rsidR="006A4DD6" w:rsidRPr="009761BA">
        <w:rPr>
          <w:rFonts w:cs="Times New Roman"/>
          <w:i/>
          <w:iCs/>
          <w:color w:val="0000FF"/>
          <w:szCs w:val="24"/>
        </w:rPr>
        <w:t>et al.,</w:t>
      </w:r>
      <w:r w:rsidR="006A4DD6" w:rsidRPr="009761BA">
        <w:rPr>
          <w:rFonts w:cs="Times New Roman"/>
          <w:color w:val="0000FF"/>
          <w:szCs w:val="24"/>
        </w:rPr>
        <w:t xml:space="preserve"> 2005</w:t>
      </w:r>
      <w:r w:rsidR="006A4DD6" w:rsidRPr="009761BA">
        <w:rPr>
          <w:rFonts w:cs="Times New Roman"/>
          <w:szCs w:val="24"/>
        </w:rPr>
        <w:t>)</w:t>
      </w:r>
      <w:r w:rsidRPr="009761BA">
        <w:rPr>
          <w:rFonts w:cs="Times New Roman"/>
          <w:szCs w:val="24"/>
        </w:rPr>
        <w:t>, has provided critical data that underpin subsequent crustal tomography studies</w:t>
      </w:r>
      <w:r w:rsidR="002C55B5" w:rsidRPr="009761BA">
        <w:rPr>
          <w:rFonts w:cs="Times New Roman"/>
          <w:szCs w:val="24"/>
        </w:rPr>
        <w:t xml:space="preserve"> </w:t>
      </w:r>
      <w:r w:rsidR="006A4DD6" w:rsidRPr="009761BA">
        <w:t xml:space="preserve">(e.g., </w:t>
      </w:r>
      <w:r w:rsidR="009761BA" w:rsidRPr="009761BA">
        <w:rPr>
          <w:rFonts w:cs="Times New Roman"/>
          <w:color w:val="0000FF"/>
          <w:szCs w:val="24"/>
        </w:rPr>
        <w:t xml:space="preserve">Daly </w:t>
      </w:r>
      <w:r w:rsidR="009761BA" w:rsidRPr="009761BA">
        <w:rPr>
          <w:rFonts w:cs="Times New Roman"/>
          <w:i/>
          <w:iCs/>
          <w:color w:val="0000FF"/>
          <w:szCs w:val="24"/>
        </w:rPr>
        <w:t>et al.,</w:t>
      </w:r>
      <w:r w:rsidR="009761BA" w:rsidRPr="009761BA">
        <w:rPr>
          <w:rFonts w:cs="Times New Roman"/>
          <w:color w:val="0000FF"/>
          <w:szCs w:val="24"/>
        </w:rPr>
        <w:t xml:space="preserve"> </w:t>
      </w:r>
      <w:r w:rsidR="009761BA" w:rsidRPr="009761BA">
        <w:rPr>
          <w:rFonts w:cs="Times New Roman"/>
          <w:color w:val="0000FF"/>
          <w:szCs w:val="24"/>
        </w:rPr>
        <w:fldChar w:fldCharType="begin"/>
      </w:r>
      <w:r w:rsidR="009761BA" w:rsidRPr="009761BA">
        <w:rPr>
          <w:rFonts w:cs="Times New Roman"/>
          <w:color w:val="0000FF"/>
          <w:szCs w:val="24"/>
        </w:rPr>
        <w:instrText xml:space="preserve"> ADDIN EN.CITE &lt;EndNote&gt;&lt;Cite Hidden="1"&gt;&lt;Author&gt;Daly&lt;/Author&gt;&lt;Year&gt;2008&lt;/Year&gt;&lt;RecNum&gt;4963&lt;/RecNum&gt;&lt;record&gt;&lt;rec-number&gt;4963&lt;/rec-number&gt;&lt;foreign-keys&gt;&lt;key app="EN" db-id="50wxdpzd9vd5r7e9t5b595djrfpttrxw9avp" timestamp="1648203915"&gt;4963&lt;/key&gt;&lt;/foreign-keys&gt;&lt;ref-type name="Journal Article"&gt;17&lt;/ref-type&gt;&lt;contributors&gt;&lt;authors&gt;&lt;author&gt;Daly, E&lt;/author&gt;&lt;author&gt;Keir, D&lt;/author&gt;&lt;author&gt;Ebinger, CJ&lt;/author&gt;&lt;author&gt;Stuart, GW&lt;/author&gt;&lt;author&gt;Bastow, ID&lt;/author&gt;&lt;author&gt;Ayele, A&lt;/author&gt;&lt;/authors&gt;&lt;/contributors&gt;&lt;titles&gt;&lt;title&gt;Crustal tomographic imaging of a transitional continental rift: The Ethiopian rift&lt;/title&gt;&lt;secondary-title&gt;Geophysical Journal International&lt;/secondary-title&gt;&lt;/titles&gt;&lt;periodical&gt;&lt;full-title&gt;Geophysical Journal International&lt;/full-title&gt;&lt;/periodical&gt;&lt;pages&gt;1033-1048&lt;/pages&gt;&lt;volume&gt;172&lt;/volume&gt;&lt;number&gt;3&lt;/number&gt;&lt;dates&gt;&lt;year&gt;2008&lt;/year&gt;&lt;/dates&gt;&lt;isbn&gt;1365-246X&lt;/isbn&gt;&lt;urls&gt;&lt;/urls&gt;&lt;electronic-resource-num&gt;10.1111/j.1365-246X.2007.03682.x.&lt;/electronic-resource-num&gt;&lt;/record&gt;&lt;/Cite&gt;&lt;/EndNote&gt;</w:instrText>
      </w:r>
      <w:r w:rsidR="009761BA" w:rsidRPr="009761BA">
        <w:rPr>
          <w:rFonts w:cs="Times New Roman"/>
          <w:color w:val="0000FF"/>
          <w:szCs w:val="24"/>
        </w:rPr>
        <w:fldChar w:fldCharType="end"/>
      </w:r>
      <w:r w:rsidR="009761BA" w:rsidRPr="009761BA">
        <w:rPr>
          <w:rFonts w:cs="Times New Roman"/>
          <w:color w:val="0000FF"/>
          <w:szCs w:val="24"/>
        </w:rPr>
        <w:t>2008</w:t>
      </w:r>
      <w:r w:rsidR="006A4DD6" w:rsidRPr="009761BA">
        <w:rPr>
          <w:rFonts w:cs="Times New Roman"/>
          <w:color w:val="0000FF"/>
          <w:szCs w:val="24"/>
        </w:rPr>
        <w:t xml:space="preserve">; </w:t>
      </w:r>
      <w:r w:rsidR="009761BA" w:rsidRPr="009761BA">
        <w:rPr>
          <w:rFonts w:cs="Times New Roman"/>
          <w:color w:val="0000FF"/>
          <w:szCs w:val="24"/>
        </w:rPr>
        <w:t>Guidarelli</w:t>
      </w:r>
      <w:r w:rsidR="009761BA" w:rsidRPr="009761BA">
        <w:rPr>
          <w:rFonts w:cs="Times New Roman"/>
          <w:color w:val="0000FF"/>
          <w:szCs w:val="24"/>
        </w:rPr>
        <w:fldChar w:fldCharType="begin"/>
      </w:r>
      <w:r w:rsidR="009761BA" w:rsidRPr="009761BA">
        <w:rPr>
          <w:rFonts w:cs="Times New Roman"/>
          <w:color w:val="0000FF"/>
          <w:szCs w:val="24"/>
        </w:rPr>
        <w:instrText xml:space="preserve"> ADDIN EN.CITE &lt;EndNote&gt;&lt;Cite Hidden="1"&gt;&lt;Author&gt;Guidarelli&lt;/Author&gt;&lt;Year&gt;2011&lt;/Year&gt;&lt;RecNum&gt;5337&lt;/RecNum&gt;&lt;record&gt;&lt;rec-number&gt;5337&lt;/rec-number&gt;&lt;foreign-keys&gt;&lt;key app="EN" db-id="50wxdpzd9vd5r7e9t5b595djrfpttrxw9avp" timestamp="1660601424"&gt;5337&lt;/key&gt;&lt;/foreign-keys&gt;&lt;ref-type name="Journal Article"&gt;17&lt;/ref-type&gt;&lt;contributors&gt;&lt;authors&gt;&lt;author&gt;Guidarelli, M.&lt;/author&gt;&lt;author&gt;Stuart, G.&lt;/author&gt;&lt;author&gt;Hammond, J. O. S.&lt;/author&gt;&lt;author&gt;Kendall, J. M.&lt;/author&gt;&lt;author&gt;Ayele, A&lt;/author&gt;&lt;author&gt;Belachew, M.&lt;/author&gt;&lt;/authors&gt;&lt;/contributors&gt;&lt;titles&gt;&lt;title&gt;Surface wave tomography across Afar, Ethiopia: Crustal structure at a rift triple-junction zone&lt;/title&gt;&lt;secondary-title&gt;Geophysical Research Letters&lt;/secondary-title&gt;&lt;/titles&gt;&lt;periodical&gt;&lt;full-title&gt;Geophys Res Lett&lt;/full-title&gt;&lt;abbr-1&gt;Geophysical research letters&lt;/abbr-1&gt;&lt;/periodical&gt;&lt;volume&gt;38&lt;/volume&gt;&lt;number&gt;24&lt;/number&gt;&lt;dates&gt;&lt;year&gt;2011&lt;/year&gt;&lt;/dates&gt;&lt;isbn&gt;0094-8276&lt;/isbn&gt;&lt;urls&gt;&lt;related-urls&gt;&lt;url&gt;https://agupubs.onlinelibrary.wiley.com/doi/abs/10.1029/2011GL046840&lt;/url&gt;&lt;/related-urls&gt;&lt;/urls&gt;&lt;electronic-resource-num&gt;https://doi.org/10.1029/2011GL046840.&lt;/electronic-resource-num&gt;&lt;/record&gt;&lt;/Cite&gt;&lt;/EndNote&gt;</w:instrText>
      </w:r>
      <w:r w:rsidR="009761BA" w:rsidRPr="009761BA">
        <w:rPr>
          <w:rFonts w:cs="Times New Roman"/>
          <w:color w:val="0000FF"/>
          <w:szCs w:val="24"/>
        </w:rPr>
        <w:fldChar w:fldCharType="end"/>
      </w:r>
      <w:r w:rsidR="009761BA" w:rsidRPr="009761BA">
        <w:rPr>
          <w:rFonts w:cs="Times New Roman"/>
          <w:color w:val="0000FF"/>
          <w:szCs w:val="24"/>
        </w:rPr>
        <w:t xml:space="preserve"> </w:t>
      </w:r>
      <w:r w:rsidR="009761BA" w:rsidRPr="009761BA">
        <w:rPr>
          <w:rFonts w:cs="Times New Roman"/>
          <w:i/>
          <w:iCs/>
          <w:color w:val="0000FF"/>
          <w:szCs w:val="24"/>
        </w:rPr>
        <w:t>et al.,</w:t>
      </w:r>
      <w:r w:rsidR="009761BA" w:rsidRPr="009761BA">
        <w:rPr>
          <w:rFonts w:cs="Times New Roman"/>
          <w:color w:val="0000FF"/>
          <w:szCs w:val="24"/>
        </w:rPr>
        <w:t xml:space="preserve"> 2011; Kim </w:t>
      </w:r>
      <w:r w:rsidR="009761BA" w:rsidRPr="009761BA">
        <w:rPr>
          <w:rFonts w:cs="Times New Roman"/>
          <w:i/>
          <w:iCs/>
          <w:color w:val="0000FF"/>
          <w:szCs w:val="24"/>
        </w:rPr>
        <w:t>et al</w:t>
      </w:r>
      <w:r w:rsidR="009761BA" w:rsidRPr="009761BA">
        <w:rPr>
          <w:rFonts w:cs="Times New Roman"/>
          <w:color w:val="0000FF"/>
          <w:szCs w:val="24"/>
        </w:rPr>
        <w:t xml:space="preserve">., </w:t>
      </w:r>
      <w:r w:rsidR="009761BA" w:rsidRPr="009761BA">
        <w:rPr>
          <w:rFonts w:cs="Times New Roman"/>
          <w:color w:val="0000FF"/>
          <w:szCs w:val="24"/>
        </w:rPr>
        <w:fldChar w:fldCharType="begin"/>
      </w:r>
      <w:r w:rsidR="009761BA" w:rsidRPr="009761BA">
        <w:rPr>
          <w:rFonts w:cs="Times New Roman"/>
          <w:color w:val="0000FF"/>
          <w:szCs w:val="24"/>
        </w:rPr>
        <w:instrText xml:space="preserve"> ADDIN EN.CITE &lt;EndNote&gt;&lt;Cite Hidden="1"&gt;&lt;Author&gt;Kim&lt;/Author&gt;&lt;Year&gt;2012&lt;/Year&gt;&lt;RecNum&gt;5336&lt;/RecNum&gt;&lt;record&gt;&lt;rec-number&gt;5336&lt;/rec-number&gt;&lt;foreign-keys&gt;&lt;key app="EN" db-id="50wxdpzd9vd5r7e9t5b595djrfpttrxw9avp" timestamp="1660601071"&gt;5336&lt;/key&gt;&lt;/foreign-keys&gt;&lt;ref-type name="Journal Article"&gt;17&lt;/ref-type&gt;&lt;contributors&gt;&lt;authors&gt;&lt;author&gt;Kim, Seongryong&lt;/author&gt;&lt;author&gt;Nyblade, Andrew A.&lt;/author&gt;&lt;author&gt;Rhie, Junkee&lt;/author&gt;&lt;author&gt;Baag, Chang-Eob&lt;/author&gt;&lt;author&gt;Kang, Tae-Seob&lt;/author&gt;&lt;/authors&gt;&lt;/contributors&gt;&lt;titles&gt;&lt;title&gt;Crustal S-wave velocity structure of the Main Ethiopian Rift from ambient noise tomography&lt;/title&gt;&lt;secondary-title&gt;Geophysical Journal International&lt;/secondary-title&gt;&lt;/titles&gt;&lt;periodical&gt;&lt;full-title&gt;Geophysical Journal International&lt;/full-title&gt;&lt;/periodical&gt;&lt;pages&gt;865-878&lt;/pages&gt;&lt;volume&gt;191&lt;/volume&gt;&lt;number&gt;2&lt;/number&gt;&lt;dates&gt;&lt;year&gt;2012&lt;/year&gt;&lt;/dates&gt;&lt;isbn&gt;0956-540X&lt;/isbn&gt;&lt;urls&gt;&lt;related-urls&gt;&lt;url&gt;https://doi.org/10.1111/j.1365-246X.2012.05664.x&lt;/url&gt;&lt;/related-urls&gt;&lt;/urls&gt;&lt;electronic-resource-num&gt;https://doi.org/10.1111/j.1365-246X.2012.05664.x.&lt;/electronic-resource-num&gt;&lt;access-date&gt;8/15/2022&lt;/access-date&gt;&lt;/record&gt;&lt;/Cite&gt;&lt;/EndNote&gt;</w:instrText>
      </w:r>
      <w:r w:rsidR="009761BA" w:rsidRPr="009761BA">
        <w:rPr>
          <w:rFonts w:cs="Times New Roman"/>
          <w:color w:val="0000FF"/>
          <w:szCs w:val="24"/>
        </w:rPr>
        <w:fldChar w:fldCharType="end"/>
      </w:r>
      <w:r w:rsidR="009761BA" w:rsidRPr="009761BA">
        <w:rPr>
          <w:rFonts w:cs="Times New Roman"/>
          <w:color w:val="0000FF"/>
          <w:szCs w:val="24"/>
        </w:rPr>
        <w:t xml:space="preserve">2012; Stork </w:t>
      </w:r>
      <w:r w:rsidR="009761BA" w:rsidRPr="009761BA">
        <w:rPr>
          <w:rFonts w:cs="Times New Roman"/>
          <w:i/>
          <w:iCs/>
          <w:color w:val="0000FF"/>
          <w:szCs w:val="24"/>
        </w:rPr>
        <w:t>et</w:t>
      </w:r>
      <w:r w:rsidR="009761BA" w:rsidRPr="009761BA">
        <w:rPr>
          <w:rFonts w:cs="Times New Roman"/>
          <w:color w:val="0000FF"/>
          <w:szCs w:val="24"/>
        </w:rPr>
        <w:t xml:space="preserve"> </w:t>
      </w:r>
      <w:r w:rsidR="009761BA" w:rsidRPr="009761BA">
        <w:rPr>
          <w:rFonts w:cs="Times New Roman"/>
          <w:i/>
          <w:iCs/>
          <w:color w:val="0000FF"/>
          <w:szCs w:val="24"/>
        </w:rPr>
        <w:t>al</w:t>
      </w:r>
      <w:r w:rsidR="009761BA" w:rsidRPr="009761BA">
        <w:rPr>
          <w:rFonts w:cs="Times New Roman"/>
          <w:color w:val="0000FF"/>
          <w:szCs w:val="24"/>
        </w:rPr>
        <w:t xml:space="preserve">., </w:t>
      </w:r>
      <w:r w:rsidR="009761BA" w:rsidRPr="009761BA">
        <w:rPr>
          <w:rFonts w:cs="Times New Roman"/>
          <w:color w:val="0000FF"/>
          <w:szCs w:val="24"/>
        </w:rPr>
        <w:fldChar w:fldCharType="begin"/>
      </w:r>
      <w:r w:rsidR="009761BA" w:rsidRPr="009761BA">
        <w:rPr>
          <w:rFonts w:cs="Times New Roman"/>
          <w:color w:val="0000FF"/>
          <w:szCs w:val="24"/>
        </w:rPr>
        <w:instrText xml:space="preserve"> ADDIN EN.CITE &lt;EndNote&gt;&lt;Cite Hidden="1"&gt;&lt;Author&gt;Stork&lt;/Author&gt;&lt;Year&gt;2013&lt;/Year&gt;&lt;RecNum&gt;5338&lt;/RecNum&gt;&lt;record&gt;&lt;rec-number&gt;5338&lt;/rec-number&gt;&lt;foreign-keys&gt;&lt;key app="EN" db-id="50wxdpzd9vd5r7e9t5b595djrfpttrxw9avp" timestamp="1660601786"&gt;5338&lt;/key&gt;&lt;/foreign-keys&gt;&lt;ref-type name="Journal Article"&gt;17&lt;/ref-type&gt;&lt;contributors&gt;&lt;authors&gt;&lt;author&gt;Stork, A. L.&lt;/author&gt;&lt;author&gt;Stuart, G. W.&lt;/author&gt;&lt;author&gt;Henderson, C. M.&lt;/author&gt;&lt;author&gt;Keir, D.&lt;/author&gt;&lt;author&gt;Hammond, J. O. S.&lt;/author&gt;&lt;/authors&gt;&lt;/contributors&gt;&lt;titles&gt;&lt;title&gt;Uppermost mantle (Pn) velocity model for the Afar region, Ethiopia: an insight into rifting processes&lt;/title&gt;&lt;secondary-title&gt;Geophysical Journal International&lt;/secondary-title&gt;&lt;/titles&gt;&lt;periodical&gt;&lt;full-title&gt;Geophysical Journal International&lt;/full-title&gt;&lt;/periodical&gt;&lt;pages&gt;321-328&lt;/pages&gt;&lt;volume&gt;193&lt;/volume&gt;&lt;number&gt;1&lt;/number&gt;&lt;dates&gt;&lt;year&gt;2013&lt;/year&gt;&lt;/dates&gt;&lt;isbn&gt;0956-540X&lt;/isbn&gt;&lt;urls&gt;&lt;related-urls&gt;&lt;url&gt;https://doi.org/10.1093/gji/ggs106&lt;/url&gt;&lt;/related-urls&gt;&lt;/urls&gt;&lt;electronic-resource-num&gt;https://doi.org/10.1093/gji/ggs106.&lt;/electronic-resource-num&gt;&lt;access-date&gt;8/15/2022&lt;/access-date&gt;&lt;/record&gt;&lt;/Cite&gt;&lt;/EndNote&gt;</w:instrText>
      </w:r>
      <w:r w:rsidR="009761BA" w:rsidRPr="009761BA">
        <w:rPr>
          <w:rFonts w:cs="Times New Roman"/>
          <w:color w:val="0000FF"/>
          <w:szCs w:val="24"/>
        </w:rPr>
        <w:fldChar w:fldCharType="end"/>
      </w:r>
      <w:r w:rsidR="009761BA" w:rsidRPr="009761BA">
        <w:rPr>
          <w:rFonts w:cs="Times New Roman"/>
          <w:color w:val="0000FF"/>
          <w:szCs w:val="24"/>
        </w:rPr>
        <w:t>2013</w:t>
      </w:r>
      <w:r w:rsidR="006A4DD6" w:rsidRPr="009761BA">
        <w:rPr>
          <w:rFonts w:cs="Times New Roman"/>
          <w:color w:val="0000FF"/>
          <w:szCs w:val="24"/>
        </w:rPr>
        <w:t xml:space="preserve">). </w:t>
      </w:r>
      <w:bookmarkStart w:id="5" w:name="_Hlk100842583"/>
      <w:r w:rsidR="00930658" w:rsidRPr="00930658">
        <w:rPr>
          <w:rFonts w:cs="Times New Roman"/>
          <w:szCs w:val="24"/>
        </w:rPr>
        <w:t xml:space="preserve">Understanding the lithospheric thickness and the depth at which decompression melting begins is crucial for comprehending </w:t>
      </w:r>
      <w:r w:rsidR="00932B82" w:rsidRPr="00930658">
        <w:rPr>
          <w:rFonts w:cs="Times New Roman"/>
          <w:szCs w:val="24"/>
        </w:rPr>
        <w:t xml:space="preserve">thermal structure </w:t>
      </w:r>
      <w:r w:rsidR="00932B82">
        <w:rPr>
          <w:rFonts w:cs="Times New Roman"/>
          <w:szCs w:val="24"/>
        </w:rPr>
        <w:t xml:space="preserve">of the </w:t>
      </w:r>
      <w:r w:rsidR="00930658" w:rsidRPr="00930658">
        <w:rPr>
          <w:rFonts w:cs="Times New Roman"/>
          <w:szCs w:val="24"/>
        </w:rPr>
        <w:t xml:space="preserve">mantle, assessing the extent of plume influence, and </w:t>
      </w:r>
      <w:r w:rsidR="00930658" w:rsidRPr="00930658">
        <w:rPr>
          <w:rFonts w:cs="Times New Roman"/>
          <w:szCs w:val="24"/>
        </w:rPr>
        <w:lastRenderedPageBreak/>
        <w:t xml:space="preserve">reconstructing </w:t>
      </w:r>
      <w:r w:rsidR="00932B82" w:rsidRPr="00930658">
        <w:rPr>
          <w:rFonts w:cs="Times New Roman"/>
          <w:szCs w:val="24"/>
        </w:rPr>
        <w:t>deformation history</w:t>
      </w:r>
      <w:r w:rsidR="00932B82" w:rsidRPr="002F4B80">
        <w:rPr>
          <w:rFonts w:cs="Times New Roman"/>
          <w:szCs w:val="24"/>
        </w:rPr>
        <w:t xml:space="preserve"> </w:t>
      </w:r>
      <w:r w:rsidR="00932B82">
        <w:rPr>
          <w:rFonts w:cs="Times New Roman"/>
          <w:szCs w:val="24"/>
        </w:rPr>
        <w:t xml:space="preserve">of </w:t>
      </w:r>
      <w:r w:rsidR="00930658" w:rsidRPr="00930658">
        <w:rPr>
          <w:rFonts w:cs="Times New Roman"/>
          <w:szCs w:val="24"/>
        </w:rPr>
        <w:t xml:space="preserve">the lithosphere </w:t>
      </w:r>
      <w:r w:rsidR="002F4B80" w:rsidRPr="002F4B80">
        <w:rPr>
          <w:rFonts w:cs="Times New Roman"/>
          <w:szCs w:val="24"/>
        </w:rPr>
        <w:t>(</w:t>
      </w:r>
      <w:r w:rsidR="002F4B80" w:rsidRPr="002F4B80">
        <w:rPr>
          <w:rFonts w:cs="Times New Roman"/>
          <w:color w:val="0000FF"/>
          <w:szCs w:val="24"/>
        </w:rPr>
        <w:t>Huismans</w:t>
      </w:r>
      <w:r w:rsidR="002F4B80">
        <w:rPr>
          <w:rFonts w:cs="Times New Roman"/>
          <w:szCs w:val="24"/>
        </w:rPr>
        <w:fldChar w:fldCharType="begin"/>
      </w:r>
      <w:r w:rsidR="002F4B80">
        <w:rPr>
          <w:rFonts w:cs="Times New Roman"/>
          <w:szCs w:val="24"/>
        </w:rPr>
        <w:instrText xml:space="preserve"> ADDIN EN.CITE &lt;EndNote&gt;&lt;Cite Hidden="1"&gt;&lt;Author&gt;Huismans&lt;/Author&gt;&lt;Year&gt;2011&lt;/Year&gt;&lt;RecNum&gt;6041&lt;/RecNum&gt;&lt;record&gt;&lt;rec-number&gt;6041&lt;/rec-number&gt;&lt;foreign-keys&gt;&lt;key app="EN" db-id="50wxdpzd9vd5r7e9t5b595djrfpttrxw9avp" timestamp="1740578709"&gt;6041&lt;/key&gt;&lt;/foreign-keys&gt;&lt;ref-type name="Journal Article"&gt;17&lt;/ref-type&gt;&lt;contributors&gt;&lt;authors&gt;&lt;author&gt;Huismans, Ritske&lt;/author&gt;&lt;author&gt;Beaumont, Christopher&lt;/author&gt;&lt;/authors&gt;&lt;/contributors&gt;&lt;titles&gt;&lt;title&gt;Depth-dependent extension, two-stage breakup and cratonic underplating at rifted margins&lt;/title&gt;&lt;secondary-title&gt;Nature&lt;/secondary-title&gt;&lt;/titles&gt;&lt;periodical&gt;&lt;full-title&gt;Nature&lt;/full-title&gt;&lt;/periodical&gt;&lt;pages&gt;74-78&lt;/pages&gt;&lt;volume&gt;473&lt;/volume&gt;&lt;number&gt;7345&lt;/number&gt;&lt;dates&gt;&lt;year&gt;2011&lt;/year&gt;&lt;pub-dates&gt;&lt;date&gt;2011/05/01&lt;/date&gt;&lt;/pub-dates&gt;&lt;/dates&gt;&lt;isbn&gt;1476-4687&lt;/isbn&gt;&lt;urls&gt;&lt;related-urls&gt;&lt;url&gt;https://doi.org/10.1038/nature09988&lt;/url&gt;&lt;/related-urls&gt;&lt;/urls&gt;&lt;electronic-resource-num&gt;10.1038/nature09988&lt;/electronic-resource-num&gt;&lt;/record&gt;&lt;/Cite&gt;&lt;/EndNote&gt;</w:instrText>
      </w:r>
      <w:r w:rsidR="002F4B80">
        <w:rPr>
          <w:rFonts w:cs="Times New Roman"/>
          <w:szCs w:val="24"/>
        </w:rPr>
        <w:fldChar w:fldCharType="end"/>
      </w:r>
      <w:r w:rsidR="002F4B80" w:rsidRPr="002F4B80">
        <w:rPr>
          <w:rFonts w:cs="Times New Roman"/>
          <w:color w:val="0000FF"/>
          <w:szCs w:val="24"/>
        </w:rPr>
        <w:t xml:space="preserve"> and Beaumont, 2011</w:t>
      </w:r>
      <w:r w:rsidR="002F4B80" w:rsidRPr="002F4B80">
        <w:rPr>
          <w:rFonts w:cs="Times New Roman"/>
          <w:szCs w:val="24"/>
        </w:rPr>
        <w:t>)</w:t>
      </w:r>
      <w:r w:rsidR="00930658">
        <w:rPr>
          <w:rFonts w:cs="Times New Roman"/>
          <w:szCs w:val="24"/>
        </w:rPr>
        <w:t xml:space="preserve">. </w:t>
      </w:r>
      <w:r w:rsidR="00A7033B" w:rsidRPr="00555B49">
        <w:rPr>
          <w:rFonts w:cs="Times New Roman"/>
          <w:szCs w:val="24"/>
        </w:rPr>
        <w:t>The unique tectonic setting of the Afar region makes it an ideal natural laboratory for studying variations in seismic velocities as the lithosphere transitions from continental rifting to incipient seafloor spreading.</w:t>
      </w:r>
      <w:r w:rsidR="005C325E">
        <w:rPr>
          <w:rFonts w:cs="Times New Roman"/>
          <w:szCs w:val="24"/>
        </w:rPr>
        <w:t xml:space="preserve"> </w:t>
      </w:r>
      <w:r w:rsidR="00A7033B" w:rsidRPr="00A7033B">
        <w:rPr>
          <w:rFonts w:cs="Times New Roman"/>
          <w:szCs w:val="24"/>
        </w:rPr>
        <w:t xml:space="preserve">In this study, we employ seismic </w:t>
      </w:r>
      <w:r w:rsidR="009F79AC">
        <w:rPr>
          <w:rFonts w:cs="Times New Roman"/>
          <w:szCs w:val="24"/>
        </w:rPr>
        <w:t>travel-time</w:t>
      </w:r>
      <w:r w:rsidR="00A7033B" w:rsidRPr="00A7033B">
        <w:rPr>
          <w:rFonts w:cs="Times New Roman"/>
          <w:szCs w:val="24"/>
        </w:rPr>
        <w:t xml:space="preserve"> tomography to construct a three-dimensional</w:t>
      </w:r>
      <w:r w:rsidR="000F372F">
        <w:rPr>
          <w:rFonts w:cs="Times New Roman"/>
          <w:szCs w:val="24"/>
        </w:rPr>
        <w:t xml:space="preserve"> (3D)</w:t>
      </w:r>
      <w:r w:rsidR="00A7033B" w:rsidRPr="00A7033B">
        <w:rPr>
          <w:rFonts w:cs="Times New Roman"/>
          <w:szCs w:val="24"/>
        </w:rPr>
        <w:t xml:space="preserve"> P-wave velocity model of the crust and uppermost mantle (extending to a depth of 70 km) beneath northern Ethiopia, Eritrea, Djibouti, northwestern Somalia, and southern Yemen</w:t>
      </w:r>
      <w:r w:rsidR="00BD501A">
        <w:rPr>
          <w:rFonts w:cs="Times New Roman"/>
          <w:szCs w:val="24"/>
        </w:rPr>
        <w:t xml:space="preserve"> </w:t>
      </w:r>
      <w:r w:rsidR="00BD501A" w:rsidRPr="00555B49">
        <w:rPr>
          <w:rFonts w:cs="Times New Roman"/>
          <w:szCs w:val="24"/>
        </w:rPr>
        <w:t xml:space="preserve">(Fig. </w:t>
      </w:r>
      <w:r w:rsidR="00BD501A" w:rsidRPr="00AB2207">
        <w:rPr>
          <w:rFonts w:cs="Times New Roman"/>
          <w:color w:val="0000FF"/>
          <w:szCs w:val="24"/>
        </w:rPr>
        <w:t>1a</w:t>
      </w:r>
      <w:r w:rsidR="00BD501A" w:rsidRPr="00555B49">
        <w:rPr>
          <w:rFonts w:cs="Times New Roman"/>
          <w:szCs w:val="24"/>
        </w:rPr>
        <w:t xml:space="preserve">). </w:t>
      </w:r>
      <w:r w:rsidR="00A7033B" w:rsidRPr="00A7033B">
        <w:rPr>
          <w:rFonts w:cs="Times New Roman"/>
          <w:szCs w:val="24"/>
        </w:rPr>
        <w:t xml:space="preserve"> By integrating earthquake data from the International Seismological Centre</w:t>
      </w:r>
      <w:r w:rsidR="00BD501A">
        <w:rPr>
          <w:rFonts w:cs="Times New Roman"/>
          <w:szCs w:val="24"/>
        </w:rPr>
        <w:t xml:space="preserve"> (ISC)</w:t>
      </w:r>
      <w:r w:rsidR="00A7033B" w:rsidRPr="00A7033B">
        <w:rPr>
          <w:rFonts w:cs="Times New Roman"/>
          <w:szCs w:val="24"/>
        </w:rPr>
        <w:t xml:space="preserve"> with advanced tomographic inversion techniques, we map regional velocity variations and correlate them with tectonic and magmatic features. This work aims to advance our understanding of how mantle dynamics and lithospheric processes interact during continental break-up in plume-assisted rift systems.</w:t>
      </w:r>
    </w:p>
    <w:bookmarkEnd w:id="5"/>
    <w:p w14:paraId="5CC7EE47" w14:textId="77777777" w:rsidR="002D57A0" w:rsidRPr="004D4245" w:rsidRDefault="002D57A0" w:rsidP="000A009B">
      <w:pPr>
        <w:pStyle w:val="Heading1"/>
      </w:pPr>
      <w:r w:rsidRPr="004D4245">
        <w:t>2</w:t>
      </w:r>
      <w:r w:rsidRPr="004D4245">
        <w:tab/>
        <w:t>TECTONIC SETTING</w:t>
      </w:r>
    </w:p>
    <w:p w14:paraId="53A241A7" w14:textId="068228B0" w:rsidR="00CB5445" w:rsidRDefault="00572F97" w:rsidP="00BE7C4F">
      <w:pPr>
        <w:spacing w:before="0" w:line="360" w:lineRule="auto"/>
        <w:ind w:firstLine="426"/>
        <w:rPr>
          <w:rFonts w:cs="Times New Roman"/>
          <w:szCs w:val="24"/>
        </w:rPr>
      </w:pPr>
      <w:bookmarkStart w:id="6" w:name="_Hlk104873178"/>
      <w:r>
        <w:rPr>
          <w:rFonts w:cs="Times New Roman"/>
          <w:szCs w:val="24"/>
        </w:rPr>
        <w:t>T</w:t>
      </w:r>
      <w:r w:rsidR="007019DB" w:rsidRPr="007019DB">
        <w:rPr>
          <w:rFonts w:cs="Times New Roman"/>
          <w:szCs w:val="24"/>
        </w:rPr>
        <w:t xml:space="preserve">he tectonic evolution of the Afar region is shaped by mantle dynamics and the interaction of the African and Eurasian plates, generating far-field stresses that initiate extension and facilitate seafloor spreading in the Gulf of Aden and Red Sea, with propagation into the AD </w:t>
      </w:r>
      <w:r w:rsidR="005241E5" w:rsidRPr="005241E5">
        <w:rPr>
          <w:rFonts w:cs="Times New Roman"/>
          <w:szCs w:val="24"/>
        </w:rPr>
        <w:t>(</w:t>
      </w:r>
      <w:r w:rsidR="005241E5" w:rsidRPr="005241E5">
        <w:rPr>
          <w:rFonts w:cs="Times New Roman"/>
          <w:color w:val="0000FF"/>
          <w:szCs w:val="24"/>
        </w:rPr>
        <w:t>Menzies</w:t>
      </w:r>
      <w:r w:rsidR="005241E5" w:rsidRPr="005241E5">
        <w:rPr>
          <w:rFonts w:cs="Times New Roman"/>
          <w:color w:val="0000FF"/>
          <w:szCs w:val="24"/>
        </w:rPr>
        <w:fldChar w:fldCharType="begin"/>
      </w:r>
      <w:r w:rsidR="005241E5" w:rsidRPr="005241E5">
        <w:rPr>
          <w:rFonts w:cs="Times New Roman"/>
          <w:color w:val="0000FF"/>
          <w:szCs w:val="24"/>
        </w:rPr>
        <w:instrText xml:space="preserve"> ADDIN EN.CITE &lt;EndNote&gt;&lt;Cite Hidden="1"&gt;&lt;Author&gt;Menzies&lt;/Author&gt;&lt;Year&gt;1997&lt;/Year&gt;&lt;RecNum&gt;4975&lt;/RecNum&gt;&lt;record&gt;&lt;rec-number&gt;4975&lt;/rec-number&gt;&lt;foreign-keys&gt;&lt;key app="EN" db-id="50wxdpzd9vd5r7e9t5b595djrfpttrxw9avp" timestamp="1648226337"&gt;4975&lt;/key&gt;&lt;/foreign-keys&gt;&lt;ref-type name="Journal Article"&gt;17&lt;/ref-type&gt;&lt;contributors&gt;&lt;authors&gt;&lt;author&gt;Menzies, Martin&lt;/author&gt;&lt;author&gt;Gallagher, Kerry&lt;/author&gt;&lt;author&gt;Yelland, Andrew&lt;/author&gt;&lt;author&gt;Hurford, Anthony J&lt;/author&gt;&lt;/authors&gt;&lt;/contributors&gt;&lt;titles&gt;&lt;title&gt;Volcanic and nonvolcanic rifted margins of the Red Sea and Gulf of Aden: crustal cooling and margin evolution in Yemen&lt;/title&gt;&lt;secondary-title&gt;Geochimica et Cosmochimica Acta&lt;/secondary-title&gt;&lt;/titles&gt;&lt;periodical&gt;&lt;full-title&gt;Geochimica et Cosmochimica Acta&lt;/full-title&gt;&lt;/periodical&gt;&lt;pages&gt;2511-2527&lt;/pages&gt;&lt;volume&gt;61&lt;/volume&gt;&lt;number&gt;12&lt;/number&gt;&lt;dates&gt;&lt;year&gt;1997&lt;/year&gt;&lt;/dates&gt;&lt;isbn&gt;0016-7037&lt;/isbn&gt;&lt;urls&gt;&lt;/urls&gt;&lt;electronic-resource-num&gt;10.1016/S0016-7037(97)00108-7.&lt;/electronic-resource-num&gt;&lt;/record&gt;&lt;/Cite&gt;&lt;/EndNote&gt;</w:instrText>
      </w:r>
      <w:r w:rsidR="005241E5" w:rsidRPr="005241E5">
        <w:rPr>
          <w:rFonts w:cs="Times New Roman"/>
          <w:color w:val="0000FF"/>
          <w:szCs w:val="24"/>
        </w:rPr>
        <w:fldChar w:fldCharType="end"/>
      </w:r>
      <w:r w:rsidR="005241E5" w:rsidRPr="005241E5">
        <w:rPr>
          <w:rFonts w:cs="Times New Roman"/>
          <w:color w:val="0000FF"/>
          <w:szCs w:val="24"/>
        </w:rPr>
        <w:t xml:space="preserve"> </w:t>
      </w:r>
      <w:r w:rsidR="005241E5" w:rsidRPr="005241E5">
        <w:rPr>
          <w:rFonts w:cs="Times New Roman"/>
          <w:i/>
          <w:iCs/>
          <w:color w:val="0000FF"/>
          <w:szCs w:val="24"/>
        </w:rPr>
        <w:t>et al.,</w:t>
      </w:r>
      <w:r w:rsidR="005241E5" w:rsidRPr="005241E5">
        <w:rPr>
          <w:rFonts w:cs="Times New Roman"/>
          <w:color w:val="0000FF"/>
          <w:szCs w:val="24"/>
        </w:rPr>
        <w:t xml:space="preserve"> 1997</w:t>
      </w:r>
      <w:r w:rsidR="005241E5" w:rsidRPr="005241E5">
        <w:rPr>
          <w:rFonts w:cs="Times New Roman"/>
          <w:szCs w:val="24"/>
        </w:rPr>
        <w:t>)</w:t>
      </w:r>
      <w:r w:rsidR="002D57A0" w:rsidRPr="004D4245">
        <w:rPr>
          <w:rFonts w:cs="Times New Roman"/>
          <w:szCs w:val="24"/>
        </w:rPr>
        <w:t xml:space="preserve">. </w:t>
      </w:r>
      <w:r w:rsidR="00B3076C" w:rsidRPr="00B3076C">
        <w:rPr>
          <w:rFonts w:cs="Times New Roman"/>
          <w:szCs w:val="24"/>
        </w:rPr>
        <w:t>Afar uniquely marks the convergence of three tectonic plates—the Arabian, Nubian, and Somali—and is intersected by three distinct rift systems: the northern segment of the MER, the southern Red Sea Rift (RSR), and the Gulf of Aden Rift (GAR). This arrangement, commonly referred to as the Afar Triple Junction</w:t>
      </w:r>
      <w:r w:rsidR="00CB5445">
        <w:rPr>
          <w:rFonts w:cs="Times New Roman"/>
          <w:szCs w:val="24"/>
        </w:rPr>
        <w:t>,</w:t>
      </w:r>
      <w:r w:rsidR="00A831EF">
        <w:rPr>
          <w:rFonts w:cs="Times New Roman"/>
          <w:szCs w:val="24"/>
        </w:rPr>
        <w:t xml:space="preserve"> </w:t>
      </w:r>
      <w:r w:rsidR="00686B11" w:rsidRPr="00686B11">
        <w:rPr>
          <w:rFonts w:cs="Times New Roman"/>
          <w:szCs w:val="24"/>
        </w:rPr>
        <w:t>features northern and eastern rift arms that extend into the Red Sea and Gulf of Aden, respectively</w:t>
      </w:r>
      <w:r w:rsidR="00CB5445">
        <w:rPr>
          <w:rFonts w:cs="Times New Roman"/>
          <w:szCs w:val="24"/>
        </w:rPr>
        <w:t xml:space="preserve"> </w:t>
      </w:r>
      <w:r w:rsidR="00CB5445" w:rsidRPr="007F65DA">
        <w:rPr>
          <w:rFonts w:cs="Times New Roman"/>
          <w:szCs w:val="24"/>
        </w:rPr>
        <w:t xml:space="preserve">(Fig. </w:t>
      </w:r>
      <w:r w:rsidR="00CB5445" w:rsidRPr="006552F3">
        <w:rPr>
          <w:rFonts w:cs="Times New Roman"/>
          <w:color w:val="0000FF"/>
          <w:szCs w:val="24"/>
        </w:rPr>
        <w:t>1b</w:t>
      </w:r>
      <w:r w:rsidR="00CB5445" w:rsidRPr="007F65DA">
        <w:rPr>
          <w:rFonts w:cs="Times New Roman"/>
          <w:szCs w:val="24"/>
        </w:rPr>
        <w:t>),</w:t>
      </w:r>
      <w:r w:rsidR="00686B11" w:rsidRPr="00686B11">
        <w:rPr>
          <w:rFonts w:cs="Times New Roman"/>
          <w:szCs w:val="24"/>
        </w:rPr>
        <w:t xml:space="preserve"> where rifting has progressed to the stage of seafloor spreading</w:t>
      </w:r>
      <w:r w:rsidR="00686B11">
        <w:rPr>
          <w:rFonts w:cs="Times New Roman"/>
          <w:szCs w:val="24"/>
        </w:rPr>
        <w:t>.</w:t>
      </w:r>
      <w:r w:rsidR="00C20410">
        <w:rPr>
          <w:rFonts w:cs="Times New Roman"/>
          <w:szCs w:val="24"/>
        </w:rPr>
        <w:t xml:space="preserve"> </w:t>
      </w:r>
      <w:r w:rsidR="00CB5445" w:rsidRPr="00CB5445">
        <w:rPr>
          <w:rFonts w:cs="Times New Roman"/>
          <w:szCs w:val="24"/>
        </w:rPr>
        <w:t>In contrast, the southern branch, represented by the MER, appears as a series of exposed rift valleys that extend southward toward Mozambique (</w:t>
      </w:r>
      <w:r w:rsidR="00CB5445" w:rsidRPr="00B34CB0">
        <w:rPr>
          <w:rFonts w:cs="Times New Roman"/>
          <w:color w:val="0000FF"/>
          <w:szCs w:val="24"/>
        </w:rPr>
        <w:t>Chorowicz, 2005</w:t>
      </w:r>
      <w:r w:rsidR="00CB5445" w:rsidRPr="00CB5445">
        <w:rPr>
          <w:rFonts w:cs="Times New Roman"/>
          <w:szCs w:val="24"/>
        </w:rPr>
        <w:t xml:space="preserve">). The MER itself bifurcates the Ethiopian Plateau into the Eastern Ethiopian Plateau (or Abyssinian Massif) and the Western Ethiopian Plateau (or Harar Massif) (Fig. </w:t>
      </w:r>
      <w:r w:rsidR="00CB5445" w:rsidRPr="00D74E87">
        <w:rPr>
          <w:rFonts w:cs="Times New Roman"/>
          <w:color w:val="0000FF"/>
          <w:szCs w:val="24"/>
        </w:rPr>
        <w:t>1a</w:t>
      </w:r>
      <w:r w:rsidR="00CB5445" w:rsidRPr="00CB5445">
        <w:rPr>
          <w:rFonts w:cs="Times New Roman"/>
          <w:szCs w:val="24"/>
        </w:rPr>
        <w:t xml:space="preserve">). Although far‐field stresses alone might not suffice to rupture the robust continental lithosphere, mantle upwelling provides the thermal support required for lithospheric weakening, thereby facilitating the development of the </w:t>
      </w:r>
      <w:r w:rsidR="005D5ECD">
        <w:rPr>
          <w:rFonts w:cs="Times New Roman"/>
          <w:szCs w:val="24"/>
        </w:rPr>
        <w:t xml:space="preserve">EAR </w:t>
      </w:r>
      <w:r w:rsidR="00CB5445" w:rsidRPr="00CB5445">
        <w:rPr>
          <w:rFonts w:cs="Times New Roman"/>
          <w:szCs w:val="24"/>
        </w:rPr>
        <w:t>(</w:t>
      </w:r>
      <w:r w:rsidR="00CB5445" w:rsidRPr="00D74E87">
        <w:rPr>
          <w:rFonts w:cs="Times New Roman"/>
          <w:color w:val="0000FF"/>
          <w:szCs w:val="24"/>
        </w:rPr>
        <w:t>Buck, 2004</w:t>
      </w:r>
      <w:r w:rsidR="00CB5445" w:rsidRPr="00CB5445">
        <w:rPr>
          <w:rFonts w:cs="Times New Roman"/>
          <w:szCs w:val="24"/>
        </w:rPr>
        <w:t>). This process is further accompanied by vigorous volcanic activity along the roughly 2,500‐km length of the rift system (</w:t>
      </w:r>
      <w:r w:rsidR="00CB5445" w:rsidRPr="00D74E87">
        <w:rPr>
          <w:rFonts w:cs="Times New Roman"/>
          <w:color w:val="0000FF"/>
          <w:szCs w:val="24"/>
        </w:rPr>
        <w:t>Ebinger and Sleep, 1998</w:t>
      </w:r>
      <w:r w:rsidR="00CB5445" w:rsidRPr="00CB5445">
        <w:rPr>
          <w:rFonts w:cs="Times New Roman"/>
          <w:szCs w:val="24"/>
        </w:rPr>
        <w:t>).</w:t>
      </w:r>
    </w:p>
    <w:bookmarkEnd w:id="6"/>
    <w:p w14:paraId="3DD63680" w14:textId="5BACEDFB" w:rsidR="004B71C5" w:rsidRPr="004B71C5" w:rsidRDefault="00C40AF4" w:rsidP="00453680">
      <w:pPr>
        <w:spacing w:before="0" w:line="360" w:lineRule="auto"/>
        <w:ind w:firstLine="426"/>
        <w:rPr>
          <w:rFonts w:cs="Times New Roman"/>
          <w:szCs w:val="24"/>
        </w:rPr>
      </w:pPr>
      <w:r w:rsidRPr="00C40AF4">
        <w:rPr>
          <w:rFonts w:cs="Times New Roman"/>
          <w:szCs w:val="24"/>
          <w:lang w:val="en-GB"/>
        </w:rPr>
        <w:t xml:space="preserve">Approximately 25 million years ago, a segment of the Ethiopian Plateau subsided into the </w:t>
      </w:r>
      <w:r w:rsidR="00397ADA">
        <w:rPr>
          <w:rFonts w:cs="Times New Roman"/>
          <w:szCs w:val="24"/>
          <w:lang w:val="en-GB"/>
        </w:rPr>
        <w:t>AD</w:t>
      </w:r>
      <w:r w:rsidRPr="00C40AF4">
        <w:rPr>
          <w:rFonts w:cs="Times New Roman"/>
          <w:szCs w:val="24"/>
          <w:lang w:val="en-GB"/>
        </w:rPr>
        <w:t xml:space="preserve">, </w:t>
      </w:r>
      <w:r w:rsidR="00FF649F" w:rsidRPr="00FF649F">
        <w:rPr>
          <w:rFonts w:cs="Times New Roman"/>
          <w:szCs w:val="24"/>
          <w:lang w:val="en-GB"/>
        </w:rPr>
        <w:t xml:space="preserve">covering an area of nearly </w:t>
      </w:r>
      <w:r w:rsidRPr="00C40AF4">
        <w:rPr>
          <w:rFonts w:cs="Times New Roman"/>
          <w:szCs w:val="24"/>
          <w:lang w:val="en-GB"/>
        </w:rPr>
        <w:t>200,000 km² (</w:t>
      </w:r>
      <w:r w:rsidRPr="00C40AF4">
        <w:rPr>
          <w:rFonts w:cs="Times New Roman"/>
          <w:color w:val="0000FF"/>
          <w:szCs w:val="24"/>
          <w:lang w:val="en-GB"/>
        </w:rPr>
        <w:t>Chorowicz, 2005</w:t>
      </w:r>
      <w:r w:rsidRPr="00C40AF4">
        <w:rPr>
          <w:rFonts w:cs="Times New Roman"/>
          <w:szCs w:val="24"/>
          <w:lang w:val="en-GB"/>
        </w:rPr>
        <w:t xml:space="preserve">). This </w:t>
      </w:r>
      <w:r w:rsidR="00FF649F" w:rsidRPr="00FF649F">
        <w:rPr>
          <w:rFonts w:cs="Times New Roman"/>
          <w:szCs w:val="24"/>
        </w:rPr>
        <w:t>subsidence</w:t>
      </w:r>
      <w:r w:rsidRPr="00C40AF4">
        <w:rPr>
          <w:rFonts w:cs="Times New Roman"/>
          <w:szCs w:val="24"/>
          <w:lang w:val="en-GB"/>
        </w:rPr>
        <w:t xml:space="preserve"> </w:t>
      </w:r>
      <w:r w:rsidR="00FF649F" w:rsidRPr="00FF649F">
        <w:rPr>
          <w:rFonts w:cs="Times New Roman"/>
          <w:szCs w:val="24"/>
        </w:rPr>
        <w:t>not only delineated the</w:t>
      </w:r>
      <w:r w:rsidR="00FF649F" w:rsidRPr="00FF649F">
        <w:rPr>
          <w:rFonts w:cs="Times New Roman"/>
          <w:szCs w:val="24"/>
          <w:lang w:val="en-GB"/>
        </w:rPr>
        <w:t xml:space="preserve"> </w:t>
      </w:r>
      <w:r w:rsidR="00453680" w:rsidRPr="00453680">
        <w:rPr>
          <w:rFonts w:cs="Times New Roman"/>
          <w:szCs w:val="24"/>
        </w:rPr>
        <w:t>western and eastern margins</w:t>
      </w:r>
      <w:r w:rsidR="00453680">
        <w:rPr>
          <w:rFonts w:cs="Times New Roman"/>
          <w:szCs w:val="24"/>
        </w:rPr>
        <w:t xml:space="preserve"> of the </w:t>
      </w:r>
      <w:r w:rsidR="00453680" w:rsidRPr="00453680">
        <w:rPr>
          <w:rFonts w:cs="Times New Roman"/>
          <w:szCs w:val="24"/>
        </w:rPr>
        <w:t>depression</w:t>
      </w:r>
      <w:r w:rsidR="00453680">
        <w:rPr>
          <w:rFonts w:cs="Times New Roman"/>
          <w:szCs w:val="24"/>
        </w:rPr>
        <w:t xml:space="preserve"> but also </w:t>
      </w:r>
      <w:r w:rsidR="00453680" w:rsidRPr="00453680">
        <w:rPr>
          <w:rFonts w:cs="Times New Roman"/>
          <w:szCs w:val="24"/>
        </w:rPr>
        <w:t xml:space="preserve">produced rugged, faulted terrains that form its </w:t>
      </w:r>
      <w:r w:rsidR="00453680" w:rsidRPr="00453680">
        <w:rPr>
          <w:rFonts w:cs="Times New Roman"/>
          <w:szCs w:val="24"/>
        </w:rPr>
        <w:lastRenderedPageBreak/>
        <w:t>principal escarpments</w:t>
      </w:r>
      <w:r w:rsidRPr="00C40AF4">
        <w:rPr>
          <w:rFonts w:cs="Times New Roman"/>
          <w:szCs w:val="24"/>
          <w:lang w:val="en-GB"/>
        </w:rPr>
        <w:t xml:space="preserve"> (Fig. </w:t>
      </w:r>
      <w:r w:rsidRPr="00C40AF4">
        <w:rPr>
          <w:rFonts w:cs="Times New Roman"/>
          <w:color w:val="0000FF"/>
          <w:szCs w:val="24"/>
          <w:lang w:val="en-GB"/>
        </w:rPr>
        <w:t>1a</w:t>
      </w:r>
      <w:r w:rsidRPr="00C40AF4">
        <w:rPr>
          <w:rFonts w:cs="Times New Roman"/>
          <w:szCs w:val="24"/>
          <w:lang w:val="en-GB"/>
        </w:rPr>
        <w:t xml:space="preserve">). </w:t>
      </w:r>
      <w:r w:rsidR="003A0EC6" w:rsidRPr="003A0EC6">
        <w:rPr>
          <w:rFonts w:cs="Times New Roman"/>
          <w:szCs w:val="24"/>
          <w:lang w:val="en-GB"/>
        </w:rPr>
        <w:t>With elevation ranges spanning from –120 to 1,000 meters above sea level</w:t>
      </w:r>
      <w:r w:rsidRPr="00C40AF4">
        <w:rPr>
          <w:rFonts w:cs="Times New Roman"/>
          <w:szCs w:val="24"/>
          <w:lang w:val="en-GB"/>
        </w:rPr>
        <w:t xml:space="preserve"> (</w:t>
      </w:r>
      <w:r w:rsidRPr="00C40AF4">
        <w:rPr>
          <w:rFonts w:cs="Times New Roman"/>
          <w:color w:val="0000FF"/>
          <w:szCs w:val="24"/>
          <w:lang w:val="en-GB"/>
        </w:rPr>
        <w:t>Beyene and Abdelsalam, 2005</w:t>
      </w:r>
      <w:r w:rsidRPr="00C40AF4">
        <w:rPr>
          <w:rFonts w:cs="Times New Roman"/>
          <w:szCs w:val="24"/>
          <w:lang w:val="en-GB"/>
        </w:rPr>
        <w:t xml:space="preserve">), </w:t>
      </w:r>
      <w:r w:rsidR="003A0EC6" w:rsidRPr="003A0EC6">
        <w:rPr>
          <w:rFonts w:cs="Times New Roman"/>
          <w:szCs w:val="24"/>
          <w:lang w:val="en-GB"/>
        </w:rPr>
        <w:t>is widely interpreted as a consequence of the separation between the Arabian and Nubian plates</w:t>
      </w:r>
      <w:r w:rsidRPr="00C40AF4">
        <w:rPr>
          <w:rFonts w:cs="Times New Roman"/>
          <w:szCs w:val="24"/>
          <w:lang w:val="en-GB"/>
        </w:rPr>
        <w:t xml:space="preserve">, </w:t>
      </w:r>
      <w:r w:rsidR="00C20410" w:rsidRPr="00C20410">
        <w:rPr>
          <w:rFonts w:cs="Times New Roman"/>
          <w:szCs w:val="24"/>
          <w:lang w:val="en-GB"/>
        </w:rPr>
        <w:t xml:space="preserve">a process that likely followed the upwelling of a mantle plume during the Oligocene </w:t>
      </w:r>
      <w:r w:rsidRPr="00C40AF4">
        <w:rPr>
          <w:rFonts w:cs="Times New Roman"/>
          <w:szCs w:val="24"/>
          <w:lang w:val="en-GB"/>
        </w:rPr>
        <w:t>(</w:t>
      </w:r>
      <w:r w:rsidRPr="00C40AF4">
        <w:rPr>
          <w:rFonts w:cs="Times New Roman"/>
          <w:color w:val="0000FF"/>
          <w:szCs w:val="24"/>
          <w:lang w:val="en-GB"/>
        </w:rPr>
        <w:t xml:space="preserve">Bosworth </w:t>
      </w:r>
      <w:r w:rsidRPr="00C40AF4">
        <w:rPr>
          <w:rFonts w:cs="Times New Roman"/>
          <w:i/>
          <w:iCs/>
          <w:color w:val="0000FF"/>
          <w:szCs w:val="24"/>
          <w:lang w:val="en-GB"/>
        </w:rPr>
        <w:t>et al</w:t>
      </w:r>
      <w:r w:rsidRPr="00C40AF4">
        <w:rPr>
          <w:rFonts w:cs="Times New Roman"/>
          <w:color w:val="0000FF"/>
          <w:szCs w:val="24"/>
          <w:lang w:val="en-GB"/>
        </w:rPr>
        <w:t>., 2005</w:t>
      </w:r>
      <w:r w:rsidRPr="00C40AF4">
        <w:rPr>
          <w:rFonts w:cs="Times New Roman"/>
          <w:szCs w:val="24"/>
          <w:lang w:val="en-GB"/>
        </w:rPr>
        <w:t xml:space="preserve">). </w:t>
      </w:r>
      <w:r w:rsidR="00D451BA" w:rsidRPr="00D451BA">
        <w:rPr>
          <w:rFonts w:cs="Times New Roman"/>
          <w:szCs w:val="24"/>
          <w:lang w:val="en-GB"/>
        </w:rPr>
        <w:t>Since about 3 million years ago, successive rifting episodes and intrusions of magma have further locali</w:t>
      </w:r>
      <w:r w:rsidR="00860A7C">
        <w:rPr>
          <w:rFonts w:cs="Times New Roman"/>
          <w:szCs w:val="24"/>
          <w:lang w:val="en-GB"/>
        </w:rPr>
        <w:t>s</w:t>
      </w:r>
      <w:r w:rsidR="00D451BA" w:rsidRPr="00D451BA">
        <w:rPr>
          <w:rFonts w:cs="Times New Roman"/>
          <w:szCs w:val="24"/>
          <w:lang w:val="en-GB"/>
        </w:rPr>
        <w:t xml:space="preserve">ed extensional deformation into discrete magmatic segments </w:t>
      </w:r>
      <w:r w:rsidRPr="00C40AF4">
        <w:rPr>
          <w:rFonts w:cs="Times New Roman"/>
          <w:szCs w:val="24"/>
          <w:lang w:val="en-GB"/>
        </w:rPr>
        <w:t>(</w:t>
      </w:r>
      <w:r w:rsidRPr="00B70214">
        <w:rPr>
          <w:rFonts w:cs="Times New Roman"/>
          <w:color w:val="0000FF"/>
          <w:szCs w:val="24"/>
          <w:lang w:val="en-GB"/>
        </w:rPr>
        <w:t xml:space="preserve">Ebinger and Casey, 2001; Beutel </w:t>
      </w:r>
      <w:r w:rsidRPr="00B70214">
        <w:rPr>
          <w:rFonts w:cs="Times New Roman"/>
          <w:i/>
          <w:iCs/>
          <w:color w:val="0000FF"/>
          <w:szCs w:val="24"/>
          <w:lang w:val="en-GB"/>
        </w:rPr>
        <w:t>et al</w:t>
      </w:r>
      <w:r w:rsidRPr="00B70214">
        <w:rPr>
          <w:rFonts w:cs="Times New Roman"/>
          <w:color w:val="0000FF"/>
          <w:szCs w:val="24"/>
          <w:lang w:val="en-GB"/>
        </w:rPr>
        <w:t>., 2010</w:t>
      </w:r>
      <w:r w:rsidRPr="00C40AF4">
        <w:rPr>
          <w:rFonts w:cs="Times New Roman"/>
          <w:szCs w:val="24"/>
          <w:lang w:val="en-GB"/>
        </w:rPr>
        <w:t xml:space="preserve">). </w:t>
      </w:r>
      <w:r w:rsidR="00466F95" w:rsidRPr="00466F95">
        <w:rPr>
          <w:rFonts w:cs="Times New Roman"/>
          <w:szCs w:val="24"/>
          <w:lang w:val="en-GB"/>
        </w:rPr>
        <w:t>This evolving rift dynamics has also isolated tectonic blocks, such as the Danakil and Ali-</w:t>
      </w:r>
      <w:proofErr w:type="spellStart"/>
      <w:r w:rsidR="00466F95" w:rsidRPr="00466F95">
        <w:rPr>
          <w:rFonts w:cs="Times New Roman"/>
          <w:szCs w:val="24"/>
          <w:lang w:val="en-GB"/>
        </w:rPr>
        <w:t>Sabieh</w:t>
      </w:r>
      <w:proofErr w:type="spellEnd"/>
      <w:r w:rsidR="00466F95" w:rsidRPr="00466F95">
        <w:rPr>
          <w:rFonts w:cs="Times New Roman"/>
          <w:szCs w:val="24"/>
          <w:lang w:val="en-GB"/>
        </w:rPr>
        <w:t xml:space="preserve"> blocks </w:t>
      </w:r>
      <w:r w:rsidR="00913F1F" w:rsidRPr="00913F1F">
        <w:rPr>
          <w:rFonts w:cs="Times New Roman"/>
          <w:szCs w:val="24"/>
        </w:rPr>
        <w:t xml:space="preserve">(Fig. </w:t>
      </w:r>
      <w:r w:rsidR="00913F1F" w:rsidRPr="00913F1F">
        <w:rPr>
          <w:rFonts w:cs="Times New Roman"/>
          <w:color w:val="0000FF"/>
          <w:szCs w:val="24"/>
        </w:rPr>
        <w:t>1b</w:t>
      </w:r>
      <w:r w:rsidR="00913F1F" w:rsidRPr="00913F1F">
        <w:rPr>
          <w:rFonts w:cs="Times New Roman"/>
          <w:szCs w:val="24"/>
        </w:rPr>
        <w:t xml:space="preserve">), which </w:t>
      </w:r>
      <w:r w:rsidR="00D4726A">
        <w:rPr>
          <w:rFonts w:cs="Times New Roman"/>
          <w:szCs w:val="24"/>
        </w:rPr>
        <w:t>has</w:t>
      </w:r>
      <w:r w:rsidR="00913F1F" w:rsidRPr="00913F1F">
        <w:rPr>
          <w:rFonts w:cs="Times New Roman"/>
          <w:szCs w:val="24"/>
        </w:rPr>
        <w:t xml:space="preserve"> </w:t>
      </w:r>
      <w:r w:rsidR="003B0F8D" w:rsidRPr="00913F1F">
        <w:rPr>
          <w:rFonts w:cs="Times New Roman"/>
          <w:szCs w:val="24"/>
        </w:rPr>
        <w:t>evolved</w:t>
      </w:r>
      <w:r w:rsidR="00913F1F" w:rsidRPr="00913F1F">
        <w:rPr>
          <w:rFonts w:cs="Times New Roman"/>
          <w:szCs w:val="24"/>
        </w:rPr>
        <w:t xml:space="preserve"> independently and contribute to the continued widening of the </w:t>
      </w:r>
      <w:r w:rsidR="00397ADA">
        <w:rPr>
          <w:rFonts w:cs="Times New Roman"/>
          <w:szCs w:val="24"/>
        </w:rPr>
        <w:t>AD</w:t>
      </w:r>
      <w:r w:rsidR="00913F1F" w:rsidRPr="00913F1F">
        <w:rPr>
          <w:rFonts w:cs="Times New Roman"/>
          <w:szCs w:val="24"/>
          <w:lang w:val="en-GB"/>
        </w:rPr>
        <w:t xml:space="preserve"> </w:t>
      </w:r>
      <w:r w:rsidRPr="00C40AF4">
        <w:rPr>
          <w:rFonts w:cs="Times New Roman"/>
          <w:szCs w:val="24"/>
          <w:lang w:val="en-GB"/>
        </w:rPr>
        <w:t>(</w:t>
      </w:r>
      <w:proofErr w:type="spellStart"/>
      <w:r w:rsidR="00913F1F" w:rsidRPr="00913F1F">
        <w:rPr>
          <w:rFonts w:cs="Times New Roman"/>
          <w:color w:val="0000FF"/>
          <w:szCs w:val="24"/>
          <w:lang w:val="en-GB"/>
        </w:rPr>
        <w:t>Doubre</w:t>
      </w:r>
      <w:proofErr w:type="spellEnd"/>
      <w:r w:rsidR="00913F1F" w:rsidRPr="00913F1F">
        <w:rPr>
          <w:rFonts w:cs="Times New Roman"/>
          <w:color w:val="0000FF"/>
          <w:szCs w:val="24"/>
          <w:lang w:val="en-GB"/>
        </w:rPr>
        <w:t xml:space="preserve"> </w:t>
      </w:r>
      <w:r w:rsidR="00913F1F" w:rsidRPr="00913F1F">
        <w:rPr>
          <w:rFonts w:cs="Times New Roman"/>
          <w:i/>
          <w:iCs/>
          <w:color w:val="0000FF"/>
          <w:szCs w:val="24"/>
          <w:lang w:val="en-GB"/>
        </w:rPr>
        <w:t>et al.,</w:t>
      </w:r>
      <w:r w:rsidR="00913F1F" w:rsidRPr="00913F1F">
        <w:rPr>
          <w:rFonts w:cs="Times New Roman"/>
          <w:color w:val="0000FF"/>
          <w:szCs w:val="24"/>
          <w:lang w:val="en-GB"/>
        </w:rPr>
        <w:t xml:space="preserve"> 2017; Kidane, 2016</w:t>
      </w:r>
      <w:r w:rsidRPr="00C40AF4">
        <w:rPr>
          <w:rFonts w:cs="Times New Roman"/>
          <w:szCs w:val="24"/>
          <w:lang w:val="en-GB"/>
        </w:rPr>
        <w:t>)</w:t>
      </w:r>
      <w:r w:rsidR="00D4726A">
        <w:rPr>
          <w:rFonts w:cs="Times New Roman"/>
          <w:szCs w:val="24"/>
          <w:lang w:val="en-GB"/>
        </w:rPr>
        <w:t xml:space="preserve">. </w:t>
      </w:r>
      <w:r w:rsidR="008C0C88" w:rsidRPr="008C0C88">
        <w:rPr>
          <w:rFonts w:cs="Times New Roman"/>
          <w:szCs w:val="24"/>
        </w:rPr>
        <w:t>Notably</w:t>
      </w:r>
      <w:r w:rsidR="00C948D8">
        <w:rPr>
          <w:rFonts w:cs="Times New Roman"/>
          <w:szCs w:val="24"/>
        </w:rPr>
        <w:t xml:space="preserve">, </w:t>
      </w:r>
      <w:r w:rsidR="008C0C88" w:rsidRPr="008C0C88">
        <w:rPr>
          <w:rFonts w:cs="Times New Roman"/>
          <w:szCs w:val="24"/>
        </w:rPr>
        <w:t xml:space="preserve">the </w:t>
      </w:r>
      <w:r w:rsidR="00353BAF">
        <w:rPr>
          <w:rFonts w:cs="Times New Roman"/>
          <w:szCs w:val="24"/>
        </w:rPr>
        <w:t>GAR</w:t>
      </w:r>
      <w:r w:rsidR="008C0C88" w:rsidRPr="008C0C88">
        <w:rPr>
          <w:rFonts w:cs="Times New Roman"/>
          <w:szCs w:val="24"/>
        </w:rPr>
        <w:t xml:space="preserve"> penetrates Afar at the Gulf of </w:t>
      </w:r>
      <w:proofErr w:type="spellStart"/>
      <w:r w:rsidR="008C0C88" w:rsidRPr="008C0C88">
        <w:rPr>
          <w:rFonts w:cs="Times New Roman"/>
          <w:szCs w:val="24"/>
        </w:rPr>
        <w:t>Tadjura</w:t>
      </w:r>
      <w:proofErr w:type="spellEnd"/>
      <w:r w:rsidR="008C0C88" w:rsidRPr="008C0C88">
        <w:rPr>
          <w:rFonts w:cs="Times New Roman"/>
          <w:szCs w:val="24"/>
        </w:rPr>
        <w:t xml:space="preserve">, signifying the onset of continental break-up, while the Danakil Rift connects with the </w:t>
      </w:r>
      <w:r w:rsidR="00353BAF">
        <w:rPr>
          <w:rFonts w:cs="Times New Roman"/>
          <w:szCs w:val="24"/>
        </w:rPr>
        <w:t>GAR</w:t>
      </w:r>
      <w:r w:rsidR="008C0C88" w:rsidRPr="008C0C88">
        <w:rPr>
          <w:rFonts w:cs="Times New Roman"/>
          <w:szCs w:val="24"/>
        </w:rPr>
        <w:t xml:space="preserve"> in central Afar via a series of </w:t>
      </w:r>
      <w:proofErr w:type="spellStart"/>
      <w:r w:rsidR="008C0C88" w:rsidRPr="008C0C88">
        <w:rPr>
          <w:rFonts w:cs="Times New Roman"/>
          <w:szCs w:val="24"/>
        </w:rPr>
        <w:t>en</w:t>
      </w:r>
      <w:proofErr w:type="spellEnd"/>
      <w:r w:rsidR="008C0C88" w:rsidRPr="008C0C88">
        <w:rPr>
          <w:rFonts w:cs="Times New Roman"/>
          <w:szCs w:val="24"/>
        </w:rPr>
        <w:t>-echelon and overlapping grabens (</w:t>
      </w:r>
      <w:r w:rsidR="008C0C88" w:rsidRPr="00573B28">
        <w:rPr>
          <w:rFonts w:cs="Times New Roman"/>
          <w:color w:val="0000FF"/>
          <w:szCs w:val="24"/>
        </w:rPr>
        <w:t xml:space="preserve">Zwaan </w:t>
      </w:r>
      <w:r w:rsidR="008C0C88" w:rsidRPr="00573B28">
        <w:rPr>
          <w:rFonts w:cs="Times New Roman"/>
          <w:i/>
          <w:iCs/>
          <w:color w:val="0000FF"/>
          <w:szCs w:val="24"/>
        </w:rPr>
        <w:t>et al</w:t>
      </w:r>
      <w:r w:rsidR="008C0C88" w:rsidRPr="00573B28">
        <w:rPr>
          <w:rFonts w:cs="Times New Roman"/>
          <w:color w:val="0000FF"/>
          <w:szCs w:val="24"/>
        </w:rPr>
        <w:t>., 2020</w:t>
      </w:r>
      <w:r w:rsidR="008C0C88" w:rsidRPr="008C0C88">
        <w:rPr>
          <w:rFonts w:cs="Times New Roman"/>
          <w:szCs w:val="24"/>
        </w:rPr>
        <w:t>). Integrative deformation and geodetic studies, supported by geodynamic model</w:t>
      </w:r>
      <w:r w:rsidR="00386D24">
        <w:rPr>
          <w:rFonts w:cs="Times New Roman"/>
          <w:szCs w:val="24"/>
        </w:rPr>
        <w:t>l</w:t>
      </w:r>
      <w:r w:rsidR="008C0C88" w:rsidRPr="008C0C88">
        <w:rPr>
          <w:rFonts w:cs="Times New Roman"/>
          <w:szCs w:val="24"/>
        </w:rPr>
        <w:t xml:space="preserve">ing (e.g., </w:t>
      </w:r>
      <w:r w:rsidR="008C0C88" w:rsidRPr="00573B28">
        <w:rPr>
          <w:rFonts w:cs="Times New Roman"/>
          <w:color w:val="0000FF"/>
          <w:szCs w:val="24"/>
        </w:rPr>
        <w:t xml:space="preserve">McClusky </w:t>
      </w:r>
      <w:r w:rsidR="008C0C88" w:rsidRPr="00573B28">
        <w:rPr>
          <w:rFonts w:cs="Times New Roman"/>
          <w:i/>
          <w:iCs/>
          <w:color w:val="0000FF"/>
          <w:szCs w:val="24"/>
        </w:rPr>
        <w:t>et al.,</w:t>
      </w:r>
      <w:r w:rsidR="008C0C88" w:rsidRPr="00573B28">
        <w:rPr>
          <w:rFonts w:cs="Times New Roman"/>
          <w:color w:val="0000FF"/>
          <w:szCs w:val="24"/>
        </w:rPr>
        <w:t xml:space="preserve"> 2010; </w:t>
      </w:r>
      <w:proofErr w:type="spellStart"/>
      <w:r w:rsidR="008C0C88" w:rsidRPr="00573B28">
        <w:rPr>
          <w:rFonts w:cs="Times New Roman"/>
          <w:color w:val="0000FF"/>
          <w:szCs w:val="24"/>
        </w:rPr>
        <w:t>Koptev</w:t>
      </w:r>
      <w:proofErr w:type="spellEnd"/>
      <w:r w:rsidR="008C0C88" w:rsidRPr="00573B28">
        <w:rPr>
          <w:rFonts w:cs="Times New Roman"/>
          <w:color w:val="0000FF"/>
          <w:szCs w:val="24"/>
        </w:rPr>
        <w:t xml:space="preserve"> </w:t>
      </w:r>
      <w:r w:rsidR="008C0C88" w:rsidRPr="00573B28">
        <w:rPr>
          <w:rFonts w:cs="Times New Roman"/>
          <w:i/>
          <w:iCs/>
          <w:color w:val="0000FF"/>
          <w:szCs w:val="24"/>
        </w:rPr>
        <w:t>et al</w:t>
      </w:r>
      <w:r w:rsidR="008C0C88" w:rsidRPr="00573B28">
        <w:rPr>
          <w:rFonts w:cs="Times New Roman"/>
          <w:color w:val="0000FF"/>
          <w:szCs w:val="24"/>
        </w:rPr>
        <w:t xml:space="preserve">., 2018; Civiero </w:t>
      </w:r>
      <w:r w:rsidR="008C0C88" w:rsidRPr="00573B28">
        <w:rPr>
          <w:rFonts w:cs="Times New Roman"/>
          <w:i/>
          <w:iCs/>
          <w:color w:val="0000FF"/>
          <w:szCs w:val="24"/>
        </w:rPr>
        <w:t>et al</w:t>
      </w:r>
      <w:r w:rsidR="008C0C88" w:rsidRPr="00573B28">
        <w:rPr>
          <w:rFonts w:cs="Times New Roman"/>
          <w:color w:val="0000FF"/>
          <w:szCs w:val="24"/>
        </w:rPr>
        <w:t xml:space="preserve">., 2019; Khalil </w:t>
      </w:r>
      <w:r w:rsidR="008C0C88" w:rsidRPr="00573B28">
        <w:rPr>
          <w:rFonts w:cs="Times New Roman"/>
          <w:i/>
          <w:iCs/>
          <w:color w:val="0000FF"/>
          <w:szCs w:val="24"/>
        </w:rPr>
        <w:t>et al.,</w:t>
      </w:r>
      <w:r w:rsidR="008C0C88" w:rsidRPr="00573B28">
        <w:rPr>
          <w:rFonts w:cs="Times New Roman"/>
          <w:color w:val="0000FF"/>
          <w:szCs w:val="24"/>
        </w:rPr>
        <w:t xml:space="preserve"> 2020</w:t>
      </w:r>
      <w:r w:rsidR="008C0C88" w:rsidRPr="008C0C88">
        <w:rPr>
          <w:rFonts w:cs="Times New Roman"/>
          <w:szCs w:val="24"/>
        </w:rPr>
        <w:t>), have further illuminated the complex kinematics underlying this dynamic tectonic setting.</w:t>
      </w:r>
    </w:p>
    <w:p w14:paraId="603121B6" w14:textId="36AA3A63" w:rsidR="00423E96" w:rsidRDefault="006E459E" w:rsidP="006E459E">
      <w:pPr>
        <w:spacing w:before="0" w:line="360" w:lineRule="auto"/>
        <w:ind w:right="-22" w:firstLine="426"/>
        <w:rPr>
          <w:rFonts w:cs="Times New Roman"/>
          <w:szCs w:val="24"/>
          <w:lang w:val="en-GB"/>
        </w:rPr>
      </w:pPr>
      <w:r w:rsidRPr="006E459E">
        <w:rPr>
          <w:rFonts w:cs="Times New Roman"/>
          <w:szCs w:val="24"/>
          <w:lang w:val="en-GB"/>
        </w:rPr>
        <w:t>Global crustal models such as CRUST 1.0 (</w:t>
      </w:r>
      <w:r w:rsidRPr="006E459E">
        <w:rPr>
          <w:rFonts w:cs="Times New Roman"/>
          <w:color w:val="0000FF"/>
          <w:szCs w:val="24"/>
          <w:lang w:val="en-GB"/>
        </w:rPr>
        <w:t xml:space="preserve">Laske </w:t>
      </w:r>
      <w:r w:rsidRPr="006E459E">
        <w:rPr>
          <w:rFonts w:cs="Times New Roman"/>
          <w:i/>
          <w:iCs/>
          <w:color w:val="0000FF"/>
          <w:szCs w:val="24"/>
          <w:lang w:val="en-GB"/>
        </w:rPr>
        <w:t>et al.,</w:t>
      </w:r>
      <w:r w:rsidRPr="006E459E">
        <w:rPr>
          <w:rFonts w:cs="Times New Roman"/>
          <w:color w:val="0000FF"/>
          <w:szCs w:val="24"/>
          <w:lang w:val="en-GB"/>
        </w:rPr>
        <w:t xml:space="preserve"> 2012</w:t>
      </w:r>
      <w:r w:rsidRPr="006E459E">
        <w:rPr>
          <w:rFonts w:cs="Times New Roman"/>
          <w:szCs w:val="24"/>
          <w:lang w:val="en-GB"/>
        </w:rPr>
        <w:t xml:space="preserve">) provide critical insights into crustal parameters, enhancing understanding of the region’s tectonic framework. By comparing the </w:t>
      </w:r>
      <w:r w:rsidR="002D4C4A" w:rsidRPr="006E459E">
        <w:rPr>
          <w:rFonts w:cs="Times New Roman"/>
          <w:szCs w:val="24"/>
          <w:lang w:val="en-GB"/>
        </w:rPr>
        <w:t xml:space="preserve">topography </w:t>
      </w:r>
      <w:r w:rsidR="002D4C4A">
        <w:rPr>
          <w:rFonts w:cs="Times New Roman"/>
          <w:szCs w:val="24"/>
          <w:lang w:val="en-GB"/>
        </w:rPr>
        <w:t xml:space="preserve">of </w:t>
      </w:r>
      <w:r w:rsidRPr="006E459E">
        <w:rPr>
          <w:rFonts w:cs="Times New Roman"/>
          <w:szCs w:val="24"/>
          <w:lang w:val="en-GB"/>
        </w:rPr>
        <w:t xml:space="preserve">study area (Figs. </w:t>
      </w:r>
      <w:r w:rsidRPr="006E459E">
        <w:rPr>
          <w:rFonts w:cs="Times New Roman"/>
          <w:color w:val="0000FF"/>
          <w:szCs w:val="24"/>
          <w:lang w:val="en-GB"/>
        </w:rPr>
        <w:t xml:space="preserve">1a </w:t>
      </w:r>
      <w:r w:rsidRPr="006E459E">
        <w:rPr>
          <w:rFonts w:cs="Times New Roman"/>
          <w:szCs w:val="24"/>
          <w:lang w:val="en-GB"/>
        </w:rPr>
        <w:t xml:space="preserve">and </w:t>
      </w:r>
      <w:r w:rsidRPr="006E459E">
        <w:rPr>
          <w:rFonts w:cs="Times New Roman"/>
          <w:color w:val="0000FF"/>
          <w:szCs w:val="24"/>
          <w:lang w:val="en-GB"/>
        </w:rPr>
        <w:t>2a</w:t>
      </w:r>
      <w:r w:rsidRPr="006E459E">
        <w:rPr>
          <w:rFonts w:cs="Times New Roman"/>
          <w:szCs w:val="24"/>
          <w:lang w:val="en-GB"/>
        </w:rPr>
        <w:t xml:space="preserve">) with Moho depth distributions from CRUST 1.0 (Fig. </w:t>
      </w:r>
      <w:r w:rsidRPr="006E459E">
        <w:rPr>
          <w:rFonts w:cs="Times New Roman"/>
          <w:color w:val="0000FF"/>
          <w:szCs w:val="24"/>
          <w:lang w:val="en-GB"/>
        </w:rPr>
        <w:t>2b</w:t>
      </w:r>
      <w:r w:rsidRPr="006E459E">
        <w:rPr>
          <w:rFonts w:cs="Times New Roman"/>
          <w:szCs w:val="24"/>
          <w:lang w:val="en-GB"/>
        </w:rPr>
        <w:t xml:space="preserve">), distinct patterns emerge. The Ethiopian Plateau (EEP and WEP) and Yemen Highlands exhibit high elevations, indicative of thick continental crust, while the </w:t>
      </w:r>
      <w:r w:rsidR="00397ADA">
        <w:rPr>
          <w:rFonts w:cs="Times New Roman"/>
          <w:szCs w:val="24"/>
          <w:lang w:val="en-GB"/>
        </w:rPr>
        <w:t>AD</w:t>
      </w:r>
      <w:r w:rsidRPr="006E459E">
        <w:rPr>
          <w:rFonts w:cs="Times New Roman"/>
          <w:szCs w:val="24"/>
          <w:lang w:val="en-GB"/>
        </w:rPr>
        <w:t xml:space="preserve"> and parts of the Gulf of Aden lie at or below sea level, reflecting significant crustal thinning. These topographic variations, sculpted by tectonic and volcanic activity, produce steep escarpments and rugged terrain along major rift margins. The Moho depth distribution complements these observations, revealing deeper Moho beneath the highlands and shallower depths in rifted zones, consistent with isostatic compensation principles—thicker crust supports elevated topography, while thinner crust correlates with subsidence. In the Afar region and Gulf of Aden, shallow Moho depths align with ongoing continental break-up in the EAR system and seafloor spreading in the Red Sea and Gulf of Aden, underscoring the dynamic crustal deformation in this tectonically active domain.</w:t>
      </w:r>
    </w:p>
    <w:p w14:paraId="471C11E4" w14:textId="7F2A9212" w:rsidR="00211DB0" w:rsidRDefault="00D907B7" w:rsidP="00211DB0">
      <w:pPr>
        <w:spacing w:before="0" w:line="240" w:lineRule="auto"/>
        <w:ind w:left="709" w:hanging="709"/>
        <w:rPr>
          <w:rFonts w:cs="Times New Roman"/>
          <w:noProof/>
          <w:szCs w:val="24"/>
        </w:rPr>
      </w:pPr>
      <w:r>
        <w:rPr>
          <w:noProof/>
        </w:rPr>
        <w:lastRenderedPageBreak/>
        <w:drawing>
          <wp:inline distT="0" distB="0" distL="0" distR="0" wp14:anchorId="1F32BA32" wp14:editId="59061016">
            <wp:extent cx="6106795" cy="2672775"/>
            <wp:effectExtent l="0" t="0" r="8255" b="0"/>
            <wp:docPr id="17022446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06795" cy="2672775"/>
                    </a:xfrm>
                    <a:prstGeom prst="rect">
                      <a:avLst/>
                    </a:prstGeom>
                    <a:noFill/>
                    <a:ln>
                      <a:noFill/>
                    </a:ln>
                  </pic:spPr>
                </pic:pic>
              </a:graphicData>
            </a:graphic>
          </wp:inline>
        </w:drawing>
      </w:r>
    </w:p>
    <w:p w14:paraId="1AE73FD5" w14:textId="77777777" w:rsidR="00211DB0" w:rsidRDefault="00211DB0" w:rsidP="00211DB0">
      <w:pPr>
        <w:spacing w:before="0" w:line="240" w:lineRule="auto"/>
        <w:ind w:left="709" w:hanging="709"/>
        <w:rPr>
          <w:rFonts w:cs="Times New Roman"/>
          <w:noProof/>
          <w:szCs w:val="24"/>
        </w:rPr>
      </w:pPr>
    </w:p>
    <w:p w14:paraId="3488865A" w14:textId="255CB8C7" w:rsidR="00211DB0" w:rsidRPr="00036346" w:rsidRDefault="00211DB0" w:rsidP="00BA7835">
      <w:pPr>
        <w:spacing w:before="0" w:line="240" w:lineRule="auto"/>
        <w:ind w:firstLine="0"/>
        <w:rPr>
          <w:rFonts w:cs="Times New Roman"/>
          <w:noProof/>
          <w:sz w:val="22"/>
        </w:rPr>
      </w:pPr>
      <w:r w:rsidRPr="00036346">
        <w:rPr>
          <w:rFonts w:cs="Times New Roman"/>
          <w:noProof/>
          <w:sz w:val="22"/>
        </w:rPr>
        <w:t>Figure 2</w:t>
      </w:r>
      <w:r w:rsidR="00BA7835" w:rsidRPr="00036346">
        <w:rPr>
          <w:rFonts w:cs="Times New Roman"/>
          <w:noProof/>
          <w:sz w:val="22"/>
        </w:rPr>
        <w:t xml:space="preserve">: </w:t>
      </w:r>
      <w:r w:rsidRPr="00036346">
        <w:rPr>
          <w:rFonts w:cs="Times New Roman"/>
          <w:b/>
          <w:bCs/>
          <w:noProof/>
          <w:sz w:val="22"/>
        </w:rPr>
        <w:t>(a)</w:t>
      </w:r>
      <w:r w:rsidRPr="00036346">
        <w:rPr>
          <w:rFonts w:cs="Times New Roman"/>
          <w:noProof/>
          <w:sz w:val="22"/>
        </w:rPr>
        <w:t xml:space="preserve"> A three-dimensional topography of the study region, </w:t>
      </w:r>
      <w:r w:rsidRPr="00036346">
        <w:rPr>
          <w:rFonts w:cs="Times New Roman"/>
          <w:b/>
          <w:bCs/>
          <w:noProof/>
          <w:sz w:val="22"/>
        </w:rPr>
        <w:t>(b)</w:t>
      </w:r>
      <w:r w:rsidRPr="00036346">
        <w:rPr>
          <w:rFonts w:cs="Times New Roman"/>
          <w:noProof/>
          <w:sz w:val="22"/>
        </w:rPr>
        <w:t xml:space="preserve"> Moho depths (CRUST1.0 model) of the study region. Green and red dotted lines are boundaries based on the ak135 model of the crust.</w:t>
      </w:r>
    </w:p>
    <w:p w14:paraId="373353A1" w14:textId="77777777" w:rsidR="00211DB0" w:rsidRPr="00211DB0" w:rsidRDefault="00211DB0" w:rsidP="006E459E">
      <w:pPr>
        <w:spacing w:before="0" w:line="360" w:lineRule="auto"/>
        <w:ind w:right="-22" w:firstLine="426"/>
        <w:rPr>
          <w:rFonts w:cs="Times New Roman"/>
          <w:szCs w:val="24"/>
        </w:rPr>
      </w:pPr>
    </w:p>
    <w:p w14:paraId="1198321E" w14:textId="3C9602E3" w:rsidR="001D1AEE" w:rsidRPr="004D4245" w:rsidRDefault="004E3181" w:rsidP="000A009B">
      <w:pPr>
        <w:pStyle w:val="Heading1"/>
      </w:pPr>
      <w:r w:rsidRPr="004D4245">
        <w:t>3</w:t>
      </w:r>
      <w:r w:rsidR="001D1AEE" w:rsidRPr="004D4245">
        <w:t xml:space="preserve"> </w:t>
      </w:r>
      <w:r w:rsidR="001D1AEE" w:rsidRPr="004D4245">
        <w:tab/>
      </w:r>
      <w:r w:rsidR="003848D2" w:rsidRPr="003848D2">
        <w:t>DATA AND METHODOLOGY</w:t>
      </w:r>
    </w:p>
    <w:p w14:paraId="16C76FA2" w14:textId="55489E79" w:rsidR="001D1AEE" w:rsidRPr="004D4245" w:rsidRDefault="004E3181" w:rsidP="00E83D71">
      <w:pPr>
        <w:pStyle w:val="Heading2"/>
        <w:spacing w:before="0" w:after="0"/>
        <w:ind w:left="567" w:hanging="567"/>
        <w:rPr>
          <w:rFonts w:ascii="Times New Roman" w:hAnsi="Times New Roman" w:cs="Times New Roman"/>
          <w:i/>
          <w:szCs w:val="24"/>
        </w:rPr>
      </w:pPr>
      <w:r w:rsidRPr="004D4245">
        <w:rPr>
          <w:rFonts w:ascii="Times New Roman" w:hAnsi="Times New Roman" w:cs="Times New Roman"/>
          <w:szCs w:val="24"/>
        </w:rPr>
        <w:t>3</w:t>
      </w:r>
      <w:r w:rsidR="001D1AEE" w:rsidRPr="004D4245">
        <w:rPr>
          <w:rFonts w:ascii="Times New Roman" w:hAnsi="Times New Roman" w:cs="Times New Roman"/>
          <w:szCs w:val="24"/>
        </w:rPr>
        <w:t>.1</w:t>
      </w:r>
      <w:r w:rsidR="001D1AEE" w:rsidRPr="004D4245">
        <w:rPr>
          <w:rFonts w:ascii="Times New Roman" w:hAnsi="Times New Roman" w:cs="Times New Roman"/>
          <w:szCs w:val="24"/>
        </w:rPr>
        <w:tab/>
        <w:t>Data</w:t>
      </w:r>
    </w:p>
    <w:p w14:paraId="218F0A1B" w14:textId="5138B600" w:rsidR="0061551E" w:rsidRDefault="0061551E" w:rsidP="00BE7C4F">
      <w:pPr>
        <w:spacing w:before="0" w:line="360" w:lineRule="auto"/>
        <w:ind w:right="-22" w:firstLine="426"/>
        <w:rPr>
          <w:rFonts w:cs="Times New Roman"/>
          <w:szCs w:val="24"/>
        </w:rPr>
      </w:pPr>
      <w:r w:rsidRPr="0061551E">
        <w:rPr>
          <w:rFonts w:cs="Times New Roman"/>
          <w:szCs w:val="24"/>
        </w:rPr>
        <w:t>The present study utili</w:t>
      </w:r>
      <w:r w:rsidR="00A76826">
        <w:rPr>
          <w:rFonts w:cs="Times New Roman"/>
          <w:szCs w:val="24"/>
        </w:rPr>
        <w:t>s</w:t>
      </w:r>
      <w:r w:rsidRPr="0061551E">
        <w:rPr>
          <w:rFonts w:cs="Times New Roman"/>
          <w:szCs w:val="24"/>
        </w:rPr>
        <w:t>es earthquake arrival time data obtained from the International Seismological Center (ISC) archives, covering the period from 1976 to 2023. The dataset focuses on earthquakes with magnitude</w:t>
      </w:r>
      <w:r>
        <w:rPr>
          <w:rFonts w:cs="Times New Roman"/>
          <w:szCs w:val="24"/>
        </w:rPr>
        <w:t xml:space="preserve"> </w:t>
      </w:r>
      <w:r w:rsidRPr="008C5172">
        <w:rPr>
          <w:rFonts w:cs="Times New Roman"/>
          <w:color w:val="000000"/>
        </w:rPr>
        <w:t>(m</w:t>
      </w:r>
      <w:r w:rsidRPr="008C5172">
        <w:rPr>
          <w:rFonts w:cs="Times New Roman"/>
          <w:color w:val="000000"/>
          <w:vertAlign w:val="subscript"/>
        </w:rPr>
        <w:t>b</w:t>
      </w:r>
      <w:r w:rsidRPr="008C5172">
        <w:rPr>
          <w:rFonts w:cs="Times New Roman"/>
          <w:color w:val="000000"/>
        </w:rPr>
        <w:t xml:space="preserve">) </w:t>
      </w:r>
      <w:r w:rsidRPr="0061551E">
        <w:rPr>
          <w:rFonts w:cs="Times New Roman"/>
          <w:szCs w:val="24"/>
        </w:rPr>
        <w:t xml:space="preserve">exceeding 1.0, located within a region bounded by latitudes 7°–17° N and longitudes 38°–47° E, with focal depths ranging from the surface to 67 km (Fig. </w:t>
      </w:r>
      <w:r w:rsidRPr="007E1844">
        <w:rPr>
          <w:rFonts w:cs="Times New Roman"/>
          <w:color w:val="0000FF"/>
          <w:szCs w:val="24"/>
        </w:rPr>
        <w:t>1b</w:t>
      </w:r>
      <w:r w:rsidRPr="0061551E">
        <w:rPr>
          <w:rFonts w:cs="Times New Roman"/>
          <w:szCs w:val="24"/>
        </w:rPr>
        <w:t xml:space="preserve">). Only events that recorded three or more arrival times </w:t>
      </w:r>
      <w:r w:rsidR="007E1844">
        <w:rPr>
          <w:rFonts w:cs="Times New Roman"/>
          <w:szCs w:val="24"/>
        </w:rPr>
        <w:t>are</w:t>
      </w:r>
      <w:r w:rsidRPr="0061551E">
        <w:rPr>
          <w:rFonts w:cs="Times New Roman"/>
          <w:szCs w:val="24"/>
        </w:rPr>
        <w:t xml:space="preserve"> included, resulting in a total of 17,476 first-arrival P-wave observations from 2,911 earthquakes, as recorded by a network of 114 seismic stations</w:t>
      </w:r>
      <w:r w:rsidR="00465E21">
        <w:rPr>
          <w:rFonts w:cs="Times New Roman"/>
          <w:color w:val="0000FF"/>
          <w:szCs w:val="24"/>
        </w:rPr>
        <w:t xml:space="preserve">. </w:t>
      </w:r>
      <w:r w:rsidR="00465E21" w:rsidRPr="00465E21">
        <w:rPr>
          <w:rFonts w:cs="Times New Roman"/>
          <w:szCs w:val="24"/>
        </w:rPr>
        <w:t xml:space="preserve">The </w:t>
      </w:r>
      <w:r w:rsidR="00EC0CFC">
        <w:rPr>
          <w:rFonts w:cs="Times New Roman"/>
          <w:szCs w:val="24"/>
        </w:rPr>
        <w:t xml:space="preserve">station </w:t>
      </w:r>
      <w:r w:rsidR="005B0C49">
        <w:rPr>
          <w:rFonts w:cs="Times New Roman"/>
          <w:szCs w:val="24"/>
        </w:rPr>
        <w:t xml:space="preserve">lists </w:t>
      </w:r>
      <w:proofErr w:type="gramStart"/>
      <w:r w:rsidR="00EC0CFC">
        <w:rPr>
          <w:rFonts w:cs="Times New Roman"/>
          <w:szCs w:val="24"/>
        </w:rPr>
        <w:t>is</w:t>
      </w:r>
      <w:proofErr w:type="gramEnd"/>
      <w:r w:rsidR="005B0C49">
        <w:rPr>
          <w:rFonts w:cs="Times New Roman"/>
          <w:szCs w:val="24"/>
        </w:rPr>
        <w:t xml:space="preserve"> </w:t>
      </w:r>
      <w:r w:rsidR="00465E21" w:rsidRPr="00465E21">
        <w:rPr>
          <w:rFonts w:cs="Times New Roman"/>
          <w:lang w:val="en-GB"/>
        </w:rPr>
        <w:t>available</w:t>
      </w:r>
      <w:r w:rsidR="00465E21" w:rsidRPr="00465E21">
        <w:rPr>
          <w:szCs w:val="24"/>
        </w:rPr>
        <w:t xml:space="preserve"> </w:t>
      </w:r>
      <w:r w:rsidR="00465E21" w:rsidRPr="00A24785">
        <w:rPr>
          <w:szCs w:val="24"/>
        </w:rPr>
        <w:t xml:space="preserve">in </w:t>
      </w:r>
      <w:r w:rsidR="00AD4DDB">
        <w:rPr>
          <w:szCs w:val="24"/>
        </w:rPr>
        <w:t xml:space="preserve">the </w:t>
      </w:r>
      <w:r w:rsidR="00D465C6">
        <w:rPr>
          <w:szCs w:val="24"/>
        </w:rPr>
        <w:t>supplementary</w:t>
      </w:r>
      <w:r w:rsidR="00465E21" w:rsidRPr="00A24785">
        <w:rPr>
          <w:szCs w:val="24"/>
        </w:rPr>
        <w:t xml:space="preserve"> </w:t>
      </w:r>
      <w:r w:rsidR="00465E21">
        <w:rPr>
          <w:szCs w:val="24"/>
        </w:rPr>
        <w:t>information</w:t>
      </w:r>
      <w:r w:rsidRPr="0061551E">
        <w:rPr>
          <w:rFonts w:cs="Times New Roman"/>
          <w:szCs w:val="24"/>
        </w:rPr>
        <w:t>.</w:t>
      </w:r>
    </w:p>
    <w:p w14:paraId="64654FBF" w14:textId="5169C18E" w:rsidR="008F406A" w:rsidRPr="004D4245" w:rsidRDefault="008F406A" w:rsidP="00E83D71">
      <w:pPr>
        <w:pStyle w:val="Heading2"/>
        <w:spacing w:after="0"/>
        <w:ind w:left="567" w:hanging="567"/>
        <w:rPr>
          <w:rFonts w:ascii="Times New Roman" w:hAnsi="Times New Roman" w:cs="Times New Roman"/>
          <w:i/>
          <w:szCs w:val="24"/>
        </w:rPr>
      </w:pPr>
      <w:r>
        <w:rPr>
          <w:rFonts w:ascii="Times New Roman" w:hAnsi="Times New Roman" w:cs="Times New Roman"/>
          <w:szCs w:val="24"/>
        </w:rPr>
        <w:t>3</w:t>
      </w:r>
      <w:r w:rsidRPr="004D4245">
        <w:rPr>
          <w:rFonts w:ascii="Times New Roman" w:hAnsi="Times New Roman" w:cs="Times New Roman"/>
          <w:szCs w:val="24"/>
        </w:rPr>
        <w:t>.2</w:t>
      </w:r>
      <w:r w:rsidRPr="004D4245">
        <w:rPr>
          <w:rFonts w:ascii="Times New Roman" w:hAnsi="Times New Roman" w:cs="Times New Roman"/>
          <w:szCs w:val="24"/>
        </w:rPr>
        <w:tab/>
      </w:r>
      <w:r w:rsidR="00456855">
        <w:rPr>
          <w:rFonts w:ascii="Times New Roman" w:hAnsi="Times New Roman" w:cs="Times New Roman"/>
          <w:szCs w:val="24"/>
        </w:rPr>
        <w:t>Methodology</w:t>
      </w:r>
    </w:p>
    <w:p w14:paraId="773C1D35" w14:textId="09EE26CA" w:rsidR="002B6FAC" w:rsidRPr="00F15F1F" w:rsidRDefault="002B6FAC" w:rsidP="00DE6992">
      <w:pPr>
        <w:pStyle w:val="Heading3"/>
        <w:spacing w:after="0"/>
      </w:pPr>
      <w:bookmarkStart w:id="7" w:name="_Hlk103499914"/>
      <w:r>
        <w:t>3</w:t>
      </w:r>
      <w:r w:rsidRPr="00F15F1F">
        <w:t>.2.1</w:t>
      </w:r>
      <w:r w:rsidRPr="00F15F1F">
        <w:tab/>
        <w:t xml:space="preserve">Model </w:t>
      </w:r>
      <w:r w:rsidRPr="002B6FAC">
        <w:t>Parameterization</w:t>
      </w:r>
    </w:p>
    <w:p w14:paraId="27F889EF" w14:textId="2E8B33CE" w:rsidR="00EA525E" w:rsidRDefault="00252538" w:rsidP="00BE7C4F">
      <w:pPr>
        <w:spacing w:before="0" w:line="360" w:lineRule="auto"/>
        <w:ind w:right="-22" w:firstLine="426"/>
        <w:rPr>
          <w:rFonts w:cs="Times New Roman"/>
          <w:color w:val="000000"/>
        </w:rPr>
      </w:pPr>
      <w:r w:rsidRPr="00252538">
        <w:rPr>
          <w:rFonts w:cs="Times New Roman"/>
          <w:szCs w:val="24"/>
        </w:rPr>
        <w:t xml:space="preserve">A </w:t>
      </w:r>
      <w:r w:rsidR="000F372F">
        <w:rPr>
          <w:rFonts w:cs="Times New Roman"/>
          <w:szCs w:val="24"/>
        </w:rPr>
        <w:t>3D</w:t>
      </w:r>
      <w:r w:rsidRPr="00252538">
        <w:rPr>
          <w:rFonts w:cs="Times New Roman"/>
          <w:szCs w:val="24"/>
        </w:rPr>
        <w:t xml:space="preserve"> grid mesh </w:t>
      </w:r>
      <w:r w:rsidR="00491927">
        <w:rPr>
          <w:rFonts w:cs="Times New Roman"/>
          <w:szCs w:val="24"/>
        </w:rPr>
        <w:t>i</w:t>
      </w:r>
      <w:r w:rsidRPr="00252538">
        <w:rPr>
          <w:rFonts w:cs="Times New Roman"/>
          <w:szCs w:val="24"/>
        </w:rPr>
        <w:t>s constructed beneath the study area using the ak135 velocity model as a reference.</w:t>
      </w:r>
      <w:r w:rsidR="005563BA">
        <w:rPr>
          <w:rFonts w:cs="Times New Roman"/>
          <w:color w:val="000000"/>
        </w:rPr>
        <w:t xml:space="preserve"> </w:t>
      </w:r>
      <w:r w:rsidR="00162224" w:rsidRPr="00F15F1F">
        <w:rPr>
          <w:rFonts w:cs="Times New Roman"/>
          <w:color w:val="000000"/>
        </w:rPr>
        <w:t xml:space="preserve">The </w:t>
      </w:r>
      <w:r w:rsidR="00162224" w:rsidRPr="00521923">
        <w:rPr>
          <w:szCs w:val="24"/>
        </w:rPr>
        <w:t>grid</w:t>
      </w:r>
      <w:r w:rsidR="00162224" w:rsidRPr="00F15F1F">
        <w:rPr>
          <w:rFonts w:cs="Times New Roman"/>
          <w:color w:val="000000"/>
        </w:rPr>
        <w:t xml:space="preserve"> spans latitudes </w:t>
      </w:r>
      <w:r w:rsidR="00162224">
        <w:rPr>
          <w:rFonts w:cs="Times New Roman"/>
          <w:color w:val="000000"/>
        </w:rPr>
        <w:t>7</w:t>
      </w:r>
      <w:r w:rsidR="00162224" w:rsidRPr="00F15F1F">
        <w:rPr>
          <w:rFonts w:cs="Times New Roman"/>
          <w:color w:val="000000"/>
        </w:rPr>
        <w:t>°–</w:t>
      </w:r>
      <w:r w:rsidR="00162224">
        <w:rPr>
          <w:rFonts w:cs="Times New Roman"/>
          <w:color w:val="000000"/>
        </w:rPr>
        <w:t>1</w:t>
      </w:r>
      <w:r w:rsidR="00162224" w:rsidRPr="00F15F1F">
        <w:rPr>
          <w:rFonts w:cs="Times New Roman"/>
          <w:color w:val="000000"/>
        </w:rPr>
        <w:t xml:space="preserve">7° N and longitudes </w:t>
      </w:r>
      <w:r w:rsidR="00162224">
        <w:rPr>
          <w:rFonts w:cs="Times New Roman"/>
          <w:color w:val="000000"/>
        </w:rPr>
        <w:t>38</w:t>
      </w:r>
      <w:r w:rsidR="00162224" w:rsidRPr="00F15F1F">
        <w:rPr>
          <w:rFonts w:cs="Times New Roman"/>
          <w:color w:val="000000"/>
        </w:rPr>
        <w:t>°–</w:t>
      </w:r>
      <w:r w:rsidR="00162224">
        <w:rPr>
          <w:rFonts w:cs="Times New Roman"/>
          <w:color w:val="000000"/>
        </w:rPr>
        <w:t>47</w:t>
      </w:r>
      <w:r w:rsidR="00162224" w:rsidRPr="00F15F1F">
        <w:rPr>
          <w:rFonts w:cs="Times New Roman"/>
          <w:color w:val="000000"/>
        </w:rPr>
        <w:t xml:space="preserve">° E, with vertical </w:t>
      </w:r>
      <w:r w:rsidR="004B096A" w:rsidRPr="004B096A">
        <w:rPr>
          <w:rFonts w:cs="Times New Roman"/>
          <w:color w:val="000000"/>
        </w:rPr>
        <w:t>discreti</w:t>
      </w:r>
      <w:r w:rsidR="0082281F">
        <w:rPr>
          <w:rFonts w:cs="Times New Roman"/>
          <w:color w:val="000000"/>
        </w:rPr>
        <w:t>s</w:t>
      </w:r>
      <w:r w:rsidR="004B096A" w:rsidRPr="004B096A">
        <w:rPr>
          <w:rFonts w:cs="Times New Roman"/>
          <w:color w:val="000000"/>
        </w:rPr>
        <w:t>ation from 2 km down to 70 km depth</w:t>
      </w:r>
      <w:r w:rsidR="00162224">
        <w:rPr>
          <w:rFonts w:cs="Times New Roman"/>
          <w:color w:val="000000"/>
        </w:rPr>
        <w:t xml:space="preserve"> </w:t>
      </w:r>
      <w:r w:rsidR="00162224" w:rsidRPr="00F15F1F">
        <w:rPr>
          <w:rFonts w:cs="Times New Roman"/>
          <w:color w:val="000000"/>
        </w:rPr>
        <w:t>(</w:t>
      </w:r>
      <w:r w:rsidR="00162224" w:rsidRPr="00F15F1F">
        <w:rPr>
          <w:rFonts w:cs="Times New Roman"/>
        </w:rPr>
        <w:t xml:space="preserve">Fig. </w:t>
      </w:r>
      <w:r w:rsidR="00162224">
        <w:rPr>
          <w:rFonts w:cs="Times New Roman"/>
          <w:color w:val="0000FF"/>
        </w:rPr>
        <w:t>3</w:t>
      </w:r>
      <w:r w:rsidR="00162224" w:rsidRPr="00F15F1F">
        <w:rPr>
          <w:rFonts w:cs="Times New Roman"/>
          <w:color w:val="000000"/>
        </w:rPr>
        <w:t>, gold circles).</w:t>
      </w:r>
      <w:r w:rsidR="00162224">
        <w:rPr>
          <w:rFonts w:cs="Times New Roman"/>
          <w:color w:val="000000"/>
        </w:rPr>
        <w:t xml:space="preserve"> </w:t>
      </w:r>
      <w:r w:rsidR="00141F3B" w:rsidRPr="00141F3B">
        <w:rPr>
          <w:rFonts w:cs="Times New Roman"/>
          <w:color w:val="000000"/>
        </w:rPr>
        <w:t>The subsurface velocity structure is represented by assigning specific velocity values at the nodes where gridlines intersect, with the assumption that velocity remains constant within each cell.</w:t>
      </w:r>
      <w:r w:rsidR="00503480" w:rsidRPr="00FB754A">
        <w:rPr>
          <w:rFonts w:cs="Times New Roman"/>
          <w:color w:val="000000"/>
        </w:rPr>
        <w:t xml:space="preserve"> </w:t>
      </w:r>
      <w:r w:rsidR="00141F3B" w:rsidRPr="00141F3B">
        <w:rPr>
          <w:rFonts w:cs="Times New Roman"/>
          <w:color w:val="000000"/>
        </w:rPr>
        <w:t>This approach permits the approximation of ray paths as straight-line segments within individual cells.</w:t>
      </w:r>
      <w:r w:rsidR="00503480" w:rsidRPr="00FB754A">
        <w:rPr>
          <w:rFonts w:cs="Times New Roman"/>
          <w:color w:val="000000"/>
        </w:rPr>
        <w:t xml:space="preserve"> To determine velocities at arbitrary points within a cell, </w:t>
      </w:r>
      <w:r w:rsidR="00503480" w:rsidRPr="00FB754A">
        <w:rPr>
          <w:rFonts w:cs="Times New Roman"/>
          <w:color w:val="000000"/>
        </w:rPr>
        <w:lastRenderedPageBreak/>
        <w:t xml:space="preserve">trilinear interpolation is applied, leveraging the velocities at the eight surrounding grid vertices </w:t>
      </w:r>
      <w:r w:rsidR="00162224" w:rsidRPr="00FB754A">
        <w:rPr>
          <w:rFonts w:cs="Times New Roman"/>
        </w:rPr>
        <w:t>(</w:t>
      </w:r>
      <w:r w:rsidR="00162224" w:rsidRPr="00FB754A">
        <w:rPr>
          <w:rFonts w:cs="Times New Roman"/>
        </w:rPr>
        <w:fldChar w:fldCharType="begin"/>
      </w:r>
      <w:r w:rsidR="00162224" w:rsidRPr="00FB754A">
        <w:rPr>
          <w:rFonts w:cs="Times New Roman"/>
        </w:rPr>
        <w:instrText xml:space="preserve"> ADDIN EN.CITE &lt;EndNote&gt;&lt;Cite Hidden="1"&gt;&lt;Author&gt;Zhao&lt;/Author&gt;&lt;Year&gt;1994&lt;/Year&gt;&lt;RecNum&gt;2699&lt;/RecNum&gt;&lt;record&gt;&lt;rec-number&gt;2699&lt;/rec-number&gt;&lt;foreign-keys&gt;&lt;key app="EN" db-id="50wxdpzd9vd5r7e9t5b595djrfpttrxw9avp" timestamp="1556937378"&gt;2699&lt;/key&gt;&lt;/foreign-keys&gt;&lt;ref-type name="Journal Article"&gt;17&lt;/ref-type&gt;&lt;contributors&gt;&lt;authors&gt;&lt;author&gt;Zhao, Dapeng&lt;/author&gt;&lt;author&gt;Hasegawa, Akira&lt;/author&gt;&lt;author&gt;Kanamori, Hiroo&lt;/author&gt;&lt;/authors&gt;&lt;/contributors&gt;&lt;titles&gt;&lt;title&gt;Deep structure of Japan subduction zone as derived from local, regional, and teleseismic events&lt;/title&gt;&lt;secondary-title&gt;Journal of Geophysical Research&lt;/secondary-title&gt;&lt;/titles&gt;&lt;periodical&gt;&lt;full-title&gt;Journal of Geophysical Research&lt;/full-title&gt;&lt;/periodical&gt;&lt;pages&gt;22313-22329&lt;/pages&gt;&lt;volume&gt;99&lt;/volume&gt;&lt;number&gt;B11&lt;/number&gt;&lt;dates&gt;&lt;year&gt;1994&lt;/year&gt;&lt;/dates&gt;&lt;isbn&gt;2156-2202&lt;/isbn&gt;&lt;urls&gt;&lt;/urls&gt;&lt;electronic-resource-num&gt;10.1029/94JB01149.&lt;/electronic-resource-num&gt;&lt;/record&gt;&lt;/Cite&gt;&lt;/EndNote&gt;</w:instrText>
      </w:r>
      <w:r w:rsidR="00162224" w:rsidRPr="00FB754A">
        <w:rPr>
          <w:rFonts w:cs="Times New Roman"/>
        </w:rPr>
        <w:fldChar w:fldCharType="end"/>
      </w:r>
      <w:r w:rsidR="00776D52" w:rsidRPr="00FB754A">
        <w:rPr>
          <w:rFonts w:cs="Times New Roman"/>
          <w:color w:val="0000FF"/>
        </w:rPr>
        <w:t xml:space="preserve">Thurber, </w:t>
      </w:r>
      <w:r w:rsidR="00776D52" w:rsidRPr="00FB754A">
        <w:rPr>
          <w:rFonts w:cs="Times New Roman"/>
          <w:color w:val="0000FF"/>
        </w:rPr>
        <w:fldChar w:fldCharType="begin"/>
      </w:r>
      <w:r w:rsidR="00776D52" w:rsidRPr="00FB754A">
        <w:rPr>
          <w:rFonts w:cs="Times New Roman"/>
          <w:color w:val="0000FF"/>
        </w:rPr>
        <w:instrText xml:space="preserve"> ADDIN EN.CITE &lt;EndNote&gt;&lt;Cite Hidden="1"&gt;&lt;Author&gt;Thurber&lt;/Author&gt;&lt;Year&gt;1983&lt;/Year&gt;&lt;RecNum&gt;2750&lt;/RecNum&gt;&lt;record&gt;&lt;rec-number&gt;2750&lt;/rec-number&gt;&lt;foreign-keys&gt;&lt;key app="EN" db-id="50wxdpzd9vd5r7e9t5b595djrfpttrxw9avp" timestamp="1556954437"&gt;2750&lt;/key&gt;&lt;/foreign-keys&gt;&lt;ref-type name="Journal Article"&gt;17&lt;/ref-type&gt;&lt;contributors&gt;&lt;authors&gt;&lt;author&gt;Thurber, Clifford H&lt;/author&gt;&lt;/authors&gt;&lt;/contributors&gt;&lt;titles&gt;&lt;title&gt;Earthquake locations and three‐dimensional crustal structure in the Coyote Lake area, central California&lt;/title&gt;&lt;secondary-title&gt;Journal of Geophysical Research&lt;/secondary-title&gt;&lt;/titles&gt;&lt;periodical&gt;&lt;full-title&gt;Journal of Geophysical Research&lt;/full-title&gt;&lt;/periodical&gt;&lt;pages&gt;8226-8236&lt;/pages&gt;&lt;volume&gt;88&lt;/volume&gt;&lt;number&gt;B10&lt;/number&gt;&lt;dates&gt;&lt;year&gt;1983&lt;/year&gt;&lt;/dates&gt;&lt;isbn&gt;2156-2202&lt;/isbn&gt;&lt;urls&gt;&lt;/urls&gt;&lt;/record&gt;&lt;/Cite&gt;&lt;/EndNote&gt;</w:instrText>
      </w:r>
      <w:r w:rsidR="00776D52" w:rsidRPr="00FB754A">
        <w:rPr>
          <w:rFonts w:cs="Times New Roman"/>
          <w:color w:val="0000FF"/>
        </w:rPr>
        <w:fldChar w:fldCharType="end"/>
      </w:r>
      <w:r w:rsidR="004672FE" w:rsidRPr="00FB754A">
        <w:rPr>
          <w:rFonts w:cs="Times New Roman"/>
          <w:color w:val="0000FF"/>
        </w:rPr>
        <w:t xml:space="preserve">1983; </w:t>
      </w:r>
      <w:r w:rsidR="00162224" w:rsidRPr="00FB754A">
        <w:rPr>
          <w:rFonts w:cs="Times New Roman"/>
          <w:color w:val="0000FF"/>
        </w:rPr>
        <w:t xml:space="preserve">Zhao </w:t>
      </w:r>
      <w:r w:rsidR="00162224" w:rsidRPr="00FB754A">
        <w:rPr>
          <w:rFonts w:cs="Times New Roman"/>
          <w:i/>
          <w:iCs/>
          <w:color w:val="0000FF"/>
        </w:rPr>
        <w:t>et al.,</w:t>
      </w:r>
      <w:r w:rsidR="00162224" w:rsidRPr="00FB754A">
        <w:rPr>
          <w:rFonts w:cs="Times New Roman"/>
          <w:color w:val="0000FF"/>
        </w:rPr>
        <w:t xml:space="preserve"> 1994; Haslinger </w:t>
      </w:r>
      <w:r w:rsidR="00162224" w:rsidRPr="00FB754A">
        <w:rPr>
          <w:rFonts w:cs="Times New Roman"/>
          <w:i/>
          <w:iCs/>
          <w:color w:val="0000FF"/>
        </w:rPr>
        <w:t>et al.,</w:t>
      </w:r>
      <w:r w:rsidR="00162224" w:rsidRPr="00FB754A">
        <w:rPr>
          <w:rFonts w:cs="Times New Roman"/>
          <w:color w:val="0000FF"/>
        </w:rPr>
        <w:t xml:space="preserve"> 1999</w:t>
      </w:r>
      <w:r w:rsidR="00162224" w:rsidRPr="00FB754A">
        <w:rPr>
          <w:rFonts w:cs="Times New Roman"/>
        </w:rPr>
        <w:fldChar w:fldCharType="begin"/>
      </w:r>
      <w:r w:rsidR="00162224" w:rsidRPr="00FB754A">
        <w:rPr>
          <w:rFonts w:cs="Times New Roman"/>
        </w:rPr>
        <w:instrText xml:space="preserve"> ADDIN EN.CITE &lt;EndNote&gt;&lt;Cite Hidden="1"&gt;&lt;Author&gt;Haslinger&lt;/Author&gt;&lt;Year&gt;1999&lt;/Year&gt;&lt;RecNum&gt;4178&lt;/RecNum&gt;&lt;record&gt;&lt;rec-number&gt;4178&lt;/rec-number&gt;&lt;foreign-keys&gt;&lt;key app="EN" db-id="50wxdpzd9vd5r7e9t5b595djrfpttrxw9avp" timestamp="1611979265"&gt;4178&lt;/key&gt;&lt;/foreign-keys&gt;&lt;ref-type name="Journal Article"&gt;17&lt;/ref-type&gt;&lt;contributors&gt;&lt;authors&gt;&lt;author&gt;Haslinger, Florian&lt;/author&gt;&lt;author&gt;Kissling, E&lt;/author&gt;&lt;author&gt;Ansorge, J&lt;/author&gt;&lt;author&gt;Hatzfeld, D&lt;/author&gt;&lt;author&gt;Papadimitriou, Eleftheria&lt;/author&gt;&lt;author&gt;Karakostas, V&lt;/author&gt;&lt;author&gt;Makropoulos, K&lt;/author&gt;&lt;author&gt;Kahle, H-G&lt;/author&gt;&lt;author&gt;Peter, Y&lt;/author&gt;&lt;/authors&gt;&lt;/contributors&gt;&lt;titles&gt;&lt;title&gt;3D crustal structure from local earthquake tomography around the Gulf of Arta (Ionian region, NW Greece)&lt;/title&gt;&lt;secondary-title&gt;Tectonophysics&lt;/secondary-title&gt;&lt;/titles&gt;&lt;periodical&gt;&lt;full-title&gt;Tectonophysics&lt;/full-title&gt;&lt;/periodical&gt;&lt;pages&gt;201-218&lt;/pages&gt;&lt;volume&gt;304&lt;/volume&gt;&lt;number&gt;3&lt;/number&gt;&lt;dates&gt;&lt;year&gt;1999&lt;/year&gt;&lt;/dates&gt;&lt;isbn&gt;0040-1951&lt;/isbn&gt;&lt;urls&gt;&lt;/urls&gt;&lt;electronic-resource-num&gt;10.1016/S0040-1951(98)00298-4.&lt;/electronic-resource-num&gt;&lt;/record&gt;&lt;/Cite&gt;&lt;Cite Hidden="1"&gt;&lt;Author&gt;Zhao&lt;/Author&gt;&lt;Year&gt;1992&lt;/Year&gt;&lt;RecNum&gt;2696&lt;/RecNum&gt;&lt;record&gt;&lt;rec-number&gt;2696&lt;/rec-number&gt;&lt;foreign-keys&gt;&lt;key app="EN" db-id="50wxdpzd9vd5r7e9t5b595djrfpttrxw9avp" timestamp="1556936951"&gt;2696&lt;/key&gt;&lt;/foreign-keys&gt;&lt;ref-type name="Journal Article"&gt;17&lt;/ref-type&gt;&lt;contributors&gt;&lt;authors&gt;&lt;author&gt;Zhao, Dapeng&lt;/author&gt;&lt;author&gt;Hasegawa, Akira&lt;/author&gt;&lt;author&gt;Horiuchi, Shigeki&lt;/author&gt;&lt;/authors&gt;&lt;/contributors&gt;&lt;titles&gt;&lt;title&gt;Tomographic imaging of P and S wave velocity structure beneath northeastern Japan&lt;/title&gt;&lt;secondary-title&gt;Journal of Geophysical Research&lt;/secondary-title&gt;&lt;/titles&gt;&lt;periodical&gt;&lt;full-title&gt;Journal of Geophysical Research&lt;/full-title&gt;&lt;/periodical&gt;&lt;pages&gt;19909-19928&lt;/pages&gt;&lt;volume&gt;97&lt;/volume&gt;&lt;number&gt;B13&lt;/number&gt;&lt;dates&gt;&lt;year&gt;1992&lt;/year&gt;&lt;/dates&gt;&lt;isbn&gt;0148-0227&lt;/isbn&gt;&lt;urls&gt;&lt;/urls&gt;&lt;electronic-resource-num&gt;10.1029/92JB00603.&lt;/electronic-resource-num&gt;&lt;/record&gt;&lt;/Cite&gt;&lt;/EndNote&gt;</w:instrText>
      </w:r>
      <w:r w:rsidR="00162224" w:rsidRPr="00FB754A">
        <w:rPr>
          <w:rFonts w:cs="Times New Roman"/>
        </w:rPr>
        <w:fldChar w:fldCharType="end"/>
      </w:r>
      <w:r w:rsidR="00162224" w:rsidRPr="00FB754A">
        <w:rPr>
          <w:rFonts w:cs="Times New Roman"/>
        </w:rPr>
        <w:t>)</w:t>
      </w:r>
      <w:r w:rsidR="00750D37" w:rsidRPr="00FB754A">
        <w:rPr>
          <w:rFonts w:cs="Times New Roman"/>
        </w:rPr>
        <w:t>.</w:t>
      </w:r>
      <w:r w:rsidR="00AB7055" w:rsidRPr="00AB7055">
        <w:rPr>
          <w:rFonts w:cs="Times New Roman"/>
          <w:color w:val="000000"/>
        </w:rPr>
        <w:t xml:space="preserve"> </w:t>
      </w:r>
      <w:r w:rsidR="00AB7055" w:rsidRPr="00FB754A">
        <w:rPr>
          <w:rFonts w:cs="Times New Roman"/>
          <w:color w:val="000000"/>
        </w:rPr>
        <w:t xml:space="preserve">To evaluate the influence of cell size on anomaly imaging, we considered three sets of equilateral grids with resolutions of 0.25º, 0.5º, and 1.0º spacing in both latitude and longitude directions for the same depth layers (Fig. </w:t>
      </w:r>
      <w:r w:rsidR="00AB7055" w:rsidRPr="00FB754A">
        <w:rPr>
          <w:rFonts w:cs="Times New Roman"/>
          <w:color w:val="0000FF"/>
        </w:rPr>
        <w:t>4</w:t>
      </w:r>
      <w:r w:rsidR="00AB7055" w:rsidRPr="00FB754A">
        <w:rPr>
          <w:rFonts w:cs="Times New Roman"/>
          <w:color w:val="000000"/>
        </w:rPr>
        <w:t>).</w:t>
      </w:r>
    </w:p>
    <w:p w14:paraId="229DAEE8" w14:textId="77777777" w:rsidR="00731E34" w:rsidRDefault="00731E34" w:rsidP="00BE7C4F">
      <w:pPr>
        <w:spacing w:before="0" w:line="360" w:lineRule="auto"/>
        <w:ind w:right="-22" w:firstLine="426"/>
        <w:rPr>
          <w:rFonts w:cs="Times New Roman"/>
          <w:color w:val="000000"/>
        </w:rPr>
      </w:pPr>
    </w:p>
    <w:p w14:paraId="7398A9D9" w14:textId="31D15BF3" w:rsidR="00BE01E8" w:rsidRDefault="004135E9" w:rsidP="00BE01E8">
      <w:pPr>
        <w:spacing w:before="0" w:line="240" w:lineRule="auto"/>
        <w:ind w:left="709" w:hanging="709"/>
        <w:rPr>
          <w:rFonts w:cs="Times New Roman"/>
          <w:noProof/>
          <w:szCs w:val="24"/>
        </w:rPr>
      </w:pPr>
      <w:r>
        <w:rPr>
          <w:noProof/>
        </w:rPr>
        <w:drawing>
          <wp:inline distT="0" distB="0" distL="0" distR="0" wp14:anchorId="47C14AE0" wp14:editId="5D6245CB">
            <wp:extent cx="5172075" cy="3996964"/>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192819" cy="4012995"/>
                    </a:xfrm>
                    <a:prstGeom prst="rect">
                      <a:avLst/>
                    </a:prstGeom>
                    <a:noFill/>
                  </pic:spPr>
                </pic:pic>
              </a:graphicData>
            </a:graphic>
          </wp:inline>
        </w:drawing>
      </w:r>
    </w:p>
    <w:p w14:paraId="42B8D91A" w14:textId="77777777" w:rsidR="00BE01E8" w:rsidRDefault="00BE01E8" w:rsidP="00BE01E8">
      <w:pPr>
        <w:spacing w:before="0" w:line="240" w:lineRule="auto"/>
        <w:ind w:left="709" w:hanging="709"/>
        <w:rPr>
          <w:rFonts w:cs="Times New Roman"/>
          <w:noProof/>
          <w:szCs w:val="24"/>
        </w:rPr>
      </w:pPr>
    </w:p>
    <w:p w14:paraId="486D8A3E" w14:textId="11DC9495" w:rsidR="00BE01E8" w:rsidRPr="00036346" w:rsidRDefault="00BE01E8" w:rsidP="0091409D">
      <w:pPr>
        <w:spacing w:before="0" w:line="240" w:lineRule="auto"/>
        <w:ind w:firstLine="0"/>
        <w:rPr>
          <w:rFonts w:cs="Times New Roman"/>
          <w:noProof/>
          <w:sz w:val="22"/>
        </w:rPr>
      </w:pPr>
      <w:r w:rsidRPr="00036346">
        <w:rPr>
          <w:rFonts w:cs="Times New Roman"/>
          <w:noProof/>
          <w:sz w:val="22"/>
        </w:rPr>
        <w:t>Figure 3</w:t>
      </w:r>
      <w:r w:rsidR="0091409D" w:rsidRPr="00036346">
        <w:rPr>
          <w:rFonts w:cs="Times New Roman"/>
          <w:noProof/>
          <w:sz w:val="22"/>
        </w:rPr>
        <w:t xml:space="preserve">: </w:t>
      </w:r>
      <w:r w:rsidRPr="00036346">
        <w:rPr>
          <w:rFonts w:cs="Times New Roman"/>
          <w:noProof/>
          <w:sz w:val="22"/>
        </w:rPr>
        <w:t>The study area showing raypaths for P (blue lines) and P</w:t>
      </w:r>
      <w:r w:rsidRPr="00036346">
        <w:rPr>
          <w:rFonts w:cs="Times New Roman"/>
          <w:noProof/>
          <w:sz w:val="22"/>
          <w:vertAlign w:val="subscript"/>
        </w:rPr>
        <w:t>n</w:t>
      </w:r>
      <w:r w:rsidRPr="00036346">
        <w:rPr>
          <w:rFonts w:cs="Times New Roman"/>
          <w:noProof/>
          <w:sz w:val="22"/>
        </w:rPr>
        <w:t xml:space="preserve"> (black line) phases from earthquake hypocenters (red circles) to seismic stations (blue filled triangles). Gold circles are grid nodes. The purple and light blue columns are artificial low- and high-velocity anomalies for synthetic reconstruction tests. The ak135 model is used to calculate the raypaths (depth axis is about 11 times exaggerated).</w:t>
      </w:r>
    </w:p>
    <w:p w14:paraId="0B411FEE" w14:textId="77777777" w:rsidR="00BE01E8" w:rsidRDefault="00BE01E8" w:rsidP="00BE7C4F">
      <w:pPr>
        <w:spacing w:before="0" w:line="360" w:lineRule="auto"/>
        <w:ind w:right="-22" w:firstLine="426"/>
        <w:rPr>
          <w:rFonts w:cs="Times New Roman"/>
          <w:color w:val="000000"/>
        </w:rPr>
      </w:pPr>
    </w:p>
    <w:p w14:paraId="39224434" w14:textId="17713E88" w:rsidR="00CD0229" w:rsidRDefault="00CD0229" w:rsidP="00BE7C4F">
      <w:pPr>
        <w:spacing w:before="0" w:line="360" w:lineRule="auto"/>
        <w:ind w:right="-22" w:firstLine="426"/>
        <w:rPr>
          <w:rFonts w:cs="Times New Roman"/>
          <w:color w:val="000000"/>
        </w:rPr>
      </w:pPr>
      <w:r>
        <w:rPr>
          <w:noProof/>
        </w:rPr>
        <w:lastRenderedPageBreak/>
        <w:drawing>
          <wp:inline distT="0" distB="0" distL="0" distR="0" wp14:anchorId="6E78AE23" wp14:editId="11ADF113">
            <wp:extent cx="4107656" cy="2644688"/>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192570" cy="2699359"/>
                    </a:xfrm>
                    <a:prstGeom prst="rect">
                      <a:avLst/>
                    </a:prstGeom>
                    <a:noFill/>
                  </pic:spPr>
                </pic:pic>
              </a:graphicData>
            </a:graphic>
          </wp:inline>
        </w:drawing>
      </w:r>
    </w:p>
    <w:p w14:paraId="270C70E3" w14:textId="235D48DD" w:rsidR="00CD0229" w:rsidRDefault="00CD0229" w:rsidP="0091409D">
      <w:pPr>
        <w:spacing w:before="0" w:line="240" w:lineRule="auto"/>
        <w:ind w:firstLine="0"/>
        <w:rPr>
          <w:rFonts w:cs="Times New Roman"/>
          <w:noProof/>
          <w:szCs w:val="24"/>
        </w:rPr>
      </w:pPr>
      <w:r w:rsidRPr="00036346">
        <w:rPr>
          <w:rFonts w:cs="Times New Roman"/>
          <w:noProof/>
          <w:sz w:val="22"/>
        </w:rPr>
        <w:t>Figure 4</w:t>
      </w:r>
      <w:r w:rsidR="0091409D" w:rsidRPr="00036346">
        <w:rPr>
          <w:rFonts w:cs="Times New Roman"/>
          <w:noProof/>
          <w:sz w:val="22"/>
        </w:rPr>
        <w:t xml:space="preserve">: </w:t>
      </w:r>
      <w:r w:rsidRPr="00036346">
        <w:rPr>
          <w:rFonts w:cs="Times New Roman"/>
          <w:noProof/>
          <w:sz w:val="22"/>
        </w:rPr>
        <w:t xml:space="preserve">A schematic representation of widths to height ratios (not to scale) for </w:t>
      </w:r>
      <w:r w:rsidRPr="00036346">
        <w:rPr>
          <w:rFonts w:cs="Times New Roman"/>
          <w:b/>
          <w:bCs/>
          <w:noProof/>
          <w:sz w:val="22"/>
        </w:rPr>
        <w:t>(a)</w:t>
      </w:r>
      <w:r w:rsidRPr="00036346">
        <w:rPr>
          <w:rFonts w:cs="Times New Roman"/>
          <w:noProof/>
          <w:sz w:val="22"/>
        </w:rPr>
        <w:t xml:space="preserve"> 0.25º, </w:t>
      </w:r>
      <w:r w:rsidRPr="00036346">
        <w:rPr>
          <w:rFonts w:cs="Times New Roman"/>
          <w:b/>
          <w:bCs/>
          <w:noProof/>
          <w:sz w:val="22"/>
        </w:rPr>
        <w:t>(b)</w:t>
      </w:r>
      <w:r w:rsidRPr="00036346">
        <w:rPr>
          <w:rFonts w:cs="Times New Roman"/>
          <w:noProof/>
          <w:sz w:val="22"/>
        </w:rPr>
        <w:t xml:space="preserve"> 0.5º, and </w:t>
      </w:r>
      <w:r w:rsidRPr="00036346">
        <w:rPr>
          <w:rFonts w:cs="Times New Roman"/>
          <w:b/>
          <w:bCs/>
          <w:noProof/>
          <w:sz w:val="22"/>
        </w:rPr>
        <w:t>(c)</w:t>
      </w:r>
      <w:r w:rsidRPr="00036346">
        <w:rPr>
          <w:rFonts w:cs="Times New Roman"/>
          <w:noProof/>
          <w:sz w:val="22"/>
        </w:rPr>
        <w:t xml:space="preserve"> 1.0º equilateral grid cells at different depths</w:t>
      </w:r>
      <w:r w:rsidRPr="00BF5AB8">
        <w:rPr>
          <w:rFonts w:cs="Times New Roman"/>
          <w:noProof/>
          <w:szCs w:val="24"/>
        </w:rPr>
        <w:t>.</w:t>
      </w:r>
    </w:p>
    <w:p w14:paraId="728520B9" w14:textId="77777777" w:rsidR="00381BC2" w:rsidRPr="00381BC2" w:rsidRDefault="00381BC2" w:rsidP="00381BC2">
      <w:pPr>
        <w:spacing w:before="0" w:line="240" w:lineRule="auto"/>
        <w:ind w:left="993" w:hanging="993"/>
        <w:rPr>
          <w:rFonts w:cs="Times New Roman"/>
          <w:noProof/>
          <w:szCs w:val="24"/>
        </w:rPr>
      </w:pPr>
    </w:p>
    <w:bookmarkEnd w:id="7"/>
    <w:p w14:paraId="73F52E25" w14:textId="4C860045" w:rsidR="00CF3C87" w:rsidRPr="00F15F1F" w:rsidRDefault="00CF3C87" w:rsidP="00CF3C87">
      <w:pPr>
        <w:pStyle w:val="Heading3"/>
        <w:spacing w:after="0"/>
      </w:pPr>
      <w:r>
        <w:t>3</w:t>
      </w:r>
      <w:r w:rsidRPr="00F15F1F">
        <w:t>.2.</w:t>
      </w:r>
      <w:r>
        <w:t>2</w:t>
      </w:r>
      <w:r w:rsidRPr="00F15F1F">
        <w:tab/>
      </w:r>
      <w:r w:rsidR="001D5239">
        <w:t>Forward Calculation</w:t>
      </w:r>
    </w:p>
    <w:p w14:paraId="12276109" w14:textId="145CA4E3" w:rsidR="00F82AF4" w:rsidRDefault="009C7546" w:rsidP="0064110A">
      <w:pPr>
        <w:autoSpaceDE w:val="0"/>
        <w:autoSpaceDN w:val="0"/>
        <w:adjustRightInd w:val="0"/>
        <w:spacing w:before="0" w:line="360" w:lineRule="auto"/>
        <w:ind w:firstLine="426"/>
        <w:rPr>
          <w:rFonts w:cs="Times New Roman"/>
          <w:color w:val="000000"/>
        </w:rPr>
      </w:pPr>
      <w:bookmarkStart w:id="8" w:name="_Hlk187516511"/>
      <w:r w:rsidRPr="009C7546">
        <w:rPr>
          <w:rFonts w:cs="Times New Roman"/>
          <w:szCs w:val="24"/>
        </w:rPr>
        <w:t xml:space="preserve">The calculation of earthquake-to-station raypaths and corresponding absolute travel times </w:t>
      </w:r>
      <w:r w:rsidR="006A7F24">
        <w:rPr>
          <w:rFonts w:cs="Times New Roman"/>
          <w:szCs w:val="24"/>
        </w:rPr>
        <w:t>i</w:t>
      </w:r>
      <w:r w:rsidRPr="009C7546">
        <w:rPr>
          <w:rFonts w:cs="Times New Roman"/>
          <w:szCs w:val="24"/>
        </w:rPr>
        <w:t>s performed using the ISC hypocentral parameters in conjunction with a ray tracing algorithm (</w:t>
      </w:r>
      <w:r w:rsidRPr="009C7546">
        <w:rPr>
          <w:rFonts w:cs="Times New Roman"/>
          <w:color w:val="0000FF"/>
          <w:szCs w:val="24"/>
        </w:rPr>
        <w:t>Osagie and Okwokwo, 2022</w:t>
      </w:r>
      <w:r w:rsidRPr="009C7546">
        <w:rPr>
          <w:rFonts w:cs="Times New Roman"/>
          <w:szCs w:val="24"/>
        </w:rPr>
        <w:t>), which accounts for variations in station elevation</w:t>
      </w:r>
      <w:r w:rsidR="003661ED" w:rsidRPr="003661ED">
        <w:rPr>
          <w:rFonts w:cs="Times New Roman"/>
          <w:szCs w:val="24"/>
          <w:lang w:val="en-GB"/>
        </w:rPr>
        <w:t xml:space="preserve">. </w:t>
      </w:r>
      <w:r w:rsidRPr="009C7546">
        <w:rPr>
          <w:rFonts w:cs="Times New Roman"/>
          <w:szCs w:val="24"/>
        </w:rPr>
        <w:t>A two-point ray shooting technique (</w:t>
      </w:r>
      <w:r w:rsidRPr="009C7546">
        <w:rPr>
          <w:rFonts w:cs="Times New Roman"/>
          <w:color w:val="0000FF"/>
          <w:szCs w:val="24"/>
        </w:rPr>
        <w:t>Kim and Baag, 2002</w:t>
      </w:r>
      <w:r w:rsidRPr="009C7546">
        <w:rPr>
          <w:rFonts w:cs="Times New Roman"/>
          <w:szCs w:val="24"/>
        </w:rPr>
        <w:t xml:space="preserve">) </w:t>
      </w:r>
      <w:r w:rsidR="006A7F24">
        <w:rPr>
          <w:rFonts w:cs="Times New Roman"/>
          <w:szCs w:val="24"/>
        </w:rPr>
        <w:t>i</w:t>
      </w:r>
      <w:r w:rsidRPr="009C7546">
        <w:rPr>
          <w:rFonts w:cs="Times New Roman"/>
          <w:szCs w:val="24"/>
        </w:rPr>
        <w:t>s adopted for up-going rays, supplemented by a distinct routine to handle boundary refractions.</w:t>
      </w:r>
      <w:r w:rsidR="003661ED" w:rsidRPr="003661ED">
        <w:rPr>
          <w:rFonts w:cs="Times New Roman"/>
          <w:szCs w:val="24"/>
          <w:lang w:val="en-GB"/>
        </w:rPr>
        <w:t xml:space="preserve"> </w:t>
      </w:r>
      <w:r w:rsidR="00C56D83" w:rsidRPr="00C56D83">
        <w:rPr>
          <w:rFonts w:cs="Times New Roman"/>
          <w:szCs w:val="24"/>
          <w:lang w:val="en-GB"/>
        </w:rPr>
        <w:t xml:space="preserve">This iterative forward modelling </w:t>
      </w:r>
      <w:r w:rsidR="00551518" w:rsidRPr="00C56D83">
        <w:rPr>
          <w:rFonts w:cs="Times New Roman"/>
          <w:szCs w:val="24"/>
          <w:lang w:val="en-GB"/>
        </w:rPr>
        <w:t>process</w:t>
      </w:r>
      <w:r w:rsidR="00551518">
        <w:rPr>
          <w:rFonts w:cs="Times New Roman"/>
          <w:szCs w:val="24"/>
          <w:lang w:val="en-GB"/>
        </w:rPr>
        <w:t xml:space="preserve">, </w:t>
      </w:r>
      <w:r w:rsidR="00551518" w:rsidRPr="00C56D83">
        <w:rPr>
          <w:rFonts w:cs="Times New Roman"/>
          <w:szCs w:val="24"/>
          <w:lang w:val="en-GB"/>
        </w:rPr>
        <w:t>applied</w:t>
      </w:r>
      <w:r w:rsidR="00551518" w:rsidRPr="003661ED">
        <w:rPr>
          <w:rFonts w:cs="Times New Roman"/>
          <w:szCs w:val="24"/>
          <w:lang w:val="en-GB"/>
        </w:rPr>
        <w:t xml:space="preserve"> in previous studies (e.g., </w:t>
      </w:r>
      <w:r w:rsidR="00551518" w:rsidRPr="003661ED">
        <w:rPr>
          <w:rFonts w:cs="Times New Roman"/>
          <w:color w:val="0000FF"/>
          <w:szCs w:val="24"/>
          <w:lang w:val="en-GB"/>
        </w:rPr>
        <w:t xml:space="preserve">Osagie and Kim, 2013; Osagie </w:t>
      </w:r>
      <w:r w:rsidR="00551518" w:rsidRPr="003661ED">
        <w:rPr>
          <w:rFonts w:cs="Times New Roman"/>
          <w:i/>
          <w:iCs/>
          <w:color w:val="0000FF"/>
          <w:szCs w:val="24"/>
          <w:lang w:val="en-GB"/>
        </w:rPr>
        <w:t>et al.,</w:t>
      </w:r>
      <w:r w:rsidR="00551518" w:rsidRPr="003661ED">
        <w:rPr>
          <w:rFonts w:cs="Times New Roman"/>
          <w:color w:val="0000FF"/>
          <w:szCs w:val="24"/>
          <w:lang w:val="en-GB"/>
        </w:rPr>
        <w:t xml:space="preserve"> 2017</w:t>
      </w:r>
      <w:r w:rsidR="00551518" w:rsidRPr="003661ED">
        <w:rPr>
          <w:rFonts w:cs="Times New Roman"/>
          <w:szCs w:val="24"/>
          <w:lang w:val="en-GB"/>
        </w:rPr>
        <w:t>)</w:t>
      </w:r>
      <w:r w:rsidR="002A643E">
        <w:rPr>
          <w:rFonts w:cs="Times New Roman"/>
          <w:szCs w:val="24"/>
          <w:lang w:val="en-GB"/>
        </w:rPr>
        <w:t>,</w:t>
      </w:r>
      <w:r w:rsidR="00551518">
        <w:rPr>
          <w:rFonts w:cs="Times New Roman"/>
          <w:szCs w:val="24"/>
          <w:lang w:val="en-GB"/>
        </w:rPr>
        <w:t xml:space="preserve"> </w:t>
      </w:r>
      <w:r w:rsidR="00C56D83" w:rsidRPr="00C56D83">
        <w:rPr>
          <w:rFonts w:cs="Times New Roman"/>
          <w:szCs w:val="24"/>
          <w:lang w:val="en-GB"/>
        </w:rPr>
        <w:t>refines ray trajectories to optimi</w:t>
      </w:r>
      <w:r w:rsidR="00002D41">
        <w:rPr>
          <w:rFonts w:cs="Times New Roman"/>
          <w:szCs w:val="24"/>
          <w:lang w:val="en-GB"/>
        </w:rPr>
        <w:t>s</w:t>
      </w:r>
      <w:r w:rsidR="00C56D83" w:rsidRPr="00C56D83">
        <w:rPr>
          <w:rFonts w:cs="Times New Roman"/>
          <w:szCs w:val="24"/>
          <w:lang w:val="en-GB"/>
        </w:rPr>
        <w:t>e source-receiver connections while minimi</w:t>
      </w:r>
      <w:r w:rsidR="004C45A0">
        <w:rPr>
          <w:rFonts w:cs="Times New Roman"/>
          <w:szCs w:val="24"/>
          <w:lang w:val="en-GB"/>
        </w:rPr>
        <w:t>s</w:t>
      </w:r>
      <w:r w:rsidR="00C56D83" w:rsidRPr="00C56D83">
        <w:rPr>
          <w:rFonts w:cs="Times New Roman"/>
          <w:szCs w:val="24"/>
          <w:lang w:val="en-GB"/>
        </w:rPr>
        <w:t>ing travel-time.</w:t>
      </w:r>
      <w:r w:rsidR="003661ED" w:rsidRPr="003661ED">
        <w:rPr>
          <w:rFonts w:cs="Times New Roman"/>
          <w:szCs w:val="24"/>
          <w:lang w:val="en-GB"/>
        </w:rPr>
        <w:t xml:space="preserve"> </w:t>
      </w:r>
      <w:r w:rsidR="002F5E2E" w:rsidRPr="002F5E2E">
        <w:rPr>
          <w:rFonts w:cs="Times New Roman"/>
          <w:szCs w:val="24"/>
        </w:rPr>
        <w:t>The computed raypaths, which are discreti</w:t>
      </w:r>
      <w:r w:rsidR="004C45A0">
        <w:rPr>
          <w:rFonts w:cs="Times New Roman"/>
          <w:szCs w:val="24"/>
        </w:rPr>
        <w:t>s</w:t>
      </w:r>
      <w:r w:rsidR="002F5E2E" w:rsidRPr="002F5E2E">
        <w:rPr>
          <w:rFonts w:cs="Times New Roman"/>
          <w:szCs w:val="24"/>
        </w:rPr>
        <w:t xml:space="preserve">ed at 5 km intervals, are constrained to remain within the lower portions of each model layer, where rays either reflect or refract at layer interfaces. </w:t>
      </w:r>
      <w:r w:rsidR="007571D2" w:rsidRPr="002F5E2E">
        <w:rPr>
          <w:rFonts w:cs="Times New Roman"/>
          <w:szCs w:val="24"/>
        </w:rPr>
        <w:t>Partial derivatives of travel</w:t>
      </w:r>
      <w:r w:rsidR="00DE41C4">
        <w:rPr>
          <w:rFonts w:cs="Times New Roman"/>
          <w:szCs w:val="24"/>
        </w:rPr>
        <w:t>-</w:t>
      </w:r>
      <w:r w:rsidR="007571D2" w:rsidRPr="002F5E2E">
        <w:rPr>
          <w:rFonts w:cs="Times New Roman"/>
          <w:szCs w:val="24"/>
        </w:rPr>
        <w:t xml:space="preserve">time </w:t>
      </w:r>
      <w:r w:rsidR="00DE41C4">
        <w:rPr>
          <w:rFonts w:cs="Times New Roman"/>
          <w:szCs w:val="24"/>
        </w:rPr>
        <w:t>are</w:t>
      </w:r>
      <w:r w:rsidR="007571D2" w:rsidRPr="002F5E2E">
        <w:rPr>
          <w:rFonts w:cs="Times New Roman"/>
          <w:szCs w:val="24"/>
        </w:rPr>
        <w:t xml:space="preserve"> determined both analytically</w:t>
      </w:r>
      <w:r w:rsidR="007571D2">
        <w:rPr>
          <w:rFonts w:cs="Times New Roman"/>
          <w:szCs w:val="24"/>
        </w:rPr>
        <w:t xml:space="preserve"> </w:t>
      </w:r>
      <w:r w:rsidR="007571D2" w:rsidRPr="002F5E2E">
        <w:rPr>
          <w:rFonts w:cs="Times New Roman"/>
          <w:szCs w:val="24"/>
        </w:rPr>
        <w:t>for the hypocentral parameters</w:t>
      </w:r>
      <w:r w:rsidR="007571D2" w:rsidRPr="0098605F">
        <w:rPr>
          <w:rFonts w:cs="Times New Roman"/>
          <w:szCs w:val="24"/>
          <w:lang w:val="en-GB"/>
        </w:rPr>
        <w:t xml:space="preserve">, </w:t>
      </w:r>
      <w:r w:rsidR="007571D2" w:rsidRPr="003661ED">
        <w:rPr>
          <w:rFonts w:cs="Times New Roman"/>
          <w:szCs w:val="24"/>
          <w:lang w:val="en-GB"/>
        </w:rPr>
        <w:t>following Engdahl and Lee</w:t>
      </w:r>
      <w:r w:rsidR="007571D2">
        <w:rPr>
          <w:rFonts w:cs="Times New Roman"/>
          <w:szCs w:val="24"/>
          <w:lang w:val="en-GB"/>
        </w:rPr>
        <w:t xml:space="preserve"> </w:t>
      </w:r>
      <w:r w:rsidR="007571D2" w:rsidRPr="003661ED">
        <w:rPr>
          <w:rFonts w:cs="Times New Roman"/>
          <w:szCs w:val="24"/>
          <w:lang w:val="en-GB"/>
        </w:rPr>
        <w:t>(</w:t>
      </w:r>
      <w:r w:rsidR="007571D2" w:rsidRPr="003661ED">
        <w:rPr>
          <w:rFonts w:cs="Times New Roman"/>
          <w:color w:val="0000FF"/>
          <w:szCs w:val="24"/>
          <w:lang w:val="en-GB"/>
        </w:rPr>
        <w:t>1976</w:t>
      </w:r>
      <w:r w:rsidR="007571D2" w:rsidRPr="003661ED">
        <w:rPr>
          <w:rFonts w:cs="Times New Roman"/>
          <w:szCs w:val="24"/>
          <w:lang w:val="en-GB"/>
        </w:rPr>
        <w:t xml:space="preserve">), and numerically for velocity parameters, using </w:t>
      </w:r>
      <w:r w:rsidR="007571D2">
        <w:rPr>
          <w:rFonts w:cs="Times New Roman"/>
          <w:szCs w:val="24"/>
          <w:lang w:val="en-GB"/>
        </w:rPr>
        <w:t xml:space="preserve">the </w:t>
      </w:r>
      <w:r w:rsidR="007571D2" w:rsidRPr="003661ED">
        <w:rPr>
          <w:rFonts w:cs="Times New Roman"/>
          <w:szCs w:val="24"/>
          <w:lang w:val="en-GB"/>
        </w:rPr>
        <w:t xml:space="preserve">approach </w:t>
      </w:r>
      <w:r w:rsidR="007571D2">
        <w:rPr>
          <w:rFonts w:cs="Times New Roman"/>
          <w:szCs w:val="24"/>
          <w:lang w:val="en-GB"/>
        </w:rPr>
        <w:t xml:space="preserve">of </w:t>
      </w:r>
      <w:r w:rsidR="007571D2" w:rsidRPr="003661ED">
        <w:rPr>
          <w:rFonts w:cs="Times New Roman"/>
          <w:szCs w:val="24"/>
          <w:lang w:val="en-GB"/>
        </w:rPr>
        <w:t>Thurber (</w:t>
      </w:r>
      <w:r w:rsidR="007571D2" w:rsidRPr="003661ED">
        <w:rPr>
          <w:rFonts w:cs="Times New Roman"/>
          <w:color w:val="0000FF"/>
          <w:szCs w:val="24"/>
          <w:lang w:val="en-GB"/>
        </w:rPr>
        <w:t>1983</w:t>
      </w:r>
      <w:r w:rsidR="007571D2" w:rsidRPr="003661ED">
        <w:rPr>
          <w:rFonts w:cs="Times New Roman"/>
          <w:szCs w:val="24"/>
          <w:lang w:val="en-GB"/>
        </w:rPr>
        <w:t>).</w:t>
      </w:r>
      <w:r w:rsidR="007571D2">
        <w:rPr>
          <w:rFonts w:cs="Times New Roman"/>
          <w:szCs w:val="24"/>
          <w:lang w:val="en-GB"/>
        </w:rPr>
        <w:t xml:space="preserve"> </w:t>
      </w:r>
      <w:r w:rsidR="000123E9">
        <w:rPr>
          <w:rFonts w:cs="Times New Roman"/>
          <w:szCs w:val="24"/>
        </w:rPr>
        <w:t>With focus</w:t>
      </w:r>
      <w:r w:rsidR="00F82AF4" w:rsidRPr="0098605F">
        <w:rPr>
          <w:rFonts w:cs="Times New Roman"/>
          <w:szCs w:val="24"/>
          <w:lang w:val="en-GB"/>
        </w:rPr>
        <w:t xml:space="preserve"> on events within 1</w:t>
      </w:r>
      <w:r w:rsidR="00F82AF4">
        <w:rPr>
          <w:rFonts w:cs="Times New Roman"/>
          <w:szCs w:val="24"/>
          <w:lang w:val="en-GB"/>
        </w:rPr>
        <w:t>1</w:t>
      </w:r>
      <w:r w:rsidR="00F82AF4" w:rsidRPr="0098605F">
        <w:rPr>
          <w:rFonts w:cs="Times New Roman"/>
          <w:szCs w:val="24"/>
          <w:lang w:val="en-GB"/>
        </w:rPr>
        <w:t>00 km</w:t>
      </w:r>
      <w:r w:rsidR="000123E9">
        <w:rPr>
          <w:rFonts w:cs="Times New Roman"/>
          <w:szCs w:val="24"/>
          <w:lang w:val="en-GB"/>
        </w:rPr>
        <w:t xml:space="preserve"> from a seismic station</w:t>
      </w:r>
      <w:r w:rsidR="00F82AF4" w:rsidRPr="0098605F">
        <w:rPr>
          <w:rFonts w:cs="Times New Roman"/>
          <w:szCs w:val="24"/>
          <w:lang w:val="en-GB"/>
        </w:rPr>
        <w:t xml:space="preserve">, </w:t>
      </w:r>
      <w:r w:rsidR="00EF4EFE">
        <w:rPr>
          <w:rFonts w:cs="Times New Roman"/>
          <w:szCs w:val="24"/>
          <w:lang w:val="en-GB"/>
        </w:rPr>
        <w:t>our computed epicentral d</w:t>
      </w:r>
      <w:r w:rsidR="00F82AF4" w:rsidRPr="0098605F">
        <w:rPr>
          <w:rFonts w:cs="Times New Roman"/>
          <w:szCs w:val="24"/>
          <w:lang w:val="en-GB"/>
        </w:rPr>
        <w:t>istance</w:t>
      </w:r>
      <w:r w:rsidR="00EF4EFE">
        <w:rPr>
          <w:rFonts w:cs="Times New Roman"/>
          <w:szCs w:val="24"/>
          <w:lang w:val="en-GB"/>
        </w:rPr>
        <w:t>s</w:t>
      </w:r>
      <w:r w:rsidR="00F82AF4" w:rsidRPr="0098605F">
        <w:rPr>
          <w:rFonts w:cs="Times New Roman"/>
          <w:szCs w:val="24"/>
          <w:lang w:val="en-GB"/>
        </w:rPr>
        <w:t xml:space="preserve"> rang</w:t>
      </w:r>
      <w:r w:rsidR="00EF4EFE">
        <w:rPr>
          <w:rFonts w:cs="Times New Roman"/>
          <w:szCs w:val="24"/>
          <w:lang w:val="en-GB"/>
        </w:rPr>
        <w:t>e</w:t>
      </w:r>
      <w:r w:rsidR="00F82AF4" w:rsidRPr="0098605F">
        <w:rPr>
          <w:rFonts w:cs="Times New Roman"/>
          <w:szCs w:val="24"/>
          <w:lang w:val="en-GB"/>
        </w:rPr>
        <w:t xml:space="preserve"> from 2 to 1,006 km. We visuali</w:t>
      </w:r>
      <w:r w:rsidR="00F82AF4">
        <w:rPr>
          <w:rFonts w:cs="Times New Roman"/>
          <w:szCs w:val="24"/>
          <w:lang w:val="en-GB"/>
        </w:rPr>
        <w:t>s</w:t>
      </w:r>
      <w:r w:rsidR="00F82AF4" w:rsidRPr="0098605F">
        <w:rPr>
          <w:rFonts w:cs="Times New Roman"/>
          <w:szCs w:val="24"/>
          <w:lang w:val="en-GB"/>
        </w:rPr>
        <w:t xml:space="preserve">ed the computed raypaths in Figure </w:t>
      </w:r>
      <w:r w:rsidR="00F82AF4" w:rsidRPr="0098605F">
        <w:rPr>
          <w:rFonts w:cs="Times New Roman"/>
          <w:color w:val="0000FF"/>
          <w:szCs w:val="24"/>
          <w:lang w:val="en-GB"/>
        </w:rPr>
        <w:t>3</w:t>
      </w:r>
      <w:r w:rsidR="00F82AF4" w:rsidRPr="0098605F">
        <w:rPr>
          <w:rFonts w:cs="Times New Roman"/>
          <w:szCs w:val="24"/>
          <w:lang w:val="en-GB"/>
        </w:rPr>
        <w:t>, distinguishing P phases (</w:t>
      </w:r>
      <w:r w:rsidR="00F82AF4">
        <w:rPr>
          <w:rFonts w:cs="Times New Roman"/>
          <w:szCs w:val="24"/>
          <w:lang w:val="en-GB"/>
        </w:rPr>
        <w:t>green</w:t>
      </w:r>
      <w:r w:rsidR="00F82AF4" w:rsidRPr="0098605F">
        <w:rPr>
          <w:rFonts w:cs="Times New Roman"/>
          <w:szCs w:val="24"/>
          <w:lang w:val="en-GB"/>
        </w:rPr>
        <w:t xml:space="preserve"> lines) and P</w:t>
      </w:r>
      <w:r w:rsidR="00F82AF4" w:rsidRPr="0098605F">
        <w:rPr>
          <w:rFonts w:cs="Times New Roman"/>
          <w:szCs w:val="24"/>
          <w:vertAlign w:val="subscript"/>
          <w:lang w:val="en-GB"/>
        </w:rPr>
        <w:t>n</w:t>
      </w:r>
      <w:r w:rsidR="00F82AF4" w:rsidRPr="0098605F">
        <w:rPr>
          <w:rFonts w:cs="Times New Roman"/>
          <w:szCs w:val="24"/>
          <w:lang w:val="en-GB"/>
        </w:rPr>
        <w:t xml:space="preserve"> phases (black lines) as they propagate from earthquake </w:t>
      </w:r>
      <w:r w:rsidR="00F82AF4" w:rsidRPr="00F15F1F">
        <w:rPr>
          <w:rFonts w:cs="Times New Roman"/>
          <w:color w:val="000000"/>
        </w:rPr>
        <w:t>hypocenters</w:t>
      </w:r>
      <w:r w:rsidR="00F82AF4" w:rsidRPr="0098605F">
        <w:rPr>
          <w:rFonts w:cs="Times New Roman"/>
          <w:szCs w:val="24"/>
          <w:lang w:val="en-GB"/>
        </w:rPr>
        <w:t xml:space="preserve"> (red circles) to seismic stations (blue triangles) within the model volume.</w:t>
      </w:r>
      <w:r w:rsidR="00BC6119" w:rsidRPr="00BC6119">
        <w:rPr>
          <w:rFonts w:cs="Times New Roman"/>
          <w:color w:val="000000"/>
        </w:rPr>
        <w:t xml:space="preserve"> </w:t>
      </w:r>
      <w:r w:rsidR="00BC6119" w:rsidRPr="00F15F1F">
        <w:rPr>
          <w:rFonts w:cs="Times New Roman"/>
          <w:color w:val="000000"/>
        </w:rPr>
        <w:t>To enhance data reliability, events are retained for analysis only if recorded by at least three stations exhibiting travel-time residuals within ±3.5 seconds</w:t>
      </w:r>
      <w:r w:rsidR="00035CF6">
        <w:rPr>
          <w:rFonts w:cs="Times New Roman"/>
          <w:color w:val="000000"/>
        </w:rPr>
        <w:t xml:space="preserve"> </w:t>
      </w:r>
      <w:r w:rsidR="00035CF6" w:rsidRPr="00504854">
        <w:rPr>
          <w:rFonts w:cs="Times New Roman"/>
          <w:szCs w:val="24"/>
        </w:rPr>
        <w:t xml:space="preserve">(Fig. </w:t>
      </w:r>
      <w:r w:rsidR="00035CF6" w:rsidRPr="002A4202">
        <w:rPr>
          <w:rFonts w:cs="Times New Roman"/>
          <w:color w:val="0000FF"/>
          <w:szCs w:val="24"/>
        </w:rPr>
        <w:t>5</w:t>
      </w:r>
      <w:r w:rsidR="00035CF6" w:rsidRPr="00504854">
        <w:rPr>
          <w:rFonts w:cs="Times New Roman"/>
          <w:szCs w:val="24"/>
        </w:rPr>
        <w:t>)</w:t>
      </w:r>
      <w:r w:rsidR="00B47DB5">
        <w:rPr>
          <w:rFonts w:cs="Times New Roman"/>
          <w:color w:val="000000"/>
        </w:rPr>
        <w:t>.</w:t>
      </w:r>
    </w:p>
    <w:p w14:paraId="16952970" w14:textId="0B5C34A4" w:rsidR="00B47DB5" w:rsidRDefault="00B47DB5" w:rsidP="002A4202">
      <w:pPr>
        <w:autoSpaceDE w:val="0"/>
        <w:autoSpaceDN w:val="0"/>
        <w:adjustRightInd w:val="0"/>
        <w:spacing w:before="0" w:line="360" w:lineRule="auto"/>
        <w:ind w:firstLine="0"/>
        <w:rPr>
          <w:rFonts w:cs="Times New Roman"/>
          <w:szCs w:val="24"/>
        </w:rPr>
      </w:pPr>
      <w:r>
        <w:rPr>
          <w:noProof/>
        </w:rPr>
        <w:lastRenderedPageBreak/>
        <w:drawing>
          <wp:inline distT="0" distB="0" distL="0" distR="0" wp14:anchorId="6B5C21FC" wp14:editId="72751B87">
            <wp:extent cx="6300445" cy="2945130"/>
            <wp:effectExtent l="0" t="0" r="5715" b="7620"/>
            <wp:docPr id="9280276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27692"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336208" cy="2961848"/>
                    </a:xfrm>
                    <a:prstGeom prst="rect">
                      <a:avLst/>
                    </a:prstGeom>
                    <a:noFill/>
                    <a:ln>
                      <a:noFill/>
                    </a:ln>
                  </pic:spPr>
                </pic:pic>
              </a:graphicData>
            </a:graphic>
          </wp:inline>
        </w:drawing>
      </w:r>
    </w:p>
    <w:p w14:paraId="29623754" w14:textId="1E6B4C73" w:rsidR="00B47DB5" w:rsidRDefault="00B47DB5" w:rsidP="0091409D">
      <w:pPr>
        <w:spacing w:line="240" w:lineRule="auto"/>
        <w:ind w:firstLine="0"/>
      </w:pPr>
      <w:r w:rsidRPr="00036346">
        <w:rPr>
          <w:sz w:val="22"/>
        </w:rPr>
        <w:t>Figure 5</w:t>
      </w:r>
      <w:r w:rsidR="0091409D" w:rsidRPr="00036346">
        <w:rPr>
          <w:sz w:val="22"/>
        </w:rPr>
        <w:t xml:space="preserve">: </w:t>
      </w:r>
      <w:r w:rsidRPr="00036346">
        <w:rPr>
          <w:rFonts w:cs="Times New Roman"/>
          <w:b/>
          <w:bCs/>
          <w:sz w:val="22"/>
        </w:rPr>
        <w:t>(a)</w:t>
      </w:r>
      <w:r w:rsidRPr="00036346">
        <w:rPr>
          <w:rFonts w:cs="Times New Roman"/>
          <w:sz w:val="22"/>
        </w:rPr>
        <w:t xml:space="preserve"> Distribution of travel-time residuals, </w:t>
      </w:r>
      <w:r w:rsidRPr="00036346">
        <w:rPr>
          <w:rFonts w:cs="Times New Roman"/>
          <w:b/>
          <w:bCs/>
          <w:sz w:val="22"/>
        </w:rPr>
        <w:t>(b)</w:t>
      </w:r>
      <w:r w:rsidRPr="00036346">
        <w:rPr>
          <w:rFonts w:cs="Times New Roman"/>
          <w:sz w:val="22"/>
        </w:rPr>
        <w:t xml:space="preserve"> Histogram of traveltime residuals with an interval of 0.5 seconds</w:t>
      </w:r>
      <w:r w:rsidRPr="00CB3659">
        <w:rPr>
          <w:szCs w:val="24"/>
        </w:rPr>
        <w:t>.</w:t>
      </w:r>
    </w:p>
    <w:p w14:paraId="79339DB9" w14:textId="77777777" w:rsidR="00B47DB5" w:rsidRDefault="00B47DB5" w:rsidP="0064110A">
      <w:pPr>
        <w:autoSpaceDE w:val="0"/>
        <w:autoSpaceDN w:val="0"/>
        <w:adjustRightInd w:val="0"/>
        <w:spacing w:before="0" w:line="360" w:lineRule="auto"/>
        <w:ind w:firstLine="426"/>
        <w:rPr>
          <w:rFonts w:cs="Times New Roman"/>
          <w:szCs w:val="24"/>
        </w:rPr>
      </w:pPr>
    </w:p>
    <w:bookmarkEnd w:id="8"/>
    <w:p w14:paraId="60133BDE" w14:textId="01F3DA4A" w:rsidR="00504854" w:rsidRPr="00F15F1F" w:rsidRDefault="00504854" w:rsidP="00504854">
      <w:pPr>
        <w:pStyle w:val="Heading3"/>
        <w:spacing w:after="0"/>
      </w:pPr>
      <w:r>
        <w:t>3</w:t>
      </w:r>
      <w:r w:rsidRPr="00F15F1F">
        <w:t>.2.</w:t>
      </w:r>
      <w:r>
        <w:t>2</w:t>
      </w:r>
      <w:r w:rsidRPr="00F15F1F">
        <w:tab/>
      </w:r>
      <w:r>
        <w:t>Inversion</w:t>
      </w:r>
    </w:p>
    <w:p w14:paraId="0D505EEF" w14:textId="572E126F" w:rsidR="00123F73" w:rsidRPr="003F37B8" w:rsidRDefault="00B973FF" w:rsidP="001C5DD5">
      <w:pPr>
        <w:spacing w:before="0" w:line="360" w:lineRule="auto"/>
        <w:ind w:right="-22" w:firstLine="426"/>
      </w:pPr>
      <w:r w:rsidRPr="00B973FF">
        <w:rPr>
          <w:rFonts w:cs="Times New Roman"/>
          <w:color w:val="000000"/>
        </w:rPr>
        <w:t xml:space="preserve">The inversion process </w:t>
      </w:r>
      <w:r w:rsidR="00EA6D35">
        <w:rPr>
          <w:rFonts w:cs="Times New Roman"/>
          <w:color w:val="000000"/>
        </w:rPr>
        <w:t>i</w:t>
      </w:r>
      <w:r w:rsidRPr="00B973FF">
        <w:rPr>
          <w:rFonts w:cs="Times New Roman"/>
          <w:color w:val="000000"/>
        </w:rPr>
        <w:t xml:space="preserve">s exclusively based on first-arrival P-wave data and implemented using the </w:t>
      </w:r>
      <w:r w:rsidR="00D25FFF" w:rsidRPr="00504854">
        <w:rPr>
          <w:rFonts w:cs="Times New Roman"/>
          <w:color w:val="000000"/>
        </w:rPr>
        <w:t xml:space="preserve">LSQR (Least Squares QR Factorization) algorithm </w:t>
      </w:r>
      <w:r w:rsidR="006118AC" w:rsidRPr="00504854">
        <w:rPr>
          <w:rFonts w:cs="Times New Roman"/>
          <w:color w:val="000000"/>
        </w:rPr>
        <w:t>(</w:t>
      </w:r>
      <w:r w:rsidR="006118AC" w:rsidRPr="00504854">
        <w:rPr>
          <w:rFonts w:cs="Times New Roman"/>
          <w:color w:val="0000FF"/>
        </w:rPr>
        <w:t>Paige</w:t>
      </w:r>
      <w:r w:rsidR="00CD1BAF">
        <w:rPr>
          <w:rFonts w:cs="Times New Roman"/>
          <w:color w:val="0000FF"/>
        </w:rPr>
        <w:fldChar w:fldCharType="begin"/>
      </w:r>
      <w:r w:rsidR="00CD1BAF">
        <w:rPr>
          <w:rFonts w:cs="Times New Roman"/>
          <w:color w:val="0000FF"/>
        </w:rPr>
        <w:instrText xml:space="preserve"> ADDIN EN.CITE &lt;EndNote&gt;&lt;Cite Hidden="1"&gt;&lt;Author&gt;Paige&lt;/Author&gt;&lt;Year&gt;1982&lt;/Year&gt;&lt;RecNum&gt;3146&lt;/RecNum&gt;&lt;record&gt;&lt;rec-number&gt;3146&lt;/rec-number&gt;&lt;foreign-keys&gt;&lt;key app="EN" db-id="50wxdpzd9vd5r7e9t5b595djrfpttrxw9avp" timestamp="1559102459"&gt;3146&lt;/key&gt;&lt;/foreign-keys&gt;&lt;ref-type name="Journal Article"&gt;17&lt;/ref-type&gt;&lt;contributors&gt;&lt;authors&gt;&lt;author&gt;Paige, Christopher C&lt;/author&gt;&lt;author&gt;Saunders, Michael A&lt;/author&gt;&lt;/authors&gt;&lt;/contributors&gt;&lt;titles&gt;&lt;title&gt;LSQR: An algorithm for sparse linear equations and sparse least squares&lt;/title&gt;&lt;secondary-title&gt;ACM Transactions on Mathematical Software&lt;/secondary-title&gt;&lt;/titles&gt;&lt;periodical&gt;&lt;full-title&gt;ACM Transactions on Mathematical Software&lt;/full-title&gt;&lt;/periodical&gt;&lt;pages&gt;43-71&lt;/pages&gt;&lt;volume&gt;8&lt;/volume&gt;&lt;number&gt;1&lt;/number&gt;&lt;dates&gt;&lt;year&gt;1982&lt;/year&gt;&lt;/dates&gt;&lt;isbn&gt;0098-3500&lt;/isbn&gt;&lt;urls&gt;&lt;/urls&gt;&lt;/record&gt;&lt;/Cite&gt;&lt;/EndNote&gt;</w:instrText>
      </w:r>
      <w:r w:rsidR="00CD1BAF">
        <w:rPr>
          <w:rFonts w:cs="Times New Roman"/>
          <w:color w:val="0000FF"/>
        </w:rPr>
        <w:fldChar w:fldCharType="end"/>
      </w:r>
      <w:r w:rsidR="006118AC" w:rsidRPr="00504854">
        <w:rPr>
          <w:rFonts w:cs="Times New Roman"/>
          <w:color w:val="0000FF"/>
        </w:rPr>
        <w:t xml:space="preserve"> and Saunders 1982</w:t>
      </w:r>
      <w:r w:rsidR="006118AC" w:rsidRPr="00504854">
        <w:rPr>
          <w:rFonts w:cs="Times New Roman"/>
          <w:color w:val="000000"/>
        </w:rPr>
        <w:t>)</w:t>
      </w:r>
      <w:r w:rsidR="00EE7F3F" w:rsidRPr="00504854">
        <w:rPr>
          <w:rFonts w:cs="Times New Roman"/>
          <w:color w:val="000000"/>
        </w:rPr>
        <w:t xml:space="preserve"> </w:t>
      </w:r>
      <w:r w:rsidR="00D25FFF" w:rsidRPr="00504854">
        <w:rPr>
          <w:rFonts w:cs="Times New Roman"/>
          <w:color w:val="000000"/>
        </w:rPr>
        <w:t xml:space="preserve">and </w:t>
      </w:r>
      <w:proofErr w:type="spellStart"/>
      <w:r w:rsidR="00D25FFF" w:rsidRPr="00504854">
        <w:rPr>
          <w:rFonts w:cs="Times New Roman"/>
          <w:color w:val="000000"/>
        </w:rPr>
        <w:t>regulari</w:t>
      </w:r>
      <w:r w:rsidR="005F0551">
        <w:rPr>
          <w:rFonts w:cs="Times New Roman"/>
          <w:color w:val="000000"/>
        </w:rPr>
        <w:t>s</w:t>
      </w:r>
      <w:r w:rsidR="00D25FFF" w:rsidRPr="00504854">
        <w:rPr>
          <w:rFonts w:cs="Times New Roman"/>
          <w:color w:val="000000"/>
        </w:rPr>
        <w:t>ed</w:t>
      </w:r>
      <w:proofErr w:type="spellEnd"/>
      <w:r w:rsidR="00D25FFF" w:rsidRPr="00504854">
        <w:rPr>
          <w:rFonts w:cs="Times New Roman"/>
          <w:color w:val="000000"/>
        </w:rPr>
        <w:t xml:space="preserve"> with damping and smoothing constraints </w:t>
      </w:r>
      <w:r w:rsidR="00971903" w:rsidRPr="00504854">
        <w:t>(</w:t>
      </w:r>
      <w:r w:rsidR="00971903" w:rsidRPr="00504854">
        <w:rPr>
          <w:color w:val="3333FF"/>
        </w:rPr>
        <w:t>Zhao</w:t>
      </w:r>
      <w:r w:rsidR="00CD1BAF">
        <w:rPr>
          <w:color w:val="3333FF"/>
        </w:rPr>
        <w:fldChar w:fldCharType="begin"/>
      </w:r>
      <w:r w:rsidR="00CD1BAF">
        <w:rPr>
          <w:color w:val="3333FF"/>
        </w:rPr>
        <w:instrText xml:space="preserve"> ADDIN EN.CITE &lt;EndNote&gt;&lt;Cite Hidden="1"&gt;&lt;Author&gt;Zhao&lt;/Author&gt;&lt;Year&gt;2004&lt;/Year&gt;&lt;RecNum&gt;2698&lt;/RecNum&gt;&lt;record&gt;&lt;rec-number&gt;2698&lt;/rec-number&gt;&lt;foreign-keys&gt;&lt;key app="EN" db-id="50wxdpzd9vd5r7e9t5b595djrfpttrxw9avp" timestamp="1556937343"&gt;2698&lt;/key&gt;&lt;/foreign-keys&gt;&lt;ref-type name="Journal Article"&gt;17&lt;/ref-type&gt;&lt;contributors&gt;&lt;authors&gt;&lt;author&gt;Zhao, Dapeng&lt;/author&gt;&lt;/authors&gt;&lt;/contributors&gt;&lt;titles&gt;&lt;title&gt;Global tomographic images of mantle plumes and subducting slabs: insight into deep Earth dynamics&lt;/title&gt;&lt;secondary-title&gt;Physics of the Earth Planetary Interiors&lt;/secondary-title&gt;&lt;/titles&gt;&lt;periodical&gt;&lt;full-title&gt;Physics of the Earth Planetary Interiors&lt;/full-title&gt;&lt;/periodical&gt;&lt;pages&gt;3-34&lt;/pages&gt;&lt;volume&gt;146&lt;/volume&gt;&lt;number&gt;1-2&lt;/number&gt;&lt;dates&gt;&lt;year&gt;2004&lt;/year&gt;&lt;/dates&gt;&lt;isbn&gt;0031-9201&lt;/isbn&gt;&lt;urls&gt;&lt;/urls&gt;&lt;electronic-resource-num&gt;10.1016/j.pepi.2003.07.032.&lt;/electronic-resource-num&gt;&lt;/record&gt;&lt;/Cite&gt;&lt;/EndNote&gt;</w:instrText>
      </w:r>
      <w:r w:rsidR="00CD1BAF">
        <w:rPr>
          <w:color w:val="3333FF"/>
        </w:rPr>
        <w:fldChar w:fldCharType="end"/>
      </w:r>
      <w:r w:rsidR="00FF245E" w:rsidRPr="00504854">
        <w:rPr>
          <w:color w:val="3333FF"/>
        </w:rPr>
        <w:t>,</w:t>
      </w:r>
      <w:r w:rsidR="00971903" w:rsidRPr="00504854">
        <w:rPr>
          <w:color w:val="3333FF"/>
        </w:rPr>
        <w:t xml:space="preserve"> 2004</w:t>
      </w:r>
      <w:r w:rsidR="00971903" w:rsidRPr="00504854">
        <w:t>).</w:t>
      </w:r>
      <w:r w:rsidR="009353DE" w:rsidRPr="00504854">
        <w:t xml:space="preserve"> </w:t>
      </w:r>
      <w:bookmarkStart w:id="9" w:name="_Hlk187517950"/>
      <w:r w:rsidR="00D72DEC" w:rsidRPr="00D72DEC">
        <w:t xml:space="preserve">We conducted multiple inversions across </w:t>
      </w:r>
      <w:r w:rsidR="00DA76C8">
        <w:t xml:space="preserve">the </w:t>
      </w:r>
      <w:r w:rsidR="00D72DEC" w:rsidRPr="00D72DEC">
        <w:t>three equilateral grids</w:t>
      </w:r>
      <w:r w:rsidR="003F37B8">
        <w:rPr>
          <w:rFonts w:cs="Times New Roman"/>
          <w:color w:val="000000"/>
        </w:rPr>
        <w:t xml:space="preserve"> (</w:t>
      </w:r>
      <w:r w:rsidR="003F37B8" w:rsidRPr="0043558F">
        <w:rPr>
          <w:rFonts w:cs="Times New Roman"/>
          <w:color w:val="000000"/>
        </w:rPr>
        <w:t>0.25º, 0.5º, and 1.0º</w:t>
      </w:r>
      <w:r w:rsidR="003F37B8">
        <w:t>)</w:t>
      </w:r>
      <w:r w:rsidR="00E50F81">
        <w:t xml:space="preserve"> </w:t>
      </w:r>
      <w:r w:rsidR="0048790A" w:rsidRPr="0048790A">
        <w:t>using varying damping parameters</w:t>
      </w:r>
      <w:r w:rsidR="00E12EDA">
        <w:t>.</w:t>
      </w:r>
      <w:r w:rsidR="00776262">
        <w:t xml:space="preserve"> </w:t>
      </w:r>
      <w:r w:rsidR="00AB4AAF" w:rsidRPr="00AB4AAF">
        <w:t xml:space="preserve">The optimal damping parameter for each grid size </w:t>
      </w:r>
      <w:r w:rsidR="00AB4AAF">
        <w:t>i</w:t>
      </w:r>
      <w:r w:rsidR="00AB4AAF" w:rsidRPr="00AB4AAF">
        <w:t>s determined through the L-curve method, which plots the mean solution amplitude against residual misfit and identifies the point of maximum curvature as the optimal balance between stability and data fit</w:t>
      </w:r>
      <w:r w:rsidR="00485F9E" w:rsidRPr="00485F9E">
        <w:rPr>
          <w:rFonts w:cs="Times New Roman"/>
          <w:szCs w:val="24"/>
        </w:rPr>
        <w:t xml:space="preserve"> </w:t>
      </w:r>
      <w:r w:rsidR="00485F9E" w:rsidRPr="00504854">
        <w:rPr>
          <w:rFonts w:cs="Times New Roman"/>
          <w:szCs w:val="24"/>
        </w:rPr>
        <w:t xml:space="preserve">(Fig. </w:t>
      </w:r>
      <w:r w:rsidR="00485F9E" w:rsidRPr="00B62A5F">
        <w:rPr>
          <w:rFonts w:cs="Times New Roman"/>
          <w:color w:val="0000FF"/>
          <w:szCs w:val="24"/>
        </w:rPr>
        <w:t>6</w:t>
      </w:r>
      <w:r w:rsidR="00485F9E" w:rsidRPr="00504854">
        <w:rPr>
          <w:rFonts w:cs="Times New Roman"/>
          <w:szCs w:val="24"/>
        </w:rPr>
        <w:t>)</w:t>
      </w:r>
      <w:r w:rsidR="00485F9E">
        <w:rPr>
          <w:rFonts w:cs="Times New Roman"/>
          <w:szCs w:val="24"/>
        </w:rPr>
        <w:t>.</w:t>
      </w:r>
      <w:r w:rsidR="007C0D14">
        <w:rPr>
          <w:rFonts w:cs="Times New Roman"/>
          <w:szCs w:val="24"/>
        </w:rPr>
        <w:t xml:space="preserve"> </w:t>
      </w:r>
      <w:r w:rsidR="00632CEF">
        <w:rPr>
          <w:rFonts w:cs="Times New Roman"/>
          <w:szCs w:val="24"/>
        </w:rPr>
        <w:t>Here, t</w:t>
      </w:r>
      <w:r w:rsidR="007C0D14" w:rsidRPr="007C0D14">
        <w:rPr>
          <w:rFonts w:cs="Times New Roman"/>
          <w:szCs w:val="24"/>
        </w:rPr>
        <w:t>he curvature (</w:t>
      </w:r>
      <w:r w:rsidR="007C0D14" w:rsidRPr="007C0D14">
        <w:rPr>
          <w:rFonts w:cs="Times New Roman"/>
          <w:i/>
          <w:iCs/>
          <w:szCs w:val="24"/>
        </w:rPr>
        <w:t>κ</w:t>
      </w:r>
      <w:r w:rsidR="007C0D14" w:rsidRPr="007C0D14">
        <w:rPr>
          <w:rFonts w:cs="Times New Roman"/>
          <w:szCs w:val="24"/>
        </w:rPr>
        <w:t xml:space="preserve">) at any point is calculated using </w:t>
      </w:r>
      <w:r w:rsidR="00C17CE3">
        <w:rPr>
          <w:rFonts w:cs="Times New Roman"/>
          <w:szCs w:val="24"/>
        </w:rPr>
        <w:t>the</w:t>
      </w:r>
      <w:r w:rsidR="007C0D14" w:rsidRPr="007C0D14">
        <w:rPr>
          <w:rFonts w:cs="Times New Roman"/>
          <w:szCs w:val="24"/>
        </w:rPr>
        <w:t xml:space="preserve"> parametric </w:t>
      </w:r>
      <w:r w:rsidR="00C17CE3">
        <w:rPr>
          <w:rFonts w:cs="Times New Roman"/>
          <w:szCs w:val="24"/>
        </w:rPr>
        <w:t>relation</w:t>
      </w:r>
      <w:r w:rsidR="0003595A">
        <w:rPr>
          <w:rFonts w:cs="Times New Roman"/>
          <w:szCs w:val="24"/>
        </w:rPr>
        <w:t xml:space="preserve"> </w:t>
      </w:r>
      <w:r w:rsidR="0003595A" w:rsidRPr="00504854">
        <w:rPr>
          <w:rFonts w:cs="Times New Roman"/>
          <w:szCs w:val="24"/>
        </w:rPr>
        <w:t>(Eq.</w:t>
      </w:r>
      <w:r w:rsidR="00E20273">
        <w:rPr>
          <w:rFonts w:cs="Times New Roman"/>
          <w:szCs w:val="24"/>
        </w:rPr>
        <w:t xml:space="preserve"> </w:t>
      </w:r>
      <w:r w:rsidR="0003595A" w:rsidRPr="00240ADC">
        <w:rPr>
          <w:rFonts w:cs="Times New Roman"/>
          <w:color w:val="0000FF"/>
          <w:szCs w:val="24"/>
        </w:rPr>
        <w:t>1</w:t>
      </w:r>
      <w:r w:rsidR="0003595A" w:rsidRPr="00504854">
        <w:rPr>
          <w:rFonts w:cs="Times New Roman"/>
          <w:szCs w:val="24"/>
        </w:rPr>
        <w:t xml:space="preserve">) </w:t>
      </w:r>
      <w:r w:rsidR="00C17CE3">
        <w:rPr>
          <w:rFonts w:cs="Times New Roman"/>
          <w:szCs w:val="24"/>
        </w:rPr>
        <w:t xml:space="preserve">which involves </w:t>
      </w:r>
      <w:r w:rsidR="007C0D14" w:rsidRPr="007C0D14">
        <w:rPr>
          <w:rFonts w:cs="Times New Roman"/>
          <w:szCs w:val="24"/>
        </w:rPr>
        <w:t>first derivatives (</w:t>
      </w:r>
      <w:r w:rsidR="007C0D14" w:rsidRPr="0003595A">
        <w:rPr>
          <w:rFonts w:cs="Times New Roman"/>
          <w:i/>
          <w:iCs/>
          <w:szCs w:val="24"/>
        </w:rPr>
        <w:t>x′, y′</w:t>
      </w:r>
      <w:r w:rsidR="007C0D14" w:rsidRPr="007C0D14">
        <w:rPr>
          <w:rFonts w:cs="Times New Roman"/>
          <w:szCs w:val="24"/>
        </w:rPr>
        <w:t>) and second derivatives (</w:t>
      </w:r>
      <w:r w:rsidR="007C0D14" w:rsidRPr="0003595A">
        <w:rPr>
          <w:rFonts w:cs="Times New Roman"/>
          <w:i/>
          <w:iCs/>
          <w:szCs w:val="24"/>
        </w:rPr>
        <w:t>x′′, y′′</w:t>
      </w:r>
      <w:r w:rsidR="007C0D14" w:rsidRPr="0003595A">
        <w:rPr>
          <w:rFonts w:cs="Times New Roman"/>
          <w:szCs w:val="24"/>
        </w:rPr>
        <w:t>)</w:t>
      </w:r>
      <w:r w:rsidR="007C0D14" w:rsidRPr="007C0D14">
        <w:rPr>
          <w:rFonts w:cs="Times New Roman"/>
          <w:szCs w:val="24"/>
        </w:rPr>
        <w:t xml:space="preserve"> with respect to the damping parameter (</w:t>
      </w:r>
      <w:r w:rsidR="007C0D14" w:rsidRPr="0003595A">
        <w:rPr>
          <w:rFonts w:cs="Times New Roman"/>
          <w:i/>
          <w:iCs/>
          <w:szCs w:val="24"/>
        </w:rPr>
        <w:t>t</w:t>
      </w:r>
      <w:r w:rsidR="007C0D14" w:rsidRPr="007C0D14">
        <w:rPr>
          <w:rFonts w:cs="Times New Roman"/>
          <w:szCs w:val="24"/>
        </w:rPr>
        <w:t>).</w:t>
      </w:r>
      <w:r w:rsidR="0062320E">
        <w:rPr>
          <w:rFonts w:cs="Times New Roman"/>
          <w:szCs w:val="24"/>
        </w:rPr>
        <w:t xml:space="preserve"> </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529"/>
        <w:gridCol w:w="1275"/>
      </w:tblGrid>
      <w:tr w:rsidR="005F00EB" w:rsidRPr="00504854" w14:paraId="219CF447" w14:textId="77777777" w:rsidTr="0098508E">
        <w:tc>
          <w:tcPr>
            <w:tcW w:w="2835" w:type="dxa"/>
          </w:tcPr>
          <w:p w14:paraId="01CDFBE4" w14:textId="77777777" w:rsidR="005F00EB" w:rsidRPr="00504854" w:rsidRDefault="005F00EB" w:rsidP="00B75B6B">
            <w:pPr>
              <w:autoSpaceDE w:val="0"/>
              <w:autoSpaceDN w:val="0"/>
              <w:adjustRightInd w:val="0"/>
              <w:spacing w:after="240" w:line="276" w:lineRule="auto"/>
              <w:rPr>
                <w:rFonts w:cs="Times New Roman"/>
              </w:rPr>
            </w:pPr>
          </w:p>
        </w:tc>
        <w:tc>
          <w:tcPr>
            <w:tcW w:w="5529" w:type="dxa"/>
          </w:tcPr>
          <w:p w14:paraId="56450A75" w14:textId="74B00203" w:rsidR="005F00EB" w:rsidRPr="00FD72EF" w:rsidRDefault="00D41FD3" w:rsidP="00206EDA">
            <w:pPr>
              <w:autoSpaceDE w:val="0"/>
              <w:autoSpaceDN w:val="0"/>
              <w:adjustRightInd w:val="0"/>
              <w:spacing w:before="0" w:line="276" w:lineRule="auto"/>
              <w:ind w:left="33" w:hanging="33"/>
              <w:rPr>
                <w:rFonts w:cs="Times New Roman"/>
              </w:rPr>
            </w:pPr>
            <m:oMath>
              <m:r>
                <w:rPr>
                  <w:rFonts w:ascii="Cambria Math" w:hAnsi="Cambria Math" w:cs="Times New Roman"/>
                  <w:sz w:val="22"/>
                </w:rPr>
                <m:t>κ</m:t>
              </m:r>
              <m:d>
                <m:dPr>
                  <m:ctrlPr>
                    <w:rPr>
                      <w:rFonts w:ascii="Cambria Math" w:hAnsi="Cambria Math" w:cs="Times New Roman"/>
                      <w:i/>
                      <w:iCs/>
                      <w:sz w:val="22"/>
                      <w:lang w:val="pt-BR" w:eastAsia="en-MY"/>
                    </w:rPr>
                  </m:ctrlPr>
                </m:dPr>
                <m:e>
                  <m:r>
                    <w:rPr>
                      <w:rFonts w:ascii="Cambria Math" w:hAnsi="Cambria Math" w:cs="Times New Roman"/>
                      <w:sz w:val="22"/>
                      <w:lang w:val="pt-BR" w:eastAsia="en-MY"/>
                    </w:rPr>
                    <m:t>t</m:t>
                  </m:r>
                </m:e>
              </m:d>
              <m:r>
                <w:rPr>
                  <w:rFonts w:ascii="Cambria Math" w:hAnsi="Cambria Math" w:cs="Times New Roman"/>
                  <w:sz w:val="22"/>
                  <w:lang w:val="pt-BR" w:eastAsia="en-MY"/>
                </w:rPr>
                <m:t>=</m:t>
              </m:r>
            </m:oMath>
            <w:r w:rsidR="005F00EB" w:rsidRPr="00504854">
              <w:rPr>
                <w:rFonts w:cs="Times New Roman"/>
                <w:i/>
                <w:iCs/>
                <w:lang w:val="en-GB" w:eastAsia="en-MY"/>
              </w:rPr>
              <w:t xml:space="preserve"> </w:t>
            </w:r>
            <m:oMath>
              <m:f>
                <m:fPr>
                  <m:ctrlPr>
                    <w:rPr>
                      <w:rFonts w:ascii="Cambria Math" w:eastAsiaTheme="minorEastAsia" w:hAnsi="Cambria Math" w:cs="Times New Roman"/>
                      <w:i/>
                      <w:iCs/>
                      <w:sz w:val="28"/>
                      <w:szCs w:val="28"/>
                      <w:lang w:val="en-GB" w:eastAsia="en-MY"/>
                    </w:rPr>
                  </m:ctrlPr>
                </m:fPr>
                <m:num>
                  <m:d>
                    <m:dPr>
                      <m:begChr m:val="|"/>
                      <m:endChr m:val="|"/>
                      <m:ctrlPr>
                        <w:rPr>
                          <w:rFonts w:ascii="Cambria Math" w:eastAsiaTheme="minorEastAsia" w:hAnsi="Cambria Math" w:cs="Times New Roman"/>
                          <w:i/>
                          <w:iCs/>
                          <w:sz w:val="28"/>
                          <w:szCs w:val="28"/>
                          <w:lang w:val="en-GB" w:eastAsia="en-MY"/>
                        </w:rPr>
                      </m:ctrlPr>
                    </m:dPr>
                    <m:e>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x</m:t>
                          </m:r>
                        </m:e>
                        <m:sup>
                          <m:r>
                            <w:rPr>
                              <w:rFonts w:ascii="Cambria Math" w:hAnsi="Cambria Math" w:cs="Times New Roman"/>
                              <w:sz w:val="28"/>
                              <w:szCs w:val="28"/>
                              <w:lang w:val="en-GB" w:eastAsia="en-MY"/>
                            </w:rPr>
                            <m:t>'</m:t>
                          </m:r>
                        </m:sup>
                      </m:sSup>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y</m:t>
                          </m:r>
                        </m:e>
                        <m:sup>
                          <m:r>
                            <w:rPr>
                              <w:rFonts w:ascii="Cambria Math" w:hAnsi="Cambria Math" w:cs="Times New Roman"/>
                              <w:sz w:val="28"/>
                              <w:szCs w:val="28"/>
                              <w:lang w:val="en-GB" w:eastAsia="en-MY"/>
                            </w:rPr>
                            <m:t>''</m:t>
                          </m:r>
                        </m:sup>
                      </m:sSup>
                      <m:r>
                        <w:rPr>
                          <w:rFonts w:ascii="Cambria Math" w:eastAsiaTheme="minorEastAsia" w:hAnsi="Cambria Math" w:cs="Times New Roman"/>
                          <w:sz w:val="28"/>
                          <w:szCs w:val="28"/>
                          <w:lang w:val="en-GB" w:eastAsia="en-MY"/>
                        </w:rPr>
                        <m:t xml:space="preserve"> - </m:t>
                      </m:r>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y</m:t>
                          </m:r>
                        </m:e>
                        <m:sup>
                          <m:r>
                            <w:rPr>
                              <w:rFonts w:ascii="Cambria Math" w:hAnsi="Cambria Math" w:cs="Times New Roman"/>
                              <w:sz w:val="28"/>
                              <w:szCs w:val="28"/>
                              <w:lang w:val="en-GB" w:eastAsia="en-MY"/>
                            </w:rPr>
                            <m:t>'</m:t>
                          </m:r>
                        </m:sup>
                      </m:sSup>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x</m:t>
                          </m:r>
                        </m:e>
                        <m:sup>
                          <m:r>
                            <w:rPr>
                              <w:rFonts w:ascii="Cambria Math" w:hAnsi="Cambria Math" w:cs="Times New Roman"/>
                              <w:sz w:val="28"/>
                              <w:szCs w:val="28"/>
                              <w:lang w:val="en-GB" w:eastAsia="en-MY"/>
                            </w:rPr>
                            <m:t>''</m:t>
                          </m:r>
                        </m:sup>
                      </m:sSup>
                      <m:r>
                        <w:rPr>
                          <w:rFonts w:ascii="Cambria Math" w:eastAsiaTheme="minorEastAsia" w:hAnsi="Cambria Math" w:cs="Times New Roman"/>
                          <w:sz w:val="28"/>
                          <w:szCs w:val="28"/>
                          <w:lang w:val="en-GB" w:eastAsia="en-MY"/>
                        </w:rPr>
                        <m:t xml:space="preserve"> </m:t>
                      </m:r>
                    </m:e>
                  </m:d>
                </m:num>
                <m:den>
                  <m:sSup>
                    <m:sSupPr>
                      <m:ctrlPr>
                        <w:rPr>
                          <w:rFonts w:ascii="Cambria Math" w:eastAsiaTheme="minorEastAsia" w:hAnsi="Cambria Math" w:cs="Times New Roman"/>
                          <w:i/>
                          <w:iCs/>
                          <w:sz w:val="28"/>
                          <w:szCs w:val="28"/>
                          <w:lang w:val="en-GB" w:eastAsia="en-MY"/>
                        </w:rPr>
                      </m:ctrlPr>
                    </m:sSupPr>
                    <m:e>
                      <m:d>
                        <m:dPr>
                          <m:begChr m:val="["/>
                          <m:endChr m:val="]"/>
                          <m:ctrlPr>
                            <w:rPr>
                              <w:rFonts w:ascii="Cambria Math" w:eastAsiaTheme="minorEastAsia" w:hAnsi="Cambria Math" w:cs="Times New Roman"/>
                              <w:i/>
                              <w:iCs/>
                              <w:sz w:val="28"/>
                              <w:szCs w:val="28"/>
                              <w:lang w:val="en-GB" w:eastAsia="en-MY"/>
                            </w:rPr>
                          </m:ctrlPr>
                        </m:dPr>
                        <m:e>
                          <m:sSup>
                            <m:sSupPr>
                              <m:ctrlPr>
                                <w:rPr>
                                  <w:rFonts w:ascii="Cambria Math" w:eastAsiaTheme="minorEastAsia" w:hAnsi="Cambria Math" w:cs="Times New Roman"/>
                                  <w:i/>
                                  <w:iCs/>
                                  <w:sz w:val="28"/>
                                  <w:szCs w:val="28"/>
                                  <w:lang w:val="en-GB" w:eastAsia="en-MY"/>
                                </w:rPr>
                              </m:ctrlPr>
                            </m:sSupPr>
                            <m:e>
                              <m:d>
                                <m:dPr>
                                  <m:ctrlPr>
                                    <w:rPr>
                                      <w:rFonts w:ascii="Cambria Math" w:eastAsiaTheme="minorEastAsia" w:hAnsi="Cambria Math" w:cs="Times New Roman"/>
                                      <w:i/>
                                      <w:iCs/>
                                      <w:sz w:val="28"/>
                                      <w:szCs w:val="28"/>
                                      <w:lang w:val="en-GB" w:eastAsia="en-MY"/>
                                    </w:rPr>
                                  </m:ctrlPr>
                                </m:dPr>
                                <m:e>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x</m:t>
                                      </m:r>
                                    </m:e>
                                    <m:sup>
                                      <m:r>
                                        <w:rPr>
                                          <w:rFonts w:ascii="Cambria Math" w:hAnsi="Cambria Math" w:cs="Times New Roman"/>
                                          <w:sz w:val="28"/>
                                          <w:szCs w:val="28"/>
                                          <w:lang w:val="en-GB" w:eastAsia="en-MY"/>
                                        </w:rPr>
                                        <m:t>'</m:t>
                                      </m:r>
                                    </m:sup>
                                  </m:sSup>
                                </m:e>
                              </m:d>
                            </m:e>
                            <m:sup>
                              <m:r>
                                <w:rPr>
                                  <w:rFonts w:ascii="Cambria Math" w:eastAsiaTheme="minorEastAsia" w:hAnsi="Cambria Math" w:cs="Times New Roman"/>
                                  <w:sz w:val="28"/>
                                  <w:szCs w:val="28"/>
                                  <w:lang w:val="en-GB" w:eastAsia="en-MY"/>
                                </w:rPr>
                                <m:t>2</m:t>
                              </m:r>
                            </m:sup>
                          </m:sSup>
                          <m:r>
                            <w:rPr>
                              <w:rFonts w:ascii="Cambria Math" w:eastAsiaTheme="minorEastAsia" w:hAnsi="Cambria Math" w:cs="Times New Roman"/>
                              <w:sz w:val="28"/>
                              <w:szCs w:val="28"/>
                              <w:lang w:val="en-GB" w:eastAsia="en-MY"/>
                            </w:rPr>
                            <m:t xml:space="preserve"> + </m:t>
                          </m:r>
                          <m:sSup>
                            <m:sSupPr>
                              <m:ctrlPr>
                                <w:rPr>
                                  <w:rFonts w:ascii="Cambria Math" w:eastAsiaTheme="minorEastAsia" w:hAnsi="Cambria Math" w:cs="Times New Roman"/>
                                  <w:i/>
                                  <w:iCs/>
                                  <w:sz w:val="28"/>
                                  <w:szCs w:val="28"/>
                                  <w:lang w:val="en-GB" w:eastAsia="en-MY"/>
                                </w:rPr>
                              </m:ctrlPr>
                            </m:sSupPr>
                            <m:e>
                              <m:d>
                                <m:dPr>
                                  <m:ctrlPr>
                                    <w:rPr>
                                      <w:rFonts w:ascii="Cambria Math" w:eastAsiaTheme="minorEastAsia" w:hAnsi="Cambria Math" w:cs="Times New Roman"/>
                                      <w:i/>
                                      <w:iCs/>
                                      <w:sz w:val="28"/>
                                      <w:szCs w:val="28"/>
                                      <w:lang w:val="en-GB" w:eastAsia="en-MY"/>
                                    </w:rPr>
                                  </m:ctrlPr>
                                </m:dPr>
                                <m:e>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y</m:t>
                                      </m:r>
                                    </m:e>
                                    <m:sup>
                                      <m:r>
                                        <w:rPr>
                                          <w:rFonts w:ascii="Cambria Math" w:hAnsi="Cambria Math" w:cs="Times New Roman"/>
                                          <w:sz w:val="28"/>
                                          <w:szCs w:val="28"/>
                                          <w:lang w:val="en-GB" w:eastAsia="en-MY"/>
                                        </w:rPr>
                                        <m:t>'</m:t>
                                      </m:r>
                                    </m:sup>
                                  </m:sSup>
                                </m:e>
                              </m:d>
                            </m:e>
                            <m:sup>
                              <m:r>
                                <w:rPr>
                                  <w:rFonts w:ascii="Cambria Math" w:eastAsiaTheme="minorEastAsia" w:hAnsi="Cambria Math" w:cs="Times New Roman"/>
                                  <w:sz w:val="28"/>
                                  <w:szCs w:val="28"/>
                                  <w:lang w:val="en-GB" w:eastAsia="en-MY"/>
                                </w:rPr>
                                <m:t>2</m:t>
                              </m:r>
                            </m:sup>
                          </m:sSup>
                        </m:e>
                      </m:d>
                    </m:e>
                    <m:sup>
                      <m:r>
                        <w:rPr>
                          <w:rFonts w:ascii="Cambria Math" w:eastAsiaTheme="minorEastAsia" w:hAnsi="Cambria Math" w:cs="Times New Roman"/>
                          <w:sz w:val="28"/>
                          <w:szCs w:val="28"/>
                          <w:lang w:val="en-GB" w:eastAsia="en-MY"/>
                        </w:rPr>
                        <m:t>3/2</m:t>
                      </m:r>
                    </m:sup>
                  </m:sSup>
                </m:den>
              </m:f>
            </m:oMath>
            <w:r w:rsidR="005F00EB" w:rsidRPr="00504854">
              <w:rPr>
                <w:rFonts w:cs="Times New Roman"/>
                <w:i/>
                <w:iCs/>
                <w:lang w:val="en-GB" w:eastAsia="en-MY"/>
              </w:rPr>
              <w:t xml:space="preserve"> </w:t>
            </w:r>
          </w:p>
        </w:tc>
        <w:tc>
          <w:tcPr>
            <w:tcW w:w="1275" w:type="dxa"/>
          </w:tcPr>
          <w:p w14:paraId="31AEFFED" w14:textId="0BBCD62D" w:rsidR="005F00EB" w:rsidRPr="00504854" w:rsidRDefault="005F00EB" w:rsidP="00B75B6B">
            <w:pPr>
              <w:autoSpaceDE w:val="0"/>
              <w:autoSpaceDN w:val="0"/>
              <w:adjustRightInd w:val="0"/>
              <w:spacing w:after="240" w:line="276" w:lineRule="auto"/>
              <w:jc w:val="right"/>
              <w:rPr>
                <w:rFonts w:cs="Times New Roman"/>
              </w:rPr>
            </w:pPr>
            <w:r w:rsidRPr="00504854">
              <w:rPr>
                <w:rFonts w:eastAsiaTheme="minorEastAsia" w:cs="Times New Roman"/>
                <w:iCs/>
                <w:lang w:val="pt-BR" w:eastAsia="en-MY"/>
              </w:rPr>
              <w:t>(</w:t>
            </w:r>
            <w:r w:rsidR="000D414E" w:rsidRPr="00504854">
              <w:rPr>
                <w:rFonts w:eastAsiaTheme="minorEastAsia" w:cs="Times New Roman"/>
                <w:iCs/>
                <w:lang w:val="pt-BR" w:eastAsia="en-MY"/>
              </w:rPr>
              <w:t>1</w:t>
            </w:r>
            <w:r w:rsidRPr="00504854">
              <w:rPr>
                <w:rFonts w:eastAsiaTheme="minorEastAsia" w:cs="Times New Roman"/>
                <w:iCs/>
                <w:lang w:val="pt-BR" w:eastAsia="en-MY"/>
              </w:rPr>
              <w:t>)</w:t>
            </w:r>
          </w:p>
        </w:tc>
      </w:tr>
    </w:tbl>
    <w:p w14:paraId="28138A6C" w14:textId="057BD3A7" w:rsidR="00922B83" w:rsidRPr="00504854" w:rsidRDefault="0062320E" w:rsidP="00D20200">
      <w:pPr>
        <w:autoSpaceDE w:val="0"/>
        <w:autoSpaceDN w:val="0"/>
        <w:adjustRightInd w:val="0"/>
        <w:spacing w:before="0" w:line="360" w:lineRule="auto"/>
        <w:ind w:firstLine="0"/>
        <w:rPr>
          <w:rFonts w:cs="Times New Roman"/>
          <w:color w:val="000000"/>
        </w:rPr>
      </w:pPr>
      <w:r w:rsidRPr="0062320E">
        <w:rPr>
          <w:rFonts w:cs="Times New Roman"/>
          <w:szCs w:val="24"/>
        </w:rPr>
        <w:t>Given the discrete nature of our data, we approximated these derivatives using finite differences</w:t>
      </w:r>
      <w:r w:rsidR="00D44ABF" w:rsidRPr="00504854">
        <w:rPr>
          <w:rFonts w:cs="Times New Roman"/>
          <w:szCs w:val="24"/>
        </w:rPr>
        <w:t xml:space="preserve"> (Eqs. </w:t>
      </w:r>
      <w:r w:rsidR="00D44ABF" w:rsidRPr="003876BF">
        <w:rPr>
          <w:rFonts w:cs="Times New Roman"/>
          <w:color w:val="0000FF"/>
          <w:szCs w:val="24"/>
        </w:rPr>
        <w:t>2</w:t>
      </w:r>
      <w:r w:rsidR="00D44ABF" w:rsidRPr="00504854">
        <w:rPr>
          <w:rFonts w:cs="Times New Roman"/>
          <w:szCs w:val="24"/>
        </w:rPr>
        <w:t xml:space="preserve"> and </w:t>
      </w:r>
      <w:r w:rsidR="00D44ABF" w:rsidRPr="003876BF">
        <w:rPr>
          <w:rFonts w:cs="Times New Roman"/>
          <w:color w:val="0000FF"/>
          <w:szCs w:val="24"/>
        </w:rPr>
        <w:t>3</w:t>
      </w:r>
      <w:r w:rsidR="00D44ABF" w:rsidRPr="00504854">
        <w:rPr>
          <w:rFonts w:cs="Times New Roman"/>
          <w:szCs w:val="24"/>
        </w:rPr>
        <w:t>)</w:t>
      </w:r>
      <w:r w:rsidR="00F27A35" w:rsidRPr="00504854">
        <w:rPr>
          <w:rFonts w:cs="Times New Roman"/>
          <w:szCs w:val="24"/>
        </w:rPr>
        <w:t>.</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529"/>
        <w:gridCol w:w="1275"/>
      </w:tblGrid>
      <w:tr w:rsidR="00120920" w:rsidRPr="00504854" w14:paraId="08720375" w14:textId="77777777" w:rsidTr="0098508E">
        <w:tc>
          <w:tcPr>
            <w:tcW w:w="2835" w:type="dxa"/>
          </w:tcPr>
          <w:p w14:paraId="4F6C1922" w14:textId="77777777" w:rsidR="00120920" w:rsidRPr="00504854" w:rsidRDefault="00120920" w:rsidP="007A6079">
            <w:pPr>
              <w:autoSpaceDE w:val="0"/>
              <w:autoSpaceDN w:val="0"/>
              <w:adjustRightInd w:val="0"/>
              <w:spacing w:after="240" w:line="276" w:lineRule="auto"/>
              <w:rPr>
                <w:rFonts w:cs="Times New Roman"/>
              </w:rPr>
            </w:pPr>
          </w:p>
        </w:tc>
        <w:tc>
          <w:tcPr>
            <w:tcW w:w="5529" w:type="dxa"/>
          </w:tcPr>
          <w:p w14:paraId="010CFD87" w14:textId="12571678" w:rsidR="00120920" w:rsidRPr="006A5FB7" w:rsidRDefault="00000000" w:rsidP="007A6079">
            <w:pPr>
              <w:autoSpaceDE w:val="0"/>
              <w:autoSpaceDN w:val="0"/>
              <w:adjustRightInd w:val="0"/>
              <w:spacing w:before="0" w:line="276" w:lineRule="auto"/>
              <w:ind w:left="33" w:hanging="33"/>
              <w:rPr>
                <w:rFonts w:cs="Times New Roman"/>
              </w:rPr>
            </w:pPr>
            <m:oMath>
              <m:sSup>
                <m:sSupPr>
                  <m:ctrlPr>
                    <w:rPr>
                      <w:rFonts w:ascii="Cambria Math" w:hAnsi="Cambria Math" w:cs="Times New Roman"/>
                      <w:i/>
                      <w:sz w:val="22"/>
                      <w:lang w:val="en-GB" w:eastAsia="en-MY"/>
                    </w:rPr>
                  </m:ctrlPr>
                </m:sSupPr>
                <m:e>
                  <m:r>
                    <w:rPr>
                      <w:rFonts w:ascii="Cambria Math" w:hAnsi="Cambria Math" w:cs="Times New Roman"/>
                      <w:sz w:val="22"/>
                      <w:lang w:val="en-GB" w:eastAsia="en-MY"/>
                    </w:rPr>
                    <m:t>f</m:t>
                  </m:r>
                </m:e>
                <m:sup>
                  <m:r>
                    <w:rPr>
                      <w:rFonts w:ascii="Cambria Math" w:hAnsi="Cambria Math" w:cs="Times New Roman"/>
                      <w:sz w:val="22"/>
                      <w:lang w:val="en-GB" w:eastAsia="en-MY"/>
                    </w:rPr>
                    <m:t>'</m:t>
                  </m:r>
                </m:sup>
              </m:sSup>
              <m:d>
                <m:dPr>
                  <m:ctrlPr>
                    <w:rPr>
                      <w:rFonts w:ascii="Cambria Math" w:hAnsi="Cambria Math" w:cs="Times New Roman"/>
                      <w:i/>
                      <w:iCs/>
                      <w:sz w:val="22"/>
                      <w:lang w:val="pt-BR" w:eastAsia="en-MY"/>
                    </w:rPr>
                  </m:ctrlPr>
                </m:dPr>
                <m:e>
                  <m:sSub>
                    <m:sSubPr>
                      <m:ctrlPr>
                        <w:rPr>
                          <w:rFonts w:ascii="Cambria Math" w:hAnsi="Cambria Math" w:cs="Times New Roman"/>
                          <w:i/>
                          <w:iCs/>
                          <w:sz w:val="22"/>
                          <w:lang w:val="pt-BR" w:eastAsia="en-MY"/>
                        </w:rPr>
                      </m:ctrlPr>
                    </m:sSubPr>
                    <m:e>
                      <m:r>
                        <w:rPr>
                          <w:rFonts w:ascii="Cambria Math" w:hAnsi="Cambria Math" w:cs="Times New Roman"/>
                          <w:color w:val="000000"/>
                          <w:sz w:val="22"/>
                          <w:lang w:val="en"/>
                        </w:rPr>
                        <m:t>t</m:t>
                      </m:r>
                    </m:e>
                    <m:sub>
                      <m:r>
                        <w:rPr>
                          <w:rFonts w:ascii="Cambria Math" w:hAnsi="Cambria Math" w:cs="Times New Roman"/>
                          <w:sz w:val="22"/>
                          <w:lang w:eastAsia="en-MY"/>
                        </w:rPr>
                        <m:t>i</m:t>
                      </m:r>
                    </m:sub>
                  </m:sSub>
                </m:e>
              </m:d>
            </m:oMath>
            <w:r w:rsidR="00F82686" w:rsidRPr="00504854">
              <w:rPr>
                <w:rFonts w:ascii="Cambria Math" w:eastAsiaTheme="minorEastAsia" w:hAnsi="Cambria Math" w:cs="Times New Roman"/>
                <w:i/>
                <w:iCs/>
                <w:lang w:val="pt-BR" w:eastAsia="en-MY"/>
              </w:rPr>
              <w:t xml:space="preserve"> </w:t>
            </w:r>
            <w:r w:rsidR="006B48C7" w:rsidRPr="00504854">
              <w:rPr>
                <w:rFonts w:ascii="Cambria Math" w:hAnsi="Cambria Math" w:cs="Times New Roman"/>
                <w:i/>
                <w:iCs/>
                <w:lang w:eastAsia="en-MY"/>
              </w:rPr>
              <w:t>≈</w:t>
            </w:r>
            <w:r w:rsidR="00F82686" w:rsidRPr="00504854">
              <w:rPr>
                <w:rFonts w:ascii="Cambria Math" w:hAnsi="Cambria Math" w:cs="Times New Roman"/>
                <w:i/>
                <w:iCs/>
                <w:lang w:eastAsia="en-MY"/>
              </w:rPr>
              <w:t xml:space="preserve"> </w:t>
            </w:r>
            <w:r w:rsidR="00120920" w:rsidRPr="00504854">
              <w:rPr>
                <w:rFonts w:cs="Times New Roman"/>
                <w:i/>
                <w:iCs/>
                <w:lang w:val="en-GB" w:eastAsia="en-MY"/>
              </w:rPr>
              <w:t xml:space="preserve"> </w:t>
            </w:r>
            <m:oMath>
              <m:f>
                <m:fPr>
                  <m:ctrlPr>
                    <w:rPr>
                      <w:rFonts w:ascii="Cambria Math" w:eastAsiaTheme="minorEastAsia" w:hAnsi="Cambria Math" w:cs="Times New Roman"/>
                      <w:i/>
                      <w:iCs/>
                      <w:sz w:val="28"/>
                      <w:szCs w:val="28"/>
                      <w:lang w:val="en-GB" w:eastAsia="en-MY"/>
                    </w:rPr>
                  </m:ctrlPr>
                </m:fPr>
                <m:num>
                  <m:r>
                    <w:rPr>
                      <w:rFonts w:ascii="Cambria Math" w:eastAsiaTheme="minorEastAsia" w:hAnsi="Cambria Math" w:cs="Times New Roman"/>
                      <w:sz w:val="28"/>
                      <w:szCs w:val="28"/>
                      <w:lang w:val="en-GB" w:eastAsia="en-MY"/>
                    </w:rPr>
                    <m:t>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e>
                  </m:d>
                  <m:r>
                    <w:rPr>
                      <w:rFonts w:ascii="Cambria Math" w:eastAsiaTheme="minorEastAsia" w:hAnsi="Cambria Math" w:cs="Times New Roman"/>
                      <w:sz w:val="28"/>
                      <w:szCs w:val="28"/>
                      <w:lang w:val="en-GB" w:eastAsia="en-MY"/>
                    </w:rPr>
                    <m:t xml:space="preserve"> - 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e>
                  </m:d>
                </m:num>
                <m:den>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r>
                    <w:rPr>
                      <w:rFonts w:ascii="Cambria Math" w:hAnsi="Cambria Math" w:cs="Times New Roman"/>
                      <w:sz w:val="28"/>
                      <w:szCs w:val="28"/>
                      <w:lang w:val="pt-BR" w:eastAsia="en-MY"/>
                    </w:rPr>
                    <m:t xml:space="preserve">- </m:t>
                  </m:r>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den>
              </m:f>
            </m:oMath>
            <w:r w:rsidR="00120920" w:rsidRPr="00504854">
              <w:rPr>
                <w:rFonts w:cs="Times New Roman"/>
                <w:i/>
                <w:iCs/>
                <w:lang w:val="en-GB" w:eastAsia="en-MY"/>
              </w:rPr>
              <w:t xml:space="preserve"> </w:t>
            </w:r>
          </w:p>
        </w:tc>
        <w:tc>
          <w:tcPr>
            <w:tcW w:w="1275" w:type="dxa"/>
          </w:tcPr>
          <w:p w14:paraId="6A66E527" w14:textId="3127E4FA" w:rsidR="00120920" w:rsidRPr="00504854" w:rsidRDefault="00120920" w:rsidP="007A6079">
            <w:pPr>
              <w:autoSpaceDE w:val="0"/>
              <w:autoSpaceDN w:val="0"/>
              <w:adjustRightInd w:val="0"/>
              <w:spacing w:after="240" w:line="276" w:lineRule="auto"/>
              <w:jc w:val="right"/>
              <w:rPr>
                <w:rFonts w:cs="Times New Roman"/>
              </w:rPr>
            </w:pPr>
            <w:r w:rsidRPr="00504854">
              <w:rPr>
                <w:rFonts w:eastAsiaTheme="minorEastAsia" w:cs="Times New Roman"/>
                <w:iCs/>
                <w:lang w:val="pt-BR" w:eastAsia="en-MY"/>
              </w:rPr>
              <w:t>(</w:t>
            </w:r>
            <w:r w:rsidR="00314542" w:rsidRPr="00504854">
              <w:rPr>
                <w:rFonts w:eastAsiaTheme="minorEastAsia" w:cs="Times New Roman"/>
                <w:iCs/>
                <w:lang w:val="pt-BR" w:eastAsia="en-MY"/>
              </w:rPr>
              <w:t>2</w:t>
            </w:r>
            <w:r w:rsidRPr="00504854">
              <w:rPr>
                <w:rFonts w:eastAsiaTheme="minorEastAsia" w:cs="Times New Roman"/>
                <w:iCs/>
                <w:lang w:val="pt-BR" w:eastAsia="en-MY"/>
              </w:rPr>
              <w:t>)</w:t>
            </w:r>
          </w:p>
        </w:tc>
      </w:tr>
      <w:tr w:rsidR="00120920" w:rsidRPr="00504854" w14:paraId="1261BA60" w14:textId="77777777" w:rsidTr="0098508E">
        <w:tc>
          <w:tcPr>
            <w:tcW w:w="2835" w:type="dxa"/>
          </w:tcPr>
          <w:p w14:paraId="7B29F92C" w14:textId="77777777" w:rsidR="00120920" w:rsidRPr="00504854" w:rsidRDefault="00120920" w:rsidP="007A6079">
            <w:pPr>
              <w:autoSpaceDE w:val="0"/>
              <w:autoSpaceDN w:val="0"/>
              <w:adjustRightInd w:val="0"/>
              <w:spacing w:after="240" w:line="276" w:lineRule="auto"/>
              <w:rPr>
                <w:rFonts w:cs="Times New Roman"/>
              </w:rPr>
            </w:pPr>
          </w:p>
        </w:tc>
        <w:tc>
          <w:tcPr>
            <w:tcW w:w="5529" w:type="dxa"/>
          </w:tcPr>
          <w:p w14:paraId="144901BA" w14:textId="3546D141" w:rsidR="00120920" w:rsidRPr="006A5FB7" w:rsidRDefault="00000000" w:rsidP="007A6079">
            <w:pPr>
              <w:autoSpaceDE w:val="0"/>
              <w:autoSpaceDN w:val="0"/>
              <w:adjustRightInd w:val="0"/>
              <w:spacing w:before="0" w:line="276" w:lineRule="auto"/>
              <w:ind w:left="33" w:hanging="33"/>
              <w:rPr>
                <w:rFonts w:cs="Times New Roman"/>
              </w:rPr>
            </w:pPr>
            <m:oMath>
              <m:sSup>
                <m:sSupPr>
                  <m:ctrlPr>
                    <w:rPr>
                      <w:rFonts w:ascii="Cambria Math" w:hAnsi="Cambria Math" w:cs="Times New Roman"/>
                      <w:i/>
                      <w:sz w:val="22"/>
                      <w:lang w:val="en-GB" w:eastAsia="en-MY"/>
                    </w:rPr>
                  </m:ctrlPr>
                </m:sSupPr>
                <m:e>
                  <m:r>
                    <w:rPr>
                      <w:rFonts w:ascii="Cambria Math" w:hAnsi="Cambria Math" w:cs="Times New Roman"/>
                      <w:sz w:val="22"/>
                      <w:lang w:val="en-GB" w:eastAsia="en-MY"/>
                    </w:rPr>
                    <m:t>f</m:t>
                  </m:r>
                </m:e>
                <m:sup>
                  <m:r>
                    <w:rPr>
                      <w:rFonts w:ascii="Cambria Math" w:hAnsi="Cambria Math" w:cs="Times New Roman"/>
                      <w:sz w:val="22"/>
                      <w:lang w:val="en-GB" w:eastAsia="en-MY"/>
                    </w:rPr>
                    <m:t>''</m:t>
                  </m:r>
                </m:sup>
              </m:sSup>
              <m:d>
                <m:dPr>
                  <m:ctrlPr>
                    <w:rPr>
                      <w:rFonts w:ascii="Cambria Math" w:hAnsi="Cambria Math" w:cs="Times New Roman"/>
                      <w:i/>
                      <w:iCs/>
                      <w:sz w:val="22"/>
                      <w:lang w:val="pt-BR" w:eastAsia="en-MY"/>
                    </w:rPr>
                  </m:ctrlPr>
                </m:dPr>
                <m:e>
                  <m:sSub>
                    <m:sSubPr>
                      <m:ctrlPr>
                        <w:rPr>
                          <w:rFonts w:ascii="Cambria Math" w:hAnsi="Cambria Math" w:cs="Times New Roman"/>
                          <w:i/>
                          <w:iCs/>
                          <w:sz w:val="22"/>
                          <w:lang w:val="pt-BR" w:eastAsia="en-MY"/>
                        </w:rPr>
                      </m:ctrlPr>
                    </m:sSubPr>
                    <m:e>
                      <m:r>
                        <w:rPr>
                          <w:rFonts w:ascii="Cambria Math" w:hAnsi="Cambria Math" w:cs="Times New Roman"/>
                          <w:color w:val="000000"/>
                          <w:sz w:val="22"/>
                          <w:lang w:val="en"/>
                        </w:rPr>
                        <m:t>t</m:t>
                      </m:r>
                    </m:e>
                    <m:sub>
                      <m:r>
                        <w:rPr>
                          <w:rFonts w:ascii="Cambria Math" w:hAnsi="Cambria Math" w:cs="Times New Roman"/>
                          <w:sz w:val="22"/>
                          <w:lang w:eastAsia="en-MY"/>
                        </w:rPr>
                        <m:t>i</m:t>
                      </m:r>
                    </m:sub>
                  </m:sSub>
                </m:e>
              </m:d>
            </m:oMath>
            <w:r w:rsidR="00F82686" w:rsidRPr="00504854">
              <w:rPr>
                <w:rFonts w:ascii="Cambria Math" w:eastAsiaTheme="minorEastAsia" w:hAnsi="Cambria Math" w:cs="Times New Roman"/>
                <w:i/>
                <w:iCs/>
                <w:szCs w:val="24"/>
                <w:lang w:val="pt-BR" w:eastAsia="en-MY"/>
              </w:rPr>
              <w:t xml:space="preserve"> </w:t>
            </w:r>
            <w:r w:rsidR="006B48C7" w:rsidRPr="00504854">
              <w:rPr>
                <w:rFonts w:ascii="Cambria Math" w:hAnsi="Cambria Math" w:cs="Times New Roman"/>
                <w:i/>
                <w:iCs/>
                <w:lang w:eastAsia="en-MY"/>
              </w:rPr>
              <w:t xml:space="preserve">≈ </w:t>
            </w:r>
            <w:r w:rsidR="00120920" w:rsidRPr="00504854">
              <w:rPr>
                <w:rFonts w:cs="Times New Roman"/>
                <w:i/>
                <w:iCs/>
                <w:lang w:val="en-GB" w:eastAsia="en-MY"/>
              </w:rPr>
              <w:t xml:space="preserve"> </w:t>
            </w:r>
            <m:oMath>
              <m:f>
                <m:fPr>
                  <m:ctrlPr>
                    <w:rPr>
                      <w:rFonts w:ascii="Cambria Math" w:eastAsiaTheme="minorEastAsia" w:hAnsi="Cambria Math" w:cs="Times New Roman"/>
                      <w:i/>
                      <w:iCs/>
                      <w:sz w:val="28"/>
                      <w:szCs w:val="28"/>
                      <w:lang w:val="en-GB" w:eastAsia="en-MY"/>
                    </w:rPr>
                  </m:ctrlPr>
                </m:fPr>
                <m:num>
                  <m:r>
                    <w:rPr>
                      <w:rFonts w:ascii="Cambria Math" w:eastAsiaTheme="minorEastAsia" w:hAnsi="Cambria Math" w:cs="Times New Roman"/>
                      <w:sz w:val="28"/>
                      <w:szCs w:val="28"/>
                      <w:lang w:val="en-GB" w:eastAsia="en-MY"/>
                    </w:rPr>
                    <m:t>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e>
                  </m:d>
                  <m:r>
                    <w:rPr>
                      <w:rFonts w:ascii="Cambria Math" w:eastAsiaTheme="minorEastAsia" w:hAnsi="Cambria Math" w:cs="Times New Roman"/>
                      <w:sz w:val="28"/>
                      <w:szCs w:val="28"/>
                      <w:lang w:val="en-GB" w:eastAsia="en-MY"/>
                    </w:rPr>
                    <m:t xml:space="preserve"> - 2f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m:t>
                          </m:r>
                        </m:sub>
                      </m:sSub>
                    </m:e>
                  </m:d>
                  <m:r>
                    <w:rPr>
                      <w:rFonts w:ascii="Cambria Math" w:eastAsiaTheme="minorEastAsia" w:hAnsi="Cambria Math" w:cs="Times New Roman"/>
                      <w:sz w:val="28"/>
                      <w:szCs w:val="28"/>
                      <w:lang w:val="en-GB" w:eastAsia="en-MY"/>
                    </w:rPr>
                    <m:t xml:space="preserve"> + 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e>
                  </m:d>
                </m:num>
                <m:den>
                  <m:sSup>
                    <m:sSupPr>
                      <m:ctrlPr>
                        <w:rPr>
                          <w:rFonts w:ascii="Cambria Math" w:eastAsiaTheme="minorEastAsia" w:hAnsi="Cambria Math" w:cs="Times New Roman"/>
                          <w:i/>
                          <w:iCs/>
                          <w:sz w:val="28"/>
                          <w:szCs w:val="28"/>
                          <w:lang w:val="en-GB" w:eastAsia="en-MY"/>
                        </w:rPr>
                      </m:ctrlPr>
                    </m:sSupPr>
                    <m:e>
                      <m:d>
                        <m:dPr>
                          <m:begChr m:val="["/>
                          <m:endChr m:val="]"/>
                          <m:ctrlPr>
                            <w:rPr>
                              <w:rFonts w:ascii="Cambria Math" w:eastAsiaTheme="minorEastAsia" w:hAnsi="Cambria Math" w:cs="Times New Roman"/>
                              <w:i/>
                              <w:iCs/>
                              <w:sz w:val="28"/>
                              <w:szCs w:val="28"/>
                              <w:lang w:val="en-GB" w:eastAsia="en-MY"/>
                            </w:rPr>
                          </m:ctrlPr>
                        </m:dPr>
                        <m:e>
                          <m:r>
                            <w:rPr>
                              <w:rFonts w:ascii="Cambria Math" w:eastAsiaTheme="minorEastAsia" w:hAnsi="Cambria Math" w:cs="Times New Roman"/>
                              <w:sz w:val="28"/>
                              <w:szCs w:val="28"/>
                              <w:lang w:val="en-GB" w:eastAsia="en-MY"/>
                            </w:rPr>
                            <m:t>(</m:t>
                          </m:r>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r>
                            <w:rPr>
                              <w:rFonts w:ascii="Cambria Math" w:hAnsi="Cambria Math" w:cs="Times New Roman"/>
                              <w:sz w:val="28"/>
                              <w:szCs w:val="28"/>
                              <w:lang w:val="pt-BR" w:eastAsia="en-MY"/>
                            </w:rPr>
                            <m:t xml:space="preserve">- </m:t>
                          </m:r>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r>
                            <w:rPr>
                              <w:rFonts w:ascii="Cambria Math" w:hAnsi="Cambria Math" w:cs="Times New Roman"/>
                              <w:sz w:val="28"/>
                              <w:szCs w:val="28"/>
                              <w:lang w:val="pt-BR" w:eastAsia="en-MY"/>
                            </w:rPr>
                            <m:t>)/2</m:t>
                          </m:r>
                        </m:e>
                      </m:d>
                    </m:e>
                    <m:sup>
                      <m:r>
                        <w:rPr>
                          <w:rFonts w:ascii="Cambria Math" w:eastAsiaTheme="minorEastAsia" w:hAnsi="Cambria Math" w:cs="Times New Roman"/>
                          <w:sz w:val="28"/>
                          <w:szCs w:val="28"/>
                          <w:lang w:val="en-GB" w:eastAsia="en-MY"/>
                        </w:rPr>
                        <m:t>2</m:t>
                      </m:r>
                    </m:sup>
                  </m:sSup>
                </m:den>
              </m:f>
            </m:oMath>
            <w:r w:rsidR="00120920" w:rsidRPr="00504854">
              <w:rPr>
                <w:rFonts w:cs="Times New Roman"/>
                <w:i/>
                <w:iCs/>
                <w:lang w:val="en-GB" w:eastAsia="en-MY"/>
              </w:rPr>
              <w:t xml:space="preserve"> </w:t>
            </w:r>
          </w:p>
        </w:tc>
        <w:tc>
          <w:tcPr>
            <w:tcW w:w="1275" w:type="dxa"/>
          </w:tcPr>
          <w:p w14:paraId="4FD3FB6F" w14:textId="2EF64A11" w:rsidR="00120920" w:rsidRPr="00504854" w:rsidRDefault="00120920" w:rsidP="007A6079">
            <w:pPr>
              <w:autoSpaceDE w:val="0"/>
              <w:autoSpaceDN w:val="0"/>
              <w:adjustRightInd w:val="0"/>
              <w:spacing w:after="240" w:line="276" w:lineRule="auto"/>
              <w:jc w:val="right"/>
              <w:rPr>
                <w:rFonts w:cs="Times New Roman"/>
              </w:rPr>
            </w:pPr>
            <w:r w:rsidRPr="00504854">
              <w:rPr>
                <w:rFonts w:eastAsiaTheme="minorEastAsia" w:cs="Times New Roman"/>
                <w:iCs/>
                <w:lang w:val="pt-BR" w:eastAsia="en-MY"/>
              </w:rPr>
              <w:t>(</w:t>
            </w:r>
            <w:r w:rsidR="00314542" w:rsidRPr="00504854">
              <w:rPr>
                <w:rFonts w:eastAsiaTheme="minorEastAsia" w:cs="Times New Roman"/>
                <w:iCs/>
                <w:lang w:val="pt-BR" w:eastAsia="en-MY"/>
              </w:rPr>
              <w:t>3</w:t>
            </w:r>
            <w:r w:rsidRPr="00504854">
              <w:rPr>
                <w:rFonts w:eastAsiaTheme="minorEastAsia" w:cs="Times New Roman"/>
                <w:iCs/>
                <w:lang w:val="pt-BR" w:eastAsia="en-MY"/>
              </w:rPr>
              <w:t>)</w:t>
            </w:r>
          </w:p>
        </w:tc>
      </w:tr>
    </w:tbl>
    <w:p w14:paraId="3BF5D464" w14:textId="43F5D028" w:rsidR="003C7C51" w:rsidRDefault="001C5DD5" w:rsidP="00CB37FA">
      <w:pPr>
        <w:spacing w:before="0" w:line="360" w:lineRule="auto"/>
        <w:ind w:right="-22" w:firstLine="0"/>
        <w:rPr>
          <w:rFonts w:cs="Times New Roman"/>
          <w:szCs w:val="24"/>
        </w:rPr>
      </w:pPr>
      <w:bookmarkStart w:id="10" w:name="_Hlk187518095"/>
      <w:bookmarkStart w:id="11" w:name="_Hlk187520291"/>
      <w:bookmarkEnd w:id="9"/>
      <w:r w:rsidRPr="001C5DD5">
        <w:rPr>
          <w:rFonts w:cs="Times New Roman"/>
          <w:szCs w:val="24"/>
        </w:rPr>
        <w:t xml:space="preserve">Optimal damping parameters of 8, 15, and 20 </w:t>
      </w:r>
      <w:r w:rsidR="00632CEF">
        <w:rPr>
          <w:rFonts w:cs="Times New Roman"/>
          <w:szCs w:val="24"/>
        </w:rPr>
        <w:t>are</w:t>
      </w:r>
      <w:r w:rsidRPr="001C5DD5">
        <w:rPr>
          <w:rFonts w:cs="Times New Roman"/>
          <w:szCs w:val="24"/>
        </w:rPr>
        <w:t xml:space="preserve"> obtained for the 0.25°, 0.5°, and 1.0° grids, respectively.</w:t>
      </w:r>
      <w:r w:rsidR="00347E78" w:rsidRPr="00504854">
        <w:rPr>
          <w:rFonts w:cs="Times New Roman"/>
          <w:szCs w:val="24"/>
        </w:rPr>
        <w:t xml:space="preserve"> </w:t>
      </w:r>
      <w:r w:rsidR="001C0735">
        <w:rPr>
          <w:rFonts w:cs="Times New Roman"/>
          <w:szCs w:val="24"/>
        </w:rPr>
        <w:t>As expected</w:t>
      </w:r>
      <w:r w:rsidR="00001AD6">
        <w:rPr>
          <w:rFonts w:cs="Times New Roman"/>
          <w:szCs w:val="24"/>
        </w:rPr>
        <w:t xml:space="preserve"> from </w:t>
      </w:r>
      <w:r w:rsidR="00D4459F" w:rsidRPr="00D4459F">
        <w:rPr>
          <w:rFonts w:cs="Times New Roman"/>
          <w:szCs w:val="24"/>
        </w:rPr>
        <w:t>fundamental principles in inverse theory</w:t>
      </w:r>
      <w:r w:rsidR="001C0735">
        <w:rPr>
          <w:rFonts w:cs="Times New Roman"/>
          <w:szCs w:val="24"/>
        </w:rPr>
        <w:t xml:space="preserve">, we note </w:t>
      </w:r>
      <w:r w:rsidR="001C0735" w:rsidRPr="001C0735">
        <w:rPr>
          <w:rFonts w:cs="Times New Roman"/>
          <w:szCs w:val="24"/>
        </w:rPr>
        <w:t xml:space="preserve">that the optimal damping parameter increases with increasing grid cell size. </w:t>
      </w:r>
      <w:r w:rsidR="003C7C51" w:rsidRPr="003C7C51">
        <w:rPr>
          <w:rFonts w:cs="Times New Roman"/>
          <w:szCs w:val="24"/>
        </w:rPr>
        <w:t>Additionally, a 3% velocity perturbation</w:t>
      </w:r>
      <w:r w:rsidR="003C7C51">
        <w:rPr>
          <w:rFonts w:cs="Times New Roman"/>
          <w:szCs w:val="24"/>
        </w:rPr>
        <w:t xml:space="preserve"> </w:t>
      </w:r>
      <w:r w:rsidR="003C7C51" w:rsidRPr="00CD6629">
        <w:rPr>
          <w:rFonts w:cs="Times New Roman"/>
          <w:szCs w:val="24"/>
        </w:rPr>
        <w:t>(</w:t>
      </w:r>
      <w:proofErr w:type="spellStart"/>
      <w:r w:rsidR="003C7C51" w:rsidRPr="00CD6629">
        <w:rPr>
          <w:rFonts w:cs="Times New Roman"/>
          <w:szCs w:val="24"/>
        </w:rPr>
        <w:t>Δv</w:t>
      </w:r>
      <w:r w:rsidR="003C7C51" w:rsidRPr="00CD6629">
        <w:rPr>
          <w:rFonts w:cs="Times New Roman"/>
          <w:szCs w:val="24"/>
          <w:vertAlign w:val="subscript"/>
        </w:rPr>
        <w:t>p</w:t>
      </w:r>
      <w:proofErr w:type="spellEnd"/>
      <w:r w:rsidR="003C7C51" w:rsidRPr="00CD6629">
        <w:rPr>
          <w:rFonts w:cs="Times New Roman"/>
          <w:szCs w:val="24"/>
        </w:rPr>
        <w:t xml:space="preserve">) </w:t>
      </w:r>
      <w:r w:rsidR="003C7C51">
        <w:rPr>
          <w:rFonts w:cs="Times New Roman"/>
          <w:szCs w:val="24"/>
        </w:rPr>
        <w:t>i</w:t>
      </w:r>
      <w:r w:rsidR="003C7C51" w:rsidRPr="003C7C51">
        <w:rPr>
          <w:rFonts w:cs="Times New Roman"/>
          <w:szCs w:val="24"/>
        </w:rPr>
        <w:t xml:space="preserve">s applied to the P-wave velocities, and only those grid cells intersected by at least 10 rays </w:t>
      </w:r>
      <w:r w:rsidR="00F23A64">
        <w:rPr>
          <w:rFonts w:cs="Times New Roman"/>
          <w:szCs w:val="24"/>
        </w:rPr>
        <w:t>are</w:t>
      </w:r>
      <w:r w:rsidR="003C7C51" w:rsidRPr="003C7C51">
        <w:rPr>
          <w:rFonts w:cs="Times New Roman"/>
          <w:szCs w:val="24"/>
        </w:rPr>
        <w:t xml:space="preserve"> included in the final inversion, following the hit count metric proposed by Haslinger </w:t>
      </w:r>
      <w:r w:rsidR="003C7C51" w:rsidRPr="00F23A64">
        <w:rPr>
          <w:rFonts w:cs="Times New Roman"/>
          <w:i/>
          <w:iCs/>
          <w:szCs w:val="24"/>
        </w:rPr>
        <w:t>et al</w:t>
      </w:r>
      <w:r w:rsidR="003C7C51" w:rsidRPr="003C7C51">
        <w:rPr>
          <w:rFonts w:cs="Times New Roman"/>
          <w:szCs w:val="24"/>
        </w:rPr>
        <w:t>. (</w:t>
      </w:r>
      <w:r w:rsidR="003C7C51" w:rsidRPr="003C7C51">
        <w:rPr>
          <w:rFonts w:cs="Times New Roman"/>
          <w:color w:val="0000FF"/>
          <w:szCs w:val="24"/>
        </w:rPr>
        <w:t>1999</w:t>
      </w:r>
      <w:r w:rsidR="003C7C51" w:rsidRPr="003C7C51">
        <w:rPr>
          <w:rFonts w:cs="Times New Roman"/>
          <w:szCs w:val="24"/>
        </w:rPr>
        <w:t xml:space="preserve">). A Python implementation of the L-curve analysis is provided in the </w:t>
      </w:r>
      <w:r w:rsidR="00D465C6">
        <w:rPr>
          <w:rFonts w:cs="Times New Roman"/>
          <w:szCs w:val="24"/>
        </w:rPr>
        <w:t>supplementary</w:t>
      </w:r>
      <w:r w:rsidR="003C7C51" w:rsidRPr="003C7C51">
        <w:rPr>
          <w:rFonts w:cs="Times New Roman"/>
          <w:szCs w:val="24"/>
        </w:rPr>
        <w:t xml:space="preserve"> information.</w:t>
      </w:r>
    </w:p>
    <w:p w14:paraId="7BAFE936" w14:textId="77777777" w:rsidR="00830F43" w:rsidRDefault="00830F43" w:rsidP="00CB37FA">
      <w:pPr>
        <w:spacing w:before="0" w:line="360" w:lineRule="auto"/>
        <w:ind w:right="-22" w:firstLine="0"/>
        <w:rPr>
          <w:rFonts w:cs="Times New Roman"/>
          <w:szCs w:val="24"/>
        </w:rPr>
      </w:pPr>
    </w:p>
    <w:p w14:paraId="6817AD8D" w14:textId="6E891519" w:rsidR="00830F43" w:rsidRDefault="00830F43" w:rsidP="00830F43">
      <w:pPr>
        <w:spacing w:before="0" w:line="240" w:lineRule="auto"/>
        <w:ind w:left="709" w:hanging="709"/>
        <w:rPr>
          <w:rFonts w:cs="Times New Roman"/>
          <w:noProof/>
          <w:szCs w:val="24"/>
        </w:rPr>
      </w:pPr>
      <w:r>
        <w:rPr>
          <w:noProof/>
        </w:rPr>
        <w:drawing>
          <wp:inline distT="0" distB="0" distL="0" distR="0" wp14:anchorId="1BFB64A2" wp14:editId="75B3168D">
            <wp:extent cx="6106215" cy="1978025"/>
            <wp:effectExtent l="0" t="0" r="8890" b="3175"/>
            <wp:docPr id="9339635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63511"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114891" cy="1980835"/>
                    </a:xfrm>
                    <a:prstGeom prst="rect">
                      <a:avLst/>
                    </a:prstGeom>
                    <a:noFill/>
                    <a:ln>
                      <a:noFill/>
                    </a:ln>
                  </pic:spPr>
                </pic:pic>
              </a:graphicData>
            </a:graphic>
          </wp:inline>
        </w:drawing>
      </w:r>
    </w:p>
    <w:p w14:paraId="6F69F002" w14:textId="77777777" w:rsidR="00830F43" w:rsidRPr="00BF5AB8" w:rsidRDefault="00830F43" w:rsidP="00830F43">
      <w:pPr>
        <w:spacing w:before="0" w:line="240" w:lineRule="auto"/>
        <w:ind w:left="709" w:hanging="709"/>
        <w:rPr>
          <w:rFonts w:cs="Times New Roman"/>
          <w:noProof/>
          <w:szCs w:val="24"/>
        </w:rPr>
      </w:pPr>
    </w:p>
    <w:p w14:paraId="4E296B3F" w14:textId="5F93DB79" w:rsidR="00830F43" w:rsidRDefault="00830F43" w:rsidP="00036346">
      <w:pPr>
        <w:spacing w:before="0" w:line="240" w:lineRule="auto"/>
        <w:ind w:firstLine="0"/>
        <w:rPr>
          <w:rFonts w:cs="Times New Roman"/>
          <w:noProof/>
          <w:szCs w:val="24"/>
        </w:rPr>
      </w:pPr>
      <w:r w:rsidRPr="00036346">
        <w:rPr>
          <w:rFonts w:cs="Times New Roman"/>
          <w:noProof/>
          <w:sz w:val="22"/>
        </w:rPr>
        <w:t>Figure 6</w:t>
      </w:r>
      <w:r w:rsidR="00036346" w:rsidRPr="00036346">
        <w:rPr>
          <w:rFonts w:cs="Times New Roman"/>
          <w:noProof/>
          <w:sz w:val="22"/>
        </w:rPr>
        <w:t xml:space="preserve">: </w:t>
      </w:r>
      <w:r w:rsidRPr="00036346">
        <w:rPr>
          <w:rFonts w:cs="Times New Roman"/>
          <w:noProof/>
          <w:sz w:val="22"/>
        </w:rPr>
        <w:t xml:space="preserve">Trade-off curve of RMS of traveltime residual and velocity perturbation for </w:t>
      </w:r>
      <w:r w:rsidRPr="00036346">
        <w:rPr>
          <w:rFonts w:cs="Times New Roman"/>
          <w:b/>
          <w:bCs/>
          <w:noProof/>
          <w:sz w:val="22"/>
        </w:rPr>
        <w:t>(a)</w:t>
      </w:r>
      <w:r w:rsidRPr="00036346">
        <w:rPr>
          <w:rFonts w:cs="Times New Roman"/>
          <w:noProof/>
          <w:sz w:val="22"/>
        </w:rPr>
        <w:t xml:space="preserve"> 0.25º, </w:t>
      </w:r>
      <w:r w:rsidRPr="00036346">
        <w:rPr>
          <w:rFonts w:cs="Times New Roman"/>
          <w:b/>
          <w:bCs/>
          <w:noProof/>
          <w:sz w:val="22"/>
        </w:rPr>
        <w:t>(b)</w:t>
      </w:r>
      <w:r w:rsidRPr="00036346">
        <w:rPr>
          <w:rFonts w:cs="Times New Roman"/>
          <w:noProof/>
          <w:sz w:val="22"/>
        </w:rPr>
        <w:t xml:space="preserve"> 0.5º, and </w:t>
      </w:r>
      <w:r w:rsidRPr="00036346">
        <w:rPr>
          <w:rFonts w:cs="Times New Roman"/>
          <w:b/>
          <w:bCs/>
          <w:noProof/>
          <w:sz w:val="22"/>
        </w:rPr>
        <w:t>(c)</w:t>
      </w:r>
      <w:r w:rsidRPr="00036346">
        <w:rPr>
          <w:rFonts w:cs="Times New Roman"/>
          <w:noProof/>
          <w:sz w:val="22"/>
        </w:rPr>
        <w:t xml:space="preserve"> 1.0º equilateral grid cells</w:t>
      </w:r>
      <w:r w:rsidRPr="00BF5AB8">
        <w:rPr>
          <w:rFonts w:cs="Times New Roman"/>
          <w:noProof/>
          <w:szCs w:val="24"/>
        </w:rPr>
        <w:t>.</w:t>
      </w:r>
    </w:p>
    <w:p w14:paraId="1CAA6FF9" w14:textId="77777777" w:rsidR="00830F43" w:rsidRDefault="00830F43" w:rsidP="00CB37FA">
      <w:pPr>
        <w:spacing w:before="0" w:line="360" w:lineRule="auto"/>
        <w:ind w:right="-22" w:firstLine="0"/>
        <w:rPr>
          <w:rFonts w:cs="Times New Roman"/>
          <w:szCs w:val="24"/>
        </w:rPr>
      </w:pPr>
    </w:p>
    <w:bookmarkEnd w:id="10"/>
    <w:bookmarkEnd w:id="11"/>
    <w:p w14:paraId="5E8CF751" w14:textId="7C14BF76" w:rsidR="005A2E8B" w:rsidRPr="004D4245" w:rsidRDefault="004E3181" w:rsidP="000A009B">
      <w:pPr>
        <w:pStyle w:val="Heading1"/>
      </w:pPr>
      <w:r w:rsidRPr="004D4245">
        <w:t>4</w:t>
      </w:r>
      <w:r w:rsidR="005A2E8B" w:rsidRPr="004D4245">
        <w:tab/>
      </w:r>
      <w:r w:rsidR="004F7674" w:rsidRPr="004D4245">
        <w:t>RESULTS</w:t>
      </w:r>
    </w:p>
    <w:p w14:paraId="14A0CAB1" w14:textId="4E42D49D" w:rsidR="009A655F" w:rsidRPr="004D4245" w:rsidRDefault="007457DD" w:rsidP="00E83D71">
      <w:pPr>
        <w:pStyle w:val="Heading2"/>
        <w:spacing w:before="0" w:after="0"/>
        <w:ind w:left="567" w:hanging="567"/>
        <w:rPr>
          <w:rFonts w:ascii="Times New Roman" w:hAnsi="Times New Roman" w:cs="Times New Roman"/>
          <w:szCs w:val="24"/>
        </w:rPr>
      </w:pPr>
      <w:r>
        <w:rPr>
          <w:rFonts w:ascii="Times New Roman" w:hAnsi="Times New Roman" w:cs="Times New Roman"/>
          <w:szCs w:val="24"/>
        </w:rPr>
        <w:t>4</w:t>
      </w:r>
      <w:r w:rsidR="009A655F" w:rsidRPr="004D4245">
        <w:rPr>
          <w:rFonts w:ascii="Times New Roman" w:hAnsi="Times New Roman" w:cs="Times New Roman"/>
          <w:szCs w:val="24"/>
        </w:rPr>
        <w:t>.</w:t>
      </w:r>
      <w:r w:rsidR="001A29BF">
        <w:rPr>
          <w:rFonts w:ascii="Times New Roman" w:hAnsi="Times New Roman" w:cs="Times New Roman"/>
          <w:szCs w:val="24"/>
        </w:rPr>
        <w:t>1</w:t>
      </w:r>
      <w:r w:rsidR="009A655F" w:rsidRPr="004D4245">
        <w:rPr>
          <w:rFonts w:ascii="Times New Roman" w:hAnsi="Times New Roman" w:cs="Times New Roman"/>
          <w:szCs w:val="24"/>
        </w:rPr>
        <w:tab/>
      </w:r>
      <w:r w:rsidR="009F79AC">
        <w:rPr>
          <w:rFonts w:ascii="Times New Roman" w:hAnsi="Times New Roman" w:cs="Times New Roman"/>
          <w:szCs w:val="24"/>
        </w:rPr>
        <w:t>Travel-time</w:t>
      </w:r>
      <w:r w:rsidR="001A29BF" w:rsidRPr="001A29BF">
        <w:rPr>
          <w:rFonts w:ascii="Times New Roman" w:hAnsi="Times New Roman" w:cs="Times New Roman"/>
          <w:szCs w:val="24"/>
        </w:rPr>
        <w:t xml:space="preserve"> Residual </w:t>
      </w:r>
      <w:r w:rsidR="006A79FD">
        <w:rPr>
          <w:rFonts w:ascii="Times New Roman" w:hAnsi="Times New Roman" w:cs="Times New Roman"/>
          <w:szCs w:val="24"/>
        </w:rPr>
        <w:t>Analysis</w:t>
      </w:r>
    </w:p>
    <w:p w14:paraId="68F70D13" w14:textId="2CA04B48" w:rsidR="009379E9" w:rsidRDefault="009F79AC" w:rsidP="00DC5774">
      <w:pPr>
        <w:spacing w:before="0" w:line="360" w:lineRule="auto"/>
        <w:ind w:right="-22" w:firstLine="426"/>
        <w:rPr>
          <w:rFonts w:cs="Times New Roman"/>
          <w:color w:val="000000"/>
          <w:lang w:val="en-GB"/>
        </w:rPr>
      </w:pPr>
      <w:r>
        <w:rPr>
          <w:szCs w:val="24"/>
        </w:rPr>
        <w:t>Travel-time</w:t>
      </w:r>
      <w:r w:rsidR="001A29BF" w:rsidRPr="004B13FE">
        <w:rPr>
          <w:szCs w:val="24"/>
        </w:rPr>
        <w:t xml:space="preserve"> residuals calculated in this study are compared with the results published by the ISC</w:t>
      </w:r>
      <w:r w:rsidR="001A29BF">
        <w:rPr>
          <w:szCs w:val="24"/>
        </w:rPr>
        <w:t xml:space="preserve"> (</w:t>
      </w:r>
      <w:r w:rsidR="005F22BD" w:rsidRPr="00F15F1F">
        <w:rPr>
          <w:rFonts w:cs="Times New Roman"/>
          <w:color w:val="000000"/>
          <w:lang w:val="en-GB"/>
        </w:rPr>
        <w:t>available</w:t>
      </w:r>
      <w:r w:rsidR="001A29BF" w:rsidRPr="00A24785">
        <w:rPr>
          <w:szCs w:val="24"/>
        </w:rPr>
        <w:t xml:space="preserve"> in </w:t>
      </w:r>
      <w:r w:rsidR="00D465C6">
        <w:rPr>
          <w:szCs w:val="24"/>
        </w:rPr>
        <w:t>supplementary</w:t>
      </w:r>
      <w:r w:rsidR="001A29BF" w:rsidRPr="00A24785">
        <w:rPr>
          <w:szCs w:val="24"/>
        </w:rPr>
        <w:t xml:space="preserve"> </w:t>
      </w:r>
      <w:r w:rsidR="00294319">
        <w:rPr>
          <w:szCs w:val="24"/>
        </w:rPr>
        <w:t>information).</w:t>
      </w:r>
      <w:r w:rsidR="00683638" w:rsidRPr="00683638">
        <w:rPr>
          <w:szCs w:val="24"/>
        </w:rPr>
        <w:t xml:space="preserve"> </w:t>
      </w:r>
      <w:r w:rsidR="00431395" w:rsidRPr="00431395">
        <w:rPr>
          <w:szCs w:val="24"/>
        </w:rPr>
        <w:t>Residuals for corresponding events and arrivals</w:t>
      </w:r>
      <w:r w:rsidR="00E60315" w:rsidRPr="00E60315">
        <w:rPr>
          <w:szCs w:val="24"/>
        </w:rPr>
        <w:t xml:space="preserve"> </w:t>
      </w:r>
      <w:r w:rsidR="00E60315">
        <w:rPr>
          <w:szCs w:val="24"/>
        </w:rPr>
        <w:t xml:space="preserve">calculated in this study </w:t>
      </w:r>
      <w:r w:rsidR="00E60315" w:rsidRPr="00F15F1F">
        <w:rPr>
          <w:rFonts w:cs="Times New Roman"/>
          <w:color w:val="000000"/>
          <w:lang w:val="en-GB"/>
        </w:rPr>
        <w:t xml:space="preserve">(RCAL) and those from </w:t>
      </w:r>
      <w:r w:rsidR="006F2989">
        <w:rPr>
          <w:rFonts w:cs="Times New Roman"/>
          <w:color w:val="000000"/>
          <w:lang w:val="en-GB"/>
        </w:rPr>
        <w:t xml:space="preserve">the </w:t>
      </w:r>
      <w:r w:rsidR="00E60315" w:rsidRPr="00F15F1F">
        <w:rPr>
          <w:rFonts w:cs="Times New Roman"/>
          <w:color w:val="000000"/>
          <w:lang w:val="en-GB"/>
        </w:rPr>
        <w:t>ISC (</w:t>
      </w:r>
      <w:r w:rsidR="00E60315" w:rsidRPr="00C925B9">
        <w:rPr>
          <w:szCs w:val="24"/>
        </w:rPr>
        <w:t>RISC</w:t>
      </w:r>
      <w:r w:rsidR="00E60315" w:rsidRPr="00F15F1F">
        <w:rPr>
          <w:rFonts w:cs="Times New Roman"/>
          <w:color w:val="000000"/>
          <w:lang w:val="en-GB"/>
        </w:rPr>
        <w:t>) are listed in columns 9 and 10, respectively</w:t>
      </w:r>
      <w:r w:rsidR="00E60315">
        <w:rPr>
          <w:rFonts w:cs="Times New Roman"/>
          <w:color w:val="000000"/>
          <w:lang w:val="en-GB"/>
        </w:rPr>
        <w:t>.</w:t>
      </w:r>
      <w:r w:rsidR="00E1265B">
        <w:rPr>
          <w:rFonts w:cs="Times New Roman"/>
          <w:color w:val="000000"/>
          <w:lang w:val="en-GB"/>
        </w:rPr>
        <w:t xml:space="preserve"> </w:t>
      </w:r>
      <w:r w:rsidR="006F2989">
        <w:rPr>
          <w:rFonts w:cs="Times New Roman"/>
          <w:color w:val="000000"/>
          <w:lang w:val="en-GB"/>
        </w:rPr>
        <w:t>A</w:t>
      </w:r>
      <w:proofErr w:type="spellStart"/>
      <w:r w:rsidR="00E1265B">
        <w:rPr>
          <w:szCs w:val="24"/>
        </w:rPr>
        <w:t>v</w:t>
      </w:r>
      <w:r w:rsidR="006F2989" w:rsidRPr="003017CF">
        <w:rPr>
          <w:szCs w:val="24"/>
        </w:rPr>
        <w:t>erage</w:t>
      </w:r>
      <w:proofErr w:type="spellEnd"/>
      <w:r w:rsidR="00531250" w:rsidRPr="003017CF">
        <w:rPr>
          <w:szCs w:val="24"/>
        </w:rPr>
        <w:t xml:space="preserve"> residual </w:t>
      </w:r>
      <w:r w:rsidR="00531250">
        <w:rPr>
          <w:szCs w:val="24"/>
        </w:rPr>
        <w:t>value</w:t>
      </w:r>
      <w:r w:rsidR="00531250" w:rsidRPr="003017CF">
        <w:rPr>
          <w:szCs w:val="24"/>
        </w:rPr>
        <w:t>s at four back-azimuthal</w:t>
      </w:r>
      <w:r w:rsidR="00531250">
        <w:rPr>
          <w:szCs w:val="24"/>
        </w:rPr>
        <w:t xml:space="preserve"> </w:t>
      </w:r>
      <w:r w:rsidR="00531250" w:rsidRPr="003017CF">
        <w:rPr>
          <w:szCs w:val="24"/>
        </w:rPr>
        <w:t>directions (NE, SE, SW and NW)</w:t>
      </w:r>
      <w:r w:rsidR="00531250">
        <w:rPr>
          <w:szCs w:val="24"/>
        </w:rPr>
        <w:t xml:space="preserve"> from each station is also </w:t>
      </w:r>
      <w:r w:rsidR="00531250" w:rsidRPr="00531250">
        <w:rPr>
          <w:szCs w:val="24"/>
        </w:rPr>
        <w:t xml:space="preserve">available in </w:t>
      </w:r>
      <w:r w:rsidR="004E0931">
        <w:rPr>
          <w:szCs w:val="24"/>
        </w:rPr>
        <w:t xml:space="preserve">the </w:t>
      </w:r>
      <w:r w:rsidR="00D465C6">
        <w:rPr>
          <w:szCs w:val="24"/>
        </w:rPr>
        <w:t>supplementary</w:t>
      </w:r>
      <w:r w:rsidR="00531250" w:rsidRPr="00531250">
        <w:rPr>
          <w:szCs w:val="24"/>
        </w:rPr>
        <w:t xml:space="preserve"> information</w:t>
      </w:r>
      <w:r w:rsidR="006A632F">
        <w:rPr>
          <w:szCs w:val="24"/>
        </w:rPr>
        <w:t xml:space="preserve">. </w:t>
      </w:r>
      <w:r w:rsidR="009379E9" w:rsidRPr="00F15F1F">
        <w:rPr>
          <w:rFonts w:cs="Times New Roman"/>
          <w:color w:val="000000"/>
          <w:lang w:val="en-GB"/>
        </w:rPr>
        <w:t>The comparison</w:t>
      </w:r>
      <w:r w:rsidR="00225ABC">
        <w:rPr>
          <w:rFonts w:cs="Times New Roman"/>
          <w:color w:val="000000"/>
          <w:lang w:val="en-GB"/>
        </w:rPr>
        <w:t xml:space="preserve"> </w:t>
      </w:r>
      <w:r w:rsidR="009379E9" w:rsidRPr="00F15F1F">
        <w:rPr>
          <w:rFonts w:cs="Times New Roman"/>
          <w:color w:val="000000"/>
          <w:lang w:val="en-GB"/>
        </w:rPr>
        <w:t xml:space="preserve">reveals a strong correlation between the </w:t>
      </w:r>
      <w:r w:rsidR="00F92E4B">
        <w:rPr>
          <w:rFonts w:cs="Times New Roman"/>
          <w:color w:val="000000"/>
          <w:lang w:val="en-GB"/>
        </w:rPr>
        <w:t>a</w:t>
      </w:r>
      <w:r w:rsidR="00F92E4B" w:rsidRPr="00F92E4B">
        <w:rPr>
          <w:rFonts w:cs="Times New Roman"/>
          <w:color w:val="000000"/>
          <w:lang w:val="en-GB"/>
        </w:rPr>
        <w:t>verage residual values</w:t>
      </w:r>
      <w:r w:rsidR="009379E9" w:rsidRPr="00F15F1F">
        <w:rPr>
          <w:rFonts w:cs="Times New Roman"/>
          <w:color w:val="000000"/>
          <w:lang w:val="en-GB"/>
        </w:rPr>
        <w:t xml:space="preserve"> computed in this study (</w:t>
      </w:r>
      <w:r w:rsidR="00F92E4B" w:rsidRPr="00F92E4B">
        <w:rPr>
          <w:rFonts w:cs="Times New Roman"/>
          <w:color w:val="000000"/>
          <w:lang w:val="en-GB"/>
        </w:rPr>
        <w:t>AVRC</w:t>
      </w:r>
      <w:r w:rsidR="009379E9" w:rsidRPr="00F15F1F">
        <w:rPr>
          <w:rFonts w:cs="Times New Roman"/>
          <w:color w:val="000000"/>
          <w:lang w:val="en-GB"/>
        </w:rPr>
        <w:t xml:space="preserve">) and those from </w:t>
      </w:r>
      <w:r w:rsidR="00F92E4B">
        <w:rPr>
          <w:rFonts w:cs="Times New Roman"/>
          <w:color w:val="000000"/>
          <w:lang w:val="en-GB"/>
        </w:rPr>
        <w:t xml:space="preserve">the </w:t>
      </w:r>
      <w:r w:rsidR="009379E9" w:rsidRPr="00F15F1F">
        <w:rPr>
          <w:rFonts w:cs="Times New Roman"/>
          <w:color w:val="000000"/>
          <w:lang w:val="en-GB"/>
        </w:rPr>
        <w:t>ISC (</w:t>
      </w:r>
      <w:r w:rsidR="00F92E4B" w:rsidRPr="00F92E4B">
        <w:rPr>
          <w:rFonts w:cs="Times New Roman"/>
          <w:color w:val="000000"/>
          <w:lang w:val="en-GB"/>
        </w:rPr>
        <w:t>AVRI</w:t>
      </w:r>
      <w:r w:rsidR="009379E9" w:rsidRPr="00F15F1F">
        <w:rPr>
          <w:rFonts w:cs="Times New Roman"/>
          <w:color w:val="000000"/>
          <w:lang w:val="en-GB"/>
        </w:rPr>
        <w:t>)</w:t>
      </w:r>
      <w:r w:rsidR="006A632F">
        <w:rPr>
          <w:rFonts w:cs="Times New Roman"/>
          <w:color w:val="000000"/>
          <w:lang w:val="en-GB"/>
        </w:rPr>
        <w:t xml:space="preserve">, </w:t>
      </w:r>
      <w:r w:rsidR="009379E9" w:rsidRPr="00F15F1F">
        <w:rPr>
          <w:rFonts w:cs="Times New Roman"/>
          <w:color w:val="000000"/>
          <w:lang w:val="en-GB"/>
        </w:rPr>
        <w:t>underscor</w:t>
      </w:r>
      <w:r w:rsidR="006A632F">
        <w:rPr>
          <w:rFonts w:cs="Times New Roman"/>
          <w:color w:val="000000"/>
          <w:lang w:val="en-GB"/>
        </w:rPr>
        <w:t>ing</w:t>
      </w:r>
      <w:r w:rsidR="009379E9" w:rsidRPr="00F15F1F">
        <w:rPr>
          <w:rFonts w:cs="Times New Roman"/>
          <w:color w:val="000000"/>
          <w:lang w:val="en-GB"/>
        </w:rPr>
        <w:t xml:space="preserve"> the reliability of the travel-time residual estimation process</w:t>
      </w:r>
      <w:r w:rsidR="006A632F">
        <w:rPr>
          <w:rFonts w:cs="Times New Roman"/>
          <w:color w:val="000000"/>
          <w:lang w:val="en-GB"/>
        </w:rPr>
        <w:t>.</w:t>
      </w:r>
      <w:r w:rsidR="004E0931">
        <w:rPr>
          <w:rFonts w:cs="Times New Roman"/>
          <w:color w:val="000000"/>
          <w:lang w:val="en-GB"/>
        </w:rPr>
        <w:t xml:space="preserve"> </w:t>
      </w:r>
      <w:r w:rsidR="005D2400">
        <w:rPr>
          <w:rFonts w:cs="Times New Roman"/>
          <w:color w:val="000000"/>
          <w:lang w:val="en-GB"/>
        </w:rPr>
        <w:t xml:space="preserve">This provides </w:t>
      </w:r>
      <w:r w:rsidR="009379E9" w:rsidRPr="00F15F1F">
        <w:rPr>
          <w:rFonts w:cs="Times New Roman"/>
          <w:color w:val="000000"/>
          <w:lang w:val="en-GB"/>
        </w:rPr>
        <w:t>a robust foundation for subsequent tomographic analysis</w:t>
      </w:r>
      <w:r w:rsidR="005D2400">
        <w:rPr>
          <w:rFonts w:cs="Times New Roman"/>
          <w:color w:val="000000"/>
          <w:lang w:val="en-GB"/>
        </w:rPr>
        <w:t>.</w:t>
      </w:r>
    </w:p>
    <w:p w14:paraId="420DD035" w14:textId="521F5DE3" w:rsidR="00403FFB" w:rsidRPr="00F15F1F" w:rsidRDefault="00403FFB" w:rsidP="00403FFB">
      <w:pPr>
        <w:pStyle w:val="Heading2"/>
        <w:ind w:left="567" w:hanging="567"/>
      </w:pPr>
      <w:r>
        <w:lastRenderedPageBreak/>
        <w:t>4.2</w:t>
      </w:r>
      <w:r w:rsidRPr="00F15F1F">
        <w:tab/>
      </w:r>
      <w:r>
        <w:t>Analysis of Resolution</w:t>
      </w:r>
    </w:p>
    <w:p w14:paraId="4A516DF6" w14:textId="110F5765" w:rsidR="00A3347D" w:rsidRDefault="006472DE" w:rsidP="00067022">
      <w:pPr>
        <w:spacing w:before="0" w:line="360" w:lineRule="auto"/>
        <w:ind w:firstLine="426"/>
        <w:rPr>
          <w:rFonts w:cs="Times New Roman"/>
          <w:color w:val="000000"/>
          <w:lang w:val="en-GB"/>
        </w:rPr>
      </w:pPr>
      <w:r>
        <w:rPr>
          <w:rFonts w:cs="Times New Roman"/>
          <w:color w:val="000000"/>
        </w:rPr>
        <w:t>T</w:t>
      </w:r>
      <w:r w:rsidRPr="006472DE">
        <w:rPr>
          <w:rFonts w:cs="Times New Roman"/>
          <w:color w:val="000000"/>
        </w:rPr>
        <w:t>o assess the resolution limits of the dataset and the efficacy of the inversion process, we conducted two synthetic tests</w:t>
      </w:r>
      <w:r w:rsidR="009555F1" w:rsidRPr="00B3076C">
        <w:rPr>
          <w:rFonts w:cs="Times New Roman"/>
          <w:szCs w:val="24"/>
        </w:rPr>
        <w:t>—</w:t>
      </w:r>
      <w:r w:rsidRPr="006472DE">
        <w:rPr>
          <w:rFonts w:cs="Times New Roman"/>
          <w:color w:val="000000"/>
        </w:rPr>
        <w:t>the Checkerboard Resolution Test (CRT) and the Structural Reconstruction Test (SRT).</w:t>
      </w:r>
      <w:r w:rsidR="00403FFB">
        <w:rPr>
          <w:rFonts w:cs="Times New Roman"/>
          <w:szCs w:val="24"/>
        </w:rPr>
        <w:t xml:space="preserve"> </w:t>
      </w:r>
      <w:r w:rsidR="00C5616B" w:rsidRPr="00F15F1F">
        <w:rPr>
          <w:rFonts w:cs="Times New Roman"/>
          <w:color w:val="000000"/>
        </w:rPr>
        <w:t xml:space="preserve">In both tests, random </w:t>
      </w:r>
      <w:r w:rsidR="009555F1">
        <w:rPr>
          <w:rFonts w:cs="Times New Roman"/>
          <w:color w:val="000000"/>
        </w:rPr>
        <w:t>noise</w:t>
      </w:r>
      <w:r w:rsidR="00C5616B" w:rsidRPr="00F15F1F">
        <w:rPr>
          <w:rFonts w:cs="Times New Roman"/>
          <w:color w:val="000000"/>
        </w:rPr>
        <w:t xml:space="preserve"> with a standard deviation of 0.</w:t>
      </w:r>
      <w:r w:rsidR="00C5616B">
        <w:rPr>
          <w:rFonts w:cs="Times New Roman"/>
          <w:color w:val="000000"/>
        </w:rPr>
        <w:t>1</w:t>
      </w:r>
      <w:r w:rsidR="00C5616B" w:rsidRPr="00F15F1F">
        <w:rPr>
          <w:rFonts w:cs="Times New Roman"/>
          <w:color w:val="000000"/>
        </w:rPr>
        <w:t xml:space="preserve"> seconds </w:t>
      </w:r>
      <w:r w:rsidR="007C11FC">
        <w:rPr>
          <w:rFonts w:cs="Times New Roman"/>
          <w:color w:val="000000"/>
        </w:rPr>
        <w:t>is</w:t>
      </w:r>
      <w:r w:rsidR="00C5616B" w:rsidRPr="00F15F1F">
        <w:rPr>
          <w:rFonts w:cs="Times New Roman"/>
          <w:color w:val="000000"/>
        </w:rPr>
        <w:t xml:space="preserve"> added to </w:t>
      </w:r>
      <w:r w:rsidR="009555F1">
        <w:rPr>
          <w:rFonts w:cs="Times New Roman"/>
          <w:color w:val="000000"/>
        </w:rPr>
        <w:t xml:space="preserve">the </w:t>
      </w:r>
      <w:r w:rsidR="00C5616B" w:rsidRPr="00F15F1F">
        <w:rPr>
          <w:rFonts w:cs="Times New Roman"/>
          <w:color w:val="000000"/>
        </w:rPr>
        <w:t>synthetic data to simulate observational uncertainties.</w:t>
      </w:r>
    </w:p>
    <w:p w14:paraId="5AC4CCCD" w14:textId="641DC273" w:rsidR="00A3347D" w:rsidRPr="00F15F1F" w:rsidRDefault="00A3347D" w:rsidP="00A3347D">
      <w:pPr>
        <w:pStyle w:val="Heading3"/>
        <w:spacing w:after="0"/>
      </w:pPr>
      <w:r>
        <w:t>4</w:t>
      </w:r>
      <w:r w:rsidRPr="00F15F1F">
        <w:t>.2.1</w:t>
      </w:r>
      <w:r w:rsidRPr="00F15F1F">
        <w:tab/>
      </w:r>
      <w:r w:rsidR="00701455" w:rsidRPr="00701455">
        <w:t>Checkerboard Resolution Test (CRT)</w:t>
      </w:r>
    </w:p>
    <w:p w14:paraId="3F369873" w14:textId="15794D84" w:rsidR="002C5EE9" w:rsidRDefault="00DF077C" w:rsidP="00A3347D">
      <w:pPr>
        <w:spacing w:before="0" w:line="360" w:lineRule="auto"/>
        <w:ind w:firstLine="426"/>
        <w:rPr>
          <w:rFonts w:cs="Times New Roman"/>
          <w:color w:val="000000" w:themeColor="text1"/>
          <w:szCs w:val="24"/>
        </w:rPr>
      </w:pPr>
      <w:r>
        <w:rPr>
          <w:rFonts w:cs="Times New Roman"/>
          <w:color w:val="000000"/>
        </w:rPr>
        <w:t>We used t</w:t>
      </w:r>
      <w:r w:rsidR="00403FFB" w:rsidRPr="00F15F1F">
        <w:rPr>
          <w:rFonts w:cs="Times New Roman"/>
          <w:color w:val="000000"/>
        </w:rPr>
        <w:t xml:space="preserve">he CRT </w:t>
      </w:r>
      <w:r w:rsidR="003661ED" w:rsidRPr="003661ED">
        <w:rPr>
          <w:rFonts w:cs="Times New Roman"/>
          <w:color w:val="000000"/>
        </w:rPr>
        <w:t>(</w:t>
      </w:r>
      <w:r w:rsidR="003661ED" w:rsidRPr="003661ED">
        <w:rPr>
          <w:rFonts w:cs="Times New Roman"/>
          <w:color w:val="0000FF"/>
        </w:rPr>
        <w:t xml:space="preserve">Lévěque </w:t>
      </w:r>
      <w:r w:rsidR="003661ED" w:rsidRPr="003661ED">
        <w:rPr>
          <w:rFonts w:cs="Times New Roman"/>
          <w:i/>
          <w:iCs/>
          <w:color w:val="0000FF"/>
        </w:rPr>
        <w:t>et al.,</w:t>
      </w:r>
      <w:r w:rsidR="003661ED" w:rsidRPr="003661ED">
        <w:rPr>
          <w:rFonts w:cs="Times New Roman"/>
          <w:color w:val="0000FF"/>
        </w:rPr>
        <w:t xml:space="preserve"> 1993</w:t>
      </w:r>
      <w:r w:rsidR="003661ED" w:rsidRPr="003661ED">
        <w:rPr>
          <w:rFonts w:cs="Times New Roman"/>
          <w:color w:val="000000"/>
        </w:rPr>
        <w:t>)</w:t>
      </w:r>
      <w:r w:rsidR="00403FFB" w:rsidRPr="00F15F1F">
        <w:rPr>
          <w:rFonts w:cs="Times New Roman"/>
          <w:color w:val="000000"/>
          <w:lang w:val="en-GB"/>
        </w:rPr>
        <w:t xml:space="preserve"> </w:t>
      </w:r>
      <w:r>
        <w:rPr>
          <w:rFonts w:cs="Times New Roman"/>
          <w:color w:val="000000"/>
        </w:rPr>
        <w:t>with</w:t>
      </w:r>
      <w:r w:rsidR="00403FFB" w:rsidRPr="00291B76">
        <w:rPr>
          <w:rFonts w:cs="Times New Roman"/>
          <w:color w:val="000000"/>
        </w:rPr>
        <w:t xml:space="preserve"> alternating </w:t>
      </w:r>
      <w:r w:rsidR="00E24E4A" w:rsidRPr="00F15F1F">
        <w:rPr>
          <w:rFonts w:cs="Times New Roman"/>
          <w:color w:val="000000"/>
        </w:rPr>
        <w:t>slowness anomalies</w:t>
      </w:r>
      <w:r w:rsidR="00E24E4A">
        <w:rPr>
          <w:rFonts w:cs="Times New Roman"/>
          <w:color w:val="000000"/>
        </w:rPr>
        <w:t xml:space="preserve"> (</w:t>
      </w:r>
      <w:r w:rsidR="00403FFB" w:rsidRPr="00291B76">
        <w:rPr>
          <w:rFonts w:cs="Times New Roman"/>
          <w:color w:val="000000"/>
        </w:rPr>
        <w:t>±3%</w:t>
      </w:r>
      <w:r w:rsidR="008A1B12">
        <w:rPr>
          <w:rFonts w:cs="Times New Roman"/>
          <w:color w:val="000000"/>
        </w:rPr>
        <w:t>)</w:t>
      </w:r>
      <w:r w:rsidR="009811BF">
        <w:rPr>
          <w:rFonts w:cs="Times New Roman"/>
          <w:color w:val="000000"/>
        </w:rPr>
        <w:t xml:space="preserve"> </w:t>
      </w:r>
      <w:r w:rsidR="00403FFB" w:rsidRPr="00291B76">
        <w:rPr>
          <w:rFonts w:cs="Times New Roman"/>
          <w:color w:val="000000"/>
        </w:rPr>
        <w:t>to assess ray coverage adequacy and quantify horizontal smearing and vertical leakage</w:t>
      </w:r>
      <w:r w:rsidR="00403FFB">
        <w:rPr>
          <w:rFonts w:cs="Times New Roman"/>
          <w:color w:val="000000"/>
        </w:rPr>
        <w:t xml:space="preserve">. </w:t>
      </w:r>
      <w:r w:rsidR="00AD046B">
        <w:rPr>
          <w:rFonts w:cs="Times New Roman"/>
          <w:color w:val="000000"/>
        </w:rPr>
        <w:t>T</w:t>
      </w:r>
      <w:r w:rsidR="00126B05">
        <w:rPr>
          <w:rFonts w:cs="Times New Roman"/>
          <w:color w:val="000000"/>
        </w:rPr>
        <w:t xml:space="preserve">he </w:t>
      </w:r>
      <w:r w:rsidR="00E50B96">
        <w:rPr>
          <w:rFonts w:cs="Times New Roman"/>
          <w:color w:val="000000"/>
        </w:rPr>
        <w:t xml:space="preserve">three </w:t>
      </w:r>
      <w:r w:rsidR="005D77C8" w:rsidRPr="005D77C8">
        <w:rPr>
          <w:rFonts w:cs="Times New Roman"/>
          <w:color w:val="000000"/>
          <w:lang w:val="en-GB"/>
        </w:rPr>
        <w:t>grid cell sizes</w:t>
      </w:r>
      <w:r w:rsidR="00FD0725">
        <w:rPr>
          <w:rFonts w:cs="Times New Roman"/>
          <w:color w:val="000000"/>
          <w:lang w:val="en-GB"/>
        </w:rPr>
        <w:t xml:space="preserve"> </w:t>
      </w:r>
      <w:r w:rsidR="00FD0725">
        <w:rPr>
          <w:rFonts w:cs="Times New Roman"/>
          <w:color w:val="000000"/>
        </w:rPr>
        <w:t xml:space="preserve">(Fig. </w:t>
      </w:r>
      <w:r w:rsidR="004459EA">
        <w:rPr>
          <w:rFonts w:cs="Times New Roman"/>
          <w:color w:val="0000FF"/>
        </w:rPr>
        <w:t>7</w:t>
      </w:r>
      <w:r w:rsidR="00FD0725">
        <w:rPr>
          <w:rFonts w:cs="Times New Roman"/>
          <w:color w:val="000000"/>
        </w:rPr>
        <w:t>)</w:t>
      </w:r>
      <w:r w:rsidR="00FD0725" w:rsidRPr="00FD0725">
        <w:rPr>
          <w:rFonts w:cs="Times New Roman"/>
          <w:color w:val="000000"/>
        </w:rPr>
        <w:t xml:space="preserve"> </w:t>
      </w:r>
      <w:r w:rsidR="00FD0725" w:rsidRPr="00F15F1F">
        <w:rPr>
          <w:rFonts w:cs="Times New Roman"/>
          <w:color w:val="000000"/>
        </w:rPr>
        <w:t>are tested across six depth layers (5–70 km)</w:t>
      </w:r>
      <w:r w:rsidR="008261EB">
        <w:rPr>
          <w:rFonts w:cs="Times New Roman"/>
          <w:color w:val="000000"/>
        </w:rPr>
        <w:t>.</w:t>
      </w:r>
      <w:r w:rsidR="00426A67">
        <w:rPr>
          <w:rFonts w:cs="Times New Roman"/>
          <w:color w:val="000000"/>
        </w:rPr>
        <w:t xml:space="preserve"> </w:t>
      </w:r>
      <w:r w:rsidR="00D36D2F">
        <w:rPr>
          <w:rFonts w:cs="Times New Roman"/>
          <w:color w:val="000000"/>
        </w:rPr>
        <w:t>A</w:t>
      </w:r>
      <w:r w:rsidR="009B2579" w:rsidRPr="009B2579">
        <w:rPr>
          <w:rFonts w:cs="Times New Roman"/>
          <w:color w:val="000000"/>
        </w:rPr>
        <w:t xml:space="preserve">t shallow depths (5-20 km), the 0.25° </w:t>
      </w:r>
      <w:r w:rsidR="00BC58AD" w:rsidRPr="008C57FC">
        <w:rPr>
          <w:rFonts w:cs="Times New Roman"/>
          <w:color w:val="000000"/>
          <w:lang w:val="en-GB"/>
        </w:rPr>
        <w:t xml:space="preserve">grid </w:t>
      </w:r>
      <w:r w:rsidR="00FE1B79">
        <w:rPr>
          <w:rFonts w:cs="Times New Roman"/>
          <w:color w:val="000000"/>
          <w:lang w:val="en-GB"/>
        </w:rPr>
        <w:t>provided</w:t>
      </w:r>
      <w:r w:rsidR="00353EBF" w:rsidRPr="009B2579">
        <w:rPr>
          <w:rFonts w:cs="Times New Roman"/>
          <w:color w:val="000000"/>
        </w:rPr>
        <w:t xml:space="preserve"> </w:t>
      </w:r>
      <w:r w:rsidR="00FE1B79" w:rsidRPr="00FE1B79">
        <w:rPr>
          <w:rFonts w:cs="Times New Roman"/>
          <w:color w:val="000000"/>
        </w:rPr>
        <w:t>minimal smearing between adjacent cells, though its resolution diminished in the southern Red Sea region</w:t>
      </w:r>
      <w:r w:rsidR="00974B20">
        <w:rPr>
          <w:rFonts w:cs="Times New Roman"/>
          <w:color w:val="000000"/>
        </w:rPr>
        <w:t xml:space="preserve"> (Fig. </w:t>
      </w:r>
      <w:r w:rsidR="00974B20" w:rsidRPr="00974B20">
        <w:rPr>
          <w:rFonts w:cs="Times New Roman"/>
          <w:color w:val="0000FF"/>
        </w:rPr>
        <w:t>8</w:t>
      </w:r>
      <w:r w:rsidR="00974B20">
        <w:rPr>
          <w:rFonts w:cs="Times New Roman"/>
          <w:color w:val="000000"/>
        </w:rPr>
        <w:t>)</w:t>
      </w:r>
      <w:r w:rsidR="001361C6">
        <w:rPr>
          <w:rFonts w:cs="Times New Roman"/>
          <w:color w:val="000000"/>
        </w:rPr>
        <w:t>.</w:t>
      </w:r>
      <w:r w:rsidR="00BD5C22">
        <w:rPr>
          <w:rFonts w:cs="Times New Roman"/>
          <w:color w:val="000000"/>
        </w:rPr>
        <w:t xml:space="preserve"> </w:t>
      </w:r>
      <w:r w:rsidR="00FE1B79" w:rsidRPr="00FE1B79">
        <w:rPr>
          <w:rFonts w:cs="Times New Roman"/>
          <w:color w:val="000000"/>
        </w:rPr>
        <w:t>In contrast, the 0.5° and 1.0° grids yielded progressively smoother anomaly patterns, with the coarsest grid effectively capturing large-scale tectonic features.</w:t>
      </w:r>
      <w:r w:rsidR="001E2DBD">
        <w:rPr>
          <w:rFonts w:cs="Times New Roman"/>
          <w:color w:val="000000"/>
        </w:rPr>
        <w:t xml:space="preserve"> </w:t>
      </w:r>
      <w:r w:rsidR="00974B20">
        <w:rPr>
          <w:rFonts w:cs="Times New Roman"/>
          <w:color w:val="000000"/>
        </w:rPr>
        <w:t xml:space="preserve">Figure </w:t>
      </w:r>
      <w:r w:rsidR="00974B20" w:rsidRPr="003758D9">
        <w:rPr>
          <w:rFonts w:cs="Times New Roman"/>
          <w:color w:val="0000FF"/>
        </w:rPr>
        <w:t>8</w:t>
      </w:r>
      <w:r w:rsidR="00974B20">
        <w:rPr>
          <w:rFonts w:cs="Times New Roman"/>
          <w:color w:val="000000"/>
        </w:rPr>
        <w:t xml:space="preserve"> also shows that a</w:t>
      </w:r>
      <w:r w:rsidR="001E2DBD" w:rsidRPr="001E2DBD">
        <w:rPr>
          <w:rFonts w:cs="Times New Roman"/>
          <w:color w:val="000000"/>
        </w:rPr>
        <w:t xml:space="preserve">t greater depths (35–70 km), </w:t>
      </w:r>
      <w:r w:rsidR="00AE365C" w:rsidRPr="00AE365C">
        <w:rPr>
          <w:rFonts w:cs="Times New Roman"/>
          <w:color w:val="000000"/>
        </w:rPr>
        <w:t>coarser</w:t>
      </w:r>
      <w:r w:rsidR="001E2DBD" w:rsidRPr="001E2DBD">
        <w:rPr>
          <w:rFonts w:cs="Times New Roman"/>
          <w:color w:val="000000"/>
        </w:rPr>
        <w:t xml:space="preserve"> grids attempted to resolve intricate structures that became increasingly blurred in </w:t>
      </w:r>
      <w:r w:rsidR="00AE365C">
        <w:rPr>
          <w:rFonts w:cs="Times New Roman"/>
          <w:color w:val="000000"/>
        </w:rPr>
        <w:t>finer</w:t>
      </w:r>
      <w:r w:rsidR="001E2DBD" w:rsidRPr="001E2DBD">
        <w:rPr>
          <w:rFonts w:cs="Times New Roman"/>
          <w:color w:val="000000"/>
        </w:rPr>
        <w:t xml:space="preserve"> models. Vertical cross-sections </w:t>
      </w:r>
      <w:r w:rsidR="00F849E4" w:rsidRPr="001A50A7">
        <w:rPr>
          <w:rFonts w:cs="Times New Roman"/>
          <w:color w:val="000000"/>
        </w:rPr>
        <w:t xml:space="preserve">(Figs. </w:t>
      </w:r>
      <w:r w:rsidR="003758D9">
        <w:rPr>
          <w:rFonts w:cs="Times New Roman"/>
          <w:color w:val="0000FF"/>
        </w:rPr>
        <w:t>9</w:t>
      </w:r>
      <w:r w:rsidR="00F849E4" w:rsidRPr="001A50A7">
        <w:rPr>
          <w:rFonts w:cs="Times New Roman"/>
          <w:color w:val="000000"/>
        </w:rPr>
        <w:t xml:space="preserve"> and </w:t>
      </w:r>
      <w:r w:rsidR="003758D9">
        <w:rPr>
          <w:rFonts w:cs="Times New Roman"/>
          <w:color w:val="0000FF"/>
        </w:rPr>
        <w:t>10</w:t>
      </w:r>
      <w:r w:rsidR="00F849E4" w:rsidRPr="001A50A7">
        <w:rPr>
          <w:rFonts w:cs="Times New Roman"/>
          <w:color w:val="000000"/>
        </w:rPr>
        <w:t xml:space="preserve">) </w:t>
      </w:r>
      <w:r w:rsidR="001E2DBD" w:rsidRPr="001E2DBD">
        <w:rPr>
          <w:rFonts w:cs="Times New Roman"/>
          <w:color w:val="000000"/>
        </w:rPr>
        <w:t>revealed that, while overall leakage was minimal, the 0.25° grid tended to amplify leakage in layers deeper than 35 km, whereas the larger grid sizes mitigated leakage at the expense of finer vertical detail.</w:t>
      </w:r>
      <w:r w:rsidR="00A3347D" w:rsidRPr="001A50A7">
        <w:rPr>
          <w:rFonts w:cs="Times New Roman"/>
          <w:color w:val="000000" w:themeColor="text1"/>
          <w:szCs w:val="24"/>
        </w:rPr>
        <w:t xml:space="preserve"> </w:t>
      </w:r>
    </w:p>
    <w:p w14:paraId="3D7727DA" w14:textId="77777777" w:rsidR="00A2174E" w:rsidRDefault="00A2174E" w:rsidP="00521C96">
      <w:pPr>
        <w:spacing w:before="0" w:line="360" w:lineRule="auto"/>
        <w:ind w:firstLine="0"/>
        <w:rPr>
          <w:rFonts w:cs="Times New Roman"/>
          <w:color w:val="000000" w:themeColor="text1"/>
          <w:szCs w:val="24"/>
        </w:rPr>
      </w:pPr>
    </w:p>
    <w:p w14:paraId="40CFA2D8" w14:textId="77777777" w:rsidR="00A2174E" w:rsidRDefault="00A2174E" w:rsidP="00A2174E">
      <w:pPr>
        <w:spacing w:before="0" w:line="240" w:lineRule="auto"/>
        <w:ind w:left="1134" w:hanging="1134"/>
        <w:rPr>
          <w:rFonts w:cs="Times New Roman"/>
          <w:sz w:val="22"/>
        </w:rPr>
      </w:pPr>
      <w:r>
        <w:rPr>
          <w:noProof/>
        </w:rPr>
        <w:drawing>
          <wp:inline distT="0" distB="0" distL="0" distR="0" wp14:anchorId="09796E90" wp14:editId="12932F55">
            <wp:extent cx="6227445" cy="2552065"/>
            <wp:effectExtent l="0" t="0" r="1905" b="635"/>
            <wp:docPr id="12076517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27445" cy="2552065"/>
                    </a:xfrm>
                    <a:prstGeom prst="rect">
                      <a:avLst/>
                    </a:prstGeom>
                    <a:noFill/>
                    <a:ln>
                      <a:noFill/>
                    </a:ln>
                  </pic:spPr>
                </pic:pic>
              </a:graphicData>
            </a:graphic>
          </wp:inline>
        </w:drawing>
      </w:r>
    </w:p>
    <w:p w14:paraId="78A71E4B" w14:textId="77777777" w:rsidR="00A2174E" w:rsidRPr="00274EA4" w:rsidRDefault="00A2174E" w:rsidP="00A2174E">
      <w:pPr>
        <w:spacing w:before="0" w:line="240" w:lineRule="auto"/>
        <w:ind w:left="1134" w:hanging="1134"/>
        <w:rPr>
          <w:rFonts w:cs="Times New Roman"/>
          <w:sz w:val="22"/>
        </w:rPr>
      </w:pPr>
    </w:p>
    <w:p w14:paraId="3E421DAE" w14:textId="17DD3B1D" w:rsidR="00A2174E" w:rsidRPr="00036346" w:rsidRDefault="00A2174E" w:rsidP="00036346">
      <w:pPr>
        <w:spacing w:before="0" w:line="240" w:lineRule="auto"/>
        <w:ind w:firstLine="0"/>
        <w:rPr>
          <w:sz w:val="22"/>
        </w:rPr>
      </w:pPr>
      <w:r w:rsidRPr="00036346">
        <w:rPr>
          <w:rFonts w:cs="Times New Roman"/>
          <w:sz w:val="22"/>
        </w:rPr>
        <w:t xml:space="preserve">Figure </w:t>
      </w:r>
      <w:r w:rsidR="00521C96" w:rsidRPr="00036346">
        <w:rPr>
          <w:rFonts w:cs="Times New Roman"/>
          <w:sz w:val="22"/>
        </w:rPr>
        <w:t>7</w:t>
      </w:r>
      <w:r w:rsidR="00036346" w:rsidRPr="00036346">
        <w:rPr>
          <w:rFonts w:cs="Times New Roman"/>
          <w:sz w:val="22"/>
        </w:rPr>
        <w:t xml:space="preserve">: </w:t>
      </w:r>
      <w:r w:rsidRPr="00036346">
        <w:rPr>
          <w:rFonts w:cs="Times New Roman"/>
          <w:sz w:val="22"/>
        </w:rPr>
        <w:t xml:space="preserve">Checkerboard Resolution Test input </w:t>
      </w:r>
      <w:r w:rsidRPr="00036346">
        <w:rPr>
          <w:sz w:val="22"/>
        </w:rPr>
        <w:t>for (a) 0.25º, (b) 0.5º, and (c) 1.0º equilateral grid cells.</w:t>
      </w:r>
    </w:p>
    <w:p w14:paraId="748F8434" w14:textId="77777777" w:rsidR="00A2174E" w:rsidRDefault="00A2174E" w:rsidP="00A3347D">
      <w:pPr>
        <w:spacing w:before="0" w:line="360" w:lineRule="auto"/>
        <w:ind w:firstLine="426"/>
        <w:rPr>
          <w:rFonts w:cs="Times New Roman"/>
          <w:color w:val="000000" w:themeColor="text1"/>
          <w:szCs w:val="24"/>
        </w:rPr>
      </w:pPr>
    </w:p>
    <w:p w14:paraId="4FA8F12F" w14:textId="77777777" w:rsidR="004459EA" w:rsidRDefault="004459EA" w:rsidP="004459EA">
      <w:pPr>
        <w:tabs>
          <w:tab w:val="left" w:pos="284"/>
        </w:tabs>
        <w:spacing w:line="240" w:lineRule="auto"/>
        <w:ind w:firstLine="0"/>
      </w:pPr>
      <w:r>
        <w:rPr>
          <w:noProof/>
        </w:rPr>
        <w:lastRenderedPageBreak/>
        <w:drawing>
          <wp:inline distT="0" distB="0" distL="0" distR="0" wp14:anchorId="17E7DB17" wp14:editId="7F4ADAA6">
            <wp:extent cx="6055102" cy="7322344"/>
            <wp:effectExtent l="0" t="0" r="3175" b="0"/>
            <wp:docPr id="1587169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69157"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058479" cy="7326428"/>
                    </a:xfrm>
                    <a:prstGeom prst="rect">
                      <a:avLst/>
                    </a:prstGeom>
                    <a:noFill/>
                    <a:ln>
                      <a:noFill/>
                    </a:ln>
                  </pic:spPr>
                </pic:pic>
              </a:graphicData>
            </a:graphic>
          </wp:inline>
        </w:drawing>
      </w:r>
      <w:r>
        <w:t xml:space="preserve"> </w:t>
      </w:r>
    </w:p>
    <w:p w14:paraId="3049FAEE" w14:textId="77777777" w:rsidR="000738B6" w:rsidRPr="000738B6" w:rsidRDefault="000738B6" w:rsidP="000738B6">
      <w:pPr>
        <w:tabs>
          <w:tab w:val="left" w:pos="284"/>
        </w:tabs>
        <w:spacing w:before="0" w:line="240" w:lineRule="auto"/>
        <w:ind w:firstLine="0"/>
        <w:rPr>
          <w:sz w:val="22"/>
        </w:rPr>
      </w:pPr>
    </w:p>
    <w:p w14:paraId="4FFCC3AD" w14:textId="2328D607" w:rsidR="004459EA" w:rsidRDefault="004459EA" w:rsidP="00036346">
      <w:pPr>
        <w:spacing w:before="0" w:line="240" w:lineRule="auto"/>
        <w:ind w:firstLine="0"/>
        <w:rPr>
          <w:rFonts w:cs="Times New Roman"/>
          <w:noProof/>
          <w:szCs w:val="24"/>
        </w:rPr>
      </w:pPr>
      <w:r w:rsidRPr="00036346">
        <w:rPr>
          <w:rFonts w:cs="Times New Roman"/>
          <w:noProof/>
          <w:sz w:val="22"/>
        </w:rPr>
        <w:t xml:space="preserve">Figure </w:t>
      </w:r>
      <w:r w:rsidR="00D36D2F" w:rsidRPr="00036346">
        <w:rPr>
          <w:rFonts w:cs="Times New Roman"/>
          <w:noProof/>
          <w:sz w:val="22"/>
        </w:rPr>
        <w:t>8</w:t>
      </w:r>
      <w:r w:rsidR="00036346" w:rsidRPr="00036346">
        <w:rPr>
          <w:rFonts w:cs="Times New Roman"/>
          <w:noProof/>
          <w:sz w:val="22"/>
        </w:rPr>
        <w:t xml:space="preserve">: </w:t>
      </w:r>
      <w:r w:rsidRPr="00036346">
        <w:rPr>
          <w:rFonts w:cs="Times New Roman"/>
          <w:noProof/>
          <w:sz w:val="22"/>
        </w:rPr>
        <w:t>Comparison of checkerboard resolution test results at different depth layers using 0.25º, 0.5º, and 1.0º equilateral grids, and adding random noise with a standard deviation of 0.1 seconds. Purple triangles are seismic stations while yellow circles represent earthquake locations within 0.5 km of the depth</w:t>
      </w:r>
      <w:r w:rsidRPr="00BF5AB8">
        <w:rPr>
          <w:rFonts w:cs="Times New Roman"/>
          <w:noProof/>
          <w:szCs w:val="24"/>
        </w:rPr>
        <w:t>.</w:t>
      </w:r>
    </w:p>
    <w:p w14:paraId="7BED777E" w14:textId="77777777" w:rsidR="004459EA" w:rsidRDefault="004459EA" w:rsidP="00916707">
      <w:pPr>
        <w:spacing w:line="240" w:lineRule="auto"/>
        <w:ind w:firstLine="0"/>
      </w:pPr>
      <w:r>
        <w:rPr>
          <w:noProof/>
        </w:rPr>
        <w:lastRenderedPageBreak/>
        <w:drawing>
          <wp:inline distT="0" distB="0" distL="0" distR="0" wp14:anchorId="2EF12225" wp14:editId="008EBF3B">
            <wp:extent cx="5889695" cy="7122319"/>
            <wp:effectExtent l="0" t="0" r="0" b="2540"/>
            <wp:docPr id="532619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9736"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905499" cy="7141430"/>
                    </a:xfrm>
                    <a:prstGeom prst="rect">
                      <a:avLst/>
                    </a:prstGeom>
                    <a:noFill/>
                    <a:ln>
                      <a:noFill/>
                    </a:ln>
                  </pic:spPr>
                </pic:pic>
              </a:graphicData>
            </a:graphic>
          </wp:inline>
        </w:drawing>
      </w:r>
    </w:p>
    <w:p w14:paraId="600E1927" w14:textId="3228EAA1" w:rsidR="004459EA" w:rsidRPr="000738B6" w:rsidRDefault="004459EA" w:rsidP="000738B6">
      <w:pPr>
        <w:spacing w:line="240" w:lineRule="auto"/>
        <w:ind w:firstLine="0"/>
        <w:rPr>
          <w:sz w:val="22"/>
        </w:rPr>
      </w:pPr>
      <w:r w:rsidRPr="000738B6">
        <w:rPr>
          <w:sz w:val="22"/>
        </w:rPr>
        <w:t xml:space="preserve">Figure </w:t>
      </w:r>
      <w:r w:rsidR="00D36D2F" w:rsidRPr="000738B6">
        <w:rPr>
          <w:sz w:val="22"/>
        </w:rPr>
        <w:t>8</w:t>
      </w:r>
      <w:r w:rsidRPr="000738B6">
        <w:rPr>
          <w:sz w:val="22"/>
        </w:rPr>
        <w:t xml:space="preserve"> continues</w:t>
      </w:r>
    </w:p>
    <w:p w14:paraId="1CC87E81" w14:textId="6519B40B" w:rsidR="004459EA" w:rsidRDefault="004459EA" w:rsidP="004459EA">
      <w:pPr>
        <w:spacing w:before="0" w:line="240" w:lineRule="auto"/>
        <w:ind w:left="709" w:hanging="709"/>
        <w:rPr>
          <w:rFonts w:cs="Times New Roman"/>
          <w:noProof/>
          <w:szCs w:val="24"/>
        </w:rPr>
      </w:pPr>
    </w:p>
    <w:p w14:paraId="52A9CDBD" w14:textId="77777777" w:rsidR="004459EA" w:rsidRDefault="004459EA" w:rsidP="004459EA">
      <w:pPr>
        <w:spacing w:before="0" w:line="240" w:lineRule="auto"/>
        <w:ind w:left="709" w:hanging="709"/>
        <w:rPr>
          <w:rFonts w:cs="Times New Roman"/>
          <w:noProof/>
          <w:szCs w:val="24"/>
        </w:rPr>
      </w:pPr>
    </w:p>
    <w:p w14:paraId="51213DED" w14:textId="77777777" w:rsidR="003758D9" w:rsidRPr="00274EA4" w:rsidRDefault="003758D9" w:rsidP="00006AEE">
      <w:pPr>
        <w:spacing w:before="0" w:after="240" w:line="240" w:lineRule="auto"/>
        <w:ind w:firstLine="0"/>
        <w:jc w:val="center"/>
        <w:rPr>
          <w:rFonts w:cs="Times New Roman"/>
          <w:sz w:val="22"/>
        </w:rPr>
      </w:pPr>
      <w:r>
        <w:rPr>
          <w:rFonts w:cs="Times New Roman"/>
          <w:noProof/>
          <w:sz w:val="22"/>
        </w:rPr>
        <w:lastRenderedPageBreak/>
        <w:drawing>
          <wp:inline distT="0" distB="0" distL="0" distR="0" wp14:anchorId="555C46AA" wp14:editId="15B5D4E4">
            <wp:extent cx="5053263" cy="6250318"/>
            <wp:effectExtent l="0" t="0" r="0" b="0"/>
            <wp:docPr id="19064503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450321"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116897" cy="6329026"/>
                    </a:xfrm>
                    <a:prstGeom prst="rect">
                      <a:avLst/>
                    </a:prstGeom>
                    <a:noFill/>
                    <a:ln>
                      <a:noFill/>
                    </a:ln>
                  </pic:spPr>
                </pic:pic>
              </a:graphicData>
            </a:graphic>
          </wp:inline>
        </w:drawing>
      </w:r>
    </w:p>
    <w:p w14:paraId="03517E19" w14:textId="302436AB" w:rsidR="003758D9" w:rsidRPr="00274EA4" w:rsidRDefault="003758D9" w:rsidP="000738B6">
      <w:pPr>
        <w:spacing w:before="0" w:line="240" w:lineRule="auto"/>
        <w:ind w:firstLine="0"/>
        <w:rPr>
          <w:rFonts w:cs="Times New Roman"/>
          <w:sz w:val="22"/>
        </w:rPr>
      </w:pPr>
      <w:r w:rsidRPr="000738B6">
        <w:rPr>
          <w:rFonts w:cs="Times New Roman"/>
          <w:sz w:val="22"/>
        </w:rPr>
        <w:t>Figure 9</w:t>
      </w:r>
      <w:r w:rsidR="000738B6" w:rsidRPr="000738B6">
        <w:rPr>
          <w:rFonts w:cs="Times New Roman"/>
          <w:sz w:val="22"/>
        </w:rPr>
        <w:t xml:space="preserve">: </w:t>
      </w:r>
      <w:r w:rsidRPr="000738B6">
        <w:rPr>
          <w:sz w:val="22"/>
        </w:rPr>
        <w:t xml:space="preserve">Comparison of checkerboard resolution test results using the 0.25º, 0.5º, and 1.0º equilateral grids at several East-West vertical cross-sections </w:t>
      </w:r>
      <w:r w:rsidRPr="000738B6">
        <w:rPr>
          <w:rFonts w:cs="Times New Roman"/>
          <w:sz w:val="22"/>
        </w:rPr>
        <w:t>along latitudes (a) 13º-16º N, and (b) 9º-12º N. The depth axis is about 10 times exaggerated</w:t>
      </w:r>
      <w:r w:rsidRPr="000738B6">
        <w:rPr>
          <w:b/>
          <w:bCs/>
          <w:sz w:val="22"/>
        </w:rPr>
        <w:t xml:space="preserve">. </w:t>
      </w:r>
      <w:proofErr w:type="spellStart"/>
      <w:r w:rsidRPr="000738B6">
        <w:rPr>
          <w:b/>
          <w:bCs/>
          <w:sz w:val="22"/>
        </w:rPr>
        <w:t>AdA</w:t>
      </w:r>
      <w:proofErr w:type="spellEnd"/>
      <w:r w:rsidRPr="000738B6">
        <w:rPr>
          <w:sz w:val="22"/>
        </w:rPr>
        <w:t xml:space="preserve"> (Addis Ababa), </w:t>
      </w:r>
      <w:r w:rsidRPr="000738B6">
        <w:rPr>
          <w:b/>
          <w:bCs/>
          <w:sz w:val="22"/>
        </w:rPr>
        <w:t>AEE</w:t>
      </w:r>
      <w:r w:rsidRPr="000738B6">
        <w:rPr>
          <w:sz w:val="22"/>
        </w:rPr>
        <w:t xml:space="preserve"> (Afar depression eastern encampment), </w:t>
      </w:r>
      <w:r w:rsidRPr="000738B6">
        <w:rPr>
          <w:b/>
          <w:bCs/>
          <w:sz w:val="22"/>
        </w:rPr>
        <w:t>Ak</w:t>
      </w:r>
      <w:r w:rsidRPr="000738B6">
        <w:rPr>
          <w:sz w:val="22"/>
        </w:rPr>
        <w:t xml:space="preserve"> (Akilo in northern Eritrea), </w:t>
      </w:r>
      <w:r w:rsidRPr="000738B6">
        <w:rPr>
          <w:b/>
          <w:bCs/>
          <w:sz w:val="22"/>
        </w:rPr>
        <w:t>AM</w:t>
      </w:r>
      <w:r w:rsidRPr="000738B6">
        <w:rPr>
          <w:sz w:val="22"/>
        </w:rPr>
        <w:t xml:space="preserve"> (Al </w:t>
      </w:r>
      <w:proofErr w:type="spellStart"/>
      <w:r w:rsidRPr="000738B6">
        <w:rPr>
          <w:sz w:val="22"/>
        </w:rPr>
        <w:t>Madasikah</w:t>
      </w:r>
      <w:proofErr w:type="spellEnd"/>
      <w:r w:rsidRPr="000738B6">
        <w:rPr>
          <w:sz w:val="22"/>
        </w:rPr>
        <w:t xml:space="preserve"> in southern Yemen), </w:t>
      </w:r>
      <w:r w:rsidRPr="000738B6">
        <w:rPr>
          <w:b/>
          <w:bCs/>
          <w:sz w:val="22"/>
        </w:rPr>
        <w:t>As</w:t>
      </w:r>
      <w:r w:rsidRPr="000738B6">
        <w:rPr>
          <w:sz w:val="22"/>
        </w:rPr>
        <w:t xml:space="preserve"> (Assab in Eritrea), </w:t>
      </w:r>
      <w:r w:rsidRPr="000738B6">
        <w:rPr>
          <w:b/>
          <w:bCs/>
          <w:sz w:val="22"/>
        </w:rPr>
        <w:t>AWE</w:t>
      </w:r>
      <w:r w:rsidRPr="000738B6">
        <w:rPr>
          <w:sz w:val="22"/>
        </w:rPr>
        <w:t xml:space="preserve"> (Afar depression western encampment), </w:t>
      </w:r>
      <w:r w:rsidRPr="000738B6">
        <w:rPr>
          <w:b/>
          <w:bCs/>
          <w:sz w:val="22"/>
        </w:rPr>
        <w:t>Ba</w:t>
      </w:r>
      <w:r w:rsidRPr="000738B6">
        <w:rPr>
          <w:sz w:val="22"/>
        </w:rPr>
        <w:t xml:space="preserve"> (</w:t>
      </w:r>
      <w:proofErr w:type="spellStart"/>
      <w:r w:rsidRPr="000738B6">
        <w:rPr>
          <w:sz w:val="22"/>
        </w:rPr>
        <w:t>Badeda</w:t>
      </w:r>
      <w:proofErr w:type="spellEnd"/>
      <w:r w:rsidRPr="000738B6">
        <w:rPr>
          <w:sz w:val="22"/>
        </w:rPr>
        <w:t>, a coastal city in Eritrea),</w:t>
      </w:r>
      <w:r w:rsidRPr="000738B6">
        <w:rPr>
          <w:b/>
          <w:bCs/>
          <w:sz w:val="22"/>
        </w:rPr>
        <w:t xml:space="preserve"> </w:t>
      </w:r>
      <w:proofErr w:type="spellStart"/>
      <w:r w:rsidRPr="000738B6">
        <w:rPr>
          <w:b/>
          <w:bCs/>
          <w:sz w:val="22"/>
        </w:rPr>
        <w:t>Dj</w:t>
      </w:r>
      <w:proofErr w:type="spellEnd"/>
      <w:r w:rsidRPr="000738B6">
        <w:rPr>
          <w:sz w:val="22"/>
        </w:rPr>
        <w:t xml:space="preserve"> (Djibouti) </w:t>
      </w:r>
      <w:r w:rsidRPr="000738B6">
        <w:rPr>
          <w:b/>
          <w:bCs/>
          <w:sz w:val="22"/>
        </w:rPr>
        <w:t xml:space="preserve">Er </w:t>
      </w:r>
      <w:r w:rsidRPr="000738B6">
        <w:rPr>
          <w:sz w:val="22"/>
        </w:rPr>
        <w:t xml:space="preserve">(Eritrea), </w:t>
      </w:r>
      <w:r w:rsidRPr="000738B6">
        <w:rPr>
          <w:b/>
          <w:bCs/>
          <w:sz w:val="22"/>
        </w:rPr>
        <w:t xml:space="preserve">Et </w:t>
      </w:r>
      <w:r w:rsidRPr="000738B6">
        <w:rPr>
          <w:sz w:val="22"/>
        </w:rPr>
        <w:t xml:space="preserve">(Ethiopia), </w:t>
      </w:r>
      <w:r w:rsidRPr="000738B6">
        <w:rPr>
          <w:b/>
          <w:bCs/>
          <w:sz w:val="22"/>
        </w:rPr>
        <w:t>GA</w:t>
      </w:r>
      <w:r w:rsidRPr="000738B6">
        <w:rPr>
          <w:sz w:val="22"/>
        </w:rPr>
        <w:t xml:space="preserve"> (Gulf of Aden), </w:t>
      </w:r>
      <w:r w:rsidRPr="000738B6">
        <w:rPr>
          <w:b/>
          <w:bCs/>
          <w:sz w:val="22"/>
        </w:rPr>
        <w:t>HW</w:t>
      </w:r>
      <w:r w:rsidRPr="000738B6">
        <w:rPr>
          <w:sz w:val="22"/>
        </w:rPr>
        <w:t xml:space="preserve"> (Haraz Wildlife Sanctuary in southern Yemen), </w:t>
      </w:r>
      <w:proofErr w:type="spellStart"/>
      <w:r w:rsidRPr="000738B6">
        <w:rPr>
          <w:b/>
          <w:bCs/>
          <w:sz w:val="22"/>
        </w:rPr>
        <w:t>Ibb</w:t>
      </w:r>
      <w:proofErr w:type="spellEnd"/>
      <w:r w:rsidRPr="000738B6">
        <w:rPr>
          <w:sz w:val="22"/>
        </w:rPr>
        <w:t xml:space="preserve"> (name of a city in southern Yemen), </w:t>
      </w:r>
      <w:r w:rsidRPr="000738B6">
        <w:rPr>
          <w:b/>
          <w:bCs/>
          <w:sz w:val="22"/>
        </w:rPr>
        <w:t>JJZ</w:t>
      </w:r>
      <w:r w:rsidRPr="000738B6">
        <w:rPr>
          <w:sz w:val="22"/>
        </w:rPr>
        <w:t xml:space="preserve"> (Jazirat Jabal </w:t>
      </w:r>
      <w:proofErr w:type="spellStart"/>
      <w:r w:rsidRPr="000738B6">
        <w:rPr>
          <w:sz w:val="22"/>
        </w:rPr>
        <w:t>Zuqar</w:t>
      </w:r>
      <w:proofErr w:type="spellEnd"/>
      <w:r w:rsidRPr="000738B6">
        <w:rPr>
          <w:sz w:val="22"/>
        </w:rPr>
        <w:t xml:space="preserve">, an Island in the Red Sea between Eritrea and Yemen), </w:t>
      </w:r>
      <w:r w:rsidRPr="000738B6">
        <w:rPr>
          <w:b/>
          <w:bCs/>
          <w:sz w:val="22"/>
        </w:rPr>
        <w:t>JZJZ</w:t>
      </w:r>
      <w:r w:rsidRPr="000738B6">
        <w:rPr>
          <w:sz w:val="22"/>
        </w:rPr>
        <w:t xml:space="preserve"> (Jabel Zubair Jabal Zubayr, an Island in the Red Sea between Eritrea and Yemen), </w:t>
      </w:r>
      <w:r w:rsidRPr="000738B6">
        <w:rPr>
          <w:b/>
          <w:bCs/>
          <w:sz w:val="22"/>
        </w:rPr>
        <w:t>Kr</w:t>
      </w:r>
      <w:r w:rsidRPr="000738B6">
        <w:rPr>
          <w:sz w:val="22"/>
        </w:rPr>
        <w:t xml:space="preserve"> (Krum in northern Eritrea),</w:t>
      </w:r>
      <w:r w:rsidRPr="000738B6">
        <w:rPr>
          <w:b/>
          <w:bCs/>
          <w:sz w:val="22"/>
        </w:rPr>
        <w:t xml:space="preserve"> LK</w:t>
      </w:r>
      <w:r w:rsidRPr="000738B6">
        <w:rPr>
          <w:sz w:val="22"/>
        </w:rPr>
        <w:t xml:space="preserve"> (Lake Karum, in northern Ethiopia), </w:t>
      </w:r>
      <w:r w:rsidRPr="000738B6">
        <w:rPr>
          <w:b/>
          <w:bCs/>
          <w:sz w:val="22"/>
        </w:rPr>
        <w:t>Mu</w:t>
      </w:r>
      <w:r w:rsidRPr="000738B6">
        <w:rPr>
          <w:sz w:val="22"/>
        </w:rPr>
        <w:t xml:space="preserve"> (</w:t>
      </w:r>
      <w:proofErr w:type="spellStart"/>
      <w:r w:rsidRPr="000738B6">
        <w:rPr>
          <w:sz w:val="22"/>
        </w:rPr>
        <w:t>Mudiyah</w:t>
      </w:r>
      <w:proofErr w:type="spellEnd"/>
      <w:r w:rsidRPr="000738B6">
        <w:rPr>
          <w:sz w:val="22"/>
        </w:rPr>
        <w:t xml:space="preserve"> city in southern Yemen), </w:t>
      </w:r>
      <w:r w:rsidRPr="000738B6">
        <w:rPr>
          <w:b/>
          <w:bCs/>
          <w:sz w:val="22"/>
        </w:rPr>
        <w:t>Ob</w:t>
      </w:r>
      <w:r w:rsidRPr="000738B6">
        <w:rPr>
          <w:sz w:val="22"/>
        </w:rPr>
        <w:t xml:space="preserve"> (</w:t>
      </w:r>
      <w:proofErr w:type="spellStart"/>
      <w:r w:rsidRPr="000738B6">
        <w:rPr>
          <w:sz w:val="22"/>
        </w:rPr>
        <w:t>Obock</w:t>
      </w:r>
      <w:proofErr w:type="spellEnd"/>
      <w:r w:rsidRPr="000738B6">
        <w:rPr>
          <w:sz w:val="22"/>
        </w:rPr>
        <w:t xml:space="preserve"> in northern Djibouti), </w:t>
      </w:r>
      <w:r w:rsidRPr="000738B6">
        <w:rPr>
          <w:b/>
          <w:bCs/>
          <w:sz w:val="22"/>
        </w:rPr>
        <w:t>R</w:t>
      </w:r>
      <w:r w:rsidRPr="000738B6">
        <w:rPr>
          <w:sz w:val="22"/>
        </w:rPr>
        <w:t xml:space="preserve"> (Red Sea), </w:t>
      </w:r>
      <w:r w:rsidRPr="000738B6">
        <w:rPr>
          <w:b/>
          <w:bCs/>
          <w:sz w:val="22"/>
        </w:rPr>
        <w:t>Se</w:t>
      </w:r>
      <w:r w:rsidRPr="000738B6">
        <w:rPr>
          <w:sz w:val="22"/>
        </w:rPr>
        <w:t xml:space="preserve"> (</w:t>
      </w:r>
      <w:proofErr w:type="spellStart"/>
      <w:r w:rsidRPr="000738B6">
        <w:rPr>
          <w:sz w:val="22"/>
        </w:rPr>
        <w:t>Serdo</w:t>
      </w:r>
      <w:proofErr w:type="spellEnd"/>
      <w:r w:rsidRPr="000738B6">
        <w:rPr>
          <w:sz w:val="22"/>
        </w:rPr>
        <w:t xml:space="preserve"> in northern Ethiopia), </w:t>
      </w:r>
      <w:r w:rsidRPr="000738B6">
        <w:rPr>
          <w:b/>
          <w:bCs/>
          <w:sz w:val="22"/>
        </w:rPr>
        <w:t>So</w:t>
      </w:r>
      <w:r w:rsidRPr="000738B6">
        <w:rPr>
          <w:sz w:val="22"/>
        </w:rPr>
        <w:t xml:space="preserve"> (Somalia), </w:t>
      </w:r>
      <w:proofErr w:type="spellStart"/>
      <w:r w:rsidRPr="000738B6">
        <w:rPr>
          <w:b/>
          <w:bCs/>
          <w:sz w:val="22"/>
        </w:rPr>
        <w:t>Sh</w:t>
      </w:r>
      <w:proofErr w:type="spellEnd"/>
      <w:r w:rsidRPr="000738B6">
        <w:rPr>
          <w:sz w:val="22"/>
        </w:rPr>
        <w:t xml:space="preserve"> (</w:t>
      </w:r>
      <w:proofErr w:type="spellStart"/>
      <w:r w:rsidRPr="000738B6">
        <w:rPr>
          <w:sz w:val="22"/>
        </w:rPr>
        <w:t>Sheib</w:t>
      </w:r>
      <w:proofErr w:type="spellEnd"/>
      <w:r w:rsidRPr="000738B6">
        <w:rPr>
          <w:sz w:val="22"/>
        </w:rPr>
        <w:t xml:space="preserve"> in northern Eritrea), </w:t>
      </w:r>
      <w:r w:rsidRPr="000738B6">
        <w:rPr>
          <w:b/>
          <w:bCs/>
          <w:sz w:val="22"/>
        </w:rPr>
        <w:t>Ye</w:t>
      </w:r>
      <w:r w:rsidRPr="000738B6">
        <w:rPr>
          <w:sz w:val="22"/>
        </w:rPr>
        <w:t xml:space="preserve"> (Yemen). The forward slash between the character symbols denotes their boundary</w:t>
      </w:r>
      <w:r w:rsidRPr="004A0581">
        <w:rPr>
          <w:rFonts w:cs="Times New Roman"/>
          <w:sz w:val="22"/>
        </w:rPr>
        <w:t>.</w:t>
      </w:r>
    </w:p>
    <w:p w14:paraId="685F461E" w14:textId="77777777" w:rsidR="003758D9" w:rsidRPr="00274EA4" w:rsidRDefault="003758D9" w:rsidP="003758D9">
      <w:pPr>
        <w:spacing w:before="0" w:line="240" w:lineRule="auto"/>
        <w:rPr>
          <w:rFonts w:cs="Times New Roman"/>
          <w:sz w:val="22"/>
        </w:rPr>
      </w:pPr>
    </w:p>
    <w:p w14:paraId="2A11E038" w14:textId="77777777" w:rsidR="003758D9" w:rsidRDefault="003758D9" w:rsidP="003758D9">
      <w:pPr>
        <w:spacing w:before="0" w:line="240" w:lineRule="auto"/>
        <w:rPr>
          <w:rFonts w:cs="Times New Roman"/>
          <w:sz w:val="22"/>
        </w:rPr>
      </w:pPr>
    </w:p>
    <w:p w14:paraId="0AD37D5E" w14:textId="77777777" w:rsidR="003758D9" w:rsidRDefault="003758D9" w:rsidP="000738B6">
      <w:pPr>
        <w:spacing w:before="0" w:after="240" w:line="240" w:lineRule="auto"/>
        <w:ind w:firstLine="0"/>
        <w:jc w:val="center"/>
        <w:rPr>
          <w:rFonts w:cs="Times New Roman"/>
          <w:sz w:val="22"/>
        </w:rPr>
      </w:pPr>
      <w:r>
        <w:rPr>
          <w:rFonts w:cs="Times New Roman"/>
          <w:noProof/>
          <w:sz w:val="22"/>
        </w:rPr>
        <w:drawing>
          <wp:inline distT="0" distB="0" distL="0" distR="0" wp14:anchorId="09EFC053" wp14:editId="7B222CCA">
            <wp:extent cx="5526859" cy="6492240"/>
            <wp:effectExtent l="0" t="0" r="0" b="3810"/>
            <wp:docPr id="1792140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53997" cy="6524118"/>
                    </a:xfrm>
                    <a:prstGeom prst="rect">
                      <a:avLst/>
                    </a:prstGeom>
                    <a:noFill/>
                    <a:ln>
                      <a:noFill/>
                    </a:ln>
                  </pic:spPr>
                </pic:pic>
              </a:graphicData>
            </a:graphic>
          </wp:inline>
        </w:drawing>
      </w:r>
    </w:p>
    <w:p w14:paraId="6E7D3B63" w14:textId="100E79AF" w:rsidR="003758D9" w:rsidRDefault="003758D9" w:rsidP="000738B6">
      <w:pPr>
        <w:spacing w:before="0" w:line="240" w:lineRule="auto"/>
        <w:ind w:firstLine="0"/>
        <w:rPr>
          <w:rFonts w:cs="Times New Roman"/>
          <w:sz w:val="22"/>
        </w:rPr>
      </w:pPr>
      <w:r w:rsidRPr="000738B6">
        <w:rPr>
          <w:rFonts w:cs="Times New Roman"/>
          <w:sz w:val="22"/>
        </w:rPr>
        <w:t xml:space="preserve">Figure </w:t>
      </w:r>
      <w:r w:rsidR="00006AEE" w:rsidRPr="000738B6">
        <w:rPr>
          <w:rFonts w:cs="Times New Roman"/>
          <w:sz w:val="22"/>
        </w:rPr>
        <w:t>10</w:t>
      </w:r>
      <w:r w:rsidR="000738B6" w:rsidRPr="000738B6">
        <w:rPr>
          <w:rFonts w:cs="Times New Roman"/>
          <w:sz w:val="22"/>
        </w:rPr>
        <w:t xml:space="preserve">: </w:t>
      </w:r>
      <w:r w:rsidRPr="000738B6">
        <w:rPr>
          <w:sz w:val="22"/>
        </w:rPr>
        <w:t xml:space="preserve">Comparison of checkerboard resolution test results using the 0.25º, 0.5º, and 1.0º equilateral grids at several North-South vertical cross-sections </w:t>
      </w:r>
      <w:r w:rsidRPr="000738B6">
        <w:rPr>
          <w:rFonts w:cs="Times New Roman"/>
          <w:sz w:val="22"/>
        </w:rPr>
        <w:t>along longitudes (a) 39º-42º E, and (b) 43º-46º E. The depth axis is about 10 times exaggerated</w:t>
      </w:r>
      <w:r w:rsidRPr="000738B6">
        <w:rPr>
          <w:b/>
          <w:bCs/>
          <w:sz w:val="22"/>
        </w:rPr>
        <w:t>. Ad</w:t>
      </w:r>
      <w:r w:rsidRPr="000738B6">
        <w:rPr>
          <w:sz w:val="22"/>
        </w:rPr>
        <w:t xml:space="preserve"> (Aden port city in southernmost Yemen), </w:t>
      </w:r>
      <w:r w:rsidRPr="000738B6">
        <w:rPr>
          <w:b/>
          <w:bCs/>
          <w:sz w:val="22"/>
        </w:rPr>
        <w:t>AEE</w:t>
      </w:r>
      <w:r w:rsidRPr="000738B6">
        <w:rPr>
          <w:sz w:val="22"/>
        </w:rPr>
        <w:t xml:space="preserve"> (Afar depression eastern encampment), </w:t>
      </w:r>
      <w:r w:rsidRPr="000738B6">
        <w:rPr>
          <w:b/>
          <w:bCs/>
          <w:sz w:val="22"/>
        </w:rPr>
        <w:t>AWE</w:t>
      </w:r>
      <w:r w:rsidRPr="000738B6">
        <w:rPr>
          <w:sz w:val="22"/>
        </w:rPr>
        <w:t xml:space="preserve"> (Afar depression western encampment), </w:t>
      </w:r>
      <w:r w:rsidRPr="000738B6">
        <w:rPr>
          <w:b/>
          <w:bCs/>
          <w:sz w:val="22"/>
        </w:rPr>
        <w:t>Be</w:t>
      </w:r>
      <w:r w:rsidRPr="000738B6">
        <w:rPr>
          <w:sz w:val="22"/>
        </w:rPr>
        <w:t xml:space="preserve"> (Berbera in Somalia), </w:t>
      </w:r>
      <w:proofErr w:type="spellStart"/>
      <w:r w:rsidRPr="000738B6">
        <w:rPr>
          <w:b/>
          <w:bCs/>
          <w:sz w:val="22"/>
        </w:rPr>
        <w:t>Dj</w:t>
      </w:r>
      <w:proofErr w:type="spellEnd"/>
      <w:r w:rsidRPr="000738B6">
        <w:rPr>
          <w:sz w:val="22"/>
        </w:rPr>
        <w:t xml:space="preserve"> (Djibouti) </w:t>
      </w:r>
      <w:r w:rsidRPr="000738B6">
        <w:rPr>
          <w:b/>
          <w:bCs/>
          <w:sz w:val="22"/>
        </w:rPr>
        <w:t>Do</w:t>
      </w:r>
      <w:r w:rsidRPr="000738B6">
        <w:rPr>
          <w:sz w:val="22"/>
        </w:rPr>
        <w:t xml:space="preserve"> (Doleh in northern Eritrea), </w:t>
      </w:r>
      <w:r w:rsidRPr="000738B6">
        <w:rPr>
          <w:b/>
          <w:bCs/>
          <w:sz w:val="22"/>
        </w:rPr>
        <w:t xml:space="preserve">Er </w:t>
      </w:r>
      <w:r w:rsidRPr="000738B6">
        <w:rPr>
          <w:sz w:val="22"/>
        </w:rPr>
        <w:t xml:space="preserve">(Eritrea), </w:t>
      </w:r>
      <w:r w:rsidRPr="000738B6">
        <w:rPr>
          <w:b/>
          <w:bCs/>
          <w:sz w:val="22"/>
        </w:rPr>
        <w:t xml:space="preserve">Et </w:t>
      </w:r>
      <w:r w:rsidRPr="000738B6">
        <w:rPr>
          <w:sz w:val="22"/>
        </w:rPr>
        <w:t>(</w:t>
      </w:r>
      <w:proofErr w:type="spellStart"/>
      <w:r w:rsidRPr="000738B6">
        <w:rPr>
          <w:sz w:val="22"/>
        </w:rPr>
        <w:t>Ethiopis</w:t>
      </w:r>
      <w:proofErr w:type="spellEnd"/>
      <w:r w:rsidRPr="000738B6">
        <w:rPr>
          <w:sz w:val="22"/>
        </w:rPr>
        <w:t xml:space="preserve">), </w:t>
      </w:r>
      <w:r w:rsidRPr="000738B6">
        <w:rPr>
          <w:b/>
          <w:bCs/>
          <w:sz w:val="22"/>
        </w:rPr>
        <w:t>GA</w:t>
      </w:r>
      <w:r w:rsidRPr="000738B6">
        <w:rPr>
          <w:sz w:val="22"/>
        </w:rPr>
        <w:t xml:space="preserve"> (Gulf of Aden), </w:t>
      </w:r>
      <w:r w:rsidRPr="000738B6">
        <w:rPr>
          <w:b/>
          <w:bCs/>
          <w:sz w:val="22"/>
        </w:rPr>
        <w:t>GT</w:t>
      </w:r>
      <w:r w:rsidRPr="000738B6">
        <w:rPr>
          <w:sz w:val="22"/>
        </w:rPr>
        <w:t xml:space="preserve"> (Gulf of </w:t>
      </w:r>
      <w:proofErr w:type="spellStart"/>
      <w:r w:rsidRPr="000738B6">
        <w:rPr>
          <w:sz w:val="22"/>
        </w:rPr>
        <w:t>Tadjoura</w:t>
      </w:r>
      <w:proofErr w:type="spellEnd"/>
      <w:r w:rsidRPr="000738B6">
        <w:rPr>
          <w:sz w:val="22"/>
        </w:rPr>
        <w:t xml:space="preserve">), </w:t>
      </w:r>
      <w:r w:rsidRPr="000738B6">
        <w:rPr>
          <w:b/>
          <w:bCs/>
          <w:sz w:val="22"/>
        </w:rPr>
        <w:t>R</w:t>
      </w:r>
      <w:r w:rsidRPr="000738B6">
        <w:rPr>
          <w:sz w:val="22"/>
        </w:rPr>
        <w:t xml:space="preserve"> (Red Sea), </w:t>
      </w:r>
      <w:r w:rsidRPr="000738B6">
        <w:rPr>
          <w:b/>
          <w:bCs/>
          <w:sz w:val="22"/>
        </w:rPr>
        <w:t>Se</w:t>
      </w:r>
      <w:r w:rsidRPr="000738B6">
        <w:rPr>
          <w:sz w:val="22"/>
        </w:rPr>
        <w:t xml:space="preserve"> (</w:t>
      </w:r>
      <w:proofErr w:type="spellStart"/>
      <w:r w:rsidRPr="000738B6">
        <w:rPr>
          <w:sz w:val="22"/>
        </w:rPr>
        <w:t>Serdo</w:t>
      </w:r>
      <w:proofErr w:type="spellEnd"/>
      <w:r w:rsidRPr="000738B6">
        <w:rPr>
          <w:sz w:val="22"/>
        </w:rPr>
        <w:t xml:space="preserve"> in northern Ethiopia), </w:t>
      </w:r>
      <w:r w:rsidRPr="000738B6">
        <w:rPr>
          <w:b/>
          <w:bCs/>
          <w:sz w:val="22"/>
        </w:rPr>
        <w:t>So</w:t>
      </w:r>
      <w:r w:rsidRPr="000738B6">
        <w:rPr>
          <w:sz w:val="22"/>
        </w:rPr>
        <w:t xml:space="preserve"> (Somalia), </w:t>
      </w:r>
      <w:r w:rsidRPr="000738B6">
        <w:rPr>
          <w:b/>
          <w:bCs/>
          <w:sz w:val="22"/>
        </w:rPr>
        <w:t>WEP</w:t>
      </w:r>
      <w:r w:rsidRPr="000738B6">
        <w:rPr>
          <w:sz w:val="22"/>
        </w:rPr>
        <w:t xml:space="preserve"> (Western Ethiopia Plateau), </w:t>
      </w:r>
      <w:r w:rsidRPr="000738B6">
        <w:rPr>
          <w:b/>
          <w:bCs/>
          <w:sz w:val="22"/>
        </w:rPr>
        <w:t>Ye</w:t>
      </w:r>
      <w:r w:rsidRPr="000738B6">
        <w:rPr>
          <w:sz w:val="22"/>
        </w:rPr>
        <w:t xml:space="preserve"> (Yemen). The forward slash between the characters denotes their boundary</w:t>
      </w:r>
      <w:r>
        <w:rPr>
          <w:rFonts w:cs="Times New Roman"/>
          <w:sz w:val="22"/>
        </w:rPr>
        <w:t>.</w:t>
      </w:r>
    </w:p>
    <w:p w14:paraId="47E4ECFF" w14:textId="21CE4AC8" w:rsidR="00CC607B" w:rsidRPr="00F15F1F" w:rsidRDefault="00CC607B" w:rsidP="00CC607B">
      <w:pPr>
        <w:pStyle w:val="Heading3"/>
        <w:spacing w:after="0"/>
      </w:pPr>
      <w:r>
        <w:lastRenderedPageBreak/>
        <w:t>4</w:t>
      </w:r>
      <w:r w:rsidRPr="00F15F1F">
        <w:t>.2.</w:t>
      </w:r>
      <w:r w:rsidR="00880E08">
        <w:t>2</w:t>
      </w:r>
      <w:r w:rsidRPr="00F15F1F">
        <w:tab/>
      </w:r>
      <w:r w:rsidR="00880E08">
        <w:t>Structural Reconstruction</w:t>
      </w:r>
      <w:r w:rsidRPr="00701455">
        <w:t xml:space="preserve"> Test (</w:t>
      </w:r>
      <w:r w:rsidR="00880E08">
        <w:t>S</w:t>
      </w:r>
      <w:r w:rsidRPr="00701455">
        <w:t>RT)</w:t>
      </w:r>
    </w:p>
    <w:p w14:paraId="512DD6E7" w14:textId="5766B4EB" w:rsidR="00473D19" w:rsidRDefault="00403FFB" w:rsidP="00FF01CF">
      <w:pPr>
        <w:spacing w:before="0" w:line="360" w:lineRule="auto"/>
        <w:ind w:firstLine="426"/>
        <w:rPr>
          <w:rFonts w:cs="Times New Roman"/>
          <w:color w:val="000000"/>
        </w:rPr>
      </w:pPr>
      <w:r w:rsidRPr="00D94516">
        <w:rPr>
          <w:rFonts w:cs="Times New Roman"/>
          <w:color w:val="000000"/>
        </w:rPr>
        <w:t xml:space="preserve">The SRT, conducted within the well-resolved region identified by the CRT, introduced synthetic anomalies </w:t>
      </w:r>
      <w:r w:rsidR="00C34939" w:rsidRPr="00D94516">
        <w:rPr>
          <w:rFonts w:cs="Times New Roman"/>
          <w:color w:val="000000"/>
        </w:rPr>
        <w:t xml:space="preserve">(Fig. </w:t>
      </w:r>
      <w:r w:rsidR="005066D4">
        <w:rPr>
          <w:rFonts w:cs="Times New Roman"/>
          <w:color w:val="0000FF"/>
        </w:rPr>
        <w:t>11</w:t>
      </w:r>
      <w:r w:rsidR="00C34939" w:rsidRPr="00C523C8">
        <w:rPr>
          <w:rFonts w:cs="Times New Roman"/>
        </w:rPr>
        <w:t>: top left</w:t>
      </w:r>
      <w:r w:rsidR="00C34939">
        <w:rPr>
          <w:rFonts w:cs="Times New Roman"/>
        </w:rPr>
        <w:t xml:space="preserve"> and </w:t>
      </w:r>
      <w:r w:rsidR="00C34939" w:rsidRPr="0050283F">
        <w:rPr>
          <w:rFonts w:cs="Times New Roman"/>
          <w:color w:val="000000"/>
        </w:rPr>
        <w:t xml:space="preserve">Fig. </w:t>
      </w:r>
      <w:r w:rsidR="00C34939" w:rsidRPr="00FD72EF">
        <w:rPr>
          <w:rFonts w:cs="Times New Roman"/>
          <w:color w:val="0000FF"/>
        </w:rPr>
        <w:t>3</w:t>
      </w:r>
      <w:r w:rsidR="00C34939" w:rsidRPr="0050283F">
        <w:rPr>
          <w:rFonts w:cs="Times New Roman"/>
          <w:color w:val="000000"/>
        </w:rPr>
        <w:t xml:space="preserve">: light blue </w:t>
      </w:r>
      <w:r w:rsidR="00C34939">
        <w:rPr>
          <w:rFonts w:cs="Times New Roman"/>
          <w:color w:val="000000"/>
        </w:rPr>
        <w:t xml:space="preserve">and </w:t>
      </w:r>
      <w:r w:rsidR="00C34939" w:rsidRPr="0050283F">
        <w:rPr>
          <w:rFonts w:cs="Times New Roman"/>
          <w:color w:val="000000"/>
        </w:rPr>
        <w:t>purple columns</w:t>
      </w:r>
      <w:r w:rsidR="00C34939" w:rsidRPr="00D94516">
        <w:rPr>
          <w:rFonts w:cs="Times New Roman"/>
          <w:color w:val="000000"/>
        </w:rPr>
        <w:t xml:space="preserve">) </w:t>
      </w:r>
      <w:r w:rsidR="00AA60B9" w:rsidRPr="00AA60B9">
        <w:rPr>
          <w:rFonts w:cs="Times New Roman"/>
          <w:color w:val="000000"/>
        </w:rPr>
        <w:t>of different geometries</w:t>
      </w:r>
      <w:r w:rsidR="00C2248F" w:rsidRPr="00C2248F">
        <w:rPr>
          <w:rFonts w:cs="Times New Roman"/>
          <w:color w:val="000000"/>
        </w:rPr>
        <w:t>—rectangular (A1 and A2 with a +3% perturbation) and cylindrical (B1 and B2 with a –3% perturbation)</w:t>
      </w:r>
      <w:r w:rsidR="0052124B" w:rsidRPr="0050283F">
        <w:rPr>
          <w:rFonts w:cs="Times New Roman"/>
          <w:color w:val="000000"/>
        </w:rPr>
        <w:t>.</w:t>
      </w:r>
      <w:r w:rsidR="00C117D5" w:rsidRPr="00C117D5">
        <w:rPr>
          <w:rFonts w:cs="Times New Roman"/>
          <w:color w:val="000000"/>
        </w:rPr>
        <w:t xml:space="preserve"> A1 </w:t>
      </w:r>
      <w:r w:rsidR="00FC38AF">
        <w:rPr>
          <w:rFonts w:cs="Times New Roman"/>
          <w:color w:val="000000"/>
        </w:rPr>
        <w:t>has</w:t>
      </w:r>
      <w:r w:rsidR="00C117D5" w:rsidRPr="00C117D5">
        <w:rPr>
          <w:rFonts w:cs="Times New Roman"/>
          <w:color w:val="000000"/>
        </w:rPr>
        <w:t xml:space="preserve"> dimensions of 260 km length, 120 km width, and 65 km vertical extent, buried at 15 km depth, while A2 </w:t>
      </w:r>
      <w:r w:rsidR="00BE5481">
        <w:rPr>
          <w:rFonts w:cs="Times New Roman"/>
          <w:color w:val="000000"/>
        </w:rPr>
        <w:t>has</w:t>
      </w:r>
      <w:r w:rsidR="00BE5481" w:rsidRPr="00C117D5">
        <w:rPr>
          <w:rFonts w:cs="Times New Roman"/>
          <w:color w:val="000000"/>
        </w:rPr>
        <w:t xml:space="preserve"> dimensions </w:t>
      </w:r>
      <w:r w:rsidR="00C117D5" w:rsidRPr="00C117D5">
        <w:rPr>
          <w:rFonts w:cs="Times New Roman"/>
          <w:color w:val="000000"/>
        </w:rPr>
        <w:t xml:space="preserve">of 200 km length, 100 km width, and 64 km vertical extent, positioned at a shallower depth of 5 km. </w:t>
      </w:r>
      <w:r w:rsidR="00DF5C75">
        <w:rPr>
          <w:rFonts w:cs="Times New Roman"/>
          <w:color w:val="000000"/>
        </w:rPr>
        <w:t xml:space="preserve">Anomaly </w:t>
      </w:r>
      <w:r w:rsidR="00C117D5" w:rsidRPr="00C117D5">
        <w:rPr>
          <w:rFonts w:cs="Times New Roman"/>
          <w:color w:val="000000"/>
        </w:rPr>
        <w:t>B1</w:t>
      </w:r>
      <w:r w:rsidR="005B4D30">
        <w:rPr>
          <w:rFonts w:cs="Times New Roman"/>
          <w:color w:val="000000"/>
        </w:rPr>
        <w:t xml:space="preserve"> </w:t>
      </w:r>
      <w:r w:rsidR="00C117D5" w:rsidRPr="00C117D5">
        <w:rPr>
          <w:rFonts w:cs="Times New Roman"/>
          <w:color w:val="000000"/>
        </w:rPr>
        <w:t xml:space="preserve">has a radius of 65 km and extends vertically for 60 km from a burial depth of 15 km, </w:t>
      </w:r>
      <w:r w:rsidR="005B4D30">
        <w:rPr>
          <w:rFonts w:cs="Times New Roman"/>
          <w:color w:val="000000"/>
        </w:rPr>
        <w:t xml:space="preserve">while </w:t>
      </w:r>
      <w:r w:rsidR="00C117D5" w:rsidRPr="00C117D5">
        <w:rPr>
          <w:rFonts w:cs="Times New Roman"/>
          <w:color w:val="000000"/>
        </w:rPr>
        <w:t>B2, which is larger in radius at 150 km but has a smaller vertical extent of 35 km is buried deeper at 30 km depth.</w:t>
      </w:r>
      <w:r w:rsidR="001835ED">
        <w:rPr>
          <w:rFonts w:cs="Times New Roman"/>
          <w:color w:val="000000"/>
        </w:rPr>
        <w:t xml:space="preserve"> </w:t>
      </w:r>
      <w:r w:rsidR="001835ED" w:rsidRPr="00F15F1F">
        <w:rPr>
          <w:rFonts w:cs="Times New Roman"/>
        </w:rPr>
        <w:t>The recovered anomalies (</w:t>
      </w:r>
      <w:r w:rsidR="001835ED" w:rsidRPr="00F15F1F">
        <w:rPr>
          <w:rFonts w:cs="Times New Roman"/>
          <w:color w:val="000000"/>
        </w:rPr>
        <w:t xml:space="preserve">Fig. </w:t>
      </w:r>
      <w:r w:rsidR="005066D4">
        <w:rPr>
          <w:rFonts w:cs="Times New Roman"/>
          <w:color w:val="0000FF"/>
        </w:rPr>
        <w:t>11</w:t>
      </w:r>
      <w:r w:rsidR="001835ED" w:rsidRPr="00F15F1F">
        <w:rPr>
          <w:rFonts w:cs="Times New Roman"/>
        </w:rPr>
        <w:t xml:space="preserve">) reveals that the synthetic anomalies are generally recovered within the well-resolved regions, consistent with their </w:t>
      </w:r>
      <w:r w:rsidR="001835ED">
        <w:rPr>
          <w:rFonts w:cs="Times New Roman"/>
        </w:rPr>
        <w:t xml:space="preserve">depths of burial and </w:t>
      </w:r>
      <w:r w:rsidR="001835ED" w:rsidRPr="00C117D5">
        <w:rPr>
          <w:rFonts w:cs="Times New Roman"/>
          <w:color w:val="000000"/>
        </w:rPr>
        <w:t>vertical</w:t>
      </w:r>
      <w:r w:rsidR="001835ED">
        <w:rPr>
          <w:rFonts w:cs="Times New Roman"/>
          <w:color w:val="000000"/>
        </w:rPr>
        <w:t xml:space="preserve"> extent</w:t>
      </w:r>
      <w:r w:rsidR="001835ED" w:rsidRPr="00F15F1F">
        <w:rPr>
          <w:rFonts w:cs="Times New Roman"/>
        </w:rPr>
        <w:t>.</w:t>
      </w:r>
      <w:r w:rsidR="001835ED">
        <w:rPr>
          <w:rFonts w:cs="Times New Roman"/>
        </w:rPr>
        <w:t xml:space="preserve"> </w:t>
      </w:r>
      <w:r w:rsidR="00FC38AF" w:rsidRPr="00FC38AF">
        <w:rPr>
          <w:rFonts w:cs="Times New Roman"/>
          <w:color w:val="000000"/>
        </w:rPr>
        <w:t xml:space="preserve">Anomaly A1, aligned with the </w:t>
      </w:r>
      <w:r w:rsidR="00353BAF">
        <w:rPr>
          <w:rFonts w:cs="Times New Roman"/>
          <w:color w:val="000000"/>
        </w:rPr>
        <w:t>RSR</w:t>
      </w:r>
      <w:r w:rsidR="00FC38AF" w:rsidRPr="00FC38AF">
        <w:rPr>
          <w:rFonts w:cs="Times New Roman"/>
          <w:color w:val="000000"/>
        </w:rPr>
        <w:t xml:space="preserve">, </w:t>
      </w:r>
      <w:r w:rsidR="00AF33C4">
        <w:rPr>
          <w:rFonts w:cs="Times New Roman"/>
          <w:color w:val="000000"/>
        </w:rPr>
        <w:t>i</w:t>
      </w:r>
      <w:r w:rsidR="00FC38AF" w:rsidRPr="00FC38AF">
        <w:rPr>
          <w:rFonts w:cs="Times New Roman"/>
          <w:color w:val="000000"/>
        </w:rPr>
        <w:t xml:space="preserve">s recovered with </w:t>
      </w:r>
      <w:r w:rsidR="00AF33C4">
        <w:rPr>
          <w:rFonts w:cs="Times New Roman"/>
          <w:color w:val="000000"/>
        </w:rPr>
        <w:t>good</w:t>
      </w:r>
      <w:r w:rsidR="00FC38AF" w:rsidRPr="00FC38AF">
        <w:rPr>
          <w:rFonts w:cs="Times New Roman"/>
          <w:color w:val="000000"/>
        </w:rPr>
        <w:t xml:space="preserve"> fidelity in both shape and amplitude through its 65 km vertical extent, whereas A2 along the </w:t>
      </w:r>
      <w:r w:rsidR="00353BAF">
        <w:rPr>
          <w:rFonts w:cs="Times New Roman"/>
          <w:color w:val="000000"/>
        </w:rPr>
        <w:t>GAR</w:t>
      </w:r>
      <w:r w:rsidR="00FC38AF" w:rsidRPr="00FC38AF">
        <w:rPr>
          <w:rFonts w:cs="Times New Roman"/>
          <w:color w:val="000000"/>
        </w:rPr>
        <w:t xml:space="preserve"> was well-resolved in shallow layers but deteriorated beyond 50 km depth. Similarly, the cylindrical anomaly B1 maintained its circular shape in the mid-crustal ranges, while B2 showed robust recovery in the mid-depth interval (35–50 km) but suffered some vertical smearing beyond its original extent. Overall, these tests confirm the robustness of the inversion within the well-resolved zones and illuminate the trade-offs inherent in different grid resolutions.</w:t>
      </w:r>
    </w:p>
    <w:p w14:paraId="4F9D20BF" w14:textId="77777777" w:rsidR="005066D4" w:rsidRDefault="005066D4" w:rsidP="005066D4">
      <w:pPr>
        <w:spacing w:before="0" w:line="240" w:lineRule="auto"/>
        <w:ind w:left="709" w:hanging="709"/>
        <w:rPr>
          <w:rFonts w:cs="Times New Roman"/>
          <w:noProof/>
          <w:szCs w:val="24"/>
        </w:rPr>
      </w:pPr>
      <w:r>
        <w:rPr>
          <w:noProof/>
        </w:rPr>
        <w:lastRenderedPageBreak/>
        <w:drawing>
          <wp:inline distT="0" distB="0" distL="0" distR="0" wp14:anchorId="03A09D29" wp14:editId="516EFCE1">
            <wp:extent cx="5204789" cy="4257675"/>
            <wp:effectExtent l="0" t="0" r="0" b="0"/>
            <wp:docPr id="1288751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51157" name=""/>
                    <pic:cNvPicPr/>
                  </pic:nvPicPr>
                  <pic:blipFill>
                    <a:blip r:embed="rId18"/>
                    <a:stretch>
                      <a:fillRect/>
                    </a:stretch>
                  </pic:blipFill>
                  <pic:spPr>
                    <a:xfrm>
                      <a:off x="0" y="0"/>
                      <a:ext cx="5226202" cy="4275192"/>
                    </a:xfrm>
                    <a:prstGeom prst="rect">
                      <a:avLst/>
                    </a:prstGeom>
                  </pic:spPr>
                </pic:pic>
              </a:graphicData>
            </a:graphic>
          </wp:inline>
        </w:drawing>
      </w:r>
    </w:p>
    <w:p w14:paraId="734C426C" w14:textId="6C3716F0" w:rsidR="005066D4" w:rsidRPr="00A3357B" w:rsidRDefault="005066D4" w:rsidP="00A3357B">
      <w:pPr>
        <w:spacing w:before="0" w:after="240" w:line="240" w:lineRule="auto"/>
        <w:ind w:firstLine="0"/>
        <w:rPr>
          <w:rFonts w:cs="Times New Roman"/>
          <w:noProof/>
          <w:szCs w:val="24"/>
        </w:rPr>
      </w:pPr>
      <w:r w:rsidRPr="005066D4">
        <w:rPr>
          <w:rFonts w:cs="Times New Roman"/>
          <w:noProof/>
          <w:sz w:val="22"/>
        </w:rPr>
        <w:t>Figure 11: Structural reconstruction test results of introducing high-velocity (A1 and A2) and low-velocity (B1 and B2) synthetic anomalies, and adding random noise with a standard deviation of 0.1 seconds. The first figure (top left) is the input while the other figures are outputs at different depth layers</w:t>
      </w:r>
      <w:r w:rsidRPr="00BF5AB8">
        <w:rPr>
          <w:rFonts w:cs="Times New Roman"/>
          <w:noProof/>
          <w:szCs w:val="24"/>
        </w:rPr>
        <w:t>.</w:t>
      </w:r>
    </w:p>
    <w:p w14:paraId="698151D7" w14:textId="0C0234E7" w:rsidR="009A655F" w:rsidRPr="004D4245" w:rsidRDefault="00107EB7" w:rsidP="00EB233B">
      <w:pPr>
        <w:pStyle w:val="Heading2"/>
        <w:spacing w:after="0"/>
        <w:ind w:left="567" w:hanging="567"/>
        <w:rPr>
          <w:rFonts w:ascii="Times New Roman" w:hAnsi="Times New Roman" w:cs="Times New Roman"/>
          <w:szCs w:val="24"/>
        </w:rPr>
      </w:pPr>
      <w:r>
        <w:rPr>
          <w:rFonts w:ascii="Times New Roman" w:hAnsi="Times New Roman" w:cs="Times New Roman"/>
          <w:szCs w:val="24"/>
        </w:rPr>
        <w:t>4</w:t>
      </w:r>
      <w:r w:rsidR="009A655F" w:rsidRPr="004D4245">
        <w:rPr>
          <w:rFonts w:ascii="Times New Roman" w:hAnsi="Times New Roman" w:cs="Times New Roman"/>
          <w:szCs w:val="24"/>
        </w:rPr>
        <w:t>.3</w:t>
      </w:r>
      <w:r w:rsidR="009A655F" w:rsidRPr="004D4245">
        <w:rPr>
          <w:rFonts w:ascii="Times New Roman" w:hAnsi="Times New Roman" w:cs="Times New Roman"/>
          <w:szCs w:val="24"/>
        </w:rPr>
        <w:tab/>
      </w:r>
      <w:r w:rsidR="008162DF" w:rsidRPr="008162DF">
        <w:rPr>
          <w:rFonts w:ascii="Times New Roman" w:hAnsi="Times New Roman" w:cs="Times New Roman"/>
          <w:szCs w:val="24"/>
        </w:rPr>
        <w:t>Tomographic Inversion</w:t>
      </w:r>
    </w:p>
    <w:p w14:paraId="02B65715" w14:textId="425C8462" w:rsidR="00A646A4" w:rsidRDefault="00991DCB" w:rsidP="00A646A4">
      <w:pPr>
        <w:spacing w:before="0" w:line="360" w:lineRule="auto"/>
        <w:ind w:right="-22" w:firstLine="426"/>
        <w:rPr>
          <w:rFonts w:cs="Times New Roman"/>
          <w:color w:val="000000"/>
        </w:rPr>
      </w:pPr>
      <w:bookmarkStart w:id="12" w:name="_Hlk191827406"/>
      <w:r w:rsidRPr="00F15F1F">
        <w:rPr>
          <w:rFonts w:cs="Times New Roman"/>
          <w:color w:val="000000"/>
        </w:rPr>
        <w:t xml:space="preserve">Figures </w:t>
      </w:r>
      <w:r w:rsidR="007F439D">
        <w:rPr>
          <w:rFonts w:cs="Times New Roman"/>
          <w:color w:val="0000FF"/>
        </w:rPr>
        <w:t>12</w:t>
      </w:r>
      <w:r w:rsidRPr="00F15F1F">
        <w:rPr>
          <w:rFonts w:cs="Times New Roman"/>
          <w:color w:val="000000"/>
        </w:rPr>
        <w:t>–</w:t>
      </w:r>
      <w:r w:rsidRPr="00F15F1F">
        <w:rPr>
          <w:rFonts w:cs="Times New Roman"/>
          <w:color w:val="0000FF"/>
        </w:rPr>
        <w:t>1</w:t>
      </w:r>
      <w:r w:rsidR="007F439D">
        <w:rPr>
          <w:rFonts w:cs="Times New Roman"/>
          <w:color w:val="0000FF"/>
        </w:rPr>
        <w:t>4</w:t>
      </w:r>
      <w:r w:rsidRPr="00F15F1F">
        <w:rPr>
          <w:rFonts w:cs="Times New Roman"/>
          <w:color w:val="000000"/>
        </w:rPr>
        <w:t xml:space="preserve"> present </w:t>
      </w:r>
      <w:r>
        <w:rPr>
          <w:rFonts w:cs="Times New Roman"/>
          <w:color w:val="000000"/>
        </w:rPr>
        <w:t>s</w:t>
      </w:r>
      <w:r w:rsidRPr="0016372B">
        <w:rPr>
          <w:rFonts w:cs="Times New Roman"/>
          <w:color w:val="000000"/>
        </w:rPr>
        <w:t>eismic tomographic cross-sections</w:t>
      </w:r>
      <w:r>
        <w:rPr>
          <w:rFonts w:cs="Times New Roman"/>
          <w:color w:val="000000"/>
        </w:rPr>
        <w:t xml:space="preserve">, </w:t>
      </w:r>
      <w:r w:rsidRPr="0016372B">
        <w:rPr>
          <w:rFonts w:cs="Times New Roman"/>
          <w:color w:val="000000"/>
        </w:rPr>
        <w:t>including horizontal slices and vertical profiles along east-west and north-south orientations</w:t>
      </w:r>
      <w:r>
        <w:rPr>
          <w:rFonts w:cs="Times New Roman"/>
          <w:color w:val="000000"/>
        </w:rPr>
        <w:t xml:space="preserve">. </w:t>
      </w:r>
      <w:r w:rsidRPr="00192AEB">
        <w:rPr>
          <w:rFonts w:cs="Times New Roman"/>
          <w:color w:val="000000"/>
        </w:rPr>
        <w:t xml:space="preserve">In these images, </w:t>
      </w:r>
      <w:bookmarkStart w:id="13" w:name="_Hlk191990480"/>
      <w:r w:rsidRPr="00192AEB">
        <w:rPr>
          <w:rFonts w:cs="Times New Roman"/>
          <w:color w:val="000000"/>
        </w:rPr>
        <w:t>low-velocity zones (LVZs) are depicted in red and high-velocity zones (HVZs) in blue</w:t>
      </w:r>
      <w:bookmarkEnd w:id="13"/>
      <w:r w:rsidRPr="00192AEB">
        <w:rPr>
          <w:rFonts w:cs="Times New Roman"/>
          <w:color w:val="000000"/>
        </w:rPr>
        <w:t>.</w:t>
      </w:r>
      <w:r>
        <w:rPr>
          <w:rFonts w:cs="Times New Roman"/>
          <w:color w:val="000000"/>
        </w:rPr>
        <w:t xml:space="preserve"> </w:t>
      </w:r>
      <w:r w:rsidRPr="003E7257">
        <w:rPr>
          <w:lang w:val="en-GB"/>
        </w:rPr>
        <w:t>The images compare these anomalies at three grid resolutions—0.25° × 0.25°, 0.5° × 0.5°, and 1.0° × 1.0°</w:t>
      </w:r>
      <w:r>
        <w:rPr>
          <w:lang w:val="en-GB"/>
        </w:rPr>
        <w:t xml:space="preserve">. </w:t>
      </w:r>
      <w:r w:rsidRPr="00976065">
        <w:rPr>
          <w:rFonts w:cs="Times New Roman"/>
          <w:color w:val="000000"/>
        </w:rPr>
        <w:t>In the horizontal cross-sections, purple triangles mark seismic stations, and yellow circles indicate earthquake locations within 0.5 km of each depth layer.</w:t>
      </w:r>
      <w:r>
        <w:rPr>
          <w:rFonts w:cs="Times New Roman"/>
          <w:color w:val="000000"/>
          <w:lang w:val="en-GB"/>
        </w:rPr>
        <w:t xml:space="preserve"> </w:t>
      </w:r>
      <w:r w:rsidRPr="00976065">
        <w:rPr>
          <w:rFonts w:cs="Times New Roman"/>
          <w:color w:val="000000"/>
        </w:rPr>
        <w:t xml:space="preserve">In the vertical cross-sections, black circles denote earthquake focal depths within 5 km of each cross-section, and the depth axis is exaggerated </w:t>
      </w:r>
      <w:r w:rsidRPr="00E70A9B">
        <w:rPr>
          <w:rFonts w:cs="Times New Roman"/>
          <w:color w:val="000000"/>
        </w:rPr>
        <w:t xml:space="preserve">approximately 10 times </w:t>
      </w:r>
      <w:r w:rsidRPr="00976065">
        <w:rPr>
          <w:rFonts w:cs="Times New Roman"/>
          <w:color w:val="000000"/>
        </w:rPr>
        <w:t>to enhance visuali</w:t>
      </w:r>
      <w:r w:rsidR="005F0551">
        <w:rPr>
          <w:rFonts w:cs="Times New Roman"/>
          <w:color w:val="000000"/>
        </w:rPr>
        <w:t>s</w:t>
      </w:r>
      <w:r w:rsidRPr="00976065">
        <w:rPr>
          <w:rFonts w:cs="Times New Roman"/>
          <w:color w:val="000000"/>
        </w:rPr>
        <w:t>ation.</w:t>
      </w:r>
      <w:r>
        <w:rPr>
          <w:rFonts w:cs="Times New Roman"/>
          <w:color w:val="000000"/>
        </w:rPr>
        <w:t xml:space="preserve"> </w:t>
      </w:r>
      <w:r w:rsidR="005B08E7" w:rsidRPr="005B08E7">
        <w:rPr>
          <w:rFonts w:cs="Times New Roman"/>
          <w:color w:val="000000"/>
        </w:rPr>
        <w:t>The final inversion produced</w:t>
      </w:r>
      <w:r w:rsidR="005B08E7">
        <w:rPr>
          <w:rFonts w:cs="Times New Roman"/>
          <w:color w:val="000000"/>
        </w:rPr>
        <w:t xml:space="preserve"> </w:t>
      </w:r>
      <w:r w:rsidR="003A7144" w:rsidRPr="003A7144">
        <w:rPr>
          <w:rFonts w:cs="Times New Roman"/>
          <w:color w:val="000000"/>
        </w:rPr>
        <w:t xml:space="preserve">a </w:t>
      </w:r>
      <w:r w:rsidR="00A65346" w:rsidRPr="00DB25B2">
        <w:t>3D velocity perturbation</w:t>
      </w:r>
      <w:r w:rsidR="00243FFE">
        <w:rPr>
          <w:rFonts w:cs="Times New Roman"/>
          <w:color w:val="000000"/>
        </w:rPr>
        <w:t xml:space="preserve"> </w:t>
      </w:r>
      <w:r w:rsidR="00F60981">
        <w:rPr>
          <w:rFonts w:cs="Times New Roman"/>
          <w:color w:val="000000"/>
        </w:rPr>
        <w:t xml:space="preserve">model </w:t>
      </w:r>
      <w:r>
        <w:rPr>
          <w:rFonts w:cs="Times New Roman"/>
          <w:color w:val="000000"/>
        </w:rPr>
        <w:t xml:space="preserve">(Fig. </w:t>
      </w:r>
      <w:r w:rsidRPr="00991DCB">
        <w:rPr>
          <w:rFonts w:cs="Times New Roman"/>
          <w:color w:val="0000FF"/>
        </w:rPr>
        <w:t>1</w:t>
      </w:r>
      <w:r w:rsidR="00876524">
        <w:rPr>
          <w:rFonts w:cs="Times New Roman"/>
          <w:color w:val="0000FF"/>
        </w:rPr>
        <w:t>5</w:t>
      </w:r>
      <w:r>
        <w:rPr>
          <w:rFonts w:cs="Times New Roman"/>
          <w:color w:val="000000"/>
        </w:rPr>
        <w:t>)</w:t>
      </w:r>
      <w:r w:rsidR="00096244">
        <w:rPr>
          <w:rFonts w:cs="Times New Roman"/>
          <w:color w:val="000000"/>
        </w:rPr>
        <w:t xml:space="preserve">. The </w:t>
      </w:r>
      <w:r w:rsidR="00B40C3C">
        <w:rPr>
          <w:rFonts w:cs="Times New Roman"/>
          <w:color w:val="000000"/>
        </w:rPr>
        <w:t xml:space="preserve">absolute </w:t>
      </w:r>
      <w:r w:rsidR="00B40C3C" w:rsidRPr="00B40C3C">
        <w:rPr>
          <w:rFonts w:cs="Times New Roman"/>
          <w:color w:val="000000"/>
        </w:rPr>
        <w:t xml:space="preserve">P-wave velocity model </w:t>
      </w:r>
      <w:r w:rsidR="00096244">
        <w:rPr>
          <w:rFonts w:cs="Times New Roman"/>
          <w:color w:val="000000"/>
        </w:rPr>
        <w:t xml:space="preserve">is used to derive </w:t>
      </w:r>
      <w:r w:rsidR="00B40C3C" w:rsidRPr="00B40C3C">
        <w:rPr>
          <w:rFonts w:cs="Times New Roman"/>
          <w:color w:val="000000"/>
        </w:rPr>
        <w:t>S-wave velocity,</w:t>
      </w:r>
      <w:r w:rsidR="00091683">
        <w:rPr>
          <w:rFonts w:cs="Times New Roman"/>
          <w:color w:val="000000"/>
        </w:rPr>
        <w:t xml:space="preserve"> </w:t>
      </w:r>
      <w:r w:rsidR="00091683" w:rsidRPr="00F15F1F">
        <w:rPr>
          <w:rFonts w:cs="Times New Roman"/>
          <w:color w:val="000000"/>
        </w:rPr>
        <w:t>density</w:t>
      </w:r>
      <w:r w:rsidR="00091683">
        <w:rPr>
          <w:rFonts w:cs="Times New Roman"/>
          <w:color w:val="000000"/>
        </w:rPr>
        <w:t xml:space="preserve">, and </w:t>
      </w:r>
      <w:r w:rsidR="00091683" w:rsidRPr="00F15F1F">
        <w:rPr>
          <w:rFonts w:cs="Times New Roman"/>
          <w:color w:val="000000"/>
        </w:rPr>
        <w:t xml:space="preserve"> Poisson's ratio</w:t>
      </w:r>
      <w:r w:rsidR="00B52A90" w:rsidRPr="00B52A90">
        <w:rPr>
          <w:rFonts w:cs="Times New Roman"/>
          <w:color w:val="000000"/>
        </w:rPr>
        <w:t xml:space="preserve"> </w:t>
      </w:r>
      <w:r w:rsidR="00D67B2B">
        <w:rPr>
          <w:rFonts w:cs="Times New Roman"/>
          <w:color w:val="000000"/>
        </w:rPr>
        <w:t xml:space="preserve">for the three grid cells (available </w:t>
      </w:r>
      <w:r w:rsidR="00D67B2B" w:rsidRPr="00F15F1F">
        <w:rPr>
          <w:rFonts w:cs="Times New Roman"/>
          <w:color w:val="000000"/>
        </w:rPr>
        <w:t xml:space="preserve">in the </w:t>
      </w:r>
      <w:r w:rsidR="00C1343C">
        <w:rPr>
          <w:rFonts w:cs="Times New Roman"/>
          <w:color w:val="000000"/>
        </w:rPr>
        <w:t>s</w:t>
      </w:r>
      <w:r w:rsidR="00D465C6" w:rsidRPr="00C1343C">
        <w:rPr>
          <w:rFonts w:cs="Times New Roman"/>
          <w:color w:val="000000"/>
        </w:rPr>
        <w:t>upplementary</w:t>
      </w:r>
      <w:r w:rsidR="00D67B2B" w:rsidRPr="00C1343C">
        <w:rPr>
          <w:rFonts w:cs="Times New Roman"/>
          <w:color w:val="000000"/>
        </w:rPr>
        <w:t xml:space="preserve"> </w:t>
      </w:r>
      <w:r w:rsidR="00C1343C">
        <w:rPr>
          <w:rFonts w:cs="Times New Roman"/>
          <w:color w:val="000000"/>
        </w:rPr>
        <w:t>i</w:t>
      </w:r>
      <w:r w:rsidR="00D67B2B" w:rsidRPr="00C1343C">
        <w:rPr>
          <w:rFonts w:cs="Times New Roman"/>
          <w:color w:val="000000"/>
        </w:rPr>
        <w:t>nformation</w:t>
      </w:r>
      <w:r w:rsidR="00D67B2B">
        <w:rPr>
          <w:rFonts w:cs="Times New Roman"/>
          <w:color w:val="000000"/>
        </w:rPr>
        <w:t xml:space="preserve">) </w:t>
      </w:r>
      <w:r w:rsidR="00B52A90">
        <w:rPr>
          <w:rFonts w:cs="Times New Roman"/>
          <w:color w:val="000000"/>
        </w:rPr>
        <w:t>u</w:t>
      </w:r>
      <w:r w:rsidR="00B52A90" w:rsidRPr="00F15F1F">
        <w:rPr>
          <w:rFonts w:cs="Times New Roman"/>
          <w:color w:val="000000"/>
        </w:rPr>
        <w:t xml:space="preserve">sing </w:t>
      </w:r>
      <w:r w:rsidR="0080289A" w:rsidRPr="0080289A">
        <w:rPr>
          <w:rFonts w:cs="Times New Roman"/>
          <w:color w:val="000000"/>
        </w:rPr>
        <w:t xml:space="preserve">established </w:t>
      </w:r>
      <w:r w:rsidR="00B52A90" w:rsidRPr="00F15F1F">
        <w:rPr>
          <w:rFonts w:cs="Times New Roman"/>
          <w:color w:val="000000"/>
        </w:rPr>
        <w:t>empirical relationships</w:t>
      </w:r>
      <w:r w:rsidR="00B52A90">
        <w:rPr>
          <w:rFonts w:cs="Times New Roman"/>
          <w:color w:val="000000"/>
        </w:rPr>
        <w:t xml:space="preserve"> </w:t>
      </w:r>
      <w:r w:rsidR="007F6788">
        <w:rPr>
          <w:rFonts w:cs="Times New Roman"/>
          <w:lang w:eastAsia="en-MY"/>
        </w:rPr>
        <w:t>(</w:t>
      </w:r>
      <w:r w:rsidR="00B52A90" w:rsidRPr="00190C1D">
        <w:rPr>
          <w:rFonts w:cs="Times New Roman"/>
          <w:color w:val="0000FF"/>
          <w:lang w:eastAsia="en-MY"/>
        </w:rPr>
        <w:t>Ludwig</w:t>
      </w:r>
      <w:r w:rsidR="00B52A90" w:rsidRPr="00190C1D">
        <w:rPr>
          <w:rFonts w:cs="Times New Roman"/>
          <w:color w:val="0000FF"/>
          <w:lang w:eastAsia="en-MY"/>
        </w:rPr>
        <w:fldChar w:fldCharType="begin"/>
      </w:r>
      <w:r w:rsidR="00B52A90" w:rsidRPr="00190C1D">
        <w:rPr>
          <w:rFonts w:cs="Times New Roman"/>
          <w:color w:val="0000FF"/>
          <w:lang w:eastAsia="en-MY"/>
        </w:rPr>
        <w:instrText xml:space="preserve"> ADDIN EN.CITE &lt;EndNote&gt;&lt;Cite Hidden="1"&gt;&lt;Author&gt;Ludwig&lt;/Author&gt;&lt;Year&gt;1970&lt;/Year&gt;&lt;RecNum&gt;4663&lt;/RecNum&gt;&lt;record&gt;&lt;rec-number&gt;4663&lt;/rec-number&gt;&lt;foreign-keys&gt;&lt;key app="EN" db-id="50wxdpzd9vd5r7e9t5b595djrfpttrxw9avp" timestamp="1635654020"&gt;4663&lt;/key&gt;&lt;/foreign-keys&gt;&lt;ref-type name="Book"&gt;6&lt;/ref-type&gt;&lt;contributors&gt;&lt;authors&gt;&lt;author&gt;Ludwig, WJ&lt;/author&gt;&lt;author&gt;Nafe, JE&lt;/author&gt;&lt;author&gt;Drake, CL&lt;/author&gt;&lt;/authors&gt;&lt;secondary-authors&gt;&lt;author&gt;A. E. Maxwell&lt;/author&gt;&lt;/secondary-authors&gt;&lt;tertiary-authors&gt;&lt;author&gt;A. E. Maxwell&lt;/author&gt;&lt;/tertiary-authors&gt;&lt;/contributors&gt;&lt;titles&gt;&lt;title&gt;Seismic refraction&lt;/title&gt;&lt;secondary-title&gt;The Sea&lt;/secondary-title&gt;&lt;/titles&gt;&lt;volume&gt;4&lt;/volume&gt;&lt;number&gt;4&lt;/number&gt;&lt;num-vols&gt;1&lt;/num-vols&gt;&lt;section&gt;53–84&lt;/section&gt;&lt;dates&gt;&lt;year&gt;1970&lt;/year&gt;&lt;/dates&gt;&lt;pub-location&gt;New York&lt;/pub-location&gt;&lt;publisher&gt;Wiley-Interscience&lt;/publisher&gt;&lt;urls&gt;&lt;/urls&gt;&lt;/record&gt;&lt;/Cite&gt;&lt;/EndNote&gt;</w:instrText>
      </w:r>
      <w:r w:rsidR="00B52A90" w:rsidRPr="00190C1D">
        <w:rPr>
          <w:rFonts w:cs="Times New Roman"/>
          <w:color w:val="0000FF"/>
          <w:lang w:eastAsia="en-MY"/>
        </w:rPr>
        <w:fldChar w:fldCharType="end"/>
      </w:r>
      <w:r w:rsidR="00B52A90" w:rsidRPr="00190C1D">
        <w:rPr>
          <w:rFonts w:cs="Times New Roman"/>
          <w:color w:val="0000FF"/>
          <w:lang w:eastAsia="en-MY"/>
        </w:rPr>
        <w:t xml:space="preserve"> </w:t>
      </w:r>
      <w:r w:rsidR="00B52A90" w:rsidRPr="00190C1D">
        <w:rPr>
          <w:rFonts w:cs="Times New Roman"/>
          <w:i/>
          <w:iCs/>
          <w:color w:val="0000FF"/>
          <w:lang w:eastAsia="en-MY"/>
        </w:rPr>
        <w:t>et al.</w:t>
      </w:r>
      <w:r w:rsidR="007F6788" w:rsidRPr="00190C1D">
        <w:rPr>
          <w:rFonts w:cs="Times New Roman"/>
          <w:i/>
          <w:iCs/>
          <w:color w:val="0000FF"/>
          <w:lang w:eastAsia="en-MY"/>
        </w:rPr>
        <w:t>,</w:t>
      </w:r>
      <w:r w:rsidR="00B52A90" w:rsidRPr="00190C1D">
        <w:rPr>
          <w:rFonts w:cs="Times New Roman"/>
          <w:color w:val="0000FF"/>
          <w:lang w:eastAsia="en-MY"/>
        </w:rPr>
        <w:t xml:space="preserve"> 1970</w:t>
      </w:r>
      <w:r w:rsidR="007F6788" w:rsidRPr="00190C1D">
        <w:rPr>
          <w:rFonts w:cs="Times New Roman"/>
          <w:color w:val="0000FF"/>
          <w:lang w:eastAsia="en-MY"/>
        </w:rPr>
        <w:t>; Brocher</w:t>
      </w:r>
      <w:r w:rsidR="007F6788" w:rsidRPr="00190C1D">
        <w:rPr>
          <w:rFonts w:cs="Times New Roman"/>
          <w:color w:val="0000FF"/>
          <w:lang w:eastAsia="en-MY"/>
        </w:rPr>
        <w:fldChar w:fldCharType="begin"/>
      </w:r>
      <w:r w:rsidR="007F6788" w:rsidRPr="00190C1D">
        <w:rPr>
          <w:rFonts w:cs="Times New Roman"/>
          <w:color w:val="0000FF"/>
          <w:lang w:eastAsia="en-MY"/>
        </w:rPr>
        <w:instrText xml:space="preserve"> ADDIN EN.CITE &lt;EndNote&gt;&lt;Cite Hidden="1"&gt;&lt;Author&gt;Brocher&lt;/Author&gt;&lt;Year&gt;2005&lt;/Year&gt;&lt;RecNum&gt;4662&lt;/RecNum&gt;&lt;record&gt;&lt;rec-number&gt;4662&lt;/rec-number&gt;&lt;foreign-keys&gt;&lt;key app="EN" db-id="50wxdpzd9vd5r7e9t5b595djrfpttrxw9avp" timestamp="1635652717"&gt;4662&lt;/key&gt;&lt;/foreign-keys&gt;&lt;ref-type name="Journal Article"&gt;17&lt;/ref-type&gt;&lt;contributors&gt;&lt;authors&gt;&lt;author&gt;Brocher, Thomas M &lt;/author&gt;&lt;/authors&gt;&lt;/contributors&gt;&lt;titles&gt;&lt;title&gt;Empirical relations between elastic wavespeeds and density in the Earth&amp;apos;s crust&lt;/title&gt;&lt;secondary-title&gt;Bulletin of the seismological Society of America&lt;/secondary-title&gt;&lt;/titles&gt;&lt;periodical&gt;&lt;full-title&gt;Bulletin of the Seismological Society of America&lt;/full-title&gt;&lt;/periodical&gt;&lt;pages&gt;2081-2092&lt;/pages&gt;&lt;volume&gt;95&lt;/volume&gt;&lt;number&gt;6&lt;/number&gt;&lt;dates&gt;&lt;year&gt;2005&lt;/year&gt;&lt;/dates&gt;&lt;isbn&gt;1943-3573&lt;/isbn&gt;&lt;urls&gt;&lt;/urls&gt;&lt;electronic-resource-num&gt;10.1785/0120050077&lt;/electronic-resource-num&gt;&lt;/record&gt;&lt;/Cite&gt;&lt;/EndNote&gt;</w:instrText>
      </w:r>
      <w:r w:rsidR="007F6788" w:rsidRPr="00190C1D">
        <w:rPr>
          <w:rFonts w:cs="Times New Roman"/>
          <w:color w:val="0000FF"/>
          <w:lang w:eastAsia="en-MY"/>
        </w:rPr>
        <w:fldChar w:fldCharType="end"/>
      </w:r>
      <w:r w:rsidR="007F6788" w:rsidRPr="00190C1D">
        <w:rPr>
          <w:rFonts w:cs="Times New Roman"/>
          <w:color w:val="0000FF"/>
          <w:lang w:eastAsia="en-MY"/>
        </w:rPr>
        <w:t>, 2005</w:t>
      </w:r>
      <w:r w:rsidR="007F6788">
        <w:rPr>
          <w:rFonts w:cs="Times New Roman"/>
          <w:lang w:eastAsia="en-MY"/>
        </w:rPr>
        <w:t>)</w:t>
      </w:r>
      <w:r w:rsidR="00917D82">
        <w:rPr>
          <w:rFonts w:cs="Times New Roman"/>
          <w:color w:val="000000"/>
        </w:rPr>
        <w:t xml:space="preserve">. </w:t>
      </w:r>
    </w:p>
    <w:p w14:paraId="6299B16F" w14:textId="77777777" w:rsidR="00442D9F" w:rsidRDefault="00442D9F" w:rsidP="00442D9F">
      <w:pPr>
        <w:spacing w:line="240" w:lineRule="auto"/>
        <w:ind w:firstLine="0"/>
        <w:jc w:val="center"/>
      </w:pPr>
      <w:r>
        <w:rPr>
          <w:noProof/>
        </w:rPr>
        <w:lastRenderedPageBreak/>
        <w:drawing>
          <wp:inline distT="0" distB="0" distL="0" distR="0" wp14:anchorId="45804FA2" wp14:editId="291AB497">
            <wp:extent cx="6099130" cy="7375585"/>
            <wp:effectExtent l="0" t="0" r="0" b="0"/>
            <wp:docPr id="845822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2268"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101869" cy="7378898"/>
                    </a:xfrm>
                    <a:prstGeom prst="rect">
                      <a:avLst/>
                    </a:prstGeom>
                    <a:noFill/>
                    <a:ln>
                      <a:noFill/>
                    </a:ln>
                  </pic:spPr>
                </pic:pic>
              </a:graphicData>
            </a:graphic>
          </wp:inline>
        </w:drawing>
      </w:r>
    </w:p>
    <w:p w14:paraId="3D38E017" w14:textId="197C4B9A" w:rsidR="00442D9F" w:rsidRDefault="00442D9F" w:rsidP="00442D9F">
      <w:pPr>
        <w:spacing w:line="240" w:lineRule="auto"/>
        <w:ind w:firstLine="0"/>
      </w:pPr>
      <w:r w:rsidRPr="00442D9F">
        <w:rPr>
          <w:sz w:val="22"/>
        </w:rPr>
        <w:t>Figure 12: Comparison of inversion results at different depth layers using 0.25º, 0.5º, and 1.0º equilateral grids. Purple triangles are seismic stations while yellow circles represent earthquake locations within 0.5 km of the depth</w:t>
      </w:r>
      <w:r>
        <w:t>.</w:t>
      </w:r>
    </w:p>
    <w:p w14:paraId="49F9BA5B" w14:textId="77777777" w:rsidR="00442D9F" w:rsidRDefault="00442D9F" w:rsidP="00442D9F">
      <w:pPr>
        <w:spacing w:before="0" w:line="240" w:lineRule="auto"/>
      </w:pPr>
    </w:p>
    <w:p w14:paraId="0C6F1366" w14:textId="77777777" w:rsidR="00442D9F" w:rsidRDefault="00442D9F" w:rsidP="00F03A91">
      <w:pPr>
        <w:spacing w:before="0" w:line="240" w:lineRule="auto"/>
        <w:ind w:firstLine="0"/>
        <w:jc w:val="center"/>
      </w:pPr>
      <w:r>
        <w:rPr>
          <w:noProof/>
        </w:rPr>
        <w:lastRenderedPageBreak/>
        <w:drawing>
          <wp:inline distT="0" distB="0" distL="0" distR="0" wp14:anchorId="39C80434" wp14:editId="49560F37">
            <wp:extent cx="6298013" cy="7616091"/>
            <wp:effectExtent l="0" t="0" r="7620" b="4445"/>
            <wp:docPr id="19733272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27263"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298013" cy="7616091"/>
                    </a:xfrm>
                    <a:prstGeom prst="rect">
                      <a:avLst/>
                    </a:prstGeom>
                    <a:noFill/>
                    <a:ln>
                      <a:noFill/>
                    </a:ln>
                  </pic:spPr>
                </pic:pic>
              </a:graphicData>
            </a:graphic>
          </wp:inline>
        </w:drawing>
      </w:r>
    </w:p>
    <w:p w14:paraId="1C47D778" w14:textId="4E03BB4B" w:rsidR="00442D9F" w:rsidRPr="00F03A91" w:rsidRDefault="00442D9F" w:rsidP="00F03A91">
      <w:pPr>
        <w:spacing w:before="0" w:line="240" w:lineRule="auto"/>
        <w:ind w:firstLine="0"/>
        <w:rPr>
          <w:sz w:val="22"/>
        </w:rPr>
      </w:pPr>
      <w:r w:rsidRPr="00F03A91">
        <w:rPr>
          <w:sz w:val="22"/>
        </w:rPr>
        <w:t xml:space="preserve">Figure </w:t>
      </w:r>
      <w:r w:rsidR="00F03A91" w:rsidRPr="00F03A91">
        <w:rPr>
          <w:sz w:val="22"/>
        </w:rPr>
        <w:t>12</w:t>
      </w:r>
      <w:r w:rsidRPr="00F03A91">
        <w:rPr>
          <w:sz w:val="22"/>
        </w:rPr>
        <w:t xml:space="preserve"> continues</w:t>
      </w:r>
    </w:p>
    <w:p w14:paraId="0B21DEE7" w14:textId="77777777" w:rsidR="00442D9F" w:rsidRDefault="00442D9F" w:rsidP="00442D9F">
      <w:pPr>
        <w:spacing w:before="0" w:line="240" w:lineRule="auto"/>
      </w:pPr>
    </w:p>
    <w:p w14:paraId="2D710243" w14:textId="77777777" w:rsidR="00442D9F" w:rsidRDefault="00442D9F" w:rsidP="00EC15FA">
      <w:pPr>
        <w:spacing w:before="0" w:after="240" w:line="240" w:lineRule="auto"/>
        <w:ind w:firstLine="0"/>
        <w:jc w:val="center"/>
      </w:pPr>
      <w:r>
        <w:rPr>
          <w:noProof/>
        </w:rPr>
        <w:lastRenderedPageBreak/>
        <w:drawing>
          <wp:inline distT="0" distB="0" distL="0" distR="0" wp14:anchorId="05928009" wp14:editId="3533F0B5">
            <wp:extent cx="4798313" cy="5934974"/>
            <wp:effectExtent l="0" t="0" r="2540" b="8890"/>
            <wp:docPr id="20147948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94865"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813898" cy="5954251"/>
                    </a:xfrm>
                    <a:prstGeom prst="rect">
                      <a:avLst/>
                    </a:prstGeom>
                    <a:noFill/>
                    <a:ln>
                      <a:noFill/>
                    </a:ln>
                  </pic:spPr>
                </pic:pic>
              </a:graphicData>
            </a:graphic>
          </wp:inline>
        </w:drawing>
      </w:r>
    </w:p>
    <w:p w14:paraId="63707C9C" w14:textId="4CE0D78D" w:rsidR="00442D9F" w:rsidRDefault="00442D9F" w:rsidP="00EC15FA">
      <w:pPr>
        <w:spacing w:before="0" w:line="240" w:lineRule="auto"/>
        <w:ind w:firstLine="0"/>
      </w:pPr>
      <w:r w:rsidRPr="00BD0FD1">
        <w:t>Figure</w:t>
      </w:r>
      <w:r>
        <w:t xml:space="preserve"> 1</w:t>
      </w:r>
      <w:r w:rsidR="00F03A91">
        <w:t>3</w:t>
      </w:r>
      <w:r w:rsidR="00E97249">
        <w:t xml:space="preserve">: </w:t>
      </w:r>
      <w:r w:rsidR="00BC6163" w:rsidRPr="00BC6163">
        <w:rPr>
          <w:sz w:val="22"/>
        </w:rPr>
        <w:t xml:space="preserve">Comparison of inversion results using the 0.25º, 0.5º, and 1.0º equilateral grids at several East-West vertical cross-sections </w:t>
      </w:r>
      <w:r w:rsidR="00BC6163" w:rsidRPr="00BC6163">
        <w:rPr>
          <w:rFonts w:cs="Times New Roman"/>
          <w:sz w:val="22"/>
        </w:rPr>
        <w:t>along latitudes (a) 13º-16º N, and (b) 9º-12º N. The depth axis is about 10 times exaggerated</w:t>
      </w:r>
      <w:r w:rsidR="00BC6163" w:rsidRPr="00BC6163">
        <w:rPr>
          <w:b/>
          <w:bCs/>
          <w:sz w:val="22"/>
        </w:rPr>
        <w:t xml:space="preserve">. </w:t>
      </w:r>
      <w:r w:rsidR="00BC6163" w:rsidRPr="00BC6163">
        <w:rPr>
          <w:sz w:val="22"/>
        </w:rPr>
        <w:t xml:space="preserve">Black circles represent earthquake focal depths within a horizontal distance of 5 km from the cross-section. </w:t>
      </w:r>
      <w:proofErr w:type="spellStart"/>
      <w:r w:rsidR="00BC6163" w:rsidRPr="00BC6163">
        <w:rPr>
          <w:b/>
          <w:bCs/>
          <w:sz w:val="22"/>
        </w:rPr>
        <w:t>AdA</w:t>
      </w:r>
      <w:proofErr w:type="spellEnd"/>
      <w:r w:rsidR="00BC6163" w:rsidRPr="00BC6163">
        <w:rPr>
          <w:sz w:val="22"/>
        </w:rPr>
        <w:t xml:space="preserve"> (Addis Ababa), </w:t>
      </w:r>
      <w:r w:rsidR="00BC6163" w:rsidRPr="00BC6163">
        <w:rPr>
          <w:b/>
          <w:bCs/>
          <w:sz w:val="22"/>
        </w:rPr>
        <w:t>AEE</w:t>
      </w:r>
      <w:r w:rsidR="00BC6163" w:rsidRPr="00BC6163">
        <w:rPr>
          <w:sz w:val="22"/>
        </w:rPr>
        <w:t xml:space="preserve"> (Afar depression eastern encampment), </w:t>
      </w:r>
      <w:r w:rsidR="00BC6163" w:rsidRPr="00BC6163">
        <w:rPr>
          <w:b/>
          <w:bCs/>
          <w:sz w:val="22"/>
        </w:rPr>
        <w:t>Ak</w:t>
      </w:r>
      <w:r w:rsidR="00BC6163" w:rsidRPr="00BC6163">
        <w:rPr>
          <w:sz w:val="22"/>
        </w:rPr>
        <w:t xml:space="preserve"> (Akilo in northern Eritrea), </w:t>
      </w:r>
      <w:r w:rsidR="00BC6163" w:rsidRPr="00BC6163">
        <w:rPr>
          <w:b/>
          <w:bCs/>
          <w:sz w:val="22"/>
        </w:rPr>
        <w:t>AM</w:t>
      </w:r>
      <w:r w:rsidR="00BC6163" w:rsidRPr="00BC6163">
        <w:rPr>
          <w:sz w:val="22"/>
        </w:rPr>
        <w:t xml:space="preserve"> (Al </w:t>
      </w:r>
      <w:proofErr w:type="spellStart"/>
      <w:r w:rsidR="00BC6163" w:rsidRPr="00BC6163">
        <w:rPr>
          <w:sz w:val="22"/>
        </w:rPr>
        <w:t>Madasikah</w:t>
      </w:r>
      <w:proofErr w:type="spellEnd"/>
      <w:r w:rsidR="00BC6163" w:rsidRPr="00BC6163">
        <w:rPr>
          <w:sz w:val="22"/>
        </w:rPr>
        <w:t xml:space="preserve"> in southern Yemen), </w:t>
      </w:r>
      <w:r w:rsidR="00BC6163" w:rsidRPr="00BC6163">
        <w:rPr>
          <w:b/>
          <w:bCs/>
          <w:sz w:val="22"/>
        </w:rPr>
        <w:t>As</w:t>
      </w:r>
      <w:r w:rsidR="00BC6163" w:rsidRPr="00BC6163">
        <w:rPr>
          <w:sz w:val="22"/>
        </w:rPr>
        <w:t xml:space="preserve"> (Assab in Eritrea), </w:t>
      </w:r>
      <w:r w:rsidR="00BC6163" w:rsidRPr="00BC6163">
        <w:rPr>
          <w:b/>
          <w:bCs/>
          <w:sz w:val="22"/>
        </w:rPr>
        <w:t>AWE</w:t>
      </w:r>
      <w:r w:rsidR="00BC6163" w:rsidRPr="00BC6163">
        <w:rPr>
          <w:sz w:val="22"/>
        </w:rPr>
        <w:t xml:space="preserve"> (Afar depression western encampment), </w:t>
      </w:r>
      <w:r w:rsidR="00BC6163" w:rsidRPr="00BC6163">
        <w:rPr>
          <w:b/>
          <w:bCs/>
          <w:sz w:val="22"/>
        </w:rPr>
        <w:t>Ba</w:t>
      </w:r>
      <w:r w:rsidR="00BC6163" w:rsidRPr="00BC6163">
        <w:rPr>
          <w:sz w:val="22"/>
        </w:rPr>
        <w:t xml:space="preserve"> (</w:t>
      </w:r>
      <w:proofErr w:type="spellStart"/>
      <w:r w:rsidR="00BC6163" w:rsidRPr="00BC6163">
        <w:rPr>
          <w:sz w:val="22"/>
        </w:rPr>
        <w:t>Badeda</w:t>
      </w:r>
      <w:proofErr w:type="spellEnd"/>
      <w:r w:rsidR="00BC6163" w:rsidRPr="00BC6163">
        <w:rPr>
          <w:sz w:val="22"/>
        </w:rPr>
        <w:t>, a coastal city in Eritrea),</w:t>
      </w:r>
      <w:r w:rsidR="00BC6163" w:rsidRPr="00BC6163">
        <w:rPr>
          <w:b/>
          <w:bCs/>
          <w:sz w:val="22"/>
        </w:rPr>
        <w:t xml:space="preserve"> </w:t>
      </w:r>
      <w:proofErr w:type="spellStart"/>
      <w:r w:rsidR="00BC6163" w:rsidRPr="00BC6163">
        <w:rPr>
          <w:b/>
          <w:bCs/>
          <w:sz w:val="22"/>
        </w:rPr>
        <w:t>Dj</w:t>
      </w:r>
      <w:proofErr w:type="spellEnd"/>
      <w:r w:rsidR="00BC6163" w:rsidRPr="00BC6163">
        <w:rPr>
          <w:sz w:val="22"/>
        </w:rPr>
        <w:t xml:space="preserve"> (Djibouti) </w:t>
      </w:r>
      <w:r w:rsidR="00BC6163" w:rsidRPr="00BC6163">
        <w:rPr>
          <w:b/>
          <w:bCs/>
          <w:sz w:val="22"/>
        </w:rPr>
        <w:t xml:space="preserve">Er </w:t>
      </w:r>
      <w:r w:rsidR="00BC6163" w:rsidRPr="00BC6163">
        <w:rPr>
          <w:sz w:val="22"/>
        </w:rPr>
        <w:t xml:space="preserve">(Eritrea), </w:t>
      </w:r>
      <w:r w:rsidR="00BC6163" w:rsidRPr="00BC6163">
        <w:rPr>
          <w:b/>
          <w:bCs/>
          <w:sz w:val="22"/>
        </w:rPr>
        <w:t xml:space="preserve">Et </w:t>
      </w:r>
      <w:r w:rsidR="00BC6163" w:rsidRPr="00BC6163">
        <w:rPr>
          <w:sz w:val="22"/>
        </w:rPr>
        <w:t xml:space="preserve">(Ethiopia), </w:t>
      </w:r>
      <w:r w:rsidR="00BC6163" w:rsidRPr="00BC6163">
        <w:rPr>
          <w:b/>
          <w:bCs/>
          <w:sz w:val="22"/>
        </w:rPr>
        <w:t>GA</w:t>
      </w:r>
      <w:r w:rsidR="00BC6163" w:rsidRPr="00BC6163">
        <w:rPr>
          <w:sz w:val="22"/>
        </w:rPr>
        <w:t xml:space="preserve"> (Gulf of Aden), </w:t>
      </w:r>
      <w:r w:rsidR="00BC6163" w:rsidRPr="00BC6163">
        <w:rPr>
          <w:b/>
          <w:bCs/>
          <w:sz w:val="22"/>
        </w:rPr>
        <w:t>HW</w:t>
      </w:r>
      <w:r w:rsidR="00BC6163" w:rsidRPr="00BC6163">
        <w:rPr>
          <w:sz w:val="22"/>
        </w:rPr>
        <w:t xml:space="preserve"> (Haraz Wildlife Sanctuary in southern Yemen), </w:t>
      </w:r>
      <w:proofErr w:type="spellStart"/>
      <w:r w:rsidR="00BC6163" w:rsidRPr="00BC6163">
        <w:rPr>
          <w:b/>
          <w:bCs/>
          <w:sz w:val="22"/>
        </w:rPr>
        <w:t>Ibb</w:t>
      </w:r>
      <w:proofErr w:type="spellEnd"/>
      <w:r w:rsidR="00BC6163" w:rsidRPr="00BC6163">
        <w:rPr>
          <w:sz w:val="22"/>
        </w:rPr>
        <w:t xml:space="preserve"> (name of a city in southern Yemen), </w:t>
      </w:r>
      <w:r w:rsidR="00BC6163" w:rsidRPr="00BC6163">
        <w:rPr>
          <w:b/>
          <w:bCs/>
          <w:sz w:val="22"/>
        </w:rPr>
        <w:t>JJZ</w:t>
      </w:r>
      <w:r w:rsidR="00BC6163" w:rsidRPr="00BC6163">
        <w:rPr>
          <w:sz w:val="22"/>
        </w:rPr>
        <w:t xml:space="preserve"> (Jazirat Jabal </w:t>
      </w:r>
      <w:proofErr w:type="spellStart"/>
      <w:r w:rsidR="00BC6163" w:rsidRPr="00BC6163">
        <w:rPr>
          <w:sz w:val="22"/>
        </w:rPr>
        <w:t>Zuqar</w:t>
      </w:r>
      <w:proofErr w:type="spellEnd"/>
      <w:r w:rsidR="00BC6163" w:rsidRPr="00BC6163">
        <w:rPr>
          <w:sz w:val="22"/>
        </w:rPr>
        <w:t xml:space="preserve">, an Island in the Red Sea between Eritrea and Yemen), </w:t>
      </w:r>
      <w:r w:rsidR="00BC6163" w:rsidRPr="00BC6163">
        <w:rPr>
          <w:b/>
          <w:bCs/>
          <w:sz w:val="22"/>
        </w:rPr>
        <w:t>JZJZ</w:t>
      </w:r>
      <w:r w:rsidR="00BC6163" w:rsidRPr="00BC6163">
        <w:rPr>
          <w:sz w:val="22"/>
        </w:rPr>
        <w:t xml:space="preserve"> (Jabel Zubair Jabal Zubayr, an Island in the Red Sea between Eritrea and Yemen), </w:t>
      </w:r>
      <w:r w:rsidR="00BC6163" w:rsidRPr="00BC6163">
        <w:rPr>
          <w:b/>
          <w:bCs/>
          <w:sz w:val="22"/>
        </w:rPr>
        <w:t>Kr</w:t>
      </w:r>
      <w:r w:rsidR="00BC6163" w:rsidRPr="00BC6163">
        <w:rPr>
          <w:sz w:val="22"/>
        </w:rPr>
        <w:t xml:space="preserve"> (Krum in northern Eritrea),</w:t>
      </w:r>
      <w:r w:rsidR="00BC6163" w:rsidRPr="00BC6163">
        <w:rPr>
          <w:b/>
          <w:bCs/>
          <w:sz w:val="22"/>
        </w:rPr>
        <w:t xml:space="preserve"> LK</w:t>
      </w:r>
      <w:r w:rsidR="00BC6163" w:rsidRPr="00BC6163">
        <w:rPr>
          <w:sz w:val="22"/>
        </w:rPr>
        <w:t xml:space="preserve"> (Lake Karum, in northern Ethiopia), </w:t>
      </w:r>
      <w:r w:rsidR="00BC6163" w:rsidRPr="00BC6163">
        <w:rPr>
          <w:b/>
          <w:bCs/>
          <w:sz w:val="22"/>
        </w:rPr>
        <w:t>Mu</w:t>
      </w:r>
      <w:r w:rsidR="00BC6163" w:rsidRPr="00BC6163">
        <w:rPr>
          <w:sz w:val="22"/>
        </w:rPr>
        <w:t xml:space="preserve"> (</w:t>
      </w:r>
      <w:proofErr w:type="spellStart"/>
      <w:r w:rsidR="00BC6163" w:rsidRPr="00BC6163">
        <w:rPr>
          <w:sz w:val="22"/>
        </w:rPr>
        <w:t>Mudiyah</w:t>
      </w:r>
      <w:proofErr w:type="spellEnd"/>
      <w:r w:rsidR="00BC6163" w:rsidRPr="00BC6163">
        <w:rPr>
          <w:sz w:val="22"/>
        </w:rPr>
        <w:t xml:space="preserve"> city in southern Yemen), </w:t>
      </w:r>
      <w:r w:rsidR="00BC6163" w:rsidRPr="00BC6163">
        <w:rPr>
          <w:b/>
          <w:bCs/>
          <w:sz w:val="22"/>
        </w:rPr>
        <w:t>Ob</w:t>
      </w:r>
      <w:r w:rsidR="00BC6163" w:rsidRPr="00BC6163">
        <w:rPr>
          <w:sz w:val="22"/>
        </w:rPr>
        <w:t xml:space="preserve"> (</w:t>
      </w:r>
      <w:proofErr w:type="spellStart"/>
      <w:r w:rsidR="00BC6163" w:rsidRPr="00BC6163">
        <w:rPr>
          <w:sz w:val="22"/>
        </w:rPr>
        <w:t>Obock</w:t>
      </w:r>
      <w:proofErr w:type="spellEnd"/>
      <w:r w:rsidR="00BC6163" w:rsidRPr="00BC6163">
        <w:rPr>
          <w:sz w:val="22"/>
        </w:rPr>
        <w:t xml:space="preserve"> in northern Djibouti), </w:t>
      </w:r>
      <w:r w:rsidR="00BC6163" w:rsidRPr="00BC6163">
        <w:rPr>
          <w:b/>
          <w:bCs/>
          <w:sz w:val="22"/>
        </w:rPr>
        <w:t>R</w:t>
      </w:r>
      <w:r w:rsidR="00BC6163" w:rsidRPr="00BC6163">
        <w:rPr>
          <w:sz w:val="22"/>
        </w:rPr>
        <w:t xml:space="preserve"> (Red Sea), </w:t>
      </w:r>
      <w:r w:rsidR="00BC6163" w:rsidRPr="00BC6163">
        <w:rPr>
          <w:b/>
          <w:bCs/>
          <w:sz w:val="22"/>
        </w:rPr>
        <w:t>Se</w:t>
      </w:r>
      <w:r w:rsidR="00BC6163" w:rsidRPr="00BC6163">
        <w:rPr>
          <w:sz w:val="22"/>
        </w:rPr>
        <w:t xml:space="preserve"> (</w:t>
      </w:r>
      <w:proofErr w:type="spellStart"/>
      <w:r w:rsidR="00BC6163" w:rsidRPr="00BC6163">
        <w:rPr>
          <w:sz w:val="22"/>
        </w:rPr>
        <w:t>Serdo</w:t>
      </w:r>
      <w:proofErr w:type="spellEnd"/>
      <w:r w:rsidR="00BC6163" w:rsidRPr="00BC6163">
        <w:rPr>
          <w:sz w:val="22"/>
        </w:rPr>
        <w:t xml:space="preserve"> in northern Ethiopia), </w:t>
      </w:r>
      <w:r w:rsidR="00BC6163" w:rsidRPr="00BC6163">
        <w:rPr>
          <w:b/>
          <w:bCs/>
          <w:sz w:val="22"/>
        </w:rPr>
        <w:t>So</w:t>
      </w:r>
      <w:r w:rsidR="00BC6163" w:rsidRPr="00BC6163">
        <w:rPr>
          <w:sz w:val="22"/>
        </w:rPr>
        <w:t xml:space="preserve"> (Somalia), </w:t>
      </w:r>
      <w:proofErr w:type="spellStart"/>
      <w:r w:rsidR="00BC6163" w:rsidRPr="00BC6163">
        <w:rPr>
          <w:b/>
          <w:bCs/>
          <w:sz w:val="22"/>
        </w:rPr>
        <w:t>Sh</w:t>
      </w:r>
      <w:proofErr w:type="spellEnd"/>
      <w:r w:rsidR="00BC6163" w:rsidRPr="00BC6163">
        <w:rPr>
          <w:sz w:val="22"/>
        </w:rPr>
        <w:t xml:space="preserve"> (</w:t>
      </w:r>
      <w:proofErr w:type="spellStart"/>
      <w:r w:rsidR="00BC6163" w:rsidRPr="00BC6163">
        <w:rPr>
          <w:sz w:val="22"/>
        </w:rPr>
        <w:t>Sheib</w:t>
      </w:r>
      <w:proofErr w:type="spellEnd"/>
      <w:r w:rsidR="00BC6163" w:rsidRPr="00BC6163">
        <w:rPr>
          <w:sz w:val="22"/>
        </w:rPr>
        <w:t xml:space="preserve"> in northern Eritrea), </w:t>
      </w:r>
      <w:r w:rsidR="00BC6163" w:rsidRPr="00BC6163">
        <w:rPr>
          <w:b/>
          <w:bCs/>
          <w:sz w:val="22"/>
        </w:rPr>
        <w:t>Ye</w:t>
      </w:r>
      <w:r w:rsidR="00BC6163" w:rsidRPr="00BC6163">
        <w:rPr>
          <w:sz w:val="22"/>
        </w:rPr>
        <w:t xml:space="preserve"> (Yemen). The forward slash between the character symbols denotes their boundary</w:t>
      </w:r>
      <w:r w:rsidR="00B313A2">
        <w:rPr>
          <w:sz w:val="22"/>
        </w:rPr>
        <w:t>.</w:t>
      </w:r>
    </w:p>
    <w:p w14:paraId="6D695651" w14:textId="77777777" w:rsidR="00442D9F" w:rsidRDefault="00442D9F" w:rsidP="00EC15FA">
      <w:pPr>
        <w:spacing w:before="0" w:after="240" w:line="240" w:lineRule="auto"/>
        <w:ind w:firstLine="0"/>
        <w:jc w:val="center"/>
      </w:pPr>
      <w:r>
        <w:rPr>
          <w:noProof/>
        </w:rPr>
        <w:lastRenderedPageBreak/>
        <w:drawing>
          <wp:inline distT="0" distB="0" distL="0" distR="0" wp14:anchorId="0B730581" wp14:editId="5E7C431F">
            <wp:extent cx="5702060" cy="6700125"/>
            <wp:effectExtent l="0" t="0" r="0" b="5715"/>
            <wp:docPr id="4004080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408028"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709362" cy="6708705"/>
                    </a:xfrm>
                    <a:prstGeom prst="rect">
                      <a:avLst/>
                    </a:prstGeom>
                    <a:noFill/>
                    <a:ln>
                      <a:noFill/>
                    </a:ln>
                  </pic:spPr>
                </pic:pic>
              </a:graphicData>
            </a:graphic>
          </wp:inline>
        </w:drawing>
      </w:r>
    </w:p>
    <w:p w14:paraId="7D2165F8" w14:textId="1D18A3BA" w:rsidR="00442D9F" w:rsidRPr="00E97249" w:rsidRDefault="00442D9F" w:rsidP="00E97249">
      <w:pPr>
        <w:spacing w:before="0" w:line="240" w:lineRule="auto"/>
        <w:ind w:firstLine="0"/>
        <w:rPr>
          <w:sz w:val="22"/>
        </w:rPr>
      </w:pPr>
      <w:r w:rsidRPr="00BC6163">
        <w:rPr>
          <w:sz w:val="22"/>
        </w:rPr>
        <w:t>Figure 1</w:t>
      </w:r>
      <w:r w:rsidR="00EC15FA" w:rsidRPr="00BC6163">
        <w:rPr>
          <w:sz w:val="22"/>
        </w:rPr>
        <w:t>4</w:t>
      </w:r>
      <w:r w:rsidR="00E97249" w:rsidRPr="00BC6163">
        <w:rPr>
          <w:sz w:val="22"/>
        </w:rPr>
        <w:t xml:space="preserve">: </w:t>
      </w:r>
      <w:r w:rsidR="00BC6163" w:rsidRPr="00BC6163">
        <w:rPr>
          <w:sz w:val="22"/>
        </w:rPr>
        <w:t xml:space="preserve">Comparison of inversion results using the 0.25º, 0.5º, and 1.0º equilateral grids at several North-South vertical cross-sections </w:t>
      </w:r>
      <w:r w:rsidR="00BC6163" w:rsidRPr="00BC6163">
        <w:rPr>
          <w:rFonts w:cs="Times New Roman"/>
          <w:sz w:val="22"/>
        </w:rPr>
        <w:t>along longitudes (a) 39º-42º E, and (b) 43º-46º E. The depth axis is about 10 times exaggerated</w:t>
      </w:r>
      <w:r w:rsidR="00BC6163" w:rsidRPr="00BC6163">
        <w:rPr>
          <w:b/>
          <w:bCs/>
          <w:sz w:val="22"/>
        </w:rPr>
        <w:t xml:space="preserve">. </w:t>
      </w:r>
      <w:r w:rsidR="00BC6163" w:rsidRPr="00BC6163">
        <w:rPr>
          <w:sz w:val="22"/>
        </w:rPr>
        <w:t xml:space="preserve">Black circles represent earthquake focal depths within a horizontal distance of 5 km from the cross-section. </w:t>
      </w:r>
      <w:r w:rsidR="00BC6163" w:rsidRPr="00BC6163">
        <w:rPr>
          <w:b/>
          <w:bCs/>
          <w:sz w:val="22"/>
        </w:rPr>
        <w:t>Ad</w:t>
      </w:r>
      <w:r w:rsidR="00BC6163" w:rsidRPr="00BC6163">
        <w:rPr>
          <w:sz w:val="22"/>
        </w:rPr>
        <w:t xml:space="preserve"> (Aden port city in southernmost Yemen), </w:t>
      </w:r>
      <w:r w:rsidR="00BC6163" w:rsidRPr="00BC6163">
        <w:rPr>
          <w:b/>
          <w:bCs/>
          <w:sz w:val="22"/>
        </w:rPr>
        <w:t>AEE</w:t>
      </w:r>
      <w:r w:rsidR="00BC6163" w:rsidRPr="00BC6163">
        <w:rPr>
          <w:sz w:val="22"/>
        </w:rPr>
        <w:t xml:space="preserve"> (Afar depression eastern encampment), </w:t>
      </w:r>
      <w:r w:rsidR="00BC6163" w:rsidRPr="00BC6163">
        <w:rPr>
          <w:b/>
          <w:bCs/>
          <w:sz w:val="22"/>
        </w:rPr>
        <w:t>AWE</w:t>
      </w:r>
      <w:r w:rsidR="00BC6163" w:rsidRPr="00BC6163">
        <w:rPr>
          <w:sz w:val="22"/>
        </w:rPr>
        <w:t xml:space="preserve"> (Afar depression western encampment), </w:t>
      </w:r>
      <w:r w:rsidR="00BC6163" w:rsidRPr="00BC6163">
        <w:rPr>
          <w:b/>
          <w:bCs/>
          <w:sz w:val="22"/>
        </w:rPr>
        <w:t>Be</w:t>
      </w:r>
      <w:r w:rsidR="00BC6163" w:rsidRPr="00BC6163">
        <w:rPr>
          <w:sz w:val="22"/>
        </w:rPr>
        <w:t xml:space="preserve"> (Berbera in Somalia), </w:t>
      </w:r>
      <w:proofErr w:type="spellStart"/>
      <w:r w:rsidR="00BC6163" w:rsidRPr="00BC6163">
        <w:rPr>
          <w:b/>
          <w:bCs/>
          <w:sz w:val="22"/>
        </w:rPr>
        <w:t>Dj</w:t>
      </w:r>
      <w:proofErr w:type="spellEnd"/>
      <w:r w:rsidR="00BC6163" w:rsidRPr="00BC6163">
        <w:rPr>
          <w:sz w:val="22"/>
        </w:rPr>
        <w:t xml:space="preserve"> (Djibouti) </w:t>
      </w:r>
      <w:r w:rsidR="00BC6163" w:rsidRPr="00BC6163">
        <w:rPr>
          <w:b/>
          <w:bCs/>
          <w:sz w:val="22"/>
        </w:rPr>
        <w:t>Do</w:t>
      </w:r>
      <w:r w:rsidR="00BC6163" w:rsidRPr="00BC6163">
        <w:rPr>
          <w:sz w:val="22"/>
        </w:rPr>
        <w:t xml:space="preserve"> (Doleh in northern Eritrea), </w:t>
      </w:r>
      <w:r w:rsidR="00BC6163" w:rsidRPr="00BC6163">
        <w:rPr>
          <w:b/>
          <w:bCs/>
          <w:sz w:val="22"/>
        </w:rPr>
        <w:t xml:space="preserve">Er </w:t>
      </w:r>
      <w:r w:rsidR="00BC6163" w:rsidRPr="00BC6163">
        <w:rPr>
          <w:sz w:val="22"/>
        </w:rPr>
        <w:t xml:space="preserve">(Eritrea), </w:t>
      </w:r>
      <w:r w:rsidR="00BC6163" w:rsidRPr="00BC6163">
        <w:rPr>
          <w:b/>
          <w:bCs/>
          <w:sz w:val="22"/>
        </w:rPr>
        <w:t xml:space="preserve">Et </w:t>
      </w:r>
      <w:r w:rsidR="00BC6163" w:rsidRPr="00BC6163">
        <w:rPr>
          <w:sz w:val="22"/>
        </w:rPr>
        <w:t>(</w:t>
      </w:r>
      <w:proofErr w:type="spellStart"/>
      <w:r w:rsidR="00BC6163" w:rsidRPr="00BC6163">
        <w:rPr>
          <w:sz w:val="22"/>
        </w:rPr>
        <w:t>Ethiopis</w:t>
      </w:r>
      <w:proofErr w:type="spellEnd"/>
      <w:r w:rsidR="00BC6163" w:rsidRPr="00BC6163">
        <w:rPr>
          <w:sz w:val="22"/>
        </w:rPr>
        <w:t xml:space="preserve">), </w:t>
      </w:r>
      <w:r w:rsidR="00BC6163" w:rsidRPr="00BC6163">
        <w:rPr>
          <w:b/>
          <w:bCs/>
          <w:sz w:val="22"/>
        </w:rPr>
        <w:t>GA</w:t>
      </w:r>
      <w:r w:rsidR="00BC6163" w:rsidRPr="00BC6163">
        <w:rPr>
          <w:sz w:val="22"/>
        </w:rPr>
        <w:t xml:space="preserve"> (Gulf of Aden), </w:t>
      </w:r>
      <w:r w:rsidR="00BC6163" w:rsidRPr="00BC6163">
        <w:rPr>
          <w:b/>
          <w:bCs/>
          <w:sz w:val="22"/>
        </w:rPr>
        <w:t>GT</w:t>
      </w:r>
      <w:r w:rsidR="00BC6163" w:rsidRPr="00BC6163">
        <w:rPr>
          <w:sz w:val="22"/>
        </w:rPr>
        <w:t xml:space="preserve"> (Gulf of </w:t>
      </w:r>
      <w:proofErr w:type="spellStart"/>
      <w:r w:rsidR="00BC6163" w:rsidRPr="00BC6163">
        <w:rPr>
          <w:sz w:val="22"/>
        </w:rPr>
        <w:t>Tadjoura</w:t>
      </w:r>
      <w:proofErr w:type="spellEnd"/>
      <w:r w:rsidR="00BC6163" w:rsidRPr="00BC6163">
        <w:rPr>
          <w:sz w:val="22"/>
        </w:rPr>
        <w:t xml:space="preserve">), </w:t>
      </w:r>
      <w:r w:rsidR="00BC6163" w:rsidRPr="00BC6163">
        <w:rPr>
          <w:b/>
          <w:bCs/>
          <w:sz w:val="22"/>
        </w:rPr>
        <w:t>R</w:t>
      </w:r>
      <w:r w:rsidR="00BC6163" w:rsidRPr="00BC6163">
        <w:rPr>
          <w:sz w:val="22"/>
        </w:rPr>
        <w:t xml:space="preserve"> (Red Sea), </w:t>
      </w:r>
      <w:r w:rsidR="00BC6163" w:rsidRPr="00BC6163">
        <w:rPr>
          <w:b/>
          <w:bCs/>
          <w:sz w:val="22"/>
        </w:rPr>
        <w:t>Se</w:t>
      </w:r>
      <w:r w:rsidR="00BC6163" w:rsidRPr="00BC6163">
        <w:rPr>
          <w:sz w:val="22"/>
        </w:rPr>
        <w:t xml:space="preserve"> (</w:t>
      </w:r>
      <w:proofErr w:type="spellStart"/>
      <w:r w:rsidR="00BC6163" w:rsidRPr="00BC6163">
        <w:rPr>
          <w:sz w:val="22"/>
        </w:rPr>
        <w:t>Serdo</w:t>
      </w:r>
      <w:proofErr w:type="spellEnd"/>
      <w:r w:rsidR="00BC6163" w:rsidRPr="00BC6163">
        <w:rPr>
          <w:sz w:val="22"/>
        </w:rPr>
        <w:t xml:space="preserve"> in northern Ethiopia), </w:t>
      </w:r>
      <w:r w:rsidR="00BC6163" w:rsidRPr="00BC6163">
        <w:rPr>
          <w:b/>
          <w:bCs/>
          <w:sz w:val="22"/>
        </w:rPr>
        <w:t>So</w:t>
      </w:r>
      <w:r w:rsidR="00BC6163" w:rsidRPr="00BC6163">
        <w:rPr>
          <w:sz w:val="22"/>
        </w:rPr>
        <w:t xml:space="preserve"> (Somalia), </w:t>
      </w:r>
      <w:r w:rsidR="00BC6163" w:rsidRPr="00BC6163">
        <w:rPr>
          <w:b/>
          <w:bCs/>
          <w:sz w:val="22"/>
        </w:rPr>
        <w:t>WEP</w:t>
      </w:r>
      <w:r w:rsidR="00BC6163" w:rsidRPr="00BC6163">
        <w:rPr>
          <w:sz w:val="22"/>
        </w:rPr>
        <w:t xml:space="preserve"> (Western Ethiopia Plateau), </w:t>
      </w:r>
      <w:r w:rsidR="00BC6163" w:rsidRPr="00BC6163">
        <w:rPr>
          <w:b/>
          <w:bCs/>
          <w:sz w:val="22"/>
        </w:rPr>
        <w:t>Ye</w:t>
      </w:r>
      <w:r w:rsidR="00BC6163" w:rsidRPr="00BC6163">
        <w:rPr>
          <w:sz w:val="22"/>
        </w:rPr>
        <w:t xml:space="preserve"> (Yemen). The forward slash between the characters denotes their boundary</w:t>
      </w:r>
      <w:r w:rsidR="00B313A2">
        <w:rPr>
          <w:sz w:val="22"/>
        </w:rPr>
        <w:t>.</w:t>
      </w:r>
    </w:p>
    <w:p w14:paraId="0551E7BD" w14:textId="77777777" w:rsidR="00442D9F" w:rsidRDefault="00442D9F" w:rsidP="00442D9F">
      <w:pPr>
        <w:spacing w:before="0" w:line="240" w:lineRule="auto"/>
      </w:pPr>
    </w:p>
    <w:p w14:paraId="3233EEE4" w14:textId="77777777" w:rsidR="00442D9F" w:rsidRDefault="00442D9F" w:rsidP="00BC6163">
      <w:pPr>
        <w:spacing w:before="0" w:line="240" w:lineRule="auto"/>
        <w:ind w:firstLine="0"/>
        <w:jc w:val="center"/>
      </w:pPr>
      <w:r>
        <w:rPr>
          <w:noProof/>
        </w:rPr>
        <w:drawing>
          <wp:inline distT="0" distB="0" distL="0" distR="0" wp14:anchorId="5B98FD02" wp14:editId="35CA33F3">
            <wp:extent cx="4843463" cy="4049285"/>
            <wp:effectExtent l="0" t="0" r="0" b="8890"/>
            <wp:docPr id="1317802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02576"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56965" cy="4060573"/>
                    </a:xfrm>
                    <a:prstGeom prst="rect">
                      <a:avLst/>
                    </a:prstGeom>
                    <a:noFill/>
                    <a:ln>
                      <a:noFill/>
                    </a:ln>
                  </pic:spPr>
                </pic:pic>
              </a:graphicData>
            </a:graphic>
          </wp:inline>
        </w:drawing>
      </w:r>
    </w:p>
    <w:p w14:paraId="0D606145" w14:textId="2988C867" w:rsidR="00442D9F" w:rsidRPr="007E331F" w:rsidRDefault="00442D9F" w:rsidP="00EC15FA">
      <w:pPr>
        <w:spacing w:before="0" w:line="240" w:lineRule="auto"/>
        <w:ind w:firstLine="0"/>
        <w:rPr>
          <w:sz w:val="22"/>
        </w:rPr>
      </w:pPr>
      <w:r w:rsidRPr="007E331F">
        <w:rPr>
          <w:sz w:val="22"/>
        </w:rPr>
        <w:t>Figure 1</w:t>
      </w:r>
      <w:r w:rsidR="00EC15FA" w:rsidRPr="007E331F">
        <w:rPr>
          <w:sz w:val="22"/>
        </w:rPr>
        <w:t>5</w:t>
      </w:r>
      <w:r w:rsidR="007E331F" w:rsidRPr="007E331F">
        <w:rPr>
          <w:sz w:val="22"/>
        </w:rPr>
        <w:t xml:space="preserve">: The final 3D model of velocity perturbation, featuring 0.25º grid cell resolution for depths of 5–20 km and 0.5º grid cell resolution for depths of 35–70 km. </w:t>
      </w:r>
      <w:proofErr w:type="gramStart"/>
      <w:r w:rsidR="007E331F" w:rsidRPr="007E331F">
        <w:rPr>
          <w:sz w:val="22"/>
        </w:rPr>
        <w:t>Red</w:t>
      </w:r>
      <w:proofErr w:type="gramEnd"/>
      <w:r w:rsidR="007E331F" w:rsidRPr="007E331F">
        <w:rPr>
          <w:sz w:val="22"/>
        </w:rPr>
        <w:t xml:space="preserve"> areas indicate low-velocity zones (LVZs), while blue areas indicate high-velocity zones (HVZs). Yellow spheres mark the locations of earthquake hypocenters. The depth axis is exaggerated approximately 10 times</w:t>
      </w:r>
      <w:r w:rsidR="007E331F">
        <w:rPr>
          <w:sz w:val="22"/>
        </w:rPr>
        <w:t>.</w:t>
      </w:r>
    </w:p>
    <w:p w14:paraId="68027B57" w14:textId="77777777" w:rsidR="00442D9F" w:rsidRDefault="00442D9F" w:rsidP="00442D9F">
      <w:pPr>
        <w:spacing w:before="0" w:line="360" w:lineRule="auto"/>
        <w:ind w:right="-22" w:firstLine="0"/>
        <w:rPr>
          <w:rFonts w:cs="Times New Roman"/>
          <w:color w:val="000000"/>
        </w:rPr>
      </w:pPr>
    </w:p>
    <w:bookmarkEnd w:id="12"/>
    <w:p w14:paraId="0144CBE8" w14:textId="120E0E5C" w:rsidR="0021326F" w:rsidRPr="004D4245" w:rsidRDefault="0021326F" w:rsidP="0021326F">
      <w:pPr>
        <w:pStyle w:val="Heading3"/>
        <w:spacing w:after="0"/>
      </w:pPr>
      <w:r>
        <w:t xml:space="preserve">4.3.1 </w:t>
      </w:r>
      <w:r w:rsidRPr="0021326F">
        <w:t>Horizontal Cross-sections</w:t>
      </w:r>
    </w:p>
    <w:p w14:paraId="0BDFDA01" w14:textId="714262C9" w:rsidR="00FB1F07" w:rsidRPr="009A34C8" w:rsidRDefault="00C62CED" w:rsidP="00FB1F07">
      <w:pPr>
        <w:spacing w:before="0" w:line="360" w:lineRule="auto"/>
        <w:ind w:right="-22"/>
        <w:rPr>
          <w:lang w:val="en-GB"/>
        </w:rPr>
      </w:pPr>
      <w:r w:rsidRPr="00C62CED">
        <w:t xml:space="preserve">Figure </w:t>
      </w:r>
      <w:r w:rsidR="00D1651A">
        <w:rPr>
          <w:color w:val="0000FF"/>
        </w:rPr>
        <w:t>12</w:t>
      </w:r>
      <w:r w:rsidRPr="00C62CED">
        <w:t xml:space="preserve"> displays the inversion results across six depth layers using three grid cell sizes.</w:t>
      </w:r>
      <w:r w:rsidR="00C42577" w:rsidRPr="00C42577">
        <w:t xml:space="preserve"> </w:t>
      </w:r>
      <w:r w:rsidR="004C3C1F">
        <w:rPr>
          <w:lang w:val="en-GB"/>
        </w:rPr>
        <w:t>A</w:t>
      </w:r>
      <w:r w:rsidR="004C3C1F" w:rsidRPr="004D7B4A">
        <w:t xml:space="preserve">t shallower depths (5–20 km), </w:t>
      </w:r>
      <w:r w:rsidR="004C3C1F">
        <w:rPr>
          <w:lang w:val="en-GB"/>
        </w:rPr>
        <w:t>t</w:t>
      </w:r>
      <w:r w:rsidR="00097313">
        <w:rPr>
          <w:lang w:val="en-GB"/>
        </w:rPr>
        <w:t xml:space="preserve">he </w:t>
      </w:r>
      <w:r w:rsidR="00097313" w:rsidRPr="00097313">
        <w:rPr>
          <w:lang w:val="en-GB"/>
        </w:rPr>
        <w:t>0.25°</w:t>
      </w:r>
      <w:r w:rsidR="00097313">
        <w:rPr>
          <w:lang w:val="en-GB"/>
        </w:rPr>
        <w:t xml:space="preserve"> g</w:t>
      </w:r>
      <w:r w:rsidR="00097313" w:rsidRPr="00097313">
        <w:rPr>
          <w:lang w:val="en-GB"/>
        </w:rPr>
        <w:t>rid</w:t>
      </w:r>
      <w:r w:rsidR="00097313">
        <w:rPr>
          <w:lang w:val="en-GB"/>
        </w:rPr>
        <w:t xml:space="preserve"> </w:t>
      </w:r>
      <w:r w:rsidR="004C3C1F" w:rsidRPr="004C3C1F">
        <w:rPr>
          <w:lang w:val="en-GB"/>
        </w:rPr>
        <w:t xml:space="preserve">reveals </w:t>
      </w:r>
      <w:r w:rsidR="003349CE" w:rsidRPr="003349CE">
        <w:rPr>
          <w:lang w:val="en-GB"/>
        </w:rPr>
        <w:t>a complex pattern of velocity anomalies</w:t>
      </w:r>
      <w:r w:rsidR="008B6260">
        <w:rPr>
          <w:lang w:val="en-GB"/>
        </w:rPr>
        <w:t xml:space="preserve"> while the </w:t>
      </w:r>
      <w:r w:rsidR="009812A6" w:rsidRPr="00097313">
        <w:rPr>
          <w:lang w:val="en-GB"/>
        </w:rPr>
        <w:t>0.5°</w:t>
      </w:r>
      <w:r w:rsidR="009812A6">
        <w:rPr>
          <w:lang w:val="en-GB"/>
        </w:rPr>
        <w:t xml:space="preserve"> g</w:t>
      </w:r>
      <w:r w:rsidR="009812A6" w:rsidRPr="00097313">
        <w:rPr>
          <w:lang w:val="en-GB"/>
        </w:rPr>
        <w:t>rid</w:t>
      </w:r>
      <w:r w:rsidR="009812A6">
        <w:rPr>
          <w:lang w:val="en-GB"/>
        </w:rPr>
        <w:t xml:space="preserve"> </w:t>
      </w:r>
      <w:r w:rsidR="003349CE" w:rsidRPr="003349CE">
        <w:rPr>
          <w:lang w:val="en-GB"/>
        </w:rPr>
        <w:t>presents a smoother version.</w:t>
      </w:r>
      <w:r w:rsidR="008B6260" w:rsidRPr="008B6260">
        <w:t xml:space="preserve"> </w:t>
      </w:r>
      <w:r w:rsidR="009812A6">
        <w:t xml:space="preserve">The </w:t>
      </w:r>
      <w:r w:rsidR="009812A6">
        <w:rPr>
          <w:lang w:val="en-GB"/>
        </w:rPr>
        <w:t>1</w:t>
      </w:r>
      <w:r w:rsidR="009812A6" w:rsidRPr="00097313">
        <w:rPr>
          <w:lang w:val="en-GB"/>
        </w:rPr>
        <w:t>.</w:t>
      </w:r>
      <w:r w:rsidR="009812A6">
        <w:rPr>
          <w:lang w:val="en-GB"/>
        </w:rPr>
        <w:t>0</w:t>
      </w:r>
      <w:r w:rsidR="009812A6" w:rsidRPr="00097313">
        <w:rPr>
          <w:lang w:val="en-GB"/>
        </w:rPr>
        <w:t>°</w:t>
      </w:r>
      <w:r w:rsidR="009812A6">
        <w:rPr>
          <w:lang w:val="en-GB"/>
        </w:rPr>
        <w:t xml:space="preserve"> g</w:t>
      </w:r>
      <w:r w:rsidR="009812A6" w:rsidRPr="00097313">
        <w:rPr>
          <w:lang w:val="en-GB"/>
        </w:rPr>
        <w:t>rid</w:t>
      </w:r>
      <w:r w:rsidR="009812A6">
        <w:rPr>
          <w:lang w:val="en-GB"/>
        </w:rPr>
        <w:t xml:space="preserve"> show</w:t>
      </w:r>
      <w:r w:rsidR="007E2F2C">
        <w:rPr>
          <w:lang w:val="en-GB"/>
        </w:rPr>
        <w:t>s</w:t>
      </w:r>
      <w:r w:rsidR="009812A6">
        <w:rPr>
          <w:lang w:val="en-GB"/>
        </w:rPr>
        <w:t xml:space="preserve"> </w:t>
      </w:r>
      <w:r w:rsidR="00E65DB9" w:rsidRPr="008B6260">
        <w:rPr>
          <w:lang w:val="en-GB"/>
        </w:rPr>
        <w:t>broad, diffuse LVZs in the rift zones and less defined red HVZs on the surrounding plates.</w:t>
      </w:r>
      <w:r w:rsidR="00F1125A" w:rsidRPr="00F1125A">
        <w:rPr>
          <w:lang w:val="en-GB"/>
        </w:rPr>
        <w:t xml:space="preserve"> </w:t>
      </w:r>
      <w:r w:rsidR="007D7350" w:rsidRPr="007D7350">
        <w:t>At intermediate depths (35–50 km), the complex pattern of velocity anomalies remains apparent in the 0.25° grid, including an extensive LVZ beneath the Arabian Plate (35 and 50 km), an elongated LVZ along the Northern Plateau (50 km), and patches of HVZs marking the margins of the Nubian and Arabian plates (35 km). The 0.5° and 1.0° grids show broader LVZs beneath the Northern Plateau, the Arabian Plate, and rift zones, with HVZs beneath the Nubian Plate and parts of the Ali-</w:t>
      </w:r>
      <w:proofErr w:type="spellStart"/>
      <w:r w:rsidR="007D7350" w:rsidRPr="007D7350">
        <w:t>Sabieh</w:t>
      </w:r>
      <w:proofErr w:type="spellEnd"/>
      <w:r w:rsidR="007D7350" w:rsidRPr="007D7350">
        <w:t xml:space="preserve"> Block (35 km).</w:t>
      </w:r>
      <w:r w:rsidR="00B26EBA">
        <w:rPr>
          <w:lang w:val="en-GB"/>
        </w:rPr>
        <w:t xml:space="preserve"> </w:t>
      </w:r>
      <w:r w:rsidR="000E74EA" w:rsidRPr="000E74EA">
        <w:t xml:space="preserve">The 70 km depth section reveals a dramatic contrast, displaying a complex pattern of velocity anomalies across all grid cell sizes. The </w:t>
      </w:r>
      <w:r w:rsidR="000E74EA" w:rsidRPr="000E74EA">
        <w:lastRenderedPageBreak/>
        <w:t>0.25° grid still shows LVZs within the AD and rift areas, though reduced in scope, while HVZs are observed in the Nubian, Arabian, and Somalian plates, reflecting a high-velocity lithospheric mantle. The broad LVZ seen beneath the Arabian Plate at 35 and 50 km is absent at this depth, but a continuous LVZ is observed within the Ethiopian Plateaux (Abyssinian Massif and Harar Massif). Both the 0.5° and 1.0° grids show HVZs covering larger plate areas.</w:t>
      </w:r>
    </w:p>
    <w:p w14:paraId="2DB430A8" w14:textId="2F8FB974" w:rsidR="002B7E83" w:rsidRPr="004D4245" w:rsidRDefault="007B56EA" w:rsidP="007B56EA">
      <w:pPr>
        <w:pStyle w:val="Heading3"/>
        <w:spacing w:after="0"/>
      </w:pPr>
      <w:r>
        <w:t xml:space="preserve">4.3.2 </w:t>
      </w:r>
      <w:r w:rsidR="002B7E83">
        <w:t>Vertical Cross-sections</w:t>
      </w:r>
    </w:p>
    <w:p w14:paraId="03DA4B70" w14:textId="0E6DE146" w:rsidR="00303894" w:rsidRPr="00303894" w:rsidRDefault="00F978F9" w:rsidP="002C0FF0">
      <w:pPr>
        <w:spacing w:before="0" w:line="360" w:lineRule="auto"/>
      </w:pPr>
      <w:r w:rsidRPr="00763C2F">
        <w:t xml:space="preserve">Figure </w:t>
      </w:r>
      <w:r w:rsidRPr="00995088">
        <w:rPr>
          <w:color w:val="0000FF"/>
        </w:rPr>
        <w:t>1</w:t>
      </w:r>
      <w:r w:rsidR="00AA7C0E">
        <w:rPr>
          <w:color w:val="0000FF"/>
        </w:rPr>
        <w:t>3</w:t>
      </w:r>
      <w:r w:rsidRPr="00763C2F">
        <w:t xml:space="preserve"> displays East-West vertical cross-sections (EWVCs) along latitudes 9°–16° N, using </w:t>
      </w:r>
      <w:r w:rsidRPr="00336B26">
        <w:t xml:space="preserve">grid cell sizes of 0.25°, 0.5°, and 1.0°. In the 13°–16° N sections (Fig. </w:t>
      </w:r>
      <w:r w:rsidRPr="00336B26">
        <w:rPr>
          <w:color w:val="0000FF"/>
        </w:rPr>
        <w:t>1</w:t>
      </w:r>
      <w:r w:rsidR="00AA7C0E">
        <w:rPr>
          <w:color w:val="0000FF"/>
        </w:rPr>
        <w:t>3</w:t>
      </w:r>
      <w:r w:rsidRPr="00336B26">
        <w:rPr>
          <w:color w:val="0000FF"/>
        </w:rPr>
        <w:t>a</w:t>
      </w:r>
      <w:r w:rsidRPr="00336B26">
        <w:t xml:space="preserve">), pronounced LVZs dominate the central and eastern portions, particularly between 0-50 km depth. These LVZs are prominent near the Gulf of Aden (13° N), beneath </w:t>
      </w:r>
      <w:r w:rsidRPr="00336B26">
        <w:rPr>
          <w:lang w:val="en-GB"/>
        </w:rPr>
        <w:t xml:space="preserve">Jazirat Jabal </w:t>
      </w:r>
      <w:proofErr w:type="spellStart"/>
      <w:r w:rsidRPr="00336B26">
        <w:rPr>
          <w:lang w:val="en-GB"/>
        </w:rPr>
        <w:t>Zuqar</w:t>
      </w:r>
      <w:proofErr w:type="spellEnd"/>
      <w:r w:rsidRPr="00336B26">
        <w:rPr>
          <w:lang w:val="en-GB"/>
        </w:rPr>
        <w:t xml:space="preserve"> </w:t>
      </w:r>
      <w:r w:rsidRPr="00336B26">
        <w:t>(15° N)</w:t>
      </w:r>
      <w:r w:rsidRPr="00336B26">
        <w:rPr>
          <w:lang w:val="en-GB"/>
        </w:rPr>
        <w:t xml:space="preserve">, and </w:t>
      </w:r>
      <w:r w:rsidRPr="00336B26">
        <w:t xml:space="preserve">parts of Yemen 13° and 15° N), including the southern city of </w:t>
      </w:r>
      <w:proofErr w:type="spellStart"/>
      <w:r w:rsidRPr="00336B26">
        <w:t>Mudiyah</w:t>
      </w:r>
      <w:proofErr w:type="spellEnd"/>
      <w:r w:rsidRPr="00336B26">
        <w:t xml:space="preserve"> (14° N), suggesting the presence of thermally perturbed lithosphere or partial melting associated with rifting processes. LVZs also appear at depths across all grid resolutions, including beneath </w:t>
      </w:r>
      <w:r w:rsidR="00397ADA">
        <w:rPr>
          <w:lang w:val="en-GB"/>
        </w:rPr>
        <w:t>AD</w:t>
      </w:r>
      <w:r w:rsidRPr="00336B26">
        <w:rPr>
          <w:lang w:val="en-GB"/>
        </w:rPr>
        <w:t xml:space="preserve"> western encampment</w:t>
      </w:r>
      <w:r w:rsidRPr="00336B26">
        <w:t xml:space="preserve"> (AWE), extending towards Assab in Eritrea, the Red Sea, and southern Yemen (13° N). Also in these sections, HVZs are particularly noticeable in the western portions, especially beneath Eritrea</w:t>
      </w:r>
      <w:r w:rsidRPr="00336B26">
        <w:rPr>
          <w:rFonts w:eastAsia="Times New Roman" w:cs="Times New Roman"/>
          <w:szCs w:val="24"/>
          <w:lang w:val="en-GB" w:eastAsia="ja-JP"/>
        </w:rPr>
        <w:t xml:space="preserve"> </w:t>
      </w:r>
      <w:r w:rsidRPr="00336B26">
        <w:rPr>
          <w:lang w:val="en-GB"/>
        </w:rPr>
        <w:t>(Er),</w:t>
      </w:r>
      <w:r w:rsidRPr="00336B26">
        <w:t xml:space="preserve"> </w:t>
      </w:r>
      <w:r w:rsidRPr="00336B26">
        <w:rPr>
          <w:lang w:val="en-GB"/>
        </w:rPr>
        <w:t xml:space="preserve">the Red Sea (R), </w:t>
      </w:r>
      <w:r w:rsidRPr="00336B26">
        <w:t xml:space="preserve">and parts of northern Ethiopia. These HVZs appear to be more continuous and well-defined at depths greater than 30 km, potentially representing more stable, cooler lithospheric blocks or preserved continental fragments. The transition between low and high-velocity zones often appears sharp, possibly indicating major tectonic boundaries. In the 9°–12° N sections (Fig. </w:t>
      </w:r>
      <w:r w:rsidRPr="00336B26">
        <w:rPr>
          <w:color w:val="0000FF"/>
        </w:rPr>
        <w:t>1</w:t>
      </w:r>
      <w:r w:rsidR="00AA7C0E">
        <w:rPr>
          <w:color w:val="0000FF"/>
        </w:rPr>
        <w:t>3</w:t>
      </w:r>
      <w:r w:rsidRPr="00336B26">
        <w:rPr>
          <w:color w:val="0000FF"/>
        </w:rPr>
        <w:t>b</w:t>
      </w:r>
      <w:r w:rsidRPr="00336B26">
        <w:t>), LVZs appear more distributed and less continuous compared to the northern sections. The LVZs are less extensive but still evident beneath Djibouti (</w:t>
      </w:r>
      <w:proofErr w:type="spellStart"/>
      <w:r w:rsidRPr="00336B26">
        <w:t>Dj</w:t>
      </w:r>
      <w:proofErr w:type="spellEnd"/>
      <w:r w:rsidRPr="00336B26">
        <w:t>) and the Gulf of Aden (GA), reaching depths of ~40 km. Particularly notable are the LVZs that appear to be vertically oriented, suggesting possible magmatic conduits or zones of weakness associated with rifting. These features are especially evident in the vicinity of the MER and the AD. On the other hand, HVZs are observed beneath Ethiopia (Et) and Somalia (So) at depths &gt;40 km, potentially reflecting cooler, thicker continental lithosphere south of the main rift zones.</w:t>
      </w:r>
    </w:p>
    <w:p w14:paraId="3E66BB87" w14:textId="71763280" w:rsidR="0064766A" w:rsidRDefault="00336B26" w:rsidP="00E840B6">
      <w:pPr>
        <w:spacing w:before="0" w:line="360" w:lineRule="auto"/>
        <w:rPr>
          <w:lang w:val="en-GB"/>
        </w:rPr>
      </w:pPr>
      <w:r w:rsidRPr="00336B26">
        <w:rPr>
          <w:lang w:val="en-GB"/>
        </w:rPr>
        <w:t xml:space="preserve">Figure </w:t>
      </w:r>
      <w:r w:rsidRPr="00336B26">
        <w:rPr>
          <w:color w:val="0000FF"/>
          <w:lang w:val="en-GB"/>
        </w:rPr>
        <w:t>1</w:t>
      </w:r>
      <w:r w:rsidR="00B313A2">
        <w:rPr>
          <w:color w:val="0000FF"/>
          <w:lang w:val="en-GB"/>
        </w:rPr>
        <w:t>4</w:t>
      </w:r>
      <w:r w:rsidRPr="00336B26">
        <w:rPr>
          <w:lang w:val="en-GB"/>
        </w:rPr>
        <w:t xml:space="preserve"> illustrates North-South vertical cross-sections (NSVCs) along longitudes 39°–46° E, viewed from the east, using the same set of grid cell sizes. In the 39°–42° E sections (Fig. </w:t>
      </w:r>
      <w:r w:rsidRPr="00336B26">
        <w:rPr>
          <w:color w:val="0000FF"/>
          <w:lang w:val="en-GB"/>
        </w:rPr>
        <w:t>1</w:t>
      </w:r>
      <w:r w:rsidR="00B313A2">
        <w:rPr>
          <w:color w:val="0000FF"/>
          <w:lang w:val="en-GB"/>
        </w:rPr>
        <w:t>4</w:t>
      </w:r>
      <w:r w:rsidRPr="00336B26">
        <w:rPr>
          <w:color w:val="0000FF"/>
          <w:lang w:val="en-GB"/>
        </w:rPr>
        <w:t>a</w:t>
      </w:r>
      <w:r w:rsidRPr="00336B26">
        <w:rPr>
          <w:lang w:val="en-GB"/>
        </w:rPr>
        <w:t xml:space="preserve">), LVZs are concentrated beneath the </w:t>
      </w:r>
      <w:r w:rsidR="00397ADA">
        <w:rPr>
          <w:lang w:val="en-GB"/>
        </w:rPr>
        <w:t>AD</w:t>
      </w:r>
      <w:r w:rsidRPr="00336B26">
        <w:rPr>
          <w:lang w:val="en-GB"/>
        </w:rPr>
        <w:t xml:space="preserve"> (AEE and AWE) and the MER, extending from shallow depths (around 0–20 km) to deeper levels (up to 70 km or more). These cross-sections also show HVAs at shallow depths (0–30 km) in stable regions like the Western Ethiopia Plateau (WEP) and parts of </w:t>
      </w:r>
      <w:r w:rsidRPr="00336B26">
        <w:rPr>
          <w:lang w:val="en-GB"/>
        </w:rPr>
        <w:lastRenderedPageBreak/>
        <w:t xml:space="preserve">Eritrea (Er) and Ethiopia (Et), suggesting thicker, cooler crust or lithospheric mantle outside the main rift zones. However, these HVAs become less prominent at deeper levels, where LVZs become more pronounced. Moving eastward, in the 43°–46° E sections (Fig. </w:t>
      </w:r>
      <w:r w:rsidRPr="00336B26">
        <w:rPr>
          <w:color w:val="0000FF"/>
          <w:lang w:val="en-GB"/>
        </w:rPr>
        <w:t>1</w:t>
      </w:r>
      <w:r w:rsidR="00B313A2">
        <w:rPr>
          <w:color w:val="0000FF"/>
          <w:lang w:val="en-GB"/>
        </w:rPr>
        <w:t>4</w:t>
      </w:r>
      <w:r w:rsidRPr="00336B26">
        <w:rPr>
          <w:color w:val="0000FF"/>
          <w:lang w:val="en-GB"/>
        </w:rPr>
        <w:t>b</w:t>
      </w:r>
      <w:r w:rsidRPr="00336B26">
        <w:rPr>
          <w:lang w:val="en-GB"/>
        </w:rPr>
        <w:t xml:space="preserve">), the velocity structure shows a notable change with more extensive LVZs, especially beneath the Afar Triangle and Gulf of Aden (GA), with large red patches extending from the surface to depths of 50–70 km, aligned with the Red Sea (R) and Gulf of </w:t>
      </w:r>
      <w:proofErr w:type="spellStart"/>
      <w:r w:rsidRPr="00336B26">
        <w:rPr>
          <w:lang w:val="en-GB"/>
        </w:rPr>
        <w:t>Tadjoura</w:t>
      </w:r>
      <w:proofErr w:type="spellEnd"/>
      <w:r w:rsidRPr="00336B26">
        <w:rPr>
          <w:lang w:val="en-GB"/>
        </w:rPr>
        <w:t xml:space="preserve"> (GT), indicating asthenospheric upwelling and magma presence. On the other hand, HVAs are similarly located at shallow depths, particularly around Berbera (Be) in Somalia and parts of Yemen (Ye) near the Gulf of Aden, indicating stable, older lithosphere not affected by rifting. However, these blue regions are often fragmented or absent at deeper levels (below 30–40 km), where LVZs dominate, reflecting the thinning of the lithosphere and the rise of hot mantle material in the rift zones</w:t>
      </w:r>
      <w:r w:rsidR="00FA24C7" w:rsidRPr="00336B26">
        <w:rPr>
          <w:lang w:val="en-GB"/>
        </w:rPr>
        <w:t>.</w:t>
      </w:r>
    </w:p>
    <w:p w14:paraId="7560D362" w14:textId="38A96956" w:rsidR="002F1744" w:rsidRPr="004D4245" w:rsidRDefault="004E3181" w:rsidP="00F24F43">
      <w:pPr>
        <w:pStyle w:val="Heading1"/>
      </w:pPr>
      <w:r w:rsidRPr="004D4245">
        <w:t>5</w:t>
      </w:r>
      <w:r w:rsidR="002F1744" w:rsidRPr="004D4245">
        <w:tab/>
      </w:r>
      <w:r w:rsidR="00AB4E61" w:rsidRPr="004D4245">
        <w:t>DISCUSSIONS</w:t>
      </w:r>
    </w:p>
    <w:p w14:paraId="31BE4F78" w14:textId="2C8EB27D" w:rsidR="00335971" w:rsidRPr="004D4245" w:rsidRDefault="00335971" w:rsidP="00335971">
      <w:pPr>
        <w:pStyle w:val="Heading2"/>
        <w:spacing w:after="0"/>
        <w:ind w:left="567" w:hanging="567"/>
        <w:rPr>
          <w:rFonts w:ascii="Times New Roman" w:hAnsi="Times New Roman" w:cs="Times New Roman"/>
          <w:szCs w:val="24"/>
        </w:rPr>
      </w:pPr>
      <w:bookmarkStart w:id="14" w:name="_Hlk104764685"/>
      <w:r>
        <w:rPr>
          <w:rFonts w:ascii="Times New Roman" w:hAnsi="Times New Roman" w:cs="Times New Roman"/>
          <w:szCs w:val="24"/>
        </w:rPr>
        <w:t>5.1</w:t>
      </w:r>
      <w:r w:rsidRPr="004D4245">
        <w:rPr>
          <w:rFonts w:ascii="Times New Roman" w:hAnsi="Times New Roman" w:cs="Times New Roman"/>
          <w:szCs w:val="24"/>
        </w:rPr>
        <w:tab/>
      </w:r>
      <w:r w:rsidR="006B37C4">
        <w:rPr>
          <w:rFonts w:ascii="Times New Roman" w:hAnsi="Times New Roman" w:cs="Times New Roman"/>
          <w:szCs w:val="24"/>
        </w:rPr>
        <w:t>Effect of Cell</w:t>
      </w:r>
      <w:r w:rsidR="0013523F" w:rsidRPr="0013523F">
        <w:rPr>
          <w:rFonts w:ascii="Times New Roman" w:hAnsi="Times New Roman" w:cs="Times New Roman"/>
          <w:szCs w:val="24"/>
        </w:rPr>
        <w:t xml:space="preserve"> </w:t>
      </w:r>
      <w:r w:rsidR="0013523F">
        <w:rPr>
          <w:rFonts w:ascii="Times New Roman" w:hAnsi="Times New Roman" w:cs="Times New Roman"/>
          <w:szCs w:val="24"/>
        </w:rPr>
        <w:t>S</w:t>
      </w:r>
      <w:r w:rsidR="0013523F" w:rsidRPr="0013523F">
        <w:rPr>
          <w:rFonts w:ascii="Times New Roman" w:hAnsi="Times New Roman" w:cs="Times New Roman"/>
          <w:szCs w:val="24"/>
        </w:rPr>
        <w:t xml:space="preserve">ize on </w:t>
      </w:r>
      <w:r w:rsidR="0013523F">
        <w:rPr>
          <w:rFonts w:ascii="Times New Roman" w:hAnsi="Times New Roman" w:cs="Times New Roman"/>
          <w:szCs w:val="24"/>
        </w:rPr>
        <w:t>Resolution</w:t>
      </w:r>
    </w:p>
    <w:p w14:paraId="1CE68E0B" w14:textId="4869992C" w:rsidR="000F5934" w:rsidRDefault="000F5934" w:rsidP="00E12CD4">
      <w:pPr>
        <w:spacing w:before="0" w:line="360" w:lineRule="auto"/>
        <w:ind w:right="-22"/>
        <w:rPr>
          <w:lang w:val="en-GB"/>
        </w:rPr>
      </w:pPr>
      <w:r w:rsidRPr="000F5934">
        <w:t>Our analysis comparing tomographic results across grid resolutions of 0.25°, 0.5°, and 1.0° reveals notable differences in the resolved velocity structures. The multi-scale approach distinguishes fine-scale local features from broader regional patterns, enhancing confidence in the geological significance of persistent anomalies. The 0.25° grid excels in resolving detailed variations in the shallow crust (5–20 km), capturing small-scale features such as magmatic intrusions and fault zones. However, this fine resolution can also introduce artifacts at greater depths (35–70 km) due to data uncertainties and limited ray path coverage (</w:t>
      </w:r>
      <w:r w:rsidRPr="000F5934">
        <w:rPr>
          <w:color w:val="0000FF"/>
        </w:rPr>
        <w:t xml:space="preserve">Rawlinson </w:t>
      </w:r>
      <w:r w:rsidRPr="000F5934">
        <w:rPr>
          <w:i/>
          <w:iCs/>
          <w:color w:val="0000FF"/>
        </w:rPr>
        <w:t>et al.,</w:t>
      </w:r>
      <w:r w:rsidRPr="000F5934">
        <w:rPr>
          <w:color w:val="0000FF"/>
        </w:rPr>
        <w:t xml:space="preserve"> 2010</w:t>
      </w:r>
      <w:r w:rsidRPr="000F5934">
        <w:t>). In contrast, the 0.5° grid provides a balanced view, clearly delineating major anomaly patterns at shallow depths while offering a robust depiction of deeper structures. The 1.0° grid, while smoothing out finer details, effectively highlights large-scale tectonic features, making it more suitable for imaging deeper levels</w:t>
      </w:r>
      <w:r w:rsidR="00285686">
        <w:t xml:space="preserve"> </w:t>
      </w:r>
      <w:r w:rsidR="00285686" w:rsidRPr="003661ED">
        <w:rPr>
          <w:lang w:val="en-GB"/>
        </w:rPr>
        <w:t xml:space="preserve">(e.g., 70 km), </w:t>
      </w:r>
      <w:r w:rsidRPr="000F5934">
        <w:t>where seismic wavelengths are longer</w:t>
      </w:r>
      <w:r w:rsidR="00285686">
        <w:t>,</w:t>
      </w:r>
      <w:r w:rsidRPr="000F5934">
        <w:t xml:space="preserve"> </w:t>
      </w:r>
      <w:r w:rsidR="00285686" w:rsidRPr="003661ED">
        <w:rPr>
          <w:lang w:val="en-GB"/>
        </w:rPr>
        <w:t>and resolution limitations are inherent due to data sparsity</w:t>
      </w:r>
      <w:r w:rsidR="00285686" w:rsidRPr="000F5934">
        <w:t xml:space="preserve"> </w:t>
      </w:r>
      <w:r w:rsidRPr="000F5934">
        <w:t>(</w:t>
      </w:r>
      <w:r w:rsidRPr="00DC5D8B">
        <w:rPr>
          <w:color w:val="0000FF"/>
        </w:rPr>
        <w:t>Nolet, 2008</w:t>
      </w:r>
      <w:r w:rsidRPr="000F5934">
        <w:t>).</w:t>
      </w:r>
    </w:p>
    <w:p w14:paraId="4D10F41E" w14:textId="36FC5E8D" w:rsidR="002A4396" w:rsidRPr="004D4245" w:rsidRDefault="002A4396" w:rsidP="002A4396">
      <w:pPr>
        <w:pStyle w:val="Heading2"/>
        <w:spacing w:after="0"/>
        <w:ind w:left="567" w:hanging="567"/>
        <w:rPr>
          <w:rFonts w:ascii="Times New Roman" w:hAnsi="Times New Roman" w:cs="Times New Roman"/>
          <w:szCs w:val="24"/>
        </w:rPr>
      </w:pPr>
      <w:r>
        <w:rPr>
          <w:rFonts w:ascii="Times New Roman" w:hAnsi="Times New Roman" w:cs="Times New Roman"/>
          <w:szCs w:val="24"/>
        </w:rPr>
        <w:t>5.2</w:t>
      </w:r>
      <w:r w:rsidRPr="004D4245">
        <w:rPr>
          <w:rFonts w:ascii="Times New Roman" w:hAnsi="Times New Roman" w:cs="Times New Roman"/>
          <w:szCs w:val="24"/>
        </w:rPr>
        <w:tab/>
      </w:r>
      <w:r w:rsidRPr="002A4396">
        <w:rPr>
          <w:rFonts w:ascii="Times New Roman" w:hAnsi="Times New Roman" w:cs="Times New Roman"/>
          <w:szCs w:val="24"/>
        </w:rPr>
        <w:t>Earthquake Focal Depths and Velocity Anomalies</w:t>
      </w:r>
    </w:p>
    <w:p w14:paraId="319ED404" w14:textId="7EF1190C" w:rsidR="00605220" w:rsidRDefault="00735F3E" w:rsidP="00605220">
      <w:pPr>
        <w:spacing w:before="0" w:line="360" w:lineRule="auto"/>
        <w:ind w:right="-22" w:firstLine="720"/>
        <w:rPr>
          <w:lang w:val="en-GB"/>
        </w:rPr>
      </w:pPr>
      <w:r w:rsidRPr="00735F3E">
        <w:rPr>
          <w:lang w:val="en-GB"/>
        </w:rPr>
        <w:t xml:space="preserve">The spatial distribution of earthquake focal depths </w:t>
      </w:r>
      <w:r w:rsidR="00605220" w:rsidRPr="0054632F">
        <w:rPr>
          <w:lang w:val="en-GB"/>
        </w:rPr>
        <w:t xml:space="preserve">(Fig. </w:t>
      </w:r>
      <w:r w:rsidR="00B5063E">
        <w:rPr>
          <w:color w:val="0000FF"/>
          <w:lang w:val="en-GB"/>
        </w:rPr>
        <w:t>12</w:t>
      </w:r>
      <w:r w:rsidR="00605220" w:rsidRPr="0054632F">
        <w:rPr>
          <w:lang w:val="en-GB"/>
        </w:rPr>
        <w:t xml:space="preserve">: yellow circles, Figs. </w:t>
      </w:r>
      <w:r w:rsidR="00605220" w:rsidRPr="000C36C0">
        <w:rPr>
          <w:color w:val="0000FF"/>
          <w:lang w:val="en-GB"/>
        </w:rPr>
        <w:t>1</w:t>
      </w:r>
      <w:r w:rsidR="00B5063E">
        <w:rPr>
          <w:color w:val="0000FF"/>
          <w:lang w:val="en-GB"/>
        </w:rPr>
        <w:t>3</w:t>
      </w:r>
      <w:r w:rsidR="00605220" w:rsidRPr="0054632F">
        <w:rPr>
          <w:lang w:val="en-GB"/>
        </w:rPr>
        <w:t xml:space="preserve"> and </w:t>
      </w:r>
      <w:r w:rsidR="00605220" w:rsidRPr="000C36C0">
        <w:rPr>
          <w:color w:val="0000FF"/>
          <w:lang w:val="en-GB"/>
        </w:rPr>
        <w:t>1</w:t>
      </w:r>
      <w:r w:rsidR="00B5063E">
        <w:rPr>
          <w:color w:val="0000FF"/>
          <w:lang w:val="en-GB"/>
        </w:rPr>
        <w:t>4</w:t>
      </w:r>
      <w:r w:rsidR="00605220" w:rsidRPr="0054632F">
        <w:rPr>
          <w:lang w:val="en-GB"/>
        </w:rPr>
        <w:t xml:space="preserve">: black circles) provide additional context for the velocity anomalies. </w:t>
      </w:r>
      <w:r w:rsidRPr="00735F3E">
        <w:rPr>
          <w:lang w:val="en-GB"/>
        </w:rPr>
        <w:t>Earthquakes predominantly occur in the shallow to mid-crustal layers and tend to cluster near the boundaries between low and high-velocity zones</w:t>
      </w:r>
      <w:r w:rsidR="00605220">
        <w:t xml:space="preserve"> (Fig. </w:t>
      </w:r>
      <w:r w:rsidR="00605220" w:rsidRPr="00981953">
        <w:rPr>
          <w:color w:val="0000FF"/>
        </w:rPr>
        <w:t>1</w:t>
      </w:r>
      <w:r w:rsidR="00B5063E">
        <w:rPr>
          <w:color w:val="0000FF"/>
        </w:rPr>
        <w:t>3</w:t>
      </w:r>
      <w:r w:rsidR="00605220">
        <w:t>: 12</w:t>
      </w:r>
      <w:r w:rsidR="00605220" w:rsidRPr="0013387A">
        <w:t>°</w:t>
      </w:r>
      <w:r w:rsidR="00605220">
        <w:t>-14</w:t>
      </w:r>
      <w:r w:rsidR="00605220" w:rsidRPr="0013387A">
        <w:t>°</w:t>
      </w:r>
      <w:r w:rsidR="00605220">
        <w:t xml:space="preserve"> N</w:t>
      </w:r>
      <w:r w:rsidR="00605220" w:rsidRPr="0054632F">
        <w:rPr>
          <w:lang w:val="en-GB"/>
        </w:rPr>
        <w:t xml:space="preserve">, </w:t>
      </w:r>
      <w:r w:rsidR="00605220">
        <w:t xml:space="preserve">Fig. </w:t>
      </w:r>
      <w:r w:rsidR="00605220" w:rsidRPr="00EC67C6">
        <w:rPr>
          <w:color w:val="0000FF"/>
        </w:rPr>
        <w:t>1</w:t>
      </w:r>
      <w:r w:rsidR="00B5063E">
        <w:rPr>
          <w:color w:val="0000FF"/>
        </w:rPr>
        <w:t>4</w:t>
      </w:r>
      <w:r w:rsidR="00605220">
        <w:t xml:space="preserve">: </w:t>
      </w:r>
      <w:r w:rsidR="00605220" w:rsidRPr="0013387A">
        <w:t>41°-4</w:t>
      </w:r>
      <w:r w:rsidR="00605220">
        <w:t>6</w:t>
      </w:r>
      <w:r w:rsidR="00605220" w:rsidRPr="0013387A">
        <w:t>°E</w:t>
      </w:r>
      <w:r w:rsidR="00605220" w:rsidRPr="0054632F">
        <w:rPr>
          <w:lang w:val="en-GB"/>
        </w:rPr>
        <w:t>, such as</w:t>
      </w:r>
      <w:r w:rsidR="00605220" w:rsidRPr="00183FCB">
        <w:rPr>
          <w:lang w:val="en-GB"/>
        </w:rPr>
        <w:t xml:space="preserve"> </w:t>
      </w:r>
      <w:r w:rsidR="00605220" w:rsidRPr="0054632F">
        <w:rPr>
          <w:lang w:val="en-GB"/>
        </w:rPr>
        <w:t xml:space="preserve">the </w:t>
      </w:r>
      <w:r w:rsidR="00605220">
        <w:rPr>
          <w:lang w:val="en-GB"/>
        </w:rPr>
        <w:t xml:space="preserve">RSR and </w:t>
      </w:r>
      <w:r w:rsidR="00605220" w:rsidRPr="0054632F">
        <w:rPr>
          <w:lang w:val="en-GB"/>
        </w:rPr>
        <w:t>G</w:t>
      </w:r>
      <w:r w:rsidR="00605220">
        <w:rPr>
          <w:lang w:val="en-GB"/>
        </w:rPr>
        <w:t>AR.</w:t>
      </w:r>
      <w:r w:rsidR="00605220" w:rsidRPr="00B94B27">
        <w:rPr>
          <w:lang w:val="en-GB"/>
        </w:rPr>
        <w:t xml:space="preserve"> </w:t>
      </w:r>
      <w:r w:rsidR="00E03F8D" w:rsidRPr="00E03F8D">
        <w:t xml:space="preserve">This pattern </w:t>
      </w:r>
      <w:r w:rsidR="00E03F8D" w:rsidRPr="00E03F8D">
        <w:lastRenderedPageBreak/>
        <w:t xml:space="preserve">suggests that seismicity is closely linked to the mechanical contrasts at interfaces between thermally weakened, upwelling mantle regions and the surrounding cooler, more rigid lithosphere, consistent with models of rifting and faulting </w:t>
      </w:r>
      <w:r w:rsidR="00605220" w:rsidRPr="00B94B27">
        <w:rPr>
          <w:lang w:val="en-GB"/>
        </w:rPr>
        <w:t>(</w:t>
      </w:r>
      <w:r w:rsidR="008D2A43" w:rsidRPr="008D2A43">
        <w:rPr>
          <w:lang w:val="en-GB"/>
        </w:rPr>
        <w:t xml:space="preserve">e.g., </w:t>
      </w:r>
      <w:r w:rsidR="008D2A43" w:rsidRPr="008D2A43">
        <w:rPr>
          <w:color w:val="0000FF"/>
          <w:lang w:val="en-GB"/>
        </w:rPr>
        <w:t xml:space="preserve">Keir </w:t>
      </w:r>
      <w:r w:rsidR="008D2A43" w:rsidRPr="008D2A43">
        <w:rPr>
          <w:i/>
          <w:iCs/>
          <w:color w:val="0000FF"/>
          <w:lang w:val="en-GB"/>
        </w:rPr>
        <w:t>et al</w:t>
      </w:r>
      <w:r w:rsidR="008D2A43" w:rsidRPr="008D2A43">
        <w:rPr>
          <w:color w:val="0000FF"/>
          <w:lang w:val="en-GB"/>
        </w:rPr>
        <w:t>., 2009</w:t>
      </w:r>
      <w:r w:rsidR="008D2A43" w:rsidRPr="008D2A43">
        <w:rPr>
          <w:lang w:val="en-GB"/>
        </w:rPr>
        <w:t>).</w:t>
      </w:r>
    </w:p>
    <w:p w14:paraId="5A3F79F6" w14:textId="5BB51F69" w:rsidR="00114479" w:rsidRPr="004D4245" w:rsidRDefault="00114479" w:rsidP="00114479">
      <w:pPr>
        <w:pStyle w:val="Heading2"/>
        <w:spacing w:after="0"/>
        <w:ind w:left="567" w:hanging="567"/>
        <w:rPr>
          <w:rFonts w:ascii="Times New Roman" w:hAnsi="Times New Roman" w:cs="Times New Roman"/>
          <w:szCs w:val="24"/>
        </w:rPr>
      </w:pPr>
      <w:r>
        <w:rPr>
          <w:rFonts w:ascii="Times New Roman" w:hAnsi="Times New Roman" w:cs="Times New Roman"/>
          <w:szCs w:val="24"/>
        </w:rPr>
        <w:t>5.</w:t>
      </w:r>
      <w:r w:rsidR="000C36C0">
        <w:rPr>
          <w:rFonts w:ascii="Times New Roman" w:hAnsi="Times New Roman" w:cs="Times New Roman"/>
          <w:szCs w:val="24"/>
        </w:rPr>
        <w:t>3</w:t>
      </w:r>
      <w:r w:rsidRPr="004D4245">
        <w:rPr>
          <w:rFonts w:ascii="Times New Roman" w:hAnsi="Times New Roman" w:cs="Times New Roman"/>
          <w:szCs w:val="24"/>
        </w:rPr>
        <w:tab/>
      </w:r>
      <w:r w:rsidR="002E5BC5" w:rsidRPr="002E5BC5">
        <w:rPr>
          <w:rFonts w:ascii="Times New Roman" w:hAnsi="Times New Roman" w:cs="Times New Roman"/>
          <w:szCs w:val="24"/>
        </w:rPr>
        <w:t>Low Velocity Zones (LVZs)</w:t>
      </w:r>
    </w:p>
    <w:p w14:paraId="42141721" w14:textId="24277326" w:rsidR="00BD3932" w:rsidRDefault="00DA20BA" w:rsidP="00D50116">
      <w:pPr>
        <w:spacing w:before="0" w:line="360" w:lineRule="auto"/>
        <w:ind w:right="-22"/>
        <w:rPr>
          <w:rFonts w:cs="Times New Roman"/>
          <w:szCs w:val="24"/>
          <w:lang w:eastAsia="en-MY"/>
        </w:rPr>
      </w:pPr>
      <w:r w:rsidRPr="00817966">
        <w:rPr>
          <w:rFonts w:cs="Times New Roman"/>
          <w:szCs w:val="24"/>
          <w:lang w:eastAsia="en-MY"/>
        </w:rPr>
        <w:t>The tomographic images reveal significant seismic velocity heterogeneity, characteri</w:t>
      </w:r>
      <w:r w:rsidR="007C1BBC">
        <w:rPr>
          <w:rFonts w:cs="Times New Roman"/>
          <w:szCs w:val="24"/>
          <w:lang w:eastAsia="en-MY"/>
        </w:rPr>
        <w:t>s</w:t>
      </w:r>
      <w:r w:rsidRPr="00817966">
        <w:rPr>
          <w:rFonts w:cs="Times New Roman"/>
          <w:szCs w:val="24"/>
          <w:lang w:eastAsia="en-MY"/>
        </w:rPr>
        <w:t>ed by distinct low velocity zones (LVZs) across the upper mantle (5–70 km). These LVZs likely result from a combination of compositional variations, active rifting, magmatic intrusions, elevated thermal conditions, and partial melting. At shallow depths (5–20 km), LVZs are concentrated beneath tectonically active regions such as the AD, R</w:t>
      </w:r>
      <w:r w:rsidR="002F272E">
        <w:rPr>
          <w:rFonts w:cs="Times New Roman"/>
          <w:szCs w:val="24"/>
          <w:lang w:eastAsia="en-MY"/>
        </w:rPr>
        <w:t>S</w:t>
      </w:r>
      <w:r w:rsidRPr="00817966">
        <w:rPr>
          <w:rFonts w:cs="Times New Roman"/>
          <w:szCs w:val="24"/>
          <w:lang w:eastAsia="en-MY"/>
        </w:rPr>
        <w:t>R, GAR, and MER</w:t>
      </w:r>
      <w:r w:rsidR="00EC5D8A" w:rsidRPr="00EC5D8A">
        <w:t xml:space="preserve"> </w:t>
      </w:r>
      <w:r w:rsidR="00EC5D8A">
        <w:t>(</w:t>
      </w:r>
      <w:r w:rsidR="00EC5D8A" w:rsidRPr="007B57BF">
        <w:t xml:space="preserve">Fig. </w:t>
      </w:r>
      <w:r w:rsidR="00B5063E">
        <w:rPr>
          <w:color w:val="0000FF"/>
        </w:rPr>
        <w:t>12</w:t>
      </w:r>
      <w:r w:rsidR="00EC5D8A" w:rsidRPr="007B57BF">
        <w:rPr>
          <w:color w:val="0000FF"/>
        </w:rPr>
        <w:t>:</w:t>
      </w:r>
      <w:r w:rsidR="00EC5D8A" w:rsidRPr="007B57BF">
        <w:t xml:space="preserve"> 5 km; Fig. </w:t>
      </w:r>
      <w:r w:rsidR="00EC5D8A" w:rsidRPr="007B57BF">
        <w:rPr>
          <w:color w:val="0000FF"/>
        </w:rPr>
        <w:t>1</w:t>
      </w:r>
      <w:r w:rsidR="00B5063E">
        <w:rPr>
          <w:color w:val="0000FF"/>
        </w:rPr>
        <w:t>3</w:t>
      </w:r>
      <w:r w:rsidR="00EC5D8A" w:rsidRPr="007B57BF">
        <w:rPr>
          <w:color w:val="0000FF"/>
        </w:rPr>
        <w:t xml:space="preserve">: </w:t>
      </w:r>
      <w:r w:rsidR="00EC5D8A" w:rsidRPr="007B57BF">
        <w:t xml:space="preserve">13° and 15° N; Fig. </w:t>
      </w:r>
      <w:r w:rsidR="00EC5D8A" w:rsidRPr="007B57BF">
        <w:rPr>
          <w:color w:val="0000FF"/>
        </w:rPr>
        <w:t>1</w:t>
      </w:r>
      <w:r w:rsidR="00B5063E">
        <w:rPr>
          <w:color w:val="0000FF"/>
        </w:rPr>
        <w:t>4</w:t>
      </w:r>
      <w:r w:rsidR="00EC5D8A" w:rsidRPr="007B57BF">
        <w:rPr>
          <w:color w:val="0000FF"/>
        </w:rPr>
        <w:t xml:space="preserve">: </w:t>
      </w:r>
      <w:r w:rsidR="00EC5D8A" w:rsidRPr="007B57BF">
        <w:rPr>
          <w:lang w:val="en-GB"/>
        </w:rPr>
        <w:t>41°–43° E)</w:t>
      </w:r>
      <w:r w:rsidR="008A2EE4">
        <w:rPr>
          <w:rFonts w:cs="Times New Roman"/>
          <w:szCs w:val="24"/>
          <w:lang w:eastAsia="en-MY"/>
        </w:rPr>
        <w:t xml:space="preserve">. This is </w:t>
      </w:r>
      <w:r w:rsidRPr="00817966">
        <w:rPr>
          <w:rFonts w:cs="Times New Roman"/>
          <w:szCs w:val="24"/>
          <w:lang w:eastAsia="en-MY"/>
        </w:rPr>
        <w:t xml:space="preserve">consistent with previous studies </w:t>
      </w:r>
      <w:r w:rsidR="008A2EE4" w:rsidRPr="00817966">
        <w:rPr>
          <w:rFonts w:cs="Times New Roman"/>
          <w:szCs w:val="24"/>
          <w:lang w:eastAsia="en-MY"/>
        </w:rPr>
        <w:t>(</w:t>
      </w:r>
      <w:r w:rsidR="008A2EE4">
        <w:rPr>
          <w:rFonts w:cs="Times New Roman"/>
          <w:szCs w:val="24"/>
          <w:lang w:eastAsia="en-MY"/>
        </w:rPr>
        <w:t>e</w:t>
      </w:r>
      <w:r w:rsidR="001E0763">
        <w:rPr>
          <w:rFonts w:cs="Times New Roman"/>
          <w:szCs w:val="24"/>
          <w:lang w:eastAsia="en-MY"/>
        </w:rPr>
        <w:t>.</w:t>
      </w:r>
      <w:r w:rsidR="008A2EE4">
        <w:rPr>
          <w:rFonts w:cs="Times New Roman"/>
          <w:szCs w:val="24"/>
          <w:lang w:eastAsia="en-MY"/>
        </w:rPr>
        <w:t xml:space="preserve">g., </w:t>
      </w:r>
      <w:r w:rsidR="008A2EE4" w:rsidRPr="008A2EE4">
        <w:rPr>
          <w:rFonts w:cs="Times New Roman"/>
          <w:color w:val="0000FF"/>
          <w:szCs w:val="24"/>
          <w:lang w:eastAsia="en-MY"/>
        </w:rPr>
        <w:t xml:space="preserve">Bastow </w:t>
      </w:r>
      <w:r w:rsidR="008A2EE4" w:rsidRPr="008A2EE4">
        <w:rPr>
          <w:rFonts w:cs="Times New Roman"/>
          <w:i/>
          <w:iCs/>
          <w:color w:val="0000FF"/>
          <w:szCs w:val="24"/>
          <w:lang w:eastAsia="en-MY"/>
        </w:rPr>
        <w:t>et al.,</w:t>
      </w:r>
      <w:r w:rsidR="008A2EE4" w:rsidRPr="008A2EE4">
        <w:rPr>
          <w:rFonts w:cs="Times New Roman"/>
          <w:color w:val="0000FF"/>
          <w:szCs w:val="24"/>
          <w:lang w:eastAsia="en-MY"/>
        </w:rPr>
        <w:t xml:space="preserve"> 2005</w:t>
      </w:r>
      <w:r w:rsidR="008A2EE4" w:rsidRPr="00817966">
        <w:rPr>
          <w:rFonts w:cs="Times New Roman"/>
          <w:szCs w:val="24"/>
          <w:lang w:eastAsia="en-MY"/>
        </w:rPr>
        <w:t xml:space="preserve">) </w:t>
      </w:r>
      <w:r w:rsidRPr="00817966">
        <w:rPr>
          <w:rFonts w:cs="Times New Roman"/>
          <w:szCs w:val="24"/>
          <w:lang w:eastAsia="en-MY"/>
        </w:rPr>
        <w:t>that associate shallow LVZs with rift-related magmatism and crustal thinning</w:t>
      </w:r>
      <w:r w:rsidR="001E0763">
        <w:rPr>
          <w:rFonts w:cs="Times New Roman"/>
          <w:szCs w:val="24"/>
          <w:lang w:eastAsia="en-MY"/>
        </w:rPr>
        <w:t>.</w:t>
      </w:r>
      <w:r w:rsidRPr="00817966">
        <w:rPr>
          <w:rFonts w:cs="Times New Roman"/>
          <w:szCs w:val="24"/>
          <w:lang w:eastAsia="en-MY"/>
        </w:rPr>
        <w:t xml:space="preserve"> At intermediate depths (35–50 km), </w:t>
      </w:r>
      <w:r w:rsidR="00F757A0" w:rsidRPr="00817966">
        <w:rPr>
          <w:rFonts w:cs="Times New Roman"/>
          <w:szCs w:val="24"/>
          <w:lang w:eastAsia="en-MY"/>
        </w:rPr>
        <w:t>LVZs</w:t>
      </w:r>
      <w:r w:rsidR="00F757A0">
        <w:rPr>
          <w:rFonts w:cs="Times New Roman"/>
          <w:szCs w:val="24"/>
          <w:lang w:eastAsia="en-MY"/>
        </w:rPr>
        <w:t xml:space="preserve"> beneath parts of the AD and southern part of the Red Sea</w:t>
      </w:r>
      <w:r w:rsidR="00F757A0" w:rsidRPr="00C816FD">
        <w:rPr>
          <w:lang w:val="en-GB"/>
        </w:rPr>
        <w:t xml:space="preserve"> broaden </w:t>
      </w:r>
      <w:r w:rsidR="00F757A0">
        <w:rPr>
          <w:rFonts w:cs="Times New Roman"/>
          <w:szCs w:val="24"/>
          <w:lang w:eastAsia="en-MY"/>
        </w:rPr>
        <w:t xml:space="preserve">beneath the Arabian </w:t>
      </w:r>
      <w:r w:rsidR="00F757A0" w:rsidRPr="003345AB">
        <w:rPr>
          <w:lang w:val="en-GB"/>
        </w:rPr>
        <w:t>Plate</w:t>
      </w:r>
      <w:r w:rsidR="00F757A0">
        <w:rPr>
          <w:lang w:val="en-GB"/>
        </w:rPr>
        <w:t xml:space="preserve"> </w:t>
      </w:r>
      <w:r w:rsidR="00F757A0">
        <w:rPr>
          <w:rFonts w:cs="Times New Roman"/>
          <w:szCs w:val="24"/>
          <w:lang w:eastAsia="en-MY"/>
        </w:rPr>
        <w:t xml:space="preserve">(Fig. </w:t>
      </w:r>
      <w:r w:rsidR="00B5063E">
        <w:rPr>
          <w:rFonts w:cs="Times New Roman"/>
          <w:color w:val="0000FF"/>
          <w:szCs w:val="24"/>
          <w:lang w:eastAsia="en-MY"/>
        </w:rPr>
        <w:t>12</w:t>
      </w:r>
      <w:r w:rsidR="00F757A0">
        <w:rPr>
          <w:rFonts w:cs="Times New Roman"/>
          <w:szCs w:val="24"/>
          <w:lang w:eastAsia="en-MY"/>
        </w:rPr>
        <w:t xml:space="preserve">; 35 and 50 km, </w:t>
      </w:r>
      <w:r w:rsidR="00F757A0" w:rsidRPr="007B57BF">
        <w:t xml:space="preserve">Fig. </w:t>
      </w:r>
      <w:r w:rsidR="00F757A0" w:rsidRPr="007B57BF">
        <w:rPr>
          <w:color w:val="0000FF"/>
        </w:rPr>
        <w:t>1</w:t>
      </w:r>
      <w:r w:rsidR="00F40B87">
        <w:rPr>
          <w:color w:val="0000FF"/>
        </w:rPr>
        <w:t>3</w:t>
      </w:r>
      <w:r w:rsidR="00F757A0" w:rsidRPr="007B57BF">
        <w:rPr>
          <w:color w:val="0000FF"/>
        </w:rPr>
        <w:t xml:space="preserve">: </w:t>
      </w:r>
      <w:r w:rsidR="00F757A0" w:rsidRPr="007B57BF">
        <w:t>13°</w:t>
      </w:r>
      <w:r w:rsidR="00F757A0">
        <w:t>-</w:t>
      </w:r>
      <w:r w:rsidR="00F757A0" w:rsidRPr="007B57BF">
        <w:t xml:space="preserve">15° N; Fig. </w:t>
      </w:r>
      <w:r w:rsidR="00F757A0" w:rsidRPr="007B57BF">
        <w:rPr>
          <w:color w:val="0000FF"/>
        </w:rPr>
        <w:t>1</w:t>
      </w:r>
      <w:r w:rsidR="00F40B87">
        <w:rPr>
          <w:color w:val="0000FF"/>
        </w:rPr>
        <w:t>4</w:t>
      </w:r>
      <w:r w:rsidR="00F757A0" w:rsidRPr="007B57BF">
        <w:rPr>
          <w:color w:val="0000FF"/>
        </w:rPr>
        <w:t xml:space="preserve">: </w:t>
      </w:r>
      <w:r w:rsidR="00F757A0" w:rsidRPr="007B57BF">
        <w:rPr>
          <w:lang w:val="en-GB"/>
        </w:rPr>
        <w:t>4</w:t>
      </w:r>
      <w:r w:rsidR="00F757A0">
        <w:rPr>
          <w:lang w:val="en-GB"/>
        </w:rPr>
        <w:t>3</w:t>
      </w:r>
      <w:r w:rsidR="00F757A0" w:rsidRPr="007B57BF">
        <w:rPr>
          <w:lang w:val="en-GB"/>
        </w:rPr>
        <w:t>°–4</w:t>
      </w:r>
      <w:r w:rsidR="00F757A0">
        <w:rPr>
          <w:lang w:val="en-GB"/>
        </w:rPr>
        <w:t>5</w:t>
      </w:r>
      <w:r w:rsidR="00F757A0" w:rsidRPr="007B57BF">
        <w:rPr>
          <w:lang w:val="en-GB"/>
        </w:rPr>
        <w:t>° E</w:t>
      </w:r>
      <w:r w:rsidR="00F757A0">
        <w:rPr>
          <w:rFonts w:cs="Times New Roman"/>
          <w:szCs w:val="24"/>
          <w:lang w:eastAsia="en-MY"/>
        </w:rPr>
        <w:t>)</w:t>
      </w:r>
      <w:r w:rsidR="0016652B">
        <w:rPr>
          <w:rFonts w:cs="Times New Roman"/>
          <w:szCs w:val="24"/>
          <w:lang w:eastAsia="en-MY"/>
        </w:rPr>
        <w:t>,</w:t>
      </w:r>
      <w:r w:rsidRPr="00817966">
        <w:rPr>
          <w:rFonts w:cs="Times New Roman"/>
          <w:szCs w:val="24"/>
          <w:lang w:eastAsia="en-MY"/>
        </w:rPr>
        <w:t xml:space="preserve"> suggesting a passive upwelling mechanism that feeds the rift segments (</w:t>
      </w:r>
      <w:r w:rsidRPr="006E2F31">
        <w:rPr>
          <w:rFonts w:cs="Times New Roman"/>
          <w:color w:val="0000FF"/>
          <w:szCs w:val="24"/>
          <w:lang w:eastAsia="en-MY"/>
        </w:rPr>
        <w:t xml:space="preserve">Bastow </w:t>
      </w:r>
      <w:r w:rsidRPr="006E2F31">
        <w:rPr>
          <w:rFonts w:cs="Times New Roman"/>
          <w:i/>
          <w:iCs/>
          <w:color w:val="0000FF"/>
          <w:szCs w:val="24"/>
          <w:lang w:eastAsia="en-MY"/>
        </w:rPr>
        <w:t>et al.,</w:t>
      </w:r>
      <w:r w:rsidRPr="006E2F31">
        <w:rPr>
          <w:rFonts w:cs="Times New Roman"/>
          <w:color w:val="0000FF"/>
          <w:szCs w:val="24"/>
          <w:lang w:eastAsia="en-MY"/>
        </w:rPr>
        <w:t xml:space="preserve"> 2005; Hammond </w:t>
      </w:r>
      <w:r w:rsidRPr="006E2F31">
        <w:rPr>
          <w:rFonts w:cs="Times New Roman"/>
          <w:i/>
          <w:iCs/>
          <w:color w:val="0000FF"/>
          <w:szCs w:val="24"/>
          <w:lang w:eastAsia="en-MY"/>
        </w:rPr>
        <w:t>et al.,</w:t>
      </w:r>
      <w:r w:rsidRPr="006E2F31">
        <w:rPr>
          <w:rFonts w:cs="Times New Roman"/>
          <w:color w:val="0000FF"/>
          <w:szCs w:val="24"/>
          <w:lang w:eastAsia="en-MY"/>
        </w:rPr>
        <w:t xml:space="preserve"> 2013</w:t>
      </w:r>
      <w:r w:rsidRPr="00817966">
        <w:rPr>
          <w:rFonts w:cs="Times New Roman"/>
          <w:szCs w:val="24"/>
          <w:lang w:eastAsia="en-MY"/>
        </w:rPr>
        <w:t>). The progressive deepening and lateral expansion of these anomalies imply a continuous influence from a mantle plume, with observations of a northward plume flow further supporting this interpretation (</w:t>
      </w:r>
      <w:r w:rsidRPr="006E2F31">
        <w:rPr>
          <w:rFonts w:cs="Times New Roman"/>
          <w:color w:val="0000FF"/>
          <w:szCs w:val="24"/>
          <w:lang w:eastAsia="en-MY"/>
        </w:rPr>
        <w:t xml:space="preserve">Chang and Van der Lee, 2011; Civiero </w:t>
      </w:r>
      <w:r w:rsidRPr="006E2F31">
        <w:rPr>
          <w:rFonts w:cs="Times New Roman"/>
          <w:i/>
          <w:iCs/>
          <w:color w:val="0000FF"/>
          <w:szCs w:val="24"/>
          <w:lang w:eastAsia="en-MY"/>
        </w:rPr>
        <w:t>et al</w:t>
      </w:r>
      <w:r w:rsidRPr="006E2F31">
        <w:rPr>
          <w:rFonts w:cs="Times New Roman"/>
          <w:color w:val="0000FF"/>
          <w:szCs w:val="24"/>
          <w:lang w:eastAsia="en-MY"/>
        </w:rPr>
        <w:t xml:space="preserve">., 2015; Emry </w:t>
      </w:r>
      <w:r w:rsidRPr="006E2F31">
        <w:rPr>
          <w:rFonts w:cs="Times New Roman"/>
          <w:i/>
          <w:iCs/>
          <w:color w:val="0000FF"/>
          <w:szCs w:val="24"/>
          <w:lang w:eastAsia="en-MY"/>
        </w:rPr>
        <w:t>et al.,</w:t>
      </w:r>
      <w:r w:rsidRPr="006E2F31">
        <w:rPr>
          <w:rFonts w:cs="Times New Roman"/>
          <w:color w:val="0000FF"/>
          <w:szCs w:val="24"/>
          <w:lang w:eastAsia="en-MY"/>
        </w:rPr>
        <w:t xml:space="preserve"> 2019</w:t>
      </w:r>
      <w:r w:rsidRPr="00817966">
        <w:rPr>
          <w:rFonts w:cs="Times New Roman"/>
          <w:szCs w:val="24"/>
          <w:lang w:eastAsia="en-MY"/>
        </w:rPr>
        <w:t xml:space="preserve">). </w:t>
      </w:r>
      <w:r w:rsidR="00F8719F">
        <w:rPr>
          <w:rFonts w:cs="Times New Roman"/>
          <w:szCs w:val="24"/>
          <w:lang w:eastAsia="en-MY"/>
        </w:rPr>
        <w:t xml:space="preserve">This </w:t>
      </w:r>
      <w:r w:rsidR="00F8719F" w:rsidRPr="00F60C4B">
        <w:rPr>
          <w:lang w:val="en-GB"/>
        </w:rPr>
        <w:t>is evident in the shallower representation of LVZs beneath the Arabian Plate compared to the AD</w:t>
      </w:r>
      <w:r w:rsidR="00F8719F">
        <w:rPr>
          <w:lang w:val="en-GB"/>
        </w:rPr>
        <w:t>.</w:t>
      </w:r>
      <w:r w:rsidR="00F8719F" w:rsidRPr="004E1295">
        <w:rPr>
          <w:lang w:val="en-GB"/>
        </w:rPr>
        <w:t xml:space="preserve"> </w:t>
      </w:r>
      <w:r w:rsidR="00C32460" w:rsidRPr="004E1295">
        <w:rPr>
          <w:lang w:val="en-GB"/>
        </w:rPr>
        <w:t xml:space="preserve">The transition from shallow to deeper LVZs suggests a continuous mantle plume influence, as noted by </w:t>
      </w:r>
      <w:r w:rsidR="00C32460" w:rsidRPr="00844A5F">
        <w:rPr>
          <w:lang w:val="en-GB"/>
        </w:rPr>
        <w:t>Ebinger and Sleep (</w:t>
      </w:r>
      <w:r w:rsidR="00C32460" w:rsidRPr="00844A5F">
        <w:rPr>
          <w:color w:val="0000FF"/>
          <w:lang w:val="en-GB"/>
        </w:rPr>
        <w:t>1998</w:t>
      </w:r>
      <w:r w:rsidR="00C32460" w:rsidRPr="00844A5F">
        <w:rPr>
          <w:lang w:val="en-GB"/>
        </w:rPr>
        <w:t xml:space="preserve">), </w:t>
      </w:r>
      <w:r w:rsidR="00C32460" w:rsidRPr="004E1295">
        <w:rPr>
          <w:lang w:val="en-GB"/>
        </w:rPr>
        <w:t>driving lithospheric thinning and rifting</w:t>
      </w:r>
      <w:r w:rsidR="00C32460">
        <w:rPr>
          <w:lang w:val="en-GB"/>
        </w:rPr>
        <w:t>.</w:t>
      </w:r>
      <w:r w:rsidR="00C32460" w:rsidRPr="00817966">
        <w:rPr>
          <w:rFonts w:cs="Times New Roman"/>
          <w:szCs w:val="24"/>
          <w:lang w:eastAsia="en-MY"/>
        </w:rPr>
        <w:t xml:space="preserve"> </w:t>
      </w:r>
      <w:r w:rsidRPr="00817966">
        <w:rPr>
          <w:rFonts w:cs="Times New Roman"/>
          <w:szCs w:val="24"/>
          <w:lang w:eastAsia="en-MY"/>
        </w:rPr>
        <w:t>Additionally, specific LVZ features at 50 km and 70 km may indicate secondary plume activities or the shallower manifestations of deeper mantle anomalies.</w:t>
      </w:r>
    </w:p>
    <w:p w14:paraId="6BA8BE9B" w14:textId="05BDB833" w:rsidR="00A25737" w:rsidRPr="00A25737" w:rsidRDefault="00BD415B" w:rsidP="007C4036">
      <w:pPr>
        <w:spacing w:before="0" w:line="360" w:lineRule="auto"/>
        <w:ind w:right="-22" w:firstLine="720"/>
        <w:rPr>
          <w:lang w:val="en-GB"/>
        </w:rPr>
      </w:pPr>
      <w:r w:rsidRPr="00BD415B">
        <w:rPr>
          <w:lang w:val="en-GB"/>
        </w:rPr>
        <w:t xml:space="preserve">Decompression melting, as proposed by </w:t>
      </w:r>
      <w:r w:rsidR="00963A3E" w:rsidRPr="00963A3E">
        <w:rPr>
          <w:rFonts w:cs="Times New Roman"/>
          <w:color w:val="000000" w:themeColor="text1"/>
          <w:szCs w:val="24"/>
        </w:rPr>
        <w:t>Hansen and Nyblade (</w:t>
      </w:r>
      <w:r w:rsidR="00963A3E" w:rsidRPr="00963A3E">
        <w:rPr>
          <w:rFonts w:cs="Times New Roman"/>
          <w:color w:val="0000FF"/>
          <w:szCs w:val="24"/>
        </w:rPr>
        <w:t>2013</w:t>
      </w:r>
      <w:r w:rsidR="00950107" w:rsidRPr="00950107">
        <w:rPr>
          <w:rFonts w:cs="Times New Roman"/>
          <w:color w:val="000000" w:themeColor="text1"/>
          <w:szCs w:val="24"/>
        </w:rPr>
        <w:t>)</w:t>
      </w:r>
      <w:r w:rsidRPr="00BD415B">
        <w:rPr>
          <w:lang w:val="en-GB"/>
        </w:rPr>
        <w:t>, drives elevated topography</w:t>
      </w:r>
      <w:r w:rsidR="004930F6">
        <w:rPr>
          <w:lang w:val="en-GB"/>
        </w:rPr>
        <w:t xml:space="preserve"> </w:t>
      </w:r>
      <w:r w:rsidR="004930F6">
        <w:rPr>
          <w:rFonts w:cs="Times New Roman"/>
          <w:szCs w:val="24"/>
          <w:lang w:eastAsia="en-MY"/>
        </w:rPr>
        <w:t>(</w:t>
      </w:r>
      <w:r w:rsidR="004930F6" w:rsidRPr="003D0DC6">
        <w:rPr>
          <w:rFonts w:cs="Times New Roman"/>
          <w:color w:val="0000FF"/>
          <w:szCs w:val="24"/>
          <w:lang w:eastAsia="en-MY"/>
        </w:rPr>
        <w:t>Fig. 2a</w:t>
      </w:r>
      <w:r w:rsidR="004930F6">
        <w:rPr>
          <w:rFonts w:cs="Times New Roman"/>
          <w:szCs w:val="24"/>
          <w:lang w:eastAsia="en-MY"/>
        </w:rPr>
        <w:t>)</w:t>
      </w:r>
      <w:r w:rsidRPr="00BD415B">
        <w:rPr>
          <w:lang w:val="en-GB"/>
        </w:rPr>
        <w:t xml:space="preserve"> in Afar and the Arabian Plate, influenced by variations </w:t>
      </w:r>
      <w:r w:rsidR="00084FD8">
        <w:rPr>
          <w:rFonts w:cs="Times New Roman"/>
          <w:szCs w:val="24"/>
          <w:lang w:eastAsia="en-MY"/>
        </w:rPr>
        <w:t>(</w:t>
      </w:r>
      <w:r w:rsidR="00084FD8" w:rsidRPr="003D0DC6">
        <w:rPr>
          <w:rFonts w:cs="Times New Roman"/>
          <w:color w:val="0000FF"/>
          <w:szCs w:val="24"/>
          <w:lang w:eastAsia="en-MY"/>
        </w:rPr>
        <w:t>Fig. 2</w:t>
      </w:r>
      <w:r w:rsidR="00084FD8">
        <w:rPr>
          <w:rFonts w:cs="Times New Roman"/>
          <w:color w:val="0000FF"/>
          <w:szCs w:val="24"/>
          <w:lang w:eastAsia="en-MY"/>
        </w:rPr>
        <w:t>b</w:t>
      </w:r>
      <w:r w:rsidR="00084FD8">
        <w:rPr>
          <w:rFonts w:cs="Times New Roman"/>
          <w:szCs w:val="24"/>
          <w:lang w:eastAsia="en-MY"/>
        </w:rPr>
        <w:t xml:space="preserve">) </w:t>
      </w:r>
      <w:r w:rsidRPr="00BD415B">
        <w:rPr>
          <w:lang w:val="en-GB"/>
        </w:rPr>
        <w:t>in lithospheric thickness (</w:t>
      </w:r>
      <w:proofErr w:type="spellStart"/>
      <w:r w:rsidR="00963A3E" w:rsidRPr="00963A3E">
        <w:rPr>
          <w:rFonts w:cs="Times New Roman"/>
          <w:color w:val="0000FF"/>
          <w:szCs w:val="24"/>
          <w:lang w:eastAsia="en-MY"/>
        </w:rPr>
        <w:t>Daradich</w:t>
      </w:r>
      <w:proofErr w:type="spellEnd"/>
      <w:r w:rsidR="00963A3E" w:rsidRPr="00963A3E">
        <w:rPr>
          <w:rFonts w:cs="Times New Roman"/>
          <w:color w:val="0000FF"/>
          <w:szCs w:val="24"/>
          <w:lang w:eastAsia="en-MY"/>
        </w:rPr>
        <w:t xml:space="preserve"> </w:t>
      </w:r>
      <w:r w:rsidR="00963A3E" w:rsidRPr="00963A3E">
        <w:rPr>
          <w:rFonts w:cs="Times New Roman"/>
          <w:i/>
          <w:iCs/>
          <w:color w:val="0000FF"/>
          <w:szCs w:val="24"/>
          <w:lang w:eastAsia="en-MY"/>
        </w:rPr>
        <w:t>et al</w:t>
      </w:r>
      <w:r w:rsidR="00963A3E" w:rsidRPr="00963A3E">
        <w:rPr>
          <w:rFonts w:cs="Times New Roman"/>
          <w:color w:val="0000FF"/>
          <w:szCs w:val="24"/>
          <w:lang w:eastAsia="en-MY"/>
        </w:rPr>
        <w:t xml:space="preserve">., 2003; Hopp </w:t>
      </w:r>
      <w:r w:rsidR="00963A3E" w:rsidRPr="00963A3E">
        <w:rPr>
          <w:rFonts w:cs="Times New Roman"/>
          <w:i/>
          <w:iCs/>
          <w:color w:val="0000FF"/>
          <w:szCs w:val="24"/>
          <w:lang w:eastAsia="en-MY"/>
        </w:rPr>
        <w:t>et al</w:t>
      </w:r>
      <w:r w:rsidR="00963A3E" w:rsidRPr="00963A3E">
        <w:rPr>
          <w:rFonts w:cs="Times New Roman"/>
          <w:color w:val="0000FF"/>
          <w:szCs w:val="24"/>
          <w:lang w:eastAsia="en-MY"/>
        </w:rPr>
        <w:t xml:space="preserve">., 2004; Lim </w:t>
      </w:r>
      <w:r w:rsidR="00963A3E" w:rsidRPr="00963A3E">
        <w:rPr>
          <w:rFonts w:cs="Times New Roman"/>
          <w:i/>
          <w:iCs/>
          <w:color w:val="0000FF"/>
          <w:szCs w:val="24"/>
          <w:lang w:eastAsia="en-MY"/>
        </w:rPr>
        <w:t>et al.,</w:t>
      </w:r>
      <w:r w:rsidR="00963A3E" w:rsidRPr="00963A3E">
        <w:rPr>
          <w:rFonts w:cs="Times New Roman"/>
          <w:color w:val="0000FF"/>
          <w:szCs w:val="24"/>
          <w:lang w:eastAsia="en-MY"/>
        </w:rPr>
        <w:t xml:space="preserve"> 2020</w:t>
      </w:r>
      <w:r w:rsidRPr="00BD415B">
        <w:rPr>
          <w:lang w:val="en-GB"/>
        </w:rPr>
        <w:t>).</w:t>
      </w:r>
      <w:r w:rsidR="00577E94">
        <w:rPr>
          <w:lang w:val="en-GB"/>
        </w:rPr>
        <w:t xml:space="preserve"> More so, </w:t>
      </w:r>
      <w:r w:rsidR="000C7814">
        <w:t>m</w:t>
      </w:r>
      <w:r w:rsidR="000C7814" w:rsidRPr="000C7814">
        <w:t xml:space="preserve">antle upwellings have been suggested to migrate toward areas with thinner lithosphere following their interaction with the rigid lithosphere beneath the MER </w:t>
      </w:r>
      <w:r w:rsidR="00577E94">
        <w:t xml:space="preserve">(e.g., </w:t>
      </w:r>
      <w:r w:rsidR="00963A3E" w:rsidRPr="00963A3E">
        <w:rPr>
          <w:color w:val="0000FF"/>
        </w:rPr>
        <w:t xml:space="preserve">Benoit </w:t>
      </w:r>
      <w:r w:rsidR="00963A3E" w:rsidRPr="00963A3E">
        <w:rPr>
          <w:i/>
          <w:iCs/>
          <w:color w:val="0000FF"/>
        </w:rPr>
        <w:t>et al</w:t>
      </w:r>
      <w:r w:rsidR="00963A3E" w:rsidRPr="00963A3E">
        <w:rPr>
          <w:color w:val="0000FF"/>
        </w:rPr>
        <w:t xml:space="preserve">., 2006; Bastow </w:t>
      </w:r>
      <w:r w:rsidR="00963A3E" w:rsidRPr="00963A3E">
        <w:rPr>
          <w:i/>
          <w:iCs/>
          <w:color w:val="0000FF"/>
        </w:rPr>
        <w:t>et al</w:t>
      </w:r>
      <w:r w:rsidR="00963A3E" w:rsidRPr="00963A3E">
        <w:rPr>
          <w:color w:val="0000FF"/>
        </w:rPr>
        <w:t>., 2008</w:t>
      </w:r>
      <w:r w:rsidR="00577E94" w:rsidRPr="005A7FAC">
        <w:t>)</w:t>
      </w:r>
      <w:r w:rsidR="005A7FAC" w:rsidRPr="005A7FAC">
        <w:t>. This phenomenon may explain the presence of the LV</w:t>
      </w:r>
      <w:r w:rsidR="006A2C00">
        <w:t>Z</w:t>
      </w:r>
      <w:r w:rsidR="005A7FAC" w:rsidRPr="005A7FAC">
        <w:t>, as indicated by the CRUST 1.0 model</w:t>
      </w:r>
      <w:r w:rsidR="00B914E9">
        <w:t xml:space="preserve"> </w:t>
      </w:r>
      <w:r w:rsidR="00B914E9">
        <w:rPr>
          <w:rFonts w:cs="Times New Roman"/>
          <w:szCs w:val="24"/>
          <w:lang w:eastAsia="en-MY"/>
        </w:rPr>
        <w:t>(</w:t>
      </w:r>
      <w:r w:rsidR="00B914E9" w:rsidRPr="003D0DC6">
        <w:rPr>
          <w:rFonts w:cs="Times New Roman"/>
          <w:color w:val="0000FF"/>
          <w:szCs w:val="24"/>
          <w:lang w:eastAsia="en-MY"/>
        </w:rPr>
        <w:t>Fig. 2</w:t>
      </w:r>
      <w:r w:rsidR="00B914E9">
        <w:rPr>
          <w:rFonts w:cs="Times New Roman"/>
          <w:color w:val="0000FF"/>
          <w:szCs w:val="24"/>
          <w:lang w:eastAsia="en-MY"/>
        </w:rPr>
        <w:t>b</w:t>
      </w:r>
      <w:r w:rsidR="00B914E9">
        <w:rPr>
          <w:rFonts w:cs="Times New Roman"/>
          <w:szCs w:val="24"/>
          <w:lang w:eastAsia="en-MY"/>
        </w:rPr>
        <w:t>)</w:t>
      </w:r>
      <w:r w:rsidR="005A7FAC" w:rsidRPr="005A7FAC">
        <w:t>, which reveals regions of thinner lithosphere beneath the WEP.</w:t>
      </w:r>
      <w:r w:rsidR="007C4036">
        <w:t xml:space="preserve"> </w:t>
      </w:r>
      <w:r w:rsidR="00A91CD3">
        <w:t xml:space="preserve">The </w:t>
      </w:r>
      <w:r w:rsidR="006A0D80">
        <w:t>LV</w:t>
      </w:r>
      <w:r w:rsidR="00691DE6">
        <w:t>Z</w:t>
      </w:r>
      <w:r w:rsidR="003F5F36">
        <w:t xml:space="preserve"> </w:t>
      </w:r>
      <w:r w:rsidR="002F484C">
        <w:t xml:space="preserve">at 50 km </w:t>
      </w:r>
      <w:r w:rsidR="00D17971">
        <w:t>along the</w:t>
      </w:r>
      <w:r w:rsidR="008D6100">
        <w:t xml:space="preserve"> </w:t>
      </w:r>
      <w:r w:rsidR="00D00BAF">
        <w:rPr>
          <w:lang w:val="en-GB"/>
        </w:rPr>
        <w:t>N</w:t>
      </w:r>
      <w:proofErr w:type="spellStart"/>
      <w:r w:rsidR="008C5869">
        <w:t>orthwest</w:t>
      </w:r>
      <w:proofErr w:type="spellEnd"/>
      <w:r w:rsidR="003D7400">
        <w:t xml:space="preserve"> Plateau</w:t>
      </w:r>
      <w:r w:rsidR="00A91CD3">
        <w:t>,</w:t>
      </w:r>
      <w:r w:rsidR="003D7400">
        <w:t xml:space="preserve"> </w:t>
      </w:r>
      <w:r w:rsidR="008D6100">
        <w:t>and</w:t>
      </w:r>
      <w:r w:rsidR="003D7400">
        <w:t xml:space="preserve"> </w:t>
      </w:r>
      <w:r w:rsidR="002F484C">
        <w:t xml:space="preserve">at 70 km </w:t>
      </w:r>
      <w:r w:rsidR="001E4966">
        <w:t>along the S</w:t>
      </w:r>
      <w:r w:rsidR="001F6B2A">
        <w:t xml:space="preserve">outheast </w:t>
      </w:r>
      <w:r w:rsidR="001E4966">
        <w:t xml:space="preserve">Plateau </w:t>
      </w:r>
      <w:r w:rsidR="001F6B2A">
        <w:t xml:space="preserve">(Fig. </w:t>
      </w:r>
      <w:r w:rsidR="00F40B87">
        <w:rPr>
          <w:color w:val="0000FF"/>
        </w:rPr>
        <w:t>12</w:t>
      </w:r>
      <w:r w:rsidR="001F6B2A">
        <w:t xml:space="preserve">: </w:t>
      </w:r>
      <w:r w:rsidR="001F6B2A" w:rsidRPr="009832ED">
        <w:t xml:space="preserve">0.5° </w:t>
      </w:r>
      <w:r w:rsidR="001F6B2A">
        <w:t>and 1.0</w:t>
      </w:r>
      <w:r w:rsidR="001F6B2A" w:rsidRPr="009832ED">
        <w:t>°</w:t>
      </w:r>
      <w:r w:rsidR="001F6B2A">
        <w:t xml:space="preserve"> </w:t>
      </w:r>
      <w:r w:rsidR="001F6B2A" w:rsidRPr="009832ED">
        <w:t>grid</w:t>
      </w:r>
      <w:r w:rsidR="001F6B2A">
        <w:t>s</w:t>
      </w:r>
      <w:r w:rsidR="001E4966">
        <w:t>)</w:t>
      </w:r>
      <w:r w:rsidR="001F6B2A">
        <w:t xml:space="preserve"> </w:t>
      </w:r>
      <w:r w:rsidR="00A91CD3">
        <w:t xml:space="preserve">which appears to </w:t>
      </w:r>
      <w:r w:rsidR="001E4966">
        <w:t xml:space="preserve">extend into the </w:t>
      </w:r>
      <w:r w:rsidR="00AE527B">
        <w:t>Northwest Plateau through a section of the AD</w:t>
      </w:r>
      <w:r w:rsidR="000A6C6D">
        <w:t xml:space="preserve">, </w:t>
      </w:r>
      <w:r w:rsidR="0094265B" w:rsidRPr="0094265B">
        <w:rPr>
          <w:lang w:val="en-GB"/>
        </w:rPr>
        <w:t xml:space="preserve">may represent secondary plumes or </w:t>
      </w:r>
      <w:r w:rsidR="0094265B" w:rsidRPr="0094265B">
        <w:rPr>
          <w:lang w:val="en-GB"/>
        </w:rPr>
        <w:lastRenderedPageBreak/>
        <w:t>shallow manifestations of broader mantle anomalies</w:t>
      </w:r>
      <w:r w:rsidR="006A0D80">
        <w:rPr>
          <w:rFonts w:cs="Times New Roman"/>
          <w:szCs w:val="24"/>
        </w:rPr>
        <w:t xml:space="preserve"> </w:t>
      </w:r>
      <w:r w:rsidR="00D8135F">
        <w:rPr>
          <w:rFonts w:cs="Times New Roman"/>
          <w:szCs w:val="24"/>
        </w:rPr>
        <w:t xml:space="preserve">discussed </w:t>
      </w:r>
      <w:r w:rsidR="00655170">
        <w:rPr>
          <w:rFonts w:cs="Times New Roman"/>
          <w:szCs w:val="24"/>
        </w:rPr>
        <w:t xml:space="preserve">in </w:t>
      </w:r>
      <w:r w:rsidR="006A0D80">
        <w:rPr>
          <w:rFonts w:cs="Times New Roman"/>
          <w:szCs w:val="24"/>
        </w:rPr>
        <w:t>previous</w:t>
      </w:r>
      <w:r w:rsidR="00655170">
        <w:rPr>
          <w:rFonts w:cs="Times New Roman"/>
          <w:szCs w:val="24"/>
        </w:rPr>
        <w:t xml:space="preserve"> studies</w:t>
      </w:r>
      <w:r w:rsidR="006A0D80">
        <w:rPr>
          <w:rFonts w:cs="Times New Roman"/>
          <w:szCs w:val="24"/>
        </w:rPr>
        <w:t xml:space="preserve"> (e.g., </w:t>
      </w:r>
      <w:r w:rsidR="000B266B" w:rsidRPr="000B266B">
        <w:rPr>
          <w:color w:val="0000FF"/>
        </w:rPr>
        <w:t xml:space="preserve">Hammond </w:t>
      </w:r>
      <w:r w:rsidR="000B266B" w:rsidRPr="000B266B">
        <w:rPr>
          <w:i/>
          <w:iCs/>
          <w:color w:val="0000FF"/>
        </w:rPr>
        <w:t>et al</w:t>
      </w:r>
      <w:r w:rsidR="000B266B" w:rsidRPr="000B266B">
        <w:rPr>
          <w:color w:val="0000FF"/>
        </w:rPr>
        <w:t xml:space="preserve">., 2013; Civiero </w:t>
      </w:r>
      <w:r w:rsidR="000B266B" w:rsidRPr="000B266B">
        <w:rPr>
          <w:i/>
          <w:iCs/>
          <w:color w:val="0000FF"/>
        </w:rPr>
        <w:t>et al.,</w:t>
      </w:r>
      <w:r w:rsidR="000B266B" w:rsidRPr="000B266B">
        <w:rPr>
          <w:color w:val="0000FF"/>
        </w:rPr>
        <w:t xml:space="preserve"> 2015; Emry </w:t>
      </w:r>
      <w:r w:rsidR="000B266B" w:rsidRPr="000B266B">
        <w:rPr>
          <w:i/>
          <w:iCs/>
          <w:color w:val="0000FF"/>
        </w:rPr>
        <w:t>et al.,</w:t>
      </w:r>
      <w:r w:rsidR="000B266B" w:rsidRPr="000B266B">
        <w:rPr>
          <w:color w:val="0000FF"/>
        </w:rPr>
        <w:t xml:space="preserve"> 2019</w:t>
      </w:r>
      <w:r w:rsidR="006A0D80" w:rsidRPr="00AB5751">
        <w:t>)</w:t>
      </w:r>
      <w:r w:rsidR="005B210F">
        <w:t>.</w:t>
      </w:r>
      <w:r w:rsidR="005B210F" w:rsidRPr="005B210F">
        <w:t xml:space="preserve"> </w:t>
      </w:r>
      <w:r w:rsidR="005B210F" w:rsidRPr="00797B61">
        <w:t>These could be fed by a deeper ponded plume</w:t>
      </w:r>
      <w:r w:rsidR="006A0D80" w:rsidRPr="00797B61">
        <w:t xml:space="preserve"> </w:t>
      </w:r>
      <w:r w:rsidR="005D19FD">
        <w:t>(</w:t>
      </w:r>
      <w:r w:rsidR="00EC02AD">
        <w:t xml:space="preserve">e.g., </w:t>
      </w:r>
      <w:r w:rsidR="000B266B" w:rsidRPr="000B266B">
        <w:rPr>
          <w:color w:val="0000FF"/>
        </w:rPr>
        <w:t xml:space="preserve">Benoit </w:t>
      </w:r>
      <w:r w:rsidR="000B266B" w:rsidRPr="000B266B">
        <w:rPr>
          <w:i/>
          <w:iCs/>
          <w:color w:val="0000FF"/>
        </w:rPr>
        <w:t>et al</w:t>
      </w:r>
      <w:r w:rsidR="000B266B" w:rsidRPr="000B266B">
        <w:rPr>
          <w:color w:val="0000FF"/>
        </w:rPr>
        <w:t xml:space="preserve">., 2006; Bastow </w:t>
      </w:r>
      <w:r w:rsidR="000B266B" w:rsidRPr="000B266B">
        <w:rPr>
          <w:i/>
          <w:iCs/>
          <w:color w:val="0000FF"/>
        </w:rPr>
        <w:t>et al.,</w:t>
      </w:r>
      <w:r w:rsidR="000B266B" w:rsidRPr="000B266B">
        <w:rPr>
          <w:color w:val="0000FF"/>
        </w:rPr>
        <w:t xml:space="preserve"> 2008</w:t>
      </w:r>
      <w:r w:rsidR="002A2502" w:rsidRPr="00797B61">
        <w:t>), destabili</w:t>
      </w:r>
      <w:r w:rsidR="007C1BBC">
        <w:t>z</w:t>
      </w:r>
      <w:r w:rsidR="002A2502" w:rsidRPr="00797B61">
        <w:t>ing into upper-mantle plumelets due to chemical heterogeneity and internal heating, as modeled by</w:t>
      </w:r>
      <w:r w:rsidR="00797B61" w:rsidRPr="00797B61">
        <w:t xml:space="preserve"> </w:t>
      </w:r>
      <w:r w:rsidR="000B266B" w:rsidRPr="000B266B">
        <w:t xml:space="preserve">Civiero </w:t>
      </w:r>
      <w:r w:rsidR="000B266B" w:rsidRPr="000B266B">
        <w:rPr>
          <w:i/>
          <w:iCs/>
        </w:rPr>
        <w:t>et al.</w:t>
      </w:r>
      <w:r w:rsidR="000B266B" w:rsidRPr="000B266B">
        <w:t xml:space="preserve"> (</w:t>
      </w:r>
      <w:r w:rsidR="000B266B" w:rsidRPr="000B266B">
        <w:rPr>
          <w:color w:val="0000FF"/>
        </w:rPr>
        <w:t>2019</w:t>
      </w:r>
      <w:r w:rsidR="000B266B" w:rsidRPr="000B266B">
        <w:t xml:space="preserve">). </w:t>
      </w:r>
      <w:r w:rsidR="00A25737" w:rsidRPr="00A25737">
        <w:rPr>
          <w:lang w:val="en-GB"/>
        </w:rPr>
        <w:t xml:space="preserve">Shear wave LVZs trending along the MER beneath the </w:t>
      </w:r>
      <w:proofErr w:type="spellStart"/>
      <w:r w:rsidR="00A25737" w:rsidRPr="00A25737">
        <w:rPr>
          <w:lang w:val="en-GB"/>
        </w:rPr>
        <w:t>Boset</w:t>
      </w:r>
      <w:proofErr w:type="spellEnd"/>
      <w:r w:rsidR="00A25737" w:rsidRPr="00A25737">
        <w:rPr>
          <w:lang w:val="en-GB"/>
        </w:rPr>
        <w:t xml:space="preserve"> volcanic zone, as imaged by </w:t>
      </w:r>
      <w:r w:rsidR="00567695">
        <w:rPr>
          <w:lang w:val="en-GB"/>
        </w:rPr>
        <w:t>(</w:t>
      </w:r>
      <w:r w:rsidR="000B266B" w:rsidRPr="000B266B">
        <w:rPr>
          <w:rFonts w:cs="Times New Roman"/>
          <w:color w:val="0000FF"/>
          <w:szCs w:val="24"/>
          <w:lang w:eastAsia="en-MY"/>
        </w:rPr>
        <w:t xml:space="preserve">Gallacher </w:t>
      </w:r>
      <w:r w:rsidR="000B266B" w:rsidRPr="000B266B">
        <w:rPr>
          <w:rFonts w:cs="Times New Roman"/>
          <w:i/>
          <w:iCs/>
          <w:color w:val="0000FF"/>
          <w:szCs w:val="24"/>
          <w:lang w:eastAsia="en-MY"/>
        </w:rPr>
        <w:t>et al.,</w:t>
      </w:r>
      <w:r w:rsidR="000B266B" w:rsidRPr="000B266B">
        <w:rPr>
          <w:rFonts w:cs="Times New Roman"/>
          <w:color w:val="0000FF"/>
          <w:szCs w:val="24"/>
          <w:lang w:eastAsia="en-MY"/>
        </w:rPr>
        <w:t xml:space="preserve"> 2016; Chambers </w:t>
      </w:r>
      <w:r w:rsidR="000B266B" w:rsidRPr="000B266B">
        <w:rPr>
          <w:rFonts w:cs="Times New Roman"/>
          <w:i/>
          <w:iCs/>
          <w:color w:val="0000FF"/>
          <w:szCs w:val="24"/>
          <w:lang w:eastAsia="en-MY"/>
        </w:rPr>
        <w:t>et al.,</w:t>
      </w:r>
      <w:r w:rsidR="000B266B" w:rsidRPr="000B266B">
        <w:rPr>
          <w:rFonts w:cs="Times New Roman"/>
          <w:color w:val="0000FF"/>
          <w:szCs w:val="24"/>
          <w:lang w:eastAsia="en-MY"/>
        </w:rPr>
        <w:t xml:space="preserve"> 2019</w:t>
      </w:r>
      <w:r w:rsidR="00A25737" w:rsidRPr="00A25737">
        <w:rPr>
          <w:lang w:val="en-GB"/>
        </w:rPr>
        <w:t>), further support mantle upwelling and decompression melting driving regional tectonics.</w:t>
      </w:r>
    </w:p>
    <w:p w14:paraId="40A3D6C4" w14:textId="7DCA5604" w:rsidR="00706550" w:rsidRPr="004D4245" w:rsidRDefault="00706550" w:rsidP="00706550">
      <w:pPr>
        <w:pStyle w:val="Heading2"/>
        <w:spacing w:after="0"/>
        <w:ind w:left="567" w:hanging="567"/>
        <w:rPr>
          <w:rFonts w:ascii="Times New Roman" w:hAnsi="Times New Roman" w:cs="Times New Roman"/>
          <w:szCs w:val="24"/>
        </w:rPr>
      </w:pPr>
      <w:r>
        <w:rPr>
          <w:rFonts w:ascii="Times New Roman" w:hAnsi="Times New Roman" w:cs="Times New Roman"/>
          <w:szCs w:val="24"/>
        </w:rPr>
        <w:t>5.</w:t>
      </w:r>
      <w:r w:rsidR="00062037">
        <w:rPr>
          <w:rFonts w:ascii="Times New Roman" w:hAnsi="Times New Roman" w:cs="Times New Roman"/>
          <w:szCs w:val="24"/>
        </w:rPr>
        <w:t>4</w:t>
      </w:r>
      <w:r w:rsidRPr="004D4245">
        <w:rPr>
          <w:rFonts w:ascii="Times New Roman" w:hAnsi="Times New Roman" w:cs="Times New Roman"/>
          <w:szCs w:val="24"/>
        </w:rPr>
        <w:tab/>
      </w:r>
      <w:r>
        <w:rPr>
          <w:rFonts w:ascii="Times New Roman" w:hAnsi="Times New Roman" w:cs="Times New Roman"/>
          <w:szCs w:val="24"/>
        </w:rPr>
        <w:t>High</w:t>
      </w:r>
      <w:r w:rsidRPr="002E5BC5">
        <w:rPr>
          <w:rFonts w:ascii="Times New Roman" w:hAnsi="Times New Roman" w:cs="Times New Roman"/>
          <w:szCs w:val="24"/>
        </w:rPr>
        <w:t xml:space="preserve"> Velocity Zones (</w:t>
      </w:r>
      <w:r>
        <w:rPr>
          <w:rFonts w:ascii="Times New Roman" w:hAnsi="Times New Roman" w:cs="Times New Roman"/>
          <w:szCs w:val="24"/>
        </w:rPr>
        <w:t>H</w:t>
      </w:r>
      <w:r w:rsidRPr="002E5BC5">
        <w:rPr>
          <w:rFonts w:ascii="Times New Roman" w:hAnsi="Times New Roman" w:cs="Times New Roman"/>
          <w:szCs w:val="24"/>
        </w:rPr>
        <w:t>VZs)</w:t>
      </w:r>
    </w:p>
    <w:p w14:paraId="7FFA634B" w14:textId="6B70C563" w:rsidR="00C35376" w:rsidRDefault="00683029" w:rsidP="00B949B1">
      <w:pPr>
        <w:spacing w:before="0" w:line="360" w:lineRule="auto"/>
        <w:ind w:right="-22" w:firstLine="720"/>
        <w:rPr>
          <w:lang w:val="en-GB"/>
        </w:rPr>
      </w:pPr>
      <w:r w:rsidRPr="00683029">
        <w:t>High velocity zones (HVZs) are predominantly observed in areas underlain by thicker, more stable crust. At shallow depths (5–20 km), HVZs are prominent beneath the Nubian Plate and parts of the Arabian Plate, suggesting the presence of cooler, rigid lithospheric blocks</w:t>
      </w:r>
      <w:r w:rsidR="00FD4AED">
        <w:t>.</w:t>
      </w:r>
      <w:r w:rsidR="00FD4AED" w:rsidRPr="00FD4AED">
        <w:rPr>
          <w:lang w:val="en-GB"/>
        </w:rPr>
        <w:t xml:space="preserve"> </w:t>
      </w:r>
      <w:proofErr w:type="spellStart"/>
      <w:r w:rsidR="00FD4AED" w:rsidRPr="00A4370B">
        <w:rPr>
          <w:lang w:val="en-GB"/>
        </w:rPr>
        <w:t>Dugda</w:t>
      </w:r>
      <w:proofErr w:type="spellEnd"/>
      <w:r w:rsidR="00FD4AED" w:rsidRPr="00A4370B">
        <w:rPr>
          <w:lang w:val="en-GB"/>
        </w:rPr>
        <w:t xml:space="preserve"> </w:t>
      </w:r>
      <w:r w:rsidR="00FD4AED" w:rsidRPr="00A4370B">
        <w:rPr>
          <w:i/>
          <w:iCs/>
          <w:lang w:val="en-GB"/>
        </w:rPr>
        <w:t>et al</w:t>
      </w:r>
      <w:r w:rsidR="00FD4AED" w:rsidRPr="00A4370B">
        <w:rPr>
          <w:lang w:val="en-GB"/>
        </w:rPr>
        <w:t>. (</w:t>
      </w:r>
      <w:r w:rsidR="00FD4AED" w:rsidRPr="00A4370B">
        <w:rPr>
          <w:color w:val="0000FF"/>
          <w:lang w:val="en-GB"/>
        </w:rPr>
        <w:t>2005</w:t>
      </w:r>
      <w:r w:rsidR="00FD4AED" w:rsidRPr="00A4370B">
        <w:rPr>
          <w:lang w:val="en-GB"/>
        </w:rPr>
        <w:t xml:space="preserve">) identified HVZs beneath the Ethiopian Plateau, attributing them to stable Precambrian lithosphere, while Bastow </w:t>
      </w:r>
      <w:r w:rsidR="00FD4AED" w:rsidRPr="00A4370B">
        <w:rPr>
          <w:i/>
          <w:iCs/>
          <w:lang w:val="en-GB"/>
        </w:rPr>
        <w:t>et al</w:t>
      </w:r>
      <w:r w:rsidR="00FD4AED" w:rsidRPr="00A4370B">
        <w:rPr>
          <w:lang w:val="en-GB"/>
        </w:rPr>
        <w:t>. (</w:t>
      </w:r>
      <w:r w:rsidR="00FD4AED" w:rsidRPr="00A4370B">
        <w:rPr>
          <w:color w:val="0000FF"/>
          <w:lang w:val="en-GB"/>
        </w:rPr>
        <w:t>2008</w:t>
      </w:r>
      <w:r w:rsidR="00FD4AED" w:rsidRPr="00A4370B">
        <w:rPr>
          <w:lang w:val="en-GB"/>
        </w:rPr>
        <w:t>)</w:t>
      </w:r>
      <w:r w:rsidR="00FD4AED">
        <w:rPr>
          <w:rFonts w:cs="Times New Roman"/>
          <w:szCs w:val="24"/>
          <w:lang w:eastAsia="en-MY"/>
        </w:rPr>
        <w:t xml:space="preserve"> reported HVZs within </w:t>
      </w:r>
      <w:r w:rsidR="00FD4AED" w:rsidRPr="00FA13AC">
        <w:rPr>
          <w:rFonts w:cs="Times New Roman"/>
          <w:szCs w:val="24"/>
          <w:lang w:eastAsia="en-MY"/>
        </w:rPr>
        <w:t xml:space="preserve">50 km of </w:t>
      </w:r>
      <w:r w:rsidR="00FD4AED">
        <w:rPr>
          <w:rFonts w:cs="Times New Roman"/>
          <w:szCs w:val="24"/>
          <w:lang w:eastAsia="en-MY"/>
        </w:rPr>
        <w:t xml:space="preserve">the </w:t>
      </w:r>
      <w:r w:rsidR="00FD4AED">
        <w:rPr>
          <w:rFonts w:cs="Times New Roman"/>
          <w:szCs w:val="24"/>
        </w:rPr>
        <w:t>EAR shoulders.</w:t>
      </w:r>
      <w:r w:rsidR="0089131E">
        <w:t xml:space="preserve"> </w:t>
      </w:r>
      <w:r w:rsidRPr="00683029">
        <w:t>In contrast, HVZs within the AD and Gulf of Aden are less extensive at shallow depths, potentially reflecting intact crustal segments or fault-bounded blocks. At greater depths (35–70 km), HVZs become more pronounced beneath the Nubian Plate and Southeast Plateau</w:t>
      </w:r>
      <w:r w:rsidR="00B351FC">
        <w:t xml:space="preserve"> </w:t>
      </w:r>
      <w:r w:rsidR="00B351FC">
        <w:rPr>
          <w:lang w:val="en-GB"/>
        </w:rPr>
        <w:t>(</w:t>
      </w:r>
      <w:r w:rsidR="00B351FC">
        <w:t xml:space="preserve">Fig. </w:t>
      </w:r>
      <w:r w:rsidR="00F40B87">
        <w:rPr>
          <w:color w:val="0000FF"/>
        </w:rPr>
        <w:t>12</w:t>
      </w:r>
      <w:r w:rsidR="00B351FC">
        <w:t xml:space="preserve">: </w:t>
      </w:r>
      <w:r w:rsidR="00B351FC" w:rsidRPr="009832ED">
        <w:t>5</w:t>
      </w:r>
      <w:r w:rsidR="00B351FC">
        <w:t>0 km)</w:t>
      </w:r>
      <w:r w:rsidR="00B351FC">
        <w:rPr>
          <w:lang w:val="en-GB"/>
        </w:rPr>
        <w:t>,</w:t>
      </w:r>
      <w:r w:rsidRPr="00683029">
        <w:t xml:space="preserve"> indicative of stable lithospheric mantle or even oceanic crust signatures. In regions like the Danakil Depression, where the crust is </w:t>
      </w:r>
      <w:r w:rsidR="00836280" w:rsidRPr="00A4370B">
        <w:rPr>
          <w:lang w:val="en-GB"/>
        </w:rPr>
        <w:t>where crust is ~16 km thick (</w:t>
      </w:r>
      <w:r w:rsidR="00836280" w:rsidRPr="00A4370B">
        <w:rPr>
          <w:color w:val="0000FF"/>
          <w:lang w:val="en-GB"/>
        </w:rPr>
        <w:t xml:space="preserve">Hammond </w:t>
      </w:r>
      <w:r w:rsidR="00836280" w:rsidRPr="00A4370B">
        <w:rPr>
          <w:i/>
          <w:iCs/>
          <w:color w:val="0000FF"/>
          <w:lang w:val="en-GB"/>
        </w:rPr>
        <w:t>et al</w:t>
      </w:r>
      <w:r w:rsidR="00836280" w:rsidRPr="00A4370B">
        <w:rPr>
          <w:color w:val="0000FF"/>
          <w:lang w:val="en-GB"/>
        </w:rPr>
        <w:t>., 2011</w:t>
      </w:r>
      <w:r w:rsidR="00836280" w:rsidRPr="00A4370B">
        <w:rPr>
          <w:lang w:val="en-GB"/>
        </w:rPr>
        <w:t>)</w:t>
      </w:r>
      <w:r w:rsidRPr="00683029">
        <w:t xml:space="preserve">, </w:t>
      </w:r>
      <w:r w:rsidR="00836280" w:rsidRPr="0020365B">
        <w:rPr>
          <w:lang w:val="en-GB"/>
        </w:rPr>
        <w:t xml:space="preserve">HVZs contribute to faster P-wave velocities, likely due to shallower mantle peridotite </w:t>
      </w:r>
      <w:r w:rsidR="00836280">
        <w:rPr>
          <w:lang w:val="en-GB"/>
        </w:rPr>
        <w:t>(</w:t>
      </w:r>
      <w:r w:rsidR="00836280">
        <w:t xml:space="preserve">Fig. </w:t>
      </w:r>
      <w:r w:rsidR="00F40B87">
        <w:rPr>
          <w:color w:val="0000FF"/>
        </w:rPr>
        <w:t>12</w:t>
      </w:r>
      <w:r w:rsidR="00836280">
        <w:t xml:space="preserve">: 70 km) </w:t>
      </w:r>
      <w:r w:rsidR="00836280" w:rsidRPr="0020365B">
        <w:rPr>
          <w:lang w:val="en-GB"/>
        </w:rPr>
        <w:t>or solidified mafic intrusions (</w:t>
      </w:r>
      <w:r w:rsidR="00836280" w:rsidRPr="00A4370B">
        <w:rPr>
          <w:rFonts w:cs="Times New Roman"/>
          <w:color w:val="0000FF"/>
          <w:szCs w:val="24"/>
        </w:rPr>
        <w:t xml:space="preserve">Chambers </w:t>
      </w:r>
      <w:r w:rsidR="00836280" w:rsidRPr="00A4370B">
        <w:rPr>
          <w:rFonts w:cs="Times New Roman"/>
          <w:i/>
          <w:iCs/>
          <w:color w:val="0000FF"/>
          <w:szCs w:val="24"/>
        </w:rPr>
        <w:t>et al.,</w:t>
      </w:r>
      <w:r w:rsidR="00836280" w:rsidRPr="00A4370B">
        <w:rPr>
          <w:rFonts w:cs="Times New Roman"/>
          <w:color w:val="0000FF"/>
          <w:szCs w:val="24"/>
        </w:rPr>
        <w:t xml:space="preserve"> 2019; </w:t>
      </w:r>
      <w:proofErr w:type="spellStart"/>
      <w:r w:rsidR="00836280" w:rsidRPr="00A4370B">
        <w:rPr>
          <w:rFonts w:cs="Times New Roman"/>
          <w:color w:val="0000FF"/>
          <w:szCs w:val="24"/>
        </w:rPr>
        <w:t>Prodehl</w:t>
      </w:r>
      <w:proofErr w:type="spellEnd"/>
      <w:r w:rsidR="00836280" w:rsidRPr="00A4370B">
        <w:rPr>
          <w:rFonts w:cs="Times New Roman"/>
          <w:color w:val="0000FF"/>
          <w:szCs w:val="24"/>
        </w:rPr>
        <w:t xml:space="preserve"> </w:t>
      </w:r>
      <w:r w:rsidR="00836280" w:rsidRPr="00A4370B">
        <w:rPr>
          <w:rFonts w:cs="Times New Roman"/>
          <w:i/>
          <w:iCs/>
          <w:color w:val="0000FF"/>
          <w:szCs w:val="24"/>
        </w:rPr>
        <w:t>et al</w:t>
      </w:r>
      <w:r w:rsidR="00836280" w:rsidRPr="00A4370B">
        <w:rPr>
          <w:rFonts w:cs="Times New Roman"/>
          <w:color w:val="0000FF"/>
          <w:szCs w:val="24"/>
        </w:rPr>
        <w:t xml:space="preserve">., 1997; </w:t>
      </w:r>
      <w:proofErr w:type="spellStart"/>
      <w:r w:rsidR="00836280" w:rsidRPr="00A4370B">
        <w:rPr>
          <w:rFonts w:cs="Times New Roman"/>
          <w:color w:val="0000FF"/>
          <w:szCs w:val="24"/>
        </w:rPr>
        <w:t>Prodehl</w:t>
      </w:r>
      <w:proofErr w:type="spellEnd"/>
      <w:r w:rsidR="00836280" w:rsidRPr="00A4370B">
        <w:rPr>
          <w:rFonts w:cs="Times New Roman"/>
          <w:color w:val="0000FF"/>
          <w:szCs w:val="24"/>
        </w:rPr>
        <w:t xml:space="preserve"> </w:t>
      </w:r>
      <w:r w:rsidR="00836280" w:rsidRPr="00A4370B">
        <w:rPr>
          <w:rFonts w:cs="Times New Roman"/>
          <w:i/>
          <w:iCs/>
          <w:color w:val="0000FF"/>
          <w:szCs w:val="24"/>
        </w:rPr>
        <w:t>et al.,</w:t>
      </w:r>
      <w:r w:rsidR="00836280" w:rsidRPr="00A4370B">
        <w:rPr>
          <w:rFonts w:cs="Times New Roman"/>
          <w:color w:val="0000FF"/>
          <w:szCs w:val="24"/>
        </w:rPr>
        <w:t xml:space="preserve"> 1997</w:t>
      </w:r>
      <w:r w:rsidR="00836280" w:rsidRPr="0020365B">
        <w:rPr>
          <w:lang w:val="en-GB"/>
        </w:rPr>
        <w:t>).</w:t>
      </w:r>
      <w:r w:rsidR="00B942AB">
        <w:rPr>
          <w:lang w:val="en-GB"/>
        </w:rPr>
        <w:t xml:space="preserve"> </w:t>
      </w:r>
      <w:r w:rsidR="00142B9C" w:rsidRPr="0020365B">
        <w:rPr>
          <w:lang w:val="en-GB"/>
        </w:rPr>
        <w:t xml:space="preserve">These denser, mafic rocks, as suggested by </w:t>
      </w:r>
      <w:r w:rsidR="00A17CF1" w:rsidRPr="00A17CF1">
        <w:rPr>
          <w:rFonts w:cs="Times New Roman"/>
          <w:szCs w:val="24"/>
        </w:rPr>
        <w:t xml:space="preserve">Stuart </w:t>
      </w:r>
      <w:r w:rsidR="00A17CF1" w:rsidRPr="00A17CF1">
        <w:rPr>
          <w:rFonts w:cs="Times New Roman"/>
          <w:i/>
          <w:iCs/>
          <w:szCs w:val="24"/>
        </w:rPr>
        <w:t xml:space="preserve">et al. </w:t>
      </w:r>
      <w:r w:rsidR="00A17CF1" w:rsidRPr="00A17CF1">
        <w:rPr>
          <w:rFonts w:cs="Times New Roman"/>
          <w:szCs w:val="24"/>
        </w:rPr>
        <w:t>(</w:t>
      </w:r>
      <w:r w:rsidR="00A17CF1" w:rsidRPr="009F02CC">
        <w:rPr>
          <w:rFonts w:cs="Times New Roman"/>
          <w:color w:val="0000FF"/>
          <w:szCs w:val="24"/>
        </w:rPr>
        <w:t>2006</w:t>
      </w:r>
      <w:r w:rsidR="00A17CF1" w:rsidRPr="00A17CF1">
        <w:rPr>
          <w:rFonts w:cs="Times New Roman"/>
          <w:szCs w:val="24"/>
        </w:rPr>
        <w:t>)</w:t>
      </w:r>
      <w:r w:rsidR="00A17CF1">
        <w:rPr>
          <w:rFonts w:cs="Times New Roman"/>
          <w:color w:val="0000FF"/>
          <w:szCs w:val="24"/>
        </w:rPr>
        <w:t xml:space="preserve">, </w:t>
      </w:r>
      <w:r w:rsidR="00142B9C" w:rsidRPr="0020365B">
        <w:rPr>
          <w:lang w:val="en-GB"/>
        </w:rPr>
        <w:t>modify the crust beneath Afar, consistent with high Vp/Vs ratios attributed to melt in the lower crust and upper mantle (</w:t>
      </w:r>
      <w:r w:rsidR="0020420E" w:rsidRPr="0020420E">
        <w:rPr>
          <w:color w:val="0000FF"/>
        </w:rPr>
        <w:t xml:space="preserve">Hammond </w:t>
      </w:r>
      <w:r w:rsidR="0020420E" w:rsidRPr="0020420E">
        <w:rPr>
          <w:i/>
          <w:iCs/>
          <w:color w:val="0000FF"/>
        </w:rPr>
        <w:t>et al</w:t>
      </w:r>
      <w:r w:rsidR="0020420E" w:rsidRPr="0020420E">
        <w:rPr>
          <w:color w:val="0000FF"/>
        </w:rPr>
        <w:t xml:space="preserve">., 2013; Kumar </w:t>
      </w:r>
      <w:r w:rsidR="0020420E" w:rsidRPr="0020420E">
        <w:rPr>
          <w:i/>
          <w:iCs/>
          <w:color w:val="0000FF"/>
        </w:rPr>
        <w:t>et al</w:t>
      </w:r>
      <w:r w:rsidR="0020420E" w:rsidRPr="0020420E">
        <w:rPr>
          <w:color w:val="0000FF"/>
        </w:rPr>
        <w:t xml:space="preserve">., 2021; Wang </w:t>
      </w:r>
      <w:r w:rsidR="0020420E" w:rsidRPr="0020420E">
        <w:rPr>
          <w:i/>
          <w:iCs/>
          <w:color w:val="0000FF"/>
        </w:rPr>
        <w:t>et al.,</w:t>
      </w:r>
      <w:r w:rsidR="0020420E" w:rsidRPr="0020420E">
        <w:rPr>
          <w:color w:val="0000FF"/>
        </w:rPr>
        <w:t xml:space="preserve"> 2021</w:t>
      </w:r>
      <w:r w:rsidR="00142B9C" w:rsidRPr="0020365B">
        <w:rPr>
          <w:lang w:val="en-GB"/>
        </w:rPr>
        <w:t>).</w:t>
      </w:r>
      <w:r w:rsidR="003B5919">
        <w:rPr>
          <w:lang w:val="en-GB"/>
        </w:rPr>
        <w:t xml:space="preserve"> </w:t>
      </w:r>
      <w:r w:rsidR="008A580D" w:rsidRPr="00AD5408">
        <w:rPr>
          <w:lang w:val="en-GB"/>
        </w:rPr>
        <w:t>The transition between low and high-velocity zones appears more distinct at the 50 km depth, possibly indicating major lithospheric boundaries or different degrees of mantle modification.</w:t>
      </w:r>
      <w:r w:rsidR="003B5919" w:rsidRPr="003B5919">
        <w:t xml:space="preserve"> </w:t>
      </w:r>
      <w:r w:rsidR="003B5919" w:rsidRPr="00AD5408">
        <w:t xml:space="preserve">At 70 km depth, </w:t>
      </w:r>
      <w:r w:rsidR="003B5919" w:rsidRPr="00AD5408">
        <w:rPr>
          <w:lang w:val="en-GB"/>
        </w:rPr>
        <w:t>the broad HVZs beneath the Nubian and Arabian plates indicate the presence of stable lithospheric blocks at this depth</w:t>
      </w:r>
      <w:r w:rsidR="003B5919">
        <w:rPr>
          <w:lang w:val="en-GB"/>
        </w:rPr>
        <w:t>.</w:t>
      </w:r>
    </w:p>
    <w:p w14:paraId="33EF9D61" w14:textId="52DE7007" w:rsidR="00860D57" w:rsidRPr="004D4245" w:rsidRDefault="00860D57" w:rsidP="00860D57">
      <w:pPr>
        <w:pStyle w:val="Heading2"/>
        <w:spacing w:after="0"/>
        <w:ind w:left="567" w:hanging="567"/>
        <w:rPr>
          <w:rFonts w:ascii="Times New Roman" w:hAnsi="Times New Roman" w:cs="Times New Roman"/>
          <w:szCs w:val="24"/>
        </w:rPr>
      </w:pPr>
      <w:r>
        <w:rPr>
          <w:rFonts w:ascii="Times New Roman" w:hAnsi="Times New Roman" w:cs="Times New Roman"/>
          <w:szCs w:val="24"/>
        </w:rPr>
        <w:t>5.</w:t>
      </w:r>
      <w:r w:rsidR="00062037">
        <w:rPr>
          <w:rFonts w:ascii="Times New Roman" w:hAnsi="Times New Roman" w:cs="Times New Roman"/>
          <w:szCs w:val="24"/>
        </w:rPr>
        <w:t>5</w:t>
      </w:r>
      <w:r w:rsidRPr="004D4245">
        <w:rPr>
          <w:rFonts w:ascii="Times New Roman" w:hAnsi="Times New Roman" w:cs="Times New Roman"/>
          <w:szCs w:val="24"/>
        </w:rPr>
        <w:tab/>
      </w:r>
      <w:r>
        <w:rPr>
          <w:rFonts w:ascii="Times New Roman" w:hAnsi="Times New Roman" w:cs="Times New Roman"/>
          <w:szCs w:val="24"/>
        </w:rPr>
        <w:t>T</w:t>
      </w:r>
      <w:r w:rsidRPr="00A1545F">
        <w:rPr>
          <w:rFonts w:ascii="Times New Roman" w:hAnsi="Times New Roman" w:cs="Times New Roman"/>
          <w:szCs w:val="24"/>
        </w:rPr>
        <w:t xml:space="preserve">hermal </w:t>
      </w:r>
      <w:r>
        <w:rPr>
          <w:rFonts w:ascii="Times New Roman" w:hAnsi="Times New Roman" w:cs="Times New Roman"/>
          <w:szCs w:val="24"/>
        </w:rPr>
        <w:t xml:space="preserve">Contribution and </w:t>
      </w:r>
      <w:r w:rsidRPr="00A1545F">
        <w:rPr>
          <w:rFonts w:ascii="Times New Roman" w:hAnsi="Times New Roman" w:cs="Times New Roman"/>
          <w:szCs w:val="24"/>
        </w:rPr>
        <w:t>Geodynamical Implications</w:t>
      </w:r>
    </w:p>
    <w:p w14:paraId="5874026E" w14:textId="66DAF6F9" w:rsidR="005B5258" w:rsidRDefault="004B241A" w:rsidP="0096325C">
      <w:pPr>
        <w:spacing w:before="0" w:line="360" w:lineRule="auto"/>
        <w:ind w:right="-22" w:firstLine="426"/>
        <w:rPr>
          <w:rFonts w:cs="Times New Roman"/>
          <w:szCs w:val="24"/>
          <w:lang w:eastAsia="en-MY"/>
        </w:rPr>
      </w:pPr>
      <w:r w:rsidRPr="00601FEF">
        <w:rPr>
          <w:rFonts w:cs="Times New Roman"/>
          <w:szCs w:val="24"/>
        </w:rPr>
        <w:t xml:space="preserve"> </w:t>
      </w:r>
      <w:r w:rsidR="006C1263" w:rsidRPr="006C1263">
        <w:rPr>
          <w:rFonts w:cs="Times New Roman"/>
          <w:szCs w:val="24"/>
        </w:rPr>
        <w:t>Temperature variations have a profound effect on the seismic properties of upper mantle materials, often exceeding the impact of compositional differences or crustal thickness variations (</w:t>
      </w:r>
      <w:r w:rsidR="006C1263" w:rsidRPr="006C1263">
        <w:rPr>
          <w:rFonts w:cs="Times New Roman"/>
          <w:color w:val="0000FF"/>
          <w:szCs w:val="24"/>
        </w:rPr>
        <w:t xml:space="preserve">Christensen and Mooney, 1995; Goes </w:t>
      </w:r>
      <w:r w:rsidR="006C1263" w:rsidRPr="006C1263">
        <w:rPr>
          <w:rFonts w:cs="Times New Roman"/>
          <w:i/>
          <w:iCs/>
          <w:color w:val="0000FF"/>
          <w:szCs w:val="24"/>
        </w:rPr>
        <w:t>et al.,</w:t>
      </w:r>
      <w:r w:rsidR="006C1263" w:rsidRPr="006C1263">
        <w:rPr>
          <w:rFonts w:cs="Times New Roman"/>
          <w:color w:val="0000FF"/>
          <w:szCs w:val="24"/>
        </w:rPr>
        <w:t xml:space="preserve"> 2000</w:t>
      </w:r>
      <w:r w:rsidR="006C1263" w:rsidRPr="006C1263">
        <w:rPr>
          <w:rFonts w:cs="Times New Roman"/>
          <w:szCs w:val="24"/>
        </w:rPr>
        <w:t xml:space="preserve">). The mantle beneath the </w:t>
      </w:r>
      <w:r w:rsidR="005D5ECD">
        <w:rPr>
          <w:rFonts w:cs="Times New Roman"/>
          <w:szCs w:val="24"/>
        </w:rPr>
        <w:t>EAR</w:t>
      </w:r>
      <w:r w:rsidR="00204C41">
        <w:rPr>
          <w:rFonts w:cs="Times New Roman"/>
          <w:szCs w:val="24"/>
        </w:rPr>
        <w:t xml:space="preserve"> </w:t>
      </w:r>
      <w:r w:rsidR="006C1263" w:rsidRPr="006C1263">
        <w:rPr>
          <w:rFonts w:cs="Times New Roman"/>
          <w:szCs w:val="24"/>
        </w:rPr>
        <w:t>is estimated to be approximately 140 °C warmer than the global average (</w:t>
      </w:r>
      <w:r w:rsidR="006C1263" w:rsidRPr="006C1263">
        <w:rPr>
          <w:rFonts w:cs="Times New Roman"/>
          <w:color w:val="0000FF"/>
          <w:szCs w:val="24"/>
        </w:rPr>
        <w:t xml:space="preserve">Rooney </w:t>
      </w:r>
      <w:r w:rsidR="006C1263" w:rsidRPr="006C1263">
        <w:rPr>
          <w:rFonts w:cs="Times New Roman"/>
          <w:i/>
          <w:iCs/>
          <w:color w:val="0000FF"/>
          <w:szCs w:val="24"/>
        </w:rPr>
        <w:t>et al.,</w:t>
      </w:r>
      <w:r w:rsidR="006C1263" w:rsidRPr="006C1263">
        <w:rPr>
          <w:rFonts w:cs="Times New Roman"/>
          <w:color w:val="0000FF"/>
          <w:szCs w:val="24"/>
        </w:rPr>
        <w:t xml:space="preserve"> 2012</w:t>
      </w:r>
      <w:r w:rsidR="006C1263" w:rsidRPr="006C1263">
        <w:rPr>
          <w:rFonts w:cs="Times New Roman"/>
          <w:szCs w:val="24"/>
        </w:rPr>
        <w:t xml:space="preserve">), a condition that likely promotes the formation of upper-mantle plumelets beneath Afar and the </w:t>
      </w:r>
      <w:r w:rsidR="007D7223">
        <w:rPr>
          <w:rFonts w:cs="Times New Roman"/>
          <w:szCs w:val="24"/>
        </w:rPr>
        <w:t xml:space="preserve">MER </w:t>
      </w:r>
      <w:r w:rsidR="006C1263" w:rsidRPr="006C1263">
        <w:rPr>
          <w:rFonts w:cs="Times New Roman"/>
          <w:szCs w:val="24"/>
        </w:rPr>
        <w:t>(</w:t>
      </w:r>
      <w:r w:rsidR="006C1263" w:rsidRPr="008659BD">
        <w:rPr>
          <w:rFonts w:cs="Times New Roman"/>
          <w:color w:val="0000FF"/>
          <w:szCs w:val="24"/>
        </w:rPr>
        <w:t xml:space="preserve">Civiero </w:t>
      </w:r>
      <w:r w:rsidR="006C1263" w:rsidRPr="008659BD">
        <w:rPr>
          <w:rFonts w:cs="Times New Roman"/>
          <w:i/>
          <w:iCs/>
          <w:color w:val="0000FF"/>
          <w:szCs w:val="24"/>
        </w:rPr>
        <w:t>et al</w:t>
      </w:r>
      <w:r w:rsidR="006C1263" w:rsidRPr="008659BD">
        <w:rPr>
          <w:rFonts w:cs="Times New Roman"/>
          <w:color w:val="0000FF"/>
          <w:szCs w:val="24"/>
        </w:rPr>
        <w:t>., 2019</w:t>
      </w:r>
      <w:r w:rsidR="006C1263" w:rsidRPr="006C1263">
        <w:rPr>
          <w:rFonts w:cs="Times New Roman"/>
          <w:szCs w:val="24"/>
        </w:rPr>
        <w:t xml:space="preserve">). </w:t>
      </w:r>
      <w:r w:rsidR="006C1263" w:rsidRPr="006C1263">
        <w:rPr>
          <w:rFonts w:cs="Times New Roman"/>
          <w:szCs w:val="24"/>
        </w:rPr>
        <w:lastRenderedPageBreak/>
        <w:t>Geochemical analyses further indicate that mafic lavas in the region are sourced from the asthenosphere (</w:t>
      </w:r>
      <w:r w:rsidR="006C1263" w:rsidRPr="008659BD">
        <w:rPr>
          <w:rFonts w:cs="Times New Roman"/>
          <w:color w:val="0000FF"/>
          <w:szCs w:val="24"/>
        </w:rPr>
        <w:t xml:space="preserve">Kendall </w:t>
      </w:r>
      <w:r w:rsidR="006C1263" w:rsidRPr="008659BD">
        <w:rPr>
          <w:rFonts w:cs="Times New Roman"/>
          <w:i/>
          <w:iCs/>
          <w:color w:val="0000FF"/>
          <w:szCs w:val="24"/>
        </w:rPr>
        <w:t>et al.,</w:t>
      </w:r>
      <w:r w:rsidR="006C1263" w:rsidRPr="008659BD">
        <w:rPr>
          <w:rFonts w:cs="Times New Roman"/>
          <w:color w:val="0000FF"/>
          <w:szCs w:val="24"/>
        </w:rPr>
        <w:t xml:space="preserve"> 2005; Rooney </w:t>
      </w:r>
      <w:r w:rsidR="006C1263" w:rsidRPr="008659BD">
        <w:rPr>
          <w:rFonts w:cs="Times New Roman"/>
          <w:i/>
          <w:iCs/>
          <w:color w:val="0000FF"/>
          <w:szCs w:val="24"/>
        </w:rPr>
        <w:t>et al.,</w:t>
      </w:r>
      <w:r w:rsidR="006C1263" w:rsidRPr="008659BD">
        <w:rPr>
          <w:rFonts w:cs="Times New Roman"/>
          <w:color w:val="0000FF"/>
          <w:szCs w:val="24"/>
        </w:rPr>
        <w:t xml:space="preserve"> 2005</w:t>
      </w:r>
      <w:r w:rsidR="006C1263" w:rsidRPr="006C1263">
        <w:rPr>
          <w:rFonts w:cs="Times New Roman"/>
          <w:szCs w:val="24"/>
        </w:rPr>
        <w:t xml:space="preserve">). In our study, the LVZs along the Northwest Plateau are interpreted as indicators of active melting, while deeper LVZs beneath the </w:t>
      </w:r>
      <w:r w:rsidR="00397ADA">
        <w:rPr>
          <w:rFonts w:cs="Times New Roman"/>
          <w:szCs w:val="24"/>
        </w:rPr>
        <w:t>AD</w:t>
      </w:r>
      <w:r w:rsidR="006C1263" w:rsidRPr="006C1263">
        <w:rPr>
          <w:rFonts w:cs="Times New Roman"/>
          <w:szCs w:val="24"/>
        </w:rPr>
        <w:t xml:space="preserve"> support the notion of passive upwelling feeding rift segments (</w:t>
      </w:r>
      <w:r w:rsidR="006C1263" w:rsidRPr="00365772">
        <w:rPr>
          <w:rFonts w:cs="Times New Roman"/>
          <w:color w:val="0000FF"/>
          <w:szCs w:val="24"/>
        </w:rPr>
        <w:t xml:space="preserve">Bastow </w:t>
      </w:r>
      <w:r w:rsidR="006C1263" w:rsidRPr="00365772">
        <w:rPr>
          <w:rFonts w:cs="Times New Roman"/>
          <w:i/>
          <w:iCs/>
          <w:color w:val="0000FF"/>
          <w:szCs w:val="24"/>
        </w:rPr>
        <w:t>et al</w:t>
      </w:r>
      <w:r w:rsidR="006C1263" w:rsidRPr="00365772">
        <w:rPr>
          <w:rFonts w:cs="Times New Roman"/>
          <w:color w:val="0000FF"/>
          <w:szCs w:val="24"/>
        </w:rPr>
        <w:t>., 2005</w:t>
      </w:r>
      <w:r w:rsidR="006C1263" w:rsidRPr="006C1263">
        <w:rPr>
          <w:rFonts w:cs="Times New Roman"/>
          <w:szCs w:val="24"/>
        </w:rPr>
        <w:t xml:space="preserve">). The spatial variability in melt production, with less chemically evolved melts in Afar compared to the </w:t>
      </w:r>
      <w:r w:rsidR="007D7223">
        <w:rPr>
          <w:rFonts w:cs="Times New Roman"/>
          <w:szCs w:val="24"/>
        </w:rPr>
        <w:t xml:space="preserve">MER </w:t>
      </w:r>
      <w:r w:rsidR="006C1263" w:rsidRPr="006C1263">
        <w:rPr>
          <w:rFonts w:cs="Times New Roman"/>
          <w:szCs w:val="24"/>
        </w:rPr>
        <w:t>(</w:t>
      </w:r>
      <w:r w:rsidR="006C1263" w:rsidRPr="00FE390A">
        <w:rPr>
          <w:rFonts w:cs="Times New Roman"/>
          <w:color w:val="0000FF"/>
          <w:szCs w:val="24"/>
        </w:rPr>
        <w:t xml:space="preserve">Rooney </w:t>
      </w:r>
      <w:r w:rsidR="006C1263" w:rsidRPr="00FE390A">
        <w:rPr>
          <w:rFonts w:cs="Times New Roman"/>
          <w:i/>
          <w:iCs/>
          <w:color w:val="0000FF"/>
          <w:szCs w:val="24"/>
        </w:rPr>
        <w:t>et al.,</w:t>
      </w:r>
      <w:r w:rsidR="006C1263" w:rsidRPr="00FE390A">
        <w:rPr>
          <w:rFonts w:cs="Times New Roman"/>
          <w:color w:val="0000FF"/>
          <w:szCs w:val="24"/>
        </w:rPr>
        <w:t xml:space="preserve"> 2013</w:t>
      </w:r>
      <w:r w:rsidR="006C1263" w:rsidRPr="006C1263">
        <w:rPr>
          <w:rFonts w:cs="Times New Roman"/>
          <w:szCs w:val="24"/>
        </w:rPr>
        <w:t xml:space="preserve">), underscores the significant role of thermal anomalies in modulating lithospheric dynamics. </w:t>
      </w:r>
      <w:r w:rsidR="006327F0" w:rsidRPr="006327F0">
        <w:rPr>
          <w:color w:val="000000" w:themeColor="text1"/>
          <w:lang w:val="en-GB"/>
        </w:rPr>
        <w:t>The transition from continental rifting to incipient seafloor spreading in Afar is facilitated by sustained tensional stress and along-axis segmentation (</w:t>
      </w:r>
      <w:r w:rsidR="009170C1" w:rsidRPr="009170C1">
        <w:rPr>
          <w:color w:val="0000FF"/>
          <w:lang w:val="en-GB"/>
        </w:rPr>
        <w:t xml:space="preserve">Menzies </w:t>
      </w:r>
      <w:r w:rsidR="009170C1" w:rsidRPr="009170C1">
        <w:rPr>
          <w:i/>
          <w:iCs/>
          <w:color w:val="0000FF"/>
          <w:lang w:val="en-GB"/>
        </w:rPr>
        <w:t>et al</w:t>
      </w:r>
      <w:r w:rsidR="009170C1" w:rsidRPr="009170C1">
        <w:rPr>
          <w:color w:val="0000FF"/>
          <w:lang w:val="en-GB"/>
        </w:rPr>
        <w:t>., 1997</w:t>
      </w:r>
      <w:r w:rsidR="006327F0" w:rsidRPr="006327F0">
        <w:rPr>
          <w:color w:val="000000" w:themeColor="text1"/>
          <w:lang w:val="en-GB"/>
        </w:rPr>
        <w:t>).</w:t>
      </w:r>
      <w:r w:rsidR="00E23AEC" w:rsidRPr="00E23AEC">
        <w:t xml:space="preserve"> </w:t>
      </w:r>
      <w:r w:rsidR="0042256E">
        <w:rPr>
          <w:color w:val="000000" w:themeColor="text1"/>
          <w:lang w:val="en-GB"/>
        </w:rPr>
        <w:t xml:space="preserve">Figure </w:t>
      </w:r>
      <w:r w:rsidR="00F40B87">
        <w:rPr>
          <w:color w:val="0000FF"/>
          <w:lang w:val="en-GB"/>
        </w:rPr>
        <w:t>12</w:t>
      </w:r>
      <w:r w:rsidR="00E23AEC" w:rsidRPr="00E23AEC">
        <w:rPr>
          <w:color w:val="000000" w:themeColor="text1"/>
          <w:lang w:val="en-GB"/>
        </w:rPr>
        <w:t xml:space="preserve"> at </w:t>
      </w:r>
      <w:r w:rsidR="00152553">
        <w:rPr>
          <w:color w:val="000000" w:themeColor="text1"/>
          <w:lang w:val="en-GB"/>
        </w:rPr>
        <w:t>1</w:t>
      </w:r>
      <w:r w:rsidR="00E23AEC" w:rsidRPr="00E23AEC">
        <w:rPr>
          <w:color w:val="000000" w:themeColor="text1"/>
          <w:lang w:val="en-GB"/>
        </w:rPr>
        <w:t xml:space="preserve">0 km depth shows dominant LVZs in Afar, extending into the </w:t>
      </w:r>
      <w:r w:rsidR="00A97F5E">
        <w:rPr>
          <w:color w:val="000000" w:themeColor="text1"/>
          <w:lang w:val="en-GB"/>
        </w:rPr>
        <w:t>Ali-</w:t>
      </w:r>
      <w:proofErr w:type="spellStart"/>
      <w:r w:rsidR="00A97F5E">
        <w:rPr>
          <w:color w:val="000000" w:themeColor="text1"/>
          <w:lang w:val="en-GB"/>
        </w:rPr>
        <w:t>Sabieh</w:t>
      </w:r>
      <w:proofErr w:type="spellEnd"/>
      <w:r w:rsidR="00A97F5E">
        <w:rPr>
          <w:color w:val="000000" w:themeColor="text1"/>
          <w:lang w:val="en-GB"/>
        </w:rPr>
        <w:t xml:space="preserve"> Block</w:t>
      </w:r>
      <w:r w:rsidR="00E23AEC" w:rsidRPr="00E23AEC">
        <w:rPr>
          <w:color w:val="000000" w:themeColor="text1"/>
          <w:lang w:val="en-GB"/>
        </w:rPr>
        <w:t>, indicative of rift broadening</w:t>
      </w:r>
      <w:r w:rsidR="00F21FA2">
        <w:rPr>
          <w:color w:val="000000" w:themeColor="text1"/>
          <w:lang w:val="en-GB"/>
        </w:rPr>
        <w:t>,</w:t>
      </w:r>
      <w:r w:rsidR="00E23AEC" w:rsidRPr="00E23AEC">
        <w:rPr>
          <w:color w:val="000000" w:themeColor="text1"/>
          <w:lang w:val="en-GB"/>
        </w:rPr>
        <w:t xml:space="preserve"> enhanced </w:t>
      </w:r>
      <w:r w:rsidR="00E367BD">
        <w:rPr>
          <w:color w:val="000000" w:themeColor="text1"/>
          <w:lang w:val="en-GB"/>
        </w:rPr>
        <w:t xml:space="preserve">by </w:t>
      </w:r>
      <w:r w:rsidR="00E23AEC" w:rsidRPr="008D3E1F">
        <w:rPr>
          <w:color w:val="000000" w:themeColor="text1"/>
          <w:lang w:val="en-GB"/>
        </w:rPr>
        <w:t>melting in the uppermost mantle</w:t>
      </w:r>
      <w:r w:rsidR="005059DF">
        <w:rPr>
          <w:color w:val="000000" w:themeColor="text1"/>
          <w:lang w:val="en-GB"/>
        </w:rPr>
        <w:t xml:space="preserve"> (35 and 50 km)</w:t>
      </w:r>
      <w:r w:rsidR="00E23AEC" w:rsidRPr="008D3E1F">
        <w:rPr>
          <w:color w:val="000000" w:themeColor="text1"/>
          <w:lang w:val="en-GB"/>
        </w:rPr>
        <w:t xml:space="preserve">. </w:t>
      </w:r>
      <w:r w:rsidR="00EF1DF6" w:rsidRPr="008D3E1F">
        <w:rPr>
          <w:color w:val="000000" w:themeColor="text1"/>
          <w:lang w:val="en-GB"/>
        </w:rPr>
        <w:t>The undulating Moho depth beneath the MER</w:t>
      </w:r>
      <w:r w:rsidR="00735735" w:rsidRPr="008D3E1F">
        <w:rPr>
          <w:color w:val="000000" w:themeColor="text1"/>
          <w:lang w:val="en-GB"/>
        </w:rPr>
        <w:t xml:space="preserve"> </w:t>
      </w:r>
      <w:r w:rsidR="00735735" w:rsidRPr="008D3E1F">
        <w:rPr>
          <w:rFonts w:cs="Times New Roman"/>
          <w:szCs w:val="24"/>
          <w:lang w:eastAsia="en-MY"/>
        </w:rPr>
        <w:t xml:space="preserve">(Fig. </w:t>
      </w:r>
      <w:r w:rsidR="00735735" w:rsidRPr="008D3E1F">
        <w:rPr>
          <w:rFonts w:cs="Times New Roman"/>
          <w:color w:val="0000FF"/>
          <w:szCs w:val="24"/>
          <w:lang w:eastAsia="en-MY"/>
        </w:rPr>
        <w:t>2b</w:t>
      </w:r>
      <w:r w:rsidR="00735735" w:rsidRPr="008D3E1F">
        <w:rPr>
          <w:rFonts w:cs="Times New Roman"/>
          <w:szCs w:val="24"/>
          <w:lang w:eastAsia="en-MY"/>
        </w:rPr>
        <w:t xml:space="preserve">) </w:t>
      </w:r>
      <w:r w:rsidR="00EF1DF6" w:rsidRPr="008D3E1F">
        <w:rPr>
          <w:color w:val="000000" w:themeColor="text1"/>
          <w:lang w:val="en-GB"/>
        </w:rPr>
        <w:t>is proposed to have areas of 2–7% melt accumulation</w:t>
      </w:r>
      <w:r w:rsidR="00347268" w:rsidRPr="008D3E1F">
        <w:rPr>
          <w:color w:val="000000" w:themeColor="text1"/>
          <w:lang w:val="en-GB"/>
        </w:rPr>
        <w:t xml:space="preserve"> </w:t>
      </w:r>
      <w:r w:rsidR="00347268" w:rsidRPr="008D3E1F">
        <w:rPr>
          <w:rFonts w:cs="Times New Roman"/>
          <w:szCs w:val="24"/>
          <w:lang w:eastAsia="en-MY"/>
        </w:rPr>
        <w:t>(</w:t>
      </w:r>
      <w:r w:rsidR="009170C1" w:rsidRPr="009170C1">
        <w:rPr>
          <w:rFonts w:cs="Times New Roman"/>
          <w:color w:val="0000FF"/>
          <w:szCs w:val="24"/>
          <w:lang w:eastAsia="en-MY"/>
        </w:rPr>
        <w:t xml:space="preserve">Armitage </w:t>
      </w:r>
      <w:r w:rsidR="009170C1" w:rsidRPr="009170C1">
        <w:rPr>
          <w:rFonts w:cs="Times New Roman"/>
          <w:i/>
          <w:iCs/>
          <w:color w:val="0000FF"/>
          <w:szCs w:val="24"/>
          <w:lang w:eastAsia="en-MY"/>
        </w:rPr>
        <w:t>et al</w:t>
      </w:r>
      <w:r w:rsidR="009170C1" w:rsidRPr="009170C1">
        <w:rPr>
          <w:rFonts w:cs="Times New Roman"/>
          <w:color w:val="0000FF"/>
          <w:szCs w:val="24"/>
          <w:lang w:eastAsia="en-MY"/>
        </w:rPr>
        <w:t>., 2015, 2018</w:t>
      </w:r>
      <w:r w:rsidR="009170C1" w:rsidRPr="009170C1">
        <w:rPr>
          <w:rFonts w:cs="Times New Roman"/>
          <w:szCs w:val="24"/>
          <w:lang w:eastAsia="en-MY"/>
        </w:rPr>
        <w:t xml:space="preserve">), suggesting </w:t>
      </w:r>
      <w:proofErr w:type="spellStart"/>
      <w:r w:rsidR="009170C1" w:rsidRPr="009170C1">
        <w:rPr>
          <w:rFonts w:cs="Times New Roman"/>
          <w:szCs w:val="24"/>
          <w:lang w:eastAsia="en-MY"/>
        </w:rPr>
        <w:t>locali</w:t>
      </w:r>
      <w:r w:rsidR="007C1BBC">
        <w:rPr>
          <w:rFonts w:cs="Times New Roman"/>
          <w:szCs w:val="24"/>
          <w:lang w:eastAsia="en-MY"/>
        </w:rPr>
        <w:t>s</w:t>
      </w:r>
      <w:r w:rsidR="009170C1" w:rsidRPr="009170C1">
        <w:rPr>
          <w:rFonts w:cs="Times New Roman"/>
          <w:szCs w:val="24"/>
          <w:lang w:eastAsia="en-MY"/>
        </w:rPr>
        <w:t>ation</w:t>
      </w:r>
      <w:proofErr w:type="spellEnd"/>
      <w:r w:rsidR="009170C1" w:rsidRPr="009170C1">
        <w:rPr>
          <w:rFonts w:cs="Times New Roman"/>
          <w:szCs w:val="24"/>
          <w:lang w:eastAsia="en-MY"/>
        </w:rPr>
        <w:t xml:space="preserve"> of partial melt closer to the Moho than at greater depths (</w:t>
      </w:r>
      <w:r w:rsidR="009170C1" w:rsidRPr="009170C1">
        <w:rPr>
          <w:rFonts w:cs="Times New Roman"/>
          <w:color w:val="0000FF"/>
          <w:szCs w:val="24"/>
          <w:lang w:eastAsia="en-MY"/>
        </w:rPr>
        <w:t xml:space="preserve">Chambers </w:t>
      </w:r>
      <w:r w:rsidR="009170C1" w:rsidRPr="009170C1">
        <w:rPr>
          <w:rFonts w:cs="Times New Roman"/>
          <w:i/>
          <w:iCs/>
          <w:color w:val="0000FF"/>
          <w:szCs w:val="24"/>
          <w:lang w:eastAsia="en-MY"/>
        </w:rPr>
        <w:t>et al.</w:t>
      </w:r>
      <w:r w:rsidR="009170C1" w:rsidRPr="009170C1">
        <w:rPr>
          <w:rFonts w:cs="Times New Roman"/>
          <w:color w:val="0000FF"/>
          <w:szCs w:val="24"/>
          <w:lang w:eastAsia="en-MY"/>
        </w:rPr>
        <w:t>, 2019</w:t>
      </w:r>
      <w:r w:rsidR="009170C1" w:rsidRPr="009170C1">
        <w:rPr>
          <w:rFonts w:cs="Times New Roman"/>
          <w:szCs w:val="24"/>
          <w:lang w:eastAsia="en-MY"/>
        </w:rPr>
        <w:t xml:space="preserve">). </w:t>
      </w:r>
      <w:r w:rsidR="005B5258" w:rsidRPr="005B5258">
        <w:rPr>
          <w:rFonts w:cs="Times New Roman"/>
          <w:szCs w:val="24"/>
          <w:lang w:eastAsia="en-MY"/>
        </w:rPr>
        <w:t xml:space="preserve">These integrated processes offer a plausible mechanism </w:t>
      </w:r>
      <w:r w:rsidR="0096325C" w:rsidRPr="009170C1">
        <w:rPr>
          <w:rFonts w:cs="Times New Roman"/>
          <w:szCs w:val="24"/>
          <w:lang w:eastAsia="en-MY"/>
        </w:rPr>
        <w:t>for the ongoing transition from continental rifting to incipient seafloor spreading in the Afar region.</w:t>
      </w:r>
    </w:p>
    <w:bookmarkEnd w:id="14"/>
    <w:p w14:paraId="163216DD" w14:textId="70A51D86" w:rsidR="00D11D0B" w:rsidRPr="004D4245" w:rsidRDefault="00210A4D" w:rsidP="000A009B">
      <w:pPr>
        <w:pStyle w:val="Heading1"/>
      </w:pPr>
      <w:r>
        <w:t>6</w:t>
      </w:r>
      <w:r w:rsidR="00D11D0B" w:rsidRPr="004D4245">
        <w:tab/>
      </w:r>
      <w:r w:rsidR="002B72F6" w:rsidRPr="004D4245">
        <w:t>CONCLUSIONS</w:t>
      </w:r>
    </w:p>
    <w:p w14:paraId="51A43128" w14:textId="0ED9FFB4" w:rsidR="000F095E" w:rsidRDefault="002B72F6" w:rsidP="00467510">
      <w:pPr>
        <w:spacing w:before="0" w:line="360" w:lineRule="auto"/>
        <w:ind w:right="-22" w:firstLine="0"/>
        <w:rPr>
          <w:rFonts w:cs="Times New Roman"/>
          <w:szCs w:val="24"/>
        </w:rPr>
      </w:pPr>
      <w:bookmarkStart w:id="15" w:name="_Hlk40161347"/>
      <w:r w:rsidRPr="002B72F6">
        <w:rPr>
          <w:rFonts w:cs="Times New Roman"/>
          <w:szCs w:val="24"/>
        </w:rPr>
        <w:t xml:space="preserve">This study provides seismic tomographic investigation of the crust and upper mantle beneath northern Ethiopia, Eritrea, Djibouti, northwestern Somalia, and southern Yemen, elucidating the intricate tectonic evolution associated with continental break-up in the Afar region. By leveraging dataset of first-arrival P-wave travel times from 1976 to 2023, recorded at 114 seismic stations, a </w:t>
      </w:r>
      <w:r w:rsidR="000F372F">
        <w:rPr>
          <w:rFonts w:cs="Times New Roman"/>
          <w:szCs w:val="24"/>
        </w:rPr>
        <w:t>3D</w:t>
      </w:r>
      <w:r w:rsidRPr="002B72F6">
        <w:rPr>
          <w:rFonts w:cs="Times New Roman"/>
          <w:szCs w:val="24"/>
        </w:rPr>
        <w:t xml:space="preserve"> P-wave velocity model </w:t>
      </w:r>
      <w:r w:rsidR="007E51FB">
        <w:rPr>
          <w:rFonts w:cs="Times New Roman"/>
          <w:szCs w:val="24"/>
        </w:rPr>
        <w:t>is</w:t>
      </w:r>
      <w:r w:rsidRPr="002B72F6">
        <w:rPr>
          <w:rFonts w:cs="Times New Roman"/>
          <w:szCs w:val="24"/>
        </w:rPr>
        <w:t xml:space="preserve"> constructed to a depth of 70 km</w:t>
      </w:r>
      <w:r w:rsidR="008A2EF1">
        <w:rPr>
          <w:rFonts w:cs="Times New Roman"/>
          <w:szCs w:val="24"/>
        </w:rPr>
        <w:t>.</w:t>
      </w:r>
      <w:r w:rsidR="00AB27E9" w:rsidRPr="006555F1">
        <w:rPr>
          <w:rFonts w:cs="Times New Roman"/>
          <w:szCs w:val="24"/>
        </w:rPr>
        <w:t xml:space="preserve"> </w:t>
      </w:r>
      <w:r w:rsidR="002A5A32">
        <w:rPr>
          <w:rFonts w:cs="Times New Roman"/>
          <w:szCs w:val="24"/>
        </w:rPr>
        <w:t>T</w:t>
      </w:r>
      <w:r w:rsidR="002A5A32" w:rsidRPr="002A5A32">
        <w:rPr>
          <w:rFonts w:cs="Times New Roman"/>
          <w:szCs w:val="24"/>
        </w:rPr>
        <w:t>he methodological framework, which incorporated a multi-resolution grid parameterization and robust inversion techniques</w:t>
      </w:r>
      <w:r w:rsidR="002A5A32">
        <w:rPr>
          <w:rFonts w:cs="Times New Roman"/>
          <w:szCs w:val="24"/>
        </w:rPr>
        <w:t xml:space="preserve">, </w:t>
      </w:r>
      <w:r w:rsidR="002A5A32" w:rsidRPr="002A5A32">
        <w:rPr>
          <w:rFonts w:cs="Times New Roman"/>
          <w:szCs w:val="24"/>
        </w:rPr>
        <w:t>including the LSQR algorithm and L-curve regularization</w:t>
      </w:r>
      <w:r w:rsidR="002A5A32">
        <w:rPr>
          <w:rFonts w:cs="Times New Roman"/>
          <w:szCs w:val="24"/>
        </w:rPr>
        <w:t xml:space="preserve">, </w:t>
      </w:r>
      <w:r w:rsidR="002A5A32" w:rsidRPr="002A5A32">
        <w:rPr>
          <w:rFonts w:cs="Times New Roman"/>
          <w:szCs w:val="24"/>
        </w:rPr>
        <w:t>enabled the delineation of significant seismic heterogeneity.</w:t>
      </w:r>
      <w:r w:rsidR="00657237" w:rsidRPr="00657237">
        <w:rPr>
          <w:rFonts w:cs="Times New Roman"/>
          <w:szCs w:val="24"/>
        </w:rPr>
        <w:t xml:space="preserve"> </w:t>
      </w:r>
      <w:r w:rsidR="00657237" w:rsidRPr="00E01AA5">
        <w:rPr>
          <w:rFonts w:cs="Times New Roman"/>
          <w:szCs w:val="24"/>
        </w:rPr>
        <w:t xml:space="preserve">The finer resolution (0.25°) reveals detailed </w:t>
      </w:r>
      <w:r w:rsidR="00144DC3" w:rsidRPr="00144DC3">
        <w:rPr>
          <w:rFonts w:cs="Times New Roman"/>
          <w:szCs w:val="24"/>
        </w:rPr>
        <w:t>low-velocity zones (LVZs)</w:t>
      </w:r>
      <w:r w:rsidR="00657237" w:rsidRPr="00E01AA5">
        <w:rPr>
          <w:rFonts w:cs="Times New Roman"/>
          <w:szCs w:val="24"/>
        </w:rPr>
        <w:t xml:space="preserve"> beneath </w:t>
      </w:r>
      <w:r w:rsidR="00657237">
        <w:rPr>
          <w:rFonts w:cs="Times New Roman"/>
          <w:szCs w:val="24"/>
        </w:rPr>
        <w:t>the region, especially at shallower depths (5-20 km)</w:t>
      </w:r>
      <w:r w:rsidR="00657237" w:rsidRPr="00E01AA5">
        <w:rPr>
          <w:rFonts w:cs="Times New Roman"/>
          <w:szCs w:val="24"/>
        </w:rPr>
        <w:t>,</w:t>
      </w:r>
      <w:r w:rsidR="00657237" w:rsidRPr="00657237">
        <w:rPr>
          <w:rFonts w:cs="Times New Roman"/>
          <w:szCs w:val="24"/>
        </w:rPr>
        <w:t xml:space="preserve"> </w:t>
      </w:r>
      <w:r w:rsidR="00657237" w:rsidRPr="00E01AA5">
        <w:rPr>
          <w:rFonts w:cs="Times New Roman"/>
          <w:szCs w:val="24"/>
        </w:rPr>
        <w:t>while coarser resolutions (</w:t>
      </w:r>
      <w:r w:rsidR="00657237">
        <w:rPr>
          <w:rFonts w:cs="Times New Roman"/>
          <w:szCs w:val="24"/>
        </w:rPr>
        <w:t>0.5</w:t>
      </w:r>
      <w:r w:rsidR="00657237" w:rsidRPr="00E01AA5">
        <w:rPr>
          <w:rFonts w:cs="Times New Roman"/>
          <w:szCs w:val="24"/>
        </w:rPr>
        <w:t>°</w:t>
      </w:r>
      <w:r w:rsidR="00657237">
        <w:rPr>
          <w:rFonts w:cs="Times New Roman"/>
          <w:szCs w:val="24"/>
        </w:rPr>
        <w:t xml:space="preserve"> and </w:t>
      </w:r>
      <w:r w:rsidR="00657237" w:rsidRPr="00E01AA5">
        <w:rPr>
          <w:rFonts w:cs="Times New Roman"/>
          <w:szCs w:val="24"/>
        </w:rPr>
        <w:t>1.0°) highlight broader geodynamical trends.</w:t>
      </w:r>
      <w:r w:rsidR="00B60AFF" w:rsidRPr="00B60AFF">
        <w:rPr>
          <w:rFonts w:cs="Times New Roman"/>
          <w:szCs w:val="24"/>
        </w:rPr>
        <w:t xml:space="preserve"> </w:t>
      </w:r>
      <w:r w:rsidR="00B60AFF" w:rsidRPr="000626C0">
        <w:rPr>
          <w:rFonts w:cs="Times New Roman"/>
          <w:szCs w:val="24"/>
        </w:rPr>
        <w:t xml:space="preserve">The </w:t>
      </w:r>
      <w:r w:rsidR="00B60AFF">
        <w:rPr>
          <w:rFonts w:cs="Times New Roman"/>
          <w:szCs w:val="24"/>
        </w:rPr>
        <w:t>salient</w:t>
      </w:r>
      <w:r w:rsidR="00B60AFF" w:rsidRPr="000626C0">
        <w:rPr>
          <w:rFonts w:cs="Times New Roman"/>
          <w:szCs w:val="24"/>
        </w:rPr>
        <w:t xml:space="preserve"> findings of </w:t>
      </w:r>
      <w:r w:rsidR="00B60AFF">
        <w:rPr>
          <w:rFonts w:cs="Times New Roman"/>
          <w:szCs w:val="24"/>
        </w:rPr>
        <w:t xml:space="preserve">this </w:t>
      </w:r>
      <w:r w:rsidR="00B60AFF" w:rsidRPr="000626C0">
        <w:rPr>
          <w:rFonts w:cs="Times New Roman"/>
          <w:szCs w:val="24"/>
        </w:rPr>
        <w:t xml:space="preserve">study </w:t>
      </w:r>
      <w:r w:rsidR="00B60AFF">
        <w:rPr>
          <w:rFonts w:cs="Times New Roman"/>
          <w:szCs w:val="24"/>
        </w:rPr>
        <w:t>include:</w:t>
      </w:r>
    </w:p>
    <w:p w14:paraId="29BEE72F" w14:textId="19DEF5FA" w:rsidR="00F54108" w:rsidRDefault="00F54108" w:rsidP="00624CE0">
      <w:pPr>
        <w:pStyle w:val="ListParagraph"/>
        <w:numPr>
          <w:ilvl w:val="0"/>
          <w:numId w:val="1"/>
        </w:numPr>
        <w:spacing w:before="0" w:after="240" w:line="360" w:lineRule="auto"/>
        <w:ind w:left="426"/>
        <w:rPr>
          <w:rFonts w:cs="Times New Roman"/>
          <w:szCs w:val="24"/>
        </w:rPr>
      </w:pPr>
      <w:r>
        <w:rPr>
          <w:rFonts w:cs="Times New Roman"/>
          <w:szCs w:val="24"/>
        </w:rPr>
        <w:t>D</w:t>
      </w:r>
      <w:r w:rsidRPr="00721ADB">
        <w:rPr>
          <w:rFonts w:cs="Times New Roman"/>
          <w:szCs w:val="24"/>
        </w:rPr>
        <w:t xml:space="preserve">istinct </w:t>
      </w:r>
      <w:r w:rsidR="00144DC3" w:rsidRPr="00144DC3">
        <w:rPr>
          <w:rFonts w:cs="Times New Roman"/>
          <w:szCs w:val="24"/>
        </w:rPr>
        <w:t xml:space="preserve">LVZs </w:t>
      </w:r>
      <w:r w:rsidRPr="00721ADB">
        <w:rPr>
          <w:rFonts w:cs="Times New Roman"/>
          <w:szCs w:val="24"/>
        </w:rPr>
        <w:t>appear in the uppermost mantle beneath Afar and western Ethiopian Plateau</w:t>
      </w:r>
      <w:r>
        <w:rPr>
          <w:rFonts w:cs="Times New Roman"/>
          <w:szCs w:val="24"/>
        </w:rPr>
        <w:t xml:space="preserve">x, respectively. This is </w:t>
      </w:r>
      <w:bookmarkStart w:id="16" w:name="_Hlk104764348"/>
      <w:r w:rsidRPr="00721ADB">
        <w:rPr>
          <w:rFonts w:cs="Times New Roman"/>
          <w:szCs w:val="24"/>
        </w:rPr>
        <w:t xml:space="preserve">consistent with </w:t>
      </w:r>
      <w:r>
        <w:rPr>
          <w:rFonts w:cs="Times New Roman"/>
          <w:szCs w:val="24"/>
        </w:rPr>
        <w:t xml:space="preserve">the </w:t>
      </w:r>
      <w:bookmarkStart w:id="17" w:name="_Hlk104764370"/>
      <w:bookmarkEnd w:id="16"/>
      <w:r>
        <w:rPr>
          <w:rFonts w:cs="Times New Roman"/>
          <w:szCs w:val="24"/>
        </w:rPr>
        <w:t>findings in previous studies</w:t>
      </w:r>
      <w:bookmarkEnd w:id="17"/>
      <w:r>
        <w:rPr>
          <w:rFonts w:cs="Times New Roman"/>
          <w:szCs w:val="24"/>
        </w:rPr>
        <w:t xml:space="preserve"> that suggest the existence of more than one plume in the upper mantle </w:t>
      </w:r>
      <w:r w:rsidRPr="00721ADB">
        <w:rPr>
          <w:rFonts w:cs="Times New Roman"/>
          <w:szCs w:val="24"/>
        </w:rPr>
        <w:t xml:space="preserve">beneath </w:t>
      </w:r>
      <w:r>
        <w:rPr>
          <w:rFonts w:cs="Times New Roman"/>
          <w:szCs w:val="24"/>
        </w:rPr>
        <w:t>the region</w:t>
      </w:r>
      <w:r w:rsidR="00975DCD">
        <w:rPr>
          <w:rFonts w:cs="Times New Roman"/>
          <w:szCs w:val="24"/>
        </w:rPr>
        <w:t>.</w:t>
      </w:r>
    </w:p>
    <w:p w14:paraId="7DE0D857" w14:textId="2890B649" w:rsidR="006D4E3B" w:rsidRDefault="006D4E3B" w:rsidP="006D4E3B">
      <w:pPr>
        <w:pStyle w:val="ListParagraph"/>
        <w:numPr>
          <w:ilvl w:val="0"/>
          <w:numId w:val="1"/>
        </w:numPr>
        <w:spacing w:after="240" w:line="360" w:lineRule="auto"/>
        <w:ind w:left="426"/>
        <w:rPr>
          <w:rFonts w:cs="Times New Roman"/>
          <w:szCs w:val="24"/>
        </w:rPr>
      </w:pPr>
      <w:bookmarkStart w:id="18" w:name="_Hlk104764857"/>
      <w:r w:rsidRPr="00FC1949">
        <w:rPr>
          <w:rFonts w:cs="Times New Roman"/>
          <w:szCs w:val="24"/>
        </w:rPr>
        <w:t>Locali</w:t>
      </w:r>
      <w:r w:rsidR="007C1BBC">
        <w:rPr>
          <w:rFonts w:cs="Times New Roman"/>
          <w:szCs w:val="24"/>
        </w:rPr>
        <w:t>s</w:t>
      </w:r>
      <w:r w:rsidRPr="00FC1949">
        <w:rPr>
          <w:rFonts w:cs="Times New Roman"/>
          <w:szCs w:val="24"/>
        </w:rPr>
        <w:t xml:space="preserve">ed </w:t>
      </w:r>
      <w:r w:rsidR="009A1FD1" w:rsidRPr="009A1FD1">
        <w:rPr>
          <w:rFonts w:cs="Times New Roman"/>
          <w:szCs w:val="24"/>
        </w:rPr>
        <w:t xml:space="preserve">LVZs </w:t>
      </w:r>
      <w:r w:rsidR="00571A7A">
        <w:rPr>
          <w:rFonts w:cs="Times New Roman"/>
          <w:szCs w:val="24"/>
        </w:rPr>
        <w:t xml:space="preserve">in the uppermost mantle </w:t>
      </w:r>
      <w:r w:rsidRPr="00DC0112">
        <w:rPr>
          <w:rFonts w:cs="Times New Roman"/>
          <w:szCs w:val="24"/>
        </w:rPr>
        <w:t xml:space="preserve">beneath </w:t>
      </w:r>
      <w:r w:rsidR="00533FCD" w:rsidRPr="00DC0112">
        <w:rPr>
          <w:rFonts w:cs="Times New Roman"/>
          <w:szCs w:val="24"/>
          <w:lang w:eastAsia="en-MY"/>
        </w:rPr>
        <w:t>A</w:t>
      </w:r>
      <w:r w:rsidR="00533FCD">
        <w:rPr>
          <w:rFonts w:cs="Times New Roman"/>
          <w:szCs w:val="24"/>
          <w:lang w:eastAsia="en-MY"/>
        </w:rPr>
        <w:t xml:space="preserve">far </w:t>
      </w:r>
      <w:r w:rsidR="00533FCD" w:rsidRPr="00DC0112">
        <w:rPr>
          <w:rFonts w:cs="Times New Roman"/>
          <w:szCs w:val="24"/>
          <w:lang w:eastAsia="en-MY"/>
        </w:rPr>
        <w:t>D</w:t>
      </w:r>
      <w:r w:rsidR="00533FCD">
        <w:rPr>
          <w:rFonts w:cs="Times New Roman"/>
          <w:szCs w:val="24"/>
          <w:lang w:eastAsia="en-MY"/>
        </w:rPr>
        <w:t>epression</w:t>
      </w:r>
      <w:r w:rsidRPr="00DC0112">
        <w:rPr>
          <w:rFonts w:cs="Times New Roman"/>
          <w:szCs w:val="24"/>
        </w:rPr>
        <w:t xml:space="preserve"> </w:t>
      </w:r>
      <w:r w:rsidR="00A105B8" w:rsidRPr="002D537B">
        <w:rPr>
          <w:rFonts w:cs="Times New Roman"/>
          <w:szCs w:val="24"/>
        </w:rPr>
        <w:t xml:space="preserve">and southern part of the Red Sea </w:t>
      </w:r>
      <w:r w:rsidR="00571A7A" w:rsidRPr="002D537B">
        <w:rPr>
          <w:rFonts w:cs="Times New Roman"/>
          <w:szCs w:val="24"/>
        </w:rPr>
        <w:t>broaden and deepen beneath the Arabian Plate</w:t>
      </w:r>
      <w:r w:rsidRPr="00DC0112">
        <w:rPr>
          <w:rFonts w:cs="Times New Roman"/>
          <w:szCs w:val="24"/>
          <w:lang w:eastAsia="en-MY"/>
        </w:rPr>
        <w:t xml:space="preserve">. </w:t>
      </w:r>
      <w:bookmarkStart w:id="19" w:name="_Hlk104764483"/>
      <w:r w:rsidRPr="00DC0112">
        <w:rPr>
          <w:rFonts w:cs="Times New Roman"/>
          <w:szCs w:val="24"/>
          <w:lang w:eastAsia="en-MY"/>
        </w:rPr>
        <w:t>Th</w:t>
      </w:r>
      <w:r>
        <w:rPr>
          <w:rFonts w:cs="Times New Roman"/>
          <w:szCs w:val="24"/>
          <w:lang w:eastAsia="en-MY"/>
        </w:rPr>
        <w:t xml:space="preserve">is large plume </w:t>
      </w:r>
      <w:r w:rsidRPr="00DC0112">
        <w:rPr>
          <w:rFonts w:cs="Times New Roman"/>
          <w:szCs w:val="24"/>
          <w:lang w:eastAsia="en-MY"/>
        </w:rPr>
        <w:t xml:space="preserve">is risen more towards the crust beneath the Arabian </w:t>
      </w:r>
      <w:r>
        <w:rPr>
          <w:rFonts w:cs="Times New Roman"/>
          <w:szCs w:val="24"/>
          <w:lang w:eastAsia="en-MY"/>
        </w:rPr>
        <w:t>Plate</w:t>
      </w:r>
      <w:r w:rsidRPr="00DC0112">
        <w:rPr>
          <w:rFonts w:cs="Times New Roman"/>
          <w:szCs w:val="24"/>
          <w:lang w:eastAsia="en-MY"/>
        </w:rPr>
        <w:t xml:space="preserve"> than </w:t>
      </w:r>
      <w:r>
        <w:rPr>
          <w:rFonts w:cs="Times New Roman"/>
          <w:szCs w:val="24"/>
          <w:lang w:eastAsia="en-MY"/>
        </w:rPr>
        <w:t xml:space="preserve">beneath </w:t>
      </w:r>
      <w:r w:rsidRPr="00DC0112">
        <w:rPr>
          <w:rFonts w:cs="Times New Roman"/>
          <w:szCs w:val="24"/>
          <w:lang w:eastAsia="en-MY"/>
        </w:rPr>
        <w:t>the A</w:t>
      </w:r>
      <w:r>
        <w:rPr>
          <w:rFonts w:cs="Times New Roman"/>
          <w:szCs w:val="24"/>
          <w:lang w:eastAsia="en-MY"/>
        </w:rPr>
        <w:t>far</w:t>
      </w:r>
      <w:bookmarkEnd w:id="19"/>
      <w:r>
        <w:rPr>
          <w:rFonts w:cs="Times New Roman"/>
          <w:szCs w:val="24"/>
          <w:lang w:eastAsia="en-MY"/>
        </w:rPr>
        <w:t>.</w:t>
      </w:r>
    </w:p>
    <w:p w14:paraId="2945C194" w14:textId="42BC1960" w:rsidR="006D4E3B" w:rsidRDefault="00144DC3" w:rsidP="006D4E3B">
      <w:pPr>
        <w:pStyle w:val="ListParagraph"/>
        <w:numPr>
          <w:ilvl w:val="0"/>
          <w:numId w:val="1"/>
        </w:numPr>
        <w:spacing w:after="240" w:line="360" w:lineRule="auto"/>
        <w:ind w:left="426"/>
        <w:rPr>
          <w:rFonts w:cs="Times New Roman"/>
          <w:szCs w:val="24"/>
        </w:rPr>
      </w:pPr>
      <w:r>
        <w:rPr>
          <w:rFonts w:cs="Times New Roman"/>
          <w:szCs w:val="24"/>
        </w:rPr>
        <w:lastRenderedPageBreak/>
        <w:t>H</w:t>
      </w:r>
      <w:r w:rsidRPr="00144DC3">
        <w:rPr>
          <w:rFonts w:cs="Times New Roman"/>
          <w:szCs w:val="24"/>
        </w:rPr>
        <w:t xml:space="preserve">igh-velocity zones (HVZs) </w:t>
      </w:r>
      <w:r w:rsidR="006D4E3B" w:rsidRPr="005F4001">
        <w:rPr>
          <w:rFonts w:cs="Times New Roman"/>
          <w:szCs w:val="24"/>
        </w:rPr>
        <w:t xml:space="preserve">beneath segments of </w:t>
      </w:r>
      <w:r w:rsidR="002D537B" w:rsidRPr="00DC0112">
        <w:rPr>
          <w:rFonts w:cs="Times New Roman"/>
          <w:szCs w:val="24"/>
          <w:lang w:eastAsia="en-MY"/>
        </w:rPr>
        <w:t>A</w:t>
      </w:r>
      <w:r w:rsidR="002D537B">
        <w:rPr>
          <w:rFonts w:cs="Times New Roman"/>
          <w:szCs w:val="24"/>
          <w:lang w:eastAsia="en-MY"/>
        </w:rPr>
        <w:t>far</w:t>
      </w:r>
      <w:r w:rsidR="006D4E3B">
        <w:rPr>
          <w:rFonts w:cs="Times New Roman"/>
          <w:szCs w:val="24"/>
        </w:rPr>
        <w:t xml:space="preserve"> </w:t>
      </w:r>
      <w:r w:rsidR="006D4E3B" w:rsidRPr="005F4001">
        <w:rPr>
          <w:rFonts w:cs="Times New Roman"/>
          <w:szCs w:val="24"/>
        </w:rPr>
        <w:t xml:space="preserve">support </w:t>
      </w:r>
      <w:r w:rsidR="00AD019C" w:rsidRPr="00E01AA5">
        <w:rPr>
          <w:rFonts w:cs="Times New Roman"/>
          <w:szCs w:val="24"/>
        </w:rPr>
        <w:t>compositional effects</w:t>
      </w:r>
      <w:r w:rsidR="00AD019C" w:rsidRPr="005F4001">
        <w:rPr>
          <w:rFonts w:cs="Times New Roman"/>
          <w:szCs w:val="24"/>
        </w:rPr>
        <w:t xml:space="preserve"> </w:t>
      </w:r>
      <w:r w:rsidR="00AD019C">
        <w:rPr>
          <w:rFonts w:cs="Times New Roman"/>
          <w:szCs w:val="24"/>
        </w:rPr>
        <w:t xml:space="preserve">and </w:t>
      </w:r>
      <w:r w:rsidR="006D4E3B" w:rsidRPr="005F4001">
        <w:rPr>
          <w:rFonts w:cs="Times New Roman"/>
          <w:szCs w:val="24"/>
        </w:rPr>
        <w:t xml:space="preserve">the existence of focused diapiric thermal upwellings </w:t>
      </w:r>
      <w:r w:rsidR="008B61E4" w:rsidRPr="005F4001">
        <w:rPr>
          <w:rFonts w:cs="Times New Roman"/>
          <w:szCs w:val="24"/>
        </w:rPr>
        <w:t>from the upper mantle</w:t>
      </w:r>
      <w:r w:rsidR="00AD019C">
        <w:rPr>
          <w:rFonts w:cs="Times New Roman"/>
          <w:szCs w:val="24"/>
        </w:rPr>
        <w:t>.</w:t>
      </w:r>
    </w:p>
    <w:p w14:paraId="1F5C916E" w14:textId="6EAAACFC" w:rsidR="00721ADB" w:rsidRPr="006D4E3B" w:rsidRDefault="009A1FD1" w:rsidP="006D4E3B">
      <w:pPr>
        <w:pStyle w:val="ListParagraph"/>
        <w:numPr>
          <w:ilvl w:val="0"/>
          <w:numId w:val="1"/>
        </w:numPr>
        <w:spacing w:after="240" w:line="360" w:lineRule="auto"/>
        <w:ind w:left="426"/>
        <w:rPr>
          <w:rFonts w:cs="Times New Roman"/>
          <w:szCs w:val="24"/>
        </w:rPr>
      </w:pPr>
      <w:bookmarkStart w:id="20" w:name="_Hlk104764918"/>
      <w:bookmarkEnd w:id="18"/>
      <w:r>
        <w:rPr>
          <w:rFonts w:cs="Times New Roman"/>
          <w:szCs w:val="24"/>
        </w:rPr>
        <w:t xml:space="preserve">The </w:t>
      </w:r>
      <w:r w:rsidRPr="009A1FD1">
        <w:rPr>
          <w:rFonts w:cs="Times New Roman"/>
          <w:szCs w:val="24"/>
        </w:rPr>
        <w:t xml:space="preserve">HVZs </w:t>
      </w:r>
      <w:r w:rsidR="004100C1">
        <w:rPr>
          <w:rFonts w:cs="Times New Roman"/>
          <w:szCs w:val="24"/>
        </w:rPr>
        <w:t>at</w:t>
      </w:r>
      <w:r w:rsidR="00E05B98">
        <w:rPr>
          <w:rFonts w:cs="Times New Roman"/>
          <w:szCs w:val="24"/>
        </w:rPr>
        <w:t xml:space="preserve"> shallow depths </w:t>
      </w:r>
      <w:r w:rsidR="00E05B98">
        <w:rPr>
          <w:lang w:val="en-GB"/>
        </w:rPr>
        <w:t>beneath the</w:t>
      </w:r>
      <w:r w:rsidR="00E05B98" w:rsidRPr="00524785">
        <w:rPr>
          <w:lang w:val="en-GB"/>
        </w:rPr>
        <w:t xml:space="preserve"> Nubian Plate and parts of the Arabian Plate</w:t>
      </w:r>
      <w:r w:rsidR="00E05B98" w:rsidRPr="00E05B98">
        <w:rPr>
          <w:rFonts w:cs="Times New Roman"/>
          <w:szCs w:val="24"/>
        </w:rPr>
        <w:t xml:space="preserve"> suggest </w:t>
      </w:r>
      <w:r w:rsidR="002307BD">
        <w:rPr>
          <w:rFonts w:cs="Times New Roman"/>
          <w:szCs w:val="24"/>
        </w:rPr>
        <w:t xml:space="preserve">the existence of </w:t>
      </w:r>
      <w:r w:rsidR="00E05B98" w:rsidRPr="00E05B98">
        <w:rPr>
          <w:rFonts w:cs="Times New Roman"/>
          <w:szCs w:val="24"/>
        </w:rPr>
        <w:t>cooler, thicker crust less influenced by rifting</w:t>
      </w:r>
      <w:r w:rsidR="00510E4C">
        <w:rPr>
          <w:rFonts w:cs="Times New Roman"/>
          <w:szCs w:val="24"/>
        </w:rPr>
        <w:t xml:space="preserve">. </w:t>
      </w:r>
      <w:r w:rsidR="004100C1">
        <w:rPr>
          <w:rFonts w:cs="Times New Roman"/>
          <w:szCs w:val="24"/>
        </w:rPr>
        <w:t>There is also evidence of s</w:t>
      </w:r>
      <w:r w:rsidR="00BE6325" w:rsidRPr="00AD5408">
        <w:rPr>
          <w:lang w:val="en-GB"/>
        </w:rPr>
        <w:t xml:space="preserve">table lithospheric blocks at </w:t>
      </w:r>
      <w:r w:rsidR="00510E4C">
        <w:rPr>
          <w:rFonts w:cs="Times New Roman"/>
          <w:szCs w:val="24"/>
        </w:rPr>
        <w:t>greater depths</w:t>
      </w:r>
      <w:r w:rsidR="004100C1">
        <w:rPr>
          <w:rFonts w:cs="Times New Roman"/>
          <w:szCs w:val="24"/>
        </w:rPr>
        <w:t xml:space="preserve"> (70 km or </w:t>
      </w:r>
      <w:r w:rsidR="004C1C36">
        <w:rPr>
          <w:rFonts w:cs="Times New Roman"/>
          <w:szCs w:val="24"/>
        </w:rPr>
        <w:t>below</w:t>
      </w:r>
      <w:r w:rsidR="004100C1">
        <w:rPr>
          <w:rFonts w:cs="Times New Roman"/>
          <w:szCs w:val="24"/>
        </w:rPr>
        <w:t>)</w:t>
      </w:r>
      <w:r w:rsidR="00975DCD">
        <w:rPr>
          <w:rFonts w:cs="Times New Roman"/>
          <w:szCs w:val="24"/>
        </w:rPr>
        <w:t>.</w:t>
      </w:r>
      <w:bookmarkEnd w:id="15"/>
      <w:bookmarkEnd w:id="20"/>
    </w:p>
    <w:p w14:paraId="7922599E" w14:textId="77777777" w:rsidR="00EE56E5" w:rsidRPr="00F15F1F" w:rsidRDefault="00EE56E5" w:rsidP="00EE56E5">
      <w:pPr>
        <w:pStyle w:val="Heading1"/>
      </w:pPr>
      <w:r w:rsidRPr="00F15F1F">
        <w:t>Declaration of competing interest</w:t>
      </w:r>
    </w:p>
    <w:p w14:paraId="35D50B98" w14:textId="77777777" w:rsidR="00EE56E5" w:rsidRPr="00F15F1F" w:rsidRDefault="00EE56E5" w:rsidP="00EE56E5">
      <w:pPr>
        <w:spacing w:before="0" w:after="240" w:line="360" w:lineRule="auto"/>
        <w:ind w:firstLine="0"/>
        <w:rPr>
          <w:rFonts w:cs="Times New Roman"/>
        </w:rPr>
      </w:pPr>
      <w:r w:rsidRPr="00F15F1F">
        <w:rPr>
          <w:rFonts w:cs="Times New Roman"/>
        </w:rPr>
        <w:t>The author declares no conflicts of interest relevant to this study.</w:t>
      </w:r>
    </w:p>
    <w:p w14:paraId="4A402B78" w14:textId="77777777" w:rsidR="00D11D0B" w:rsidRPr="004D4245" w:rsidRDefault="00D11D0B" w:rsidP="000A009B">
      <w:pPr>
        <w:pStyle w:val="Heading1"/>
      </w:pPr>
      <w:r w:rsidRPr="004D4245">
        <w:t>Data Availability</w:t>
      </w:r>
    </w:p>
    <w:p w14:paraId="6C06CA49" w14:textId="178EF612" w:rsidR="00D370B5" w:rsidRPr="007E331F" w:rsidRDefault="00EC12C0" w:rsidP="007E331F">
      <w:pPr>
        <w:spacing w:before="0" w:after="240" w:line="360" w:lineRule="auto"/>
        <w:ind w:firstLine="0"/>
        <w:rPr>
          <w:rFonts w:cs="Times New Roman"/>
          <w:szCs w:val="24"/>
        </w:rPr>
      </w:pPr>
      <w:r w:rsidRPr="00F15F1F">
        <w:rPr>
          <w:rFonts w:cs="Times New Roman"/>
        </w:rPr>
        <w:t xml:space="preserve">The arrival-time data are downloaded from the ISC-EHB Bulletin </w:t>
      </w:r>
      <w:r w:rsidRPr="00EC12C0">
        <w:rPr>
          <w:rFonts w:cs="Times New Roman"/>
        </w:rPr>
        <w:t>(</w:t>
      </w:r>
      <w:hyperlink r:id="rId24" w:history="1">
        <w:r w:rsidRPr="00EC12C0">
          <w:rPr>
            <w:rStyle w:val="Hyperlink"/>
            <w:rFonts w:cs="Times New Roman"/>
            <w:color w:val="0000FF"/>
            <w:u w:val="none"/>
          </w:rPr>
          <w:t>http://www.isc.ac.uk/iscbulletin/</w:t>
        </w:r>
      </w:hyperlink>
      <w:r w:rsidRPr="00F15F1F">
        <w:rPr>
          <w:rFonts w:cs="Times New Roman"/>
        </w:rPr>
        <w:t>).</w:t>
      </w:r>
      <w:r>
        <w:rPr>
          <w:rFonts w:cs="Times New Roman"/>
        </w:rPr>
        <w:t xml:space="preserve"> </w:t>
      </w:r>
      <w:r w:rsidR="00D465C6">
        <w:rPr>
          <w:rFonts w:cs="Times New Roman"/>
          <w:szCs w:val="24"/>
        </w:rPr>
        <w:t>Supplementary</w:t>
      </w:r>
      <w:r w:rsidR="00D24093" w:rsidRPr="00D24093">
        <w:rPr>
          <w:rFonts w:cs="Times New Roman"/>
          <w:szCs w:val="24"/>
        </w:rPr>
        <w:t xml:space="preserve"> information provided in this study are available at </w:t>
      </w:r>
      <w:hyperlink r:id="rId25" w:history="1">
        <w:r w:rsidR="00296945" w:rsidRPr="00A504CE">
          <w:rPr>
            <w:rStyle w:val="Hyperlink"/>
            <w:rFonts w:cs="Times New Roman"/>
            <w:szCs w:val="24"/>
          </w:rPr>
          <w:t>https://data.mendeley.com/datasets/stswy64tcs/1</w:t>
        </w:r>
      </w:hyperlink>
      <w:r w:rsidR="00D24093">
        <w:rPr>
          <w:rFonts w:cs="Times New Roman"/>
          <w:szCs w:val="24"/>
        </w:rPr>
        <w:t>.</w:t>
      </w:r>
    </w:p>
    <w:p w14:paraId="14F03142" w14:textId="5ACC55DC" w:rsidR="00296945" w:rsidRPr="00D370B5" w:rsidRDefault="00296945" w:rsidP="008B012F">
      <w:pPr>
        <w:spacing w:before="0" w:line="360" w:lineRule="auto"/>
        <w:ind w:firstLine="0"/>
        <w:rPr>
          <w:b/>
          <w:bCs/>
        </w:rPr>
      </w:pPr>
      <w:r w:rsidRPr="00D370B5">
        <w:rPr>
          <w:b/>
          <w:bCs/>
        </w:rPr>
        <w:t>Disclaimer (Artificial intelligence)</w:t>
      </w:r>
    </w:p>
    <w:p w14:paraId="32A704E0" w14:textId="5D0DF61F" w:rsidR="00296945" w:rsidRPr="007E331F" w:rsidRDefault="00296945" w:rsidP="007E331F">
      <w:pPr>
        <w:spacing w:before="0" w:after="240" w:line="360" w:lineRule="auto"/>
        <w:ind w:firstLine="0"/>
      </w:pPr>
      <w:r w:rsidRPr="008B012F">
        <w:t xml:space="preserve">Authors hereby declare that NO generative AI technologies such as Large Language Models (ChatGPT, COPILOT, etc.) and text-to-image generators have been used during the writing or editing of this manuscript. </w:t>
      </w:r>
    </w:p>
    <w:p w14:paraId="64E3C56B" w14:textId="335A0F54" w:rsidR="00403F03" w:rsidRPr="004D4245" w:rsidRDefault="00E3065A" w:rsidP="00632648">
      <w:pPr>
        <w:pStyle w:val="Heading1"/>
        <w:spacing w:before="0"/>
      </w:pPr>
      <w:bookmarkStart w:id="21" w:name="_Hlk99880937"/>
      <w:r w:rsidRPr="004D4245">
        <w:t>References</w:t>
      </w:r>
      <w:bookmarkEnd w:id="21"/>
    </w:p>
    <w:p w14:paraId="7ED3D0C8"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Ahmed, A., Doubre, C., Leroy, S., Keir, D., Pagli, C., Hammond, J. O. S., Ayele, A, de Berc, M. B, Grunberg, M., and Vergne, J. (2022). Across and along-strike crustal structure variations of the western Afar margin and adjacent plateau: Insights from receiver functions analysis. Journal of African Earth Sciences, 192, 104570. doi:https://doi.org/10.1016/j.jafrearsci.2022.104570.</w:t>
      </w:r>
    </w:p>
    <w:p w14:paraId="1EFD926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Armitage, J. J., Ferguson, D. J., Goes, S., Hammond, J. O., Calais, E., Rychert, C. A., and Harmon, N. (2015). Upper mantle temperature and the onset of extension and break-up in Afar, Africa. Earth Planetary Science Letters, 418, 78-90. doi:http://dx.doi.org/10.1016/j.epsl.2015.02.039.</w:t>
      </w:r>
    </w:p>
    <w:p w14:paraId="00E5415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Armitage, J. J., Petersen, K. D., and Pérez‐Gussinyé, M. (2018). The role of crustal strength in controlling magmatism and melt chemistry during rifting and breakup. Geochemistry, Geophysics, Geosystems, 19(2), 534-550. doi:https://doi.org/10.1002/2017GC007326.</w:t>
      </w:r>
    </w:p>
    <w:p w14:paraId="7607B57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Bastow, I., Nyblade, A., Stuart, G., Rooney, T., and Benoit, M. (2008). Upper mantle seismic structure beneath the Ethiopian hot spot: Rifting at the edge of the African low‐velocity anomaly. Geochemistry, Geophysics, Geosystems, 9(12). doi:https://doi.org/10.1029/2008GC002107.</w:t>
      </w:r>
    </w:p>
    <w:p w14:paraId="20C9656F"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Bastow, I. D., Keir, D., and Daly, E. (2011). The Ethiopia Afar Geoscientific Lithospheric Experiment (EAGLE): Probing the transition from continental rifting to incipient seafloor spreading. Volcanism evolution of the African lithosphere, 478, 1-26. doi:https://doi.org/10.1130/2011.2478(04).</w:t>
      </w:r>
    </w:p>
    <w:p w14:paraId="6945123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lastRenderedPageBreak/>
        <w:t>Bastow, I. D., Stuart, G. W., Kendall, J.-M., and Ebinger, C. J. (2005). Upper-mantle seismic structure in a region of incipient continental breakup: northern Ethiopian rift. Geophysical Journal International, 162(2), 479-493. doi:https://doi.org/10.1111/j.1365-246X.2005.02666.x.</w:t>
      </w:r>
    </w:p>
    <w:p w14:paraId="19D7A47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Benoit, M. H., Nyblade, A. A., and VanDecar, J. C. (2006). Upper mantle P-wave speed variations beneath Ethiopia and the origin of the Afar hotspot. Geology, 34(5), 329-332. doi:https://doi.org/10.1130/G22281.1.</w:t>
      </w:r>
    </w:p>
    <w:p w14:paraId="00CE1C37"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Beutel, E., van Wijk, J., Ebinger, C., Keir, D., and Agostini, A. (2010). Formation and stability of magmatic segments in the Main Ethiopian and Afar rifts. Earth Planetary Science Letters, 293(3-4), 225-235. doi:https://doi.org/10.1016/j.epsl.2010.02.006.</w:t>
      </w:r>
    </w:p>
    <w:p w14:paraId="7E1D246C"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Beyene, A., and Abdelsalam, M. G. (2005). Tectonics of the Afar Depression: A review and synthesis. Journal of African Earth Sciences, 41(1-2), 41-59. doi:10.1016/j.jafrearsci.2005.03.003.</w:t>
      </w:r>
    </w:p>
    <w:p w14:paraId="3F0B372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Bosworth, W., Huchon, P., and McClay, K. (2005). The red sea and gulf of aden basins. Journal of African Earth Sciences, 43(1-3), 334-378. doi:10.1016/j.jafrearsci.2005.07.020.</w:t>
      </w:r>
    </w:p>
    <w:p w14:paraId="2C4F922F" w14:textId="236EA7AF"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Brocher, T. M. (2005). Empirical relations between elastic wavespeeds and density in the Earth's crust. Bulletin of the Seismological Society of America, 95(6), 2081-2092. doi:10.1785/0120050077</w:t>
      </w:r>
      <w:r w:rsidR="0073601C">
        <w:rPr>
          <w:rFonts w:cs="Times New Roman"/>
          <w:noProof/>
          <w:szCs w:val="24"/>
        </w:rPr>
        <w:t>.</w:t>
      </w:r>
    </w:p>
    <w:p w14:paraId="03A7E5B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Buck, W. (2004). Rheology and deformation of the lithosphere at continental margins. In G. D. Karner, B. Taylor, N. W. Driscoll, and D. L. Kohlstedt (Eds.). New York: Columbia University Press.</w:t>
      </w:r>
    </w:p>
    <w:p w14:paraId="5B23C89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Chambers, E. L., Harmon, N., Keir, D., and Rychert, C. A. (2019). Using ambient noise to image the northern East African Rift. Geochemistry, Geophysics, Geosystems, 20(4), 2091-2109. doi:https://doi.org/10.1029/2018GC008129.</w:t>
      </w:r>
    </w:p>
    <w:p w14:paraId="06D3040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Chang, S.-J., and Van der Lee, S. (2011). Mantle plumes and associated flow beneath Arabia and East Africa. Earth Planetary Science Letters, 302(3-4), 448-454. doi:10.1016/j.epsl.2010.12.050.</w:t>
      </w:r>
    </w:p>
    <w:p w14:paraId="684F2D3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Chorowicz, J. (2005). The east African rift system. Journal of African Earth Sciences, 43(1-3), 379-410. doi:10.1016/j.jafrearsci.2005.07.019.</w:t>
      </w:r>
    </w:p>
    <w:p w14:paraId="4087075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Christensen, N. I., and Mooney, W. D. (1995). Seismic velocity structure and composition of the continental crust: A global view. Journal of Geophysical Research: Solid Earth, 100(B6), 9761-9788. </w:t>
      </w:r>
    </w:p>
    <w:p w14:paraId="1731D62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Civiero, C., Armitage, J. J., Goes, S., and Hammond, J. O. S. (2019). The seismic signature of Upper‐Mantle Plumes: application to the Northern East African Rift. Geochemistry, Geophysics, Geosystems, 20(12), 6106-6122. doi:10.1029/2019GC008636.</w:t>
      </w:r>
    </w:p>
    <w:p w14:paraId="6DF12A19"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Civiero, C., Goes, S., Hammond, J. O. S., Fishwick, S., Ahmed, A., Ayele, A., Doubre, C., Goitom, B., Keir, D., and Kendall, J. M. (2016). Small‐scale thermal upwellings under the northern East African Rift from S travel time tomography. Journal of Geophysical Research: Solid Earth, 121(10), 7395-7408. doi:10.1002/2016JB013070.</w:t>
      </w:r>
    </w:p>
    <w:p w14:paraId="57E8E70F"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Civiero, C., Goes, S., Hammond, J. O. S., Fishwick, S., Ahmed, A., Ayele, A., Doubre, C., Goitom, B., Keir, D., and Kendall, J. M. (2015). Multiple mantle upwellings in the transition zone beneath the northern E ast‐A frican R ift system from relative P‐wave travel‐time tomography. Geochemistry, Geophysics, Geosystems, 16(9), 2949-2968. doi:10.1002/2015GC005948.</w:t>
      </w:r>
    </w:p>
    <w:p w14:paraId="1CF50C88"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Daly, E., Keir, D., Ebinger, C., Stuart, G., Bastow, I., and Ayele, A. (2008). Crustal tomographic imaging of a transitional continental rift: The Ethiopian rift. Geophysical Journal International, 172(3), 1033-1048. doi:10.1111/j.1365-246X.2007.03682.x.</w:t>
      </w:r>
    </w:p>
    <w:p w14:paraId="7FEE8E5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lastRenderedPageBreak/>
        <w:t>Daradich, A., Mitrovica, J. X., Pysklywec, R. N., Willett, S. D., and Forte, A. M. (2003). Mantle flow, dynamic topography, and rift-flank uplift of Arabia. Geology, 31(10), 901-904. doi:10.1130/G19661.1.</w:t>
      </w:r>
    </w:p>
    <w:p w14:paraId="7DD70CF2"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Doubre, C., Deprez, A., Masson, F., Socquet, A., Lewi, E., Grandin, R., Nercessian, A., Ulrich, P., De Chabalier, J., and Saad, I. (2017). Current deformation in Central Afar and triple junction kinematics deduced from GPS and InSAR measurements. Geophysical Journal International, 208(2), 936-953. doi:10.1093/gji/ggw434.</w:t>
      </w:r>
    </w:p>
    <w:p w14:paraId="3E18976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Dugda, M. T., Nyblade, A. A., Julia, J., Langston, C. A., Ammon, C. J., and Simiyu, S. (2005). Crustal structure in Ethiopia and Kenya from receiver function analysis: Implications for rift development in eastern Africa. Journal of Geophysical Research: Solid Earth, 110(B1). doi:10.1029/2004JB003065.</w:t>
      </w:r>
    </w:p>
    <w:p w14:paraId="5075FFA5" w14:textId="1FA08E9C"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Ebinger, C., and Casey, M. (2001). Continental breakup in magmatic provinces: An Ethiopian example. Geology, 29(6), 527-530. doi:10.1130/0091-7613(2001)029&lt;0527:CBIMPA&gt;2.0.CO;2</w:t>
      </w:r>
      <w:r w:rsidR="0073601C">
        <w:rPr>
          <w:rFonts w:cs="Times New Roman"/>
          <w:noProof/>
          <w:szCs w:val="24"/>
        </w:rPr>
        <w:t>.</w:t>
      </w:r>
    </w:p>
    <w:p w14:paraId="59DD4EFB"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Ebinger, C. J., and Sleep, N. (1998). Cenozoic magmatism throughout east Africa resulting from impact of a single plume. Nature, 395(6704), 788-791. </w:t>
      </w:r>
    </w:p>
    <w:p w14:paraId="1A2BDE8F"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Emry, E. L., Shen, Y., Nyblade, A. A., Flinders, A., and Bao, X. (2019). Upper mantle Earth structure in Africa from full‐wave ambient noise tomography. Geochemistry, Geophysics, Geosystems, 20(1), 120-147. doi:10.1029/2018GC007804.</w:t>
      </w:r>
    </w:p>
    <w:p w14:paraId="2005D297"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Engdahl, E., and Lee, W. (1976). Relocation of local earthquakes by seismic ray tracing. Journal of Geophysical Research, 81(23), 4400-4406. doi:10.1029/JB081i023p04400.</w:t>
      </w:r>
    </w:p>
    <w:p w14:paraId="1A6CBF01"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Gallacher, R., Keir, D., Harmon, N., Stuart, G., Leroy, S., Hammond, J. O. S., Kendall, JM., Ayele, A., Goitom, B., and Ogubazghi, G. (2016). The initiation of segmented buoyancy-driven melting during continental breakup Nat Commun, 7(1), 1-9. doi:10.1038/ncomms13110.</w:t>
      </w:r>
    </w:p>
    <w:p w14:paraId="58E83C2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Goes, S., Govers, R., and Vacher, P. (2000). Shallow mantle temperatures under Europe from P and S wave tomography. Journal of Geophysical Research: Solid Earth, 105(B5), 11153-11169. doi:10.1029/1999JB900300.</w:t>
      </w:r>
    </w:p>
    <w:p w14:paraId="6058F6F1"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Guidarelli, M., Stuart, G., Hammond, J. O. S., Kendall, J. M., Ayele, A., and Belachew, M. (2011). Surface wave tomography across Afar, Ethiopia: Crustal structure at a rift triple-junction zone. Geophys Res Lett, 38(24). doi:https://doi.org/10.1029/2011GL046840.</w:t>
      </w:r>
    </w:p>
    <w:p w14:paraId="500653A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Hammond, J. O. S., Kendall, J.-M., Stuart, G.W., Ebinger, C.J., Bastow, I.D., Keir, D., Ayele, A., Belachew, M., Goitom, B., and Ogubazghi, G. (2013). Mantle upwelling and initiation of rift segmentation beneath the Afar Depression. Geology, 41(6), 635-638. doi:10.1130/G33925.1.</w:t>
      </w:r>
    </w:p>
    <w:p w14:paraId="1DC491F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Hammond, J. O. S., Kendall, J. M., Stuart, G., Keir, D., Ebinger, C., Ayele, A., and Belachew, M. (2011). The nature of the crust beneath the Afar triple junction: Evidence from receiver functions. Geochemistry, Geophysics, Geosystems, 12(12). doi:10.1029/2011GC003738.</w:t>
      </w:r>
    </w:p>
    <w:p w14:paraId="1920E8E8"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Hansen, S. E., and Nyblade, A. A. (2013). The deep seismic structure of the Ethiopia/Afar hotspot and the African superplume. Geophysical Journal International, 194(1), 118-124. </w:t>
      </w:r>
    </w:p>
    <w:p w14:paraId="1E93D1E4"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Haslinger, F., Kissling, E., Ansorge, J., Hatzfeld, D., Papadimitriou, E., Karakostas, V., Makropoulos, K., Kahle, H-G., and Peter, Y. (1999). 3D crustal structure from local earthquake tomography around the Gulf of Arta (Ionian region, NW Greece). Tectonophysics, 304(3), 201-218. doi:10.1016/S0040-1951(98)00298-4.</w:t>
      </w:r>
    </w:p>
    <w:p w14:paraId="27E7E7D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Hopp, J., Trieloff, M., and Altherr, R. (2004). Neon isotopes in mantle rocks from the Red Sea region reveal large-scale plume–lithosphere interaction. Earth Planetary Science Letters, 219(1-2), 61-76. doi:10.1016/S0012-821X(03)00691-5.</w:t>
      </w:r>
    </w:p>
    <w:p w14:paraId="06B66FBD" w14:textId="1C13010C"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lastRenderedPageBreak/>
        <w:t>Huismans, R., and Beaumont, C. (2011). Depth-dependent extension, two-stage breakup and cratonic underplating at rifted margins. Nature, 473(7345), 74-78. doi:10.1038/nature09988</w:t>
      </w:r>
      <w:r w:rsidR="00C4510C">
        <w:rPr>
          <w:rFonts w:cs="Times New Roman"/>
          <w:noProof/>
          <w:szCs w:val="24"/>
        </w:rPr>
        <w:t>.</w:t>
      </w:r>
    </w:p>
    <w:p w14:paraId="1FE95B7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Keir, D., Hamling, I. J., Ayele, A., Calais, E., Ebinger, C., Wright, T. J., Jacques, E., Mohamed, K., Hammond, J. O. S., and Belachew, M. (2009). Evidence for focused magmatic accretion at segment centers from lateral dike injections captured beneath the Red Sea rift in Afar. Geology, 37(1), 59-62. doi:10.1130/G25147A.1.</w:t>
      </w:r>
    </w:p>
    <w:p w14:paraId="5666816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Kendall, J.-M., Stuart, G., Ebinger, C., Bastow, I., and Keir, D. (2005). Magma-assisted rifting in Ethiopia. Nature, 433(7022), 146-148. </w:t>
      </w:r>
    </w:p>
    <w:p w14:paraId="357E32F7"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Keranen, K. M., Klemperer, S. L., Julia, J., Lawrence, J. F., and Nyblade, A. A. (2009). Low lower crustal velocity across Ethiopia: Is the Main Ethiopian Rift a narrow rift in a hot craton? Geochemistry, Geophysics, Geosystems, 10(5). doi:10.1029/2008GC002293.</w:t>
      </w:r>
    </w:p>
    <w:p w14:paraId="45760792"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Khalil, H. M., Capitanio, F. A., Betts, P. G., and Cruden, A. R. (2020). 3‐D Analog Modeling Constraints on Rifting in the Afar Region. Tectonics, 39(10), 1-23. doi:10.1029/2020TC006339.</w:t>
      </w:r>
    </w:p>
    <w:p w14:paraId="5C0D3DB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Kibret, B. A., Ayele, A., and Keir, D. (2019). Crustal thickness estimates beneath four seismic stations in Ethiopia inferred from p-wave receiver function studies. Journal of African Earth Sciences, 150, 264-271. </w:t>
      </w:r>
    </w:p>
    <w:p w14:paraId="0305488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Kibret, B. A., Ayele, A., and Keir, D. (2022). Modelling S-Wave Velocity Structure Beneath the Central Main Ethiopian Rift Using Receiver Functions. Frontiers in Earth Science, 10, 773783. doi:10.3389/feart.2022.773783.</w:t>
      </w:r>
    </w:p>
    <w:p w14:paraId="7CBB717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Kidane, T. (2016). Strong clockwise block rotation of the Ali-Sabieh/Aïsha Block: evidence for opening of the Afar Depression by a ‘saloon-door’mechanism. Geological Society, London, Special Publications, 420(1), 209-219. doi:10.1144/SP420.10.</w:t>
      </w:r>
    </w:p>
    <w:p w14:paraId="3DFC3AE5"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Kieffer, B., Arndt, N., Lapierre, H., Bastien, F., Bosch, D., Pecher, A., Yirgu, G., Ayalew, D., Weis, D., and Jerram, D. A. (2004). Flood and shield basalts from Ethiopia: magmas from the African superswell. Journal of Petrology, 45(4), 793-834. doi:10.1093/petrology/egg112.</w:t>
      </w:r>
    </w:p>
    <w:p w14:paraId="106C462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Kim, S., Nyblade, A. A., Rhie, J., Baag, C.-E., and Kang, T.-S. (2012). Crustal S-wave velocity structure of the Main Ethiopian Rift from ambient noise tomography. Geophysical Journal International, 191(2), 865-878. doi:https://doi.org/10.1111/j.1365-246X.2012.05664.x.</w:t>
      </w:r>
    </w:p>
    <w:p w14:paraId="24CCDDC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Kim, W., and Baag, C.-E. (2002). Rapid and accurate two-point ray tracing based on a quadratic equation of takeoff angle in layered media with constant or linearly varying velocity functions. Bull. Seism. Soc. Am, 92(6), 2251-2263. doi:https://doi.org/10.1785/0120000059.</w:t>
      </w:r>
    </w:p>
    <w:p w14:paraId="6265D6D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Koptev, A., Burov, E., Gerya, T., Le Pourhiet, L., Leroy, S., Calais, E., and Jolivet, L. (2018). Plume-induced continental rifting and break-up in ultra-slow extension context: Insights from 3D numerical modeling. Tectonophysics, 746, 121-137. doi:10.1016/j.tecto.2017.03.025.</w:t>
      </w:r>
    </w:p>
    <w:p w14:paraId="77EEE57E"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Koulakov, I. Y. (2007). Structure of the Afar and Tanzania plumes based on the regional tomography using ISC data. Paper presented at the Doklady Earth Sciences.</w:t>
      </w:r>
    </w:p>
    <w:p w14:paraId="22E6FD4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Kumar, U., Legendre, C., and Huang, B. (2021). Crustal structure and upper mantle anisotropy of the Afar triple junction. Earth, planets space, 73(1), 1-17. doi:10.1186/s40623-021-01495-0.</w:t>
      </w:r>
    </w:p>
    <w:p w14:paraId="128E3813" w14:textId="6D4E1524"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Laske, G., Masters, G., Ma, Z., and Pasyanos, M. (2012). CRUST1. 0: A New Global Crustal Model at 1x1 Degrees. Retrieved from https://igppweb.ucsd.edu/~gabi/crust1.html.  Retrieved 25/03/2022 https://igppweb.ucsd.edu/~gabi/crust1.html</w:t>
      </w:r>
      <w:r w:rsidR="00C4510C">
        <w:rPr>
          <w:rFonts w:cs="Times New Roman"/>
          <w:noProof/>
          <w:szCs w:val="24"/>
        </w:rPr>
        <w:t>.</w:t>
      </w:r>
    </w:p>
    <w:p w14:paraId="7509F0B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Lévěque, J.-J., Rivera, L., and Wittlinger, G. (1993). On the use of the checker-board test to assess the resolution of tomographic inversions. Geophysical Journal International, 115(1), 313-318. </w:t>
      </w:r>
    </w:p>
    <w:p w14:paraId="1965799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lastRenderedPageBreak/>
        <w:t>Li, C., van der Hilst, R. D., Engdahl, E. R., and Burdick, S. (2008). A new global model for P wave speed variations in Earth's mantle. Geochemistry, Geophysics, Geosystems, 9(5). doi:10.1029/2007GC001806.</w:t>
      </w:r>
    </w:p>
    <w:p w14:paraId="64F5BA11" w14:textId="7C45F3CA"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Lim, J. A., Chang, S. J., Mai, P. M., and Zahran, H. (2020). Asthenospheric flow of plume material beneath Arabia inferred from S wave </w:t>
      </w:r>
      <w:r w:rsidR="009F79AC">
        <w:rPr>
          <w:rFonts w:cs="Times New Roman"/>
          <w:noProof/>
          <w:szCs w:val="24"/>
        </w:rPr>
        <w:t>travel-time</w:t>
      </w:r>
      <w:r w:rsidRPr="008045F4">
        <w:rPr>
          <w:rFonts w:cs="Times New Roman"/>
          <w:noProof/>
          <w:szCs w:val="24"/>
        </w:rPr>
        <w:t xml:space="preserve"> tomography. Journal of Geophysical Research: Solid Earth, 125(8), 1-18. doi:10.1029/2020JB019668.</w:t>
      </w:r>
    </w:p>
    <w:p w14:paraId="41F00AD2"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Ludwig, W., Nafe, J., and Drake, C. (1970). Seismic refraction (A. E. Maxwell Ed.  Vol. 4). New York: Wiley-Interscience.</w:t>
      </w:r>
    </w:p>
    <w:p w14:paraId="30DC02A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Mackenzie, G., Thybo, H., and Maguire, P. (2005). Crustal velocity structure across the Main Ethiopian Rift: results from two-dimensional wide-angle seismic modelling. Geophysical Journal International, 162(3), 994-1006. doi:10.1111/j.1365-246X.2005.02710.x.</w:t>
      </w:r>
    </w:p>
    <w:p w14:paraId="035F0E9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McClusky, S., Reilinger, R., Ogubazghi, G., Amleson, A., Healeb, B., Vernant, P., Sholan, J., Fisseha, S., Asfaw, L., and Bendick, R. (2010). Kinematics of the southern Red Sea–Afar Triple Junction and implications for plate dynamics. Geophys Res Lett, 37(5). doi:10.1029/2009GL041127.</w:t>
      </w:r>
    </w:p>
    <w:p w14:paraId="70BED692"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Menzies, M., Gallagher, K., Yelland, A., and Hurford, A. J. (1997). Volcanic and nonvolcanic rifted margins of the Red Sea and Gulf of Aden: crustal cooling and margin evolution in Yemen. Geochimica et Cosmochimica Acta, 61(12), 2511-2527. doi:10.1016/S0016-7037(97)00108-7.</w:t>
      </w:r>
    </w:p>
    <w:p w14:paraId="643A8F94"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Morgan, W. J. (1971). Convection plumes in the lower mantle. Nature, 230(5288), 42-43. </w:t>
      </w:r>
    </w:p>
    <w:p w14:paraId="35A31A6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Mulibo, G. D., and Nyblade, A. A. (2013). The P and S wave velocity structure of the mantle beneath eastern Africa and the African superplume anomaly. Geochemistry, Geophysics, Geosystems, 14(8), 2696-2715. doi:10.1002/ggge.20150.</w:t>
      </w:r>
    </w:p>
    <w:p w14:paraId="4D37A725"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Nolet, G. (2008). A breviary of seismic tomography : imaging the interior of the earth and sun. Cambridge, UK ; New York: Cambridge University Press.</w:t>
      </w:r>
    </w:p>
    <w:p w14:paraId="6B14213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Osagie, A., Nawawi, M., Khalil, A. E., and Abdullah, K. (2017). Regional travel-time residual studies and station correction from 1-D velocity models for some stations around Peninsular Malaysia and Singapore. NRIAG Journal of Astronomy Geophysics, 6(1), 19-29. doi:10.1016/j.nrjag.2016.11.002.</w:t>
      </w:r>
    </w:p>
    <w:p w14:paraId="7E4B0E99"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Osagie, A. U., and Kim, W. (2013). Relocation of Earthquakes that Occurred Beneath Parkfield Region of California using VELHYPO. IOSR Journal of Applied Geology and Geophysics, 1(3), 66-81. </w:t>
      </w:r>
    </w:p>
    <w:p w14:paraId="207BF8B2" w14:textId="67080F4B"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Osagie, A. U., and Okwokwo, I. O. (2022). </w:t>
      </w:r>
      <w:r w:rsidR="009F79AC">
        <w:rPr>
          <w:rFonts w:cs="Times New Roman"/>
          <w:noProof/>
          <w:szCs w:val="24"/>
        </w:rPr>
        <w:t>Travel-time</w:t>
      </w:r>
      <w:r w:rsidRPr="008045F4">
        <w:rPr>
          <w:rFonts w:cs="Times New Roman"/>
          <w:noProof/>
          <w:szCs w:val="24"/>
        </w:rPr>
        <w:t xml:space="preserve"> Residual Estimation for some Seismic Stations within Southeast Asia using a New Ray Tracing Algorithm. IOSR Journal of Applied Geology and Geophysics (IOSR-JAGG), 10(1), 12-20. doi:10.9790/0990-1001011220.</w:t>
      </w:r>
    </w:p>
    <w:p w14:paraId="4F009AE8"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Paige, C. C., and Saunders, M. A. (1982). LSQR: An algorithm for sparse linear equations and sparse least squares. ACM Transactions on Mathematical Software, 8(1), 43-71. </w:t>
      </w:r>
    </w:p>
    <w:p w14:paraId="6C616268"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Perry, H., Jaupart, C., Mareschal, J. C., and Shapiro, N. (2006). Upper mantle velocity‐temperature conversion and composition determined from seismic refraction and heat flow. Journal of Geophysical Research: Solid Earth, 111(B7). doi:10.1029/2005JB003921.</w:t>
      </w:r>
    </w:p>
    <w:p w14:paraId="6F091262"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Prodehl, C., Fuchs, K., and Mechie, J. (1997). Seismic-refraction studies of the Afro-Arabian rift system—a brief review. Tectonophysics, 278(1-4), 1-13. doi:10.1016/S0040‐1951(97)00091‐7.</w:t>
      </w:r>
    </w:p>
    <w:p w14:paraId="4A133B4D"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Rawlinson, N., Pozgay, S., and Fishwick, S. (2010). Seismic tomography: a window into deep Earth. Physics ofthe Earth and Planetary Interiors, 178, 101–135. doi:10.1016/j.pepi.2009.10.002.</w:t>
      </w:r>
    </w:p>
    <w:p w14:paraId="5ED6E2FF"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lastRenderedPageBreak/>
        <w:t>Rooney, T. O., Herzberg, C., and Bastow, I. D. (2012). Elevated mantle temperature beneath East Africa. Geology, 40(1), 27-30. doi:10.1130/G32382.1.</w:t>
      </w:r>
    </w:p>
    <w:p w14:paraId="74CF2B4C"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Rooney, T. O., Mohr, P., Dosso, L., and Hall, C. (2013). Geochemical evidence of mantle reservoir evolution during progressive rifting along the western Afar margin. Geochimica et Cosmochimica Acta, 102, 65-88. doi:10.1016/j.gca.2012.08.019.</w:t>
      </w:r>
    </w:p>
    <w:p w14:paraId="4ABCFA92"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 xml:space="preserve">Schilling, J. (1973). Afar mantle plume: rare earth evidence. Nature Physical Science, 242(114), 2-5. </w:t>
      </w:r>
    </w:p>
    <w:p w14:paraId="4EE58589"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Sebai, A., Stutzmann, E., Montagner, J.-P., Sicilia, D., and Beucler, E. (2006). Anisotropic structure of the African upper mantle from Rayleigh and Love wave tomography. Physics of the Earth Planetary Interiors, 155(1-2), 48-62. doi:10.1016/j.pepi.2005.09.009.</w:t>
      </w:r>
    </w:p>
    <w:p w14:paraId="5640B215"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Stork, A. L., Stuart, G. W., Henderson, C. M., Keir, D., and Hammond, J. O. S. (2013). Uppermost mantle (Pn) velocity model for the Afar region, Ethiopia: an insight into rifting processes. Geophysical Journal International, 193(1), 321-328. doi:https://doi.org/10.1093/gji/ggs106.</w:t>
      </w:r>
    </w:p>
    <w:p w14:paraId="0AFCBD41"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Stuart, G., Bastow, I., and Ebinger, C. (2006). Crustal structure of the northern Main Ethiopian Rift from receiver function studies. Geological Society, London, Special Publications, 259(1), 253-267. doi:10.1144/GSL.SP.2006.259.01.20.</w:t>
      </w:r>
    </w:p>
    <w:p w14:paraId="1CF51020"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 xml:space="preserve">Thurber, C. H. (1983). Earthquake locations and three‐dimensional crustal structure in the Coyote Lake area, central California. Journal of Geophysical Research, 88(B10), 8226-8236. </w:t>
      </w:r>
    </w:p>
    <w:p w14:paraId="0078673B"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Wang, T., Gao, S. S., Yang, Q., and Liu, K. H. (2021). Crustal structure beneath the Ethiopian Plateau and adjacent areas from receiver functions: Implications for partial melting and magmatic underplating. Tectonophysics, 809, 228857. doi:10.1016/j.tecto.2021.228857.</w:t>
      </w:r>
    </w:p>
    <w:p w14:paraId="5939EB9B" w14:textId="77777777" w:rsidR="001E0CC3" w:rsidRPr="001E0CC3" w:rsidRDefault="001E0CC3" w:rsidP="001E0CC3">
      <w:pPr>
        <w:pStyle w:val="EndNoteBibliography"/>
        <w:ind w:left="720" w:hanging="720"/>
        <w:rPr>
          <w:color w:val="000000" w:themeColor="text1"/>
          <w:szCs w:val="24"/>
        </w:rPr>
      </w:pPr>
      <w:r w:rsidRPr="001E0CC3">
        <w:rPr>
          <w:color w:val="000000" w:themeColor="text1"/>
          <w:szCs w:val="24"/>
        </w:rPr>
        <w:t xml:space="preserve">Wessel, P., Luis, J. F., Uieda, L., Scharroo, R., Wobbe, F., Smith, W. H. F., and Tian, D. (2019). The generic mapping tools version 6. Geochemistry, Geophysics, Geosystems. </w:t>
      </w:r>
    </w:p>
    <w:p w14:paraId="261D007A"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Yuan, Q., and Li, M. (2020). Origin of the vast height difference between the African and Pacific LLSVPs. doi:10.21203/rs.3.rs-59076/v1.</w:t>
      </w:r>
    </w:p>
    <w:p w14:paraId="41A80B15"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Yuan, Q., and Li, M. (2022). Instability of the African large low-shear-wave-velocity province due to its low intrinsic density. Nature Geoscience, 1-6. doi:10.1038/s41561-022-00908-3.</w:t>
      </w:r>
    </w:p>
    <w:p w14:paraId="66BE03E6"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Zhao, D. (2004). Global tomographic images of mantle plumes and subducting slabs: insight into deep Earth dynamics. Physics of the Earth Planetary Interiors, 146(1-2), 3-34. doi:10.1016/j.pepi.2003.07.032.</w:t>
      </w:r>
    </w:p>
    <w:p w14:paraId="22A879DB"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Zhao, D., Hasegawa, A., and Horiuchi, S. (1992). Tomographic imaging of P and S wave velocity structure beneath northeastern Japan. Journal of Geophysical Research, 97(B13), 19909-19928. doi:10.1029/92JB00603.</w:t>
      </w:r>
    </w:p>
    <w:p w14:paraId="34577E3B"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Zhao, D., Hasegawa, A., and Kanamori, H. (1994). Deep structure of Japan subduction zone as derived from local, regional, and teleseismic events. Journal of Geophysical Research, 99(B11), 22313-22329. doi:10.1029/94JB01149.</w:t>
      </w:r>
    </w:p>
    <w:p w14:paraId="1B9275B4"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Zhao, D., Horiuchi, S., and Hasegawa, A. (1990). 3-D seismic velocity structure of the crust and the uppermost mantle in the northeastern Japan arc. Tectonophysics, 181(1-4), 135-149. doi:10.1016/0040-1951(90)90013-X.</w:t>
      </w:r>
    </w:p>
    <w:p w14:paraId="3ADEAA44" w14:textId="45E1EA0F" w:rsidR="00403F03" w:rsidRDefault="00403F03" w:rsidP="008045F4">
      <w:pPr>
        <w:spacing w:before="0" w:line="240" w:lineRule="auto"/>
        <w:ind w:left="709" w:hanging="709"/>
        <w:rPr>
          <w:rFonts w:cs="Times New Roman"/>
          <w:noProof/>
          <w:szCs w:val="24"/>
        </w:rPr>
      </w:pPr>
      <w:r w:rsidRPr="001E0CC3">
        <w:rPr>
          <w:rFonts w:cs="Times New Roman"/>
          <w:noProof/>
          <w:szCs w:val="24"/>
        </w:rPr>
        <w:t>Zwaan, F., Corti, G., Keir, D., and Sani, F. (2020). A review of tectonic models for the rifted margin of Afar: implications for continental break-up and passive margin formation. Journal of African Earth Sciences, 164, 103649. doi:10.1016/j.jafrearsci.2019.103649.</w:t>
      </w:r>
    </w:p>
    <w:sectPr w:rsidR="00403F03" w:rsidSect="00890AC3">
      <w:headerReference w:type="even" r:id="rId26"/>
      <w:headerReference w:type="default" r:id="rId27"/>
      <w:footerReference w:type="even" r:id="rId28"/>
      <w:footerReference w:type="default" r:id="rId29"/>
      <w:headerReference w:type="first" r:id="rId30"/>
      <w:footerReference w:type="first" r:id="rId31"/>
      <w:pgSz w:w="12240" w:h="15840"/>
      <w:pgMar w:top="1440" w:right="1183"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DDD90E" w14:textId="77777777" w:rsidR="005D2764" w:rsidRDefault="005D2764" w:rsidP="00461A9E">
      <w:pPr>
        <w:spacing w:before="0" w:line="240" w:lineRule="auto"/>
      </w:pPr>
      <w:r>
        <w:separator/>
      </w:r>
    </w:p>
  </w:endnote>
  <w:endnote w:type="continuationSeparator" w:id="0">
    <w:p w14:paraId="7D09B02C" w14:textId="77777777" w:rsidR="005D2764" w:rsidRDefault="005D2764" w:rsidP="00461A9E">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dvTT182ff89e">
    <w:altName w:val="Cambria"/>
    <w:panose1 w:val="00000000000000000000"/>
    <w:charset w:val="00"/>
    <w:family w:val="roman"/>
    <w:notTrueType/>
    <w:pitch w:val="default"/>
  </w:font>
  <w:font w:name="AdvTT182ff89e+20">
    <w:altName w:val="Cambria"/>
    <w:panose1 w:val="00000000000000000000"/>
    <w:charset w:val="00"/>
    <w:family w:val="roman"/>
    <w:notTrueType/>
    <w:pitch w:val="default"/>
  </w:font>
  <w:font w:name="Times-Italic">
    <w:altName w:val="Times New Roman"/>
    <w:panose1 w:val="00000000000000000000"/>
    <w:charset w:val="00"/>
    <w:family w:val="roman"/>
    <w:notTrueType/>
    <w:pitch w:val="default"/>
  </w:font>
  <w:font w:name="MTSY">
    <w:panose1 w:val="00000000000000000000"/>
    <w:charset w:val="81"/>
    <w:family w:val="auto"/>
    <w:notTrueType/>
    <w:pitch w:val="default"/>
    <w:sig w:usb0="00000001" w:usb1="09060000" w:usb2="00000010" w:usb3="00000000" w:csb0="00080000" w:csb1="00000000"/>
  </w:font>
  <w:font w:name="Cambria Math">
    <w:panose1 w:val="02040503050406030204"/>
    <w:charset w:val="00"/>
    <w:family w:val="roman"/>
    <w:pitch w:val="variable"/>
    <w:sig w:usb0="E00006FF" w:usb1="420024FF" w:usb2="02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E6F56" w14:textId="77777777" w:rsidR="009474CD" w:rsidRDefault="009474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062099"/>
      <w:docPartObj>
        <w:docPartGallery w:val="Page Numbers (Bottom of Page)"/>
        <w:docPartUnique/>
      </w:docPartObj>
    </w:sdtPr>
    <w:sdtEndPr>
      <w:rPr>
        <w:noProof/>
      </w:rPr>
    </w:sdtEndPr>
    <w:sdtContent>
      <w:p w14:paraId="1049F420" w14:textId="7F7D0967" w:rsidR="00B05CA6" w:rsidRDefault="00B05CA6">
        <w:pPr>
          <w:pStyle w:val="Footer"/>
          <w:jc w:val="center"/>
        </w:pPr>
        <w:r>
          <w:fldChar w:fldCharType="begin"/>
        </w:r>
        <w:r>
          <w:instrText xml:space="preserve"> PAGE   \* MERGEFORMAT </w:instrText>
        </w:r>
        <w:r>
          <w:fldChar w:fldCharType="separate"/>
        </w:r>
        <w:r w:rsidR="00296945">
          <w:rPr>
            <w:noProof/>
          </w:rPr>
          <w:t>14</w:t>
        </w:r>
        <w:r>
          <w:rPr>
            <w:noProof/>
          </w:rPr>
          <w:fldChar w:fldCharType="end"/>
        </w:r>
      </w:p>
    </w:sdtContent>
  </w:sdt>
  <w:p w14:paraId="7610D95D" w14:textId="77777777" w:rsidR="00B05CA6" w:rsidRDefault="00B05C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56CA7" w14:textId="77777777" w:rsidR="009474CD" w:rsidRDefault="009474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D1FEE3" w14:textId="77777777" w:rsidR="005D2764" w:rsidRDefault="005D2764" w:rsidP="00461A9E">
      <w:pPr>
        <w:spacing w:before="0" w:line="240" w:lineRule="auto"/>
      </w:pPr>
      <w:r>
        <w:separator/>
      </w:r>
    </w:p>
  </w:footnote>
  <w:footnote w:type="continuationSeparator" w:id="0">
    <w:p w14:paraId="4BCCC6BF" w14:textId="77777777" w:rsidR="005D2764" w:rsidRDefault="005D2764" w:rsidP="00461A9E">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B0470" w14:textId="488A0068" w:rsidR="009474CD" w:rsidRDefault="00000000">
    <w:pPr>
      <w:pStyle w:val="Header"/>
    </w:pPr>
    <w:r>
      <w:rPr>
        <w:noProof/>
      </w:rPr>
      <w:pict w14:anchorId="60C033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6253188" o:spid="_x0000_s1026" type="#_x0000_t136" style="position:absolute;left:0;text-align:left;margin-left:0;margin-top:0;width:610.05pt;height:67.75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FAC56" w14:textId="5834D486" w:rsidR="009474CD" w:rsidRDefault="00000000">
    <w:pPr>
      <w:pStyle w:val="Header"/>
    </w:pPr>
    <w:r>
      <w:rPr>
        <w:noProof/>
      </w:rPr>
      <w:pict w14:anchorId="670C26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6253189" o:spid="_x0000_s1027" type="#_x0000_t136" style="position:absolute;left:0;text-align:left;margin-left:0;margin-top:0;width:610.05pt;height:67.75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F0A9A" w14:textId="16796DC6" w:rsidR="009474CD" w:rsidRDefault="00000000">
    <w:pPr>
      <w:pStyle w:val="Header"/>
    </w:pPr>
    <w:r>
      <w:rPr>
        <w:noProof/>
      </w:rPr>
      <w:pict w14:anchorId="2E65E7C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6253187" o:spid="_x0000_s1025" type="#_x0000_t136" style="position:absolute;left:0;text-align:left;margin-left:0;margin-top:0;width:610.05pt;height:67.75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5C4FC7"/>
    <w:multiLevelType w:val="multilevel"/>
    <w:tmpl w:val="78F602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54646C1"/>
    <w:multiLevelType w:val="multilevel"/>
    <w:tmpl w:val="26E8E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352953"/>
    <w:multiLevelType w:val="hybridMultilevel"/>
    <w:tmpl w:val="8D5A5E3C"/>
    <w:lvl w:ilvl="0" w:tplc="51F45EA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D7323F"/>
    <w:multiLevelType w:val="multilevel"/>
    <w:tmpl w:val="C9E854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D4850FA"/>
    <w:multiLevelType w:val="multilevel"/>
    <w:tmpl w:val="7F1CE12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DC60D40"/>
    <w:multiLevelType w:val="multilevel"/>
    <w:tmpl w:val="E96A3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AA54E44"/>
    <w:multiLevelType w:val="multilevel"/>
    <w:tmpl w:val="7AE63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D9108EF"/>
    <w:multiLevelType w:val="multilevel"/>
    <w:tmpl w:val="DE668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DA41F74"/>
    <w:multiLevelType w:val="multilevel"/>
    <w:tmpl w:val="B6FEB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FA0463C"/>
    <w:multiLevelType w:val="multilevel"/>
    <w:tmpl w:val="7598D9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EF8674D"/>
    <w:multiLevelType w:val="multilevel"/>
    <w:tmpl w:val="80A832D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7831054">
    <w:abstractNumId w:val="2"/>
  </w:num>
  <w:num w:numId="2" w16cid:durableId="229581195">
    <w:abstractNumId w:val="4"/>
  </w:num>
  <w:num w:numId="3" w16cid:durableId="269750203">
    <w:abstractNumId w:val="5"/>
  </w:num>
  <w:num w:numId="4" w16cid:durableId="1363087736">
    <w:abstractNumId w:val="10"/>
  </w:num>
  <w:num w:numId="5" w16cid:durableId="1778406653">
    <w:abstractNumId w:val="7"/>
  </w:num>
  <w:num w:numId="6" w16cid:durableId="796487022">
    <w:abstractNumId w:val="0"/>
  </w:num>
  <w:num w:numId="7" w16cid:durableId="420179321">
    <w:abstractNumId w:val="1"/>
  </w:num>
  <w:num w:numId="8" w16cid:durableId="1500736673">
    <w:abstractNumId w:val="3"/>
  </w:num>
  <w:num w:numId="9" w16cid:durableId="1441142574">
    <w:abstractNumId w:val="6"/>
  </w:num>
  <w:num w:numId="10" w16cid:durableId="1916666194">
    <w:abstractNumId w:val="9"/>
  </w:num>
  <w:num w:numId="11" w16cid:durableId="81711688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MxsjC0sLQ0tzCwtDBS0lEKTi0uzszPAykwMa4FAKOqNpQtAAAA"/>
    <w:docVar w:name="EN.InstantFormat" w:val="&lt;ENInstantFormat&gt;&lt;Enabled&gt;0&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wxdpzd9vd5r7e9t5b595djrfpttrxw9avp&quot;&gt;Ability_Lib-Converted&lt;record-ids&gt;&lt;item&gt;2506&lt;/item&gt;&lt;item&gt;2677&lt;/item&gt;&lt;item&gt;2696&lt;/item&gt;&lt;item&gt;2698&lt;/item&gt;&lt;item&gt;2699&lt;/item&gt;&lt;item&gt;2750&lt;/item&gt;&lt;item&gt;2901&lt;/item&gt;&lt;item&gt;3113&lt;/item&gt;&lt;item&gt;3141&lt;/item&gt;&lt;item&gt;3143&lt;/item&gt;&lt;item&gt;3146&lt;/item&gt;&lt;item&gt;3806&lt;/item&gt;&lt;item&gt;3807&lt;/item&gt;&lt;item&gt;4178&lt;/item&gt;&lt;item&gt;4662&lt;/item&gt;&lt;item&gt;4663&lt;/item&gt;&lt;item&gt;4674&lt;/item&gt;&lt;item&gt;4701&lt;/item&gt;&lt;item&gt;4703&lt;/item&gt;&lt;item&gt;4706&lt;/item&gt;&lt;item&gt;4707&lt;/item&gt;&lt;item&gt;4820&lt;/item&gt;&lt;item&gt;4923&lt;/item&gt;&lt;item&gt;4924&lt;/item&gt;&lt;item&gt;4925&lt;/item&gt;&lt;item&gt;4932&lt;/item&gt;&lt;item&gt;4934&lt;/item&gt;&lt;item&gt;4935&lt;/item&gt;&lt;item&gt;4936&lt;/item&gt;&lt;item&gt;4941&lt;/item&gt;&lt;item&gt;4942&lt;/item&gt;&lt;item&gt;4944&lt;/item&gt;&lt;item&gt;4945&lt;/item&gt;&lt;item&gt;4947&lt;/item&gt;&lt;item&gt;4948&lt;/item&gt;&lt;item&gt;4949&lt;/item&gt;&lt;item&gt;4952&lt;/item&gt;&lt;item&gt;4954&lt;/item&gt;&lt;item&gt;4956&lt;/item&gt;&lt;item&gt;4957&lt;/item&gt;&lt;item&gt;4958&lt;/item&gt;&lt;item&gt;4959&lt;/item&gt;&lt;item&gt;4960&lt;/item&gt;&lt;item&gt;4962&lt;/item&gt;&lt;item&gt;4963&lt;/item&gt;&lt;item&gt;4964&lt;/item&gt;&lt;item&gt;4968&lt;/item&gt;&lt;item&gt;4972&lt;/item&gt;&lt;item&gt;4975&lt;/item&gt;&lt;item&gt;4978&lt;/item&gt;&lt;item&gt;4980&lt;/item&gt;&lt;item&gt;4981&lt;/item&gt;&lt;item&gt;4982&lt;/item&gt;&lt;item&gt;4984&lt;/item&gt;&lt;item&gt;4986&lt;/item&gt;&lt;item&gt;4988&lt;/item&gt;&lt;item&gt;4989&lt;/item&gt;&lt;item&gt;4997&lt;/item&gt;&lt;item&gt;5001&lt;/item&gt;&lt;item&gt;5016&lt;/item&gt;&lt;item&gt;5017&lt;/item&gt;&lt;item&gt;5018&lt;/item&gt;&lt;item&gt;5022&lt;/item&gt;&lt;item&gt;5023&lt;/item&gt;&lt;item&gt;5024&lt;/item&gt;&lt;item&gt;5031&lt;/item&gt;&lt;item&gt;5038&lt;/item&gt;&lt;item&gt;5071&lt;/item&gt;&lt;item&gt;5072&lt;/item&gt;&lt;item&gt;5074&lt;/item&gt;&lt;item&gt;5085&lt;/item&gt;&lt;item&gt;5086&lt;/item&gt;&lt;item&gt;5087&lt;/item&gt;&lt;item&gt;5089&lt;/item&gt;&lt;item&gt;5091&lt;/item&gt;&lt;item&gt;5092&lt;/item&gt;&lt;item&gt;5335&lt;/item&gt;&lt;item&gt;5336&lt;/item&gt;&lt;item&gt;5337&lt;/item&gt;&lt;item&gt;5338&lt;/item&gt;&lt;item&gt;5339&lt;/item&gt;&lt;item&gt;6041&lt;/item&gt;&lt;/record-ids&gt;&lt;/item&gt;&lt;/Libraries&gt;"/>
  </w:docVars>
  <w:rsids>
    <w:rsidRoot w:val="00415289"/>
    <w:rsid w:val="00000229"/>
    <w:rsid w:val="000008B7"/>
    <w:rsid w:val="0000096B"/>
    <w:rsid w:val="00000A2F"/>
    <w:rsid w:val="00001873"/>
    <w:rsid w:val="0000189C"/>
    <w:rsid w:val="00001AAE"/>
    <w:rsid w:val="00001AD6"/>
    <w:rsid w:val="000023F7"/>
    <w:rsid w:val="00002506"/>
    <w:rsid w:val="00002A67"/>
    <w:rsid w:val="00002D41"/>
    <w:rsid w:val="00003805"/>
    <w:rsid w:val="00003A8E"/>
    <w:rsid w:val="00004206"/>
    <w:rsid w:val="000047DA"/>
    <w:rsid w:val="00004ACF"/>
    <w:rsid w:val="00004D92"/>
    <w:rsid w:val="0000507F"/>
    <w:rsid w:val="000055EB"/>
    <w:rsid w:val="0000569F"/>
    <w:rsid w:val="00006271"/>
    <w:rsid w:val="00006416"/>
    <w:rsid w:val="0000650E"/>
    <w:rsid w:val="0000690F"/>
    <w:rsid w:val="00006AEE"/>
    <w:rsid w:val="00006DF4"/>
    <w:rsid w:val="0000705E"/>
    <w:rsid w:val="00007133"/>
    <w:rsid w:val="000072B5"/>
    <w:rsid w:val="0000736F"/>
    <w:rsid w:val="000075CF"/>
    <w:rsid w:val="00007929"/>
    <w:rsid w:val="00007BF5"/>
    <w:rsid w:val="000100F7"/>
    <w:rsid w:val="00010C24"/>
    <w:rsid w:val="00010C7D"/>
    <w:rsid w:val="0001104E"/>
    <w:rsid w:val="00011E1E"/>
    <w:rsid w:val="00011E47"/>
    <w:rsid w:val="000123E9"/>
    <w:rsid w:val="00013253"/>
    <w:rsid w:val="0001327B"/>
    <w:rsid w:val="00013420"/>
    <w:rsid w:val="0001351D"/>
    <w:rsid w:val="00013F63"/>
    <w:rsid w:val="0001405A"/>
    <w:rsid w:val="000143C8"/>
    <w:rsid w:val="00014832"/>
    <w:rsid w:val="000149EB"/>
    <w:rsid w:val="00014F39"/>
    <w:rsid w:val="00015318"/>
    <w:rsid w:val="000153E0"/>
    <w:rsid w:val="00015F98"/>
    <w:rsid w:val="000160C0"/>
    <w:rsid w:val="000160E9"/>
    <w:rsid w:val="00016773"/>
    <w:rsid w:val="00016AD2"/>
    <w:rsid w:val="00017916"/>
    <w:rsid w:val="00017F47"/>
    <w:rsid w:val="00017FC6"/>
    <w:rsid w:val="000205AD"/>
    <w:rsid w:val="00020C0E"/>
    <w:rsid w:val="0002159A"/>
    <w:rsid w:val="00021F61"/>
    <w:rsid w:val="000221D2"/>
    <w:rsid w:val="000228FC"/>
    <w:rsid w:val="000232B2"/>
    <w:rsid w:val="000240D0"/>
    <w:rsid w:val="000243A6"/>
    <w:rsid w:val="00024EE7"/>
    <w:rsid w:val="00025673"/>
    <w:rsid w:val="00025828"/>
    <w:rsid w:val="00025951"/>
    <w:rsid w:val="00025AC0"/>
    <w:rsid w:val="00025F07"/>
    <w:rsid w:val="00026283"/>
    <w:rsid w:val="000263AB"/>
    <w:rsid w:val="00026EAB"/>
    <w:rsid w:val="00026F1D"/>
    <w:rsid w:val="00030024"/>
    <w:rsid w:val="000308F1"/>
    <w:rsid w:val="000312AE"/>
    <w:rsid w:val="0003190E"/>
    <w:rsid w:val="00031E13"/>
    <w:rsid w:val="0003265B"/>
    <w:rsid w:val="00032711"/>
    <w:rsid w:val="00032792"/>
    <w:rsid w:val="00032B25"/>
    <w:rsid w:val="000331A0"/>
    <w:rsid w:val="0003325F"/>
    <w:rsid w:val="00033397"/>
    <w:rsid w:val="000338FE"/>
    <w:rsid w:val="00033A5F"/>
    <w:rsid w:val="00033C00"/>
    <w:rsid w:val="00033DFC"/>
    <w:rsid w:val="00033F83"/>
    <w:rsid w:val="000344B8"/>
    <w:rsid w:val="00034898"/>
    <w:rsid w:val="00034B7A"/>
    <w:rsid w:val="00034CDF"/>
    <w:rsid w:val="00034E38"/>
    <w:rsid w:val="000351E7"/>
    <w:rsid w:val="0003595A"/>
    <w:rsid w:val="000359A1"/>
    <w:rsid w:val="00035A04"/>
    <w:rsid w:val="00035B07"/>
    <w:rsid w:val="00035CF6"/>
    <w:rsid w:val="00035D4A"/>
    <w:rsid w:val="00035DBE"/>
    <w:rsid w:val="000362EA"/>
    <w:rsid w:val="00036346"/>
    <w:rsid w:val="0003646D"/>
    <w:rsid w:val="000365F6"/>
    <w:rsid w:val="000369EB"/>
    <w:rsid w:val="00036D22"/>
    <w:rsid w:val="00036DD1"/>
    <w:rsid w:val="000377A5"/>
    <w:rsid w:val="00037D06"/>
    <w:rsid w:val="00040E15"/>
    <w:rsid w:val="000410CF"/>
    <w:rsid w:val="00041382"/>
    <w:rsid w:val="00041514"/>
    <w:rsid w:val="00041911"/>
    <w:rsid w:val="00042A5C"/>
    <w:rsid w:val="00042FBF"/>
    <w:rsid w:val="00043155"/>
    <w:rsid w:val="00043445"/>
    <w:rsid w:val="00043498"/>
    <w:rsid w:val="000436ED"/>
    <w:rsid w:val="000439E8"/>
    <w:rsid w:val="000452A6"/>
    <w:rsid w:val="00045DFA"/>
    <w:rsid w:val="000461DF"/>
    <w:rsid w:val="00046470"/>
    <w:rsid w:val="0004662C"/>
    <w:rsid w:val="00046F54"/>
    <w:rsid w:val="0004720C"/>
    <w:rsid w:val="00047278"/>
    <w:rsid w:val="00047CC5"/>
    <w:rsid w:val="000502C5"/>
    <w:rsid w:val="00051982"/>
    <w:rsid w:val="00052010"/>
    <w:rsid w:val="00053625"/>
    <w:rsid w:val="00053B3A"/>
    <w:rsid w:val="0005403B"/>
    <w:rsid w:val="00054671"/>
    <w:rsid w:val="000548AB"/>
    <w:rsid w:val="0005510D"/>
    <w:rsid w:val="000553FA"/>
    <w:rsid w:val="000558E8"/>
    <w:rsid w:val="0005598A"/>
    <w:rsid w:val="0006060D"/>
    <w:rsid w:val="0006094C"/>
    <w:rsid w:val="00060CFD"/>
    <w:rsid w:val="00060F6D"/>
    <w:rsid w:val="0006173C"/>
    <w:rsid w:val="00061F61"/>
    <w:rsid w:val="00062037"/>
    <w:rsid w:val="00062225"/>
    <w:rsid w:val="0006240E"/>
    <w:rsid w:val="000626C0"/>
    <w:rsid w:val="000627E8"/>
    <w:rsid w:val="00062A5A"/>
    <w:rsid w:val="00062ACA"/>
    <w:rsid w:val="00062F8D"/>
    <w:rsid w:val="000634D6"/>
    <w:rsid w:val="00063815"/>
    <w:rsid w:val="000646BF"/>
    <w:rsid w:val="000659E7"/>
    <w:rsid w:val="00065F95"/>
    <w:rsid w:val="000663A1"/>
    <w:rsid w:val="00066681"/>
    <w:rsid w:val="00066C26"/>
    <w:rsid w:val="00067022"/>
    <w:rsid w:val="0006738D"/>
    <w:rsid w:val="00070744"/>
    <w:rsid w:val="00071907"/>
    <w:rsid w:val="000720ED"/>
    <w:rsid w:val="000722CA"/>
    <w:rsid w:val="00072764"/>
    <w:rsid w:val="00072790"/>
    <w:rsid w:val="00072975"/>
    <w:rsid w:val="00072FD3"/>
    <w:rsid w:val="000738B6"/>
    <w:rsid w:val="00073B71"/>
    <w:rsid w:val="00074321"/>
    <w:rsid w:val="00074449"/>
    <w:rsid w:val="00074802"/>
    <w:rsid w:val="00074E82"/>
    <w:rsid w:val="00074F86"/>
    <w:rsid w:val="00075337"/>
    <w:rsid w:val="0007546D"/>
    <w:rsid w:val="00075530"/>
    <w:rsid w:val="00075897"/>
    <w:rsid w:val="00077316"/>
    <w:rsid w:val="00077E43"/>
    <w:rsid w:val="000805A3"/>
    <w:rsid w:val="000811E8"/>
    <w:rsid w:val="00081939"/>
    <w:rsid w:val="00081A57"/>
    <w:rsid w:val="0008237F"/>
    <w:rsid w:val="0008323A"/>
    <w:rsid w:val="0008438F"/>
    <w:rsid w:val="000845D7"/>
    <w:rsid w:val="00084CEB"/>
    <w:rsid w:val="00084FD8"/>
    <w:rsid w:val="00085456"/>
    <w:rsid w:val="000855E8"/>
    <w:rsid w:val="00085917"/>
    <w:rsid w:val="00085EF2"/>
    <w:rsid w:val="00086116"/>
    <w:rsid w:val="00086316"/>
    <w:rsid w:val="00086451"/>
    <w:rsid w:val="00086737"/>
    <w:rsid w:val="000876AF"/>
    <w:rsid w:val="00087A6A"/>
    <w:rsid w:val="00087C8F"/>
    <w:rsid w:val="000903F1"/>
    <w:rsid w:val="0009091F"/>
    <w:rsid w:val="00090CAA"/>
    <w:rsid w:val="00090E14"/>
    <w:rsid w:val="00091638"/>
    <w:rsid w:val="00091683"/>
    <w:rsid w:val="00091818"/>
    <w:rsid w:val="000923CB"/>
    <w:rsid w:val="000924F7"/>
    <w:rsid w:val="00092E94"/>
    <w:rsid w:val="0009332C"/>
    <w:rsid w:val="00093A17"/>
    <w:rsid w:val="0009462B"/>
    <w:rsid w:val="0009491B"/>
    <w:rsid w:val="00094D9D"/>
    <w:rsid w:val="0009514B"/>
    <w:rsid w:val="0009598C"/>
    <w:rsid w:val="00095C05"/>
    <w:rsid w:val="00096244"/>
    <w:rsid w:val="000963B3"/>
    <w:rsid w:val="00096687"/>
    <w:rsid w:val="0009694B"/>
    <w:rsid w:val="00097313"/>
    <w:rsid w:val="00097778"/>
    <w:rsid w:val="00097902"/>
    <w:rsid w:val="00097B60"/>
    <w:rsid w:val="000A009B"/>
    <w:rsid w:val="000A0794"/>
    <w:rsid w:val="000A0A97"/>
    <w:rsid w:val="000A0DC1"/>
    <w:rsid w:val="000A0DD6"/>
    <w:rsid w:val="000A0F5E"/>
    <w:rsid w:val="000A12AF"/>
    <w:rsid w:val="000A1A9A"/>
    <w:rsid w:val="000A1AF3"/>
    <w:rsid w:val="000A2547"/>
    <w:rsid w:val="000A2B34"/>
    <w:rsid w:val="000A2C79"/>
    <w:rsid w:val="000A2D29"/>
    <w:rsid w:val="000A2DC7"/>
    <w:rsid w:val="000A3177"/>
    <w:rsid w:val="000A319C"/>
    <w:rsid w:val="000A3751"/>
    <w:rsid w:val="000A4007"/>
    <w:rsid w:val="000A4428"/>
    <w:rsid w:val="000A487B"/>
    <w:rsid w:val="000A5F57"/>
    <w:rsid w:val="000A6B70"/>
    <w:rsid w:val="000A6C6D"/>
    <w:rsid w:val="000A6E81"/>
    <w:rsid w:val="000A7503"/>
    <w:rsid w:val="000A7DC9"/>
    <w:rsid w:val="000B041E"/>
    <w:rsid w:val="000B049E"/>
    <w:rsid w:val="000B0639"/>
    <w:rsid w:val="000B07A9"/>
    <w:rsid w:val="000B07D4"/>
    <w:rsid w:val="000B0CA6"/>
    <w:rsid w:val="000B1439"/>
    <w:rsid w:val="000B1726"/>
    <w:rsid w:val="000B20E3"/>
    <w:rsid w:val="000B21D8"/>
    <w:rsid w:val="000B266B"/>
    <w:rsid w:val="000B3B8C"/>
    <w:rsid w:val="000B3BDA"/>
    <w:rsid w:val="000B3EC0"/>
    <w:rsid w:val="000B4382"/>
    <w:rsid w:val="000B5333"/>
    <w:rsid w:val="000B5367"/>
    <w:rsid w:val="000B55B1"/>
    <w:rsid w:val="000B577C"/>
    <w:rsid w:val="000B5F65"/>
    <w:rsid w:val="000B62F5"/>
    <w:rsid w:val="000B6952"/>
    <w:rsid w:val="000B69C7"/>
    <w:rsid w:val="000B6BBE"/>
    <w:rsid w:val="000B6BC1"/>
    <w:rsid w:val="000B79CE"/>
    <w:rsid w:val="000B7E29"/>
    <w:rsid w:val="000C1159"/>
    <w:rsid w:val="000C1332"/>
    <w:rsid w:val="000C1A7B"/>
    <w:rsid w:val="000C204B"/>
    <w:rsid w:val="000C22B6"/>
    <w:rsid w:val="000C2CF9"/>
    <w:rsid w:val="000C3303"/>
    <w:rsid w:val="000C348F"/>
    <w:rsid w:val="000C35B9"/>
    <w:rsid w:val="000C36C0"/>
    <w:rsid w:val="000C38B4"/>
    <w:rsid w:val="000C4008"/>
    <w:rsid w:val="000C457D"/>
    <w:rsid w:val="000C4E60"/>
    <w:rsid w:val="000C569D"/>
    <w:rsid w:val="000C585D"/>
    <w:rsid w:val="000C5A1F"/>
    <w:rsid w:val="000C5D71"/>
    <w:rsid w:val="000C5F9B"/>
    <w:rsid w:val="000C6061"/>
    <w:rsid w:val="000C6387"/>
    <w:rsid w:val="000C681F"/>
    <w:rsid w:val="000C692D"/>
    <w:rsid w:val="000C71C6"/>
    <w:rsid w:val="000C71D1"/>
    <w:rsid w:val="000C7814"/>
    <w:rsid w:val="000C7F41"/>
    <w:rsid w:val="000D01D7"/>
    <w:rsid w:val="000D06B9"/>
    <w:rsid w:val="000D1067"/>
    <w:rsid w:val="000D1634"/>
    <w:rsid w:val="000D1C03"/>
    <w:rsid w:val="000D1C3E"/>
    <w:rsid w:val="000D1EA9"/>
    <w:rsid w:val="000D1ED6"/>
    <w:rsid w:val="000D2324"/>
    <w:rsid w:val="000D2368"/>
    <w:rsid w:val="000D2827"/>
    <w:rsid w:val="000D2CC5"/>
    <w:rsid w:val="000D326D"/>
    <w:rsid w:val="000D3F62"/>
    <w:rsid w:val="000D414E"/>
    <w:rsid w:val="000D4180"/>
    <w:rsid w:val="000D42A9"/>
    <w:rsid w:val="000D4A8D"/>
    <w:rsid w:val="000D4AD6"/>
    <w:rsid w:val="000D4B2F"/>
    <w:rsid w:val="000D51B7"/>
    <w:rsid w:val="000D61A3"/>
    <w:rsid w:val="000D643B"/>
    <w:rsid w:val="000D7014"/>
    <w:rsid w:val="000D7468"/>
    <w:rsid w:val="000D7961"/>
    <w:rsid w:val="000D7B03"/>
    <w:rsid w:val="000D7D3E"/>
    <w:rsid w:val="000D7F47"/>
    <w:rsid w:val="000E07C2"/>
    <w:rsid w:val="000E162B"/>
    <w:rsid w:val="000E16A3"/>
    <w:rsid w:val="000E1738"/>
    <w:rsid w:val="000E1A36"/>
    <w:rsid w:val="000E1DA3"/>
    <w:rsid w:val="000E2D59"/>
    <w:rsid w:val="000E2DAF"/>
    <w:rsid w:val="000E3422"/>
    <w:rsid w:val="000E3D49"/>
    <w:rsid w:val="000E45DB"/>
    <w:rsid w:val="000E47F9"/>
    <w:rsid w:val="000E5371"/>
    <w:rsid w:val="000E5EF3"/>
    <w:rsid w:val="000E6C05"/>
    <w:rsid w:val="000E74EA"/>
    <w:rsid w:val="000E76B7"/>
    <w:rsid w:val="000E7F57"/>
    <w:rsid w:val="000F0375"/>
    <w:rsid w:val="000F095E"/>
    <w:rsid w:val="000F0F78"/>
    <w:rsid w:val="000F11D0"/>
    <w:rsid w:val="000F1722"/>
    <w:rsid w:val="000F2057"/>
    <w:rsid w:val="000F2B8F"/>
    <w:rsid w:val="000F2B9A"/>
    <w:rsid w:val="000F2E46"/>
    <w:rsid w:val="000F336B"/>
    <w:rsid w:val="000F346F"/>
    <w:rsid w:val="000F34C7"/>
    <w:rsid w:val="000F35C9"/>
    <w:rsid w:val="000F372F"/>
    <w:rsid w:val="000F3A0F"/>
    <w:rsid w:val="000F3DEF"/>
    <w:rsid w:val="000F40AD"/>
    <w:rsid w:val="000F5934"/>
    <w:rsid w:val="000F59CE"/>
    <w:rsid w:val="000F5CA1"/>
    <w:rsid w:val="000F5F94"/>
    <w:rsid w:val="000F689D"/>
    <w:rsid w:val="000F69FB"/>
    <w:rsid w:val="000F6E26"/>
    <w:rsid w:val="000F7424"/>
    <w:rsid w:val="000F74E2"/>
    <w:rsid w:val="000F75AD"/>
    <w:rsid w:val="00100036"/>
    <w:rsid w:val="00100215"/>
    <w:rsid w:val="00100643"/>
    <w:rsid w:val="0010091A"/>
    <w:rsid w:val="00100F5D"/>
    <w:rsid w:val="00101177"/>
    <w:rsid w:val="0010164B"/>
    <w:rsid w:val="00101707"/>
    <w:rsid w:val="0010198F"/>
    <w:rsid w:val="00102024"/>
    <w:rsid w:val="0010256D"/>
    <w:rsid w:val="00102FBA"/>
    <w:rsid w:val="0010306C"/>
    <w:rsid w:val="00103702"/>
    <w:rsid w:val="0010381F"/>
    <w:rsid w:val="00103BFC"/>
    <w:rsid w:val="001042AB"/>
    <w:rsid w:val="00104499"/>
    <w:rsid w:val="00104B69"/>
    <w:rsid w:val="001059B3"/>
    <w:rsid w:val="00105D9F"/>
    <w:rsid w:val="0010617F"/>
    <w:rsid w:val="001064C7"/>
    <w:rsid w:val="001068F8"/>
    <w:rsid w:val="00106BF7"/>
    <w:rsid w:val="00107B96"/>
    <w:rsid w:val="00107CA7"/>
    <w:rsid w:val="00107EB7"/>
    <w:rsid w:val="001102C2"/>
    <w:rsid w:val="001107C4"/>
    <w:rsid w:val="00110907"/>
    <w:rsid w:val="00110D0D"/>
    <w:rsid w:val="00112635"/>
    <w:rsid w:val="00112B9F"/>
    <w:rsid w:val="00112C2D"/>
    <w:rsid w:val="00112F4E"/>
    <w:rsid w:val="00113444"/>
    <w:rsid w:val="00113A80"/>
    <w:rsid w:val="00113C26"/>
    <w:rsid w:val="00114370"/>
    <w:rsid w:val="001143EE"/>
    <w:rsid w:val="00114479"/>
    <w:rsid w:val="001153F2"/>
    <w:rsid w:val="001154BB"/>
    <w:rsid w:val="0011559D"/>
    <w:rsid w:val="00115981"/>
    <w:rsid w:val="00115ACD"/>
    <w:rsid w:val="00115E41"/>
    <w:rsid w:val="00116AFE"/>
    <w:rsid w:val="001173A4"/>
    <w:rsid w:val="00117451"/>
    <w:rsid w:val="0011747A"/>
    <w:rsid w:val="0011751D"/>
    <w:rsid w:val="00117701"/>
    <w:rsid w:val="00117836"/>
    <w:rsid w:val="00117D53"/>
    <w:rsid w:val="00117F3A"/>
    <w:rsid w:val="00120281"/>
    <w:rsid w:val="0012071E"/>
    <w:rsid w:val="00120920"/>
    <w:rsid w:val="001209DA"/>
    <w:rsid w:val="00122DD6"/>
    <w:rsid w:val="00123918"/>
    <w:rsid w:val="00123CE1"/>
    <w:rsid w:val="00123F73"/>
    <w:rsid w:val="00124E9D"/>
    <w:rsid w:val="00124FAF"/>
    <w:rsid w:val="001250B9"/>
    <w:rsid w:val="0012511A"/>
    <w:rsid w:val="00125597"/>
    <w:rsid w:val="00125A32"/>
    <w:rsid w:val="00125DEA"/>
    <w:rsid w:val="00125FC5"/>
    <w:rsid w:val="00126136"/>
    <w:rsid w:val="001262D2"/>
    <w:rsid w:val="00126459"/>
    <w:rsid w:val="0012698E"/>
    <w:rsid w:val="00126B05"/>
    <w:rsid w:val="0012722D"/>
    <w:rsid w:val="001272B2"/>
    <w:rsid w:val="001301DB"/>
    <w:rsid w:val="00130465"/>
    <w:rsid w:val="001304CD"/>
    <w:rsid w:val="00130C59"/>
    <w:rsid w:val="00131169"/>
    <w:rsid w:val="001311EB"/>
    <w:rsid w:val="001324FF"/>
    <w:rsid w:val="00132550"/>
    <w:rsid w:val="00132ACC"/>
    <w:rsid w:val="00132FA8"/>
    <w:rsid w:val="0013309A"/>
    <w:rsid w:val="0013345A"/>
    <w:rsid w:val="0013387A"/>
    <w:rsid w:val="001338D3"/>
    <w:rsid w:val="00133B25"/>
    <w:rsid w:val="00133C93"/>
    <w:rsid w:val="00133DB4"/>
    <w:rsid w:val="00134156"/>
    <w:rsid w:val="0013422E"/>
    <w:rsid w:val="0013433E"/>
    <w:rsid w:val="0013451A"/>
    <w:rsid w:val="00134730"/>
    <w:rsid w:val="00134B8B"/>
    <w:rsid w:val="0013523F"/>
    <w:rsid w:val="0013567F"/>
    <w:rsid w:val="00135C3E"/>
    <w:rsid w:val="00135E1E"/>
    <w:rsid w:val="00135F3D"/>
    <w:rsid w:val="00135FCE"/>
    <w:rsid w:val="001361C6"/>
    <w:rsid w:val="00136856"/>
    <w:rsid w:val="00137578"/>
    <w:rsid w:val="00137606"/>
    <w:rsid w:val="00140384"/>
    <w:rsid w:val="001405FC"/>
    <w:rsid w:val="00140857"/>
    <w:rsid w:val="00141382"/>
    <w:rsid w:val="0014147C"/>
    <w:rsid w:val="00141887"/>
    <w:rsid w:val="00141C24"/>
    <w:rsid w:val="00141D93"/>
    <w:rsid w:val="00141F3B"/>
    <w:rsid w:val="00142058"/>
    <w:rsid w:val="00142196"/>
    <w:rsid w:val="00142554"/>
    <w:rsid w:val="001427E5"/>
    <w:rsid w:val="00142B9C"/>
    <w:rsid w:val="00142E33"/>
    <w:rsid w:val="001439CC"/>
    <w:rsid w:val="00143DAB"/>
    <w:rsid w:val="00143E88"/>
    <w:rsid w:val="001441A7"/>
    <w:rsid w:val="001444E2"/>
    <w:rsid w:val="00144565"/>
    <w:rsid w:val="00144887"/>
    <w:rsid w:val="00144B2C"/>
    <w:rsid w:val="00144DC3"/>
    <w:rsid w:val="001454F1"/>
    <w:rsid w:val="00145644"/>
    <w:rsid w:val="00145ECF"/>
    <w:rsid w:val="00145F32"/>
    <w:rsid w:val="00146129"/>
    <w:rsid w:val="001461AE"/>
    <w:rsid w:val="00146BC6"/>
    <w:rsid w:val="001471ED"/>
    <w:rsid w:val="0014748C"/>
    <w:rsid w:val="001479D3"/>
    <w:rsid w:val="00147D09"/>
    <w:rsid w:val="00147F2D"/>
    <w:rsid w:val="001514D9"/>
    <w:rsid w:val="00151EC9"/>
    <w:rsid w:val="00152553"/>
    <w:rsid w:val="00152B3D"/>
    <w:rsid w:val="00153621"/>
    <w:rsid w:val="00153744"/>
    <w:rsid w:val="001538C6"/>
    <w:rsid w:val="00153BB3"/>
    <w:rsid w:val="00153BDF"/>
    <w:rsid w:val="00154378"/>
    <w:rsid w:val="0015455F"/>
    <w:rsid w:val="001545D3"/>
    <w:rsid w:val="00154FD5"/>
    <w:rsid w:val="001556B8"/>
    <w:rsid w:val="00155B95"/>
    <w:rsid w:val="00155D68"/>
    <w:rsid w:val="00156124"/>
    <w:rsid w:val="00156353"/>
    <w:rsid w:val="00156F98"/>
    <w:rsid w:val="00157034"/>
    <w:rsid w:val="00157131"/>
    <w:rsid w:val="001576F6"/>
    <w:rsid w:val="0016034B"/>
    <w:rsid w:val="0016036D"/>
    <w:rsid w:val="00160420"/>
    <w:rsid w:val="00160992"/>
    <w:rsid w:val="0016148C"/>
    <w:rsid w:val="00161651"/>
    <w:rsid w:val="00161AB7"/>
    <w:rsid w:val="00161EBA"/>
    <w:rsid w:val="0016217C"/>
    <w:rsid w:val="00162212"/>
    <w:rsid w:val="00162224"/>
    <w:rsid w:val="00162647"/>
    <w:rsid w:val="001635FC"/>
    <w:rsid w:val="0016372B"/>
    <w:rsid w:val="0016382F"/>
    <w:rsid w:val="001638C4"/>
    <w:rsid w:val="00163C15"/>
    <w:rsid w:val="00164210"/>
    <w:rsid w:val="00164553"/>
    <w:rsid w:val="00165106"/>
    <w:rsid w:val="0016559E"/>
    <w:rsid w:val="001655FB"/>
    <w:rsid w:val="00165C29"/>
    <w:rsid w:val="001660BB"/>
    <w:rsid w:val="0016652B"/>
    <w:rsid w:val="00166A53"/>
    <w:rsid w:val="00166A90"/>
    <w:rsid w:val="00166B97"/>
    <w:rsid w:val="00167B78"/>
    <w:rsid w:val="00167E06"/>
    <w:rsid w:val="001700F4"/>
    <w:rsid w:val="001702F5"/>
    <w:rsid w:val="0017069D"/>
    <w:rsid w:val="00170F3E"/>
    <w:rsid w:val="00171298"/>
    <w:rsid w:val="001716CC"/>
    <w:rsid w:val="001718A3"/>
    <w:rsid w:val="00171A32"/>
    <w:rsid w:val="00171B30"/>
    <w:rsid w:val="00171D21"/>
    <w:rsid w:val="00172EB8"/>
    <w:rsid w:val="00173A75"/>
    <w:rsid w:val="00173F80"/>
    <w:rsid w:val="00174366"/>
    <w:rsid w:val="001747BA"/>
    <w:rsid w:val="00174D0E"/>
    <w:rsid w:val="00175052"/>
    <w:rsid w:val="0017528B"/>
    <w:rsid w:val="00175C23"/>
    <w:rsid w:val="00175EE6"/>
    <w:rsid w:val="00176630"/>
    <w:rsid w:val="001768EE"/>
    <w:rsid w:val="00177116"/>
    <w:rsid w:val="0017793E"/>
    <w:rsid w:val="00177B92"/>
    <w:rsid w:val="001800A9"/>
    <w:rsid w:val="001802FA"/>
    <w:rsid w:val="00180374"/>
    <w:rsid w:val="00180578"/>
    <w:rsid w:val="0018094B"/>
    <w:rsid w:val="00180B4B"/>
    <w:rsid w:val="00180D0F"/>
    <w:rsid w:val="00180F49"/>
    <w:rsid w:val="00180F79"/>
    <w:rsid w:val="001810FC"/>
    <w:rsid w:val="001812F3"/>
    <w:rsid w:val="0018136C"/>
    <w:rsid w:val="0018146F"/>
    <w:rsid w:val="00181743"/>
    <w:rsid w:val="00181845"/>
    <w:rsid w:val="00182296"/>
    <w:rsid w:val="001824EE"/>
    <w:rsid w:val="00182834"/>
    <w:rsid w:val="00182BF5"/>
    <w:rsid w:val="00182CB0"/>
    <w:rsid w:val="001835ED"/>
    <w:rsid w:val="00183672"/>
    <w:rsid w:val="00183FCB"/>
    <w:rsid w:val="0018482C"/>
    <w:rsid w:val="00184F69"/>
    <w:rsid w:val="00185A1B"/>
    <w:rsid w:val="00186174"/>
    <w:rsid w:val="00187B3E"/>
    <w:rsid w:val="0019028F"/>
    <w:rsid w:val="00190498"/>
    <w:rsid w:val="00190650"/>
    <w:rsid w:val="00190C1D"/>
    <w:rsid w:val="00191137"/>
    <w:rsid w:val="00191563"/>
    <w:rsid w:val="0019162C"/>
    <w:rsid w:val="00192AEB"/>
    <w:rsid w:val="00192CAE"/>
    <w:rsid w:val="00192D60"/>
    <w:rsid w:val="00192FAC"/>
    <w:rsid w:val="00193B21"/>
    <w:rsid w:val="0019423E"/>
    <w:rsid w:val="0019444B"/>
    <w:rsid w:val="001947D7"/>
    <w:rsid w:val="00194830"/>
    <w:rsid w:val="00194A79"/>
    <w:rsid w:val="00194EDF"/>
    <w:rsid w:val="0019517B"/>
    <w:rsid w:val="00195441"/>
    <w:rsid w:val="00195D1B"/>
    <w:rsid w:val="00195D75"/>
    <w:rsid w:val="00195FFC"/>
    <w:rsid w:val="00196820"/>
    <w:rsid w:val="00196B93"/>
    <w:rsid w:val="00196EBF"/>
    <w:rsid w:val="00197156"/>
    <w:rsid w:val="00197291"/>
    <w:rsid w:val="00197B73"/>
    <w:rsid w:val="001A0744"/>
    <w:rsid w:val="001A0755"/>
    <w:rsid w:val="001A0EAA"/>
    <w:rsid w:val="001A1025"/>
    <w:rsid w:val="001A12E4"/>
    <w:rsid w:val="001A216A"/>
    <w:rsid w:val="001A2364"/>
    <w:rsid w:val="001A27DD"/>
    <w:rsid w:val="001A29BF"/>
    <w:rsid w:val="001A2A29"/>
    <w:rsid w:val="001A2C2C"/>
    <w:rsid w:val="001A3917"/>
    <w:rsid w:val="001A3BA9"/>
    <w:rsid w:val="001A3E2D"/>
    <w:rsid w:val="001A4C54"/>
    <w:rsid w:val="001A4F3E"/>
    <w:rsid w:val="001A50A7"/>
    <w:rsid w:val="001A5A55"/>
    <w:rsid w:val="001A6820"/>
    <w:rsid w:val="001A6880"/>
    <w:rsid w:val="001A6C28"/>
    <w:rsid w:val="001A6CCE"/>
    <w:rsid w:val="001A78DF"/>
    <w:rsid w:val="001A7D6C"/>
    <w:rsid w:val="001A7DBE"/>
    <w:rsid w:val="001A7ED5"/>
    <w:rsid w:val="001B005D"/>
    <w:rsid w:val="001B0269"/>
    <w:rsid w:val="001B0616"/>
    <w:rsid w:val="001B086E"/>
    <w:rsid w:val="001B0C2B"/>
    <w:rsid w:val="001B1B29"/>
    <w:rsid w:val="001B1D1A"/>
    <w:rsid w:val="001B1F7A"/>
    <w:rsid w:val="001B2270"/>
    <w:rsid w:val="001B2A7A"/>
    <w:rsid w:val="001B2DF7"/>
    <w:rsid w:val="001B31E9"/>
    <w:rsid w:val="001B32AA"/>
    <w:rsid w:val="001B38E8"/>
    <w:rsid w:val="001B3A9A"/>
    <w:rsid w:val="001B3ABB"/>
    <w:rsid w:val="001B3B16"/>
    <w:rsid w:val="001B42D8"/>
    <w:rsid w:val="001B45A6"/>
    <w:rsid w:val="001B501E"/>
    <w:rsid w:val="001B53F4"/>
    <w:rsid w:val="001B5713"/>
    <w:rsid w:val="001B611E"/>
    <w:rsid w:val="001B6250"/>
    <w:rsid w:val="001B6286"/>
    <w:rsid w:val="001B6471"/>
    <w:rsid w:val="001B66E1"/>
    <w:rsid w:val="001B69F8"/>
    <w:rsid w:val="001B6CC5"/>
    <w:rsid w:val="001B72F1"/>
    <w:rsid w:val="001B798F"/>
    <w:rsid w:val="001C05E5"/>
    <w:rsid w:val="001C062C"/>
    <w:rsid w:val="001C0735"/>
    <w:rsid w:val="001C0C01"/>
    <w:rsid w:val="001C1D14"/>
    <w:rsid w:val="001C1DF3"/>
    <w:rsid w:val="001C1F08"/>
    <w:rsid w:val="001C2090"/>
    <w:rsid w:val="001C2091"/>
    <w:rsid w:val="001C25A7"/>
    <w:rsid w:val="001C281E"/>
    <w:rsid w:val="001C2958"/>
    <w:rsid w:val="001C2AB9"/>
    <w:rsid w:val="001C4416"/>
    <w:rsid w:val="001C4F18"/>
    <w:rsid w:val="001C5C59"/>
    <w:rsid w:val="001C5DD5"/>
    <w:rsid w:val="001C6177"/>
    <w:rsid w:val="001C646A"/>
    <w:rsid w:val="001C6585"/>
    <w:rsid w:val="001C6D10"/>
    <w:rsid w:val="001C6DD0"/>
    <w:rsid w:val="001C6E0C"/>
    <w:rsid w:val="001C6E4A"/>
    <w:rsid w:val="001C7520"/>
    <w:rsid w:val="001C7535"/>
    <w:rsid w:val="001D05B0"/>
    <w:rsid w:val="001D0C7F"/>
    <w:rsid w:val="001D0E5F"/>
    <w:rsid w:val="001D0FFD"/>
    <w:rsid w:val="001D109E"/>
    <w:rsid w:val="001D117D"/>
    <w:rsid w:val="001D1850"/>
    <w:rsid w:val="001D1AEE"/>
    <w:rsid w:val="001D1DE4"/>
    <w:rsid w:val="001D2BE8"/>
    <w:rsid w:val="001D2E6A"/>
    <w:rsid w:val="001D2EFE"/>
    <w:rsid w:val="001D3469"/>
    <w:rsid w:val="001D3C93"/>
    <w:rsid w:val="001D4414"/>
    <w:rsid w:val="001D5050"/>
    <w:rsid w:val="001D5239"/>
    <w:rsid w:val="001D5266"/>
    <w:rsid w:val="001D59A7"/>
    <w:rsid w:val="001D5AB1"/>
    <w:rsid w:val="001D5B87"/>
    <w:rsid w:val="001D60E1"/>
    <w:rsid w:val="001D6C51"/>
    <w:rsid w:val="001D6D4F"/>
    <w:rsid w:val="001D6DE8"/>
    <w:rsid w:val="001D725B"/>
    <w:rsid w:val="001D7FC0"/>
    <w:rsid w:val="001E003A"/>
    <w:rsid w:val="001E0763"/>
    <w:rsid w:val="001E0CC3"/>
    <w:rsid w:val="001E0CCB"/>
    <w:rsid w:val="001E0D02"/>
    <w:rsid w:val="001E0D83"/>
    <w:rsid w:val="001E1BCA"/>
    <w:rsid w:val="001E1D78"/>
    <w:rsid w:val="001E1F5E"/>
    <w:rsid w:val="001E2462"/>
    <w:rsid w:val="001E2725"/>
    <w:rsid w:val="001E2DBD"/>
    <w:rsid w:val="001E31E4"/>
    <w:rsid w:val="001E3543"/>
    <w:rsid w:val="001E3619"/>
    <w:rsid w:val="001E3C5D"/>
    <w:rsid w:val="001E3D10"/>
    <w:rsid w:val="001E40C7"/>
    <w:rsid w:val="001E4320"/>
    <w:rsid w:val="001E4333"/>
    <w:rsid w:val="001E4966"/>
    <w:rsid w:val="001E517A"/>
    <w:rsid w:val="001E536F"/>
    <w:rsid w:val="001E628A"/>
    <w:rsid w:val="001E6D4F"/>
    <w:rsid w:val="001E717C"/>
    <w:rsid w:val="001E726B"/>
    <w:rsid w:val="001E7E2C"/>
    <w:rsid w:val="001E7E88"/>
    <w:rsid w:val="001E7EAF"/>
    <w:rsid w:val="001F05D9"/>
    <w:rsid w:val="001F08B1"/>
    <w:rsid w:val="001F0BE8"/>
    <w:rsid w:val="001F0F77"/>
    <w:rsid w:val="001F1298"/>
    <w:rsid w:val="001F1CA9"/>
    <w:rsid w:val="001F2886"/>
    <w:rsid w:val="001F2902"/>
    <w:rsid w:val="001F2D3D"/>
    <w:rsid w:val="001F301F"/>
    <w:rsid w:val="001F3CA1"/>
    <w:rsid w:val="001F4191"/>
    <w:rsid w:val="001F46CA"/>
    <w:rsid w:val="001F4738"/>
    <w:rsid w:val="001F5902"/>
    <w:rsid w:val="001F59D9"/>
    <w:rsid w:val="001F6B2A"/>
    <w:rsid w:val="001F6F5B"/>
    <w:rsid w:val="001F731C"/>
    <w:rsid w:val="001F7374"/>
    <w:rsid w:val="001F759C"/>
    <w:rsid w:val="001F7B42"/>
    <w:rsid w:val="002004F5"/>
    <w:rsid w:val="002007EC"/>
    <w:rsid w:val="00200802"/>
    <w:rsid w:val="00200DBB"/>
    <w:rsid w:val="00201390"/>
    <w:rsid w:val="00201769"/>
    <w:rsid w:val="00201E85"/>
    <w:rsid w:val="002021E3"/>
    <w:rsid w:val="002022C8"/>
    <w:rsid w:val="002029EC"/>
    <w:rsid w:val="00202AB5"/>
    <w:rsid w:val="00202E96"/>
    <w:rsid w:val="00202F99"/>
    <w:rsid w:val="002034DC"/>
    <w:rsid w:val="0020365B"/>
    <w:rsid w:val="0020420E"/>
    <w:rsid w:val="002046A0"/>
    <w:rsid w:val="00204A35"/>
    <w:rsid w:val="00204C41"/>
    <w:rsid w:val="00204C4B"/>
    <w:rsid w:val="00204E61"/>
    <w:rsid w:val="00204EC3"/>
    <w:rsid w:val="002059CE"/>
    <w:rsid w:val="00205E7C"/>
    <w:rsid w:val="002060E0"/>
    <w:rsid w:val="0020678E"/>
    <w:rsid w:val="00206D4C"/>
    <w:rsid w:val="00206EDA"/>
    <w:rsid w:val="00207077"/>
    <w:rsid w:val="002072D8"/>
    <w:rsid w:val="002075B8"/>
    <w:rsid w:val="00207868"/>
    <w:rsid w:val="00210A4D"/>
    <w:rsid w:val="00210F10"/>
    <w:rsid w:val="00211678"/>
    <w:rsid w:val="00211725"/>
    <w:rsid w:val="00211A8B"/>
    <w:rsid w:val="00211AED"/>
    <w:rsid w:val="00211D77"/>
    <w:rsid w:val="00211DB0"/>
    <w:rsid w:val="00211F02"/>
    <w:rsid w:val="00212702"/>
    <w:rsid w:val="002127D8"/>
    <w:rsid w:val="002127FF"/>
    <w:rsid w:val="0021326F"/>
    <w:rsid w:val="002135B4"/>
    <w:rsid w:val="00214164"/>
    <w:rsid w:val="002144D2"/>
    <w:rsid w:val="00214992"/>
    <w:rsid w:val="00215500"/>
    <w:rsid w:val="0021578D"/>
    <w:rsid w:val="00215D68"/>
    <w:rsid w:val="00215E18"/>
    <w:rsid w:val="00215FAA"/>
    <w:rsid w:val="00216545"/>
    <w:rsid w:val="00216893"/>
    <w:rsid w:val="00216B49"/>
    <w:rsid w:val="00216DDD"/>
    <w:rsid w:val="00217E31"/>
    <w:rsid w:val="0022026C"/>
    <w:rsid w:val="002203C5"/>
    <w:rsid w:val="00220E9F"/>
    <w:rsid w:val="00221249"/>
    <w:rsid w:val="00221A2A"/>
    <w:rsid w:val="00221C80"/>
    <w:rsid w:val="00221F6E"/>
    <w:rsid w:val="00222BB8"/>
    <w:rsid w:val="002230AA"/>
    <w:rsid w:val="00223794"/>
    <w:rsid w:val="00223E31"/>
    <w:rsid w:val="00223F59"/>
    <w:rsid w:val="00224AAB"/>
    <w:rsid w:val="00224B92"/>
    <w:rsid w:val="00225120"/>
    <w:rsid w:val="00225ABC"/>
    <w:rsid w:val="00225BA1"/>
    <w:rsid w:val="00225ED2"/>
    <w:rsid w:val="00226278"/>
    <w:rsid w:val="0022630B"/>
    <w:rsid w:val="002266FB"/>
    <w:rsid w:val="002269E7"/>
    <w:rsid w:val="002272AD"/>
    <w:rsid w:val="00227721"/>
    <w:rsid w:val="00227EB4"/>
    <w:rsid w:val="002300E5"/>
    <w:rsid w:val="0023022D"/>
    <w:rsid w:val="002304B3"/>
    <w:rsid w:val="00230664"/>
    <w:rsid w:val="002307BD"/>
    <w:rsid w:val="0023139F"/>
    <w:rsid w:val="00231695"/>
    <w:rsid w:val="00231E7F"/>
    <w:rsid w:val="00232D6A"/>
    <w:rsid w:val="0023422E"/>
    <w:rsid w:val="00234914"/>
    <w:rsid w:val="00234BED"/>
    <w:rsid w:val="00235D42"/>
    <w:rsid w:val="002369A9"/>
    <w:rsid w:val="00237C68"/>
    <w:rsid w:val="00237C73"/>
    <w:rsid w:val="00237C88"/>
    <w:rsid w:val="00237DEC"/>
    <w:rsid w:val="00237ED0"/>
    <w:rsid w:val="00240274"/>
    <w:rsid w:val="002403B5"/>
    <w:rsid w:val="00240ADC"/>
    <w:rsid w:val="002413DC"/>
    <w:rsid w:val="002418C4"/>
    <w:rsid w:val="00241FE9"/>
    <w:rsid w:val="0024236E"/>
    <w:rsid w:val="002432D7"/>
    <w:rsid w:val="00243BF6"/>
    <w:rsid w:val="00243FFE"/>
    <w:rsid w:val="002440E0"/>
    <w:rsid w:val="00244525"/>
    <w:rsid w:val="0024461A"/>
    <w:rsid w:val="00245C2C"/>
    <w:rsid w:val="00245CB8"/>
    <w:rsid w:val="00245CD2"/>
    <w:rsid w:val="00246CB4"/>
    <w:rsid w:val="00246FEF"/>
    <w:rsid w:val="002470F5"/>
    <w:rsid w:val="002476A5"/>
    <w:rsid w:val="002478E9"/>
    <w:rsid w:val="00247B55"/>
    <w:rsid w:val="00247CF7"/>
    <w:rsid w:val="00250100"/>
    <w:rsid w:val="00250329"/>
    <w:rsid w:val="00250749"/>
    <w:rsid w:val="00250774"/>
    <w:rsid w:val="00250801"/>
    <w:rsid w:val="00250A2E"/>
    <w:rsid w:val="00251040"/>
    <w:rsid w:val="002510B7"/>
    <w:rsid w:val="00251487"/>
    <w:rsid w:val="00251C60"/>
    <w:rsid w:val="00251D70"/>
    <w:rsid w:val="002521F0"/>
    <w:rsid w:val="00252538"/>
    <w:rsid w:val="00252674"/>
    <w:rsid w:val="0025271E"/>
    <w:rsid w:val="00252BCD"/>
    <w:rsid w:val="00252BF2"/>
    <w:rsid w:val="00253073"/>
    <w:rsid w:val="002535BD"/>
    <w:rsid w:val="00253B8A"/>
    <w:rsid w:val="00253DA5"/>
    <w:rsid w:val="00254264"/>
    <w:rsid w:val="00254C6C"/>
    <w:rsid w:val="00255267"/>
    <w:rsid w:val="0025597F"/>
    <w:rsid w:val="00255A0A"/>
    <w:rsid w:val="00255CA4"/>
    <w:rsid w:val="00257809"/>
    <w:rsid w:val="00257EF3"/>
    <w:rsid w:val="002601C8"/>
    <w:rsid w:val="0026046E"/>
    <w:rsid w:val="0026083B"/>
    <w:rsid w:val="00260A87"/>
    <w:rsid w:val="00260BC5"/>
    <w:rsid w:val="00260CA5"/>
    <w:rsid w:val="00260CD1"/>
    <w:rsid w:val="0026128D"/>
    <w:rsid w:val="00261862"/>
    <w:rsid w:val="00261F1A"/>
    <w:rsid w:val="00262885"/>
    <w:rsid w:val="00262F5C"/>
    <w:rsid w:val="002639EC"/>
    <w:rsid w:val="002645AC"/>
    <w:rsid w:val="00264DCF"/>
    <w:rsid w:val="002652B6"/>
    <w:rsid w:val="00266CA4"/>
    <w:rsid w:val="00266DA4"/>
    <w:rsid w:val="00267977"/>
    <w:rsid w:val="00267B01"/>
    <w:rsid w:val="00267E8D"/>
    <w:rsid w:val="0027015E"/>
    <w:rsid w:val="00270313"/>
    <w:rsid w:val="0027071C"/>
    <w:rsid w:val="00272271"/>
    <w:rsid w:val="00272D52"/>
    <w:rsid w:val="00273007"/>
    <w:rsid w:val="0027371C"/>
    <w:rsid w:val="00273B1C"/>
    <w:rsid w:val="0027472B"/>
    <w:rsid w:val="002751BD"/>
    <w:rsid w:val="00275656"/>
    <w:rsid w:val="00275F7D"/>
    <w:rsid w:val="00276331"/>
    <w:rsid w:val="002764B0"/>
    <w:rsid w:val="00276594"/>
    <w:rsid w:val="00276BDB"/>
    <w:rsid w:val="00276C29"/>
    <w:rsid w:val="00277578"/>
    <w:rsid w:val="002776A4"/>
    <w:rsid w:val="002778CA"/>
    <w:rsid w:val="002779C0"/>
    <w:rsid w:val="00277B46"/>
    <w:rsid w:val="00277C42"/>
    <w:rsid w:val="00277E1B"/>
    <w:rsid w:val="0028085C"/>
    <w:rsid w:val="002808BC"/>
    <w:rsid w:val="00280B33"/>
    <w:rsid w:val="0028108E"/>
    <w:rsid w:val="002810FC"/>
    <w:rsid w:val="00281C33"/>
    <w:rsid w:val="00283259"/>
    <w:rsid w:val="00283933"/>
    <w:rsid w:val="00283D89"/>
    <w:rsid w:val="00284622"/>
    <w:rsid w:val="002846C3"/>
    <w:rsid w:val="00284852"/>
    <w:rsid w:val="00284A11"/>
    <w:rsid w:val="00284DC5"/>
    <w:rsid w:val="00285303"/>
    <w:rsid w:val="0028539F"/>
    <w:rsid w:val="00285686"/>
    <w:rsid w:val="002859E7"/>
    <w:rsid w:val="00285EA5"/>
    <w:rsid w:val="002860D3"/>
    <w:rsid w:val="00286189"/>
    <w:rsid w:val="00286BFA"/>
    <w:rsid w:val="00287707"/>
    <w:rsid w:val="00287801"/>
    <w:rsid w:val="00287FC9"/>
    <w:rsid w:val="0029012C"/>
    <w:rsid w:val="002905B0"/>
    <w:rsid w:val="00290AB3"/>
    <w:rsid w:val="00291321"/>
    <w:rsid w:val="002915DC"/>
    <w:rsid w:val="00291775"/>
    <w:rsid w:val="00291B66"/>
    <w:rsid w:val="00291B76"/>
    <w:rsid w:val="002927A8"/>
    <w:rsid w:val="0029281F"/>
    <w:rsid w:val="00292E51"/>
    <w:rsid w:val="00293379"/>
    <w:rsid w:val="00293454"/>
    <w:rsid w:val="00293654"/>
    <w:rsid w:val="00294319"/>
    <w:rsid w:val="002944B1"/>
    <w:rsid w:val="00294F1B"/>
    <w:rsid w:val="00295278"/>
    <w:rsid w:val="002952BB"/>
    <w:rsid w:val="002959B6"/>
    <w:rsid w:val="00295E09"/>
    <w:rsid w:val="00296945"/>
    <w:rsid w:val="002969B1"/>
    <w:rsid w:val="00296E4B"/>
    <w:rsid w:val="002970A6"/>
    <w:rsid w:val="00297C97"/>
    <w:rsid w:val="002A003A"/>
    <w:rsid w:val="002A0226"/>
    <w:rsid w:val="002A0281"/>
    <w:rsid w:val="002A05B2"/>
    <w:rsid w:val="002A0883"/>
    <w:rsid w:val="002A0DD9"/>
    <w:rsid w:val="002A0FBD"/>
    <w:rsid w:val="002A1691"/>
    <w:rsid w:val="002A1820"/>
    <w:rsid w:val="002A1AF0"/>
    <w:rsid w:val="002A21D7"/>
    <w:rsid w:val="002A2502"/>
    <w:rsid w:val="002A262F"/>
    <w:rsid w:val="002A2EA2"/>
    <w:rsid w:val="002A32EF"/>
    <w:rsid w:val="002A4202"/>
    <w:rsid w:val="002A4396"/>
    <w:rsid w:val="002A450D"/>
    <w:rsid w:val="002A483D"/>
    <w:rsid w:val="002A4FAB"/>
    <w:rsid w:val="002A5047"/>
    <w:rsid w:val="002A52BD"/>
    <w:rsid w:val="002A544D"/>
    <w:rsid w:val="002A54BB"/>
    <w:rsid w:val="002A5535"/>
    <w:rsid w:val="002A56DA"/>
    <w:rsid w:val="002A57FE"/>
    <w:rsid w:val="002A5A32"/>
    <w:rsid w:val="002A5E14"/>
    <w:rsid w:val="002A643E"/>
    <w:rsid w:val="002A6930"/>
    <w:rsid w:val="002A69DC"/>
    <w:rsid w:val="002A6AA2"/>
    <w:rsid w:val="002A6BA9"/>
    <w:rsid w:val="002A709C"/>
    <w:rsid w:val="002A7400"/>
    <w:rsid w:val="002B0016"/>
    <w:rsid w:val="002B003B"/>
    <w:rsid w:val="002B00AB"/>
    <w:rsid w:val="002B037F"/>
    <w:rsid w:val="002B11BD"/>
    <w:rsid w:val="002B19E6"/>
    <w:rsid w:val="002B1D8B"/>
    <w:rsid w:val="002B201F"/>
    <w:rsid w:val="002B266F"/>
    <w:rsid w:val="002B2976"/>
    <w:rsid w:val="002B2E76"/>
    <w:rsid w:val="002B357A"/>
    <w:rsid w:val="002B36F7"/>
    <w:rsid w:val="002B38B0"/>
    <w:rsid w:val="002B3A3A"/>
    <w:rsid w:val="002B40B8"/>
    <w:rsid w:val="002B4D62"/>
    <w:rsid w:val="002B50D5"/>
    <w:rsid w:val="002B56AF"/>
    <w:rsid w:val="002B583B"/>
    <w:rsid w:val="002B659E"/>
    <w:rsid w:val="002B65AD"/>
    <w:rsid w:val="002B6AA5"/>
    <w:rsid w:val="002B6FAC"/>
    <w:rsid w:val="002B72F6"/>
    <w:rsid w:val="002B7A1D"/>
    <w:rsid w:val="002B7E83"/>
    <w:rsid w:val="002C076C"/>
    <w:rsid w:val="002C0B35"/>
    <w:rsid w:val="002C0ECD"/>
    <w:rsid w:val="002C0FF0"/>
    <w:rsid w:val="002C1158"/>
    <w:rsid w:val="002C1177"/>
    <w:rsid w:val="002C1493"/>
    <w:rsid w:val="002C1AB0"/>
    <w:rsid w:val="002C1BDF"/>
    <w:rsid w:val="002C1E15"/>
    <w:rsid w:val="002C2958"/>
    <w:rsid w:val="002C342B"/>
    <w:rsid w:val="002C34F2"/>
    <w:rsid w:val="002C3536"/>
    <w:rsid w:val="002C3A21"/>
    <w:rsid w:val="002C48A4"/>
    <w:rsid w:val="002C4AEB"/>
    <w:rsid w:val="002C5593"/>
    <w:rsid w:val="002C55B5"/>
    <w:rsid w:val="002C57BB"/>
    <w:rsid w:val="002C5EE9"/>
    <w:rsid w:val="002C6344"/>
    <w:rsid w:val="002C65A7"/>
    <w:rsid w:val="002C6804"/>
    <w:rsid w:val="002C6AB1"/>
    <w:rsid w:val="002C6D17"/>
    <w:rsid w:val="002C750C"/>
    <w:rsid w:val="002C7A8C"/>
    <w:rsid w:val="002D03AE"/>
    <w:rsid w:val="002D0C00"/>
    <w:rsid w:val="002D16D5"/>
    <w:rsid w:val="002D1911"/>
    <w:rsid w:val="002D1BED"/>
    <w:rsid w:val="002D1D28"/>
    <w:rsid w:val="002D201B"/>
    <w:rsid w:val="002D2689"/>
    <w:rsid w:val="002D29C3"/>
    <w:rsid w:val="002D30BB"/>
    <w:rsid w:val="002D38CF"/>
    <w:rsid w:val="002D39A0"/>
    <w:rsid w:val="002D3BB7"/>
    <w:rsid w:val="002D41FD"/>
    <w:rsid w:val="002D4C4A"/>
    <w:rsid w:val="002D5005"/>
    <w:rsid w:val="002D537B"/>
    <w:rsid w:val="002D5729"/>
    <w:rsid w:val="002D57A0"/>
    <w:rsid w:val="002D5821"/>
    <w:rsid w:val="002D5D34"/>
    <w:rsid w:val="002D6106"/>
    <w:rsid w:val="002D6198"/>
    <w:rsid w:val="002D6704"/>
    <w:rsid w:val="002D6CB8"/>
    <w:rsid w:val="002D7038"/>
    <w:rsid w:val="002D7577"/>
    <w:rsid w:val="002D75A6"/>
    <w:rsid w:val="002D772D"/>
    <w:rsid w:val="002D7C0C"/>
    <w:rsid w:val="002D7F63"/>
    <w:rsid w:val="002E00D4"/>
    <w:rsid w:val="002E0958"/>
    <w:rsid w:val="002E099D"/>
    <w:rsid w:val="002E1380"/>
    <w:rsid w:val="002E1B9B"/>
    <w:rsid w:val="002E1FA0"/>
    <w:rsid w:val="002E2E5A"/>
    <w:rsid w:val="002E3175"/>
    <w:rsid w:val="002E32BC"/>
    <w:rsid w:val="002E352B"/>
    <w:rsid w:val="002E3877"/>
    <w:rsid w:val="002E3CD3"/>
    <w:rsid w:val="002E41B2"/>
    <w:rsid w:val="002E443A"/>
    <w:rsid w:val="002E45D5"/>
    <w:rsid w:val="002E487C"/>
    <w:rsid w:val="002E5457"/>
    <w:rsid w:val="002E54F7"/>
    <w:rsid w:val="002E560C"/>
    <w:rsid w:val="002E5AE7"/>
    <w:rsid w:val="002E5BC5"/>
    <w:rsid w:val="002E6051"/>
    <w:rsid w:val="002E60A2"/>
    <w:rsid w:val="002E635E"/>
    <w:rsid w:val="002E66E5"/>
    <w:rsid w:val="002E686E"/>
    <w:rsid w:val="002E6CC7"/>
    <w:rsid w:val="002E7C9E"/>
    <w:rsid w:val="002E7D62"/>
    <w:rsid w:val="002F02B0"/>
    <w:rsid w:val="002F040D"/>
    <w:rsid w:val="002F0F4E"/>
    <w:rsid w:val="002F15E0"/>
    <w:rsid w:val="002F1744"/>
    <w:rsid w:val="002F209B"/>
    <w:rsid w:val="002F26FD"/>
    <w:rsid w:val="002F272E"/>
    <w:rsid w:val="002F2DB4"/>
    <w:rsid w:val="002F362A"/>
    <w:rsid w:val="002F3996"/>
    <w:rsid w:val="002F39B6"/>
    <w:rsid w:val="002F484C"/>
    <w:rsid w:val="002F4B80"/>
    <w:rsid w:val="002F4D5E"/>
    <w:rsid w:val="002F527B"/>
    <w:rsid w:val="002F5A02"/>
    <w:rsid w:val="002F5CE4"/>
    <w:rsid w:val="002F5E2E"/>
    <w:rsid w:val="002F60AC"/>
    <w:rsid w:val="002F6649"/>
    <w:rsid w:val="002F6900"/>
    <w:rsid w:val="002F6C2D"/>
    <w:rsid w:val="002F6C35"/>
    <w:rsid w:val="002F70C0"/>
    <w:rsid w:val="002F7142"/>
    <w:rsid w:val="002F7575"/>
    <w:rsid w:val="002F76CE"/>
    <w:rsid w:val="002F776D"/>
    <w:rsid w:val="002F78BC"/>
    <w:rsid w:val="003001C0"/>
    <w:rsid w:val="0030053A"/>
    <w:rsid w:val="003006A9"/>
    <w:rsid w:val="00300992"/>
    <w:rsid w:val="0030125F"/>
    <w:rsid w:val="003015E6"/>
    <w:rsid w:val="003017CF"/>
    <w:rsid w:val="00301B59"/>
    <w:rsid w:val="0030276F"/>
    <w:rsid w:val="0030340E"/>
    <w:rsid w:val="0030379E"/>
    <w:rsid w:val="00303894"/>
    <w:rsid w:val="00304477"/>
    <w:rsid w:val="00304999"/>
    <w:rsid w:val="00304DDF"/>
    <w:rsid w:val="00305154"/>
    <w:rsid w:val="00305165"/>
    <w:rsid w:val="0030557B"/>
    <w:rsid w:val="00305ADB"/>
    <w:rsid w:val="0030669F"/>
    <w:rsid w:val="003072C0"/>
    <w:rsid w:val="00307BD1"/>
    <w:rsid w:val="00307F16"/>
    <w:rsid w:val="0031016A"/>
    <w:rsid w:val="00310453"/>
    <w:rsid w:val="00310542"/>
    <w:rsid w:val="003107FB"/>
    <w:rsid w:val="00310A8C"/>
    <w:rsid w:val="00310BFD"/>
    <w:rsid w:val="00310C9D"/>
    <w:rsid w:val="00311127"/>
    <w:rsid w:val="00311512"/>
    <w:rsid w:val="00311D5B"/>
    <w:rsid w:val="0031293B"/>
    <w:rsid w:val="00313444"/>
    <w:rsid w:val="003134FD"/>
    <w:rsid w:val="00313514"/>
    <w:rsid w:val="00313F14"/>
    <w:rsid w:val="00314397"/>
    <w:rsid w:val="00314542"/>
    <w:rsid w:val="003146D9"/>
    <w:rsid w:val="00314982"/>
    <w:rsid w:val="00314C44"/>
    <w:rsid w:val="00314CA6"/>
    <w:rsid w:val="00314DC8"/>
    <w:rsid w:val="00314F32"/>
    <w:rsid w:val="00314FED"/>
    <w:rsid w:val="0031513F"/>
    <w:rsid w:val="003156C0"/>
    <w:rsid w:val="00315A00"/>
    <w:rsid w:val="00316104"/>
    <w:rsid w:val="003163C5"/>
    <w:rsid w:val="0031644A"/>
    <w:rsid w:val="0031766F"/>
    <w:rsid w:val="00317700"/>
    <w:rsid w:val="00317795"/>
    <w:rsid w:val="003200F2"/>
    <w:rsid w:val="003205A7"/>
    <w:rsid w:val="0032072E"/>
    <w:rsid w:val="00320CE7"/>
    <w:rsid w:val="00321016"/>
    <w:rsid w:val="00321053"/>
    <w:rsid w:val="0032121F"/>
    <w:rsid w:val="00321D59"/>
    <w:rsid w:val="00322664"/>
    <w:rsid w:val="003228F5"/>
    <w:rsid w:val="003229E1"/>
    <w:rsid w:val="003231A3"/>
    <w:rsid w:val="0032335D"/>
    <w:rsid w:val="00323A87"/>
    <w:rsid w:val="00323C03"/>
    <w:rsid w:val="0032406D"/>
    <w:rsid w:val="0032444D"/>
    <w:rsid w:val="0032482E"/>
    <w:rsid w:val="00325115"/>
    <w:rsid w:val="003260B7"/>
    <w:rsid w:val="00326A5C"/>
    <w:rsid w:val="0032753C"/>
    <w:rsid w:val="003278A1"/>
    <w:rsid w:val="00327F05"/>
    <w:rsid w:val="00330C50"/>
    <w:rsid w:val="00330DB5"/>
    <w:rsid w:val="00331167"/>
    <w:rsid w:val="0033120D"/>
    <w:rsid w:val="0033176E"/>
    <w:rsid w:val="003318E6"/>
    <w:rsid w:val="00332185"/>
    <w:rsid w:val="00332FD2"/>
    <w:rsid w:val="00333495"/>
    <w:rsid w:val="00333676"/>
    <w:rsid w:val="00333A5F"/>
    <w:rsid w:val="00333AFC"/>
    <w:rsid w:val="00334432"/>
    <w:rsid w:val="00334558"/>
    <w:rsid w:val="003345AB"/>
    <w:rsid w:val="003347BC"/>
    <w:rsid w:val="003349C4"/>
    <w:rsid w:val="003349CE"/>
    <w:rsid w:val="003350C9"/>
    <w:rsid w:val="00335254"/>
    <w:rsid w:val="0033566B"/>
    <w:rsid w:val="003358B0"/>
    <w:rsid w:val="00335971"/>
    <w:rsid w:val="00336B26"/>
    <w:rsid w:val="003401EB"/>
    <w:rsid w:val="00340789"/>
    <w:rsid w:val="00340959"/>
    <w:rsid w:val="0034099A"/>
    <w:rsid w:val="00340ADB"/>
    <w:rsid w:val="00340EBF"/>
    <w:rsid w:val="003415AB"/>
    <w:rsid w:val="003423DF"/>
    <w:rsid w:val="003426C5"/>
    <w:rsid w:val="00342873"/>
    <w:rsid w:val="0034302B"/>
    <w:rsid w:val="00343162"/>
    <w:rsid w:val="00343C88"/>
    <w:rsid w:val="00344758"/>
    <w:rsid w:val="0034528A"/>
    <w:rsid w:val="00345D65"/>
    <w:rsid w:val="00345DD3"/>
    <w:rsid w:val="00345E4C"/>
    <w:rsid w:val="003462CF"/>
    <w:rsid w:val="00346446"/>
    <w:rsid w:val="00347268"/>
    <w:rsid w:val="00347C99"/>
    <w:rsid w:val="00347E78"/>
    <w:rsid w:val="00350191"/>
    <w:rsid w:val="0035036D"/>
    <w:rsid w:val="003504F7"/>
    <w:rsid w:val="00350D5D"/>
    <w:rsid w:val="00350FBF"/>
    <w:rsid w:val="00351638"/>
    <w:rsid w:val="00351968"/>
    <w:rsid w:val="003522EB"/>
    <w:rsid w:val="00352478"/>
    <w:rsid w:val="003525F8"/>
    <w:rsid w:val="00352DA0"/>
    <w:rsid w:val="003530FA"/>
    <w:rsid w:val="00353170"/>
    <w:rsid w:val="003534A3"/>
    <w:rsid w:val="00353BAF"/>
    <w:rsid w:val="00353EBF"/>
    <w:rsid w:val="0035447C"/>
    <w:rsid w:val="003554CF"/>
    <w:rsid w:val="0035564E"/>
    <w:rsid w:val="00355824"/>
    <w:rsid w:val="003558B4"/>
    <w:rsid w:val="00355D2F"/>
    <w:rsid w:val="00355EA9"/>
    <w:rsid w:val="003561DC"/>
    <w:rsid w:val="003563F7"/>
    <w:rsid w:val="0035660A"/>
    <w:rsid w:val="003568D7"/>
    <w:rsid w:val="00356A2F"/>
    <w:rsid w:val="0035747E"/>
    <w:rsid w:val="00357568"/>
    <w:rsid w:val="00357617"/>
    <w:rsid w:val="003578C1"/>
    <w:rsid w:val="00357A0F"/>
    <w:rsid w:val="00357B88"/>
    <w:rsid w:val="00357E2A"/>
    <w:rsid w:val="00360220"/>
    <w:rsid w:val="00360633"/>
    <w:rsid w:val="00361382"/>
    <w:rsid w:val="003615AA"/>
    <w:rsid w:val="00362080"/>
    <w:rsid w:val="003629E9"/>
    <w:rsid w:val="00362F0F"/>
    <w:rsid w:val="003638DD"/>
    <w:rsid w:val="0036393C"/>
    <w:rsid w:val="00363A74"/>
    <w:rsid w:val="003643EA"/>
    <w:rsid w:val="0036529A"/>
    <w:rsid w:val="00365772"/>
    <w:rsid w:val="003657CD"/>
    <w:rsid w:val="00365B36"/>
    <w:rsid w:val="00365EBC"/>
    <w:rsid w:val="00365FDB"/>
    <w:rsid w:val="003661ED"/>
    <w:rsid w:val="00366D9C"/>
    <w:rsid w:val="00366FB5"/>
    <w:rsid w:val="00367307"/>
    <w:rsid w:val="003676E3"/>
    <w:rsid w:val="003678F7"/>
    <w:rsid w:val="003679CB"/>
    <w:rsid w:val="00367C87"/>
    <w:rsid w:val="00367E90"/>
    <w:rsid w:val="0037164B"/>
    <w:rsid w:val="00371D3A"/>
    <w:rsid w:val="00371F9F"/>
    <w:rsid w:val="00371FFA"/>
    <w:rsid w:val="00372985"/>
    <w:rsid w:val="00372E04"/>
    <w:rsid w:val="00373BE0"/>
    <w:rsid w:val="003742E2"/>
    <w:rsid w:val="0037458B"/>
    <w:rsid w:val="00374A13"/>
    <w:rsid w:val="00374A2C"/>
    <w:rsid w:val="00374BCF"/>
    <w:rsid w:val="00374F92"/>
    <w:rsid w:val="00375604"/>
    <w:rsid w:val="003758D9"/>
    <w:rsid w:val="003761AB"/>
    <w:rsid w:val="003761C2"/>
    <w:rsid w:val="003768E6"/>
    <w:rsid w:val="00376C58"/>
    <w:rsid w:val="00377810"/>
    <w:rsid w:val="00377DCC"/>
    <w:rsid w:val="003803B2"/>
    <w:rsid w:val="00380D43"/>
    <w:rsid w:val="00380FD7"/>
    <w:rsid w:val="003811FE"/>
    <w:rsid w:val="00381443"/>
    <w:rsid w:val="00381A00"/>
    <w:rsid w:val="00381BC2"/>
    <w:rsid w:val="00381C06"/>
    <w:rsid w:val="00381CAC"/>
    <w:rsid w:val="00381F28"/>
    <w:rsid w:val="00382046"/>
    <w:rsid w:val="0038265D"/>
    <w:rsid w:val="00383414"/>
    <w:rsid w:val="00383BE7"/>
    <w:rsid w:val="00383FCE"/>
    <w:rsid w:val="00384292"/>
    <w:rsid w:val="00384364"/>
    <w:rsid w:val="003848D2"/>
    <w:rsid w:val="00385306"/>
    <w:rsid w:val="0038546B"/>
    <w:rsid w:val="00385698"/>
    <w:rsid w:val="00386755"/>
    <w:rsid w:val="003867F2"/>
    <w:rsid w:val="003868E8"/>
    <w:rsid w:val="00386930"/>
    <w:rsid w:val="00386D24"/>
    <w:rsid w:val="0038758D"/>
    <w:rsid w:val="003876BF"/>
    <w:rsid w:val="00387A1F"/>
    <w:rsid w:val="0039096E"/>
    <w:rsid w:val="00390982"/>
    <w:rsid w:val="00390B7A"/>
    <w:rsid w:val="00390D12"/>
    <w:rsid w:val="0039114F"/>
    <w:rsid w:val="003914AD"/>
    <w:rsid w:val="0039160C"/>
    <w:rsid w:val="003917A5"/>
    <w:rsid w:val="00391868"/>
    <w:rsid w:val="00391DFB"/>
    <w:rsid w:val="00392535"/>
    <w:rsid w:val="00392DDD"/>
    <w:rsid w:val="00392E7E"/>
    <w:rsid w:val="00392F36"/>
    <w:rsid w:val="003931A9"/>
    <w:rsid w:val="0039373C"/>
    <w:rsid w:val="00394258"/>
    <w:rsid w:val="003943DC"/>
    <w:rsid w:val="00394A71"/>
    <w:rsid w:val="00395066"/>
    <w:rsid w:val="00395329"/>
    <w:rsid w:val="00395525"/>
    <w:rsid w:val="00395852"/>
    <w:rsid w:val="00396CFE"/>
    <w:rsid w:val="0039713F"/>
    <w:rsid w:val="003972B9"/>
    <w:rsid w:val="00397ADA"/>
    <w:rsid w:val="003A02F4"/>
    <w:rsid w:val="003A0D60"/>
    <w:rsid w:val="003A0EC6"/>
    <w:rsid w:val="003A17D2"/>
    <w:rsid w:val="003A1805"/>
    <w:rsid w:val="003A2180"/>
    <w:rsid w:val="003A27D5"/>
    <w:rsid w:val="003A33BA"/>
    <w:rsid w:val="003A34AD"/>
    <w:rsid w:val="003A3617"/>
    <w:rsid w:val="003A36E6"/>
    <w:rsid w:val="003A388A"/>
    <w:rsid w:val="003A3AAE"/>
    <w:rsid w:val="003A3BFF"/>
    <w:rsid w:val="003A3C04"/>
    <w:rsid w:val="003A47CC"/>
    <w:rsid w:val="003A485A"/>
    <w:rsid w:val="003A50A0"/>
    <w:rsid w:val="003A55A6"/>
    <w:rsid w:val="003A583C"/>
    <w:rsid w:val="003A5BAD"/>
    <w:rsid w:val="003A5DAD"/>
    <w:rsid w:val="003A6C07"/>
    <w:rsid w:val="003A7144"/>
    <w:rsid w:val="003A7450"/>
    <w:rsid w:val="003B02E8"/>
    <w:rsid w:val="003B030F"/>
    <w:rsid w:val="003B032F"/>
    <w:rsid w:val="003B0A00"/>
    <w:rsid w:val="003B0F0C"/>
    <w:rsid w:val="003B0F8D"/>
    <w:rsid w:val="003B19C5"/>
    <w:rsid w:val="003B1C54"/>
    <w:rsid w:val="003B1CE1"/>
    <w:rsid w:val="003B22CA"/>
    <w:rsid w:val="003B38C9"/>
    <w:rsid w:val="003B3B23"/>
    <w:rsid w:val="003B4412"/>
    <w:rsid w:val="003B44D9"/>
    <w:rsid w:val="003B4A2D"/>
    <w:rsid w:val="003B5099"/>
    <w:rsid w:val="003B52C2"/>
    <w:rsid w:val="003B551B"/>
    <w:rsid w:val="003B56E5"/>
    <w:rsid w:val="003B58EA"/>
    <w:rsid w:val="003B5919"/>
    <w:rsid w:val="003B5D6E"/>
    <w:rsid w:val="003B5E48"/>
    <w:rsid w:val="003B6AD6"/>
    <w:rsid w:val="003B6E5B"/>
    <w:rsid w:val="003B79C8"/>
    <w:rsid w:val="003B7ABB"/>
    <w:rsid w:val="003C0361"/>
    <w:rsid w:val="003C04F8"/>
    <w:rsid w:val="003C0B2F"/>
    <w:rsid w:val="003C0ED9"/>
    <w:rsid w:val="003C113E"/>
    <w:rsid w:val="003C1798"/>
    <w:rsid w:val="003C27D6"/>
    <w:rsid w:val="003C317B"/>
    <w:rsid w:val="003C42F7"/>
    <w:rsid w:val="003C431D"/>
    <w:rsid w:val="003C43F1"/>
    <w:rsid w:val="003C4473"/>
    <w:rsid w:val="003C4B50"/>
    <w:rsid w:val="003C4D85"/>
    <w:rsid w:val="003C5019"/>
    <w:rsid w:val="003C511F"/>
    <w:rsid w:val="003C5886"/>
    <w:rsid w:val="003C5ADE"/>
    <w:rsid w:val="003C6005"/>
    <w:rsid w:val="003C6114"/>
    <w:rsid w:val="003C6252"/>
    <w:rsid w:val="003C6655"/>
    <w:rsid w:val="003C6A36"/>
    <w:rsid w:val="003C711E"/>
    <w:rsid w:val="003C7280"/>
    <w:rsid w:val="003C7465"/>
    <w:rsid w:val="003C7733"/>
    <w:rsid w:val="003C7AFD"/>
    <w:rsid w:val="003C7C51"/>
    <w:rsid w:val="003D0118"/>
    <w:rsid w:val="003D0346"/>
    <w:rsid w:val="003D049E"/>
    <w:rsid w:val="003D08F5"/>
    <w:rsid w:val="003D0972"/>
    <w:rsid w:val="003D0DC6"/>
    <w:rsid w:val="003D0E21"/>
    <w:rsid w:val="003D24D6"/>
    <w:rsid w:val="003D2953"/>
    <w:rsid w:val="003D3EEE"/>
    <w:rsid w:val="003D40C8"/>
    <w:rsid w:val="003D41CF"/>
    <w:rsid w:val="003D41E7"/>
    <w:rsid w:val="003D423A"/>
    <w:rsid w:val="003D431B"/>
    <w:rsid w:val="003D4378"/>
    <w:rsid w:val="003D45FC"/>
    <w:rsid w:val="003D476B"/>
    <w:rsid w:val="003D4A36"/>
    <w:rsid w:val="003D4AF5"/>
    <w:rsid w:val="003D4ED7"/>
    <w:rsid w:val="003D50D7"/>
    <w:rsid w:val="003D52AC"/>
    <w:rsid w:val="003D53A0"/>
    <w:rsid w:val="003D54AC"/>
    <w:rsid w:val="003D58E6"/>
    <w:rsid w:val="003D684F"/>
    <w:rsid w:val="003D6E7E"/>
    <w:rsid w:val="003D72F9"/>
    <w:rsid w:val="003D7400"/>
    <w:rsid w:val="003D756F"/>
    <w:rsid w:val="003D7F98"/>
    <w:rsid w:val="003E00DE"/>
    <w:rsid w:val="003E024D"/>
    <w:rsid w:val="003E0B5F"/>
    <w:rsid w:val="003E229E"/>
    <w:rsid w:val="003E2790"/>
    <w:rsid w:val="003E2D8A"/>
    <w:rsid w:val="003E3230"/>
    <w:rsid w:val="003E33FA"/>
    <w:rsid w:val="003E3A30"/>
    <w:rsid w:val="003E40A6"/>
    <w:rsid w:val="003E447F"/>
    <w:rsid w:val="003E451F"/>
    <w:rsid w:val="003E4DB6"/>
    <w:rsid w:val="003E5154"/>
    <w:rsid w:val="003E55FD"/>
    <w:rsid w:val="003E597A"/>
    <w:rsid w:val="003E59F0"/>
    <w:rsid w:val="003E61C0"/>
    <w:rsid w:val="003E68E1"/>
    <w:rsid w:val="003E6EB2"/>
    <w:rsid w:val="003E70C4"/>
    <w:rsid w:val="003E71B6"/>
    <w:rsid w:val="003E7257"/>
    <w:rsid w:val="003E7543"/>
    <w:rsid w:val="003E76EC"/>
    <w:rsid w:val="003E7B9D"/>
    <w:rsid w:val="003E7BCB"/>
    <w:rsid w:val="003E7E31"/>
    <w:rsid w:val="003E7F88"/>
    <w:rsid w:val="003F023C"/>
    <w:rsid w:val="003F04D4"/>
    <w:rsid w:val="003F09EB"/>
    <w:rsid w:val="003F0ABD"/>
    <w:rsid w:val="003F0BF3"/>
    <w:rsid w:val="003F1408"/>
    <w:rsid w:val="003F17A1"/>
    <w:rsid w:val="003F1B87"/>
    <w:rsid w:val="003F1C44"/>
    <w:rsid w:val="003F21F5"/>
    <w:rsid w:val="003F23DA"/>
    <w:rsid w:val="003F2AA9"/>
    <w:rsid w:val="003F3496"/>
    <w:rsid w:val="003F36F8"/>
    <w:rsid w:val="003F37B8"/>
    <w:rsid w:val="003F4E3A"/>
    <w:rsid w:val="003F4F45"/>
    <w:rsid w:val="003F50F9"/>
    <w:rsid w:val="003F56CE"/>
    <w:rsid w:val="003F5F36"/>
    <w:rsid w:val="003F6113"/>
    <w:rsid w:val="003F63B9"/>
    <w:rsid w:val="003F6905"/>
    <w:rsid w:val="003F69FE"/>
    <w:rsid w:val="003F6C3F"/>
    <w:rsid w:val="003F6CE6"/>
    <w:rsid w:val="003F79C4"/>
    <w:rsid w:val="003F79F0"/>
    <w:rsid w:val="00403B11"/>
    <w:rsid w:val="00403C76"/>
    <w:rsid w:val="00403F03"/>
    <w:rsid w:val="00403FFB"/>
    <w:rsid w:val="00404721"/>
    <w:rsid w:val="00404C10"/>
    <w:rsid w:val="00404DD8"/>
    <w:rsid w:val="00405103"/>
    <w:rsid w:val="00405144"/>
    <w:rsid w:val="0040523D"/>
    <w:rsid w:val="004054A0"/>
    <w:rsid w:val="00405692"/>
    <w:rsid w:val="0040596E"/>
    <w:rsid w:val="00405D6A"/>
    <w:rsid w:val="00405E7F"/>
    <w:rsid w:val="00406320"/>
    <w:rsid w:val="00406351"/>
    <w:rsid w:val="00406669"/>
    <w:rsid w:val="00406B00"/>
    <w:rsid w:val="00407071"/>
    <w:rsid w:val="004074CA"/>
    <w:rsid w:val="00407558"/>
    <w:rsid w:val="004100C1"/>
    <w:rsid w:val="004102D7"/>
    <w:rsid w:val="0041087F"/>
    <w:rsid w:val="00410CE3"/>
    <w:rsid w:val="0041143C"/>
    <w:rsid w:val="00411445"/>
    <w:rsid w:val="00411643"/>
    <w:rsid w:val="00411C6F"/>
    <w:rsid w:val="00411D6F"/>
    <w:rsid w:val="0041250C"/>
    <w:rsid w:val="004126C7"/>
    <w:rsid w:val="00412B45"/>
    <w:rsid w:val="004133E2"/>
    <w:rsid w:val="004135E9"/>
    <w:rsid w:val="00413BCE"/>
    <w:rsid w:val="004146EE"/>
    <w:rsid w:val="00414F2F"/>
    <w:rsid w:val="00415069"/>
    <w:rsid w:val="004151A8"/>
    <w:rsid w:val="00415289"/>
    <w:rsid w:val="004153BF"/>
    <w:rsid w:val="0041616A"/>
    <w:rsid w:val="004162DD"/>
    <w:rsid w:val="0041681B"/>
    <w:rsid w:val="00416ACB"/>
    <w:rsid w:val="00416B83"/>
    <w:rsid w:val="00416BB7"/>
    <w:rsid w:val="00416F87"/>
    <w:rsid w:val="004173C2"/>
    <w:rsid w:val="004205D9"/>
    <w:rsid w:val="004209A1"/>
    <w:rsid w:val="00421473"/>
    <w:rsid w:val="00421484"/>
    <w:rsid w:val="00421E29"/>
    <w:rsid w:val="0042256E"/>
    <w:rsid w:val="004226A5"/>
    <w:rsid w:val="00423E96"/>
    <w:rsid w:val="00424987"/>
    <w:rsid w:val="004258CF"/>
    <w:rsid w:val="0042593E"/>
    <w:rsid w:val="00425AAF"/>
    <w:rsid w:val="00426370"/>
    <w:rsid w:val="004269DB"/>
    <w:rsid w:val="00426A67"/>
    <w:rsid w:val="00427953"/>
    <w:rsid w:val="00427981"/>
    <w:rsid w:val="00431395"/>
    <w:rsid w:val="00431632"/>
    <w:rsid w:val="004319D6"/>
    <w:rsid w:val="0043220C"/>
    <w:rsid w:val="004322BE"/>
    <w:rsid w:val="004329ED"/>
    <w:rsid w:val="00432AFB"/>
    <w:rsid w:val="004334D4"/>
    <w:rsid w:val="00433A8B"/>
    <w:rsid w:val="00433CAD"/>
    <w:rsid w:val="00433E94"/>
    <w:rsid w:val="00434073"/>
    <w:rsid w:val="0043428D"/>
    <w:rsid w:val="0043558F"/>
    <w:rsid w:val="00435A92"/>
    <w:rsid w:val="00435B72"/>
    <w:rsid w:val="00436020"/>
    <w:rsid w:val="004361B0"/>
    <w:rsid w:val="0043642C"/>
    <w:rsid w:val="0043683B"/>
    <w:rsid w:val="00436B7D"/>
    <w:rsid w:val="0044048B"/>
    <w:rsid w:val="004406F8"/>
    <w:rsid w:val="0044077E"/>
    <w:rsid w:val="004410FD"/>
    <w:rsid w:val="00441640"/>
    <w:rsid w:val="00441E78"/>
    <w:rsid w:val="004421E9"/>
    <w:rsid w:val="00442D9F"/>
    <w:rsid w:val="00442FA7"/>
    <w:rsid w:val="0044305A"/>
    <w:rsid w:val="00443B69"/>
    <w:rsid w:val="00443B7C"/>
    <w:rsid w:val="004448C2"/>
    <w:rsid w:val="00444F1E"/>
    <w:rsid w:val="00445055"/>
    <w:rsid w:val="004458AC"/>
    <w:rsid w:val="004459EA"/>
    <w:rsid w:val="00445B34"/>
    <w:rsid w:val="004476B5"/>
    <w:rsid w:val="00447B24"/>
    <w:rsid w:val="00450607"/>
    <w:rsid w:val="0045096F"/>
    <w:rsid w:val="004509A0"/>
    <w:rsid w:val="00450EAA"/>
    <w:rsid w:val="004514F2"/>
    <w:rsid w:val="004515D3"/>
    <w:rsid w:val="00451674"/>
    <w:rsid w:val="004516BB"/>
    <w:rsid w:val="0045191E"/>
    <w:rsid w:val="004523B6"/>
    <w:rsid w:val="00452723"/>
    <w:rsid w:val="00453134"/>
    <w:rsid w:val="00453680"/>
    <w:rsid w:val="00454264"/>
    <w:rsid w:val="004550E0"/>
    <w:rsid w:val="004555FB"/>
    <w:rsid w:val="00455705"/>
    <w:rsid w:val="004564A0"/>
    <w:rsid w:val="004567B2"/>
    <w:rsid w:val="00456855"/>
    <w:rsid w:val="004569BC"/>
    <w:rsid w:val="00456ADC"/>
    <w:rsid w:val="00456AE9"/>
    <w:rsid w:val="0045738B"/>
    <w:rsid w:val="00457430"/>
    <w:rsid w:val="00457511"/>
    <w:rsid w:val="00457577"/>
    <w:rsid w:val="00457ED2"/>
    <w:rsid w:val="00460325"/>
    <w:rsid w:val="00460E07"/>
    <w:rsid w:val="004612B0"/>
    <w:rsid w:val="00461616"/>
    <w:rsid w:val="00461643"/>
    <w:rsid w:val="00461A9E"/>
    <w:rsid w:val="00461F8B"/>
    <w:rsid w:val="00462099"/>
    <w:rsid w:val="0046214A"/>
    <w:rsid w:val="004623C3"/>
    <w:rsid w:val="004629B4"/>
    <w:rsid w:val="00462B15"/>
    <w:rsid w:val="00462B68"/>
    <w:rsid w:val="00463094"/>
    <w:rsid w:val="0046315A"/>
    <w:rsid w:val="004632AF"/>
    <w:rsid w:val="00463972"/>
    <w:rsid w:val="00463F7E"/>
    <w:rsid w:val="004646A5"/>
    <w:rsid w:val="00464AF5"/>
    <w:rsid w:val="00464CEA"/>
    <w:rsid w:val="00465355"/>
    <w:rsid w:val="00465B8D"/>
    <w:rsid w:val="00465E21"/>
    <w:rsid w:val="00466305"/>
    <w:rsid w:val="0046640B"/>
    <w:rsid w:val="004669B9"/>
    <w:rsid w:val="00466F95"/>
    <w:rsid w:val="00467120"/>
    <w:rsid w:val="004672FE"/>
    <w:rsid w:val="00467510"/>
    <w:rsid w:val="00467E11"/>
    <w:rsid w:val="0047091C"/>
    <w:rsid w:val="00470BB9"/>
    <w:rsid w:val="00471090"/>
    <w:rsid w:val="004713B3"/>
    <w:rsid w:val="004714E8"/>
    <w:rsid w:val="00471C8E"/>
    <w:rsid w:val="00471CEB"/>
    <w:rsid w:val="0047201D"/>
    <w:rsid w:val="004721A6"/>
    <w:rsid w:val="004734BB"/>
    <w:rsid w:val="004738C5"/>
    <w:rsid w:val="00473B36"/>
    <w:rsid w:val="00473D0C"/>
    <w:rsid w:val="00473D19"/>
    <w:rsid w:val="00474BD0"/>
    <w:rsid w:val="00474DBA"/>
    <w:rsid w:val="0047610D"/>
    <w:rsid w:val="004764E3"/>
    <w:rsid w:val="00476548"/>
    <w:rsid w:val="00477780"/>
    <w:rsid w:val="00477AF5"/>
    <w:rsid w:val="00477EA3"/>
    <w:rsid w:val="00480109"/>
    <w:rsid w:val="004809AE"/>
    <w:rsid w:val="00480AC6"/>
    <w:rsid w:val="00480CE4"/>
    <w:rsid w:val="0048233A"/>
    <w:rsid w:val="004826AC"/>
    <w:rsid w:val="00482ACE"/>
    <w:rsid w:val="00482D9C"/>
    <w:rsid w:val="00482FA3"/>
    <w:rsid w:val="00483D59"/>
    <w:rsid w:val="0048414C"/>
    <w:rsid w:val="004844DC"/>
    <w:rsid w:val="00484C9B"/>
    <w:rsid w:val="00484CBB"/>
    <w:rsid w:val="004857FA"/>
    <w:rsid w:val="00485F9E"/>
    <w:rsid w:val="004864CD"/>
    <w:rsid w:val="00487288"/>
    <w:rsid w:val="0048770E"/>
    <w:rsid w:val="0048790A"/>
    <w:rsid w:val="00490633"/>
    <w:rsid w:val="00490A02"/>
    <w:rsid w:val="00490D13"/>
    <w:rsid w:val="00490DD1"/>
    <w:rsid w:val="004915DC"/>
    <w:rsid w:val="00491927"/>
    <w:rsid w:val="00491B13"/>
    <w:rsid w:val="00491C1A"/>
    <w:rsid w:val="00491E12"/>
    <w:rsid w:val="00492357"/>
    <w:rsid w:val="00492794"/>
    <w:rsid w:val="00492E18"/>
    <w:rsid w:val="004930F6"/>
    <w:rsid w:val="004931E2"/>
    <w:rsid w:val="00493EF9"/>
    <w:rsid w:val="00494972"/>
    <w:rsid w:val="00494A2E"/>
    <w:rsid w:val="00494B1E"/>
    <w:rsid w:val="00494C38"/>
    <w:rsid w:val="00494DDF"/>
    <w:rsid w:val="00496334"/>
    <w:rsid w:val="0049655E"/>
    <w:rsid w:val="00496FD7"/>
    <w:rsid w:val="00497275"/>
    <w:rsid w:val="00497B00"/>
    <w:rsid w:val="00497DC0"/>
    <w:rsid w:val="00497E64"/>
    <w:rsid w:val="004A014B"/>
    <w:rsid w:val="004A03E8"/>
    <w:rsid w:val="004A0608"/>
    <w:rsid w:val="004A0A64"/>
    <w:rsid w:val="004A0C27"/>
    <w:rsid w:val="004A1B94"/>
    <w:rsid w:val="004A2010"/>
    <w:rsid w:val="004A24A6"/>
    <w:rsid w:val="004A32BC"/>
    <w:rsid w:val="004A39A3"/>
    <w:rsid w:val="004A3A2E"/>
    <w:rsid w:val="004A4AB6"/>
    <w:rsid w:val="004A51BF"/>
    <w:rsid w:val="004A52EE"/>
    <w:rsid w:val="004A54E9"/>
    <w:rsid w:val="004A5598"/>
    <w:rsid w:val="004A5602"/>
    <w:rsid w:val="004A5EE2"/>
    <w:rsid w:val="004A622C"/>
    <w:rsid w:val="004A68C5"/>
    <w:rsid w:val="004A6B82"/>
    <w:rsid w:val="004A7B0A"/>
    <w:rsid w:val="004A7CE4"/>
    <w:rsid w:val="004B0388"/>
    <w:rsid w:val="004B06EE"/>
    <w:rsid w:val="004B096A"/>
    <w:rsid w:val="004B13FE"/>
    <w:rsid w:val="004B1837"/>
    <w:rsid w:val="004B189B"/>
    <w:rsid w:val="004B1BDE"/>
    <w:rsid w:val="004B2116"/>
    <w:rsid w:val="004B23FD"/>
    <w:rsid w:val="004B241A"/>
    <w:rsid w:val="004B288A"/>
    <w:rsid w:val="004B3120"/>
    <w:rsid w:val="004B33F7"/>
    <w:rsid w:val="004B345D"/>
    <w:rsid w:val="004B34C9"/>
    <w:rsid w:val="004B3523"/>
    <w:rsid w:val="004B4653"/>
    <w:rsid w:val="004B46DD"/>
    <w:rsid w:val="004B49E5"/>
    <w:rsid w:val="004B4DCA"/>
    <w:rsid w:val="004B5EAC"/>
    <w:rsid w:val="004B633C"/>
    <w:rsid w:val="004B646C"/>
    <w:rsid w:val="004B6520"/>
    <w:rsid w:val="004B6B74"/>
    <w:rsid w:val="004B71C5"/>
    <w:rsid w:val="004B73AF"/>
    <w:rsid w:val="004B7A84"/>
    <w:rsid w:val="004B7BDB"/>
    <w:rsid w:val="004C0B3B"/>
    <w:rsid w:val="004C1060"/>
    <w:rsid w:val="004C1239"/>
    <w:rsid w:val="004C1C36"/>
    <w:rsid w:val="004C2051"/>
    <w:rsid w:val="004C23E0"/>
    <w:rsid w:val="004C3C01"/>
    <w:rsid w:val="004C3C1F"/>
    <w:rsid w:val="004C3C63"/>
    <w:rsid w:val="004C3F3E"/>
    <w:rsid w:val="004C4093"/>
    <w:rsid w:val="004C45A0"/>
    <w:rsid w:val="004C4A97"/>
    <w:rsid w:val="004C4B8E"/>
    <w:rsid w:val="004C5227"/>
    <w:rsid w:val="004C5B74"/>
    <w:rsid w:val="004C5D66"/>
    <w:rsid w:val="004C6693"/>
    <w:rsid w:val="004C6D9A"/>
    <w:rsid w:val="004C7545"/>
    <w:rsid w:val="004C78D2"/>
    <w:rsid w:val="004C79E9"/>
    <w:rsid w:val="004C7AAA"/>
    <w:rsid w:val="004D0631"/>
    <w:rsid w:val="004D15A9"/>
    <w:rsid w:val="004D1B68"/>
    <w:rsid w:val="004D1B93"/>
    <w:rsid w:val="004D1DA4"/>
    <w:rsid w:val="004D1F02"/>
    <w:rsid w:val="004D23B2"/>
    <w:rsid w:val="004D2411"/>
    <w:rsid w:val="004D247F"/>
    <w:rsid w:val="004D2CEF"/>
    <w:rsid w:val="004D2E8F"/>
    <w:rsid w:val="004D2F30"/>
    <w:rsid w:val="004D381F"/>
    <w:rsid w:val="004D3E92"/>
    <w:rsid w:val="004D40FB"/>
    <w:rsid w:val="004D4245"/>
    <w:rsid w:val="004D4435"/>
    <w:rsid w:val="004D45AE"/>
    <w:rsid w:val="004D5038"/>
    <w:rsid w:val="004D5097"/>
    <w:rsid w:val="004D5BB3"/>
    <w:rsid w:val="004D5D75"/>
    <w:rsid w:val="004D6ECE"/>
    <w:rsid w:val="004D7298"/>
    <w:rsid w:val="004D760F"/>
    <w:rsid w:val="004D7710"/>
    <w:rsid w:val="004D7A6D"/>
    <w:rsid w:val="004D7ACB"/>
    <w:rsid w:val="004D7B4A"/>
    <w:rsid w:val="004D7F61"/>
    <w:rsid w:val="004E0931"/>
    <w:rsid w:val="004E0B0B"/>
    <w:rsid w:val="004E0E44"/>
    <w:rsid w:val="004E0ED7"/>
    <w:rsid w:val="004E10B0"/>
    <w:rsid w:val="004E1295"/>
    <w:rsid w:val="004E14A4"/>
    <w:rsid w:val="004E195E"/>
    <w:rsid w:val="004E1EDC"/>
    <w:rsid w:val="004E2310"/>
    <w:rsid w:val="004E2591"/>
    <w:rsid w:val="004E29E9"/>
    <w:rsid w:val="004E2C04"/>
    <w:rsid w:val="004E2F5E"/>
    <w:rsid w:val="004E2F87"/>
    <w:rsid w:val="004E3018"/>
    <w:rsid w:val="004E3181"/>
    <w:rsid w:val="004E39AC"/>
    <w:rsid w:val="004E4152"/>
    <w:rsid w:val="004E4709"/>
    <w:rsid w:val="004E483E"/>
    <w:rsid w:val="004E4E9A"/>
    <w:rsid w:val="004E4F07"/>
    <w:rsid w:val="004E537D"/>
    <w:rsid w:val="004E5D97"/>
    <w:rsid w:val="004E5E6F"/>
    <w:rsid w:val="004E637C"/>
    <w:rsid w:val="004E6705"/>
    <w:rsid w:val="004E6E38"/>
    <w:rsid w:val="004E72BF"/>
    <w:rsid w:val="004E759D"/>
    <w:rsid w:val="004E78CA"/>
    <w:rsid w:val="004E7C2E"/>
    <w:rsid w:val="004F027D"/>
    <w:rsid w:val="004F07F6"/>
    <w:rsid w:val="004F07F9"/>
    <w:rsid w:val="004F08ED"/>
    <w:rsid w:val="004F0AF1"/>
    <w:rsid w:val="004F0B89"/>
    <w:rsid w:val="004F0F83"/>
    <w:rsid w:val="004F10BE"/>
    <w:rsid w:val="004F14F9"/>
    <w:rsid w:val="004F18B3"/>
    <w:rsid w:val="004F1A86"/>
    <w:rsid w:val="004F1B96"/>
    <w:rsid w:val="004F1C70"/>
    <w:rsid w:val="004F22D9"/>
    <w:rsid w:val="004F28C6"/>
    <w:rsid w:val="004F29DC"/>
    <w:rsid w:val="004F3673"/>
    <w:rsid w:val="004F3D50"/>
    <w:rsid w:val="004F43E1"/>
    <w:rsid w:val="004F46C4"/>
    <w:rsid w:val="004F48F7"/>
    <w:rsid w:val="004F49F9"/>
    <w:rsid w:val="004F4E82"/>
    <w:rsid w:val="004F5F49"/>
    <w:rsid w:val="004F6C06"/>
    <w:rsid w:val="004F72A0"/>
    <w:rsid w:val="004F7674"/>
    <w:rsid w:val="00501370"/>
    <w:rsid w:val="005014E2"/>
    <w:rsid w:val="00501BAD"/>
    <w:rsid w:val="0050213D"/>
    <w:rsid w:val="005023B3"/>
    <w:rsid w:val="0050283F"/>
    <w:rsid w:val="00502D82"/>
    <w:rsid w:val="00503480"/>
    <w:rsid w:val="00503C8F"/>
    <w:rsid w:val="0050475A"/>
    <w:rsid w:val="00504780"/>
    <w:rsid w:val="00504854"/>
    <w:rsid w:val="00504A5C"/>
    <w:rsid w:val="00504E8D"/>
    <w:rsid w:val="00504FDF"/>
    <w:rsid w:val="0050584A"/>
    <w:rsid w:val="005059DF"/>
    <w:rsid w:val="00505E28"/>
    <w:rsid w:val="00505E37"/>
    <w:rsid w:val="00506050"/>
    <w:rsid w:val="00506092"/>
    <w:rsid w:val="005066D4"/>
    <w:rsid w:val="00506FA5"/>
    <w:rsid w:val="005074B8"/>
    <w:rsid w:val="005075E6"/>
    <w:rsid w:val="0050786C"/>
    <w:rsid w:val="00507AB1"/>
    <w:rsid w:val="005100FD"/>
    <w:rsid w:val="005108A1"/>
    <w:rsid w:val="00510CB5"/>
    <w:rsid w:val="00510D96"/>
    <w:rsid w:val="00510E4C"/>
    <w:rsid w:val="00511B14"/>
    <w:rsid w:val="00511E99"/>
    <w:rsid w:val="00512441"/>
    <w:rsid w:val="0051252D"/>
    <w:rsid w:val="00512BF7"/>
    <w:rsid w:val="00512F39"/>
    <w:rsid w:val="00513167"/>
    <w:rsid w:val="005133EC"/>
    <w:rsid w:val="005137D0"/>
    <w:rsid w:val="00513A92"/>
    <w:rsid w:val="00513CC4"/>
    <w:rsid w:val="005145BE"/>
    <w:rsid w:val="00515390"/>
    <w:rsid w:val="005153B5"/>
    <w:rsid w:val="00515567"/>
    <w:rsid w:val="00515825"/>
    <w:rsid w:val="00515833"/>
    <w:rsid w:val="00515849"/>
    <w:rsid w:val="00516E8D"/>
    <w:rsid w:val="0051709B"/>
    <w:rsid w:val="005174C3"/>
    <w:rsid w:val="0051768D"/>
    <w:rsid w:val="00517C44"/>
    <w:rsid w:val="00517C62"/>
    <w:rsid w:val="005202BA"/>
    <w:rsid w:val="00520B2E"/>
    <w:rsid w:val="0052124B"/>
    <w:rsid w:val="005217D9"/>
    <w:rsid w:val="00521C96"/>
    <w:rsid w:val="00521D61"/>
    <w:rsid w:val="00521F9E"/>
    <w:rsid w:val="00522DDE"/>
    <w:rsid w:val="0052360C"/>
    <w:rsid w:val="00523BBC"/>
    <w:rsid w:val="00523DA7"/>
    <w:rsid w:val="00523DF2"/>
    <w:rsid w:val="005241E5"/>
    <w:rsid w:val="00524622"/>
    <w:rsid w:val="00524785"/>
    <w:rsid w:val="00524C3D"/>
    <w:rsid w:val="00524CA9"/>
    <w:rsid w:val="00524EC9"/>
    <w:rsid w:val="00525993"/>
    <w:rsid w:val="005262DE"/>
    <w:rsid w:val="005262F3"/>
    <w:rsid w:val="00527088"/>
    <w:rsid w:val="0052776B"/>
    <w:rsid w:val="00527A96"/>
    <w:rsid w:val="00527F39"/>
    <w:rsid w:val="00527F80"/>
    <w:rsid w:val="0053054A"/>
    <w:rsid w:val="00530734"/>
    <w:rsid w:val="00531250"/>
    <w:rsid w:val="00531338"/>
    <w:rsid w:val="005318C0"/>
    <w:rsid w:val="00531A14"/>
    <w:rsid w:val="005324B9"/>
    <w:rsid w:val="00533182"/>
    <w:rsid w:val="00533FCD"/>
    <w:rsid w:val="00534AAE"/>
    <w:rsid w:val="005351FA"/>
    <w:rsid w:val="00535520"/>
    <w:rsid w:val="005359BA"/>
    <w:rsid w:val="00535A02"/>
    <w:rsid w:val="00535D81"/>
    <w:rsid w:val="0053623B"/>
    <w:rsid w:val="005363A3"/>
    <w:rsid w:val="00536542"/>
    <w:rsid w:val="00536588"/>
    <w:rsid w:val="00536705"/>
    <w:rsid w:val="00536ECE"/>
    <w:rsid w:val="00537574"/>
    <w:rsid w:val="00537BA6"/>
    <w:rsid w:val="00540291"/>
    <w:rsid w:val="005406BE"/>
    <w:rsid w:val="00541119"/>
    <w:rsid w:val="005414DD"/>
    <w:rsid w:val="00541E2F"/>
    <w:rsid w:val="00541F82"/>
    <w:rsid w:val="0054303A"/>
    <w:rsid w:val="00543200"/>
    <w:rsid w:val="00543C57"/>
    <w:rsid w:val="00543D94"/>
    <w:rsid w:val="00543EBF"/>
    <w:rsid w:val="00543F20"/>
    <w:rsid w:val="005444DA"/>
    <w:rsid w:val="005452B8"/>
    <w:rsid w:val="00545C54"/>
    <w:rsid w:val="00546075"/>
    <w:rsid w:val="0054629B"/>
    <w:rsid w:val="0054632F"/>
    <w:rsid w:val="005469F8"/>
    <w:rsid w:val="005473C3"/>
    <w:rsid w:val="00547BA9"/>
    <w:rsid w:val="0055018A"/>
    <w:rsid w:val="0055030B"/>
    <w:rsid w:val="00551518"/>
    <w:rsid w:val="00551A55"/>
    <w:rsid w:val="00551AAC"/>
    <w:rsid w:val="00551D68"/>
    <w:rsid w:val="00551E93"/>
    <w:rsid w:val="005527D7"/>
    <w:rsid w:val="00552E52"/>
    <w:rsid w:val="00553BB1"/>
    <w:rsid w:val="005544F5"/>
    <w:rsid w:val="005557E7"/>
    <w:rsid w:val="00555B49"/>
    <w:rsid w:val="00555ED0"/>
    <w:rsid w:val="00556070"/>
    <w:rsid w:val="00556243"/>
    <w:rsid w:val="0055626B"/>
    <w:rsid w:val="005563BA"/>
    <w:rsid w:val="00556AC6"/>
    <w:rsid w:val="00556D8F"/>
    <w:rsid w:val="005571FC"/>
    <w:rsid w:val="0055782A"/>
    <w:rsid w:val="005578B0"/>
    <w:rsid w:val="00557BB2"/>
    <w:rsid w:val="005609B7"/>
    <w:rsid w:val="0056187F"/>
    <w:rsid w:val="00562048"/>
    <w:rsid w:val="005621F1"/>
    <w:rsid w:val="00562543"/>
    <w:rsid w:val="00562BE6"/>
    <w:rsid w:val="00563808"/>
    <w:rsid w:val="0056477C"/>
    <w:rsid w:val="00564A74"/>
    <w:rsid w:val="005652A1"/>
    <w:rsid w:val="0056594C"/>
    <w:rsid w:val="00565A99"/>
    <w:rsid w:val="00565C5B"/>
    <w:rsid w:val="005661F3"/>
    <w:rsid w:val="0056627F"/>
    <w:rsid w:val="00566624"/>
    <w:rsid w:val="00566CA5"/>
    <w:rsid w:val="005670C1"/>
    <w:rsid w:val="00567695"/>
    <w:rsid w:val="00567783"/>
    <w:rsid w:val="005679AB"/>
    <w:rsid w:val="00567FCC"/>
    <w:rsid w:val="005705D8"/>
    <w:rsid w:val="00571A7A"/>
    <w:rsid w:val="00571B10"/>
    <w:rsid w:val="00572057"/>
    <w:rsid w:val="00572142"/>
    <w:rsid w:val="005721A5"/>
    <w:rsid w:val="00572F97"/>
    <w:rsid w:val="00573316"/>
    <w:rsid w:val="00573795"/>
    <w:rsid w:val="00573B28"/>
    <w:rsid w:val="00573C50"/>
    <w:rsid w:val="00574A67"/>
    <w:rsid w:val="00575B0E"/>
    <w:rsid w:val="00575CF3"/>
    <w:rsid w:val="0057662B"/>
    <w:rsid w:val="0057692E"/>
    <w:rsid w:val="005779E6"/>
    <w:rsid w:val="00577E94"/>
    <w:rsid w:val="00577F37"/>
    <w:rsid w:val="005805D3"/>
    <w:rsid w:val="00581846"/>
    <w:rsid w:val="00581A39"/>
    <w:rsid w:val="00581B59"/>
    <w:rsid w:val="00581BB8"/>
    <w:rsid w:val="00581D55"/>
    <w:rsid w:val="0058250A"/>
    <w:rsid w:val="00582996"/>
    <w:rsid w:val="00582BA5"/>
    <w:rsid w:val="00582CE6"/>
    <w:rsid w:val="00582DC7"/>
    <w:rsid w:val="005830F0"/>
    <w:rsid w:val="00583D2C"/>
    <w:rsid w:val="00583D3B"/>
    <w:rsid w:val="00583E80"/>
    <w:rsid w:val="00583EAB"/>
    <w:rsid w:val="0058469B"/>
    <w:rsid w:val="00584A93"/>
    <w:rsid w:val="00584BFD"/>
    <w:rsid w:val="00584EBB"/>
    <w:rsid w:val="00585190"/>
    <w:rsid w:val="00585595"/>
    <w:rsid w:val="00586211"/>
    <w:rsid w:val="0058684B"/>
    <w:rsid w:val="00587331"/>
    <w:rsid w:val="005902F2"/>
    <w:rsid w:val="005906DD"/>
    <w:rsid w:val="005909B0"/>
    <w:rsid w:val="00591197"/>
    <w:rsid w:val="0059142C"/>
    <w:rsid w:val="0059158B"/>
    <w:rsid w:val="005916A8"/>
    <w:rsid w:val="0059184D"/>
    <w:rsid w:val="00591B7C"/>
    <w:rsid w:val="00591C41"/>
    <w:rsid w:val="00592374"/>
    <w:rsid w:val="00593735"/>
    <w:rsid w:val="00593C77"/>
    <w:rsid w:val="00594C84"/>
    <w:rsid w:val="00594E05"/>
    <w:rsid w:val="00595A2B"/>
    <w:rsid w:val="00595E97"/>
    <w:rsid w:val="005966B1"/>
    <w:rsid w:val="005970C4"/>
    <w:rsid w:val="00597225"/>
    <w:rsid w:val="005A04A2"/>
    <w:rsid w:val="005A06CA"/>
    <w:rsid w:val="005A0AA1"/>
    <w:rsid w:val="005A0D5B"/>
    <w:rsid w:val="005A12EE"/>
    <w:rsid w:val="005A161F"/>
    <w:rsid w:val="005A1756"/>
    <w:rsid w:val="005A1B50"/>
    <w:rsid w:val="005A2466"/>
    <w:rsid w:val="005A2E8B"/>
    <w:rsid w:val="005A3B27"/>
    <w:rsid w:val="005A3CBC"/>
    <w:rsid w:val="005A3FF0"/>
    <w:rsid w:val="005A40C1"/>
    <w:rsid w:val="005A43E8"/>
    <w:rsid w:val="005A4A9B"/>
    <w:rsid w:val="005A51B6"/>
    <w:rsid w:val="005A5AEC"/>
    <w:rsid w:val="005A638E"/>
    <w:rsid w:val="005A651B"/>
    <w:rsid w:val="005A65F3"/>
    <w:rsid w:val="005A6822"/>
    <w:rsid w:val="005A6960"/>
    <w:rsid w:val="005A6BCB"/>
    <w:rsid w:val="005A73AE"/>
    <w:rsid w:val="005A78F6"/>
    <w:rsid w:val="005A79FD"/>
    <w:rsid w:val="005A7FAC"/>
    <w:rsid w:val="005B030A"/>
    <w:rsid w:val="005B08E7"/>
    <w:rsid w:val="005B0C49"/>
    <w:rsid w:val="005B19F3"/>
    <w:rsid w:val="005B1DE8"/>
    <w:rsid w:val="005B1F64"/>
    <w:rsid w:val="005B1FAD"/>
    <w:rsid w:val="005B20BD"/>
    <w:rsid w:val="005B210F"/>
    <w:rsid w:val="005B2E96"/>
    <w:rsid w:val="005B319D"/>
    <w:rsid w:val="005B379A"/>
    <w:rsid w:val="005B381E"/>
    <w:rsid w:val="005B4259"/>
    <w:rsid w:val="005B4950"/>
    <w:rsid w:val="005B49B5"/>
    <w:rsid w:val="005B4D06"/>
    <w:rsid w:val="005B4D30"/>
    <w:rsid w:val="005B4F15"/>
    <w:rsid w:val="005B4FC1"/>
    <w:rsid w:val="005B513C"/>
    <w:rsid w:val="005B5258"/>
    <w:rsid w:val="005B5CA6"/>
    <w:rsid w:val="005B667C"/>
    <w:rsid w:val="005B6C57"/>
    <w:rsid w:val="005B700B"/>
    <w:rsid w:val="005C0101"/>
    <w:rsid w:val="005C0D4E"/>
    <w:rsid w:val="005C183E"/>
    <w:rsid w:val="005C1B23"/>
    <w:rsid w:val="005C22C7"/>
    <w:rsid w:val="005C26F7"/>
    <w:rsid w:val="005C27B7"/>
    <w:rsid w:val="005C2953"/>
    <w:rsid w:val="005C2BCE"/>
    <w:rsid w:val="005C2C28"/>
    <w:rsid w:val="005C325E"/>
    <w:rsid w:val="005C3922"/>
    <w:rsid w:val="005C3A72"/>
    <w:rsid w:val="005C3F5D"/>
    <w:rsid w:val="005C4680"/>
    <w:rsid w:val="005C47CD"/>
    <w:rsid w:val="005C4ADC"/>
    <w:rsid w:val="005C54F3"/>
    <w:rsid w:val="005C5781"/>
    <w:rsid w:val="005C600C"/>
    <w:rsid w:val="005C6511"/>
    <w:rsid w:val="005C651A"/>
    <w:rsid w:val="005C6C3E"/>
    <w:rsid w:val="005C7153"/>
    <w:rsid w:val="005C7299"/>
    <w:rsid w:val="005C77C0"/>
    <w:rsid w:val="005C78A7"/>
    <w:rsid w:val="005C7C25"/>
    <w:rsid w:val="005D0284"/>
    <w:rsid w:val="005D19FD"/>
    <w:rsid w:val="005D2021"/>
    <w:rsid w:val="005D2400"/>
    <w:rsid w:val="005D24D6"/>
    <w:rsid w:val="005D2764"/>
    <w:rsid w:val="005D34A8"/>
    <w:rsid w:val="005D3802"/>
    <w:rsid w:val="005D39DA"/>
    <w:rsid w:val="005D404C"/>
    <w:rsid w:val="005D4B93"/>
    <w:rsid w:val="005D53BF"/>
    <w:rsid w:val="005D53CB"/>
    <w:rsid w:val="005D577E"/>
    <w:rsid w:val="005D5E70"/>
    <w:rsid w:val="005D5ECD"/>
    <w:rsid w:val="005D60F3"/>
    <w:rsid w:val="005D6566"/>
    <w:rsid w:val="005D687A"/>
    <w:rsid w:val="005D6C35"/>
    <w:rsid w:val="005D762F"/>
    <w:rsid w:val="005D77C8"/>
    <w:rsid w:val="005D7CEA"/>
    <w:rsid w:val="005D7FE7"/>
    <w:rsid w:val="005E04FA"/>
    <w:rsid w:val="005E0643"/>
    <w:rsid w:val="005E0E3D"/>
    <w:rsid w:val="005E1344"/>
    <w:rsid w:val="005E2673"/>
    <w:rsid w:val="005E3032"/>
    <w:rsid w:val="005E3210"/>
    <w:rsid w:val="005E325A"/>
    <w:rsid w:val="005E3479"/>
    <w:rsid w:val="005E349B"/>
    <w:rsid w:val="005E3936"/>
    <w:rsid w:val="005E3BFB"/>
    <w:rsid w:val="005E4001"/>
    <w:rsid w:val="005E46F9"/>
    <w:rsid w:val="005E49F6"/>
    <w:rsid w:val="005E4B01"/>
    <w:rsid w:val="005E4CD2"/>
    <w:rsid w:val="005E5B74"/>
    <w:rsid w:val="005E714F"/>
    <w:rsid w:val="005F00EB"/>
    <w:rsid w:val="005F0551"/>
    <w:rsid w:val="005F1341"/>
    <w:rsid w:val="005F1697"/>
    <w:rsid w:val="005F16EC"/>
    <w:rsid w:val="005F1E8D"/>
    <w:rsid w:val="005F22BD"/>
    <w:rsid w:val="005F2401"/>
    <w:rsid w:val="005F2600"/>
    <w:rsid w:val="005F34BA"/>
    <w:rsid w:val="005F3AFB"/>
    <w:rsid w:val="005F3DEE"/>
    <w:rsid w:val="005F4001"/>
    <w:rsid w:val="005F4B69"/>
    <w:rsid w:val="005F4D97"/>
    <w:rsid w:val="005F5375"/>
    <w:rsid w:val="005F54BF"/>
    <w:rsid w:val="005F5B45"/>
    <w:rsid w:val="005F626F"/>
    <w:rsid w:val="005F6893"/>
    <w:rsid w:val="005F7021"/>
    <w:rsid w:val="005F72DB"/>
    <w:rsid w:val="006010A4"/>
    <w:rsid w:val="00601555"/>
    <w:rsid w:val="0060172E"/>
    <w:rsid w:val="00601FEF"/>
    <w:rsid w:val="00602281"/>
    <w:rsid w:val="00602B53"/>
    <w:rsid w:val="00602D52"/>
    <w:rsid w:val="00602E88"/>
    <w:rsid w:val="00602F6C"/>
    <w:rsid w:val="006031FB"/>
    <w:rsid w:val="0060322F"/>
    <w:rsid w:val="00603DB6"/>
    <w:rsid w:val="00603DE2"/>
    <w:rsid w:val="00604595"/>
    <w:rsid w:val="0060477E"/>
    <w:rsid w:val="00604891"/>
    <w:rsid w:val="00604E6E"/>
    <w:rsid w:val="00605220"/>
    <w:rsid w:val="00605231"/>
    <w:rsid w:val="0060531F"/>
    <w:rsid w:val="00605513"/>
    <w:rsid w:val="00606087"/>
    <w:rsid w:val="006061AA"/>
    <w:rsid w:val="0060642C"/>
    <w:rsid w:val="006069D2"/>
    <w:rsid w:val="00606D3F"/>
    <w:rsid w:val="00607C18"/>
    <w:rsid w:val="00607CBF"/>
    <w:rsid w:val="00610C34"/>
    <w:rsid w:val="00611555"/>
    <w:rsid w:val="006118AC"/>
    <w:rsid w:val="00611926"/>
    <w:rsid w:val="00611E0B"/>
    <w:rsid w:val="0061246D"/>
    <w:rsid w:val="006124C0"/>
    <w:rsid w:val="0061389A"/>
    <w:rsid w:val="00613AA0"/>
    <w:rsid w:val="00614452"/>
    <w:rsid w:val="00614877"/>
    <w:rsid w:val="00614937"/>
    <w:rsid w:val="00614F01"/>
    <w:rsid w:val="0061522C"/>
    <w:rsid w:val="0061551E"/>
    <w:rsid w:val="006155CA"/>
    <w:rsid w:val="00615AC4"/>
    <w:rsid w:val="00615F26"/>
    <w:rsid w:val="00615F5C"/>
    <w:rsid w:val="00616C05"/>
    <w:rsid w:val="006174B7"/>
    <w:rsid w:val="00617857"/>
    <w:rsid w:val="00617FC8"/>
    <w:rsid w:val="00621573"/>
    <w:rsid w:val="00621FF6"/>
    <w:rsid w:val="00622385"/>
    <w:rsid w:val="0062320E"/>
    <w:rsid w:val="006235D2"/>
    <w:rsid w:val="006238D0"/>
    <w:rsid w:val="006238E4"/>
    <w:rsid w:val="0062423D"/>
    <w:rsid w:val="00624537"/>
    <w:rsid w:val="006245D8"/>
    <w:rsid w:val="00624C01"/>
    <w:rsid w:val="00624CE0"/>
    <w:rsid w:val="00624D64"/>
    <w:rsid w:val="00624FA8"/>
    <w:rsid w:val="00625522"/>
    <w:rsid w:val="00625CF2"/>
    <w:rsid w:val="006266A0"/>
    <w:rsid w:val="006272E6"/>
    <w:rsid w:val="00627405"/>
    <w:rsid w:val="0063024E"/>
    <w:rsid w:val="00630C11"/>
    <w:rsid w:val="00631840"/>
    <w:rsid w:val="00632648"/>
    <w:rsid w:val="0063275B"/>
    <w:rsid w:val="006327F0"/>
    <w:rsid w:val="00632B05"/>
    <w:rsid w:val="00632CEF"/>
    <w:rsid w:val="0063492B"/>
    <w:rsid w:val="00634B28"/>
    <w:rsid w:val="00634C82"/>
    <w:rsid w:val="00634F11"/>
    <w:rsid w:val="0063500B"/>
    <w:rsid w:val="006353DC"/>
    <w:rsid w:val="006368FE"/>
    <w:rsid w:val="006374E4"/>
    <w:rsid w:val="00637A78"/>
    <w:rsid w:val="006403C4"/>
    <w:rsid w:val="00640868"/>
    <w:rsid w:val="00640886"/>
    <w:rsid w:val="0064110A"/>
    <w:rsid w:val="006415C6"/>
    <w:rsid w:val="0064241D"/>
    <w:rsid w:val="00642737"/>
    <w:rsid w:val="00642845"/>
    <w:rsid w:val="00643878"/>
    <w:rsid w:val="0064389F"/>
    <w:rsid w:val="0064454F"/>
    <w:rsid w:val="00644550"/>
    <w:rsid w:val="006446C3"/>
    <w:rsid w:val="00644758"/>
    <w:rsid w:val="00644E70"/>
    <w:rsid w:val="00644F45"/>
    <w:rsid w:val="00644F9B"/>
    <w:rsid w:val="006450D6"/>
    <w:rsid w:val="00647059"/>
    <w:rsid w:val="0064727F"/>
    <w:rsid w:val="006472DE"/>
    <w:rsid w:val="0064766A"/>
    <w:rsid w:val="0065032B"/>
    <w:rsid w:val="006505D9"/>
    <w:rsid w:val="00650A55"/>
    <w:rsid w:val="00650DD7"/>
    <w:rsid w:val="0065190E"/>
    <w:rsid w:val="00651A2F"/>
    <w:rsid w:val="006521EB"/>
    <w:rsid w:val="00652301"/>
    <w:rsid w:val="006526C7"/>
    <w:rsid w:val="006527FB"/>
    <w:rsid w:val="00652AE8"/>
    <w:rsid w:val="0065333A"/>
    <w:rsid w:val="00653409"/>
    <w:rsid w:val="006534A8"/>
    <w:rsid w:val="006536FC"/>
    <w:rsid w:val="00653843"/>
    <w:rsid w:val="00653D50"/>
    <w:rsid w:val="00654395"/>
    <w:rsid w:val="006545F6"/>
    <w:rsid w:val="00655170"/>
    <w:rsid w:val="006552F3"/>
    <w:rsid w:val="00655350"/>
    <w:rsid w:val="006554E5"/>
    <w:rsid w:val="006555F1"/>
    <w:rsid w:val="00655FE8"/>
    <w:rsid w:val="00656725"/>
    <w:rsid w:val="00656928"/>
    <w:rsid w:val="006569B3"/>
    <w:rsid w:val="00656EDD"/>
    <w:rsid w:val="00657237"/>
    <w:rsid w:val="006602BF"/>
    <w:rsid w:val="00660AC7"/>
    <w:rsid w:val="0066133A"/>
    <w:rsid w:val="00661549"/>
    <w:rsid w:val="006615AD"/>
    <w:rsid w:val="00661BC3"/>
    <w:rsid w:val="00661CB6"/>
    <w:rsid w:val="006620F8"/>
    <w:rsid w:val="006622A3"/>
    <w:rsid w:val="00662382"/>
    <w:rsid w:val="006626E7"/>
    <w:rsid w:val="00662A7C"/>
    <w:rsid w:val="00662DA6"/>
    <w:rsid w:val="00663488"/>
    <w:rsid w:val="0066546E"/>
    <w:rsid w:val="00665CE1"/>
    <w:rsid w:val="00666BBD"/>
    <w:rsid w:val="00666F77"/>
    <w:rsid w:val="0066741F"/>
    <w:rsid w:val="00667AE7"/>
    <w:rsid w:val="006707ED"/>
    <w:rsid w:val="00670EEF"/>
    <w:rsid w:val="0067106A"/>
    <w:rsid w:val="00671319"/>
    <w:rsid w:val="0067162A"/>
    <w:rsid w:val="00671838"/>
    <w:rsid w:val="00671F60"/>
    <w:rsid w:val="00671FC2"/>
    <w:rsid w:val="006727C0"/>
    <w:rsid w:val="00672B04"/>
    <w:rsid w:val="00672E41"/>
    <w:rsid w:val="00672F5B"/>
    <w:rsid w:val="00672FC4"/>
    <w:rsid w:val="00673150"/>
    <w:rsid w:val="00673375"/>
    <w:rsid w:val="0067355D"/>
    <w:rsid w:val="006743E8"/>
    <w:rsid w:val="006744EB"/>
    <w:rsid w:val="00674967"/>
    <w:rsid w:val="00674989"/>
    <w:rsid w:val="00674CB4"/>
    <w:rsid w:val="00674DCC"/>
    <w:rsid w:val="00674F8F"/>
    <w:rsid w:val="0067505B"/>
    <w:rsid w:val="00675C6A"/>
    <w:rsid w:val="00675D9B"/>
    <w:rsid w:val="00675E7A"/>
    <w:rsid w:val="0067625F"/>
    <w:rsid w:val="00676710"/>
    <w:rsid w:val="0067677F"/>
    <w:rsid w:val="006768C4"/>
    <w:rsid w:val="00676C09"/>
    <w:rsid w:val="00676C3C"/>
    <w:rsid w:val="00676D4E"/>
    <w:rsid w:val="00676E04"/>
    <w:rsid w:val="00676E39"/>
    <w:rsid w:val="00677433"/>
    <w:rsid w:val="006777E2"/>
    <w:rsid w:val="00677E82"/>
    <w:rsid w:val="006800D5"/>
    <w:rsid w:val="006805BD"/>
    <w:rsid w:val="00680616"/>
    <w:rsid w:val="00681289"/>
    <w:rsid w:val="006813D4"/>
    <w:rsid w:val="006815FF"/>
    <w:rsid w:val="00681E27"/>
    <w:rsid w:val="00682342"/>
    <w:rsid w:val="00682727"/>
    <w:rsid w:val="0068283E"/>
    <w:rsid w:val="00682D05"/>
    <w:rsid w:val="00682FB5"/>
    <w:rsid w:val="00683029"/>
    <w:rsid w:val="0068355E"/>
    <w:rsid w:val="00683638"/>
    <w:rsid w:val="006838E7"/>
    <w:rsid w:val="00683A86"/>
    <w:rsid w:val="00683F2C"/>
    <w:rsid w:val="006843FA"/>
    <w:rsid w:val="00684494"/>
    <w:rsid w:val="00684789"/>
    <w:rsid w:val="00684C15"/>
    <w:rsid w:val="006855DB"/>
    <w:rsid w:val="006857B9"/>
    <w:rsid w:val="006861FC"/>
    <w:rsid w:val="0068644C"/>
    <w:rsid w:val="00686B11"/>
    <w:rsid w:val="006871E3"/>
    <w:rsid w:val="00687623"/>
    <w:rsid w:val="00687724"/>
    <w:rsid w:val="00687BD1"/>
    <w:rsid w:val="006905D7"/>
    <w:rsid w:val="00690655"/>
    <w:rsid w:val="0069081D"/>
    <w:rsid w:val="0069083F"/>
    <w:rsid w:val="006914A2"/>
    <w:rsid w:val="00691DE6"/>
    <w:rsid w:val="00691E2B"/>
    <w:rsid w:val="0069207D"/>
    <w:rsid w:val="006923B4"/>
    <w:rsid w:val="006930B5"/>
    <w:rsid w:val="00693145"/>
    <w:rsid w:val="0069427D"/>
    <w:rsid w:val="006946B1"/>
    <w:rsid w:val="00694701"/>
    <w:rsid w:val="00694D1B"/>
    <w:rsid w:val="0069502C"/>
    <w:rsid w:val="006951D0"/>
    <w:rsid w:val="00695B0E"/>
    <w:rsid w:val="00695C93"/>
    <w:rsid w:val="00695D4D"/>
    <w:rsid w:val="006961E5"/>
    <w:rsid w:val="00696C0A"/>
    <w:rsid w:val="00697DE9"/>
    <w:rsid w:val="00697E15"/>
    <w:rsid w:val="00697F20"/>
    <w:rsid w:val="006A0062"/>
    <w:rsid w:val="006A03A2"/>
    <w:rsid w:val="006A0C49"/>
    <w:rsid w:val="006A0D80"/>
    <w:rsid w:val="006A1265"/>
    <w:rsid w:val="006A181C"/>
    <w:rsid w:val="006A1CE4"/>
    <w:rsid w:val="006A1F22"/>
    <w:rsid w:val="006A253C"/>
    <w:rsid w:val="006A25AE"/>
    <w:rsid w:val="006A2C00"/>
    <w:rsid w:val="006A2EC9"/>
    <w:rsid w:val="006A368F"/>
    <w:rsid w:val="006A36F6"/>
    <w:rsid w:val="006A3996"/>
    <w:rsid w:val="006A4A04"/>
    <w:rsid w:val="006A4DD6"/>
    <w:rsid w:val="006A53B0"/>
    <w:rsid w:val="006A55FF"/>
    <w:rsid w:val="006A57D4"/>
    <w:rsid w:val="006A58D7"/>
    <w:rsid w:val="006A5FB7"/>
    <w:rsid w:val="006A601B"/>
    <w:rsid w:val="006A632F"/>
    <w:rsid w:val="006A6370"/>
    <w:rsid w:val="006A6678"/>
    <w:rsid w:val="006A673A"/>
    <w:rsid w:val="006A6AC5"/>
    <w:rsid w:val="006A6F9C"/>
    <w:rsid w:val="006A6FDD"/>
    <w:rsid w:val="006A775D"/>
    <w:rsid w:val="006A79FD"/>
    <w:rsid w:val="006A7F24"/>
    <w:rsid w:val="006B0C18"/>
    <w:rsid w:val="006B0D22"/>
    <w:rsid w:val="006B1B46"/>
    <w:rsid w:val="006B2689"/>
    <w:rsid w:val="006B26E3"/>
    <w:rsid w:val="006B2FBF"/>
    <w:rsid w:val="006B3107"/>
    <w:rsid w:val="006B329C"/>
    <w:rsid w:val="006B36CF"/>
    <w:rsid w:val="006B379C"/>
    <w:rsid w:val="006B37C4"/>
    <w:rsid w:val="006B3D01"/>
    <w:rsid w:val="006B3F38"/>
    <w:rsid w:val="006B433F"/>
    <w:rsid w:val="006B48C7"/>
    <w:rsid w:val="006B4925"/>
    <w:rsid w:val="006B4B64"/>
    <w:rsid w:val="006B52F4"/>
    <w:rsid w:val="006B54E0"/>
    <w:rsid w:val="006B5548"/>
    <w:rsid w:val="006B56AC"/>
    <w:rsid w:val="006B62F2"/>
    <w:rsid w:val="006B64CC"/>
    <w:rsid w:val="006B6605"/>
    <w:rsid w:val="006B6708"/>
    <w:rsid w:val="006B686E"/>
    <w:rsid w:val="006B6A25"/>
    <w:rsid w:val="006B6C15"/>
    <w:rsid w:val="006B6D2F"/>
    <w:rsid w:val="006B71D5"/>
    <w:rsid w:val="006B7C36"/>
    <w:rsid w:val="006B7EFC"/>
    <w:rsid w:val="006C0209"/>
    <w:rsid w:val="006C0322"/>
    <w:rsid w:val="006C0BA0"/>
    <w:rsid w:val="006C0EA8"/>
    <w:rsid w:val="006C1263"/>
    <w:rsid w:val="006C17A8"/>
    <w:rsid w:val="006C183D"/>
    <w:rsid w:val="006C211A"/>
    <w:rsid w:val="006C2BB0"/>
    <w:rsid w:val="006C2FF4"/>
    <w:rsid w:val="006C3778"/>
    <w:rsid w:val="006C4384"/>
    <w:rsid w:val="006C4418"/>
    <w:rsid w:val="006C5C1A"/>
    <w:rsid w:val="006C63BC"/>
    <w:rsid w:val="006C6519"/>
    <w:rsid w:val="006C75CB"/>
    <w:rsid w:val="006C7E29"/>
    <w:rsid w:val="006D1553"/>
    <w:rsid w:val="006D175F"/>
    <w:rsid w:val="006D18C1"/>
    <w:rsid w:val="006D1AB0"/>
    <w:rsid w:val="006D1C73"/>
    <w:rsid w:val="006D2174"/>
    <w:rsid w:val="006D2446"/>
    <w:rsid w:val="006D2E59"/>
    <w:rsid w:val="006D3419"/>
    <w:rsid w:val="006D3650"/>
    <w:rsid w:val="006D4283"/>
    <w:rsid w:val="006D4E19"/>
    <w:rsid w:val="006D4E3B"/>
    <w:rsid w:val="006D4FD5"/>
    <w:rsid w:val="006D522E"/>
    <w:rsid w:val="006D5720"/>
    <w:rsid w:val="006D5862"/>
    <w:rsid w:val="006D5B62"/>
    <w:rsid w:val="006D5C60"/>
    <w:rsid w:val="006D68F5"/>
    <w:rsid w:val="006D6B76"/>
    <w:rsid w:val="006D70F4"/>
    <w:rsid w:val="006D77DC"/>
    <w:rsid w:val="006D7C4B"/>
    <w:rsid w:val="006D7C5B"/>
    <w:rsid w:val="006D7CFB"/>
    <w:rsid w:val="006D7D16"/>
    <w:rsid w:val="006E01CD"/>
    <w:rsid w:val="006E0673"/>
    <w:rsid w:val="006E0AF4"/>
    <w:rsid w:val="006E101A"/>
    <w:rsid w:val="006E13AF"/>
    <w:rsid w:val="006E1510"/>
    <w:rsid w:val="006E1737"/>
    <w:rsid w:val="006E17FB"/>
    <w:rsid w:val="006E22C3"/>
    <w:rsid w:val="006E2EEB"/>
    <w:rsid w:val="006E2F31"/>
    <w:rsid w:val="006E31A3"/>
    <w:rsid w:val="006E3240"/>
    <w:rsid w:val="006E35AD"/>
    <w:rsid w:val="006E3951"/>
    <w:rsid w:val="006E3A7A"/>
    <w:rsid w:val="006E3B47"/>
    <w:rsid w:val="006E42B8"/>
    <w:rsid w:val="006E4305"/>
    <w:rsid w:val="006E459E"/>
    <w:rsid w:val="006E4664"/>
    <w:rsid w:val="006E4A15"/>
    <w:rsid w:val="006E5E11"/>
    <w:rsid w:val="006E6065"/>
    <w:rsid w:val="006E60B1"/>
    <w:rsid w:val="006E6168"/>
    <w:rsid w:val="006E643A"/>
    <w:rsid w:val="006E65C9"/>
    <w:rsid w:val="006E6706"/>
    <w:rsid w:val="006E6B69"/>
    <w:rsid w:val="006E7090"/>
    <w:rsid w:val="006E7C64"/>
    <w:rsid w:val="006E7CC6"/>
    <w:rsid w:val="006E7DF3"/>
    <w:rsid w:val="006F0739"/>
    <w:rsid w:val="006F0785"/>
    <w:rsid w:val="006F0A18"/>
    <w:rsid w:val="006F0FC7"/>
    <w:rsid w:val="006F111E"/>
    <w:rsid w:val="006F1824"/>
    <w:rsid w:val="006F2967"/>
    <w:rsid w:val="006F2989"/>
    <w:rsid w:val="006F3E60"/>
    <w:rsid w:val="006F3FA5"/>
    <w:rsid w:val="006F4BA2"/>
    <w:rsid w:val="006F529B"/>
    <w:rsid w:val="006F5E3D"/>
    <w:rsid w:val="006F5EC7"/>
    <w:rsid w:val="006F5FF4"/>
    <w:rsid w:val="006F6107"/>
    <w:rsid w:val="006F64F2"/>
    <w:rsid w:val="006F6927"/>
    <w:rsid w:val="006F6D89"/>
    <w:rsid w:val="006F7029"/>
    <w:rsid w:val="006F7849"/>
    <w:rsid w:val="006F78DF"/>
    <w:rsid w:val="00700198"/>
    <w:rsid w:val="0070083A"/>
    <w:rsid w:val="00700FA1"/>
    <w:rsid w:val="007013E5"/>
    <w:rsid w:val="00701455"/>
    <w:rsid w:val="007018E1"/>
    <w:rsid w:val="007019DB"/>
    <w:rsid w:val="00701ABD"/>
    <w:rsid w:val="00701C69"/>
    <w:rsid w:val="00701D22"/>
    <w:rsid w:val="0070226E"/>
    <w:rsid w:val="00702886"/>
    <w:rsid w:val="00702EC6"/>
    <w:rsid w:val="007036D5"/>
    <w:rsid w:val="00703916"/>
    <w:rsid w:val="007039E0"/>
    <w:rsid w:val="00703B0C"/>
    <w:rsid w:val="00703CCB"/>
    <w:rsid w:val="00703FCD"/>
    <w:rsid w:val="007041CA"/>
    <w:rsid w:val="00704288"/>
    <w:rsid w:val="00704709"/>
    <w:rsid w:val="00704C18"/>
    <w:rsid w:val="0070557D"/>
    <w:rsid w:val="007057F1"/>
    <w:rsid w:val="007058A2"/>
    <w:rsid w:val="00705B48"/>
    <w:rsid w:val="007061D7"/>
    <w:rsid w:val="00706550"/>
    <w:rsid w:val="00706E72"/>
    <w:rsid w:val="00707565"/>
    <w:rsid w:val="00707995"/>
    <w:rsid w:val="00707A83"/>
    <w:rsid w:val="00710677"/>
    <w:rsid w:val="00710A9E"/>
    <w:rsid w:val="00710C57"/>
    <w:rsid w:val="007111FA"/>
    <w:rsid w:val="00711243"/>
    <w:rsid w:val="00711BFA"/>
    <w:rsid w:val="00712B9F"/>
    <w:rsid w:val="00712D77"/>
    <w:rsid w:val="0071317A"/>
    <w:rsid w:val="007131A4"/>
    <w:rsid w:val="007135F0"/>
    <w:rsid w:val="00713C6D"/>
    <w:rsid w:val="00713FE9"/>
    <w:rsid w:val="007141D7"/>
    <w:rsid w:val="00714357"/>
    <w:rsid w:val="00714562"/>
    <w:rsid w:val="00714BBD"/>
    <w:rsid w:val="00715ADB"/>
    <w:rsid w:val="00715BB8"/>
    <w:rsid w:val="00715D17"/>
    <w:rsid w:val="00715D1D"/>
    <w:rsid w:val="00716203"/>
    <w:rsid w:val="007162D9"/>
    <w:rsid w:val="0071647B"/>
    <w:rsid w:val="00716FF0"/>
    <w:rsid w:val="007170E0"/>
    <w:rsid w:val="0071745A"/>
    <w:rsid w:val="0071755C"/>
    <w:rsid w:val="007178F1"/>
    <w:rsid w:val="007206CE"/>
    <w:rsid w:val="00720EBF"/>
    <w:rsid w:val="00720EE9"/>
    <w:rsid w:val="00720F2B"/>
    <w:rsid w:val="007210CE"/>
    <w:rsid w:val="007218CF"/>
    <w:rsid w:val="00721ADB"/>
    <w:rsid w:val="00721D5C"/>
    <w:rsid w:val="00721FE8"/>
    <w:rsid w:val="00722377"/>
    <w:rsid w:val="00722D90"/>
    <w:rsid w:val="00723013"/>
    <w:rsid w:val="007234EC"/>
    <w:rsid w:val="0072361F"/>
    <w:rsid w:val="007238A6"/>
    <w:rsid w:val="00723F29"/>
    <w:rsid w:val="00723F6B"/>
    <w:rsid w:val="007247D9"/>
    <w:rsid w:val="00724B62"/>
    <w:rsid w:val="00724E45"/>
    <w:rsid w:val="0072509E"/>
    <w:rsid w:val="007254E6"/>
    <w:rsid w:val="00725C69"/>
    <w:rsid w:val="007267AA"/>
    <w:rsid w:val="00726E64"/>
    <w:rsid w:val="00727DE2"/>
    <w:rsid w:val="00730214"/>
    <w:rsid w:val="00730A52"/>
    <w:rsid w:val="00730F6D"/>
    <w:rsid w:val="00731372"/>
    <w:rsid w:val="00731376"/>
    <w:rsid w:val="00731E34"/>
    <w:rsid w:val="00731E45"/>
    <w:rsid w:val="00731FF2"/>
    <w:rsid w:val="007321EF"/>
    <w:rsid w:val="0073229A"/>
    <w:rsid w:val="0073300F"/>
    <w:rsid w:val="0073309D"/>
    <w:rsid w:val="0073324F"/>
    <w:rsid w:val="00733361"/>
    <w:rsid w:val="00733365"/>
    <w:rsid w:val="0073338F"/>
    <w:rsid w:val="007336F4"/>
    <w:rsid w:val="00733F80"/>
    <w:rsid w:val="00735233"/>
    <w:rsid w:val="00735735"/>
    <w:rsid w:val="0073594C"/>
    <w:rsid w:val="00735F3E"/>
    <w:rsid w:val="0073601C"/>
    <w:rsid w:val="00736341"/>
    <w:rsid w:val="00736A08"/>
    <w:rsid w:val="00736CF0"/>
    <w:rsid w:val="0073702B"/>
    <w:rsid w:val="00737368"/>
    <w:rsid w:val="00737415"/>
    <w:rsid w:val="00737645"/>
    <w:rsid w:val="0074016A"/>
    <w:rsid w:val="00740561"/>
    <w:rsid w:val="0074090A"/>
    <w:rsid w:val="00740C04"/>
    <w:rsid w:val="00741A18"/>
    <w:rsid w:val="00741B64"/>
    <w:rsid w:val="007420E0"/>
    <w:rsid w:val="00742151"/>
    <w:rsid w:val="0074247D"/>
    <w:rsid w:val="00742FDD"/>
    <w:rsid w:val="00743119"/>
    <w:rsid w:val="0074328B"/>
    <w:rsid w:val="007435C0"/>
    <w:rsid w:val="00743961"/>
    <w:rsid w:val="0074444A"/>
    <w:rsid w:val="007445DA"/>
    <w:rsid w:val="00744784"/>
    <w:rsid w:val="00744A94"/>
    <w:rsid w:val="007451AF"/>
    <w:rsid w:val="007457DD"/>
    <w:rsid w:val="00745B02"/>
    <w:rsid w:val="00746145"/>
    <w:rsid w:val="007463A6"/>
    <w:rsid w:val="00746BCC"/>
    <w:rsid w:val="00747383"/>
    <w:rsid w:val="007477B8"/>
    <w:rsid w:val="00747AB5"/>
    <w:rsid w:val="007505FF"/>
    <w:rsid w:val="0075060A"/>
    <w:rsid w:val="00750676"/>
    <w:rsid w:val="0075071B"/>
    <w:rsid w:val="00750D37"/>
    <w:rsid w:val="00750D69"/>
    <w:rsid w:val="00751DFE"/>
    <w:rsid w:val="00751FFA"/>
    <w:rsid w:val="007520E4"/>
    <w:rsid w:val="007526AC"/>
    <w:rsid w:val="0075341D"/>
    <w:rsid w:val="00753CED"/>
    <w:rsid w:val="007542AD"/>
    <w:rsid w:val="007550E3"/>
    <w:rsid w:val="00755B9F"/>
    <w:rsid w:val="00755FB5"/>
    <w:rsid w:val="007565A6"/>
    <w:rsid w:val="00757179"/>
    <w:rsid w:val="007571D2"/>
    <w:rsid w:val="007575D0"/>
    <w:rsid w:val="007578FC"/>
    <w:rsid w:val="007602B9"/>
    <w:rsid w:val="00760418"/>
    <w:rsid w:val="00760715"/>
    <w:rsid w:val="00760D51"/>
    <w:rsid w:val="007613D4"/>
    <w:rsid w:val="00761772"/>
    <w:rsid w:val="00761949"/>
    <w:rsid w:val="007620AE"/>
    <w:rsid w:val="00762487"/>
    <w:rsid w:val="007626F2"/>
    <w:rsid w:val="007627B4"/>
    <w:rsid w:val="00762BD7"/>
    <w:rsid w:val="007631DC"/>
    <w:rsid w:val="00763254"/>
    <w:rsid w:val="00763974"/>
    <w:rsid w:val="00763C2F"/>
    <w:rsid w:val="00763C38"/>
    <w:rsid w:val="00763D14"/>
    <w:rsid w:val="00763F12"/>
    <w:rsid w:val="00764036"/>
    <w:rsid w:val="0076431D"/>
    <w:rsid w:val="00764A90"/>
    <w:rsid w:val="007654ED"/>
    <w:rsid w:val="00765750"/>
    <w:rsid w:val="00766523"/>
    <w:rsid w:val="0076657A"/>
    <w:rsid w:val="00766924"/>
    <w:rsid w:val="00766A40"/>
    <w:rsid w:val="00766BBF"/>
    <w:rsid w:val="00767577"/>
    <w:rsid w:val="007675E9"/>
    <w:rsid w:val="00767970"/>
    <w:rsid w:val="00767E9C"/>
    <w:rsid w:val="00767EEF"/>
    <w:rsid w:val="007704C2"/>
    <w:rsid w:val="00770542"/>
    <w:rsid w:val="00770847"/>
    <w:rsid w:val="00770B34"/>
    <w:rsid w:val="00770CA0"/>
    <w:rsid w:val="00771FF4"/>
    <w:rsid w:val="00772C37"/>
    <w:rsid w:val="0077349D"/>
    <w:rsid w:val="0077354C"/>
    <w:rsid w:val="00773A57"/>
    <w:rsid w:val="00773AA8"/>
    <w:rsid w:val="00773D0F"/>
    <w:rsid w:val="007740DB"/>
    <w:rsid w:val="00774A9B"/>
    <w:rsid w:val="00774FD1"/>
    <w:rsid w:val="007751B9"/>
    <w:rsid w:val="00775871"/>
    <w:rsid w:val="00775B26"/>
    <w:rsid w:val="00775D32"/>
    <w:rsid w:val="0077600C"/>
    <w:rsid w:val="0077612E"/>
    <w:rsid w:val="00776262"/>
    <w:rsid w:val="00776D52"/>
    <w:rsid w:val="0077748E"/>
    <w:rsid w:val="007774FC"/>
    <w:rsid w:val="0078027A"/>
    <w:rsid w:val="007802B2"/>
    <w:rsid w:val="00780B7D"/>
    <w:rsid w:val="00780EC4"/>
    <w:rsid w:val="0078117B"/>
    <w:rsid w:val="0078122C"/>
    <w:rsid w:val="007814ED"/>
    <w:rsid w:val="0078266F"/>
    <w:rsid w:val="00782906"/>
    <w:rsid w:val="007837AF"/>
    <w:rsid w:val="00783ABA"/>
    <w:rsid w:val="00784321"/>
    <w:rsid w:val="00784B71"/>
    <w:rsid w:val="00784DC8"/>
    <w:rsid w:val="00784FB5"/>
    <w:rsid w:val="0078584A"/>
    <w:rsid w:val="00785CA5"/>
    <w:rsid w:val="00786096"/>
    <w:rsid w:val="00786238"/>
    <w:rsid w:val="007863EF"/>
    <w:rsid w:val="0078645A"/>
    <w:rsid w:val="0078656D"/>
    <w:rsid w:val="00786665"/>
    <w:rsid w:val="00786A5F"/>
    <w:rsid w:val="00786DA5"/>
    <w:rsid w:val="00786F92"/>
    <w:rsid w:val="00787214"/>
    <w:rsid w:val="00787693"/>
    <w:rsid w:val="00787802"/>
    <w:rsid w:val="00787D9A"/>
    <w:rsid w:val="00787EE1"/>
    <w:rsid w:val="00790EAA"/>
    <w:rsid w:val="00790F99"/>
    <w:rsid w:val="007913CB"/>
    <w:rsid w:val="00791FC7"/>
    <w:rsid w:val="007921ED"/>
    <w:rsid w:val="00792965"/>
    <w:rsid w:val="00792AF0"/>
    <w:rsid w:val="007930ED"/>
    <w:rsid w:val="007931BD"/>
    <w:rsid w:val="007931CF"/>
    <w:rsid w:val="00793359"/>
    <w:rsid w:val="00793C96"/>
    <w:rsid w:val="00793EC8"/>
    <w:rsid w:val="0079402C"/>
    <w:rsid w:val="0079425A"/>
    <w:rsid w:val="007943C9"/>
    <w:rsid w:val="00794728"/>
    <w:rsid w:val="00794DA8"/>
    <w:rsid w:val="00794DC7"/>
    <w:rsid w:val="0079509D"/>
    <w:rsid w:val="007956CD"/>
    <w:rsid w:val="007960EA"/>
    <w:rsid w:val="0079644E"/>
    <w:rsid w:val="007967F9"/>
    <w:rsid w:val="00797066"/>
    <w:rsid w:val="0079730D"/>
    <w:rsid w:val="0079776F"/>
    <w:rsid w:val="00797B61"/>
    <w:rsid w:val="007A0053"/>
    <w:rsid w:val="007A03AC"/>
    <w:rsid w:val="007A05F3"/>
    <w:rsid w:val="007A0E6C"/>
    <w:rsid w:val="007A0FF5"/>
    <w:rsid w:val="007A1999"/>
    <w:rsid w:val="007A1B24"/>
    <w:rsid w:val="007A1FAF"/>
    <w:rsid w:val="007A207D"/>
    <w:rsid w:val="007A2176"/>
    <w:rsid w:val="007A24B5"/>
    <w:rsid w:val="007A2985"/>
    <w:rsid w:val="007A2A24"/>
    <w:rsid w:val="007A3423"/>
    <w:rsid w:val="007A3662"/>
    <w:rsid w:val="007A3694"/>
    <w:rsid w:val="007A3C1C"/>
    <w:rsid w:val="007A4281"/>
    <w:rsid w:val="007A51DB"/>
    <w:rsid w:val="007A5239"/>
    <w:rsid w:val="007A594C"/>
    <w:rsid w:val="007A6079"/>
    <w:rsid w:val="007A67E9"/>
    <w:rsid w:val="007A7097"/>
    <w:rsid w:val="007A70AB"/>
    <w:rsid w:val="007A7D70"/>
    <w:rsid w:val="007A7F6B"/>
    <w:rsid w:val="007B007F"/>
    <w:rsid w:val="007B05CA"/>
    <w:rsid w:val="007B0608"/>
    <w:rsid w:val="007B09CC"/>
    <w:rsid w:val="007B0AF8"/>
    <w:rsid w:val="007B170D"/>
    <w:rsid w:val="007B1CC7"/>
    <w:rsid w:val="007B1E84"/>
    <w:rsid w:val="007B2189"/>
    <w:rsid w:val="007B2380"/>
    <w:rsid w:val="007B287E"/>
    <w:rsid w:val="007B2C62"/>
    <w:rsid w:val="007B2C76"/>
    <w:rsid w:val="007B2E2A"/>
    <w:rsid w:val="007B2E3E"/>
    <w:rsid w:val="007B2F2E"/>
    <w:rsid w:val="007B3DFC"/>
    <w:rsid w:val="007B3EF6"/>
    <w:rsid w:val="007B3F1E"/>
    <w:rsid w:val="007B40FC"/>
    <w:rsid w:val="007B43C0"/>
    <w:rsid w:val="007B448B"/>
    <w:rsid w:val="007B460E"/>
    <w:rsid w:val="007B477E"/>
    <w:rsid w:val="007B4E55"/>
    <w:rsid w:val="007B56EA"/>
    <w:rsid w:val="007B57BF"/>
    <w:rsid w:val="007B5BAF"/>
    <w:rsid w:val="007B5BD0"/>
    <w:rsid w:val="007B5C72"/>
    <w:rsid w:val="007B5FDE"/>
    <w:rsid w:val="007B5FE8"/>
    <w:rsid w:val="007B6138"/>
    <w:rsid w:val="007B61CE"/>
    <w:rsid w:val="007B708F"/>
    <w:rsid w:val="007B71DE"/>
    <w:rsid w:val="007C02A8"/>
    <w:rsid w:val="007C0491"/>
    <w:rsid w:val="007C0788"/>
    <w:rsid w:val="007C07F2"/>
    <w:rsid w:val="007C0D14"/>
    <w:rsid w:val="007C0DAD"/>
    <w:rsid w:val="007C0F6F"/>
    <w:rsid w:val="007C0F7E"/>
    <w:rsid w:val="007C11FC"/>
    <w:rsid w:val="007C1BBC"/>
    <w:rsid w:val="007C27A4"/>
    <w:rsid w:val="007C2A76"/>
    <w:rsid w:val="007C2F87"/>
    <w:rsid w:val="007C3C2E"/>
    <w:rsid w:val="007C3F13"/>
    <w:rsid w:val="007C4036"/>
    <w:rsid w:val="007C43FC"/>
    <w:rsid w:val="007C473B"/>
    <w:rsid w:val="007C4ADC"/>
    <w:rsid w:val="007C4E8A"/>
    <w:rsid w:val="007C546D"/>
    <w:rsid w:val="007C5852"/>
    <w:rsid w:val="007C6044"/>
    <w:rsid w:val="007C6103"/>
    <w:rsid w:val="007C6326"/>
    <w:rsid w:val="007C677F"/>
    <w:rsid w:val="007C69FD"/>
    <w:rsid w:val="007C7020"/>
    <w:rsid w:val="007C70FA"/>
    <w:rsid w:val="007C7158"/>
    <w:rsid w:val="007C7431"/>
    <w:rsid w:val="007C76F6"/>
    <w:rsid w:val="007C7EAA"/>
    <w:rsid w:val="007D02F6"/>
    <w:rsid w:val="007D0C64"/>
    <w:rsid w:val="007D15BF"/>
    <w:rsid w:val="007D21A3"/>
    <w:rsid w:val="007D23E1"/>
    <w:rsid w:val="007D294E"/>
    <w:rsid w:val="007D2C82"/>
    <w:rsid w:val="007D2D36"/>
    <w:rsid w:val="007D3154"/>
    <w:rsid w:val="007D3662"/>
    <w:rsid w:val="007D3BF2"/>
    <w:rsid w:val="007D3D9B"/>
    <w:rsid w:val="007D3FF3"/>
    <w:rsid w:val="007D40C1"/>
    <w:rsid w:val="007D492D"/>
    <w:rsid w:val="007D524D"/>
    <w:rsid w:val="007D5810"/>
    <w:rsid w:val="007D58ED"/>
    <w:rsid w:val="007D6131"/>
    <w:rsid w:val="007D6167"/>
    <w:rsid w:val="007D63C7"/>
    <w:rsid w:val="007D7223"/>
    <w:rsid w:val="007D7350"/>
    <w:rsid w:val="007D75CE"/>
    <w:rsid w:val="007E0617"/>
    <w:rsid w:val="007E0663"/>
    <w:rsid w:val="007E071C"/>
    <w:rsid w:val="007E08F7"/>
    <w:rsid w:val="007E09AB"/>
    <w:rsid w:val="007E11CB"/>
    <w:rsid w:val="007E1334"/>
    <w:rsid w:val="007E1844"/>
    <w:rsid w:val="007E226E"/>
    <w:rsid w:val="007E245E"/>
    <w:rsid w:val="007E24E6"/>
    <w:rsid w:val="007E2C69"/>
    <w:rsid w:val="007E2F2C"/>
    <w:rsid w:val="007E3132"/>
    <w:rsid w:val="007E3283"/>
    <w:rsid w:val="007E331F"/>
    <w:rsid w:val="007E3CCA"/>
    <w:rsid w:val="007E3F35"/>
    <w:rsid w:val="007E4225"/>
    <w:rsid w:val="007E479D"/>
    <w:rsid w:val="007E49B7"/>
    <w:rsid w:val="007E51FB"/>
    <w:rsid w:val="007E63E8"/>
    <w:rsid w:val="007E66DC"/>
    <w:rsid w:val="007E7057"/>
    <w:rsid w:val="007E716F"/>
    <w:rsid w:val="007E7179"/>
    <w:rsid w:val="007E72B4"/>
    <w:rsid w:val="007E78D5"/>
    <w:rsid w:val="007E7C37"/>
    <w:rsid w:val="007F0354"/>
    <w:rsid w:val="007F0B09"/>
    <w:rsid w:val="007F0D9D"/>
    <w:rsid w:val="007F10C2"/>
    <w:rsid w:val="007F12E3"/>
    <w:rsid w:val="007F138B"/>
    <w:rsid w:val="007F17DD"/>
    <w:rsid w:val="007F17F0"/>
    <w:rsid w:val="007F1834"/>
    <w:rsid w:val="007F18F1"/>
    <w:rsid w:val="007F1E7A"/>
    <w:rsid w:val="007F22CB"/>
    <w:rsid w:val="007F23AC"/>
    <w:rsid w:val="007F24FF"/>
    <w:rsid w:val="007F27FD"/>
    <w:rsid w:val="007F2B9C"/>
    <w:rsid w:val="007F301B"/>
    <w:rsid w:val="007F3569"/>
    <w:rsid w:val="007F376B"/>
    <w:rsid w:val="007F3872"/>
    <w:rsid w:val="007F3BF0"/>
    <w:rsid w:val="007F414D"/>
    <w:rsid w:val="007F42AB"/>
    <w:rsid w:val="007F439D"/>
    <w:rsid w:val="007F491E"/>
    <w:rsid w:val="007F49CF"/>
    <w:rsid w:val="007F4E94"/>
    <w:rsid w:val="007F523E"/>
    <w:rsid w:val="007F53AD"/>
    <w:rsid w:val="007F5AB5"/>
    <w:rsid w:val="007F5DC7"/>
    <w:rsid w:val="007F65DA"/>
    <w:rsid w:val="007F6788"/>
    <w:rsid w:val="007F6E03"/>
    <w:rsid w:val="007F7021"/>
    <w:rsid w:val="007F7B5D"/>
    <w:rsid w:val="007F7C42"/>
    <w:rsid w:val="007F7DB3"/>
    <w:rsid w:val="007F7F34"/>
    <w:rsid w:val="00800096"/>
    <w:rsid w:val="00800B15"/>
    <w:rsid w:val="00800C7B"/>
    <w:rsid w:val="00800CF4"/>
    <w:rsid w:val="00801091"/>
    <w:rsid w:val="00801A49"/>
    <w:rsid w:val="0080289A"/>
    <w:rsid w:val="00802D4C"/>
    <w:rsid w:val="0080368D"/>
    <w:rsid w:val="0080376D"/>
    <w:rsid w:val="008037BF"/>
    <w:rsid w:val="00803DE8"/>
    <w:rsid w:val="008045F4"/>
    <w:rsid w:val="00804B1E"/>
    <w:rsid w:val="00806320"/>
    <w:rsid w:val="00806A93"/>
    <w:rsid w:val="00806ED6"/>
    <w:rsid w:val="008074EE"/>
    <w:rsid w:val="008075A3"/>
    <w:rsid w:val="00807B49"/>
    <w:rsid w:val="00807CAA"/>
    <w:rsid w:val="00807DC3"/>
    <w:rsid w:val="0081014E"/>
    <w:rsid w:val="00810794"/>
    <w:rsid w:val="008107AC"/>
    <w:rsid w:val="00810B90"/>
    <w:rsid w:val="00810D40"/>
    <w:rsid w:val="0081129B"/>
    <w:rsid w:val="008117A7"/>
    <w:rsid w:val="00811D55"/>
    <w:rsid w:val="00812067"/>
    <w:rsid w:val="00812277"/>
    <w:rsid w:val="00812574"/>
    <w:rsid w:val="00812617"/>
    <w:rsid w:val="0081309E"/>
    <w:rsid w:val="0081310F"/>
    <w:rsid w:val="00813854"/>
    <w:rsid w:val="00813A52"/>
    <w:rsid w:val="00813B2A"/>
    <w:rsid w:val="00813E9C"/>
    <w:rsid w:val="00814055"/>
    <w:rsid w:val="008144C5"/>
    <w:rsid w:val="00814806"/>
    <w:rsid w:val="00814D62"/>
    <w:rsid w:val="0081596B"/>
    <w:rsid w:val="00815AE0"/>
    <w:rsid w:val="00815C6C"/>
    <w:rsid w:val="0081600F"/>
    <w:rsid w:val="0081604B"/>
    <w:rsid w:val="008160C4"/>
    <w:rsid w:val="008162DF"/>
    <w:rsid w:val="008170D5"/>
    <w:rsid w:val="008170F0"/>
    <w:rsid w:val="008174E1"/>
    <w:rsid w:val="008176AB"/>
    <w:rsid w:val="00817966"/>
    <w:rsid w:val="00817A29"/>
    <w:rsid w:val="00817F0E"/>
    <w:rsid w:val="00820A43"/>
    <w:rsid w:val="008211E0"/>
    <w:rsid w:val="00821BB7"/>
    <w:rsid w:val="008221E9"/>
    <w:rsid w:val="008222D0"/>
    <w:rsid w:val="0082281F"/>
    <w:rsid w:val="008229F7"/>
    <w:rsid w:val="00822BC6"/>
    <w:rsid w:val="0082300B"/>
    <w:rsid w:val="008237FD"/>
    <w:rsid w:val="00823CC2"/>
    <w:rsid w:val="00823CEF"/>
    <w:rsid w:val="00823E07"/>
    <w:rsid w:val="00824001"/>
    <w:rsid w:val="00824080"/>
    <w:rsid w:val="008242AA"/>
    <w:rsid w:val="00824904"/>
    <w:rsid w:val="00824911"/>
    <w:rsid w:val="00825037"/>
    <w:rsid w:val="00825158"/>
    <w:rsid w:val="00825201"/>
    <w:rsid w:val="0082550E"/>
    <w:rsid w:val="00825B41"/>
    <w:rsid w:val="00825F13"/>
    <w:rsid w:val="00826092"/>
    <w:rsid w:val="008261EB"/>
    <w:rsid w:val="00826A89"/>
    <w:rsid w:val="0082745F"/>
    <w:rsid w:val="0083001E"/>
    <w:rsid w:val="0083039C"/>
    <w:rsid w:val="00830F43"/>
    <w:rsid w:val="00831A80"/>
    <w:rsid w:val="00831FD8"/>
    <w:rsid w:val="008323A6"/>
    <w:rsid w:val="0083284B"/>
    <w:rsid w:val="00833BCE"/>
    <w:rsid w:val="008344DF"/>
    <w:rsid w:val="00834701"/>
    <w:rsid w:val="008347F8"/>
    <w:rsid w:val="00834969"/>
    <w:rsid w:val="008356E8"/>
    <w:rsid w:val="0083573D"/>
    <w:rsid w:val="00835ECE"/>
    <w:rsid w:val="00836280"/>
    <w:rsid w:val="00836E3F"/>
    <w:rsid w:val="00836EE5"/>
    <w:rsid w:val="00836FCD"/>
    <w:rsid w:val="00836FE5"/>
    <w:rsid w:val="00837827"/>
    <w:rsid w:val="008402E9"/>
    <w:rsid w:val="008404ED"/>
    <w:rsid w:val="00840569"/>
    <w:rsid w:val="00840748"/>
    <w:rsid w:val="00840BF6"/>
    <w:rsid w:val="00840D61"/>
    <w:rsid w:val="00841455"/>
    <w:rsid w:val="00841EA7"/>
    <w:rsid w:val="00842284"/>
    <w:rsid w:val="0084261C"/>
    <w:rsid w:val="00842831"/>
    <w:rsid w:val="00842EE8"/>
    <w:rsid w:val="008431B2"/>
    <w:rsid w:val="0084436B"/>
    <w:rsid w:val="00844955"/>
    <w:rsid w:val="00844A5F"/>
    <w:rsid w:val="00845100"/>
    <w:rsid w:val="00845A5D"/>
    <w:rsid w:val="00845A96"/>
    <w:rsid w:val="00845CA8"/>
    <w:rsid w:val="0084640A"/>
    <w:rsid w:val="0084653A"/>
    <w:rsid w:val="00846566"/>
    <w:rsid w:val="008465FE"/>
    <w:rsid w:val="0084666A"/>
    <w:rsid w:val="00846715"/>
    <w:rsid w:val="00846989"/>
    <w:rsid w:val="00846FB3"/>
    <w:rsid w:val="008472E6"/>
    <w:rsid w:val="00850017"/>
    <w:rsid w:val="008508D6"/>
    <w:rsid w:val="00850A7A"/>
    <w:rsid w:val="00850E9A"/>
    <w:rsid w:val="0085178E"/>
    <w:rsid w:val="00851979"/>
    <w:rsid w:val="00851BF8"/>
    <w:rsid w:val="00851CF2"/>
    <w:rsid w:val="00851FC2"/>
    <w:rsid w:val="0085201D"/>
    <w:rsid w:val="0085277A"/>
    <w:rsid w:val="0085360C"/>
    <w:rsid w:val="00854523"/>
    <w:rsid w:val="0085464A"/>
    <w:rsid w:val="00854E91"/>
    <w:rsid w:val="00855607"/>
    <w:rsid w:val="00855C66"/>
    <w:rsid w:val="0085610D"/>
    <w:rsid w:val="008563B7"/>
    <w:rsid w:val="008564E5"/>
    <w:rsid w:val="00856697"/>
    <w:rsid w:val="0085692A"/>
    <w:rsid w:val="00856F5A"/>
    <w:rsid w:val="00856F96"/>
    <w:rsid w:val="00857FC7"/>
    <w:rsid w:val="00860A7C"/>
    <w:rsid w:val="00860C0D"/>
    <w:rsid w:val="00860C6D"/>
    <w:rsid w:val="00860D57"/>
    <w:rsid w:val="00860DFB"/>
    <w:rsid w:val="008610EB"/>
    <w:rsid w:val="0086187D"/>
    <w:rsid w:val="008619DD"/>
    <w:rsid w:val="0086262F"/>
    <w:rsid w:val="0086296E"/>
    <w:rsid w:val="00862B72"/>
    <w:rsid w:val="008631C8"/>
    <w:rsid w:val="00863896"/>
    <w:rsid w:val="008657D8"/>
    <w:rsid w:val="008659BD"/>
    <w:rsid w:val="00865A3C"/>
    <w:rsid w:val="00866941"/>
    <w:rsid w:val="00866B58"/>
    <w:rsid w:val="00866F7A"/>
    <w:rsid w:val="00870109"/>
    <w:rsid w:val="008706EB"/>
    <w:rsid w:val="0087098B"/>
    <w:rsid w:val="00870F9D"/>
    <w:rsid w:val="008712AB"/>
    <w:rsid w:val="008714B6"/>
    <w:rsid w:val="00871551"/>
    <w:rsid w:val="0087188F"/>
    <w:rsid w:val="00873053"/>
    <w:rsid w:val="008730B0"/>
    <w:rsid w:val="0087374B"/>
    <w:rsid w:val="00873EE4"/>
    <w:rsid w:val="0087404B"/>
    <w:rsid w:val="00875B21"/>
    <w:rsid w:val="0087631E"/>
    <w:rsid w:val="00876524"/>
    <w:rsid w:val="008765B2"/>
    <w:rsid w:val="008765B4"/>
    <w:rsid w:val="008768F5"/>
    <w:rsid w:val="00876BBA"/>
    <w:rsid w:val="00876D26"/>
    <w:rsid w:val="008775EF"/>
    <w:rsid w:val="00877983"/>
    <w:rsid w:val="0088008C"/>
    <w:rsid w:val="00880774"/>
    <w:rsid w:val="00880AD4"/>
    <w:rsid w:val="00880E08"/>
    <w:rsid w:val="008812B7"/>
    <w:rsid w:val="00881874"/>
    <w:rsid w:val="008821DE"/>
    <w:rsid w:val="008822A8"/>
    <w:rsid w:val="00882D30"/>
    <w:rsid w:val="008839A7"/>
    <w:rsid w:val="008843EA"/>
    <w:rsid w:val="008847E0"/>
    <w:rsid w:val="00884DB6"/>
    <w:rsid w:val="0088505B"/>
    <w:rsid w:val="0088590B"/>
    <w:rsid w:val="00885F71"/>
    <w:rsid w:val="008862F2"/>
    <w:rsid w:val="00886A8D"/>
    <w:rsid w:val="008873D0"/>
    <w:rsid w:val="00887432"/>
    <w:rsid w:val="00887CDD"/>
    <w:rsid w:val="00887FAF"/>
    <w:rsid w:val="008904C5"/>
    <w:rsid w:val="008909EB"/>
    <w:rsid w:val="00890A5F"/>
    <w:rsid w:val="00890AC3"/>
    <w:rsid w:val="00890BE8"/>
    <w:rsid w:val="00890DD0"/>
    <w:rsid w:val="0089131E"/>
    <w:rsid w:val="008920D3"/>
    <w:rsid w:val="00893634"/>
    <w:rsid w:val="008937B0"/>
    <w:rsid w:val="008939FE"/>
    <w:rsid w:val="008947C2"/>
    <w:rsid w:val="00894B67"/>
    <w:rsid w:val="00894FD2"/>
    <w:rsid w:val="008951A6"/>
    <w:rsid w:val="008954F8"/>
    <w:rsid w:val="008956FD"/>
    <w:rsid w:val="008968CE"/>
    <w:rsid w:val="00896935"/>
    <w:rsid w:val="00897670"/>
    <w:rsid w:val="008A069D"/>
    <w:rsid w:val="008A0998"/>
    <w:rsid w:val="008A104C"/>
    <w:rsid w:val="008A17A2"/>
    <w:rsid w:val="008A1B12"/>
    <w:rsid w:val="008A1DB7"/>
    <w:rsid w:val="008A23A7"/>
    <w:rsid w:val="008A2E59"/>
    <w:rsid w:val="008A2EE4"/>
    <w:rsid w:val="008A2EF1"/>
    <w:rsid w:val="008A2F7B"/>
    <w:rsid w:val="008A30BA"/>
    <w:rsid w:val="008A31D4"/>
    <w:rsid w:val="008A3473"/>
    <w:rsid w:val="008A35E8"/>
    <w:rsid w:val="008A466D"/>
    <w:rsid w:val="008A4B99"/>
    <w:rsid w:val="008A509E"/>
    <w:rsid w:val="008A54FE"/>
    <w:rsid w:val="008A56DD"/>
    <w:rsid w:val="008A56FD"/>
    <w:rsid w:val="008A580D"/>
    <w:rsid w:val="008A60ED"/>
    <w:rsid w:val="008A6425"/>
    <w:rsid w:val="008A69BC"/>
    <w:rsid w:val="008A6B42"/>
    <w:rsid w:val="008A7106"/>
    <w:rsid w:val="008A730D"/>
    <w:rsid w:val="008A7501"/>
    <w:rsid w:val="008A75CF"/>
    <w:rsid w:val="008A7956"/>
    <w:rsid w:val="008A798B"/>
    <w:rsid w:val="008A7CBC"/>
    <w:rsid w:val="008A7DA7"/>
    <w:rsid w:val="008A7E4A"/>
    <w:rsid w:val="008B012F"/>
    <w:rsid w:val="008B02C3"/>
    <w:rsid w:val="008B0515"/>
    <w:rsid w:val="008B0A44"/>
    <w:rsid w:val="008B1115"/>
    <w:rsid w:val="008B12A5"/>
    <w:rsid w:val="008B177D"/>
    <w:rsid w:val="008B1F99"/>
    <w:rsid w:val="008B214B"/>
    <w:rsid w:val="008B305A"/>
    <w:rsid w:val="008B532E"/>
    <w:rsid w:val="008B57EE"/>
    <w:rsid w:val="008B5ACF"/>
    <w:rsid w:val="008B5F76"/>
    <w:rsid w:val="008B61E4"/>
    <w:rsid w:val="008B6260"/>
    <w:rsid w:val="008B6420"/>
    <w:rsid w:val="008B6505"/>
    <w:rsid w:val="008B6792"/>
    <w:rsid w:val="008B6A57"/>
    <w:rsid w:val="008B6AE9"/>
    <w:rsid w:val="008B6B4A"/>
    <w:rsid w:val="008B70B4"/>
    <w:rsid w:val="008B7645"/>
    <w:rsid w:val="008B77F8"/>
    <w:rsid w:val="008B7D35"/>
    <w:rsid w:val="008C05FD"/>
    <w:rsid w:val="008C0688"/>
    <w:rsid w:val="008C0C88"/>
    <w:rsid w:val="008C10A2"/>
    <w:rsid w:val="008C17AE"/>
    <w:rsid w:val="008C18B1"/>
    <w:rsid w:val="008C1AF6"/>
    <w:rsid w:val="008C2347"/>
    <w:rsid w:val="008C23E5"/>
    <w:rsid w:val="008C2529"/>
    <w:rsid w:val="008C3201"/>
    <w:rsid w:val="008C3227"/>
    <w:rsid w:val="008C3A12"/>
    <w:rsid w:val="008C3C0A"/>
    <w:rsid w:val="008C3DD2"/>
    <w:rsid w:val="008C402B"/>
    <w:rsid w:val="008C4E28"/>
    <w:rsid w:val="008C4ED5"/>
    <w:rsid w:val="008C5172"/>
    <w:rsid w:val="008C57FC"/>
    <w:rsid w:val="008C5869"/>
    <w:rsid w:val="008C5E16"/>
    <w:rsid w:val="008C6990"/>
    <w:rsid w:val="008C6B46"/>
    <w:rsid w:val="008C6C6A"/>
    <w:rsid w:val="008C70DB"/>
    <w:rsid w:val="008C7465"/>
    <w:rsid w:val="008C74F6"/>
    <w:rsid w:val="008C76E6"/>
    <w:rsid w:val="008C7732"/>
    <w:rsid w:val="008C79F2"/>
    <w:rsid w:val="008C7A08"/>
    <w:rsid w:val="008C7BA6"/>
    <w:rsid w:val="008C7D4A"/>
    <w:rsid w:val="008D0773"/>
    <w:rsid w:val="008D07F7"/>
    <w:rsid w:val="008D16CE"/>
    <w:rsid w:val="008D1A48"/>
    <w:rsid w:val="008D231C"/>
    <w:rsid w:val="008D26D3"/>
    <w:rsid w:val="008D2A43"/>
    <w:rsid w:val="008D2E66"/>
    <w:rsid w:val="008D3E1F"/>
    <w:rsid w:val="008D409A"/>
    <w:rsid w:val="008D49AE"/>
    <w:rsid w:val="008D6100"/>
    <w:rsid w:val="008D6244"/>
    <w:rsid w:val="008D64EA"/>
    <w:rsid w:val="008D6BE8"/>
    <w:rsid w:val="008D6F8F"/>
    <w:rsid w:val="008D7052"/>
    <w:rsid w:val="008D7064"/>
    <w:rsid w:val="008D7CC5"/>
    <w:rsid w:val="008D7D9B"/>
    <w:rsid w:val="008E0932"/>
    <w:rsid w:val="008E0B5B"/>
    <w:rsid w:val="008E0C17"/>
    <w:rsid w:val="008E1AC8"/>
    <w:rsid w:val="008E1E6E"/>
    <w:rsid w:val="008E2089"/>
    <w:rsid w:val="008E2211"/>
    <w:rsid w:val="008E2254"/>
    <w:rsid w:val="008E2E24"/>
    <w:rsid w:val="008E2F3D"/>
    <w:rsid w:val="008E31D9"/>
    <w:rsid w:val="008E3E57"/>
    <w:rsid w:val="008E42FF"/>
    <w:rsid w:val="008E4301"/>
    <w:rsid w:val="008E4632"/>
    <w:rsid w:val="008E4762"/>
    <w:rsid w:val="008E4AE1"/>
    <w:rsid w:val="008E504F"/>
    <w:rsid w:val="008E6494"/>
    <w:rsid w:val="008E756A"/>
    <w:rsid w:val="008E7824"/>
    <w:rsid w:val="008E7D3F"/>
    <w:rsid w:val="008F03A6"/>
    <w:rsid w:val="008F0704"/>
    <w:rsid w:val="008F0708"/>
    <w:rsid w:val="008F1097"/>
    <w:rsid w:val="008F1D5A"/>
    <w:rsid w:val="008F234F"/>
    <w:rsid w:val="008F27E2"/>
    <w:rsid w:val="008F2A61"/>
    <w:rsid w:val="008F2E94"/>
    <w:rsid w:val="008F406A"/>
    <w:rsid w:val="008F448C"/>
    <w:rsid w:val="008F4F4B"/>
    <w:rsid w:val="008F5723"/>
    <w:rsid w:val="008F5B41"/>
    <w:rsid w:val="008F61EF"/>
    <w:rsid w:val="008F65AB"/>
    <w:rsid w:val="008F6EC7"/>
    <w:rsid w:val="008F7873"/>
    <w:rsid w:val="00900418"/>
    <w:rsid w:val="0090067C"/>
    <w:rsid w:val="0090084D"/>
    <w:rsid w:val="009008F5"/>
    <w:rsid w:val="00900C30"/>
    <w:rsid w:val="00900F63"/>
    <w:rsid w:val="00901872"/>
    <w:rsid w:val="00901B23"/>
    <w:rsid w:val="00901DEF"/>
    <w:rsid w:val="0090233A"/>
    <w:rsid w:val="00902A26"/>
    <w:rsid w:val="00902C2D"/>
    <w:rsid w:val="00903293"/>
    <w:rsid w:val="009039D7"/>
    <w:rsid w:val="0090401D"/>
    <w:rsid w:val="00904162"/>
    <w:rsid w:val="009043C0"/>
    <w:rsid w:val="00904485"/>
    <w:rsid w:val="009048DA"/>
    <w:rsid w:val="009049F3"/>
    <w:rsid w:val="009051B2"/>
    <w:rsid w:val="00905518"/>
    <w:rsid w:val="00905537"/>
    <w:rsid w:val="0090606B"/>
    <w:rsid w:val="00906197"/>
    <w:rsid w:val="009062EA"/>
    <w:rsid w:val="00906D7C"/>
    <w:rsid w:val="009070AC"/>
    <w:rsid w:val="00907C8F"/>
    <w:rsid w:val="00910270"/>
    <w:rsid w:val="009103CF"/>
    <w:rsid w:val="00911C13"/>
    <w:rsid w:val="00912115"/>
    <w:rsid w:val="00912204"/>
    <w:rsid w:val="00912B51"/>
    <w:rsid w:val="00913404"/>
    <w:rsid w:val="00913886"/>
    <w:rsid w:val="00913F1F"/>
    <w:rsid w:val="0091409D"/>
    <w:rsid w:val="0091466D"/>
    <w:rsid w:val="009146D9"/>
    <w:rsid w:val="00914A9C"/>
    <w:rsid w:val="00915DAC"/>
    <w:rsid w:val="00916090"/>
    <w:rsid w:val="0091638D"/>
    <w:rsid w:val="00916707"/>
    <w:rsid w:val="00916CDA"/>
    <w:rsid w:val="009170C1"/>
    <w:rsid w:val="009170F7"/>
    <w:rsid w:val="0091763C"/>
    <w:rsid w:val="00917BA3"/>
    <w:rsid w:val="00917D43"/>
    <w:rsid w:val="00917D57"/>
    <w:rsid w:val="00917D82"/>
    <w:rsid w:val="00920090"/>
    <w:rsid w:val="0092086B"/>
    <w:rsid w:val="009219D5"/>
    <w:rsid w:val="00921D26"/>
    <w:rsid w:val="00921D80"/>
    <w:rsid w:val="00922404"/>
    <w:rsid w:val="00922A71"/>
    <w:rsid w:val="00922B83"/>
    <w:rsid w:val="00922FCF"/>
    <w:rsid w:val="00923E35"/>
    <w:rsid w:val="00923EBA"/>
    <w:rsid w:val="009245D8"/>
    <w:rsid w:val="00925929"/>
    <w:rsid w:val="00926979"/>
    <w:rsid w:val="00927677"/>
    <w:rsid w:val="009302C8"/>
    <w:rsid w:val="00930658"/>
    <w:rsid w:val="00931180"/>
    <w:rsid w:val="00931242"/>
    <w:rsid w:val="009326F9"/>
    <w:rsid w:val="00932808"/>
    <w:rsid w:val="009329B8"/>
    <w:rsid w:val="00932A69"/>
    <w:rsid w:val="00932B82"/>
    <w:rsid w:val="00932CBA"/>
    <w:rsid w:val="009334A8"/>
    <w:rsid w:val="00933865"/>
    <w:rsid w:val="0093479C"/>
    <w:rsid w:val="009352D7"/>
    <w:rsid w:val="009353DE"/>
    <w:rsid w:val="0093564B"/>
    <w:rsid w:val="00935B68"/>
    <w:rsid w:val="00935C6A"/>
    <w:rsid w:val="00935D6A"/>
    <w:rsid w:val="00935E1C"/>
    <w:rsid w:val="00936084"/>
    <w:rsid w:val="009367A8"/>
    <w:rsid w:val="009368B4"/>
    <w:rsid w:val="009379E9"/>
    <w:rsid w:val="00937A34"/>
    <w:rsid w:val="0094011A"/>
    <w:rsid w:val="00940B12"/>
    <w:rsid w:val="00940CD7"/>
    <w:rsid w:val="0094161B"/>
    <w:rsid w:val="009419F9"/>
    <w:rsid w:val="00941A5B"/>
    <w:rsid w:val="00941AF0"/>
    <w:rsid w:val="009424BD"/>
    <w:rsid w:val="0094265B"/>
    <w:rsid w:val="00943313"/>
    <w:rsid w:val="009436DD"/>
    <w:rsid w:val="00943E3B"/>
    <w:rsid w:val="00943F32"/>
    <w:rsid w:val="00944077"/>
    <w:rsid w:val="00944140"/>
    <w:rsid w:val="00944167"/>
    <w:rsid w:val="009448E3"/>
    <w:rsid w:val="0094494E"/>
    <w:rsid w:val="00944EFF"/>
    <w:rsid w:val="00945CBE"/>
    <w:rsid w:val="00945EE6"/>
    <w:rsid w:val="00945F1D"/>
    <w:rsid w:val="00945FC8"/>
    <w:rsid w:val="00946123"/>
    <w:rsid w:val="009463A6"/>
    <w:rsid w:val="0094698D"/>
    <w:rsid w:val="009473E6"/>
    <w:rsid w:val="0094742C"/>
    <w:rsid w:val="009474CD"/>
    <w:rsid w:val="009479FF"/>
    <w:rsid w:val="00947CE8"/>
    <w:rsid w:val="00950107"/>
    <w:rsid w:val="00950370"/>
    <w:rsid w:val="0095058B"/>
    <w:rsid w:val="0095059B"/>
    <w:rsid w:val="00950692"/>
    <w:rsid w:val="00950695"/>
    <w:rsid w:val="0095140B"/>
    <w:rsid w:val="0095171E"/>
    <w:rsid w:val="009517DE"/>
    <w:rsid w:val="0095188F"/>
    <w:rsid w:val="00951969"/>
    <w:rsid w:val="00951A3B"/>
    <w:rsid w:val="0095245E"/>
    <w:rsid w:val="0095262A"/>
    <w:rsid w:val="0095293D"/>
    <w:rsid w:val="009534E6"/>
    <w:rsid w:val="009542B4"/>
    <w:rsid w:val="00954AF8"/>
    <w:rsid w:val="00954F7F"/>
    <w:rsid w:val="00955055"/>
    <w:rsid w:val="009550C0"/>
    <w:rsid w:val="009555F1"/>
    <w:rsid w:val="00955E16"/>
    <w:rsid w:val="00956C55"/>
    <w:rsid w:val="00956C63"/>
    <w:rsid w:val="0095728D"/>
    <w:rsid w:val="0095735B"/>
    <w:rsid w:val="009578E8"/>
    <w:rsid w:val="00957DFA"/>
    <w:rsid w:val="00957E95"/>
    <w:rsid w:val="00960C0F"/>
    <w:rsid w:val="00961A4B"/>
    <w:rsid w:val="009623E5"/>
    <w:rsid w:val="009626B8"/>
    <w:rsid w:val="0096270C"/>
    <w:rsid w:val="00962AD1"/>
    <w:rsid w:val="0096325C"/>
    <w:rsid w:val="00963974"/>
    <w:rsid w:val="00963A3E"/>
    <w:rsid w:val="00963B23"/>
    <w:rsid w:val="00963BB6"/>
    <w:rsid w:val="00963EFF"/>
    <w:rsid w:val="009641E3"/>
    <w:rsid w:val="00964A43"/>
    <w:rsid w:val="00964D20"/>
    <w:rsid w:val="00965343"/>
    <w:rsid w:val="00965EEA"/>
    <w:rsid w:val="00965F9E"/>
    <w:rsid w:val="0096630E"/>
    <w:rsid w:val="0096666D"/>
    <w:rsid w:val="009670DF"/>
    <w:rsid w:val="00967200"/>
    <w:rsid w:val="00967F59"/>
    <w:rsid w:val="0097019D"/>
    <w:rsid w:val="00970CC6"/>
    <w:rsid w:val="00970D12"/>
    <w:rsid w:val="00971903"/>
    <w:rsid w:val="009720B9"/>
    <w:rsid w:val="0097235E"/>
    <w:rsid w:val="0097266F"/>
    <w:rsid w:val="00972797"/>
    <w:rsid w:val="009727C9"/>
    <w:rsid w:val="009729D1"/>
    <w:rsid w:val="00972C1A"/>
    <w:rsid w:val="0097314D"/>
    <w:rsid w:val="00973448"/>
    <w:rsid w:val="00973E66"/>
    <w:rsid w:val="00973F63"/>
    <w:rsid w:val="009740C6"/>
    <w:rsid w:val="009742DF"/>
    <w:rsid w:val="00974B20"/>
    <w:rsid w:val="00974DDD"/>
    <w:rsid w:val="00975C4C"/>
    <w:rsid w:val="00975DCD"/>
    <w:rsid w:val="00975E22"/>
    <w:rsid w:val="00976065"/>
    <w:rsid w:val="009761BA"/>
    <w:rsid w:val="009765EB"/>
    <w:rsid w:val="0097665E"/>
    <w:rsid w:val="00976765"/>
    <w:rsid w:val="00977D9D"/>
    <w:rsid w:val="0098050C"/>
    <w:rsid w:val="009805BB"/>
    <w:rsid w:val="00980D2F"/>
    <w:rsid w:val="009811BF"/>
    <w:rsid w:val="009812A6"/>
    <w:rsid w:val="009812DF"/>
    <w:rsid w:val="0098143A"/>
    <w:rsid w:val="0098151A"/>
    <w:rsid w:val="0098192E"/>
    <w:rsid w:val="00981953"/>
    <w:rsid w:val="00981F1F"/>
    <w:rsid w:val="0098259C"/>
    <w:rsid w:val="00982674"/>
    <w:rsid w:val="00982A83"/>
    <w:rsid w:val="00982AD3"/>
    <w:rsid w:val="00982C07"/>
    <w:rsid w:val="0098315E"/>
    <w:rsid w:val="009832ED"/>
    <w:rsid w:val="00984084"/>
    <w:rsid w:val="00984E2E"/>
    <w:rsid w:val="0098505F"/>
    <w:rsid w:val="0098508E"/>
    <w:rsid w:val="00985533"/>
    <w:rsid w:val="0098605F"/>
    <w:rsid w:val="009864CA"/>
    <w:rsid w:val="00986E7F"/>
    <w:rsid w:val="00987137"/>
    <w:rsid w:val="009873AD"/>
    <w:rsid w:val="009876F0"/>
    <w:rsid w:val="00987A87"/>
    <w:rsid w:val="00987F86"/>
    <w:rsid w:val="009905F1"/>
    <w:rsid w:val="0099073B"/>
    <w:rsid w:val="00990976"/>
    <w:rsid w:val="00990BEF"/>
    <w:rsid w:val="00990EFF"/>
    <w:rsid w:val="0099180D"/>
    <w:rsid w:val="009919B8"/>
    <w:rsid w:val="009919CE"/>
    <w:rsid w:val="00991DA1"/>
    <w:rsid w:val="00991DCB"/>
    <w:rsid w:val="00991F62"/>
    <w:rsid w:val="009921AF"/>
    <w:rsid w:val="009927AA"/>
    <w:rsid w:val="00992CA5"/>
    <w:rsid w:val="009933D8"/>
    <w:rsid w:val="00993B50"/>
    <w:rsid w:val="009940D6"/>
    <w:rsid w:val="00994441"/>
    <w:rsid w:val="0099468B"/>
    <w:rsid w:val="00994C9B"/>
    <w:rsid w:val="00995088"/>
    <w:rsid w:val="0099525D"/>
    <w:rsid w:val="009952ED"/>
    <w:rsid w:val="00996235"/>
    <w:rsid w:val="009969AF"/>
    <w:rsid w:val="00997394"/>
    <w:rsid w:val="00997520"/>
    <w:rsid w:val="00997629"/>
    <w:rsid w:val="009A0029"/>
    <w:rsid w:val="009A0151"/>
    <w:rsid w:val="009A0384"/>
    <w:rsid w:val="009A05AA"/>
    <w:rsid w:val="009A07A3"/>
    <w:rsid w:val="009A0CC1"/>
    <w:rsid w:val="009A0F59"/>
    <w:rsid w:val="009A15B8"/>
    <w:rsid w:val="009A17DD"/>
    <w:rsid w:val="009A1853"/>
    <w:rsid w:val="009A1A7B"/>
    <w:rsid w:val="009A1FD1"/>
    <w:rsid w:val="009A230B"/>
    <w:rsid w:val="009A2780"/>
    <w:rsid w:val="009A2BB6"/>
    <w:rsid w:val="009A34C8"/>
    <w:rsid w:val="009A4BAC"/>
    <w:rsid w:val="009A4CAC"/>
    <w:rsid w:val="009A56F1"/>
    <w:rsid w:val="009A5881"/>
    <w:rsid w:val="009A624A"/>
    <w:rsid w:val="009A655F"/>
    <w:rsid w:val="009A7638"/>
    <w:rsid w:val="009A788E"/>
    <w:rsid w:val="009A7BC6"/>
    <w:rsid w:val="009A7CEF"/>
    <w:rsid w:val="009B0F7A"/>
    <w:rsid w:val="009B0FE6"/>
    <w:rsid w:val="009B1090"/>
    <w:rsid w:val="009B13D4"/>
    <w:rsid w:val="009B205A"/>
    <w:rsid w:val="009B214C"/>
    <w:rsid w:val="009B22EB"/>
    <w:rsid w:val="009B2579"/>
    <w:rsid w:val="009B2F8A"/>
    <w:rsid w:val="009B3712"/>
    <w:rsid w:val="009B38E7"/>
    <w:rsid w:val="009B3A09"/>
    <w:rsid w:val="009B3BFF"/>
    <w:rsid w:val="009B3C8A"/>
    <w:rsid w:val="009B4610"/>
    <w:rsid w:val="009B4C78"/>
    <w:rsid w:val="009B4F1A"/>
    <w:rsid w:val="009B6981"/>
    <w:rsid w:val="009B6B0C"/>
    <w:rsid w:val="009B6D74"/>
    <w:rsid w:val="009B7B8F"/>
    <w:rsid w:val="009B7BF9"/>
    <w:rsid w:val="009B7D1B"/>
    <w:rsid w:val="009C080D"/>
    <w:rsid w:val="009C0A0B"/>
    <w:rsid w:val="009C11C4"/>
    <w:rsid w:val="009C1242"/>
    <w:rsid w:val="009C16D6"/>
    <w:rsid w:val="009C1B80"/>
    <w:rsid w:val="009C25D8"/>
    <w:rsid w:val="009C2B0F"/>
    <w:rsid w:val="009C2B4A"/>
    <w:rsid w:val="009C2E5D"/>
    <w:rsid w:val="009C2F1C"/>
    <w:rsid w:val="009C3286"/>
    <w:rsid w:val="009C3327"/>
    <w:rsid w:val="009C3572"/>
    <w:rsid w:val="009C3B94"/>
    <w:rsid w:val="009C574E"/>
    <w:rsid w:val="009C588E"/>
    <w:rsid w:val="009C5C01"/>
    <w:rsid w:val="009C64C7"/>
    <w:rsid w:val="009C6950"/>
    <w:rsid w:val="009C71FE"/>
    <w:rsid w:val="009C72BE"/>
    <w:rsid w:val="009C7546"/>
    <w:rsid w:val="009C77C5"/>
    <w:rsid w:val="009C78C5"/>
    <w:rsid w:val="009C7F00"/>
    <w:rsid w:val="009D0165"/>
    <w:rsid w:val="009D04E8"/>
    <w:rsid w:val="009D0C40"/>
    <w:rsid w:val="009D1167"/>
    <w:rsid w:val="009D194B"/>
    <w:rsid w:val="009D1F57"/>
    <w:rsid w:val="009D246C"/>
    <w:rsid w:val="009D24AE"/>
    <w:rsid w:val="009D3835"/>
    <w:rsid w:val="009D44BC"/>
    <w:rsid w:val="009D457A"/>
    <w:rsid w:val="009D45FE"/>
    <w:rsid w:val="009D5626"/>
    <w:rsid w:val="009D5937"/>
    <w:rsid w:val="009D5E84"/>
    <w:rsid w:val="009D6142"/>
    <w:rsid w:val="009D64A0"/>
    <w:rsid w:val="009D68D8"/>
    <w:rsid w:val="009D6AE6"/>
    <w:rsid w:val="009D6B3B"/>
    <w:rsid w:val="009D6D07"/>
    <w:rsid w:val="009D7001"/>
    <w:rsid w:val="009E0374"/>
    <w:rsid w:val="009E07BF"/>
    <w:rsid w:val="009E0805"/>
    <w:rsid w:val="009E1724"/>
    <w:rsid w:val="009E2711"/>
    <w:rsid w:val="009E28DE"/>
    <w:rsid w:val="009E2B69"/>
    <w:rsid w:val="009E2C45"/>
    <w:rsid w:val="009E2DE9"/>
    <w:rsid w:val="009E2E7B"/>
    <w:rsid w:val="009E3679"/>
    <w:rsid w:val="009E3B09"/>
    <w:rsid w:val="009E3BDC"/>
    <w:rsid w:val="009E417A"/>
    <w:rsid w:val="009E439D"/>
    <w:rsid w:val="009E4710"/>
    <w:rsid w:val="009E4D32"/>
    <w:rsid w:val="009E4E31"/>
    <w:rsid w:val="009E5669"/>
    <w:rsid w:val="009E575E"/>
    <w:rsid w:val="009E5B03"/>
    <w:rsid w:val="009E5BB9"/>
    <w:rsid w:val="009E5EF7"/>
    <w:rsid w:val="009E60C4"/>
    <w:rsid w:val="009E6853"/>
    <w:rsid w:val="009E68F3"/>
    <w:rsid w:val="009E752C"/>
    <w:rsid w:val="009E76E6"/>
    <w:rsid w:val="009E7992"/>
    <w:rsid w:val="009E7A07"/>
    <w:rsid w:val="009E7EC2"/>
    <w:rsid w:val="009F00DE"/>
    <w:rsid w:val="009F02CC"/>
    <w:rsid w:val="009F04A7"/>
    <w:rsid w:val="009F0964"/>
    <w:rsid w:val="009F0CC8"/>
    <w:rsid w:val="009F1792"/>
    <w:rsid w:val="009F17A7"/>
    <w:rsid w:val="009F1F2A"/>
    <w:rsid w:val="009F2176"/>
    <w:rsid w:val="009F2805"/>
    <w:rsid w:val="009F40C3"/>
    <w:rsid w:val="009F4793"/>
    <w:rsid w:val="009F4DDB"/>
    <w:rsid w:val="009F51FA"/>
    <w:rsid w:val="009F532B"/>
    <w:rsid w:val="009F538F"/>
    <w:rsid w:val="009F5408"/>
    <w:rsid w:val="009F555D"/>
    <w:rsid w:val="009F56C4"/>
    <w:rsid w:val="009F6075"/>
    <w:rsid w:val="009F609A"/>
    <w:rsid w:val="009F6123"/>
    <w:rsid w:val="009F6272"/>
    <w:rsid w:val="009F64E5"/>
    <w:rsid w:val="009F6662"/>
    <w:rsid w:val="009F667F"/>
    <w:rsid w:val="009F7150"/>
    <w:rsid w:val="009F74D4"/>
    <w:rsid w:val="009F79AC"/>
    <w:rsid w:val="009F7BC4"/>
    <w:rsid w:val="00A00512"/>
    <w:rsid w:val="00A00529"/>
    <w:rsid w:val="00A0060D"/>
    <w:rsid w:val="00A013C9"/>
    <w:rsid w:val="00A016F3"/>
    <w:rsid w:val="00A01952"/>
    <w:rsid w:val="00A01FB5"/>
    <w:rsid w:val="00A024FE"/>
    <w:rsid w:val="00A033D1"/>
    <w:rsid w:val="00A046A0"/>
    <w:rsid w:val="00A04F47"/>
    <w:rsid w:val="00A04F83"/>
    <w:rsid w:val="00A0544F"/>
    <w:rsid w:val="00A05740"/>
    <w:rsid w:val="00A05848"/>
    <w:rsid w:val="00A05F4B"/>
    <w:rsid w:val="00A05FA7"/>
    <w:rsid w:val="00A06817"/>
    <w:rsid w:val="00A06BC7"/>
    <w:rsid w:val="00A105B8"/>
    <w:rsid w:val="00A10DA2"/>
    <w:rsid w:val="00A11463"/>
    <w:rsid w:val="00A11A45"/>
    <w:rsid w:val="00A11E47"/>
    <w:rsid w:val="00A12BE9"/>
    <w:rsid w:val="00A13316"/>
    <w:rsid w:val="00A135D1"/>
    <w:rsid w:val="00A137E8"/>
    <w:rsid w:val="00A13B7E"/>
    <w:rsid w:val="00A147FA"/>
    <w:rsid w:val="00A14B0F"/>
    <w:rsid w:val="00A14B1B"/>
    <w:rsid w:val="00A14E48"/>
    <w:rsid w:val="00A1545F"/>
    <w:rsid w:val="00A15CAD"/>
    <w:rsid w:val="00A15FEA"/>
    <w:rsid w:val="00A166CD"/>
    <w:rsid w:val="00A16B13"/>
    <w:rsid w:val="00A16F6A"/>
    <w:rsid w:val="00A17403"/>
    <w:rsid w:val="00A17AEA"/>
    <w:rsid w:val="00A17B9C"/>
    <w:rsid w:val="00A17C78"/>
    <w:rsid w:val="00A17CF1"/>
    <w:rsid w:val="00A17EC5"/>
    <w:rsid w:val="00A2174E"/>
    <w:rsid w:val="00A21B66"/>
    <w:rsid w:val="00A22565"/>
    <w:rsid w:val="00A225D2"/>
    <w:rsid w:val="00A234BF"/>
    <w:rsid w:val="00A23C27"/>
    <w:rsid w:val="00A23F0B"/>
    <w:rsid w:val="00A24785"/>
    <w:rsid w:val="00A25737"/>
    <w:rsid w:val="00A257ED"/>
    <w:rsid w:val="00A2586D"/>
    <w:rsid w:val="00A25C45"/>
    <w:rsid w:val="00A26559"/>
    <w:rsid w:val="00A26DE1"/>
    <w:rsid w:val="00A26F95"/>
    <w:rsid w:val="00A3007E"/>
    <w:rsid w:val="00A305EB"/>
    <w:rsid w:val="00A31054"/>
    <w:rsid w:val="00A310A3"/>
    <w:rsid w:val="00A31142"/>
    <w:rsid w:val="00A31652"/>
    <w:rsid w:val="00A318C1"/>
    <w:rsid w:val="00A323AC"/>
    <w:rsid w:val="00A324CC"/>
    <w:rsid w:val="00A32C23"/>
    <w:rsid w:val="00A32C4F"/>
    <w:rsid w:val="00A332D5"/>
    <w:rsid w:val="00A3347D"/>
    <w:rsid w:val="00A3357B"/>
    <w:rsid w:val="00A33676"/>
    <w:rsid w:val="00A3381D"/>
    <w:rsid w:val="00A3382C"/>
    <w:rsid w:val="00A33AA4"/>
    <w:rsid w:val="00A33C7C"/>
    <w:rsid w:val="00A33DEC"/>
    <w:rsid w:val="00A34E2A"/>
    <w:rsid w:val="00A35646"/>
    <w:rsid w:val="00A35BA4"/>
    <w:rsid w:val="00A35F1C"/>
    <w:rsid w:val="00A35F7E"/>
    <w:rsid w:val="00A3654A"/>
    <w:rsid w:val="00A3666C"/>
    <w:rsid w:val="00A36671"/>
    <w:rsid w:val="00A367F9"/>
    <w:rsid w:val="00A36AA9"/>
    <w:rsid w:val="00A36E10"/>
    <w:rsid w:val="00A37246"/>
    <w:rsid w:val="00A37A53"/>
    <w:rsid w:val="00A4004E"/>
    <w:rsid w:val="00A401A5"/>
    <w:rsid w:val="00A401AC"/>
    <w:rsid w:val="00A4059E"/>
    <w:rsid w:val="00A40C1C"/>
    <w:rsid w:val="00A40C49"/>
    <w:rsid w:val="00A41ADB"/>
    <w:rsid w:val="00A41D8C"/>
    <w:rsid w:val="00A422D4"/>
    <w:rsid w:val="00A425A9"/>
    <w:rsid w:val="00A4370B"/>
    <w:rsid w:val="00A437B9"/>
    <w:rsid w:val="00A43E6F"/>
    <w:rsid w:val="00A445E1"/>
    <w:rsid w:val="00A4475E"/>
    <w:rsid w:val="00A44A30"/>
    <w:rsid w:val="00A44F26"/>
    <w:rsid w:val="00A457F6"/>
    <w:rsid w:val="00A45CFE"/>
    <w:rsid w:val="00A45E01"/>
    <w:rsid w:val="00A45F2E"/>
    <w:rsid w:val="00A46597"/>
    <w:rsid w:val="00A46EC5"/>
    <w:rsid w:val="00A46F6A"/>
    <w:rsid w:val="00A4727A"/>
    <w:rsid w:val="00A47510"/>
    <w:rsid w:val="00A479E9"/>
    <w:rsid w:val="00A47A27"/>
    <w:rsid w:val="00A47D9F"/>
    <w:rsid w:val="00A5077B"/>
    <w:rsid w:val="00A507D4"/>
    <w:rsid w:val="00A50B52"/>
    <w:rsid w:val="00A50E46"/>
    <w:rsid w:val="00A51268"/>
    <w:rsid w:val="00A519C2"/>
    <w:rsid w:val="00A51EC6"/>
    <w:rsid w:val="00A523EB"/>
    <w:rsid w:val="00A527B4"/>
    <w:rsid w:val="00A52B81"/>
    <w:rsid w:val="00A52E71"/>
    <w:rsid w:val="00A53AB9"/>
    <w:rsid w:val="00A53DE6"/>
    <w:rsid w:val="00A54011"/>
    <w:rsid w:val="00A54A91"/>
    <w:rsid w:val="00A54FA5"/>
    <w:rsid w:val="00A55428"/>
    <w:rsid w:val="00A55775"/>
    <w:rsid w:val="00A562C9"/>
    <w:rsid w:val="00A56A74"/>
    <w:rsid w:val="00A56C3C"/>
    <w:rsid w:val="00A57070"/>
    <w:rsid w:val="00A60152"/>
    <w:rsid w:val="00A603B0"/>
    <w:rsid w:val="00A60F0D"/>
    <w:rsid w:val="00A6108A"/>
    <w:rsid w:val="00A612E1"/>
    <w:rsid w:val="00A61589"/>
    <w:rsid w:val="00A61DB1"/>
    <w:rsid w:val="00A620F9"/>
    <w:rsid w:val="00A62CD1"/>
    <w:rsid w:val="00A62F2F"/>
    <w:rsid w:val="00A62F82"/>
    <w:rsid w:val="00A63637"/>
    <w:rsid w:val="00A6367D"/>
    <w:rsid w:val="00A63D06"/>
    <w:rsid w:val="00A63D3B"/>
    <w:rsid w:val="00A6461A"/>
    <w:rsid w:val="00A646A4"/>
    <w:rsid w:val="00A64859"/>
    <w:rsid w:val="00A64999"/>
    <w:rsid w:val="00A64C9B"/>
    <w:rsid w:val="00A65080"/>
    <w:rsid w:val="00A65346"/>
    <w:rsid w:val="00A66C5C"/>
    <w:rsid w:val="00A6793D"/>
    <w:rsid w:val="00A67A75"/>
    <w:rsid w:val="00A67DC4"/>
    <w:rsid w:val="00A67F3C"/>
    <w:rsid w:val="00A7033B"/>
    <w:rsid w:val="00A70375"/>
    <w:rsid w:val="00A70435"/>
    <w:rsid w:val="00A7048E"/>
    <w:rsid w:val="00A71466"/>
    <w:rsid w:val="00A716C8"/>
    <w:rsid w:val="00A71BBA"/>
    <w:rsid w:val="00A72D9C"/>
    <w:rsid w:val="00A72DB8"/>
    <w:rsid w:val="00A7361F"/>
    <w:rsid w:val="00A73C73"/>
    <w:rsid w:val="00A73D81"/>
    <w:rsid w:val="00A742DB"/>
    <w:rsid w:val="00A74657"/>
    <w:rsid w:val="00A74B9F"/>
    <w:rsid w:val="00A74D24"/>
    <w:rsid w:val="00A751B2"/>
    <w:rsid w:val="00A75F1B"/>
    <w:rsid w:val="00A76054"/>
    <w:rsid w:val="00A76826"/>
    <w:rsid w:val="00A768CC"/>
    <w:rsid w:val="00A769B1"/>
    <w:rsid w:val="00A76E1B"/>
    <w:rsid w:val="00A77066"/>
    <w:rsid w:val="00A77455"/>
    <w:rsid w:val="00A77487"/>
    <w:rsid w:val="00A8071C"/>
    <w:rsid w:val="00A809FA"/>
    <w:rsid w:val="00A80E28"/>
    <w:rsid w:val="00A80E34"/>
    <w:rsid w:val="00A81845"/>
    <w:rsid w:val="00A818E9"/>
    <w:rsid w:val="00A81D85"/>
    <w:rsid w:val="00A81EE7"/>
    <w:rsid w:val="00A828A4"/>
    <w:rsid w:val="00A82EEB"/>
    <w:rsid w:val="00A831EF"/>
    <w:rsid w:val="00A83C3B"/>
    <w:rsid w:val="00A83FE3"/>
    <w:rsid w:val="00A8411D"/>
    <w:rsid w:val="00A8427D"/>
    <w:rsid w:val="00A84334"/>
    <w:rsid w:val="00A844D9"/>
    <w:rsid w:val="00A8455E"/>
    <w:rsid w:val="00A84717"/>
    <w:rsid w:val="00A84F40"/>
    <w:rsid w:val="00A8602E"/>
    <w:rsid w:val="00A86030"/>
    <w:rsid w:val="00A86427"/>
    <w:rsid w:val="00A90996"/>
    <w:rsid w:val="00A90A71"/>
    <w:rsid w:val="00A913DA"/>
    <w:rsid w:val="00A91483"/>
    <w:rsid w:val="00A9174B"/>
    <w:rsid w:val="00A917BF"/>
    <w:rsid w:val="00A9185B"/>
    <w:rsid w:val="00A919C7"/>
    <w:rsid w:val="00A91CD3"/>
    <w:rsid w:val="00A91E83"/>
    <w:rsid w:val="00A924B6"/>
    <w:rsid w:val="00A92C97"/>
    <w:rsid w:val="00A93A47"/>
    <w:rsid w:val="00A940D9"/>
    <w:rsid w:val="00A946F5"/>
    <w:rsid w:val="00A952A5"/>
    <w:rsid w:val="00A953BB"/>
    <w:rsid w:val="00A97101"/>
    <w:rsid w:val="00A975BD"/>
    <w:rsid w:val="00A9777D"/>
    <w:rsid w:val="00A979D9"/>
    <w:rsid w:val="00A97F5E"/>
    <w:rsid w:val="00AA0252"/>
    <w:rsid w:val="00AA0B22"/>
    <w:rsid w:val="00AA0DB2"/>
    <w:rsid w:val="00AA16CA"/>
    <w:rsid w:val="00AA1C05"/>
    <w:rsid w:val="00AA1FA3"/>
    <w:rsid w:val="00AA2F16"/>
    <w:rsid w:val="00AA3073"/>
    <w:rsid w:val="00AA34B8"/>
    <w:rsid w:val="00AA4C11"/>
    <w:rsid w:val="00AA5B70"/>
    <w:rsid w:val="00AA6022"/>
    <w:rsid w:val="00AA60B9"/>
    <w:rsid w:val="00AA658F"/>
    <w:rsid w:val="00AA770B"/>
    <w:rsid w:val="00AA7C0E"/>
    <w:rsid w:val="00AA7E81"/>
    <w:rsid w:val="00AB0429"/>
    <w:rsid w:val="00AB07E5"/>
    <w:rsid w:val="00AB0BFE"/>
    <w:rsid w:val="00AB0E3E"/>
    <w:rsid w:val="00AB21DF"/>
    <w:rsid w:val="00AB2207"/>
    <w:rsid w:val="00AB248D"/>
    <w:rsid w:val="00AB27E9"/>
    <w:rsid w:val="00AB2C61"/>
    <w:rsid w:val="00AB2D0E"/>
    <w:rsid w:val="00AB2E99"/>
    <w:rsid w:val="00AB3124"/>
    <w:rsid w:val="00AB3750"/>
    <w:rsid w:val="00AB3E01"/>
    <w:rsid w:val="00AB4033"/>
    <w:rsid w:val="00AB4265"/>
    <w:rsid w:val="00AB45AF"/>
    <w:rsid w:val="00AB4AAF"/>
    <w:rsid w:val="00AB4E61"/>
    <w:rsid w:val="00AB4FB2"/>
    <w:rsid w:val="00AB5751"/>
    <w:rsid w:val="00AB5A65"/>
    <w:rsid w:val="00AB5C17"/>
    <w:rsid w:val="00AB5D57"/>
    <w:rsid w:val="00AB7055"/>
    <w:rsid w:val="00AB75F9"/>
    <w:rsid w:val="00AB7DFB"/>
    <w:rsid w:val="00AB7F83"/>
    <w:rsid w:val="00AB7F93"/>
    <w:rsid w:val="00AC008A"/>
    <w:rsid w:val="00AC06BB"/>
    <w:rsid w:val="00AC1266"/>
    <w:rsid w:val="00AC1D01"/>
    <w:rsid w:val="00AC2593"/>
    <w:rsid w:val="00AC25D2"/>
    <w:rsid w:val="00AC2B78"/>
    <w:rsid w:val="00AC2F8D"/>
    <w:rsid w:val="00AC350A"/>
    <w:rsid w:val="00AC3552"/>
    <w:rsid w:val="00AC37C6"/>
    <w:rsid w:val="00AC3E47"/>
    <w:rsid w:val="00AC3F77"/>
    <w:rsid w:val="00AC41D3"/>
    <w:rsid w:val="00AC4889"/>
    <w:rsid w:val="00AC4EA9"/>
    <w:rsid w:val="00AC5941"/>
    <w:rsid w:val="00AC65A9"/>
    <w:rsid w:val="00AC6999"/>
    <w:rsid w:val="00AC6CF4"/>
    <w:rsid w:val="00AC7058"/>
    <w:rsid w:val="00AC7CD6"/>
    <w:rsid w:val="00AD019C"/>
    <w:rsid w:val="00AD046B"/>
    <w:rsid w:val="00AD0EA1"/>
    <w:rsid w:val="00AD0F4A"/>
    <w:rsid w:val="00AD1875"/>
    <w:rsid w:val="00AD20C7"/>
    <w:rsid w:val="00AD36DA"/>
    <w:rsid w:val="00AD497C"/>
    <w:rsid w:val="00AD4C09"/>
    <w:rsid w:val="00AD4DDB"/>
    <w:rsid w:val="00AD4EA8"/>
    <w:rsid w:val="00AD53FC"/>
    <w:rsid w:val="00AD5408"/>
    <w:rsid w:val="00AD5871"/>
    <w:rsid w:val="00AD591D"/>
    <w:rsid w:val="00AD698C"/>
    <w:rsid w:val="00AD76B8"/>
    <w:rsid w:val="00AD7730"/>
    <w:rsid w:val="00AD77E2"/>
    <w:rsid w:val="00AD7A9D"/>
    <w:rsid w:val="00AE0276"/>
    <w:rsid w:val="00AE0705"/>
    <w:rsid w:val="00AE0F09"/>
    <w:rsid w:val="00AE13EF"/>
    <w:rsid w:val="00AE1592"/>
    <w:rsid w:val="00AE1657"/>
    <w:rsid w:val="00AE1C50"/>
    <w:rsid w:val="00AE23D7"/>
    <w:rsid w:val="00AE262F"/>
    <w:rsid w:val="00AE269D"/>
    <w:rsid w:val="00AE2734"/>
    <w:rsid w:val="00AE2C7B"/>
    <w:rsid w:val="00AE3223"/>
    <w:rsid w:val="00AE3313"/>
    <w:rsid w:val="00AE33CD"/>
    <w:rsid w:val="00AE346D"/>
    <w:rsid w:val="00AE3531"/>
    <w:rsid w:val="00AE365C"/>
    <w:rsid w:val="00AE37D0"/>
    <w:rsid w:val="00AE380E"/>
    <w:rsid w:val="00AE3D8F"/>
    <w:rsid w:val="00AE4F1E"/>
    <w:rsid w:val="00AE5104"/>
    <w:rsid w:val="00AE527B"/>
    <w:rsid w:val="00AE58E6"/>
    <w:rsid w:val="00AE5C92"/>
    <w:rsid w:val="00AE5CBD"/>
    <w:rsid w:val="00AE5CFE"/>
    <w:rsid w:val="00AE65E6"/>
    <w:rsid w:val="00AE6752"/>
    <w:rsid w:val="00AE6E6A"/>
    <w:rsid w:val="00AE7059"/>
    <w:rsid w:val="00AE71E1"/>
    <w:rsid w:val="00AE7D22"/>
    <w:rsid w:val="00AE7FE1"/>
    <w:rsid w:val="00AF011F"/>
    <w:rsid w:val="00AF0540"/>
    <w:rsid w:val="00AF078C"/>
    <w:rsid w:val="00AF0DD8"/>
    <w:rsid w:val="00AF0FD6"/>
    <w:rsid w:val="00AF1216"/>
    <w:rsid w:val="00AF18CC"/>
    <w:rsid w:val="00AF1D78"/>
    <w:rsid w:val="00AF23EF"/>
    <w:rsid w:val="00AF25AE"/>
    <w:rsid w:val="00AF270C"/>
    <w:rsid w:val="00AF30F7"/>
    <w:rsid w:val="00AF33C4"/>
    <w:rsid w:val="00AF34A9"/>
    <w:rsid w:val="00AF3CF3"/>
    <w:rsid w:val="00AF4043"/>
    <w:rsid w:val="00AF4126"/>
    <w:rsid w:val="00AF4284"/>
    <w:rsid w:val="00AF4714"/>
    <w:rsid w:val="00AF49DF"/>
    <w:rsid w:val="00AF49EF"/>
    <w:rsid w:val="00AF4ECC"/>
    <w:rsid w:val="00AF53DD"/>
    <w:rsid w:val="00AF5D94"/>
    <w:rsid w:val="00AF632F"/>
    <w:rsid w:val="00AF6C1D"/>
    <w:rsid w:val="00AF7351"/>
    <w:rsid w:val="00AF7441"/>
    <w:rsid w:val="00AF76BA"/>
    <w:rsid w:val="00AF76C1"/>
    <w:rsid w:val="00AF7748"/>
    <w:rsid w:val="00AF78E2"/>
    <w:rsid w:val="00AF7980"/>
    <w:rsid w:val="00AF79BD"/>
    <w:rsid w:val="00AF7B13"/>
    <w:rsid w:val="00B00C10"/>
    <w:rsid w:val="00B01A10"/>
    <w:rsid w:val="00B01B2A"/>
    <w:rsid w:val="00B01BF9"/>
    <w:rsid w:val="00B025C2"/>
    <w:rsid w:val="00B035B7"/>
    <w:rsid w:val="00B03B92"/>
    <w:rsid w:val="00B03CC9"/>
    <w:rsid w:val="00B03CDD"/>
    <w:rsid w:val="00B03F4D"/>
    <w:rsid w:val="00B040FA"/>
    <w:rsid w:val="00B04EAC"/>
    <w:rsid w:val="00B054DC"/>
    <w:rsid w:val="00B057C6"/>
    <w:rsid w:val="00B059E8"/>
    <w:rsid w:val="00B05CA6"/>
    <w:rsid w:val="00B05FCA"/>
    <w:rsid w:val="00B06992"/>
    <w:rsid w:val="00B07F2D"/>
    <w:rsid w:val="00B1024B"/>
    <w:rsid w:val="00B10A92"/>
    <w:rsid w:val="00B11826"/>
    <w:rsid w:val="00B119E4"/>
    <w:rsid w:val="00B125B7"/>
    <w:rsid w:val="00B12A42"/>
    <w:rsid w:val="00B12F70"/>
    <w:rsid w:val="00B132EE"/>
    <w:rsid w:val="00B13825"/>
    <w:rsid w:val="00B1383D"/>
    <w:rsid w:val="00B138BF"/>
    <w:rsid w:val="00B13DD9"/>
    <w:rsid w:val="00B14392"/>
    <w:rsid w:val="00B14541"/>
    <w:rsid w:val="00B15156"/>
    <w:rsid w:val="00B15C90"/>
    <w:rsid w:val="00B15DB9"/>
    <w:rsid w:val="00B161D4"/>
    <w:rsid w:val="00B161FC"/>
    <w:rsid w:val="00B16238"/>
    <w:rsid w:val="00B1699C"/>
    <w:rsid w:val="00B16A82"/>
    <w:rsid w:val="00B16DBA"/>
    <w:rsid w:val="00B17424"/>
    <w:rsid w:val="00B20038"/>
    <w:rsid w:val="00B2082D"/>
    <w:rsid w:val="00B215D5"/>
    <w:rsid w:val="00B21BFA"/>
    <w:rsid w:val="00B21F49"/>
    <w:rsid w:val="00B21F72"/>
    <w:rsid w:val="00B2285D"/>
    <w:rsid w:val="00B228A2"/>
    <w:rsid w:val="00B22A7B"/>
    <w:rsid w:val="00B22B46"/>
    <w:rsid w:val="00B2367E"/>
    <w:rsid w:val="00B239D0"/>
    <w:rsid w:val="00B24C71"/>
    <w:rsid w:val="00B24FC1"/>
    <w:rsid w:val="00B25678"/>
    <w:rsid w:val="00B256FC"/>
    <w:rsid w:val="00B257D4"/>
    <w:rsid w:val="00B25E2B"/>
    <w:rsid w:val="00B26EBA"/>
    <w:rsid w:val="00B26F75"/>
    <w:rsid w:val="00B27166"/>
    <w:rsid w:val="00B27420"/>
    <w:rsid w:val="00B27668"/>
    <w:rsid w:val="00B279C1"/>
    <w:rsid w:val="00B27F2C"/>
    <w:rsid w:val="00B305D0"/>
    <w:rsid w:val="00B30757"/>
    <w:rsid w:val="00B3076C"/>
    <w:rsid w:val="00B30B0A"/>
    <w:rsid w:val="00B30CB0"/>
    <w:rsid w:val="00B31130"/>
    <w:rsid w:val="00B313A2"/>
    <w:rsid w:val="00B314A5"/>
    <w:rsid w:val="00B32CA3"/>
    <w:rsid w:val="00B33131"/>
    <w:rsid w:val="00B3396F"/>
    <w:rsid w:val="00B33EC8"/>
    <w:rsid w:val="00B3430C"/>
    <w:rsid w:val="00B34617"/>
    <w:rsid w:val="00B3466B"/>
    <w:rsid w:val="00B34CB0"/>
    <w:rsid w:val="00B351FC"/>
    <w:rsid w:val="00B35BE8"/>
    <w:rsid w:val="00B35CAA"/>
    <w:rsid w:val="00B360DA"/>
    <w:rsid w:val="00B36168"/>
    <w:rsid w:val="00B368E9"/>
    <w:rsid w:val="00B36E1A"/>
    <w:rsid w:val="00B36F67"/>
    <w:rsid w:val="00B3718F"/>
    <w:rsid w:val="00B4018E"/>
    <w:rsid w:val="00B40517"/>
    <w:rsid w:val="00B405B1"/>
    <w:rsid w:val="00B40718"/>
    <w:rsid w:val="00B409C4"/>
    <w:rsid w:val="00B40A62"/>
    <w:rsid w:val="00B40C3C"/>
    <w:rsid w:val="00B41054"/>
    <w:rsid w:val="00B411B9"/>
    <w:rsid w:val="00B41537"/>
    <w:rsid w:val="00B42166"/>
    <w:rsid w:val="00B4240D"/>
    <w:rsid w:val="00B43A97"/>
    <w:rsid w:val="00B442CB"/>
    <w:rsid w:val="00B44408"/>
    <w:rsid w:val="00B44CDB"/>
    <w:rsid w:val="00B450E5"/>
    <w:rsid w:val="00B4622D"/>
    <w:rsid w:val="00B463B6"/>
    <w:rsid w:val="00B468F8"/>
    <w:rsid w:val="00B47403"/>
    <w:rsid w:val="00B474F3"/>
    <w:rsid w:val="00B47DB5"/>
    <w:rsid w:val="00B47E31"/>
    <w:rsid w:val="00B47F65"/>
    <w:rsid w:val="00B5063E"/>
    <w:rsid w:val="00B512EC"/>
    <w:rsid w:val="00B51DA8"/>
    <w:rsid w:val="00B526E9"/>
    <w:rsid w:val="00B52A90"/>
    <w:rsid w:val="00B530FE"/>
    <w:rsid w:val="00B5338A"/>
    <w:rsid w:val="00B551A2"/>
    <w:rsid w:val="00B559EE"/>
    <w:rsid w:val="00B55C12"/>
    <w:rsid w:val="00B56125"/>
    <w:rsid w:val="00B56628"/>
    <w:rsid w:val="00B568B2"/>
    <w:rsid w:val="00B56F30"/>
    <w:rsid w:val="00B56FDC"/>
    <w:rsid w:val="00B571F7"/>
    <w:rsid w:val="00B5735D"/>
    <w:rsid w:val="00B57CF5"/>
    <w:rsid w:val="00B57E5A"/>
    <w:rsid w:val="00B602EB"/>
    <w:rsid w:val="00B60AFF"/>
    <w:rsid w:val="00B60D48"/>
    <w:rsid w:val="00B617C8"/>
    <w:rsid w:val="00B61ABF"/>
    <w:rsid w:val="00B61C9D"/>
    <w:rsid w:val="00B62034"/>
    <w:rsid w:val="00B62384"/>
    <w:rsid w:val="00B625A6"/>
    <w:rsid w:val="00B626DB"/>
    <w:rsid w:val="00B62A5F"/>
    <w:rsid w:val="00B63C2B"/>
    <w:rsid w:val="00B63C71"/>
    <w:rsid w:val="00B63D59"/>
    <w:rsid w:val="00B64392"/>
    <w:rsid w:val="00B646A1"/>
    <w:rsid w:val="00B64BC7"/>
    <w:rsid w:val="00B65347"/>
    <w:rsid w:val="00B65FA6"/>
    <w:rsid w:val="00B6620D"/>
    <w:rsid w:val="00B66F79"/>
    <w:rsid w:val="00B67861"/>
    <w:rsid w:val="00B6798E"/>
    <w:rsid w:val="00B67B79"/>
    <w:rsid w:val="00B67B7E"/>
    <w:rsid w:val="00B67D48"/>
    <w:rsid w:val="00B7012B"/>
    <w:rsid w:val="00B70214"/>
    <w:rsid w:val="00B70280"/>
    <w:rsid w:val="00B702B1"/>
    <w:rsid w:val="00B712A0"/>
    <w:rsid w:val="00B7132A"/>
    <w:rsid w:val="00B71387"/>
    <w:rsid w:val="00B71766"/>
    <w:rsid w:val="00B71833"/>
    <w:rsid w:val="00B71A32"/>
    <w:rsid w:val="00B72816"/>
    <w:rsid w:val="00B72CE6"/>
    <w:rsid w:val="00B73402"/>
    <w:rsid w:val="00B73CF5"/>
    <w:rsid w:val="00B7458B"/>
    <w:rsid w:val="00B748CB"/>
    <w:rsid w:val="00B74EB2"/>
    <w:rsid w:val="00B74F05"/>
    <w:rsid w:val="00B75089"/>
    <w:rsid w:val="00B759CB"/>
    <w:rsid w:val="00B75B6B"/>
    <w:rsid w:val="00B7617A"/>
    <w:rsid w:val="00B76386"/>
    <w:rsid w:val="00B768F8"/>
    <w:rsid w:val="00B769A6"/>
    <w:rsid w:val="00B76ECD"/>
    <w:rsid w:val="00B77478"/>
    <w:rsid w:val="00B77A36"/>
    <w:rsid w:val="00B77ECE"/>
    <w:rsid w:val="00B80269"/>
    <w:rsid w:val="00B80654"/>
    <w:rsid w:val="00B80B72"/>
    <w:rsid w:val="00B80BCD"/>
    <w:rsid w:val="00B80BEA"/>
    <w:rsid w:val="00B80E67"/>
    <w:rsid w:val="00B81293"/>
    <w:rsid w:val="00B816A0"/>
    <w:rsid w:val="00B81BD0"/>
    <w:rsid w:val="00B821A7"/>
    <w:rsid w:val="00B821C3"/>
    <w:rsid w:val="00B821EE"/>
    <w:rsid w:val="00B8251D"/>
    <w:rsid w:val="00B825A0"/>
    <w:rsid w:val="00B82861"/>
    <w:rsid w:val="00B828E8"/>
    <w:rsid w:val="00B82CF8"/>
    <w:rsid w:val="00B83104"/>
    <w:rsid w:val="00B8322A"/>
    <w:rsid w:val="00B8386A"/>
    <w:rsid w:val="00B83BF4"/>
    <w:rsid w:val="00B846A8"/>
    <w:rsid w:val="00B84CF7"/>
    <w:rsid w:val="00B85080"/>
    <w:rsid w:val="00B8546A"/>
    <w:rsid w:val="00B8582C"/>
    <w:rsid w:val="00B85A96"/>
    <w:rsid w:val="00B86416"/>
    <w:rsid w:val="00B869AE"/>
    <w:rsid w:val="00B86AF7"/>
    <w:rsid w:val="00B86B53"/>
    <w:rsid w:val="00B8708F"/>
    <w:rsid w:val="00B875C8"/>
    <w:rsid w:val="00B8761C"/>
    <w:rsid w:val="00B87BA8"/>
    <w:rsid w:val="00B87F85"/>
    <w:rsid w:val="00B90BC8"/>
    <w:rsid w:val="00B91194"/>
    <w:rsid w:val="00B9122A"/>
    <w:rsid w:val="00B9137C"/>
    <w:rsid w:val="00B914E9"/>
    <w:rsid w:val="00B91F15"/>
    <w:rsid w:val="00B92076"/>
    <w:rsid w:val="00B9274B"/>
    <w:rsid w:val="00B92A06"/>
    <w:rsid w:val="00B934C3"/>
    <w:rsid w:val="00B93A00"/>
    <w:rsid w:val="00B93A43"/>
    <w:rsid w:val="00B94062"/>
    <w:rsid w:val="00B942AB"/>
    <w:rsid w:val="00B949B1"/>
    <w:rsid w:val="00B94B27"/>
    <w:rsid w:val="00B95539"/>
    <w:rsid w:val="00B95C6D"/>
    <w:rsid w:val="00B9651B"/>
    <w:rsid w:val="00B9672F"/>
    <w:rsid w:val="00B96DBC"/>
    <w:rsid w:val="00B96E75"/>
    <w:rsid w:val="00B973FF"/>
    <w:rsid w:val="00B9753B"/>
    <w:rsid w:val="00B975B3"/>
    <w:rsid w:val="00BA044F"/>
    <w:rsid w:val="00BA050C"/>
    <w:rsid w:val="00BA0600"/>
    <w:rsid w:val="00BA11B6"/>
    <w:rsid w:val="00BA13C9"/>
    <w:rsid w:val="00BA1A49"/>
    <w:rsid w:val="00BA1D3E"/>
    <w:rsid w:val="00BA2528"/>
    <w:rsid w:val="00BA3236"/>
    <w:rsid w:val="00BA37F3"/>
    <w:rsid w:val="00BA41B8"/>
    <w:rsid w:val="00BA4D96"/>
    <w:rsid w:val="00BA4E6C"/>
    <w:rsid w:val="00BA4EE8"/>
    <w:rsid w:val="00BA50A7"/>
    <w:rsid w:val="00BA5639"/>
    <w:rsid w:val="00BA5E5F"/>
    <w:rsid w:val="00BA721F"/>
    <w:rsid w:val="00BA750F"/>
    <w:rsid w:val="00BA7835"/>
    <w:rsid w:val="00BB01FE"/>
    <w:rsid w:val="00BB054D"/>
    <w:rsid w:val="00BB07B6"/>
    <w:rsid w:val="00BB110A"/>
    <w:rsid w:val="00BB115E"/>
    <w:rsid w:val="00BB12A0"/>
    <w:rsid w:val="00BB1556"/>
    <w:rsid w:val="00BB1DD0"/>
    <w:rsid w:val="00BB21A4"/>
    <w:rsid w:val="00BB24E1"/>
    <w:rsid w:val="00BB2D79"/>
    <w:rsid w:val="00BB38B6"/>
    <w:rsid w:val="00BB3B75"/>
    <w:rsid w:val="00BB3D8D"/>
    <w:rsid w:val="00BB49FF"/>
    <w:rsid w:val="00BB4B6C"/>
    <w:rsid w:val="00BB4F58"/>
    <w:rsid w:val="00BB5EE5"/>
    <w:rsid w:val="00BB6457"/>
    <w:rsid w:val="00BB6495"/>
    <w:rsid w:val="00BB65F8"/>
    <w:rsid w:val="00BB6C69"/>
    <w:rsid w:val="00BB7214"/>
    <w:rsid w:val="00BB7859"/>
    <w:rsid w:val="00BB7B86"/>
    <w:rsid w:val="00BB7ECB"/>
    <w:rsid w:val="00BB7F75"/>
    <w:rsid w:val="00BC055A"/>
    <w:rsid w:val="00BC0700"/>
    <w:rsid w:val="00BC0B8A"/>
    <w:rsid w:val="00BC13CC"/>
    <w:rsid w:val="00BC24C8"/>
    <w:rsid w:val="00BC28CF"/>
    <w:rsid w:val="00BC3165"/>
    <w:rsid w:val="00BC35A6"/>
    <w:rsid w:val="00BC38C2"/>
    <w:rsid w:val="00BC4616"/>
    <w:rsid w:val="00BC4888"/>
    <w:rsid w:val="00BC4C77"/>
    <w:rsid w:val="00BC58AD"/>
    <w:rsid w:val="00BC5CD6"/>
    <w:rsid w:val="00BC60A5"/>
    <w:rsid w:val="00BC6119"/>
    <w:rsid w:val="00BC6163"/>
    <w:rsid w:val="00BC6AF8"/>
    <w:rsid w:val="00BC77C3"/>
    <w:rsid w:val="00BD0846"/>
    <w:rsid w:val="00BD0F45"/>
    <w:rsid w:val="00BD10C2"/>
    <w:rsid w:val="00BD26EC"/>
    <w:rsid w:val="00BD29F1"/>
    <w:rsid w:val="00BD2C4C"/>
    <w:rsid w:val="00BD2D2D"/>
    <w:rsid w:val="00BD2DB6"/>
    <w:rsid w:val="00BD2DF8"/>
    <w:rsid w:val="00BD3301"/>
    <w:rsid w:val="00BD3932"/>
    <w:rsid w:val="00BD3EDE"/>
    <w:rsid w:val="00BD415B"/>
    <w:rsid w:val="00BD451C"/>
    <w:rsid w:val="00BD4B3B"/>
    <w:rsid w:val="00BD4B52"/>
    <w:rsid w:val="00BD501A"/>
    <w:rsid w:val="00BD56BD"/>
    <w:rsid w:val="00BD5753"/>
    <w:rsid w:val="00BD5C22"/>
    <w:rsid w:val="00BD698A"/>
    <w:rsid w:val="00BD766A"/>
    <w:rsid w:val="00BE0164"/>
    <w:rsid w:val="00BE01E8"/>
    <w:rsid w:val="00BE12A1"/>
    <w:rsid w:val="00BE13C2"/>
    <w:rsid w:val="00BE1897"/>
    <w:rsid w:val="00BE2332"/>
    <w:rsid w:val="00BE2BD3"/>
    <w:rsid w:val="00BE2FC0"/>
    <w:rsid w:val="00BE35EA"/>
    <w:rsid w:val="00BE38C6"/>
    <w:rsid w:val="00BE4179"/>
    <w:rsid w:val="00BE4302"/>
    <w:rsid w:val="00BE4655"/>
    <w:rsid w:val="00BE4F72"/>
    <w:rsid w:val="00BE5440"/>
    <w:rsid w:val="00BE5481"/>
    <w:rsid w:val="00BE5FF9"/>
    <w:rsid w:val="00BE6325"/>
    <w:rsid w:val="00BE68BD"/>
    <w:rsid w:val="00BE7C4F"/>
    <w:rsid w:val="00BE7C98"/>
    <w:rsid w:val="00BF077F"/>
    <w:rsid w:val="00BF1FB4"/>
    <w:rsid w:val="00BF20E0"/>
    <w:rsid w:val="00BF23DF"/>
    <w:rsid w:val="00BF271B"/>
    <w:rsid w:val="00BF285D"/>
    <w:rsid w:val="00BF30E6"/>
    <w:rsid w:val="00BF3F1A"/>
    <w:rsid w:val="00BF3F8B"/>
    <w:rsid w:val="00BF4174"/>
    <w:rsid w:val="00BF4A64"/>
    <w:rsid w:val="00BF4AB2"/>
    <w:rsid w:val="00BF4DDB"/>
    <w:rsid w:val="00BF5695"/>
    <w:rsid w:val="00BF56D0"/>
    <w:rsid w:val="00BF5828"/>
    <w:rsid w:val="00BF586D"/>
    <w:rsid w:val="00BF58CF"/>
    <w:rsid w:val="00BF59F5"/>
    <w:rsid w:val="00BF5AB8"/>
    <w:rsid w:val="00BF60FA"/>
    <w:rsid w:val="00BF6409"/>
    <w:rsid w:val="00BF6E2F"/>
    <w:rsid w:val="00BF6FC6"/>
    <w:rsid w:val="00BF77CF"/>
    <w:rsid w:val="00BF7804"/>
    <w:rsid w:val="00C00372"/>
    <w:rsid w:val="00C00971"/>
    <w:rsid w:val="00C01352"/>
    <w:rsid w:val="00C01699"/>
    <w:rsid w:val="00C01A71"/>
    <w:rsid w:val="00C02000"/>
    <w:rsid w:val="00C02708"/>
    <w:rsid w:val="00C02C1E"/>
    <w:rsid w:val="00C030CA"/>
    <w:rsid w:val="00C0342E"/>
    <w:rsid w:val="00C03A57"/>
    <w:rsid w:val="00C03F91"/>
    <w:rsid w:val="00C04599"/>
    <w:rsid w:val="00C048BE"/>
    <w:rsid w:val="00C04A02"/>
    <w:rsid w:val="00C055CC"/>
    <w:rsid w:val="00C059F1"/>
    <w:rsid w:val="00C05A91"/>
    <w:rsid w:val="00C06016"/>
    <w:rsid w:val="00C06157"/>
    <w:rsid w:val="00C0644E"/>
    <w:rsid w:val="00C06510"/>
    <w:rsid w:val="00C068AD"/>
    <w:rsid w:val="00C06F95"/>
    <w:rsid w:val="00C070BC"/>
    <w:rsid w:val="00C073C8"/>
    <w:rsid w:val="00C07427"/>
    <w:rsid w:val="00C079B0"/>
    <w:rsid w:val="00C07AFC"/>
    <w:rsid w:val="00C07EC0"/>
    <w:rsid w:val="00C07ECA"/>
    <w:rsid w:val="00C10DB7"/>
    <w:rsid w:val="00C11054"/>
    <w:rsid w:val="00C117D5"/>
    <w:rsid w:val="00C11BE2"/>
    <w:rsid w:val="00C1228B"/>
    <w:rsid w:val="00C12554"/>
    <w:rsid w:val="00C12B8D"/>
    <w:rsid w:val="00C1343C"/>
    <w:rsid w:val="00C13467"/>
    <w:rsid w:val="00C1372E"/>
    <w:rsid w:val="00C13A92"/>
    <w:rsid w:val="00C13AE7"/>
    <w:rsid w:val="00C13B3B"/>
    <w:rsid w:val="00C147BC"/>
    <w:rsid w:val="00C15662"/>
    <w:rsid w:val="00C15C0C"/>
    <w:rsid w:val="00C15CE3"/>
    <w:rsid w:val="00C15E83"/>
    <w:rsid w:val="00C160E1"/>
    <w:rsid w:val="00C163E1"/>
    <w:rsid w:val="00C16D9C"/>
    <w:rsid w:val="00C173BD"/>
    <w:rsid w:val="00C17B81"/>
    <w:rsid w:val="00C17CE3"/>
    <w:rsid w:val="00C17DE7"/>
    <w:rsid w:val="00C2010C"/>
    <w:rsid w:val="00C2021D"/>
    <w:rsid w:val="00C20410"/>
    <w:rsid w:val="00C2075A"/>
    <w:rsid w:val="00C209EA"/>
    <w:rsid w:val="00C211ED"/>
    <w:rsid w:val="00C217E9"/>
    <w:rsid w:val="00C218B7"/>
    <w:rsid w:val="00C21B1E"/>
    <w:rsid w:val="00C2248F"/>
    <w:rsid w:val="00C225A3"/>
    <w:rsid w:val="00C22764"/>
    <w:rsid w:val="00C22EA7"/>
    <w:rsid w:val="00C2358A"/>
    <w:rsid w:val="00C23AF2"/>
    <w:rsid w:val="00C23ED3"/>
    <w:rsid w:val="00C244E7"/>
    <w:rsid w:val="00C24B20"/>
    <w:rsid w:val="00C24D1F"/>
    <w:rsid w:val="00C24F7A"/>
    <w:rsid w:val="00C25277"/>
    <w:rsid w:val="00C25D08"/>
    <w:rsid w:val="00C26132"/>
    <w:rsid w:val="00C26145"/>
    <w:rsid w:val="00C265BA"/>
    <w:rsid w:val="00C268F0"/>
    <w:rsid w:val="00C27463"/>
    <w:rsid w:val="00C274AA"/>
    <w:rsid w:val="00C279FC"/>
    <w:rsid w:val="00C3006D"/>
    <w:rsid w:val="00C30A84"/>
    <w:rsid w:val="00C31607"/>
    <w:rsid w:val="00C31E23"/>
    <w:rsid w:val="00C31FE3"/>
    <w:rsid w:val="00C32460"/>
    <w:rsid w:val="00C3255C"/>
    <w:rsid w:val="00C326BE"/>
    <w:rsid w:val="00C3298D"/>
    <w:rsid w:val="00C32AAC"/>
    <w:rsid w:val="00C32E1C"/>
    <w:rsid w:val="00C3330C"/>
    <w:rsid w:val="00C33EDE"/>
    <w:rsid w:val="00C33FA6"/>
    <w:rsid w:val="00C34396"/>
    <w:rsid w:val="00C3440E"/>
    <w:rsid w:val="00C34939"/>
    <w:rsid w:val="00C34C81"/>
    <w:rsid w:val="00C35376"/>
    <w:rsid w:val="00C353EF"/>
    <w:rsid w:val="00C35405"/>
    <w:rsid w:val="00C354FF"/>
    <w:rsid w:val="00C3596A"/>
    <w:rsid w:val="00C35ACB"/>
    <w:rsid w:val="00C36510"/>
    <w:rsid w:val="00C36515"/>
    <w:rsid w:val="00C365E3"/>
    <w:rsid w:val="00C36E08"/>
    <w:rsid w:val="00C37A45"/>
    <w:rsid w:val="00C403DA"/>
    <w:rsid w:val="00C40587"/>
    <w:rsid w:val="00C40AF4"/>
    <w:rsid w:val="00C40DBC"/>
    <w:rsid w:val="00C40FFD"/>
    <w:rsid w:val="00C411E5"/>
    <w:rsid w:val="00C4148E"/>
    <w:rsid w:val="00C41A4E"/>
    <w:rsid w:val="00C41EB8"/>
    <w:rsid w:val="00C42577"/>
    <w:rsid w:val="00C4404B"/>
    <w:rsid w:val="00C4434B"/>
    <w:rsid w:val="00C443F7"/>
    <w:rsid w:val="00C4479F"/>
    <w:rsid w:val="00C4510C"/>
    <w:rsid w:val="00C45A8E"/>
    <w:rsid w:val="00C45B66"/>
    <w:rsid w:val="00C45D61"/>
    <w:rsid w:val="00C47454"/>
    <w:rsid w:val="00C47604"/>
    <w:rsid w:val="00C4768F"/>
    <w:rsid w:val="00C47778"/>
    <w:rsid w:val="00C47B80"/>
    <w:rsid w:val="00C505E5"/>
    <w:rsid w:val="00C50B4F"/>
    <w:rsid w:val="00C50BDC"/>
    <w:rsid w:val="00C516CF"/>
    <w:rsid w:val="00C51A66"/>
    <w:rsid w:val="00C51B8F"/>
    <w:rsid w:val="00C51C3A"/>
    <w:rsid w:val="00C5201E"/>
    <w:rsid w:val="00C5207B"/>
    <w:rsid w:val="00C52308"/>
    <w:rsid w:val="00C523C8"/>
    <w:rsid w:val="00C5278E"/>
    <w:rsid w:val="00C5378D"/>
    <w:rsid w:val="00C53D45"/>
    <w:rsid w:val="00C542CA"/>
    <w:rsid w:val="00C5456F"/>
    <w:rsid w:val="00C54A3A"/>
    <w:rsid w:val="00C55515"/>
    <w:rsid w:val="00C55A08"/>
    <w:rsid w:val="00C55F85"/>
    <w:rsid w:val="00C5616B"/>
    <w:rsid w:val="00C56178"/>
    <w:rsid w:val="00C5640C"/>
    <w:rsid w:val="00C56D83"/>
    <w:rsid w:val="00C56DD3"/>
    <w:rsid w:val="00C5727D"/>
    <w:rsid w:val="00C57F9F"/>
    <w:rsid w:val="00C60067"/>
    <w:rsid w:val="00C60148"/>
    <w:rsid w:val="00C6023A"/>
    <w:rsid w:val="00C60615"/>
    <w:rsid w:val="00C60737"/>
    <w:rsid w:val="00C610A6"/>
    <w:rsid w:val="00C610D8"/>
    <w:rsid w:val="00C620B3"/>
    <w:rsid w:val="00C62805"/>
    <w:rsid w:val="00C62CED"/>
    <w:rsid w:val="00C630DF"/>
    <w:rsid w:val="00C6318D"/>
    <w:rsid w:val="00C63306"/>
    <w:rsid w:val="00C63472"/>
    <w:rsid w:val="00C6369D"/>
    <w:rsid w:val="00C63B2C"/>
    <w:rsid w:val="00C63FD8"/>
    <w:rsid w:val="00C64058"/>
    <w:rsid w:val="00C660CF"/>
    <w:rsid w:val="00C66266"/>
    <w:rsid w:val="00C6637F"/>
    <w:rsid w:val="00C663D0"/>
    <w:rsid w:val="00C672FC"/>
    <w:rsid w:val="00C673DD"/>
    <w:rsid w:val="00C675B0"/>
    <w:rsid w:val="00C67602"/>
    <w:rsid w:val="00C70004"/>
    <w:rsid w:val="00C70A1A"/>
    <w:rsid w:val="00C70D81"/>
    <w:rsid w:val="00C71564"/>
    <w:rsid w:val="00C71E58"/>
    <w:rsid w:val="00C71F2B"/>
    <w:rsid w:val="00C7210D"/>
    <w:rsid w:val="00C727F9"/>
    <w:rsid w:val="00C72B0B"/>
    <w:rsid w:val="00C72C35"/>
    <w:rsid w:val="00C72CD5"/>
    <w:rsid w:val="00C734A9"/>
    <w:rsid w:val="00C734F4"/>
    <w:rsid w:val="00C735B0"/>
    <w:rsid w:val="00C73B82"/>
    <w:rsid w:val="00C7468D"/>
    <w:rsid w:val="00C74C2C"/>
    <w:rsid w:val="00C75720"/>
    <w:rsid w:val="00C76640"/>
    <w:rsid w:val="00C76C2B"/>
    <w:rsid w:val="00C77090"/>
    <w:rsid w:val="00C772C7"/>
    <w:rsid w:val="00C779AB"/>
    <w:rsid w:val="00C802FB"/>
    <w:rsid w:val="00C8080B"/>
    <w:rsid w:val="00C80B9E"/>
    <w:rsid w:val="00C80CDB"/>
    <w:rsid w:val="00C813F3"/>
    <w:rsid w:val="00C81644"/>
    <w:rsid w:val="00C816B5"/>
    <w:rsid w:val="00C816FD"/>
    <w:rsid w:val="00C817C7"/>
    <w:rsid w:val="00C81E38"/>
    <w:rsid w:val="00C8237E"/>
    <w:rsid w:val="00C82542"/>
    <w:rsid w:val="00C8255F"/>
    <w:rsid w:val="00C82C63"/>
    <w:rsid w:val="00C82EB7"/>
    <w:rsid w:val="00C837F8"/>
    <w:rsid w:val="00C84023"/>
    <w:rsid w:val="00C84185"/>
    <w:rsid w:val="00C8458B"/>
    <w:rsid w:val="00C84813"/>
    <w:rsid w:val="00C84CB3"/>
    <w:rsid w:val="00C859D7"/>
    <w:rsid w:val="00C859E6"/>
    <w:rsid w:val="00C85C90"/>
    <w:rsid w:val="00C8600F"/>
    <w:rsid w:val="00C86767"/>
    <w:rsid w:val="00C87299"/>
    <w:rsid w:val="00C87440"/>
    <w:rsid w:val="00C876FD"/>
    <w:rsid w:val="00C87831"/>
    <w:rsid w:val="00C87B55"/>
    <w:rsid w:val="00C87EF0"/>
    <w:rsid w:val="00C9040E"/>
    <w:rsid w:val="00C90C16"/>
    <w:rsid w:val="00C90CA1"/>
    <w:rsid w:val="00C90D2C"/>
    <w:rsid w:val="00C90F8C"/>
    <w:rsid w:val="00C91F38"/>
    <w:rsid w:val="00C92450"/>
    <w:rsid w:val="00C925B9"/>
    <w:rsid w:val="00C928D7"/>
    <w:rsid w:val="00C92A96"/>
    <w:rsid w:val="00C92D6B"/>
    <w:rsid w:val="00C93274"/>
    <w:rsid w:val="00C93383"/>
    <w:rsid w:val="00C9374C"/>
    <w:rsid w:val="00C938A2"/>
    <w:rsid w:val="00C93B4B"/>
    <w:rsid w:val="00C943FD"/>
    <w:rsid w:val="00C948D8"/>
    <w:rsid w:val="00C95049"/>
    <w:rsid w:val="00C9570F"/>
    <w:rsid w:val="00C95892"/>
    <w:rsid w:val="00C95BE4"/>
    <w:rsid w:val="00C95DCA"/>
    <w:rsid w:val="00C9663F"/>
    <w:rsid w:val="00C967E5"/>
    <w:rsid w:val="00C96881"/>
    <w:rsid w:val="00C96996"/>
    <w:rsid w:val="00C97510"/>
    <w:rsid w:val="00CA01B7"/>
    <w:rsid w:val="00CA0201"/>
    <w:rsid w:val="00CA0330"/>
    <w:rsid w:val="00CA0586"/>
    <w:rsid w:val="00CA0688"/>
    <w:rsid w:val="00CA06F9"/>
    <w:rsid w:val="00CA0A76"/>
    <w:rsid w:val="00CA0B39"/>
    <w:rsid w:val="00CA1FC1"/>
    <w:rsid w:val="00CA269D"/>
    <w:rsid w:val="00CA27C2"/>
    <w:rsid w:val="00CA2BF2"/>
    <w:rsid w:val="00CA2E6F"/>
    <w:rsid w:val="00CA3465"/>
    <w:rsid w:val="00CA365B"/>
    <w:rsid w:val="00CA37D1"/>
    <w:rsid w:val="00CA3C9C"/>
    <w:rsid w:val="00CA3CF3"/>
    <w:rsid w:val="00CA3EFA"/>
    <w:rsid w:val="00CA420D"/>
    <w:rsid w:val="00CA4387"/>
    <w:rsid w:val="00CA492F"/>
    <w:rsid w:val="00CA5274"/>
    <w:rsid w:val="00CA5816"/>
    <w:rsid w:val="00CA5A67"/>
    <w:rsid w:val="00CA5E8F"/>
    <w:rsid w:val="00CA6372"/>
    <w:rsid w:val="00CA65BE"/>
    <w:rsid w:val="00CA67D1"/>
    <w:rsid w:val="00CA6D56"/>
    <w:rsid w:val="00CA6FDB"/>
    <w:rsid w:val="00CA706C"/>
    <w:rsid w:val="00CA7121"/>
    <w:rsid w:val="00CA726C"/>
    <w:rsid w:val="00CA741C"/>
    <w:rsid w:val="00CA78AF"/>
    <w:rsid w:val="00CA7DAD"/>
    <w:rsid w:val="00CB04E2"/>
    <w:rsid w:val="00CB054D"/>
    <w:rsid w:val="00CB0925"/>
    <w:rsid w:val="00CB096F"/>
    <w:rsid w:val="00CB1778"/>
    <w:rsid w:val="00CB1821"/>
    <w:rsid w:val="00CB1D65"/>
    <w:rsid w:val="00CB1D67"/>
    <w:rsid w:val="00CB1F44"/>
    <w:rsid w:val="00CB37FA"/>
    <w:rsid w:val="00CB38C1"/>
    <w:rsid w:val="00CB3A6B"/>
    <w:rsid w:val="00CB3B96"/>
    <w:rsid w:val="00CB4027"/>
    <w:rsid w:val="00CB499B"/>
    <w:rsid w:val="00CB5345"/>
    <w:rsid w:val="00CB5445"/>
    <w:rsid w:val="00CB5BDE"/>
    <w:rsid w:val="00CB66EA"/>
    <w:rsid w:val="00CB6A98"/>
    <w:rsid w:val="00CC093B"/>
    <w:rsid w:val="00CC1933"/>
    <w:rsid w:val="00CC1E51"/>
    <w:rsid w:val="00CC1F39"/>
    <w:rsid w:val="00CC1F83"/>
    <w:rsid w:val="00CC22BD"/>
    <w:rsid w:val="00CC275F"/>
    <w:rsid w:val="00CC3583"/>
    <w:rsid w:val="00CC3B9F"/>
    <w:rsid w:val="00CC3CE4"/>
    <w:rsid w:val="00CC41A7"/>
    <w:rsid w:val="00CC4223"/>
    <w:rsid w:val="00CC4262"/>
    <w:rsid w:val="00CC4466"/>
    <w:rsid w:val="00CC46AA"/>
    <w:rsid w:val="00CC494A"/>
    <w:rsid w:val="00CC5837"/>
    <w:rsid w:val="00CC5851"/>
    <w:rsid w:val="00CC5B9A"/>
    <w:rsid w:val="00CC607B"/>
    <w:rsid w:val="00CC627B"/>
    <w:rsid w:val="00CC6621"/>
    <w:rsid w:val="00CC66F6"/>
    <w:rsid w:val="00CC6788"/>
    <w:rsid w:val="00CC6DB8"/>
    <w:rsid w:val="00CC6EE7"/>
    <w:rsid w:val="00CC6F89"/>
    <w:rsid w:val="00CC7820"/>
    <w:rsid w:val="00CD0229"/>
    <w:rsid w:val="00CD05F8"/>
    <w:rsid w:val="00CD0AA8"/>
    <w:rsid w:val="00CD0EC1"/>
    <w:rsid w:val="00CD0ED9"/>
    <w:rsid w:val="00CD160A"/>
    <w:rsid w:val="00CD1BAF"/>
    <w:rsid w:val="00CD278D"/>
    <w:rsid w:val="00CD306E"/>
    <w:rsid w:val="00CD3573"/>
    <w:rsid w:val="00CD37C9"/>
    <w:rsid w:val="00CD3A79"/>
    <w:rsid w:val="00CD4165"/>
    <w:rsid w:val="00CD426C"/>
    <w:rsid w:val="00CD4D0B"/>
    <w:rsid w:val="00CD501D"/>
    <w:rsid w:val="00CD5232"/>
    <w:rsid w:val="00CD5AD6"/>
    <w:rsid w:val="00CD6212"/>
    <w:rsid w:val="00CD6629"/>
    <w:rsid w:val="00CD7B69"/>
    <w:rsid w:val="00CD7FAE"/>
    <w:rsid w:val="00CE0846"/>
    <w:rsid w:val="00CE0EE7"/>
    <w:rsid w:val="00CE10FE"/>
    <w:rsid w:val="00CE184B"/>
    <w:rsid w:val="00CE1A5C"/>
    <w:rsid w:val="00CE277A"/>
    <w:rsid w:val="00CE2EC6"/>
    <w:rsid w:val="00CE385A"/>
    <w:rsid w:val="00CE38AF"/>
    <w:rsid w:val="00CE3F99"/>
    <w:rsid w:val="00CE4011"/>
    <w:rsid w:val="00CE4061"/>
    <w:rsid w:val="00CE47E8"/>
    <w:rsid w:val="00CE497E"/>
    <w:rsid w:val="00CE53C1"/>
    <w:rsid w:val="00CE5A23"/>
    <w:rsid w:val="00CE68FD"/>
    <w:rsid w:val="00CE69F1"/>
    <w:rsid w:val="00CE6A80"/>
    <w:rsid w:val="00CE74E7"/>
    <w:rsid w:val="00CE7674"/>
    <w:rsid w:val="00CE76EE"/>
    <w:rsid w:val="00CE77E6"/>
    <w:rsid w:val="00CE78C2"/>
    <w:rsid w:val="00CE7C6A"/>
    <w:rsid w:val="00CF02C5"/>
    <w:rsid w:val="00CF1BC0"/>
    <w:rsid w:val="00CF1E37"/>
    <w:rsid w:val="00CF2307"/>
    <w:rsid w:val="00CF2AF0"/>
    <w:rsid w:val="00CF2B7D"/>
    <w:rsid w:val="00CF368F"/>
    <w:rsid w:val="00CF3A33"/>
    <w:rsid w:val="00CF3A66"/>
    <w:rsid w:val="00CF3B2A"/>
    <w:rsid w:val="00CF3BAC"/>
    <w:rsid w:val="00CF3C87"/>
    <w:rsid w:val="00CF3C9D"/>
    <w:rsid w:val="00CF3FC8"/>
    <w:rsid w:val="00CF402A"/>
    <w:rsid w:val="00CF44C5"/>
    <w:rsid w:val="00CF44D2"/>
    <w:rsid w:val="00CF4A34"/>
    <w:rsid w:val="00CF4C30"/>
    <w:rsid w:val="00CF4C71"/>
    <w:rsid w:val="00CF563C"/>
    <w:rsid w:val="00CF60D1"/>
    <w:rsid w:val="00CF64DC"/>
    <w:rsid w:val="00CF6CD0"/>
    <w:rsid w:val="00CF6E0F"/>
    <w:rsid w:val="00CF74B4"/>
    <w:rsid w:val="00CF7A68"/>
    <w:rsid w:val="00CF7E41"/>
    <w:rsid w:val="00D00BAF"/>
    <w:rsid w:val="00D01374"/>
    <w:rsid w:val="00D01948"/>
    <w:rsid w:val="00D019ED"/>
    <w:rsid w:val="00D0203B"/>
    <w:rsid w:val="00D02644"/>
    <w:rsid w:val="00D02899"/>
    <w:rsid w:val="00D0304F"/>
    <w:rsid w:val="00D03C15"/>
    <w:rsid w:val="00D03E64"/>
    <w:rsid w:val="00D04257"/>
    <w:rsid w:val="00D04775"/>
    <w:rsid w:val="00D05432"/>
    <w:rsid w:val="00D05F51"/>
    <w:rsid w:val="00D06514"/>
    <w:rsid w:val="00D07A44"/>
    <w:rsid w:val="00D07B0C"/>
    <w:rsid w:val="00D07C7A"/>
    <w:rsid w:val="00D10149"/>
    <w:rsid w:val="00D10829"/>
    <w:rsid w:val="00D10BAF"/>
    <w:rsid w:val="00D10FE5"/>
    <w:rsid w:val="00D119AA"/>
    <w:rsid w:val="00D11D0B"/>
    <w:rsid w:val="00D12372"/>
    <w:rsid w:val="00D12379"/>
    <w:rsid w:val="00D12FA0"/>
    <w:rsid w:val="00D13521"/>
    <w:rsid w:val="00D137EB"/>
    <w:rsid w:val="00D13ABE"/>
    <w:rsid w:val="00D14798"/>
    <w:rsid w:val="00D14F5E"/>
    <w:rsid w:val="00D150D5"/>
    <w:rsid w:val="00D15A6D"/>
    <w:rsid w:val="00D15B26"/>
    <w:rsid w:val="00D1651A"/>
    <w:rsid w:val="00D171DC"/>
    <w:rsid w:val="00D17971"/>
    <w:rsid w:val="00D17B9B"/>
    <w:rsid w:val="00D17CAB"/>
    <w:rsid w:val="00D17DA0"/>
    <w:rsid w:val="00D20153"/>
    <w:rsid w:val="00D20200"/>
    <w:rsid w:val="00D2026A"/>
    <w:rsid w:val="00D20598"/>
    <w:rsid w:val="00D2151F"/>
    <w:rsid w:val="00D219C6"/>
    <w:rsid w:val="00D22007"/>
    <w:rsid w:val="00D2207F"/>
    <w:rsid w:val="00D224CB"/>
    <w:rsid w:val="00D22F21"/>
    <w:rsid w:val="00D234F6"/>
    <w:rsid w:val="00D23519"/>
    <w:rsid w:val="00D23BA8"/>
    <w:rsid w:val="00D24093"/>
    <w:rsid w:val="00D24B3E"/>
    <w:rsid w:val="00D24D57"/>
    <w:rsid w:val="00D252CA"/>
    <w:rsid w:val="00D25C62"/>
    <w:rsid w:val="00D25FFF"/>
    <w:rsid w:val="00D268E8"/>
    <w:rsid w:val="00D26B0C"/>
    <w:rsid w:val="00D275FA"/>
    <w:rsid w:val="00D27694"/>
    <w:rsid w:val="00D27F1D"/>
    <w:rsid w:val="00D27FE5"/>
    <w:rsid w:val="00D301CE"/>
    <w:rsid w:val="00D3069F"/>
    <w:rsid w:val="00D306E4"/>
    <w:rsid w:val="00D30751"/>
    <w:rsid w:val="00D3177D"/>
    <w:rsid w:val="00D328D1"/>
    <w:rsid w:val="00D32CFD"/>
    <w:rsid w:val="00D3355E"/>
    <w:rsid w:val="00D34512"/>
    <w:rsid w:val="00D34554"/>
    <w:rsid w:val="00D346D5"/>
    <w:rsid w:val="00D34ED3"/>
    <w:rsid w:val="00D35145"/>
    <w:rsid w:val="00D35AB9"/>
    <w:rsid w:val="00D36D2F"/>
    <w:rsid w:val="00D370B5"/>
    <w:rsid w:val="00D370D3"/>
    <w:rsid w:val="00D37615"/>
    <w:rsid w:val="00D37D59"/>
    <w:rsid w:val="00D40317"/>
    <w:rsid w:val="00D40ADC"/>
    <w:rsid w:val="00D40BD5"/>
    <w:rsid w:val="00D40E76"/>
    <w:rsid w:val="00D41330"/>
    <w:rsid w:val="00D41CB7"/>
    <w:rsid w:val="00D41DB1"/>
    <w:rsid w:val="00D41FD3"/>
    <w:rsid w:val="00D4223F"/>
    <w:rsid w:val="00D42981"/>
    <w:rsid w:val="00D42CEC"/>
    <w:rsid w:val="00D42E29"/>
    <w:rsid w:val="00D42FCE"/>
    <w:rsid w:val="00D436AF"/>
    <w:rsid w:val="00D43868"/>
    <w:rsid w:val="00D441CB"/>
    <w:rsid w:val="00D443B1"/>
    <w:rsid w:val="00D4459F"/>
    <w:rsid w:val="00D449F4"/>
    <w:rsid w:val="00D44ABF"/>
    <w:rsid w:val="00D44CC6"/>
    <w:rsid w:val="00D44EEF"/>
    <w:rsid w:val="00D451BA"/>
    <w:rsid w:val="00D452A2"/>
    <w:rsid w:val="00D45854"/>
    <w:rsid w:val="00D459C6"/>
    <w:rsid w:val="00D45E09"/>
    <w:rsid w:val="00D465C6"/>
    <w:rsid w:val="00D47119"/>
    <w:rsid w:val="00D4726A"/>
    <w:rsid w:val="00D474F0"/>
    <w:rsid w:val="00D47577"/>
    <w:rsid w:val="00D47758"/>
    <w:rsid w:val="00D50116"/>
    <w:rsid w:val="00D50899"/>
    <w:rsid w:val="00D50B0F"/>
    <w:rsid w:val="00D51209"/>
    <w:rsid w:val="00D51287"/>
    <w:rsid w:val="00D514BA"/>
    <w:rsid w:val="00D523C2"/>
    <w:rsid w:val="00D525D2"/>
    <w:rsid w:val="00D5262B"/>
    <w:rsid w:val="00D52B17"/>
    <w:rsid w:val="00D52E2A"/>
    <w:rsid w:val="00D53200"/>
    <w:rsid w:val="00D53EA4"/>
    <w:rsid w:val="00D53F01"/>
    <w:rsid w:val="00D55220"/>
    <w:rsid w:val="00D55E25"/>
    <w:rsid w:val="00D5699B"/>
    <w:rsid w:val="00D56A62"/>
    <w:rsid w:val="00D56C68"/>
    <w:rsid w:val="00D56CC1"/>
    <w:rsid w:val="00D56CE0"/>
    <w:rsid w:val="00D57507"/>
    <w:rsid w:val="00D57E8C"/>
    <w:rsid w:val="00D57EB7"/>
    <w:rsid w:val="00D57F29"/>
    <w:rsid w:val="00D608B3"/>
    <w:rsid w:val="00D60B59"/>
    <w:rsid w:val="00D60C53"/>
    <w:rsid w:val="00D60FA4"/>
    <w:rsid w:val="00D614E3"/>
    <w:rsid w:val="00D61B15"/>
    <w:rsid w:val="00D62908"/>
    <w:rsid w:val="00D62CFE"/>
    <w:rsid w:val="00D62F36"/>
    <w:rsid w:val="00D642BF"/>
    <w:rsid w:val="00D643A2"/>
    <w:rsid w:val="00D64771"/>
    <w:rsid w:val="00D64CF1"/>
    <w:rsid w:val="00D650B7"/>
    <w:rsid w:val="00D652F0"/>
    <w:rsid w:val="00D65A59"/>
    <w:rsid w:val="00D65E0B"/>
    <w:rsid w:val="00D66106"/>
    <w:rsid w:val="00D664A2"/>
    <w:rsid w:val="00D66687"/>
    <w:rsid w:val="00D666F1"/>
    <w:rsid w:val="00D66A72"/>
    <w:rsid w:val="00D66F2C"/>
    <w:rsid w:val="00D6700F"/>
    <w:rsid w:val="00D676B3"/>
    <w:rsid w:val="00D67B2B"/>
    <w:rsid w:val="00D67BEA"/>
    <w:rsid w:val="00D67DEC"/>
    <w:rsid w:val="00D70342"/>
    <w:rsid w:val="00D70523"/>
    <w:rsid w:val="00D705D6"/>
    <w:rsid w:val="00D70911"/>
    <w:rsid w:val="00D709BA"/>
    <w:rsid w:val="00D7179B"/>
    <w:rsid w:val="00D71D87"/>
    <w:rsid w:val="00D71E40"/>
    <w:rsid w:val="00D71FD0"/>
    <w:rsid w:val="00D724FC"/>
    <w:rsid w:val="00D72941"/>
    <w:rsid w:val="00D72A04"/>
    <w:rsid w:val="00D72CBD"/>
    <w:rsid w:val="00D72DEC"/>
    <w:rsid w:val="00D7374C"/>
    <w:rsid w:val="00D7398F"/>
    <w:rsid w:val="00D73AD3"/>
    <w:rsid w:val="00D73D43"/>
    <w:rsid w:val="00D7404D"/>
    <w:rsid w:val="00D74119"/>
    <w:rsid w:val="00D74E87"/>
    <w:rsid w:val="00D752E2"/>
    <w:rsid w:val="00D756AF"/>
    <w:rsid w:val="00D75C26"/>
    <w:rsid w:val="00D7631E"/>
    <w:rsid w:val="00D76696"/>
    <w:rsid w:val="00D76C87"/>
    <w:rsid w:val="00D76D81"/>
    <w:rsid w:val="00D772D4"/>
    <w:rsid w:val="00D772E2"/>
    <w:rsid w:val="00D7736E"/>
    <w:rsid w:val="00D779DF"/>
    <w:rsid w:val="00D800ED"/>
    <w:rsid w:val="00D80198"/>
    <w:rsid w:val="00D811E1"/>
    <w:rsid w:val="00D8135F"/>
    <w:rsid w:val="00D81C29"/>
    <w:rsid w:val="00D81C3F"/>
    <w:rsid w:val="00D81CE3"/>
    <w:rsid w:val="00D81F7A"/>
    <w:rsid w:val="00D8241C"/>
    <w:rsid w:val="00D82571"/>
    <w:rsid w:val="00D837CC"/>
    <w:rsid w:val="00D83812"/>
    <w:rsid w:val="00D83ABA"/>
    <w:rsid w:val="00D83D0F"/>
    <w:rsid w:val="00D83D44"/>
    <w:rsid w:val="00D83DDE"/>
    <w:rsid w:val="00D83DE7"/>
    <w:rsid w:val="00D841FB"/>
    <w:rsid w:val="00D847EA"/>
    <w:rsid w:val="00D85E57"/>
    <w:rsid w:val="00D8641F"/>
    <w:rsid w:val="00D8645F"/>
    <w:rsid w:val="00D868F0"/>
    <w:rsid w:val="00D86BDB"/>
    <w:rsid w:val="00D86DC6"/>
    <w:rsid w:val="00D86DF6"/>
    <w:rsid w:val="00D872FA"/>
    <w:rsid w:val="00D87ADC"/>
    <w:rsid w:val="00D87F0C"/>
    <w:rsid w:val="00D90389"/>
    <w:rsid w:val="00D907B7"/>
    <w:rsid w:val="00D90D37"/>
    <w:rsid w:val="00D917A6"/>
    <w:rsid w:val="00D921F8"/>
    <w:rsid w:val="00D922C5"/>
    <w:rsid w:val="00D92363"/>
    <w:rsid w:val="00D925EC"/>
    <w:rsid w:val="00D927C2"/>
    <w:rsid w:val="00D92F28"/>
    <w:rsid w:val="00D93042"/>
    <w:rsid w:val="00D930B4"/>
    <w:rsid w:val="00D93469"/>
    <w:rsid w:val="00D94516"/>
    <w:rsid w:val="00D94EF7"/>
    <w:rsid w:val="00D959A8"/>
    <w:rsid w:val="00D95ACB"/>
    <w:rsid w:val="00D9603B"/>
    <w:rsid w:val="00D960F5"/>
    <w:rsid w:val="00D964E2"/>
    <w:rsid w:val="00D971C8"/>
    <w:rsid w:val="00D97FFB"/>
    <w:rsid w:val="00DA0BB0"/>
    <w:rsid w:val="00DA113D"/>
    <w:rsid w:val="00DA11E0"/>
    <w:rsid w:val="00DA1232"/>
    <w:rsid w:val="00DA163B"/>
    <w:rsid w:val="00DA192D"/>
    <w:rsid w:val="00DA204B"/>
    <w:rsid w:val="00DA20BA"/>
    <w:rsid w:val="00DA2BC8"/>
    <w:rsid w:val="00DA3356"/>
    <w:rsid w:val="00DA3738"/>
    <w:rsid w:val="00DA379C"/>
    <w:rsid w:val="00DA3A3A"/>
    <w:rsid w:val="00DA3E89"/>
    <w:rsid w:val="00DA463D"/>
    <w:rsid w:val="00DA46BA"/>
    <w:rsid w:val="00DA4CED"/>
    <w:rsid w:val="00DA52A5"/>
    <w:rsid w:val="00DA5A84"/>
    <w:rsid w:val="00DA5BB5"/>
    <w:rsid w:val="00DA6728"/>
    <w:rsid w:val="00DA685B"/>
    <w:rsid w:val="00DA6AA1"/>
    <w:rsid w:val="00DA6C64"/>
    <w:rsid w:val="00DA6D1F"/>
    <w:rsid w:val="00DA6E22"/>
    <w:rsid w:val="00DA7188"/>
    <w:rsid w:val="00DA721D"/>
    <w:rsid w:val="00DA74C7"/>
    <w:rsid w:val="00DA76C8"/>
    <w:rsid w:val="00DA7B6B"/>
    <w:rsid w:val="00DB13D7"/>
    <w:rsid w:val="00DB1C28"/>
    <w:rsid w:val="00DB220F"/>
    <w:rsid w:val="00DB2340"/>
    <w:rsid w:val="00DB27FC"/>
    <w:rsid w:val="00DB3C5D"/>
    <w:rsid w:val="00DB4B67"/>
    <w:rsid w:val="00DB530C"/>
    <w:rsid w:val="00DB6073"/>
    <w:rsid w:val="00DB6523"/>
    <w:rsid w:val="00DB6678"/>
    <w:rsid w:val="00DB6834"/>
    <w:rsid w:val="00DB6F08"/>
    <w:rsid w:val="00DB762B"/>
    <w:rsid w:val="00DC0112"/>
    <w:rsid w:val="00DC0292"/>
    <w:rsid w:val="00DC0547"/>
    <w:rsid w:val="00DC0AA2"/>
    <w:rsid w:val="00DC0C10"/>
    <w:rsid w:val="00DC0DFC"/>
    <w:rsid w:val="00DC1439"/>
    <w:rsid w:val="00DC1515"/>
    <w:rsid w:val="00DC18AC"/>
    <w:rsid w:val="00DC1BD5"/>
    <w:rsid w:val="00DC2155"/>
    <w:rsid w:val="00DC25D3"/>
    <w:rsid w:val="00DC29A2"/>
    <w:rsid w:val="00DC29BB"/>
    <w:rsid w:val="00DC37C7"/>
    <w:rsid w:val="00DC3B4B"/>
    <w:rsid w:val="00DC3F4B"/>
    <w:rsid w:val="00DC4975"/>
    <w:rsid w:val="00DC4FB9"/>
    <w:rsid w:val="00DC5774"/>
    <w:rsid w:val="00DC5D8B"/>
    <w:rsid w:val="00DC6A68"/>
    <w:rsid w:val="00DC6C69"/>
    <w:rsid w:val="00DC70B5"/>
    <w:rsid w:val="00DC72E4"/>
    <w:rsid w:val="00DC74DD"/>
    <w:rsid w:val="00DC750E"/>
    <w:rsid w:val="00DC7672"/>
    <w:rsid w:val="00DC77FB"/>
    <w:rsid w:val="00DC7C21"/>
    <w:rsid w:val="00DD009C"/>
    <w:rsid w:val="00DD04B1"/>
    <w:rsid w:val="00DD1C8F"/>
    <w:rsid w:val="00DD206C"/>
    <w:rsid w:val="00DD233E"/>
    <w:rsid w:val="00DD262F"/>
    <w:rsid w:val="00DD2651"/>
    <w:rsid w:val="00DD27A1"/>
    <w:rsid w:val="00DD2822"/>
    <w:rsid w:val="00DD28C5"/>
    <w:rsid w:val="00DD2AF5"/>
    <w:rsid w:val="00DD44C5"/>
    <w:rsid w:val="00DD50CE"/>
    <w:rsid w:val="00DD5208"/>
    <w:rsid w:val="00DD53B9"/>
    <w:rsid w:val="00DD5A9F"/>
    <w:rsid w:val="00DD5DAB"/>
    <w:rsid w:val="00DD6198"/>
    <w:rsid w:val="00DD6844"/>
    <w:rsid w:val="00DD69E1"/>
    <w:rsid w:val="00DD6C98"/>
    <w:rsid w:val="00DD6D60"/>
    <w:rsid w:val="00DD6FE6"/>
    <w:rsid w:val="00DD73DC"/>
    <w:rsid w:val="00DD77E7"/>
    <w:rsid w:val="00DD7CFE"/>
    <w:rsid w:val="00DE0781"/>
    <w:rsid w:val="00DE09DC"/>
    <w:rsid w:val="00DE0D8F"/>
    <w:rsid w:val="00DE1452"/>
    <w:rsid w:val="00DE2BB0"/>
    <w:rsid w:val="00DE30B0"/>
    <w:rsid w:val="00DE30F7"/>
    <w:rsid w:val="00DE3EC6"/>
    <w:rsid w:val="00DE41C4"/>
    <w:rsid w:val="00DE42DB"/>
    <w:rsid w:val="00DE65E7"/>
    <w:rsid w:val="00DE6953"/>
    <w:rsid w:val="00DE6992"/>
    <w:rsid w:val="00DE70CE"/>
    <w:rsid w:val="00DE7242"/>
    <w:rsid w:val="00DE7249"/>
    <w:rsid w:val="00DE73C0"/>
    <w:rsid w:val="00DE7A5D"/>
    <w:rsid w:val="00DE7FD1"/>
    <w:rsid w:val="00DF0531"/>
    <w:rsid w:val="00DF077C"/>
    <w:rsid w:val="00DF07B2"/>
    <w:rsid w:val="00DF0E96"/>
    <w:rsid w:val="00DF160A"/>
    <w:rsid w:val="00DF1C9F"/>
    <w:rsid w:val="00DF205F"/>
    <w:rsid w:val="00DF2189"/>
    <w:rsid w:val="00DF24C4"/>
    <w:rsid w:val="00DF2CB2"/>
    <w:rsid w:val="00DF2CD0"/>
    <w:rsid w:val="00DF31E6"/>
    <w:rsid w:val="00DF3BA7"/>
    <w:rsid w:val="00DF3DEF"/>
    <w:rsid w:val="00DF4050"/>
    <w:rsid w:val="00DF42F3"/>
    <w:rsid w:val="00DF47A1"/>
    <w:rsid w:val="00DF4E2D"/>
    <w:rsid w:val="00DF5441"/>
    <w:rsid w:val="00DF5BFC"/>
    <w:rsid w:val="00DF5C75"/>
    <w:rsid w:val="00DF5DEF"/>
    <w:rsid w:val="00DF6940"/>
    <w:rsid w:val="00DF697D"/>
    <w:rsid w:val="00DF6CCE"/>
    <w:rsid w:val="00DF6E38"/>
    <w:rsid w:val="00E0066B"/>
    <w:rsid w:val="00E00DAC"/>
    <w:rsid w:val="00E0188C"/>
    <w:rsid w:val="00E019A3"/>
    <w:rsid w:val="00E01AA5"/>
    <w:rsid w:val="00E01F33"/>
    <w:rsid w:val="00E0232F"/>
    <w:rsid w:val="00E02862"/>
    <w:rsid w:val="00E0304D"/>
    <w:rsid w:val="00E034EB"/>
    <w:rsid w:val="00E03612"/>
    <w:rsid w:val="00E03C36"/>
    <w:rsid w:val="00E03F47"/>
    <w:rsid w:val="00E03F8D"/>
    <w:rsid w:val="00E04288"/>
    <w:rsid w:val="00E0430D"/>
    <w:rsid w:val="00E04CE4"/>
    <w:rsid w:val="00E052FF"/>
    <w:rsid w:val="00E053F9"/>
    <w:rsid w:val="00E0574D"/>
    <w:rsid w:val="00E0580D"/>
    <w:rsid w:val="00E05B98"/>
    <w:rsid w:val="00E06711"/>
    <w:rsid w:val="00E067DF"/>
    <w:rsid w:val="00E069C8"/>
    <w:rsid w:val="00E074F7"/>
    <w:rsid w:val="00E077E3"/>
    <w:rsid w:val="00E1038B"/>
    <w:rsid w:val="00E10B23"/>
    <w:rsid w:val="00E12482"/>
    <w:rsid w:val="00E1265B"/>
    <w:rsid w:val="00E12CD4"/>
    <w:rsid w:val="00E12EDA"/>
    <w:rsid w:val="00E13257"/>
    <w:rsid w:val="00E132A3"/>
    <w:rsid w:val="00E13435"/>
    <w:rsid w:val="00E13539"/>
    <w:rsid w:val="00E139BF"/>
    <w:rsid w:val="00E13F78"/>
    <w:rsid w:val="00E1563B"/>
    <w:rsid w:val="00E15862"/>
    <w:rsid w:val="00E158F6"/>
    <w:rsid w:val="00E165CB"/>
    <w:rsid w:val="00E20057"/>
    <w:rsid w:val="00E2014F"/>
    <w:rsid w:val="00E20273"/>
    <w:rsid w:val="00E20A8A"/>
    <w:rsid w:val="00E20D69"/>
    <w:rsid w:val="00E214F4"/>
    <w:rsid w:val="00E215CF"/>
    <w:rsid w:val="00E220FB"/>
    <w:rsid w:val="00E2280D"/>
    <w:rsid w:val="00E22973"/>
    <w:rsid w:val="00E22F6C"/>
    <w:rsid w:val="00E22FE0"/>
    <w:rsid w:val="00E23AEC"/>
    <w:rsid w:val="00E24D64"/>
    <w:rsid w:val="00E24E4A"/>
    <w:rsid w:val="00E257D7"/>
    <w:rsid w:val="00E2636E"/>
    <w:rsid w:val="00E267CD"/>
    <w:rsid w:val="00E269A5"/>
    <w:rsid w:val="00E26D8B"/>
    <w:rsid w:val="00E271EA"/>
    <w:rsid w:val="00E2788F"/>
    <w:rsid w:val="00E27A15"/>
    <w:rsid w:val="00E27CA3"/>
    <w:rsid w:val="00E27DAA"/>
    <w:rsid w:val="00E27E82"/>
    <w:rsid w:val="00E30616"/>
    <w:rsid w:val="00E3065A"/>
    <w:rsid w:val="00E30C03"/>
    <w:rsid w:val="00E3111C"/>
    <w:rsid w:val="00E312AC"/>
    <w:rsid w:val="00E32EEF"/>
    <w:rsid w:val="00E33C39"/>
    <w:rsid w:val="00E33C7E"/>
    <w:rsid w:val="00E33D78"/>
    <w:rsid w:val="00E34355"/>
    <w:rsid w:val="00E34776"/>
    <w:rsid w:val="00E348F0"/>
    <w:rsid w:val="00E3492C"/>
    <w:rsid w:val="00E349FF"/>
    <w:rsid w:val="00E352F9"/>
    <w:rsid w:val="00E355F9"/>
    <w:rsid w:val="00E35EC7"/>
    <w:rsid w:val="00E36511"/>
    <w:rsid w:val="00E36783"/>
    <w:rsid w:val="00E3679D"/>
    <w:rsid w:val="00E367A2"/>
    <w:rsid w:val="00E367BD"/>
    <w:rsid w:val="00E371E5"/>
    <w:rsid w:val="00E3731E"/>
    <w:rsid w:val="00E379A4"/>
    <w:rsid w:val="00E37C76"/>
    <w:rsid w:val="00E40075"/>
    <w:rsid w:val="00E401F3"/>
    <w:rsid w:val="00E40C41"/>
    <w:rsid w:val="00E40CD9"/>
    <w:rsid w:val="00E41771"/>
    <w:rsid w:val="00E41B19"/>
    <w:rsid w:val="00E43328"/>
    <w:rsid w:val="00E4342F"/>
    <w:rsid w:val="00E43B48"/>
    <w:rsid w:val="00E44109"/>
    <w:rsid w:val="00E442A2"/>
    <w:rsid w:val="00E447D4"/>
    <w:rsid w:val="00E44E70"/>
    <w:rsid w:val="00E4520B"/>
    <w:rsid w:val="00E455CA"/>
    <w:rsid w:val="00E45C79"/>
    <w:rsid w:val="00E46BDA"/>
    <w:rsid w:val="00E46EE7"/>
    <w:rsid w:val="00E46F21"/>
    <w:rsid w:val="00E47277"/>
    <w:rsid w:val="00E4729C"/>
    <w:rsid w:val="00E47DF5"/>
    <w:rsid w:val="00E50395"/>
    <w:rsid w:val="00E5081C"/>
    <w:rsid w:val="00E50B96"/>
    <w:rsid w:val="00E50D75"/>
    <w:rsid w:val="00E50F81"/>
    <w:rsid w:val="00E51209"/>
    <w:rsid w:val="00E51BB7"/>
    <w:rsid w:val="00E51C0E"/>
    <w:rsid w:val="00E520AC"/>
    <w:rsid w:val="00E520B0"/>
    <w:rsid w:val="00E521B4"/>
    <w:rsid w:val="00E5259A"/>
    <w:rsid w:val="00E526A2"/>
    <w:rsid w:val="00E527FA"/>
    <w:rsid w:val="00E5339A"/>
    <w:rsid w:val="00E5397A"/>
    <w:rsid w:val="00E539A6"/>
    <w:rsid w:val="00E54026"/>
    <w:rsid w:val="00E54059"/>
    <w:rsid w:val="00E54904"/>
    <w:rsid w:val="00E5496B"/>
    <w:rsid w:val="00E54E01"/>
    <w:rsid w:val="00E557CB"/>
    <w:rsid w:val="00E55C6A"/>
    <w:rsid w:val="00E55EA4"/>
    <w:rsid w:val="00E5629F"/>
    <w:rsid w:val="00E56313"/>
    <w:rsid w:val="00E56476"/>
    <w:rsid w:val="00E567AD"/>
    <w:rsid w:val="00E5695F"/>
    <w:rsid w:val="00E56F16"/>
    <w:rsid w:val="00E570BD"/>
    <w:rsid w:val="00E5728E"/>
    <w:rsid w:val="00E576D0"/>
    <w:rsid w:val="00E57AA5"/>
    <w:rsid w:val="00E60315"/>
    <w:rsid w:val="00E61C05"/>
    <w:rsid w:val="00E62101"/>
    <w:rsid w:val="00E6244E"/>
    <w:rsid w:val="00E6245F"/>
    <w:rsid w:val="00E6283B"/>
    <w:rsid w:val="00E62ED8"/>
    <w:rsid w:val="00E638FD"/>
    <w:rsid w:val="00E641D6"/>
    <w:rsid w:val="00E6434B"/>
    <w:rsid w:val="00E646C6"/>
    <w:rsid w:val="00E6492E"/>
    <w:rsid w:val="00E650D6"/>
    <w:rsid w:val="00E65636"/>
    <w:rsid w:val="00E65DB9"/>
    <w:rsid w:val="00E65FBB"/>
    <w:rsid w:val="00E6608E"/>
    <w:rsid w:val="00E662C9"/>
    <w:rsid w:val="00E66316"/>
    <w:rsid w:val="00E66624"/>
    <w:rsid w:val="00E666AB"/>
    <w:rsid w:val="00E66847"/>
    <w:rsid w:val="00E676BE"/>
    <w:rsid w:val="00E67A8F"/>
    <w:rsid w:val="00E67F37"/>
    <w:rsid w:val="00E70A9B"/>
    <w:rsid w:val="00E7199D"/>
    <w:rsid w:val="00E72184"/>
    <w:rsid w:val="00E72DD3"/>
    <w:rsid w:val="00E72E04"/>
    <w:rsid w:val="00E73FF2"/>
    <w:rsid w:val="00E74517"/>
    <w:rsid w:val="00E74EC6"/>
    <w:rsid w:val="00E74FD9"/>
    <w:rsid w:val="00E75EEF"/>
    <w:rsid w:val="00E76861"/>
    <w:rsid w:val="00E76B74"/>
    <w:rsid w:val="00E776BF"/>
    <w:rsid w:val="00E7785D"/>
    <w:rsid w:val="00E779C8"/>
    <w:rsid w:val="00E77C62"/>
    <w:rsid w:val="00E8015F"/>
    <w:rsid w:val="00E804F5"/>
    <w:rsid w:val="00E8067B"/>
    <w:rsid w:val="00E808E2"/>
    <w:rsid w:val="00E80BBA"/>
    <w:rsid w:val="00E8107D"/>
    <w:rsid w:val="00E8156B"/>
    <w:rsid w:val="00E817EC"/>
    <w:rsid w:val="00E83D71"/>
    <w:rsid w:val="00E840B6"/>
    <w:rsid w:val="00E84701"/>
    <w:rsid w:val="00E847AD"/>
    <w:rsid w:val="00E84956"/>
    <w:rsid w:val="00E85229"/>
    <w:rsid w:val="00E857F9"/>
    <w:rsid w:val="00E85C0E"/>
    <w:rsid w:val="00E862E9"/>
    <w:rsid w:val="00E86CD0"/>
    <w:rsid w:val="00E87161"/>
    <w:rsid w:val="00E874E4"/>
    <w:rsid w:val="00E876AB"/>
    <w:rsid w:val="00E8771A"/>
    <w:rsid w:val="00E87C28"/>
    <w:rsid w:val="00E87EBC"/>
    <w:rsid w:val="00E90538"/>
    <w:rsid w:val="00E91105"/>
    <w:rsid w:val="00E9117F"/>
    <w:rsid w:val="00E916DE"/>
    <w:rsid w:val="00E917C4"/>
    <w:rsid w:val="00E91B5C"/>
    <w:rsid w:val="00E9268E"/>
    <w:rsid w:val="00E92997"/>
    <w:rsid w:val="00E92EA7"/>
    <w:rsid w:val="00E938A7"/>
    <w:rsid w:val="00E93BDF"/>
    <w:rsid w:val="00E93F81"/>
    <w:rsid w:val="00E94002"/>
    <w:rsid w:val="00E94925"/>
    <w:rsid w:val="00E95674"/>
    <w:rsid w:val="00E95BE3"/>
    <w:rsid w:val="00E95FEC"/>
    <w:rsid w:val="00E965B9"/>
    <w:rsid w:val="00E96A4A"/>
    <w:rsid w:val="00E96B27"/>
    <w:rsid w:val="00E96B65"/>
    <w:rsid w:val="00E96C03"/>
    <w:rsid w:val="00E96CA2"/>
    <w:rsid w:val="00E96E9C"/>
    <w:rsid w:val="00E970DE"/>
    <w:rsid w:val="00E97249"/>
    <w:rsid w:val="00E9728F"/>
    <w:rsid w:val="00E97518"/>
    <w:rsid w:val="00E9762F"/>
    <w:rsid w:val="00E97BD0"/>
    <w:rsid w:val="00E97C48"/>
    <w:rsid w:val="00EA0BB6"/>
    <w:rsid w:val="00EA1A82"/>
    <w:rsid w:val="00EA1B23"/>
    <w:rsid w:val="00EA1C0D"/>
    <w:rsid w:val="00EA1D9D"/>
    <w:rsid w:val="00EA3E6E"/>
    <w:rsid w:val="00EA41A3"/>
    <w:rsid w:val="00EA462F"/>
    <w:rsid w:val="00EA466D"/>
    <w:rsid w:val="00EA4A19"/>
    <w:rsid w:val="00EA4A7B"/>
    <w:rsid w:val="00EA515F"/>
    <w:rsid w:val="00EA525E"/>
    <w:rsid w:val="00EA584D"/>
    <w:rsid w:val="00EA5864"/>
    <w:rsid w:val="00EA5F6E"/>
    <w:rsid w:val="00EA6155"/>
    <w:rsid w:val="00EA61C9"/>
    <w:rsid w:val="00EA6D35"/>
    <w:rsid w:val="00EA7778"/>
    <w:rsid w:val="00EA77DF"/>
    <w:rsid w:val="00EA7E59"/>
    <w:rsid w:val="00EA7F7D"/>
    <w:rsid w:val="00EB06EC"/>
    <w:rsid w:val="00EB0D89"/>
    <w:rsid w:val="00EB0EA4"/>
    <w:rsid w:val="00EB1229"/>
    <w:rsid w:val="00EB1816"/>
    <w:rsid w:val="00EB1D21"/>
    <w:rsid w:val="00EB2228"/>
    <w:rsid w:val="00EB233B"/>
    <w:rsid w:val="00EB2656"/>
    <w:rsid w:val="00EB2E31"/>
    <w:rsid w:val="00EB3CFB"/>
    <w:rsid w:val="00EB3FC3"/>
    <w:rsid w:val="00EB44BF"/>
    <w:rsid w:val="00EB6226"/>
    <w:rsid w:val="00EB657A"/>
    <w:rsid w:val="00EB6586"/>
    <w:rsid w:val="00EB673F"/>
    <w:rsid w:val="00EB6B9C"/>
    <w:rsid w:val="00EB753E"/>
    <w:rsid w:val="00EB7D79"/>
    <w:rsid w:val="00EC02AD"/>
    <w:rsid w:val="00EC066C"/>
    <w:rsid w:val="00EC0922"/>
    <w:rsid w:val="00EC092E"/>
    <w:rsid w:val="00EC0A4A"/>
    <w:rsid w:val="00EC0CFC"/>
    <w:rsid w:val="00EC1283"/>
    <w:rsid w:val="00EC12C0"/>
    <w:rsid w:val="00EC15FA"/>
    <w:rsid w:val="00EC16BB"/>
    <w:rsid w:val="00EC1755"/>
    <w:rsid w:val="00EC17AF"/>
    <w:rsid w:val="00EC2515"/>
    <w:rsid w:val="00EC29E6"/>
    <w:rsid w:val="00EC2B75"/>
    <w:rsid w:val="00EC2B99"/>
    <w:rsid w:val="00EC2CAB"/>
    <w:rsid w:val="00EC3476"/>
    <w:rsid w:val="00EC37F8"/>
    <w:rsid w:val="00EC396D"/>
    <w:rsid w:val="00EC44B3"/>
    <w:rsid w:val="00EC4645"/>
    <w:rsid w:val="00EC476E"/>
    <w:rsid w:val="00EC5269"/>
    <w:rsid w:val="00EC5D8A"/>
    <w:rsid w:val="00EC67C6"/>
    <w:rsid w:val="00EC6BD1"/>
    <w:rsid w:val="00EC6D14"/>
    <w:rsid w:val="00EC6FA7"/>
    <w:rsid w:val="00EC7B89"/>
    <w:rsid w:val="00ED03AF"/>
    <w:rsid w:val="00ED08D0"/>
    <w:rsid w:val="00ED0B8B"/>
    <w:rsid w:val="00ED1038"/>
    <w:rsid w:val="00ED1318"/>
    <w:rsid w:val="00ED167F"/>
    <w:rsid w:val="00ED17D7"/>
    <w:rsid w:val="00ED1950"/>
    <w:rsid w:val="00ED1ACF"/>
    <w:rsid w:val="00ED1C45"/>
    <w:rsid w:val="00ED217B"/>
    <w:rsid w:val="00ED2903"/>
    <w:rsid w:val="00ED2B97"/>
    <w:rsid w:val="00ED2E64"/>
    <w:rsid w:val="00ED2EBD"/>
    <w:rsid w:val="00ED3B66"/>
    <w:rsid w:val="00ED3FC7"/>
    <w:rsid w:val="00ED4742"/>
    <w:rsid w:val="00ED529D"/>
    <w:rsid w:val="00ED5BC9"/>
    <w:rsid w:val="00ED6125"/>
    <w:rsid w:val="00ED6148"/>
    <w:rsid w:val="00ED680C"/>
    <w:rsid w:val="00ED69EF"/>
    <w:rsid w:val="00ED7503"/>
    <w:rsid w:val="00ED7CF8"/>
    <w:rsid w:val="00ED7E83"/>
    <w:rsid w:val="00EE05DC"/>
    <w:rsid w:val="00EE0E33"/>
    <w:rsid w:val="00EE10E2"/>
    <w:rsid w:val="00EE160C"/>
    <w:rsid w:val="00EE1786"/>
    <w:rsid w:val="00EE17BA"/>
    <w:rsid w:val="00EE1965"/>
    <w:rsid w:val="00EE20D8"/>
    <w:rsid w:val="00EE2214"/>
    <w:rsid w:val="00EE26A9"/>
    <w:rsid w:val="00EE33B4"/>
    <w:rsid w:val="00EE3FA0"/>
    <w:rsid w:val="00EE415D"/>
    <w:rsid w:val="00EE434D"/>
    <w:rsid w:val="00EE4933"/>
    <w:rsid w:val="00EE4988"/>
    <w:rsid w:val="00EE56E5"/>
    <w:rsid w:val="00EE6770"/>
    <w:rsid w:val="00EE6C8B"/>
    <w:rsid w:val="00EE728C"/>
    <w:rsid w:val="00EE7D0E"/>
    <w:rsid w:val="00EE7F3F"/>
    <w:rsid w:val="00EF023E"/>
    <w:rsid w:val="00EF09A0"/>
    <w:rsid w:val="00EF0A20"/>
    <w:rsid w:val="00EF11E5"/>
    <w:rsid w:val="00EF1DF6"/>
    <w:rsid w:val="00EF1F77"/>
    <w:rsid w:val="00EF3BF0"/>
    <w:rsid w:val="00EF3EF0"/>
    <w:rsid w:val="00EF4EFE"/>
    <w:rsid w:val="00EF4F47"/>
    <w:rsid w:val="00EF53BE"/>
    <w:rsid w:val="00EF5B09"/>
    <w:rsid w:val="00EF5EE6"/>
    <w:rsid w:val="00EF6C40"/>
    <w:rsid w:val="00EF6CA3"/>
    <w:rsid w:val="00EF6F3A"/>
    <w:rsid w:val="00EF70DC"/>
    <w:rsid w:val="00EF712C"/>
    <w:rsid w:val="00EF722E"/>
    <w:rsid w:val="00EF73AA"/>
    <w:rsid w:val="00EF7846"/>
    <w:rsid w:val="00EF7CB3"/>
    <w:rsid w:val="00EF7FAA"/>
    <w:rsid w:val="00EF7FCA"/>
    <w:rsid w:val="00F0017F"/>
    <w:rsid w:val="00F0085C"/>
    <w:rsid w:val="00F01252"/>
    <w:rsid w:val="00F013A5"/>
    <w:rsid w:val="00F02312"/>
    <w:rsid w:val="00F02880"/>
    <w:rsid w:val="00F02CF9"/>
    <w:rsid w:val="00F02F5A"/>
    <w:rsid w:val="00F033D0"/>
    <w:rsid w:val="00F03482"/>
    <w:rsid w:val="00F0386A"/>
    <w:rsid w:val="00F03A91"/>
    <w:rsid w:val="00F03DA9"/>
    <w:rsid w:val="00F04066"/>
    <w:rsid w:val="00F0415A"/>
    <w:rsid w:val="00F0423A"/>
    <w:rsid w:val="00F04648"/>
    <w:rsid w:val="00F0526D"/>
    <w:rsid w:val="00F05424"/>
    <w:rsid w:val="00F05FE0"/>
    <w:rsid w:val="00F060C2"/>
    <w:rsid w:val="00F061D5"/>
    <w:rsid w:val="00F06398"/>
    <w:rsid w:val="00F067CE"/>
    <w:rsid w:val="00F06E49"/>
    <w:rsid w:val="00F06F9D"/>
    <w:rsid w:val="00F07365"/>
    <w:rsid w:val="00F07417"/>
    <w:rsid w:val="00F07D67"/>
    <w:rsid w:val="00F07FAA"/>
    <w:rsid w:val="00F07FC2"/>
    <w:rsid w:val="00F103B5"/>
    <w:rsid w:val="00F10C6F"/>
    <w:rsid w:val="00F10F72"/>
    <w:rsid w:val="00F1103C"/>
    <w:rsid w:val="00F1125A"/>
    <w:rsid w:val="00F112CC"/>
    <w:rsid w:val="00F12011"/>
    <w:rsid w:val="00F125D7"/>
    <w:rsid w:val="00F12728"/>
    <w:rsid w:val="00F13232"/>
    <w:rsid w:val="00F1359A"/>
    <w:rsid w:val="00F147F6"/>
    <w:rsid w:val="00F158D0"/>
    <w:rsid w:val="00F159FC"/>
    <w:rsid w:val="00F164F0"/>
    <w:rsid w:val="00F169F9"/>
    <w:rsid w:val="00F16ACA"/>
    <w:rsid w:val="00F16ED9"/>
    <w:rsid w:val="00F17222"/>
    <w:rsid w:val="00F1792D"/>
    <w:rsid w:val="00F20577"/>
    <w:rsid w:val="00F20BDD"/>
    <w:rsid w:val="00F2186F"/>
    <w:rsid w:val="00F21D07"/>
    <w:rsid w:val="00F21FA2"/>
    <w:rsid w:val="00F223E5"/>
    <w:rsid w:val="00F224CF"/>
    <w:rsid w:val="00F226E3"/>
    <w:rsid w:val="00F22B2F"/>
    <w:rsid w:val="00F22B49"/>
    <w:rsid w:val="00F22C35"/>
    <w:rsid w:val="00F22E2E"/>
    <w:rsid w:val="00F233A2"/>
    <w:rsid w:val="00F23A64"/>
    <w:rsid w:val="00F23D01"/>
    <w:rsid w:val="00F245ED"/>
    <w:rsid w:val="00F247FD"/>
    <w:rsid w:val="00F24F43"/>
    <w:rsid w:val="00F2510F"/>
    <w:rsid w:val="00F2517D"/>
    <w:rsid w:val="00F253F2"/>
    <w:rsid w:val="00F255A1"/>
    <w:rsid w:val="00F25779"/>
    <w:rsid w:val="00F25FB6"/>
    <w:rsid w:val="00F2610C"/>
    <w:rsid w:val="00F26215"/>
    <w:rsid w:val="00F26BBE"/>
    <w:rsid w:val="00F26D8B"/>
    <w:rsid w:val="00F2708F"/>
    <w:rsid w:val="00F27A35"/>
    <w:rsid w:val="00F27CD9"/>
    <w:rsid w:val="00F300DF"/>
    <w:rsid w:val="00F30537"/>
    <w:rsid w:val="00F3083C"/>
    <w:rsid w:val="00F30880"/>
    <w:rsid w:val="00F30B8D"/>
    <w:rsid w:val="00F30ECD"/>
    <w:rsid w:val="00F3114E"/>
    <w:rsid w:val="00F3146E"/>
    <w:rsid w:val="00F31958"/>
    <w:rsid w:val="00F31AC8"/>
    <w:rsid w:val="00F31ADE"/>
    <w:rsid w:val="00F32291"/>
    <w:rsid w:val="00F32E31"/>
    <w:rsid w:val="00F33122"/>
    <w:rsid w:val="00F33428"/>
    <w:rsid w:val="00F33F92"/>
    <w:rsid w:val="00F34D37"/>
    <w:rsid w:val="00F35F7E"/>
    <w:rsid w:val="00F36109"/>
    <w:rsid w:val="00F365AB"/>
    <w:rsid w:val="00F37DD6"/>
    <w:rsid w:val="00F40745"/>
    <w:rsid w:val="00F40B1E"/>
    <w:rsid w:val="00F40B66"/>
    <w:rsid w:val="00F40B87"/>
    <w:rsid w:val="00F40EFA"/>
    <w:rsid w:val="00F41127"/>
    <w:rsid w:val="00F416C3"/>
    <w:rsid w:val="00F42384"/>
    <w:rsid w:val="00F424AE"/>
    <w:rsid w:val="00F4255B"/>
    <w:rsid w:val="00F426FB"/>
    <w:rsid w:val="00F42F16"/>
    <w:rsid w:val="00F44B84"/>
    <w:rsid w:val="00F44C5F"/>
    <w:rsid w:val="00F44DD4"/>
    <w:rsid w:val="00F4553E"/>
    <w:rsid w:val="00F4591E"/>
    <w:rsid w:val="00F45A4F"/>
    <w:rsid w:val="00F45DC3"/>
    <w:rsid w:val="00F460A2"/>
    <w:rsid w:val="00F469F0"/>
    <w:rsid w:val="00F46A9D"/>
    <w:rsid w:val="00F46CE2"/>
    <w:rsid w:val="00F4700F"/>
    <w:rsid w:val="00F474F5"/>
    <w:rsid w:val="00F51934"/>
    <w:rsid w:val="00F525EE"/>
    <w:rsid w:val="00F52E7B"/>
    <w:rsid w:val="00F52F3F"/>
    <w:rsid w:val="00F53276"/>
    <w:rsid w:val="00F53A35"/>
    <w:rsid w:val="00F53C51"/>
    <w:rsid w:val="00F54108"/>
    <w:rsid w:val="00F54C31"/>
    <w:rsid w:val="00F54D24"/>
    <w:rsid w:val="00F55175"/>
    <w:rsid w:val="00F55437"/>
    <w:rsid w:val="00F56AF1"/>
    <w:rsid w:val="00F571CC"/>
    <w:rsid w:val="00F57321"/>
    <w:rsid w:val="00F5739A"/>
    <w:rsid w:val="00F574FB"/>
    <w:rsid w:val="00F576AC"/>
    <w:rsid w:val="00F577A1"/>
    <w:rsid w:val="00F605A4"/>
    <w:rsid w:val="00F60981"/>
    <w:rsid w:val="00F60C4B"/>
    <w:rsid w:val="00F610F1"/>
    <w:rsid w:val="00F6159F"/>
    <w:rsid w:val="00F618C9"/>
    <w:rsid w:val="00F618F8"/>
    <w:rsid w:val="00F627AE"/>
    <w:rsid w:val="00F62E80"/>
    <w:rsid w:val="00F62FBA"/>
    <w:rsid w:val="00F632F2"/>
    <w:rsid w:val="00F636D1"/>
    <w:rsid w:val="00F63A01"/>
    <w:rsid w:val="00F63DA3"/>
    <w:rsid w:val="00F6407D"/>
    <w:rsid w:val="00F64D0A"/>
    <w:rsid w:val="00F65767"/>
    <w:rsid w:val="00F657B7"/>
    <w:rsid w:val="00F65834"/>
    <w:rsid w:val="00F6607C"/>
    <w:rsid w:val="00F664E2"/>
    <w:rsid w:val="00F66D7F"/>
    <w:rsid w:val="00F66FB4"/>
    <w:rsid w:val="00F706D6"/>
    <w:rsid w:val="00F70A95"/>
    <w:rsid w:val="00F71368"/>
    <w:rsid w:val="00F71BA9"/>
    <w:rsid w:val="00F728D7"/>
    <w:rsid w:val="00F7385B"/>
    <w:rsid w:val="00F73D9B"/>
    <w:rsid w:val="00F73DD1"/>
    <w:rsid w:val="00F74256"/>
    <w:rsid w:val="00F74727"/>
    <w:rsid w:val="00F75058"/>
    <w:rsid w:val="00F757A0"/>
    <w:rsid w:val="00F75AAB"/>
    <w:rsid w:val="00F76025"/>
    <w:rsid w:val="00F7686E"/>
    <w:rsid w:val="00F76931"/>
    <w:rsid w:val="00F801C7"/>
    <w:rsid w:val="00F813DD"/>
    <w:rsid w:val="00F817CC"/>
    <w:rsid w:val="00F825DC"/>
    <w:rsid w:val="00F82686"/>
    <w:rsid w:val="00F82AF4"/>
    <w:rsid w:val="00F8309E"/>
    <w:rsid w:val="00F8315F"/>
    <w:rsid w:val="00F8386A"/>
    <w:rsid w:val="00F83955"/>
    <w:rsid w:val="00F84042"/>
    <w:rsid w:val="00F846C4"/>
    <w:rsid w:val="00F8488A"/>
    <w:rsid w:val="00F849E4"/>
    <w:rsid w:val="00F84BB3"/>
    <w:rsid w:val="00F850A5"/>
    <w:rsid w:val="00F85872"/>
    <w:rsid w:val="00F85CB5"/>
    <w:rsid w:val="00F85CDE"/>
    <w:rsid w:val="00F85EDF"/>
    <w:rsid w:val="00F86198"/>
    <w:rsid w:val="00F867AE"/>
    <w:rsid w:val="00F869EB"/>
    <w:rsid w:val="00F8719F"/>
    <w:rsid w:val="00F874CA"/>
    <w:rsid w:val="00F8787C"/>
    <w:rsid w:val="00F87C98"/>
    <w:rsid w:val="00F901E0"/>
    <w:rsid w:val="00F9024D"/>
    <w:rsid w:val="00F90307"/>
    <w:rsid w:val="00F90CE5"/>
    <w:rsid w:val="00F91806"/>
    <w:rsid w:val="00F91E5F"/>
    <w:rsid w:val="00F91EE9"/>
    <w:rsid w:val="00F92112"/>
    <w:rsid w:val="00F92220"/>
    <w:rsid w:val="00F923C8"/>
    <w:rsid w:val="00F9262E"/>
    <w:rsid w:val="00F92C80"/>
    <w:rsid w:val="00F92DC4"/>
    <w:rsid w:val="00F92E4B"/>
    <w:rsid w:val="00F9311B"/>
    <w:rsid w:val="00F94093"/>
    <w:rsid w:val="00F943FF"/>
    <w:rsid w:val="00F94C84"/>
    <w:rsid w:val="00F964B9"/>
    <w:rsid w:val="00F96513"/>
    <w:rsid w:val="00F96ED1"/>
    <w:rsid w:val="00F9747E"/>
    <w:rsid w:val="00F97800"/>
    <w:rsid w:val="00F978F9"/>
    <w:rsid w:val="00F97B26"/>
    <w:rsid w:val="00F97BF5"/>
    <w:rsid w:val="00FA0AAB"/>
    <w:rsid w:val="00FA0D2B"/>
    <w:rsid w:val="00FA13AC"/>
    <w:rsid w:val="00FA1A01"/>
    <w:rsid w:val="00FA2061"/>
    <w:rsid w:val="00FA24C7"/>
    <w:rsid w:val="00FA26E1"/>
    <w:rsid w:val="00FA3735"/>
    <w:rsid w:val="00FA38F0"/>
    <w:rsid w:val="00FA3CF1"/>
    <w:rsid w:val="00FA3F1F"/>
    <w:rsid w:val="00FA4BB3"/>
    <w:rsid w:val="00FA5222"/>
    <w:rsid w:val="00FA5761"/>
    <w:rsid w:val="00FA5974"/>
    <w:rsid w:val="00FA616F"/>
    <w:rsid w:val="00FA636F"/>
    <w:rsid w:val="00FA6A3C"/>
    <w:rsid w:val="00FA6B63"/>
    <w:rsid w:val="00FA6DC0"/>
    <w:rsid w:val="00FA72B8"/>
    <w:rsid w:val="00FA749B"/>
    <w:rsid w:val="00FA76F8"/>
    <w:rsid w:val="00FA77C7"/>
    <w:rsid w:val="00FA79B9"/>
    <w:rsid w:val="00FA7A34"/>
    <w:rsid w:val="00FA7D48"/>
    <w:rsid w:val="00FB02CC"/>
    <w:rsid w:val="00FB04B9"/>
    <w:rsid w:val="00FB06BB"/>
    <w:rsid w:val="00FB19F4"/>
    <w:rsid w:val="00FB1F07"/>
    <w:rsid w:val="00FB1F45"/>
    <w:rsid w:val="00FB284C"/>
    <w:rsid w:val="00FB2A77"/>
    <w:rsid w:val="00FB3710"/>
    <w:rsid w:val="00FB3A21"/>
    <w:rsid w:val="00FB3AE3"/>
    <w:rsid w:val="00FB4EBB"/>
    <w:rsid w:val="00FB5033"/>
    <w:rsid w:val="00FB54C5"/>
    <w:rsid w:val="00FB553E"/>
    <w:rsid w:val="00FB6980"/>
    <w:rsid w:val="00FB6EE1"/>
    <w:rsid w:val="00FB7086"/>
    <w:rsid w:val="00FB754A"/>
    <w:rsid w:val="00FC067C"/>
    <w:rsid w:val="00FC0AE2"/>
    <w:rsid w:val="00FC0F8F"/>
    <w:rsid w:val="00FC107E"/>
    <w:rsid w:val="00FC10BF"/>
    <w:rsid w:val="00FC1949"/>
    <w:rsid w:val="00FC224C"/>
    <w:rsid w:val="00FC2C5D"/>
    <w:rsid w:val="00FC38AF"/>
    <w:rsid w:val="00FC3955"/>
    <w:rsid w:val="00FC3D70"/>
    <w:rsid w:val="00FC3FB7"/>
    <w:rsid w:val="00FC4260"/>
    <w:rsid w:val="00FC4A6F"/>
    <w:rsid w:val="00FC4E2E"/>
    <w:rsid w:val="00FC55EA"/>
    <w:rsid w:val="00FC5B53"/>
    <w:rsid w:val="00FC638E"/>
    <w:rsid w:val="00FC6BC8"/>
    <w:rsid w:val="00FC7892"/>
    <w:rsid w:val="00FC7C08"/>
    <w:rsid w:val="00FC7D62"/>
    <w:rsid w:val="00FD0003"/>
    <w:rsid w:val="00FD0269"/>
    <w:rsid w:val="00FD0397"/>
    <w:rsid w:val="00FD06A7"/>
    <w:rsid w:val="00FD0725"/>
    <w:rsid w:val="00FD1ED5"/>
    <w:rsid w:val="00FD2209"/>
    <w:rsid w:val="00FD27DE"/>
    <w:rsid w:val="00FD28BF"/>
    <w:rsid w:val="00FD353B"/>
    <w:rsid w:val="00FD42F9"/>
    <w:rsid w:val="00FD44A6"/>
    <w:rsid w:val="00FD489E"/>
    <w:rsid w:val="00FD4AED"/>
    <w:rsid w:val="00FD515F"/>
    <w:rsid w:val="00FD5260"/>
    <w:rsid w:val="00FD545C"/>
    <w:rsid w:val="00FD54A6"/>
    <w:rsid w:val="00FD55FF"/>
    <w:rsid w:val="00FD575E"/>
    <w:rsid w:val="00FD5AAD"/>
    <w:rsid w:val="00FD5EC7"/>
    <w:rsid w:val="00FD6ACE"/>
    <w:rsid w:val="00FD717B"/>
    <w:rsid w:val="00FD7195"/>
    <w:rsid w:val="00FD72EF"/>
    <w:rsid w:val="00FD7792"/>
    <w:rsid w:val="00FE0A8A"/>
    <w:rsid w:val="00FE10A3"/>
    <w:rsid w:val="00FE12BB"/>
    <w:rsid w:val="00FE18B1"/>
    <w:rsid w:val="00FE1954"/>
    <w:rsid w:val="00FE1AB4"/>
    <w:rsid w:val="00FE1B79"/>
    <w:rsid w:val="00FE1E7A"/>
    <w:rsid w:val="00FE1F0E"/>
    <w:rsid w:val="00FE2A2F"/>
    <w:rsid w:val="00FE2CA6"/>
    <w:rsid w:val="00FE304D"/>
    <w:rsid w:val="00FE30E6"/>
    <w:rsid w:val="00FE390A"/>
    <w:rsid w:val="00FE3B21"/>
    <w:rsid w:val="00FE3B4C"/>
    <w:rsid w:val="00FE4147"/>
    <w:rsid w:val="00FE492E"/>
    <w:rsid w:val="00FE4B20"/>
    <w:rsid w:val="00FE4BD6"/>
    <w:rsid w:val="00FE4F40"/>
    <w:rsid w:val="00FE5344"/>
    <w:rsid w:val="00FE6433"/>
    <w:rsid w:val="00FE659B"/>
    <w:rsid w:val="00FE65D3"/>
    <w:rsid w:val="00FE671A"/>
    <w:rsid w:val="00FE72D5"/>
    <w:rsid w:val="00FE754F"/>
    <w:rsid w:val="00FE795C"/>
    <w:rsid w:val="00FE7C75"/>
    <w:rsid w:val="00FE7E74"/>
    <w:rsid w:val="00FF01CF"/>
    <w:rsid w:val="00FF0A4E"/>
    <w:rsid w:val="00FF0B95"/>
    <w:rsid w:val="00FF11D8"/>
    <w:rsid w:val="00FF14EB"/>
    <w:rsid w:val="00FF1628"/>
    <w:rsid w:val="00FF245E"/>
    <w:rsid w:val="00FF2EF4"/>
    <w:rsid w:val="00FF3215"/>
    <w:rsid w:val="00FF33B0"/>
    <w:rsid w:val="00FF369C"/>
    <w:rsid w:val="00FF3833"/>
    <w:rsid w:val="00FF4007"/>
    <w:rsid w:val="00FF4583"/>
    <w:rsid w:val="00FF458E"/>
    <w:rsid w:val="00FF4835"/>
    <w:rsid w:val="00FF531D"/>
    <w:rsid w:val="00FF5915"/>
    <w:rsid w:val="00FF5EB0"/>
    <w:rsid w:val="00FF62E5"/>
    <w:rsid w:val="00FF649F"/>
    <w:rsid w:val="00FF6558"/>
    <w:rsid w:val="00FF75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5EDFA6"/>
  <w15:docId w15:val="{DAE5E632-A172-4375-B652-D029C478F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0229"/>
    <w:pPr>
      <w:spacing w:before="240" w:after="0" w:line="480" w:lineRule="auto"/>
      <w:ind w:firstLine="567"/>
      <w:jc w:val="both"/>
    </w:pPr>
    <w:rPr>
      <w:rFonts w:ascii="Times New Roman" w:hAnsi="Times New Roman"/>
      <w:sz w:val="24"/>
    </w:rPr>
  </w:style>
  <w:style w:type="paragraph" w:styleId="Heading1">
    <w:name w:val="heading 1"/>
    <w:basedOn w:val="Normal"/>
    <w:link w:val="Heading1Char"/>
    <w:autoRedefine/>
    <w:uiPriority w:val="9"/>
    <w:qFormat/>
    <w:rsid w:val="000A009B"/>
    <w:pPr>
      <w:keepNext/>
      <w:spacing w:line="360" w:lineRule="auto"/>
      <w:ind w:left="567" w:hanging="567"/>
      <w:contextualSpacing/>
      <w:jc w:val="left"/>
      <w:outlineLvl w:val="0"/>
    </w:pPr>
    <w:rPr>
      <w:rFonts w:ascii="Times New Roman Bold" w:eastAsia="Times New Roman" w:hAnsi="Times New Roman Bold" w:cs="Times New Roman"/>
      <w:b/>
      <w:bCs/>
      <w:color w:val="000000" w:themeColor="text1"/>
      <w:spacing w:val="-10"/>
      <w:kern w:val="36"/>
      <w:szCs w:val="24"/>
      <w:lang w:eastAsia="en-MY"/>
    </w:rPr>
  </w:style>
  <w:style w:type="paragraph" w:styleId="Heading2">
    <w:name w:val="heading 2"/>
    <w:basedOn w:val="Normal"/>
    <w:next w:val="Normal"/>
    <w:link w:val="Heading2Char"/>
    <w:uiPriority w:val="9"/>
    <w:unhideWhenUsed/>
    <w:qFormat/>
    <w:rsid w:val="009A655F"/>
    <w:pPr>
      <w:keepNext/>
      <w:keepLines/>
      <w:spacing w:before="120" w:after="120" w:line="360" w:lineRule="auto"/>
      <w:outlineLvl w:val="1"/>
    </w:pPr>
    <w:rPr>
      <w:rFonts w:ascii="Times New Roman Bold" w:eastAsiaTheme="majorEastAsia" w:hAnsi="Times New Roman Bold" w:cstheme="majorBidi"/>
      <w:b/>
      <w:szCs w:val="26"/>
    </w:rPr>
  </w:style>
  <w:style w:type="paragraph" w:styleId="Heading3">
    <w:name w:val="heading 3"/>
    <w:basedOn w:val="Normal"/>
    <w:next w:val="Normal"/>
    <w:link w:val="Heading3Char"/>
    <w:uiPriority w:val="9"/>
    <w:unhideWhenUsed/>
    <w:qFormat/>
    <w:rsid w:val="002B6FAC"/>
    <w:pPr>
      <w:keepNext/>
      <w:keepLines/>
      <w:spacing w:before="120" w:after="120" w:line="360" w:lineRule="auto"/>
      <w:ind w:firstLine="0"/>
      <w:outlineLvl w:val="2"/>
    </w:pPr>
    <w:rPr>
      <w:rFonts w:eastAsiaTheme="majorEastAsia" w:cstheme="majorBidi"/>
      <w:b/>
      <w:color w:val="385623" w:themeColor="accent6" w:themeShade="8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0381F"/>
    <w:pPr>
      <w:spacing w:line="240" w:lineRule="auto"/>
      <w:contextualSpacing/>
    </w:pPr>
    <w:rPr>
      <w:rFonts w:eastAsiaTheme="majorEastAsia" w:cstheme="majorBidi"/>
      <w:b/>
      <w:spacing w:val="-10"/>
      <w:kern w:val="28"/>
      <w:szCs w:val="56"/>
    </w:rPr>
  </w:style>
  <w:style w:type="character" w:customStyle="1" w:styleId="TitleChar">
    <w:name w:val="Title Char"/>
    <w:basedOn w:val="DefaultParagraphFont"/>
    <w:link w:val="Title"/>
    <w:uiPriority w:val="10"/>
    <w:rsid w:val="0010381F"/>
    <w:rPr>
      <w:rFonts w:ascii="Times New Roman" w:eastAsiaTheme="majorEastAsia" w:hAnsi="Times New Roman" w:cstheme="majorBidi"/>
      <w:b/>
      <w:spacing w:val="-10"/>
      <w:kern w:val="28"/>
      <w:sz w:val="24"/>
      <w:szCs w:val="56"/>
    </w:rPr>
  </w:style>
  <w:style w:type="paragraph" w:customStyle="1" w:styleId="EndNoteBibliography">
    <w:name w:val="EndNote Bibliography"/>
    <w:basedOn w:val="Normal"/>
    <w:link w:val="EndNoteBibliographyChar"/>
    <w:qFormat/>
    <w:rsid w:val="001D0C7F"/>
    <w:pPr>
      <w:spacing w:before="0" w:line="240" w:lineRule="auto"/>
    </w:pPr>
    <w:rPr>
      <w:rFonts w:cs="Times New Roman"/>
      <w:noProof/>
    </w:rPr>
  </w:style>
  <w:style w:type="character" w:customStyle="1" w:styleId="EndNoteBibliographyChar">
    <w:name w:val="EndNote Bibliography Char"/>
    <w:basedOn w:val="DefaultParagraphFont"/>
    <w:link w:val="EndNoteBibliography"/>
    <w:rsid w:val="001D0C7F"/>
    <w:rPr>
      <w:rFonts w:ascii="Times New Roman" w:hAnsi="Times New Roman" w:cs="Times New Roman"/>
      <w:noProof/>
      <w:sz w:val="24"/>
    </w:rPr>
  </w:style>
  <w:style w:type="paragraph" w:styleId="BalloonText">
    <w:name w:val="Balloon Text"/>
    <w:basedOn w:val="Normal"/>
    <w:link w:val="BalloonTextChar"/>
    <w:uiPriority w:val="99"/>
    <w:semiHidden/>
    <w:unhideWhenUsed/>
    <w:rsid w:val="00461A9E"/>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1A9E"/>
    <w:rPr>
      <w:rFonts w:ascii="Segoe UI" w:hAnsi="Segoe UI" w:cs="Segoe UI"/>
      <w:sz w:val="18"/>
      <w:szCs w:val="18"/>
    </w:rPr>
  </w:style>
  <w:style w:type="paragraph" w:customStyle="1" w:styleId="TitleatAbstractPage">
    <w:name w:val="Title at Abstract Page"/>
    <w:basedOn w:val="Normal"/>
    <w:next w:val="Normal"/>
    <w:autoRedefine/>
    <w:uiPriority w:val="2"/>
    <w:qFormat/>
    <w:rsid w:val="00461A9E"/>
    <w:pPr>
      <w:suppressLineNumbers/>
      <w:spacing w:before="0" w:line="240" w:lineRule="auto"/>
      <w:ind w:firstLine="0"/>
      <w:jc w:val="left"/>
    </w:pPr>
    <w:rPr>
      <w:rFonts w:ascii="Times New Roman Bold" w:eastAsia="Times New Roman" w:hAnsi="Times New Roman Bold" w:cstheme="majorBidi"/>
      <w:b/>
      <w:bCs/>
      <w:noProof/>
      <w:kern w:val="28"/>
      <w:sz w:val="28"/>
      <w:szCs w:val="32"/>
      <w:lang w:val="en-GB" w:eastAsia="en-MY"/>
    </w:rPr>
  </w:style>
  <w:style w:type="character" w:styleId="Hyperlink">
    <w:name w:val="Hyperlink"/>
    <w:basedOn w:val="DefaultParagraphFont"/>
    <w:uiPriority w:val="99"/>
    <w:unhideWhenUsed/>
    <w:qFormat/>
    <w:rsid w:val="00461A9E"/>
    <w:rPr>
      <w:color w:val="0563C1" w:themeColor="hyperlink"/>
      <w:u w:val="single"/>
    </w:rPr>
  </w:style>
  <w:style w:type="character" w:customStyle="1" w:styleId="Heading1Char">
    <w:name w:val="Heading 1 Char"/>
    <w:basedOn w:val="DefaultParagraphFont"/>
    <w:link w:val="Heading1"/>
    <w:uiPriority w:val="9"/>
    <w:rsid w:val="000A009B"/>
    <w:rPr>
      <w:rFonts w:ascii="Times New Roman Bold" w:eastAsia="Times New Roman" w:hAnsi="Times New Roman Bold" w:cs="Times New Roman"/>
      <w:b/>
      <w:bCs/>
      <w:color w:val="000000" w:themeColor="text1"/>
      <w:spacing w:val="-10"/>
      <w:kern w:val="36"/>
      <w:sz w:val="24"/>
      <w:szCs w:val="24"/>
      <w:lang w:eastAsia="en-MY"/>
    </w:rPr>
  </w:style>
  <w:style w:type="paragraph" w:styleId="Header">
    <w:name w:val="header"/>
    <w:basedOn w:val="Normal"/>
    <w:link w:val="HeaderChar"/>
    <w:uiPriority w:val="99"/>
    <w:unhideWhenUsed/>
    <w:rsid w:val="00461A9E"/>
    <w:pPr>
      <w:tabs>
        <w:tab w:val="center" w:pos="4680"/>
        <w:tab w:val="right" w:pos="9360"/>
      </w:tabs>
      <w:spacing w:before="0" w:line="240" w:lineRule="auto"/>
    </w:pPr>
  </w:style>
  <w:style w:type="character" w:customStyle="1" w:styleId="HeaderChar">
    <w:name w:val="Header Char"/>
    <w:basedOn w:val="DefaultParagraphFont"/>
    <w:link w:val="Header"/>
    <w:uiPriority w:val="99"/>
    <w:rsid w:val="00461A9E"/>
    <w:rPr>
      <w:rFonts w:ascii="Times New Roman" w:hAnsi="Times New Roman"/>
      <w:sz w:val="24"/>
    </w:rPr>
  </w:style>
  <w:style w:type="paragraph" w:styleId="Footer">
    <w:name w:val="footer"/>
    <w:basedOn w:val="Normal"/>
    <w:link w:val="FooterChar"/>
    <w:uiPriority w:val="99"/>
    <w:unhideWhenUsed/>
    <w:rsid w:val="00461A9E"/>
    <w:pPr>
      <w:tabs>
        <w:tab w:val="center" w:pos="4680"/>
        <w:tab w:val="right" w:pos="9360"/>
      </w:tabs>
      <w:spacing w:before="0" w:line="240" w:lineRule="auto"/>
    </w:pPr>
  </w:style>
  <w:style w:type="character" w:customStyle="1" w:styleId="FooterChar">
    <w:name w:val="Footer Char"/>
    <w:basedOn w:val="DefaultParagraphFont"/>
    <w:link w:val="Footer"/>
    <w:uiPriority w:val="99"/>
    <w:rsid w:val="00461A9E"/>
    <w:rPr>
      <w:rFonts w:ascii="Times New Roman" w:hAnsi="Times New Roman"/>
      <w:sz w:val="24"/>
    </w:rPr>
  </w:style>
  <w:style w:type="character" w:customStyle="1" w:styleId="Heading2Char">
    <w:name w:val="Heading 2 Char"/>
    <w:basedOn w:val="DefaultParagraphFont"/>
    <w:link w:val="Heading2"/>
    <w:uiPriority w:val="9"/>
    <w:rsid w:val="009A655F"/>
    <w:rPr>
      <w:rFonts w:ascii="Times New Roman Bold" w:eastAsiaTheme="majorEastAsia" w:hAnsi="Times New Roman Bold" w:cstheme="majorBidi"/>
      <w:b/>
      <w:sz w:val="24"/>
      <w:szCs w:val="26"/>
    </w:rPr>
  </w:style>
  <w:style w:type="character" w:customStyle="1" w:styleId="Heading3Char">
    <w:name w:val="Heading 3 Char"/>
    <w:basedOn w:val="DefaultParagraphFont"/>
    <w:link w:val="Heading3"/>
    <w:uiPriority w:val="9"/>
    <w:rsid w:val="002B6FAC"/>
    <w:rPr>
      <w:rFonts w:ascii="Times New Roman" w:eastAsiaTheme="majorEastAsia" w:hAnsi="Times New Roman" w:cstheme="majorBidi"/>
      <w:b/>
      <w:color w:val="385623" w:themeColor="accent6" w:themeShade="80"/>
      <w:sz w:val="24"/>
      <w:szCs w:val="24"/>
    </w:rPr>
  </w:style>
  <w:style w:type="character" w:customStyle="1" w:styleId="Citations">
    <w:name w:val="Citations"/>
    <w:basedOn w:val="DefaultParagraphFont"/>
    <w:rsid w:val="009A655F"/>
    <w:rPr>
      <w:rFonts w:ascii="Times New Roman" w:hAnsi="Times New Roman"/>
      <w:color w:val="0000FF"/>
      <w:sz w:val="24"/>
    </w:rPr>
  </w:style>
  <w:style w:type="character" w:styleId="LineNumber">
    <w:name w:val="line number"/>
    <w:basedOn w:val="DefaultParagraphFont"/>
    <w:uiPriority w:val="99"/>
    <w:semiHidden/>
    <w:unhideWhenUsed/>
    <w:rsid w:val="00D3069F"/>
  </w:style>
  <w:style w:type="character" w:customStyle="1" w:styleId="UnresolvedMention1">
    <w:name w:val="Unresolved Mention1"/>
    <w:basedOn w:val="DefaultParagraphFont"/>
    <w:uiPriority w:val="99"/>
    <w:semiHidden/>
    <w:unhideWhenUsed/>
    <w:rsid w:val="00A919C7"/>
    <w:rPr>
      <w:color w:val="605E5C"/>
      <w:shd w:val="clear" w:color="auto" w:fill="E1DFDD"/>
    </w:rPr>
  </w:style>
  <w:style w:type="paragraph" w:customStyle="1" w:styleId="EndNoteBibliographyTitle">
    <w:name w:val="EndNote Bibliography Title"/>
    <w:basedOn w:val="Normal"/>
    <w:link w:val="EndNoteBibliographyTitleChar"/>
    <w:rsid w:val="00910270"/>
    <w:pPr>
      <w:jc w:val="center"/>
    </w:pPr>
    <w:rPr>
      <w:rFonts w:cs="Times New Roman"/>
      <w:noProof/>
    </w:rPr>
  </w:style>
  <w:style w:type="character" w:customStyle="1" w:styleId="EndNoteBibliographyTitleChar">
    <w:name w:val="EndNote Bibliography Title Char"/>
    <w:basedOn w:val="DefaultParagraphFont"/>
    <w:link w:val="EndNoteBibliographyTitle"/>
    <w:rsid w:val="00910270"/>
    <w:rPr>
      <w:rFonts w:ascii="Times New Roman" w:hAnsi="Times New Roman" w:cs="Times New Roman"/>
      <w:noProof/>
      <w:sz w:val="24"/>
    </w:rPr>
  </w:style>
  <w:style w:type="character" w:customStyle="1" w:styleId="fontstyle01">
    <w:name w:val="fontstyle01"/>
    <w:basedOn w:val="DefaultParagraphFont"/>
    <w:rsid w:val="00405692"/>
    <w:rPr>
      <w:rFonts w:ascii="AdvTT182ff89e" w:hAnsi="AdvTT182ff89e" w:hint="default"/>
      <w:b w:val="0"/>
      <w:bCs w:val="0"/>
      <w:i w:val="0"/>
      <w:iCs w:val="0"/>
      <w:color w:val="000000"/>
      <w:sz w:val="22"/>
      <w:szCs w:val="22"/>
    </w:rPr>
  </w:style>
  <w:style w:type="character" w:customStyle="1" w:styleId="fontstyle11">
    <w:name w:val="fontstyle11"/>
    <w:basedOn w:val="DefaultParagraphFont"/>
    <w:rsid w:val="00405692"/>
    <w:rPr>
      <w:rFonts w:ascii="AdvTT182ff89e+20" w:hAnsi="AdvTT182ff89e+20" w:hint="default"/>
      <w:b w:val="0"/>
      <w:bCs w:val="0"/>
      <w:i w:val="0"/>
      <w:iCs w:val="0"/>
      <w:color w:val="000000"/>
      <w:sz w:val="22"/>
      <w:szCs w:val="22"/>
    </w:rPr>
  </w:style>
  <w:style w:type="table" w:styleId="TableGrid">
    <w:name w:val="Table Grid"/>
    <w:basedOn w:val="TableNormal"/>
    <w:uiPriority w:val="59"/>
    <w:rsid w:val="008252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underlines">
    <w:name w:val="nounderlines"/>
    <w:basedOn w:val="DefaultParagraphFont"/>
    <w:rsid w:val="009A7CEF"/>
  </w:style>
  <w:style w:type="character" w:customStyle="1" w:styleId="fontstyle21">
    <w:name w:val="fontstyle21"/>
    <w:basedOn w:val="DefaultParagraphFont"/>
    <w:rsid w:val="0018094B"/>
    <w:rPr>
      <w:rFonts w:ascii="Times-Italic" w:hAnsi="Times-Italic" w:hint="default"/>
      <w:b w:val="0"/>
      <w:bCs w:val="0"/>
      <w:i/>
      <w:iCs/>
      <w:color w:val="000000"/>
      <w:sz w:val="20"/>
      <w:szCs w:val="20"/>
    </w:rPr>
  </w:style>
  <w:style w:type="character" w:customStyle="1" w:styleId="fontstyle31">
    <w:name w:val="fontstyle31"/>
    <w:basedOn w:val="DefaultParagraphFont"/>
    <w:rsid w:val="0018094B"/>
    <w:rPr>
      <w:rFonts w:ascii="MTSY" w:hAnsi="MTSY" w:hint="default"/>
      <w:b w:val="0"/>
      <w:bCs w:val="0"/>
      <w:i w:val="0"/>
      <w:iCs w:val="0"/>
      <w:color w:val="000000"/>
      <w:sz w:val="20"/>
      <w:szCs w:val="20"/>
    </w:rPr>
  </w:style>
  <w:style w:type="paragraph" w:styleId="ListParagraph">
    <w:name w:val="List Paragraph"/>
    <w:basedOn w:val="Normal"/>
    <w:uiPriority w:val="34"/>
    <w:qFormat/>
    <w:rsid w:val="00F91E5F"/>
    <w:pPr>
      <w:ind w:left="720"/>
      <w:contextualSpacing/>
    </w:pPr>
  </w:style>
  <w:style w:type="character" w:styleId="Emphasis">
    <w:name w:val="Emphasis"/>
    <w:basedOn w:val="DefaultParagraphFont"/>
    <w:uiPriority w:val="20"/>
    <w:qFormat/>
    <w:rsid w:val="008C5172"/>
    <w:rPr>
      <w:i/>
      <w:iCs/>
      <w:color w:val="C45911" w:themeColor="accent2" w:themeShade="BF"/>
    </w:rPr>
  </w:style>
  <w:style w:type="character" w:styleId="FollowedHyperlink">
    <w:name w:val="FollowedHyperlink"/>
    <w:basedOn w:val="DefaultParagraphFont"/>
    <w:uiPriority w:val="99"/>
    <w:semiHidden/>
    <w:unhideWhenUsed/>
    <w:rsid w:val="00310A8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50476">
      <w:bodyDiv w:val="1"/>
      <w:marLeft w:val="0"/>
      <w:marRight w:val="0"/>
      <w:marTop w:val="0"/>
      <w:marBottom w:val="0"/>
      <w:divBdr>
        <w:top w:val="none" w:sz="0" w:space="0" w:color="auto"/>
        <w:left w:val="none" w:sz="0" w:space="0" w:color="auto"/>
        <w:bottom w:val="none" w:sz="0" w:space="0" w:color="auto"/>
        <w:right w:val="none" w:sz="0" w:space="0" w:color="auto"/>
      </w:divBdr>
      <w:divsChild>
        <w:div w:id="1715227970">
          <w:marLeft w:val="0"/>
          <w:marRight w:val="0"/>
          <w:marTop w:val="0"/>
          <w:marBottom w:val="0"/>
          <w:divBdr>
            <w:top w:val="none" w:sz="0" w:space="0" w:color="auto"/>
            <w:left w:val="none" w:sz="0" w:space="0" w:color="auto"/>
            <w:bottom w:val="none" w:sz="0" w:space="0" w:color="auto"/>
            <w:right w:val="none" w:sz="0" w:space="0" w:color="auto"/>
          </w:divBdr>
        </w:div>
      </w:divsChild>
    </w:div>
    <w:div w:id="7221668">
      <w:bodyDiv w:val="1"/>
      <w:marLeft w:val="0"/>
      <w:marRight w:val="0"/>
      <w:marTop w:val="0"/>
      <w:marBottom w:val="0"/>
      <w:divBdr>
        <w:top w:val="none" w:sz="0" w:space="0" w:color="auto"/>
        <w:left w:val="none" w:sz="0" w:space="0" w:color="auto"/>
        <w:bottom w:val="none" w:sz="0" w:space="0" w:color="auto"/>
        <w:right w:val="none" w:sz="0" w:space="0" w:color="auto"/>
      </w:divBdr>
      <w:divsChild>
        <w:div w:id="282923069">
          <w:marLeft w:val="0"/>
          <w:marRight w:val="0"/>
          <w:marTop w:val="0"/>
          <w:marBottom w:val="0"/>
          <w:divBdr>
            <w:top w:val="none" w:sz="0" w:space="0" w:color="auto"/>
            <w:left w:val="none" w:sz="0" w:space="0" w:color="auto"/>
            <w:bottom w:val="none" w:sz="0" w:space="0" w:color="auto"/>
            <w:right w:val="none" w:sz="0" w:space="0" w:color="auto"/>
          </w:divBdr>
        </w:div>
      </w:divsChild>
    </w:div>
    <w:div w:id="28382508">
      <w:bodyDiv w:val="1"/>
      <w:marLeft w:val="0"/>
      <w:marRight w:val="0"/>
      <w:marTop w:val="0"/>
      <w:marBottom w:val="0"/>
      <w:divBdr>
        <w:top w:val="none" w:sz="0" w:space="0" w:color="auto"/>
        <w:left w:val="none" w:sz="0" w:space="0" w:color="auto"/>
        <w:bottom w:val="none" w:sz="0" w:space="0" w:color="auto"/>
        <w:right w:val="none" w:sz="0" w:space="0" w:color="auto"/>
      </w:divBdr>
      <w:divsChild>
        <w:div w:id="1470778947">
          <w:marLeft w:val="0"/>
          <w:marRight w:val="0"/>
          <w:marTop w:val="0"/>
          <w:marBottom w:val="0"/>
          <w:divBdr>
            <w:top w:val="none" w:sz="0" w:space="0" w:color="auto"/>
            <w:left w:val="none" w:sz="0" w:space="0" w:color="auto"/>
            <w:bottom w:val="none" w:sz="0" w:space="0" w:color="auto"/>
            <w:right w:val="none" w:sz="0" w:space="0" w:color="auto"/>
          </w:divBdr>
        </w:div>
      </w:divsChild>
    </w:div>
    <w:div w:id="28997382">
      <w:bodyDiv w:val="1"/>
      <w:marLeft w:val="0"/>
      <w:marRight w:val="0"/>
      <w:marTop w:val="0"/>
      <w:marBottom w:val="0"/>
      <w:divBdr>
        <w:top w:val="none" w:sz="0" w:space="0" w:color="auto"/>
        <w:left w:val="none" w:sz="0" w:space="0" w:color="auto"/>
        <w:bottom w:val="none" w:sz="0" w:space="0" w:color="auto"/>
        <w:right w:val="none" w:sz="0" w:space="0" w:color="auto"/>
      </w:divBdr>
      <w:divsChild>
        <w:div w:id="982734901">
          <w:marLeft w:val="0"/>
          <w:marRight w:val="0"/>
          <w:marTop w:val="0"/>
          <w:marBottom w:val="0"/>
          <w:divBdr>
            <w:top w:val="none" w:sz="0" w:space="0" w:color="auto"/>
            <w:left w:val="none" w:sz="0" w:space="0" w:color="auto"/>
            <w:bottom w:val="none" w:sz="0" w:space="0" w:color="auto"/>
            <w:right w:val="none" w:sz="0" w:space="0" w:color="auto"/>
          </w:divBdr>
        </w:div>
      </w:divsChild>
    </w:div>
    <w:div w:id="33115429">
      <w:bodyDiv w:val="1"/>
      <w:marLeft w:val="0"/>
      <w:marRight w:val="0"/>
      <w:marTop w:val="0"/>
      <w:marBottom w:val="0"/>
      <w:divBdr>
        <w:top w:val="none" w:sz="0" w:space="0" w:color="auto"/>
        <w:left w:val="none" w:sz="0" w:space="0" w:color="auto"/>
        <w:bottom w:val="none" w:sz="0" w:space="0" w:color="auto"/>
        <w:right w:val="none" w:sz="0" w:space="0" w:color="auto"/>
      </w:divBdr>
      <w:divsChild>
        <w:div w:id="2020769421">
          <w:marLeft w:val="0"/>
          <w:marRight w:val="0"/>
          <w:marTop w:val="0"/>
          <w:marBottom w:val="0"/>
          <w:divBdr>
            <w:top w:val="none" w:sz="0" w:space="0" w:color="auto"/>
            <w:left w:val="none" w:sz="0" w:space="0" w:color="auto"/>
            <w:bottom w:val="none" w:sz="0" w:space="0" w:color="auto"/>
            <w:right w:val="none" w:sz="0" w:space="0" w:color="auto"/>
          </w:divBdr>
        </w:div>
      </w:divsChild>
    </w:div>
    <w:div w:id="33695412">
      <w:bodyDiv w:val="1"/>
      <w:marLeft w:val="0"/>
      <w:marRight w:val="0"/>
      <w:marTop w:val="0"/>
      <w:marBottom w:val="0"/>
      <w:divBdr>
        <w:top w:val="none" w:sz="0" w:space="0" w:color="auto"/>
        <w:left w:val="none" w:sz="0" w:space="0" w:color="auto"/>
        <w:bottom w:val="none" w:sz="0" w:space="0" w:color="auto"/>
        <w:right w:val="none" w:sz="0" w:space="0" w:color="auto"/>
      </w:divBdr>
      <w:divsChild>
        <w:div w:id="1105417208">
          <w:marLeft w:val="0"/>
          <w:marRight w:val="0"/>
          <w:marTop w:val="0"/>
          <w:marBottom w:val="0"/>
          <w:divBdr>
            <w:top w:val="none" w:sz="0" w:space="0" w:color="auto"/>
            <w:left w:val="none" w:sz="0" w:space="0" w:color="auto"/>
            <w:bottom w:val="none" w:sz="0" w:space="0" w:color="auto"/>
            <w:right w:val="none" w:sz="0" w:space="0" w:color="auto"/>
          </w:divBdr>
        </w:div>
      </w:divsChild>
    </w:div>
    <w:div w:id="73822861">
      <w:bodyDiv w:val="1"/>
      <w:marLeft w:val="0"/>
      <w:marRight w:val="0"/>
      <w:marTop w:val="0"/>
      <w:marBottom w:val="0"/>
      <w:divBdr>
        <w:top w:val="none" w:sz="0" w:space="0" w:color="auto"/>
        <w:left w:val="none" w:sz="0" w:space="0" w:color="auto"/>
        <w:bottom w:val="none" w:sz="0" w:space="0" w:color="auto"/>
        <w:right w:val="none" w:sz="0" w:space="0" w:color="auto"/>
      </w:divBdr>
      <w:divsChild>
        <w:div w:id="761881010">
          <w:marLeft w:val="0"/>
          <w:marRight w:val="0"/>
          <w:marTop w:val="0"/>
          <w:marBottom w:val="0"/>
          <w:divBdr>
            <w:top w:val="none" w:sz="0" w:space="0" w:color="auto"/>
            <w:left w:val="none" w:sz="0" w:space="0" w:color="auto"/>
            <w:bottom w:val="none" w:sz="0" w:space="0" w:color="auto"/>
            <w:right w:val="none" w:sz="0" w:space="0" w:color="auto"/>
          </w:divBdr>
        </w:div>
      </w:divsChild>
    </w:div>
    <w:div w:id="79837184">
      <w:bodyDiv w:val="1"/>
      <w:marLeft w:val="0"/>
      <w:marRight w:val="0"/>
      <w:marTop w:val="0"/>
      <w:marBottom w:val="0"/>
      <w:divBdr>
        <w:top w:val="none" w:sz="0" w:space="0" w:color="auto"/>
        <w:left w:val="none" w:sz="0" w:space="0" w:color="auto"/>
        <w:bottom w:val="none" w:sz="0" w:space="0" w:color="auto"/>
        <w:right w:val="none" w:sz="0" w:space="0" w:color="auto"/>
      </w:divBdr>
      <w:divsChild>
        <w:div w:id="1333875277">
          <w:marLeft w:val="0"/>
          <w:marRight w:val="0"/>
          <w:marTop w:val="0"/>
          <w:marBottom w:val="0"/>
          <w:divBdr>
            <w:top w:val="none" w:sz="0" w:space="0" w:color="auto"/>
            <w:left w:val="none" w:sz="0" w:space="0" w:color="auto"/>
            <w:bottom w:val="none" w:sz="0" w:space="0" w:color="auto"/>
            <w:right w:val="none" w:sz="0" w:space="0" w:color="auto"/>
          </w:divBdr>
        </w:div>
      </w:divsChild>
    </w:div>
    <w:div w:id="86578451">
      <w:bodyDiv w:val="1"/>
      <w:marLeft w:val="0"/>
      <w:marRight w:val="0"/>
      <w:marTop w:val="0"/>
      <w:marBottom w:val="0"/>
      <w:divBdr>
        <w:top w:val="none" w:sz="0" w:space="0" w:color="auto"/>
        <w:left w:val="none" w:sz="0" w:space="0" w:color="auto"/>
        <w:bottom w:val="none" w:sz="0" w:space="0" w:color="auto"/>
        <w:right w:val="none" w:sz="0" w:space="0" w:color="auto"/>
      </w:divBdr>
      <w:divsChild>
        <w:div w:id="1029985419">
          <w:marLeft w:val="0"/>
          <w:marRight w:val="0"/>
          <w:marTop w:val="0"/>
          <w:marBottom w:val="0"/>
          <w:divBdr>
            <w:top w:val="none" w:sz="0" w:space="0" w:color="auto"/>
            <w:left w:val="none" w:sz="0" w:space="0" w:color="auto"/>
            <w:bottom w:val="none" w:sz="0" w:space="0" w:color="auto"/>
            <w:right w:val="none" w:sz="0" w:space="0" w:color="auto"/>
          </w:divBdr>
        </w:div>
      </w:divsChild>
    </w:div>
    <w:div w:id="87964950">
      <w:bodyDiv w:val="1"/>
      <w:marLeft w:val="0"/>
      <w:marRight w:val="0"/>
      <w:marTop w:val="0"/>
      <w:marBottom w:val="0"/>
      <w:divBdr>
        <w:top w:val="none" w:sz="0" w:space="0" w:color="auto"/>
        <w:left w:val="none" w:sz="0" w:space="0" w:color="auto"/>
        <w:bottom w:val="none" w:sz="0" w:space="0" w:color="auto"/>
        <w:right w:val="none" w:sz="0" w:space="0" w:color="auto"/>
      </w:divBdr>
      <w:divsChild>
        <w:div w:id="582951825">
          <w:marLeft w:val="0"/>
          <w:marRight w:val="0"/>
          <w:marTop w:val="0"/>
          <w:marBottom w:val="0"/>
          <w:divBdr>
            <w:top w:val="none" w:sz="0" w:space="0" w:color="auto"/>
            <w:left w:val="none" w:sz="0" w:space="0" w:color="auto"/>
            <w:bottom w:val="none" w:sz="0" w:space="0" w:color="auto"/>
            <w:right w:val="none" w:sz="0" w:space="0" w:color="auto"/>
          </w:divBdr>
        </w:div>
      </w:divsChild>
    </w:div>
    <w:div w:id="95254560">
      <w:bodyDiv w:val="1"/>
      <w:marLeft w:val="0"/>
      <w:marRight w:val="0"/>
      <w:marTop w:val="0"/>
      <w:marBottom w:val="0"/>
      <w:divBdr>
        <w:top w:val="none" w:sz="0" w:space="0" w:color="auto"/>
        <w:left w:val="none" w:sz="0" w:space="0" w:color="auto"/>
        <w:bottom w:val="none" w:sz="0" w:space="0" w:color="auto"/>
        <w:right w:val="none" w:sz="0" w:space="0" w:color="auto"/>
      </w:divBdr>
      <w:divsChild>
        <w:div w:id="525489411">
          <w:marLeft w:val="0"/>
          <w:marRight w:val="0"/>
          <w:marTop w:val="0"/>
          <w:marBottom w:val="0"/>
          <w:divBdr>
            <w:top w:val="none" w:sz="0" w:space="0" w:color="auto"/>
            <w:left w:val="none" w:sz="0" w:space="0" w:color="auto"/>
            <w:bottom w:val="none" w:sz="0" w:space="0" w:color="auto"/>
            <w:right w:val="none" w:sz="0" w:space="0" w:color="auto"/>
          </w:divBdr>
        </w:div>
      </w:divsChild>
    </w:div>
    <w:div w:id="130444958">
      <w:bodyDiv w:val="1"/>
      <w:marLeft w:val="0"/>
      <w:marRight w:val="0"/>
      <w:marTop w:val="0"/>
      <w:marBottom w:val="0"/>
      <w:divBdr>
        <w:top w:val="none" w:sz="0" w:space="0" w:color="auto"/>
        <w:left w:val="none" w:sz="0" w:space="0" w:color="auto"/>
        <w:bottom w:val="none" w:sz="0" w:space="0" w:color="auto"/>
        <w:right w:val="none" w:sz="0" w:space="0" w:color="auto"/>
      </w:divBdr>
      <w:divsChild>
        <w:div w:id="720204118">
          <w:marLeft w:val="0"/>
          <w:marRight w:val="0"/>
          <w:marTop w:val="0"/>
          <w:marBottom w:val="0"/>
          <w:divBdr>
            <w:top w:val="none" w:sz="0" w:space="0" w:color="auto"/>
            <w:left w:val="none" w:sz="0" w:space="0" w:color="auto"/>
            <w:bottom w:val="none" w:sz="0" w:space="0" w:color="auto"/>
            <w:right w:val="none" w:sz="0" w:space="0" w:color="auto"/>
          </w:divBdr>
        </w:div>
      </w:divsChild>
    </w:div>
    <w:div w:id="144906445">
      <w:bodyDiv w:val="1"/>
      <w:marLeft w:val="0"/>
      <w:marRight w:val="0"/>
      <w:marTop w:val="0"/>
      <w:marBottom w:val="0"/>
      <w:divBdr>
        <w:top w:val="none" w:sz="0" w:space="0" w:color="auto"/>
        <w:left w:val="none" w:sz="0" w:space="0" w:color="auto"/>
        <w:bottom w:val="none" w:sz="0" w:space="0" w:color="auto"/>
        <w:right w:val="none" w:sz="0" w:space="0" w:color="auto"/>
      </w:divBdr>
      <w:divsChild>
        <w:div w:id="214200888">
          <w:marLeft w:val="0"/>
          <w:marRight w:val="0"/>
          <w:marTop w:val="0"/>
          <w:marBottom w:val="0"/>
          <w:divBdr>
            <w:top w:val="none" w:sz="0" w:space="0" w:color="auto"/>
            <w:left w:val="none" w:sz="0" w:space="0" w:color="auto"/>
            <w:bottom w:val="none" w:sz="0" w:space="0" w:color="auto"/>
            <w:right w:val="none" w:sz="0" w:space="0" w:color="auto"/>
          </w:divBdr>
        </w:div>
      </w:divsChild>
    </w:div>
    <w:div w:id="149561097">
      <w:bodyDiv w:val="1"/>
      <w:marLeft w:val="0"/>
      <w:marRight w:val="0"/>
      <w:marTop w:val="0"/>
      <w:marBottom w:val="0"/>
      <w:divBdr>
        <w:top w:val="none" w:sz="0" w:space="0" w:color="auto"/>
        <w:left w:val="none" w:sz="0" w:space="0" w:color="auto"/>
        <w:bottom w:val="none" w:sz="0" w:space="0" w:color="auto"/>
        <w:right w:val="none" w:sz="0" w:space="0" w:color="auto"/>
      </w:divBdr>
      <w:divsChild>
        <w:div w:id="1802768095">
          <w:marLeft w:val="0"/>
          <w:marRight w:val="0"/>
          <w:marTop w:val="0"/>
          <w:marBottom w:val="0"/>
          <w:divBdr>
            <w:top w:val="none" w:sz="0" w:space="0" w:color="auto"/>
            <w:left w:val="none" w:sz="0" w:space="0" w:color="auto"/>
            <w:bottom w:val="none" w:sz="0" w:space="0" w:color="auto"/>
            <w:right w:val="none" w:sz="0" w:space="0" w:color="auto"/>
          </w:divBdr>
        </w:div>
      </w:divsChild>
    </w:div>
    <w:div w:id="167869690">
      <w:bodyDiv w:val="1"/>
      <w:marLeft w:val="0"/>
      <w:marRight w:val="0"/>
      <w:marTop w:val="0"/>
      <w:marBottom w:val="0"/>
      <w:divBdr>
        <w:top w:val="none" w:sz="0" w:space="0" w:color="auto"/>
        <w:left w:val="none" w:sz="0" w:space="0" w:color="auto"/>
        <w:bottom w:val="none" w:sz="0" w:space="0" w:color="auto"/>
        <w:right w:val="none" w:sz="0" w:space="0" w:color="auto"/>
      </w:divBdr>
      <w:divsChild>
        <w:div w:id="134758515">
          <w:marLeft w:val="0"/>
          <w:marRight w:val="0"/>
          <w:marTop w:val="0"/>
          <w:marBottom w:val="0"/>
          <w:divBdr>
            <w:top w:val="none" w:sz="0" w:space="0" w:color="auto"/>
            <w:left w:val="none" w:sz="0" w:space="0" w:color="auto"/>
            <w:bottom w:val="none" w:sz="0" w:space="0" w:color="auto"/>
            <w:right w:val="none" w:sz="0" w:space="0" w:color="auto"/>
          </w:divBdr>
        </w:div>
      </w:divsChild>
    </w:div>
    <w:div w:id="169491551">
      <w:bodyDiv w:val="1"/>
      <w:marLeft w:val="0"/>
      <w:marRight w:val="0"/>
      <w:marTop w:val="0"/>
      <w:marBottom w:val="0"/>
      <w:divBdr>
        <w:top w:val="none" w:sz="0" w:space="0" w:color="auto"/>
        <w:left w:val="none" w:sz="0" w:space="0" w:color="auto"/>
        <w:bottom w:val="none" w:sz="0" w:space="0" w:color="auto"/>
        <w:right w:val="none" w:sz="0" w:space="0" w:color="auto"/>
      </w:divBdr>
      <w:divsChild>
        <w:div w:id="2116830463">
          <w:marLeft w:val="0"/>
          <w:marRight w:val="0"/>
          <w:marTop w:val="0"/>
          <w:marBottom w:val="0"/>
          <w:divBdr>
            <w:top w:val="none" w:sz="0" w:space="0" w:color="auto"/>
            <w:left w:val="none" w:sz="0" w:space="0" w:color="auto"/>
            <w:bottom w:val="none" w:sz="0" w:space="0" w:color="auto"/>
            <w:right w:val="none" w:sz="0" w:space="0" w:color="auto"/>
          </w:divBdr>
        </w:div>
      </w:divsChild>
    </w:div>
    <w:div w:id="170216746">
      <w:bodyDiv w:val="1"/>
      <w:marLeft w:val="0"/>
      <w:marRight w:val="0"/>
      <w:marTop w:val="0"/>
      <w:marBottom w:val="0"/>
      <w:divBdr>
        <w:top w:val="none" w:sz="0" w:space="0" w:color="auto"/>
        <w:left w:val="none" w:sz="0" w:space="0" w:color="auto"/>
        <w:bottom w:val="none" w:sz="0" w:space="0" w:color="auto"/>
        <w:right w:val="none" w:sz="0" w:space="0" w:color="auto"/>
      </w:divBdr>
      <w:divsChild>
        <w:div w:id="1883596300">
          <w:marLeft w:val="0"/>
          <w:marRight w:val="0"/>
          <w:marTop w:val="0"/>
          <w:marBottom w:val="0"/>
          <w:divBdr>
            <w:top w:val="none" w:sz="0" w:space="0" w:color="auto"/>
            <w:left w:val="none" w:sz="0" w:space="0" w:color="auto"/>
            <w:bottom w:val="none" w:sz="0" w:space="0" w:color="auto"/>
            <w:right w:val="none" w:sz="0" w:space="0" w:color="auto"/>
          </w:divBdr>
        </w:div>
      </w:divsChild>
    </w:div>
    <w:div w:id="194731209">
      <w:bodyDiv w:val="1"/>
      <w:marLeft w:val="0"/>
      <w:marRight w:val="0"/>
      <w:marTop w:val="0"/>
      <w:marBottom w:val="0"/>
      <w:divBdr>
        <w:top w:val="none" w:sz="0" w:space="0" w:color="auto"/>
        <w:left w:val="none" w:sz="0" w:space="0" w:color="auto"/>
        <w:bottom w:val="none" w:sz="0" w:space="0" w:color="auto"/>
        <w:right w:val="none" w:sz="0" w:space="0" w:color="auto"/>
      </w:divBdr>
      <w:divsChild>
        <w:div w:id="1419668071">
          <w:marLeft w:val="0"/>
          <w:marRight w:val="0"/>
          <w:marTop w:val="0"/>
          <w:marBottom w:val="0"/>
          <w:divBdr>
            <w:top w:val="none" w:sz="0" w:space="0" w:color="auto"/>
            <w:left w:val="none" w:sz="0" w:space="0" w:color="auto"/>
            <w:bottom w:val="none" w:sz="0" w:space="0" w:color="auto"/>
            <w:right w:val="none" w:sz="0" w:space="0" w:color="auto"/>
          </w:divBdr>
        </w:div>
      </w:divsChild>
    </w:div>
    <w:div w:id="198519509">
      <w:bodyDiv w:val="1"/>
      <w:marLeft w:val="0"/>
      <w:marRight w:val="0"/>
      <w:marTop w:val="0"/>
      <w:marBottom w:val="0"/>
      <w:divBdr>
        <w:top w:val="none" w:sz="0" w:space="0" w:color="auto"/>
        <w:left w:val="none" w:sz="0" w:space="0" w:color="auto"/>
        <w:bottom w:val="none" w:sz="0" w:space="0" w:color="auto"/>
        <w:right w:val="none" w:sz="0" w:space="0" w:color="auto"/>
      </w:divBdr>
      <w:divsChild>
        <w:div w:id="327826753">
          <w:marLeft w:val="0"/>
          <w:marRight w:val="0"/>
          <w:marTop w:val="0"/>
          <w:marBottom w:val="0"/>
          <w:divBdr>
            <w:top w:val="none" w:sz="0" w:space="0" w:color="auto"/>
            <w:left w:val="none" w:sz="0" w:space="0" w:color="auto"/>
            <w:bottom w:val="none" w:sz="0" w:space="0" w:color="auto"/>
            <w:right w:val="none" w:sz="0" w:space="0" w:color="auto"/>
          </w:divBdr>
        </w:div>
      </w:divsChild>
    </w:div>
    <w:div w:id="204100156">
      <w:bodyDiv w:val="1"/>
      <w:marLeft w:val="0"/>
      <w:marRight w:val="0"/>
      <w:marTop w:val="0"/>
      <w:marBottom w:val="0"/>
      <w:divBdr>
        <w:top w:val="none" w:sz="0" w:space="0" w:color="auto"/>
        <w:left w:val="none" w:sz="0" w:space="0" w:color="auto"/>
        <w:bottom w:val="none" w:sz="0" w:space="0" w:color="auto"/>
        <w:right w:val="none" w:sz="0" w:space="0" w:color="auto"/>
      </w:divBdr>
      <w:divsChild>
        <w:div w:id="1748265671">
          <w:marLeft w:val="0"/>
          <w:marRight w:val="0"/>
          <w:marTop w:val="0"/>
          <w:marBottom w:val="0"/>
          <w:divBdr>
            <w:top w:val="none" w:sz="0" w:space="0" w:color="auto"/>
            <w:left w:val="none" w:sz="0" w:space="0" w:color="auto"/>
            <w:bottom w:val="none" w:sz="0" w:space="0" w:color="auto"/>
            <w:right w:val="none" w:sz="0" w:space="0" w:color="auto"/>
          </w:divBdr>
        </w:div>
      </w:divsChild>
    </w:div>
    <w:div w:id="204828120">
      <w:bodyDiv w:val="1"/>
      <w:marLeft w:val="0"/>
      <w:marRight w:val="0"/>
      <w:marTop w:val="0"/>
      <w:marBottom w:val="0"/>
      <w:divBdr>
        <w:top w:val="none" w:sz="0" w:space="0" w:color="auto"/>
        <w:left w:val="none" w:sz="0" w:space="0" w:color="auto"/>
        <w:bottom w:val="none" w:sz="0" w:space="0" w:color="auto"/>
        <w:right w:val="none" w:sz="0" w:space="0" w:color="auto"/>
      </w:divBdr>
      <w:divsChild>
        <w:div w:id="1409569521">
          <w:marLeft w:val="0"/>
          <w:marRight w:val="0"/>
          <w:marTop w:val="0"/>
          <w:marBottom w:val="0"/>
          <w:divBdr>
            <w:top w:val="none" w:sz="0" w:space="0" w:color="auto"/>
            <w:left w:val="none" w:sz="0" w:space="0" w:color="auto"/>
            <w:bottom w:val="none" w:sz="0" w:space="0" w:color="auto"/>
            <w:right w:val="none" w:sz="0" w:space="0" w:color="auto"/>
          </w:divBdr>
        </w:div>
      </w:divsChild>
    </w:div>
    <w:div w:id="205408329">
      <w:bodyDiv w:val="1"/>
      <w:marLeft w:val="0"/>
      <w:marRight w:val="0"/>
      <w:marTop w:val="0"/>
      <w:marBottom w:val="0"/>
      <w:divBdr>
        <w:top w:val="none" w:sz="0" w:space="0" w:color="auto"/>
        <w:left w:val="none" w:sz="0" w:space="0" w:color="auto"/>
        <w:bottom w:val="none" w:sz="0" w:space="0" w:color="auto"/>
        <w:right w:val="none" w:sz="0" w:space="0" w:color="auto"/>
      </w:divBdr>
      <w:divsChild>
        <w:div w:id="757755045">
          <w:marLeft w:val="0"/>
          <w:marRight w:val="0"/>
          <w:marTop w:val="0"/>
          <w:marBottom w:val="0"/>
          <w:divBdr>
            <w:top w:val="none" w:sz="0" w:space="0" w:color="auto"/>
            <w:left w:val="none" w:sz="0" w:space="0" w:color="auto"/>
            <w:bottom w:val="none" w:sz="0" w:space="0" w:color="auto"/>
            <w:right w:val="none" w:sz="0" w:space="0" w:color="auto"/>
          </w:divBdr>
        </w:div>
      </w:divsChild>
    </w:div>
    <w:div w:id="208995615">
      <w:bodyDiv w:val="1"/>
      <w:marLeft w:val="0"/>
      <w:marRight w:val="0"/>
      <w:marTop w:val="0"/>
      <w:marBottom w:val="0"/>
      <w:divBdr>
        <w:top w:val="none" w:sz="0" w:space="0" w:color="auto"/>
        <w:left w:val="none" w:sz="0" w:space="0" w:color="auto"/>
        <w:bottom w:val="none" w:sz="0" w:space="0" w:color="auto"/>
        <w:right w:val="none" w:sz="0" w:space="0" w:color="auto"/>
      </w:divBdr>
      <w:divsChild>
        <w:div w:id="1541823515">
          <w:marLeft w:val="0"/>
          <w:marRight w:val="0"/>
          <w:marTop w:val="0"/>
          <w:marBottom w:val="0"/>
          <w:divBdr>
            <w:top w:val="none" w:sz="0" w:space="0" w:color="auto"/>
            <w:left w:val="none" w:sz="0" w:space="0" w:color="auto"/>
            <w:bottom w:val="none" w:sz="0" w:space="0" w:color="auto"/>
            <w:right w:val="none" w:sz="0" w:space="0" w:color="auto"/>
          </w:divBdr>
        </w:div>
      </w:divsChild>
    </w:div>
    <w:div w:id="212160601">
      <w:bodyDiv w:val="1"/>
      <w:marLeft w:val="0"/>
      <w:marRight w:val="0"/>
      <w:marTop w:val="0"/>
      <w:marBottom w:val="0"/>
      <w:divBdr>
        <w:top w:val="none" w:sz="0" w:space="0" w:color="auto"/>
        <w:left w:val="none" w:sz="0" w:space="0" w:color="auto"/>
        <w:bottom w:val="none" w:sz="0" w:space="0" w:color="auto"/>
        <w:right w:val="none" w:sz="0" w:space="0" w:color="auto"/>
      </w:divBdr>
      <w:divsChild>
        <w:div w:id="612597089">
          <w:marLeft w:val="0"/>
          <w:marRight w:val="0"/>
          <w:marTop w:val="0"/>
          <w:marBottom w:val="0"/>
          <w:divBdr>
            <w:top w:val="none" w:sz="0" w:space="0" w:color="auto"/>
            <w:left w:val="none" w:sz="0" w:space="0" w:color="auto"/>
            <w:bottom w:val="none" w:sz="0" w:space="0" w:color="auto"/>
            <w:right w:val="none" w:sz="0" w:space="0" w:color="auto"/>
          </w:divBdr>
        </w:div>
      </w:divsChild>
    </w:div>
    <w:div w:id="215819552">
      <w:bodyDiv w:val="1"/>
      <w:marLeft w:val="0"/>
      <w:marRight w:val="0"/>
      <w:marTop w:val="0"/>
      <w:marBottom w:val="0"/>
      <w:divBdr>
        <w:top w:val="none" w:sz="0" w:space="0" w:color="auto"/>
        <w:left w:val="none" w:sz="0" w:space="0" w:color="auto"/>
        <w:bottom w:val="none" w:sz="0" w:space="0" w:color="auto"/>
        <w:right w:val="none" w:sz="0" w:space="0" w:color="auto"/>
      </w:divBdr>
      <w:divsChild>
        <w:div w:id="888541435">
          <w:marLeft w:val="0"/>
          <w:marRight w:val="0"/>
          <w:marTop w:val="0"/>
          <w:marBottom w:val="0"/>
          <w:divBdr>
            <w:top w:val="none" w:sz="0" w:space="0" w:color="auto"/>
            <w:left w:val="none" w:sz="0" w:space="0" w:color="auto"/>
            <w:bottom w:val="none" w:sz="0" w:space="0" w:color="auto"/>
            <w:right w:val="none" w:sz="0" w:space="0" w:color="auto"/>
          </w:divBdr>
        </w:div>
      </w:divsChild>
    </w:div>
    <w:div w:id="216665426">
      <w:bodyDiv w:val="1"/>
      <w:marLeft w:val="0"/>
      <w:marRight w:val="0"/>
      <w:marTop w:val="0"/>
      <w:marBottom w:val="0"/>
      <w:divBdr>
        <w:top w:val="none" w:sz="0" w:space="0" w:color="auto"/>
        <w:left w:val="none" w:sz="0" w:space="0" w:color="auto"/>
        <w:bottom w:val="none" w:sz="0" w:space="0" w:color="auto"/>
        <w:right w:val="none" w:sz="0" w:space="0" w:color="auto"/>
      </w:divBdr>
      <w:divsChild>
        <w:div w:id="1851292094">
          <w:marLeft w:val="0"/>
          <w:marRight w:val="0"/>
          <w:marTop w:val="0"/>
          <w:marBottom w:val="0"/>
          <w:divBdr>
            <w:top w:val="none" w:sz="0" w:space="0" w:color="auto"/>
            <w:left w:val="none" w:sz="0" w:space="0" w:color="auto"/>
            <w:bottom w:val="none" w:sz="0" w:space="0" w:color="auto"/>
            <w:right w:val="none" w:sz="0" w:space="0" w:color="auto"/>
          </w:divBdr>
        </w:div>
      </w:divsChild>
    </w:div>
    <w:div w:id="261453678">
      <w:bodyDiv w:val="1"/>
      <w:marLeft w:val="0"/>
      <w:marRight w:val="0"/>
      <w:marTop w:val="0"/>
      <w:marBottom w:val="0"/>
      <w:divBdr>
        <w:top w:val="none" w:sz="0" w:space="0" w:color="auto"/>
        <w:left w:val="none" w:sz="0" w:space="0" w:color="auto"/>
        <w:bottom w:val="none" w:sz="0" w:space="0" w:color="auto"/>
        <w:right w:val="none" w:sz="0" w:space="0" w:color="auto"/>
      </w:divBdr>
      <w:divsChild>
        <w:div w:id="501897523">
          <w:marLeft w:val="0"/>
          <w:marRight w:val="0"/>
          <w:marTop w:val="0"/>
          <w:marBottom w:val="0"/>
          <w:divBdr>
            <w:top w:val="none" w:sz="0" w:space="0" w:color="auto"/>
            <w:left w:val="none" w:sz="0" w:space="0" w:color="auto"/>
            <w:bottom w:val="none" w:sz="0" w:space="0" w:color="auto"/>
            <w:right w:val="none" w:sz="0" w:space="0" w:color="auto"/>
          </w:divBdr>
        </w:div>
      </w:divsChild>
    </w:div>
    <w:div w:id="274215572">
      <w:bodyDiv w:val="1"/>
      <w:marLeft w:val="0"/>
      <w:marRight w:val="0"/>
      <w:marTop w:val="0"/>
      <w:marBottom w:val="0"/>
      <w:divBdr>
        <w:top w:val="none" w:sz="0" w:space="0" w:color="auto"/>
        <w:left w:val="none" w:sz="0" w:space="0" w:color="auto"/>
        <w:bottom w:val="none" w:sz="0" w:space="0" w:color="auto"/>
        <w:right w:val="none" w:sz="0" w:space="0" w:color="auto"/>
      </w:divBdr>
      <w:divsChild>
        <w:div w:id="1400639583">
          <w:marLeft w:val="0"/>
          <w:marRight w:val="0"/>
          <w:marTop w:val="0"/>
          <w:marBottom w:val="0"/>
          <w:divBdr>
            <w:top w:val="none" w:sz="0" w:space="0" w:color="auto"/>
            <w:left w:val="none" w:sz="0" w:space="0" w:color="auto"/>
            <w:bottom w:val="none" w:sz="0" w:space="0" w:color="auto"/>
            <w:right w:val="none" w:sz="0" w:space="0" w:color="auto"/>
          </w:divBdr>
        </w:div>
      </w:divsChild>
    </w:div>
    <w:div w:id="276445423">
      <w:bodyDiv w:val="1"/>
      <w:marLeft w:val="0"/>
      <w:marRight w:val="0"/>
      <w:marTop w:val="0"/>
      <w:marBottom w:val="0"/>
      <w:divBdr>
        <w:top w:val="none" w:sz="0" w:space="0" w:color="auto"/>
        <w:left w:val="none" w:sz="0" w:space="0" w:color="auto"/>
        <w:bottom w:val="none" w:sz="0" w:space="0" w:color="auto"/>
        <w:right w:val="none" w:sz="0" w:space="0" w:color="auto"/>
      </w:divBdr>
      <w:divsChild>
        <w:div w:id="335964715">
          <w:marLeft w:val="0"/>
          <w:marRight w:val="0"/>
          <w:marTop w:val="0"/>
          <w:marBottom w:val="0"/>
          <w:divBdr>
            <w:top w:val="none" w:sz="0" w:space="0" w:color="auto"/>
            <w:left w:val="none" w:sz="0" w:space="0" w:color="auto"/>
            <w:bottom w:val="none" w:sz="0" w:space="0" w:color="auto"/>
            <w:right w:val="none" w:sz="0" w:space="0" w:color="auto"/>
          </w:divBdr>
        </w:div>
      </w:divsChild>
    </w:div>
    <w:div w:id="277688845">
      <w:bodyDiv w:val="1"/>
      <w:marLeft w:val="0"/>
      <w:marRight w:val="0"/>
      <w:marTop w:val="0"/>
      <w:marBottom w:val="0"/>
      <w:divBdr>
        <w:top w:val="none" w:sz="0" w:space="0" w:color="auto"/>
        <w:left w:val="none" w:sz="0" w:space="0" w:color="auto"/>
        <w:bottom w:val="none" w:sz="0" w:space="0" w:color="auto"/>
        <w:right w:val="none" w:sz="0" w:space="0" w:color="auto"/>
      </w:divBdr>
      <w:divsChild>
        <w:div w:id="1859079891">
          <w:marLeft w:val="0"/>
          <w:marRight w:val="0"/>
          <w:marTop w:val="0"/>
          <w:marBottom w:val="0"/>
          <w:divBdr>
            <w:top w:val="none" w:sz="0" w:space="0" w:color="auto"/>
            <w:left w:val="none" w:sz="0" w:space="0" w:color="auto"/>
            <w:bottom w:val="none" w:sz="0" w:space="0" w:color="auto"/>
            <w:right w:val="none" w:sz="0" w:space="0" w:color="auto"/>
          </w:divBdr>
        </w:div>
      </w:divsChild>
    </w:div>
    <w:div w:id="294484786">
      <w:bodyDiv w:val="1"/>
      <w:marLeft w:val="0"/>
      <w:marRight w:val="0"/>
      <w:marTop w:val="0"/>
      <w:marBottom w:val="0"/>
      <w:divBdr>
        <w:top w:val="none" w:sz="0" w:space="0" w:color="auto"/>
        <w:left w:val="none" w:sz="0" w:space="0" w:color="auto"/>
        <w:bottom w:val="none" w:sz="0" w:space="0" w:color="auto"/>
        <w:right w:val="none" w:sz="0" w:space="0" w:color="auto"/>
      </w:divBdr>
      <w:divsChild>
        <w:div w:id="1219241613">
          <w:marLeft w:val="0"/>
          <w:marRight w:val="0"/>
          <w:marTop w:val="0"/>
          <w:marBottom w:val="0"/>
          <w:divBdr>
            <w:top w:val="none" w:sz="0" w:space="0" w:color="auto"/>
            <w:left w:val="none" w:sz="0" w:space="0" w:color="auto"/>
            <w:bottom w:val="none" w:sz="0" w:space="0" w:color="auto"/>
            <w:right w:val="none" w:sz="0" w:space="0" w:color="auto"/>
          </w:divBdr>
        </w:div>
      </w:divsChild>
    </w:div>
    <w:div w:id="299114335">
      <w:bodyDiv w:val="1"/>
      <w:marLeft w:val="0"/>
      <w:marRight w:val="0"/>
      <w:marTop w:val="0"/>
      <w:marBottom w:val="0"/>
      <w:divBdr>
        <w:top w:val="none" w:sz="0" w:space="0" w:color="auto"/>
        <w:left w:val="none" w:sz="0" w:space="0" w:color="auto"/>
        <w:bottom w:val="none" w:sz="0" w:space="0" w:color="auto"/>
        <w:right w:val="none" w:sz="0" w:space="0" w:color="auto"/>
      </w:divBdr>
      <w:divsChild>
        <w:div w:id="1990864089">
          <w:marLeft w:val="0"/>
          <w:marRight w:val="0"/>
          <w:marTop w:val="0"/>
          <w:marBottom w:val="0"/>
          <w:divBdr>
            <w:top w:val="none" w:sz="0" w:space="0" w:color="auto"/>
            <w:left w:val="none" w:sz="0" w:space="0" w:color="auto"/>
            <w:bottom w:val="none" w:sz="0" w:space="0" w:color="auto"/>
            <w:right w:val="none" w:sz="0" w:space="0" w:color="auto"/>
          </w:divBdr>
        </w:div>
      </w:divsChild>
    </w:div>
    <w:div w:id="313946804">
      <w:bodyDiv w:val="1"/>
      <w:marLeft w:val="0"/>
      <w:marRight w:val="0"/>
      <w:marTop w:val="0"/>
      <w:marBottom w:val="0"/>
      <w:divBdr>
        <w:top w:val="none" w:sz="0" w:space="0" w:color="auto"/>
        <w:left w:val="none" w:sz="0" w:space="0" w:color="auto"/>
        <w:bottom w:val="none" w:sz="0" w:space="0" w:color="auto"/>
        <w:right w:val="none" w:sz="0" w:space="0" w:color="auto"/>
      </w:divBdr>
      <w:divsChild>
        <w:div w:id="667710696">
          <w:marLeft w:val="0"/>
          <w:marRight w:val="0"/>
          <w:marTop w:val="0"/>
          <w:marBottom w:val="0"/>
          <w:divBdr>
            <w:top w:val="none" w:sz="0" w:space="0" w:color="auto"/>
            <w:left w:val="none" w:sz="0" w:space="0" w:color="auto"/>
            <w:bottom w:val="none" w:sz="0" w:space="0" w:color="auto"/>
            <w:right w:val="none" w:sz="0" w:space="0" w:color="auto"/>
          </w:divBdr>
        </w:div>
      </w:divsChild>
    </w:div>
    <w:div w:id="315230110">
      <w:bodyDiv w:val="1"/>
      <w:marLeft w:val="0"/>
      <w:marRight w:val="0"/>
      <w:marTop w:val="0"/>
      <w:marBottom w:val="0"/>
      <w:divBdr>
        <w:top w:val="none" w:sz="0" w:space="0" w:color="auto"/>
        <w:left w:val="none" w:sz="0" w:space="0" w:color="auto"/>
        <w:bottom w:val="none" w:sz="0" w:space="0" w:color="auto"/>
        <w:right w:val="none" w:sz="0" w:space="0" w:color="auto"/>
      </w:divBdr>
      <w:divsChild>
        <w:div w:id="812143272">
          <w:marLeft w:val="0"/>
          <w:marRight w:val="0"/>
          <w:marTop w:val="0"/>
          <w:marBottom w:val="0"/>
          <w:divBdr>
            <w:top w:val="none" w:sz="0" w:space="0" w:color="auto"/>
            <w:left w:val="none" w:sz="0" w:space="0" w:color="auto"/>
            <w:bottom w:val="none" w:sz="0" w:space="0" w:color="auto"/>
            <w:right w:val="none" w:sz="0" w:space="0" w:color="auto"/>
          </w:divBdr>
          <w:divsChild>
            <w:div w:id="523057124">
              <w:marLeft w:val="0"/>
              <w:marRight w:val="0"/>
              <w:marTop w:val="0"/>
              <w:marBottom w:val="0"/>
              <w:divBdr>
                <w:top w:val="none" w:sz="0" w:space="0" w:color="auto"/>
                <w:left w:val="none" w:sz="0" w:space="0" w:color="auto"/>
                <w:bottom w:val="none" w:sz="0" w:space="0" w:color="auto"/>
                <w:right w:val="none" w:sz="0" w:space="0" w:color="auto"/>
              </w:divBdr>
              <w:divsChild>
                <w:div w:id="576742658">
                  <w:marLeft w:val="0"/>
                  <w:marRight w:val="0"/>
                  <w:marTop w:val="0"/>
                  <w:marBottom w:val="0"/>
                  <w:divBdr>
                    <w:top w:val="none" w:sz="0" w:space="0" w:color="auto"/>
                    <w:left w:val="none" w:sz="0" w:space="0" w:color="auto"/>
                    <w:bottom w:val="none" w:sz="0" w:space="0" w:color="auto"/>
                    <w:right w:val="none" w:sz="0" w:space="0" w:color="auto"/>
                  </w:divBdr>
                  <w:divsChild>
                    <w:div w:id="72518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837509">
      <w:bodyDiv w:val="1"/>
      <w:marLeft w:val="0"/>
      <w:marRight w:val="0"/>
      <w:marTop w:val="0"/>
      <w:marBottom w:val="0"/>
      <w:divBdr>
        <w:top w:val="none" w:sz="0" w:space="0" w:color="auto"/>
        <w:left w:val="none" w:sz="0" w:space="0" w:color="auto"/>
        <w:bottom w:val="none" w:sz="0" w:space="0" w:color="auto"/>
        <w:right w:val="none" w:sz="0" w:space="0" w:color="auto"/>
      </w:divBdr>
      <w:divsChild>
        <w:div w:id="1317539007">
          <w:marLeft w:val="0"/>
          <w:marRight w:val="0"/>
          <w:marTop w:val="0"/>
          <w:marBottom w:val="0"/>
          <w:divBdr>
            <w:top w:val="none" w:sz="0" w:space="0" w:color="auto"/>
            <w:left w:val="none" w:sz="0" w:space="0" w:color="auto"/>
            <w:bottom w:val="none" w:sz="0" w:space="0" w:color="auto"/>
            <w:right w:val="none" w:sz="0" w:space="0" w:color="auto"/>
          </w:divBdr>
        </w:div>
      </w:divsChild>
    </w:div>
    <w:div w:id="325984447">
      <w:bodyDiv w:val="1"/>
      <w:marLeft w:val="0"/>
      <w:marRight w:val="0"/>
      <w:marTop w:val="0"/>
      <w:marBottom w:val="0"/>
      <w:divBdr>
        <w:top w:val="none" w:sz="0" w:space="0" w:color="auto"/>
        <w:left w:val="none" w:sz="0" w:space="0" w:color="auto"/>
        <w:bottom w:val="none" w:sz="0" w:space="0" w:color="auto"/>
        <w:right w:val="none" w:sz="0" w:space="0" w:color="auto"/>
      </w:divBdr>
      <w:divsChild>
        <w:div w:id="1713992806">
          <w:marLeft w:val="0"/>
          <w:marRight w:val="0"/>
          <w:marTop w:val="0"/>
          <w:marBottom w:val="0"/>
          <w:divBdr>
            <w:top w:val="none" w:sz="0" w:space="0" w:color="auto"/>
            <w:left w:val="none" w:sz="0" w:space="0" w:color="auto"/>
            <w:bottom w:val="none" w:sz="0" w:space="0" w:color="auto"/>
            <w:right w:val="none" w:sz="0" w:space="0" w:color="auto"/>
          </w:divBdr>
        </w:div>
      </w:divsChild>
    </w:div>
    <w:div w:id="351029809">
      <w:bodyDiv w:val="1"/>
      <w:marLeft w:val="0"/>
      <w:marRight w:val="0"/>
      <w:marTop w:val="0"/>
      <w:marBottom w:val="0"/>
      <w:divBdr>
        <w:top w:val="none" w:sz="0" w:space="0" w:color="auto"/>
        <w:left w:val="none" w:sz="0" w:space="0" w:color="auto"/>
        <w:bottom w:val="none" w:sz="0" w:space="0" w:color="auto"/>
        <w:right w:val="none" w:sz="0" w:space="0" w:color="auto"/>
      </w:divBdr>
      <w:divsChild>
        <w:div w:id="460811562">
          <w:marLeft w:val="0"/>
          <w:marRight w:val="0"/>
          <w:marTop w:val="0"/>
          <w:marBottom w:val="0"/>
          <w:divBdr>
            <w:top w:val="none" w:sz="0" w:space="0" w:color="auto"/>
            <w:left w:val="none" w:sz="0" w:space="0" w:color="auto"/>
            <w:bottom w:val="none" w:sz="0" w:space="0" w:color="auto"/>
            <w:right w:val="none" w:sz="0" w:space="0" w:color="auto"/>
          </w:divBdr>
        </w:div>
      </w:divsChild>
    </w:div>
    <w:div w:id="358967641">
      <w:bodyDiv w:val="1"/>
      <w:marLeft w:val="0"/>
      <w:marRight w:val="0"/>
      <w:marTop w:val="0"/>
      <w:marBottom w:val="0"/>
      <w:divBdr>
        <w:top w:val="none" w:sz="0" w:space="0" w:color="auto"/>
        <w:left w:val="none" w:sz="0" w:space="0" w:color="auto"/>
        <w:bottom w:val="none" w:sz="0" w:space="0" w:color="auto"/>
        <w:right w:val="none" w:sz="0" w:space="0" w:color="auto"/>
      </w:divBdr>
      <w:divsChild>
        <w:div w:id="1900824458">
          <w:marLeft w:val="0"/>
          <w:marRight w:val="0"/>
          <w:marTop w:val="0"/>
          <w:marBottom w:val="0"/>
          <w:divBdr>
            <w:top w:val="none" w:sz="0" w:space="0" w:color="auto"/>
            <w:left w:val="none" w:sz="0" w:space="0" w:color="auto"/>
            <w:bottom w:val="none" w:sz="0" w:space="0" w:color="auto"/>
            <w:right w:val="none" w:sz="0" w:space="0" w:color="auto"/>
          </w:divBdr>
        </w:div>
      </w:divsChild>
    </w:div>
    <w:div w:id="369498691">
      <w:bodyDiv w:val="1"/>
      <w:marLeft w:val="0"/>
      <w:marRight w:val="0"/>
      <w:marTop w:val="0"/>
      <w:marBottom w:val="0"/>
      <w:divBdr>
        <w:top w:val="none" w:sz="0" w:space="0" w:color="auto"/>
        <w:left w:val="none" w:sz="0" w:space="0" w:color="auto"/>
        <w:bottom w:val="none" w:sz="0" w:space="0" w:color="auto"/>
        <w:right w:val="none" w:sz="0" w:space="0" w:color="auto"/>
      </w:divBdr>
      <w:divsChild>
        <w:div w:id="808791390">
          <w:marLeft w:val="0"/>
          <w:marRight w:val="0"/>
          <w:marTop w:val="0"/>
          <w:marBottom w:val="0"/>
          <w:divBdr>
            <w:top w:val="none" w:sz="0" w:space="0" w:color="auto"/>
            <w:left w:val="none" w:sz="0" w:space="0" w:color="auto"/>
            <w:bottom w:val="none" w:sz="0" w:space="0" w:color="auto"/>
            <w:right w:val="none" w:sz="0" w:space="0" w:color="auto"/>
          </w:divBdr>
        </w:div>
      </w:divsChild>
    </w:div>
    <w:div w:id="373123186">
      <w:bodyDiv w:val="1"/>
      <w:marLeft w:val="0"/>
      <w:marRight w:val="0"/>
      <w:marTop w:val="0"/>
      <w:marBottom w:val="0"/>
      <w:divBdr>
        <w:top w:val="none" w:sz="0" w:space="0" w:color="auto"/>
        <w:left w:val="none" w:sz="0" w:space="0" w:color="auto"/>
        <w:bottom w:val="none" w:sz="0" w:space="0" w:color="auto"/>
        <w:right w:val="none" w:sz="0" w:space="0" w:color="auto"/>
      </w:divBdr>
      <w:divsChild>
        <w:div w:id="591470791">
          <w:marLeft w:val="0"/>
          <w:marRight w:val="0"/>
          <w:marTop w:val="0"/>
          <w:marBottom w:val="0"/>
          <w:divBdr>
            <w:top w:val="none" w:sz="0" w:space="0" w:color="auto"/>
            <w:left w:val="none" w:sz="0" w:space="0" w:color="auto"/>
            <w:bottom w:val="none" w:sz="0" w:space="0" w:color="auto"/>
            <w:right w:val="none" w:sz="0" w:space="0" w:color="auto"/>
          </w:divBdr>
        </w:div>
      </w:divsChild>
    </w:div>
    <w:div w:id="379020082">
      <w:bodyDiv w:val="1"/>
      <w:marLeft w:val="0"/>
      <w:marRight w:val="0"/>
      <w:marTop w:val="0"/>
      <w:marBottom w:val="0"/>
      <w:divBdr>
        <w:top w:val="none" w:sz="0" w:space="0" w:color="auto"/>
        <w:left w:val="none" w:sz="0" w:space="0" w:color="auto"/>
        <w:bottom w:val="none" w:sz="0" w:space="0" w:color="auto"/>
        <w:right w:val="none" w:sz="0" w:space="0" w:color="auto"/>
      </w:divBdr>
      <w:divsChild>
        <w:div w:id="301693167">
          <w:marLeft w:val="0"/>
          <w:marRight w:val="0"/>
          <w:marTop w:val="0"/>
          <w:marBottom w:val="0"/>
          <w:divBdr>
            <w:top w:val="none" w:sz="0" w:space="0" w:color="auto"/>
            <w:left w:val="none" w:sz="0" w:space="0" w:color="auto"/>
            <w:bottom w:val="none" w:sz="0" w:space="0" w:color="auto"/>
            <w:right w:val="none" w:sz="0" w:space="0" w:color="auto"/>
          </w:divBdr>
        </w:div>
      </w:divsChild>
    </w:div>
    <w:div w:id="405880529">
      <w:bodyDiv w:val="1"/>
      <w:marLeft w:val="0"/>
      <w:marRight w:val="0"/>
      <w:marTop w:val="0"/>
      <w:marBottom w:val="0"/>
      <w:divBdr>
        <w:top w:val="none" w:sz="0" w:space="0" w:color="auto"/>
        <w:left w:val="none" w:sz="0" w:space="0" w:color="auto"/>
        <w:bottom w:val="none" w:sz="0" w:space="0" w:color="auto"/>
        <w:right w:val="none" w:sz="0" w:space="0" w:color="auto"/>
      </w:divBdr>
      <w:divsChild>
        <w:div w:id="1943604299">
          <w:marLeft w:val="0"/>
          <w:marRight w:val="0"/>
          <w:marTop w:val="0"/>
          <w:marBottom w:val="0"/>
          <w:divBdr>
            <w:top w:val="none" w:sz="0" w:space="0" w:color="auto"/>
            <w:left w:val="none" w:sz="0" w:space="0" w:color="auto"/>
            <w:bottom w:val="none" w:sz="0" w:space="0" w:color="auto"/>
            <w:right w:val="none" w:sz="0" w:space="0" w:color="auto"/>
          </w:divBdr>
        </w:div>
      </w:divsChild>
    </w:div>
    <w:div w:id="420956871">
      <w:bodyDiv w:val="1"/>
      <w:marLeft w:val="0"/>
      <w:marRight w:val="0"/>
      <w:marTop w:val="0"/>
      <w:marBottom w:val="0"/>
      <w:divBdr>
        <w:top w:val="none" w:sz="0" w:space="0" w:color="auto"/>
        <w:left w:val="none" w:sz="0" w:space="0" w:color="auto"/>
        <w:bottom w:val="none" w:sz="0" w:space="0" w:color="auto"/>
        <w:right w:val="none" w:sz="0" w:space="0" w:color="auto"/>
      </w:divBdr>
    </w:div>
    <w:div w:id="422576926">
      <w:bodyDiv w:val="1"/>
      <w:marLeft w:val="0"/>
      <w:marRight w:val="0"/>
      <w:marTop w:val="0"/>
      <w:marBottom w:val="0"/>
      <w:divBdr>
        <w:top w:val="none" w:sz="0" w:space="0" w:color="auto"/>
        <w:left w:val="none" w:sz="0" w:space="0" w:color="auto"/>
        <w:bottom w:val="none" w:sz="0" w:space="0" w:color="auto"/>
        <w:right w:val="none" w:sz="0" w:space="0" w:color="auto"/>
      </w:divBdr>
      <w:divsChild>
        <w:div w:id="133303998">
          <w:marLeft w:val="0"/>
          <w:marRight w:val="0"/>
          <w:marTop w:val="0"/>
          <w:marBottom w:val="0"/>
          <w:divBdr>
            <w:top w:val="none" w:sz="0" w:space="0" w:color="auto"/>
            <w:left w:val="none" w:sz="0" w:space="0" w:color="auto"/>
            <w:bottom w:val="none" w:sz="0" w:space="0" w:color="auto"/>
            <w:right w:val="none" w:sz="0" w:space="0" w:color="auto"/>
          </w:divBdr>
        </w:div>
      </w:divsChild>
    </w:div>
    <w:div w:id="428742659">
      <w:bodyDiv w:val="1"/>
      <w:marLeft w:val="0"/>
      <w:marRight w:val="0"/>
      <w:marTop w:val="0"/>
      <w:marBottom w:val="0"/>
      <w:divBdr>
        <w:top w:val="none" w:sz="0" w:space="0" w:color="auto"/>
        <w:left w:val="none" w:sz="0" w:space="0" w:color="auto"/>
        <w:bottom w:val="none" w:sz="0" w:space="0" w:color="auto"/>
        <w:right w:val="none" w:sz="0" w:space="0" w:color="auto"/>
      </w:divBdr>
      <w:divsChild>
        <w:div w:id="2042436510">
          <w:marLeft w:val="0"/>
          <w:marRight w:val="0"/>
          <w:marTop w:val="0"/>
          <w:marBottom w:val="0"/>
          <w:divBdr>
            <w:top w:val="none" w:sz="0" w:space="0" w:color="auto"/>
            <w:left w:val="none" w:sz="0" w:space="0" w:color="auto"/>
            <w:bottom w:val="none" w:sz="0" w:space="0" w:color="auto"/>
            <w:right w:val="none" w:sz="0" w:space="0" w:color="auto"/>
          </w:divBdr>
        </w:div>
      </w:divsChild>
    </w:div>
    <w:div w:id="428895119">
      <w:bodyDiv w:val="1"/>
      <w:marLeft w:val="0"/>
      <w:marRight w:val="0"/>
      <w:marTop w:val="0"/>
      <w:marBottom w:val="0"/>
      <w:divBdr>
        <w:top w:val="none" w:sz="0" w:space="0" w:color="auto"/>
        <w:left w:val="none" w:sz="0" w:space="0" w:color="auto"/>
        <w:bottom w:val="none" w:sz="0" w:space="0" w:color="auto"/>
        <w:right w:val="none" w:sz="0" w:space="0" w:color="auto"/>
      </w:divBdr>
      <w:divsChild>
        <w:div w:id="1051807430">
          <w:marLeft w:val="0"/>
          <w:marRight w:val="0"/>
          <w:marTop w:val="0"/>
          <w:marBottom w:val="0"/>
          <w:divBdr>
            <w:top w:val="none" w:sz="0" w:space="0" w:color="auto"/>
            <w:left w:val="none" w:sz="0" w:space="0" w:color="auto"/>
            <w:bottom w:val="none" w:sz="0" w:space="0" w:color="auto"/>
            <w:right w:val="none" w:sz="0" w:space="0" w:color="auto"/>
          </w:divBdr>
        </w:div>
      </w:divsChild>
    </w:div>
    <w:div w:id="431047808">
      <w:bodyDiv w:val="1"/>
      <w:marLeft w:val="0"/>
      <w:marRight w:val="0"/>
      <w:marTop w:val="0"/>
      <w:marBottom w:val="0"/>
      <w:divBdr>
        <w:top w:val="none" w:sz="0" w:space="0" w:color="auto"/>
        <w:left w:val="none" w:sz="0" w:space="0" w:color="auto"/>
        <w:bottom w:val="none" w:sz="0" w:space="0" w:color="auto"/>
        <w:right w:val="none" w:sz="0" w:space="0" w:color="auto"/>
      </w:divBdr>
      <w:divsChild>
        <w:div w:id="754476844">
          <w:marLeft w:val="0"/>
          <w:marRight w:val="0"/>
          <w:marTop w:val="0"/>
          <w:marBottom w:val="0"/>
          <w:divBdr>
            <w:top w:val="none" w:sz="0" w:space="0" w:color="auto"/>
            <w:left w:val="none" w:sz="0" w:space="0" w:color="auto"/>
            <w:bottom w:val="none" w:sz="0" w:space="0" w:color="auto"/>
            <w:right w:val="none" w:sz="0" w:space="0" w:color="auto"/>
          </w:divBdr>
        </w:div>
      </w:divsChild>
    </w:div>
    <w:div w:id="440999679">
      <w:bodyDiv w:val="1"/>
      <w:marLeft w:val="0"/>
      <w:marRight w:val="0"/>
      <w:marTop w:val="0"/>
      <w:marBottom w:val="0"/>
      <w:divBdr>
        <w:top w:val="none" w:sz="0" w:space="0" w:color="auto"/>
        <w:left w:val="none" w:sz="0" w:space="0" w:color="auto"/>
        <w:bottom w:val="none" w:sz="0" w:space="0" w:color="auto"/>
        <w:right w:val="none" w:sz="0" w:space="0" w:color="auto"/>
      </w:divBdr>
      <w:divsChild>
        <w:div w:id="1776747831">
          <w:marLeft w:val="0"/>
          <w:marRight w:val="0"/>
          <w:marTop w:val="0"/>
          <w:marBottom w:val="0"/>
          <w:divBdr>
            <w:top w:val="none" w:sz="0" w:space="0" w:color="auto"/>
            <w:left w:val="none" w:sz="0" w:space="0" w:color="auto"/>
            <w:bottom w:val="none" w:sz="0" w:space="0" w:color="auto"/>
            <w:right w:val="none" w:sz="0" w:space="0" w:color="auto"/>
          </w:divBdr>
        </w:div>
      </w:divsChild>
    </w:div>
    <w:div w:id="443503511">
      <w:bodyDiv w:val="1"/>
      <w:marLeft w:val="0"/>
      <w:marRight w:val="0"/>
      <w:marTop w:val="0"/>
      <w:marBottom w:val="0"/>
      <w:divBdr>
        <w:top w:val="none" w:sz="0" w:space="0" w:color="auto"/>
        <w:left w:val="none" w:sz="0" w:space="0" w:color="auto"/>
        <w:bottom w:val="none" w:sz="0" w:space="0" w:color="auto"/>
        <w:right w:val="none" w:sz="0" w:space="0" w:color="auto"/>
      </w:divBdr>
      <w:divsChild>
        <w:div w:id="1023626293">
          <w:marLeft w:val="0"/>
          <w:marRight w:val="0"/>
          <w:marTop w:val="0"/>
          <w:marBottom w:val="0"/>
          <w:divBdr>
            <w:top w:val="none" w:sz="0" w:space="0" w:color="auto"/>
            <w:left w:val="none" w:sz="0" w:space="0" w:color="auto"/>
            <w:bottom w:val="none" w:sz="0" w:space="0" w:color="auto"/>
            <w:right w:val="none" w:sz="0" w:space="0" w:color="auto"/>
          </w:divBdr>
        </w:div>
      </w:divsChild>
    </w:div>
    <w:div w:id="444734931">
      <w:bodyDiv w:val="1"/>
      <w:marLeft w:val="0"/>
      <w:marRight w:val="0"/>
      <w:marTop w:val="0"/>
      <w:marBottom w:val="0"/>
      <w:divBdr>
        <w:top w:val="none" w:sz="0" w:space="0" w:color="auto"/>
        <w:left w:val="none" w:sz="0" w:space="0" w:color="auto"/>
        <w:bottom w:val="none" w:sz="0" w:space="0" w:color="auto"/>
        <w:right w:val="none" w:sz="0" w:space="0" w:color="auto"/>
      </w:divBdr>
      <w:divsChild>
        <w:div w:id="599409089">
          <w:marLeft w:val="0"/>
          <w:marRight w:val="0"/>
          <w:marTop w:val="0"/>
          <w:marBottom w:val="0"/>
          <w:divBdr>
            <w:top w:val="none" w:sz="0" w:space="0" w:color="auto"/>
            <w:left w:val="none" w:sz="0" w:space="0" w:color="auto"/>
            <w:bottom w:val="none" w:sz="0" w:space="0" w:color="auto"/>
            <w:right w:val="none" w:sz="0" w:space="0" w:color="auto"/>
          </w:divBdr>
        </w:div>
      </w:divsChild>
    </w:div>
    <w:div w:id="450247454">
      <w:bodyDiv w:val="1"/>
      <w:marLeft w:val="0"/>
      <w:marRight w:val="0"/>
      <w:marTop w:val="0"/>
      <w:marBottom w:val="0"/>
      <w:divBdr>
        <w:top w:val="none" w:sz="0" w:space="0" w:color="auto"/>
        <w:left w:val="none" w:sz="0" w:space="0" w:color="auto"/>
        <w:bottom w:val="none" w:sz="0" w:space="0" w:color="auto"/>
        <w:right w:val="none" w:sz="0" w:space="0" w:color="auto"/>
      </w:divBdr>
    </w:div>
    <w:div w:id="456066627">
      <w:bodyDiv w:val="1"/>
      <w:marLeft w:val="0"/>
      <w:marRight w:val="0"/>
      <w:marTop w:val="0"/>
      <w:marBottom w:val="0"/>
      <w:divBdr>
        <w:top w:val="none" w:sz="0" w:space="0" w:color="auto"/>
        <w:left w:val="none" w:sz="0" w:space="0" w:color="auto"/>
        <w:bottom w:val="none" w:sz="0" w:space="0" w:color="auto"/>
        <w:right w:val="none" w:sz="0" w:space="0" w:color="auto"/>
      </w:divBdr>
      <w:divsChild>
        <w:div w:id="2040426197">
          <w:marLeft w:val="0"/>
          <w:marRight w:val="0"/>
          <w:marTop w:val="0"/>
          <w:marBottom w:val="0"/>
          <w:divBdr>
            <w:top w:val="none" w:sz="0" w:space="0" w:color="auto"/>
            <w:left w:val="none" w:sz="0" w:space="0" w:color="auto"/>
            <w:bottom w:val="none" w:sz="0" w:space="0" w:color="auto"/>
            <w:right w:val="none" w:sz="0" w:space="0" w:color="auto"/>
          </w:divBdr>
        </w:div>
      </w:divsChild>
    </w:div>
    <w:div w:id="458229783">
      <w:bodyDiv w:val="1"/>
      <w:marLeft w:val="0"/>
      <w:marRight w:val="0"/>
      <w:marTop w:val="0"/>
      <w:marBottom w:val="0"/>
      <w:divBdr>
        <w:top w:val="none" w:sz="0" w:space="0" w:color="auto"/>
        <w:left w:val="none" w:sz="0" w:space="0" w:color="auto"/>
        <w:bottom w:val="none" w:sz="0" w:space="0" w:color="auto"/>
        <w:right w:val="none" w:sz="0" w:space="0" w:color="auto"/>
      </w:divBdr>
      <w:divsChild>
        <w:div w:id="1295452515">
          <w:marLeft w:val="0"/>
          <w:marRight w:val="0"/>
          <w:marTop w:val="0"/>
          <w:marBottom w:val="0"/>
          <w:divBdr>
            <w:top w:val="none" w:sz="0" w:space="0" w:color="auto"/>
            <w:left w:val="none" w:sz="0" w:space="0" w:color="auto"/>
            <w:bottom w:val="none" w:sz="0" w:space="0" w:color="auto"/>
            <w:right w:val="none" w:sz="0" w:space="0" w:color="auto"/>
          </w:divBdr>
        </w:div>
      </w:divsChild>
    </w:div>
    <w:div w:id="459106493">
      <w:bodyDiv w:val="1"/>
      <w:marLeft w:val="0"/>
      <w:marRight w:val="0"/>
      <w:marTop w:val="0"/>
      <w:marBottom w:val="0"/>
      <w:divBdr>
        <w:top w:val="none" w:sz="0" w:space="0" w:color="auto"/>
        <w:left w:val="none" w:sz="0" w:space="0" w:color="auto"/>
        <w:bottom w:val="none" w:sz="0" w:space="0" w:color="auto"/>
        <w:right w:val="none" w:sz="0" w:space="0" w:color="auto"/>
      </w:divBdr>
      <w:divsChild>
        <w:div w:id="588657762">
          <w:marLeft w:val="0"/>
          <w:marRight w:val="0"/>
          <w:marTop w:val="0"/>
          <w:marBottom w:val="0"/>
          <w:divBdr>
            <w:top w:val="none" w:sz="0" w:space="0" w:color="auto"/>
            <w:left w:val="none" w:sz="0" w:space="0" w:color="auto"/>
            <w:bottom w:val="none" w:sz="0" w:space="0" w:color="auto"/>
            <w:right w:val="none" w:sz="0" w:space="0" w:color="auto"/>
          </w:divBdr>
        </w:div>
      </w:divsChild>
    </w:div>
    <w:div w:id="481121579">
      <w:bodyDiv w:val="1"/>
      <w:marLeft w:val="0"/>
      <w:marRight w:val="0"/>
      <w:marTop w:val="0"/>
      <w:marBottom w:val="0"/>
      <w:divBdr>
        <w:top w:val="none" w:sz="0" w:space="0" w:color="auto"/>
        <w:left w:val="none" w:sz="0" w:space="0" w:color="auto"/>
        <w:bottom w:val="none" w:sz="0" w:space="0" w:color="auto"/>
        <w:right w:val="none" w:sz="0" w:space="0" w:color="auto"/>
      </w:divBdr>
      <w:divsChild>
        <w:div w:id="1555773324">
          <w:marLeft w:val="0"/>
          <w:marRight w:val="0"/>
          <w:marTop w:val="0"/>
          <w:marBottom w:val="0"/>
          <w:divBdr>
            <w:top w:val="none" w:sz="0" w:space="0" w:color="auto"/>
            <w:left w:val="none" w:sz="0" w:space="0" w:color="auto"/>
            <w:bottom w:val="none" w:sz="0" w:space="0" w:color="auto"/>
            <w:right w:val="none" w:sz="0" w:space="0" w:color="auto"/>
          </w:divBdr>
        </w:div>
        <w:div w:id="282999554">
          <w:marLeft w:val="0"/>
          <w:marRight w:val="0"/>
          <w:marTop w:val="0"/>
          <w:marBottom w:val="0"/>
          <w:divBdr>
            <w:top w:val="none" w:sz="0" w:space="0" w:color="auto"/>
            <w:left w:val="none" w:sz="0" w:space="0" w:color="auto"/>
            <w:bottom w:val="none" w:sz="0" w:space="0" w:color="auto"/>
            <w:right w:val="none" w:sz="0" w:space="0" w:color="auto"/>
          </w:divBdr>
        </w:div>
        <w:div w:id="1674645476">
          <w:marLeft w:val="0"/>
          <w:marRight w:val="0"/>
          <w:marTop w:val="0"/>
          <w:marBottom w:val="0"/>
          <w:divBdr>
            <w:top w:val="none" w:sz="0" w:space="0" w:color="auto"/>
            <w:left w:val="none" w:sz="0" w:space="0" w:color="auto"/>
            <w:bottom w:val="none" w:sz="0" w:space="0" w:color="auto"/>
            <w:right w:val="none" w:sz="0" w:space="0" w:color="auto"/>
          </w:divBdr>
        </w:div>
      </w:divsChild>
    </w:div>
    <w:div w:id="497161739">
      <w:bodyDiv w:val="1"/>
      <w:marLeft w:val="0"/>
      <w:marRight w:val="0"/>
      <w:marTop w:val="0"/>
      <w:marBottom w:val="0"/>
      <w:divBdr>
        <w:top w:val="none" w:sz="0" w:space="0" w:color="auto"/>
        <w:left w:val="none" w:sz="0" w:space="0" w:color="auto"/>
        <w:bottom w:val="none" w:sz="0" w:space="0" w:color="auto"/>
        <w:right w:val="none" w:sz="0" w:space="0" w:color="auto"/>
      </w:divBdr>
      <w:divsChild>
        <w:div w:id="2041978369">
          <w:marLeft w:val="0"/>
          <w:marRight w:val="0"/>
          <w:marTop w:val="0"/>
          <w:marBottom w:val="0"/>
          <w:divBdr>
            <w:top w:val="none" w:sz="0" w:space="0" w:color="auto"/>
            <w:left w:val="none" w:sz="0" w:space="0" w:color="auto"/>
            <w:bottom w:val="none" w:sz="0" w:space="0" w:color="auto"/>
            <w:right w:val="none" w:sz="0" w:space="0" w:color="auto"/>
          </w:divBdr>
        </w:div>
      </w:divsChild>
    </w:div>
    <w:div w:id="502282477">
      <w:bodyDiv w:val="1"/>
      <w:marLeft w:val="0"/>
      <w:marRight w:val="0"/>
      <w:marTop w:val="0"/>
      <w:marBottom w:val="0"/>
      <w:divBdr>
        <w:top w:val="none" w:sz="0" w:space="0" w:color="auto"/>
        <w:left w:val="none" w:sz="0" w:space="0" w:color="auto"/>
        <w:bottom w:val="none" w:sz="0" w:space="0" w:color="auto"/>
        <w:right w:val="none" w:sz="0" w:space="0" w:color="auto"/>
      </w:divBdr>
      <w:divsChild>
        <w:div w:id="882910642">
          <w:marLeft w:val="0"/>
          <w:marRight w:val="0"/>
          <w:marTop w:val="0"/>
          <w:marBottom w:val="0"/>
          <w:divBdr>
            <w:top w:val="none" w:sz="0" w:space="0" w:color="auto"/>
            <w:left w:val="none" w:sz="0" w:space="0" w:color="auto"/>
            <w:bottom w:val="none" w:sz="0" w:space="0" w:color="auto"/>
            <w:right w:val="none" w:sz="0" w:space="0" w:color="auto"/>
          </w:divBdr>
        </w:div>
      </w:divsChild>
    </w:div>
    <w:div w:id="516425944">
      <w:bodyDiv w:val="1"/>
      <w:marLeft w:val="0"/>
      <w:marRight w:val="0"/>
      <w:marTop w:val="0"/>
      <w:marBottom w:val="0"/>
      <w:divBdr>
        <w:top w:val="none" w:sz="0" w:space="0" w:color="auto"/>
        <w:left w:val="none" w:sz="0" w:space="0" w:color="auto"/>
        <w:bottom w:val="none" w:sz="0" w:space="0" w:color="auto"/>
        <w:right w:val="none" w:sz="0" w:space="0" w:color="auto"/>
      </w:divBdr>
      <w:divsChild>
        <w:div w:id="970400681">
          <w:marLeft w:val="0"/>
          <w:marRight w:val="0"/>
          <w:marTop w:val="0"/>
          <w:marBottom w:val="0"/>
          <w:divBdr>
            <w:top w:val="none" w:sz="0" w:space="0" w:color="auto"/>
            <w:left w:val="none" w:sz="0" w:space="0" w:color="auto"/>
            <w:bottom w:val="none" w:sz="0" w:space="0" w:color="auto"/>
            <w:right w:val="none" w:sz="0" w:space="0" w:color="auto"/>
          </w:divBdr>
        </w:div>
      </w:divsChild>
    </w:div>
    <w:div w:id="519053769">
      <w:bodyDiv w:val="1"/>
      <w:marLeft w:val="0"/>
      <w:marRight w:val="0"/>
      <w:marTop w:val="0"/>
      <w:marBottom w:val="0"/>
      <w:divBdr>
        <w:top w:val="none" w:sz="0" w:space="0" w:color="auto"/>
        <w:left w:val="none" w:sz="0" w:space="0" w:color="auto"/>
        <w:bottom w:val="none" w:sz="0" w:space="0" w:color="auto"/>
        <w:right w:val="none" w:sz="0" w:space="0" w:color="auto"/>
      </w:divBdr>
      <w:divsChild>
        <w:div w:id="300499413">
          <w:marLeft w:val="0"/>
          <w:marRight w:val="0"/>
          <w:marTop w:val="0"/>
          <w:marBottom w:val="0"/>
          <w:divBdr>
            <w:top w:val="none" w:sz="0" w:space="0" w:color="auto"/>
            <w:left w:val="none" w:sz="0" w:space="0" w:color="auto"/>
            <w:bottom w:val="none" w:sz="0" w:space="0" w:color="auto"/>
            <w:right w:val="none" w:sz="0" w:space="0" w:color="auto"/>
          </w:divBdr>
        </w:div>
      </w:divsChild>
    </w:div>
    <w:div w:id="525020506">
      <w:bodyDiv w:val="1"/>
      <w:marLeft w:val="0"/>
      <w:marRight w:val="0"/>
      <w:marTop w:val="0"/>
      <w:marBottom w:val="0"/>
      <w:divBdr>
        <w:top w:val="none" w:sz="0" w:space="0" w:color="auto"/>
        <w:left w:val="none" w:sz="0" w:space="0" w:color="auto"/>
        <w:bottom w:val="none" w:sz="0" w:space="0" w:color="auto"/>
        <w:right w:val="none" w:sz="0" w:space="0" w:color="auto"/>
      </w:divBdr>
      <w:divsChild>
        <w:div w:id="198934057">
          <w:marLeft w:val="0"/>
          <w:marRight w:val="0"/>
          <w:marTop w:val="0"/>
          <w:marBottom w:val="0"/>
          <w:divBdr>
            <w:top w:val="none" w:sz="0" w:space="0" w:color="auto"/>
            <w:left w:val="none" w:sz="0" w:space="0" w:color="auto"/>
            <w:bottom w:val="none" w:sz="0" w:space="0" w:color="auto"/>
            <w:right w:val="none" w:sz="0" w:space="0" w:color="auto"/>
          </w:divBdr>
        </w:div>
      </w:divsChild>
    </w:div>
    <w:div w:id="535388463">
      <w:bodyDiv w:val="1"/>
      <w:marLeft w:val="0"/>
      <w:marRight w:val="0"/>
      <w:marTop w:val="0"/>
      <w:marBottom w:val="0"/>
      <w:divBdr>
        <w:top w:val="none" w:sz="0" w:space="0" w:color="auto"/>
        <w:left w:val="none" w:sz="0" w:space="0" w:color="auto"/>
        <w:bottom w:val="none" w:sz="0" w:space="0" w:color="auto"/>
        <w:right w:val="none" w:sz="0" w:space="0" w:color="auto"/>
      </w:divBdr>
      <w:divsChild>
        <w:div w:id="1855144278">
          <w:marLeft w:val="0"/>
          <w:marRight w:val="0"/>
          <w:marTop w:val="0"/>
          <w:marBottom w:val="0"/>
          <w:divBdr>
            <w:top w:val="none" w:sz="0" w:space="0" w:color="auto"/>
            <w:left w:val="none" w:sz="0" w:space="0" w:color="auto"/>
            <w:bottom w:val="none" w:sz="0" w:space="0" w:color="auto"/>
            <w:right w:val="none" w:sz="0" w:space="0" w:color="auto"/>
          </w:divBdr>
        </w:div>
      </w:divsChild>
    </w:div>
    <w:div w:id="555817466">
      <w:bodyDiv w:val="1"/>
      <w:marLeft w:val="0"/>
      <w:marRight w:val="0"/>
      <w:marTop w:val="0"/>
      <w:marBottom w:val="0"/>
      <w:divBdr>
        <w:top w:val="none" w:sz="0" w:space="0" w:color="auto"/>
        <w:left w:val="none" w:sz="0" w:space="0" w:color="auto"/>
        <w:bottom w:val="none" w:sz="0" w:space="0" w:color="auto"/>
        <w:right w:val="none" w:sz="0" w:space="0" w:color="auto"/>
      </w:divBdr>
      <w:divsChild>
        <w:div w:id="40061244">
          <w:marLeft w:val="0"/>
          <w:marRight w:val="0"/>
          <w:marTop w:val="0"/>
          <w:marBottom w:val="0"/>
          <w:divBdr>
            <w:top w:val="none" w:sz="0" w:space="0" w:color="auto"/>
            <w:left w:val="none" w:sz="0" w:space="0" w:color="auto"/>
            <w:bottom w:val="none" w:sz="0" w:space="0" w:color="auto"/>
            <w:right w:val="none" w:sz="0" w:space="0" w:color="auto"/>
          </w:divBdr>
        </w:div>
      </w:divsChild>
    </w:div>
    <w:div w:id="558905763">
      <w:bodyDiv w:val="1"/>
      <w:marLeft w:val="0"/>
      <w:marRight w:val="0"/>
      <w:marTop w:val="0"/>
      <w:marBottom w:val="0"/>
      <w:divBdr>
        <w:top w:val="none" w:sz="0" w:space="0" w:color="auto"/>
        <w:left w:val="none" w:sz="0" w:space="0" w:color="auto"/>
        <w:bottom w:val="none" w:sz="0" w:space="0" w:color="auto"/>
        <w:right w:val="none" w:sz="0" w:space="0" w:color="auto"/>
      </w:divBdr>
      <w:divsChild>
        <w:div w:id="1032995335">
          <w:marLeft w:val="0"/>
          <w:marRight w:val="0"/>
          <w:marTop w:val="0"/>
          <w:marBottom w:val="0"/>
          <w:divBdr>
            <w:top w:val="none" w:sz="0" w:space="0" w:color="auto"/>
            <w:left w:val="none" w:sz="0" w:space="0" w:color="auto"/>
            <w:bottom w:val="none" w:sz="0" w:space="0" w:color="auto"/>
            <w:right w:val="none" w:sz="0" w:space="0" w:color="auto"/>
          </w:divBdr>
        </w:div>
      </w:divsChild>
    </w:div>
    <w:div w:id="568032111">
      <w:bodyDiv w:val="1"/>
      <w:marLeft w:val="0"/>
      <w:marRight w:val="0"/>
      <w:marTop w:val="0"/>
      <w:marBottom w:val="0"/>
      <w:divBdr>
        <w:top w:val="none" w:sz="0" w:space="0" w:color="auto"/>
        <w:left w:val="none" w:sz="0" w:space="0" w:color="auto"/>
        <w:bottom w:val="none" w:sz="0" w:space="0" w:color="auto"/>
        <w:right w:val="none" w:sz="0" w:space="0" w:color="auto"/>
      </w:divBdr>
    </w:div>
    <w:div w:id="571698733">
      <w:bodyDiv w:val="1"/>
      <w:marLeft w:val="0"/>
      <w:marRight w:val="0"/>
      <w:marTop w:val="0"/>
      <w:marBottom w:val="0"/>
      <w:divBdr>
        <w:top w:val="none" w:sz="0" w:space="0" w:color="auto"/>
        <w:left w:val="none" w:sz="0" w:space="0" w:color="auto"/>
        <w:bottom w:val="none" w:sz="0" w:space="0" w:color="auto"/>
        <w:right w:val="none" w:sz="0" w:space="0" w:color="auto"/>
      </w:divBdr>
      <w:divsChild>
        <w:div w:id="1214343349">
          <w:marLeft w:val="0"/>
          <w:marRight w:val="0"/>
          <w:marTop w:val="0"/>
          <w:marBottom w:val="0"/>
          <w:divBdr>
            <w:top w:val="none" w:sz="0" w:space="0" w:color="auto"/>
            <w:left w:val="none" w:sz="0" w:space="0" w:color="auto"/>
            <w:bottom w:val="none" w:sz="0" w:space="0" w:color="auto"/>
            <w:right w:val="none" w:sz="0" w:space="0" w:color="auto"/>
          </w:divBdr>
        </w:div>
      </w:divsChild>
    </w:div>
    <w:div w:id="584001777">
      <w:bodyDiv w:val="1"/>
      <w:marLeft w:val="0"/>
      <w:marRight w:val="0"/>
      <w:marTop w:val="0"/>
      <w:marBottom w:val="0"/>
      <w:divBdr>
        <w:top w:val="none" w:sz="0" w:space="0" w:color="auto"/>
        <w:left w:val="none" w:sz="0" w:space="0" w:color="auto"/>
        <w:bottom w:val="none" w:sz="0" w:space="0" w:color="auto"/>
        <w:right w:val="none" w:sz="0" w:space="0" w:color="auto"/>
      </w:divBdr>
    </w:div>
    <w:div w:id="584459983">
      <w:bodyDiv w:val="1"/>
      <w:marLeft w:val="0"/>
      <w:marRight w:val="0"/>
      <w:marTop w:val="0"/>
      <w:marBottom w:val="0"/>
      <w:divBdr>
        <w:top w:val="none" w:sz="0" w:space="0" w:color="auto"/>
        <w:left w:val="none" w:sz="0" w:space="0" w:color="auto"/>
        <w:bottom w:val="none" w:sz="0" w:space="0" w:color="auto"/>
        <w:right w:val="none" w:sz="0" w:space="0" w:color="auto"/>
      </w:divBdr>
      <w:divsChild>
        <w:div w:id="1297566239">
          <w:marLeft w:val="0"/>
          <w:marRight w:val="0"/>
          <w:marTop w:val="0"/>
          <w:marBottom w:val="0"/>
          <w:divBdr>
            <w:top w:val="none" w:sz="0" w:space="0" w:color="auto"/>
            <w:left w:val="none" w:sz="0" w:space="0" w:color="auto"/>
            <w:bottom w:val="none" w:sz="0" w:space="0" w:color="auto"/>
            <w:right w:val="none" w:sz="0" w:space="0" w:color="auto"/>
          </w:divBdr>
        </w:div>
      </w:divsChild>
    </w:div>
    <w:div w:id="587424033">
      <w:bodyDiv w:val="1"/>
      <w:marLeft w:val="0"/>
      <w:marRight w:val="0"/>
      <w:marTop w:val="0"/>
      <w:marBottom w:val="0"/>
      <w:divBdr>
        <w:top w:val="none" w:sz="0" w:space="0" w:color="auto"/>
        <w:left w:val="none" w:sz="0" w:space="0" w:color="auto"/>
        <w:bottom w:val="none" w:sz="0" w:space="0" w:color="auto"/>
        <w:right w:val="none" w:sz="0" w:space="0" w:color="auto"/>
      </w:divBdr>
      <w:divsChild>
        <w:div w:id="1358198249">
          <w:marLeft w:val="0"/>
          <w:marRight w:val="0"/>
          <w:marTop w:val="0"/>
          <w:marBottom w:val="0"/>
          <w:divBdr>
            <w:top w:val="none" w:sz="0" w:space="0" w:color="auto"/>
            <w:left w:val="none" w:sz="0" w:space="0" w:color="auto"/>
            <w:bottom w:val="none" w:sz="0" w:space="0" w:color="auto"/>
            <w:right w:val="none" w:sz="0" w:space="0" w:color="auto"/>
          </w:divBdr>
        </w:div>
      </w:divsChild>
    </w:div>
    <w:div w:id="589122357">
      <w:bodyDiv w:val="1"/>
      <w:marLeft w:val="0"/>
      <w:marRight w:val="0"/>
      <w:marTop w:val="0"/>
      <w:marBottom w:val="0"/>
      <w:divBdr>
        <w:top w:val="none" w:sz="0" w:space="0" w:color="auto"/>
        <w:left w:val="none" w:sz="0" w:space="0" w:color="auto"/>
        <w:bottom w:val="none" w:sz="0" w:space="0" w:color="auto"/>
        <w:right w:val="none" w:sz="0" w:space="0" w:color="auto"/>
      </w:divBdr>
      <w:divsChild>
        <w:div w:id="986739878">
          <w:marLeft w:val="0"/>
          <w:marRight w:val="0"/>
          <w:marTop w:val="0"/>
          <w:marBottom w:val="0"/>
          <w:divBdr>
            <w:top w:val="none" w:sz="0" w:space="0" w:color="auto"/>
            <w:left w:val="none" w:sz="0" w:space="0" w:color="auto"/>
            <w:bottom w:val="none" w:sz="0" w:space="0" w:color="auto"/>
            <w:right w:val="none" w:sz="0" w:space="0" w:color="auto"/>
          </w:divBdr>
        </w:div>
      </w:divsChild>
    </w:div>
    <w:div w:id="592082553">
      <w:bodyDiv w:val="1"/>
      <w:marLeft w:val="0"/>
      <w:marRight w:val="0"/>
      <w:marTop w:val="0"/>
      <w:marBottom w:val="0"/>
      <w:divBdr>
        <w:top w:val="none" w:sz="0" w:space="0" w:color="auto"/>
        <w:left w:val="none" w:sz="0" w:space="0" w:color="auto"/>
        <w:bottom w:val="none" w:sz="0" w:space="0" w:color="auto"/>
        <w:right w:val="none" w:sz="0" w:space="0" w:color="auto"/>
      </w:divBdr>
      <w:divsChild>
        <w:div w:id="1704095686">
          <w:marLeft w:val="0"/>
          <w:marRight w:val="0"/>
          <w:marTop w:val="0"/>
          <w:marBottom w:val="0"/>
          <w:divBdr>
            <w:top w:val="none" w:sz="0" w:space="0" w:color="auto"/>
            <w:left w:val="none" w:sz="0" w:space="0" w:color="auto"/>
            <w:bottom w:val="none" w:sz="0" w:space="0" w:color="auto"/>
            <w:right w:val="none" w:sz="0" w:space="0" w:color="auto"/>
          </w:divBdr>
        </w:div>
      </w:divsChild>
    </w:div>
    <w:div w:id="624506616">
      <w:bodyDiv w:val="1"/>
      <w:marLeft w:val="0"/>
      <w:marRight w:val="0"/>
      <w:marTop w:val="0"/>
      <w:marBottom w:val="0"/>
      <w:divBdr>
        <w:top w:val="none" w:sz="0" w:space="0" w:color="auto"/>
        <w:left w:val="none" w:sz="0" w:space="0" w:color="auto"/>
        <w:bottom w:val="none" w:sz="0" w:space="0" w:color="auto"/>
        <w:right w:val="none" w:sz="0" w:space="0" w:color="auto"/>
      </w:divBdr>
      <w:divsChild>
        <w:div w:id="1041398617">
          <w:marLeft w:val="0"/>
          <w:marRight w:val="0"/>
          <w:marTop w:val="0"/>
          <w:marBottom w:val="0"/>
          <w:divBdr>
            <w:top w:val="none" w:sz="0" w:space="0" w:color="auto"/>
            <w:left w:val="none" w:sz="0" w:space="0" w:color="auto"/>
            <w:bottom w:val="none" w:sz="0" w:space="0" w:color="auto"/>
            <w:right w:val="none" w:sz="0" w:space="0" w:color="auto"/>
          </w:divBdr>
        </w:div>
      </w:divsChild>
    </w:div>
    <w:div w:id="636109835">
      <w:bodyDiv w:val="1"/>
      <w:marLeft w:val="0"/>
      <w:marRight w:val="0"/>
      <w:marTop w:val="0"/>
      <w:marBottom w:val="0"/>
      <w:divBdr>
        <w:top w:val="none" w:sz="0" w:space="0" w:color="auto"/>
        <w:left w:val="none" w:sz="0" w:space="0" w:color="auto"/>
        <w:bottom w:val="none" w:sz="0" w:space="0" w:color="auto"/>
        <w:right w:val="none" w:sz="0" w:space="0" w:color="auto"/>
      </w:divBdr>
      <w:divsChild>
        <w:div w:id="517354747">
          <w:marLeft w:val="0"/>
          <w:marRight w:val="0"/>
          <w:marTop w:val="0"/>
          <w:marBottom w:val="0"/>
          <w:divBdr>
            <w:top w:val="none" w:sz="0" w:space="0" w:color="auto"/>
            <w:left w:val="none" w:sz="0" w:space="0" w:color="auto"/>
            <w:bottom w:val="none" w:sz="0" w:space="0" w:color="auto"/>
            <w:right w:val="none" w:sz="0" w:space="0" w:color="auto"/>
          </w:divBdr>
        </w:div>
      </w:divsChild>
    </w:div>
    <w:div w:id="646208542">
      <w:bodyDiv w:val="1"/>
      <w:marLeft w:val="0"/>
      <w:marRight w:val="0"/>
      <w:marTop w:val="0"/>
      <w:marBottom w:val="0"/>
      <w:divBdr>
        <w:top w:val="none" w:sz="0" w:space="0" w:color="auto"/>
        <w:left w:val="none" w:sz="0" w:space="0" w:color="auto"/>
        <w:bottom w:val="none" w:sz="0" w:space="0" w:color="auto"/>
        <w:right w:val="none" w:sz="0" w:space="0" w:color="auto"/>
      </w:divBdr>
      <w:divsChild>
        <w:div w:id="1135484304">
          <w:marLeft w:val="0"/>
          <w:marRight w:val="0"/>
          <w:marTop w:val="0"/>
          <w:marBottom w:val="0"/>
          <w:divBdr>
            <w:top w:val="none" w:sz="0" w:space="0" w:color="auto"/>
            <w:left w:val="none" w:sz="0" w:space="0" w:color="auto"/>
            <w:bottom w:val="none" w:sz="0" w:space="0" w:color="auto"/>
            <w:right w:val="none" w:sz="0" w:space="0" w:color="auto"/>
          </w:divBdr>
        </w:div>
      </w:divsChild>
    </w:div>
    <w:div w:id="650139888">
      <w:bodyDiv w:val="1"/>
      <w:marLeft w:val="0"/>
      <w:marRight w:val="0"/>
      <w:marTop w:val="0"/>
      <w:marBottom w:val="0"/>
      <w:divBdr>
        <w:top w:val="none" w:sz="0" w:space="0" w:color="auto"/>
        <w:left w:val="none" w:sz="0" w:space="0" w:color="auto"/>
        <w:bottom w:val="none" w:sz="0" w:space="0" w:color="auto"/>
        <w:right w:val="none" w:sz="0" w:space="0" w:color="auto"/>
      </w:divBdr>
      <w:divsChild>
        <w:div w:id="1320696003">
          <w:marLeft w:val="0"/>
          <w:marRight w:val="0"/>
          <w:marTop w:val="0"/>
          <w:marBottom w:val="0"/>
          <w:divBdr>
            <w:top w:val="none" w:sz="0" w:space="0" w:color="auto"/>
            <w:left w:val="none" w:sz="0" w:space="0" w:color="auto"/>
            <w:bottom w:val="none" w:sz="0" w:space="0" w:color="auto"/>
            <w:right w:val="none" w:sz="0" w:space="0" w:color="auto"/>
          </w:divBdr>
        </w:div>
      </w:divsChild>
    </w:div>
    <w:div w:id="652023021">
      <w:bodyDiv w:val="1"/>
      <w:marLeft w:val="0"/>
      <w:marRight w:val="0"/>
      <w:marTop w:val="0"/>
      <w:marBottom w:val="0"/>
      <w:divBdr>
        <w:top w:val="none" w:sz="0" w:space="0" w:color="auto"/>
        <w:left w:val="none" w:sz="0" w:space="0" w:color="auto"/>
        <w:bottom w:val="none" w:sz="0" w:space="0" w:color="auto"/>
        <w:right w:val="none" w:sz="0" w:space="0" w:color="auto"/>
      </w:divBdr>
      <w:divsChild>
        <w:div w:id="1276404731">
          <w:marLeft w:val="0"/>
          <w:marRight w:val="0"/>
          <w:marTop w:val="0"/>
          <w:marBottom w:val="0"/>
          <w:divBdr>
            <w:top w:val="none" w:sz="0" w:space="0" w:color="auto"/>
            <w:left w:val="none" w:sz="0" w:space="0" w:color="auto"/>
            <w:bottom w:val="none" w:sz="0" w:space="0" w:color="auto"/>
            <w:right w:val="none" w:sz="0" w:space="0" w:color="auto"/>
          </w:divBdr>
        </w:div>
      </w:divsChild>
    </w:div>
    <w:div w:id="654381023">
      <w:bodyDiv w:val="1"/>
      <w:marLeft w:val="0"/>
      <w:marRight w:val="0"/>
      <w:marTop w:val="0"/>
      <w:marBottom w:val="0"/>
      <w:divBdr>
        <w:top w:val="none" w:sz="0" w:space="0" w:color="auto"/>
        <w:left w:val="none" w:sz="0" w:space="0" w:color="auto"/>
        <w:bottom w:val="none" w:sz="0" w:space="0" w:color="auto"/>
        <w:right w:val="none" w:sz="0" w:space="0" w:color="auto"/>
      </w:divBdr>
      <w:divsChild>
        <w:div w:id="2113278898">
          <w:marLeft w:val="0"/>
          <w:marRight w:val="0"/>
          <w:marTop w:val="0"/>
          <w:marBottom w:val="0"/>
          <w:divBdr>
            <w:top w:val="none" w:sz="0" w:space="0" w:color="auto"/>
            <w:left w:val="none" w:sz="0" w:space="0" w:color="auto"/>
            <w:bottom w:val="none" w:sz="0" w:space="0" w:color="auto"/>
            <w:right w:val="none" w:sz="0" w:space="0" w:color="auto"/>
          </w:divBdr>
        </w:div>
      </w:divsChild>
    </w:div>
    <w:div w:id="669874747">
      <w:bodyDiv w:val="1"/>
      <w:marLeft w:val="0"/>
      <w:marRight w:val="0"/>
      <w:marTop w:val="0"/>
      <w:marBottom w:val="0"/>
      <w:divBdr>
        <w:top w:val="none" w:sz="0" w:space="0" w:color="auto"/>
        <w:left w:val="none" w:sz="0" w:space="0" w:color="auto"/>
        <w:bottom w:val="none" w:sz="0" w:space="0" w:color="auto"/>
        <w:right w:val="none" w:sz="0" w:space="0" w:color="auto"/>
      </w:divBdr>
      <w:divsChild>
        <w:div w:id="431322204">
          <w:marLeft w:val="0"/>
          <w:marRight w:val="0"/>
          <w:marTop w:val="0"/>
          <w:marBottom w:val="0"/>
          <w:divBdr>
            <w:top w:val="none" w:sz="0" w:space="0" w:color="auto"/>
            <w:left w:val="none" w:sz="0" w:space="0" w:color="auto"/>
            <w:bottom w:val="none" w:sz="0" w:space="0" w:color="auto"/>
            <w:right w:val="none" w:sz="0" w:space="0" w:color="auto"/>
          </w:divBdr>
        </w:div>
      </w:divsChild>
    </w:div>
    <w:div w:id="689067658">
      <w:bodyDiv w:val="1"/>
      <w:marLeft w:val="0"/>
      <w:marRight w:val="0"/>
      <w:marTop w:val="0"/>
      <w:marBottom w:val="0"/>
      <w:divBdr>
        <w:top w:val="none" w:sz="0" w:space="0" w:color="auto"/>
        <w:left w:val="none" w:sz="0" w:space="0" w:color="auto"/>
        <w:bottom w:val="none" w:sz="0" w:space="0" w:color="auto"/>
        <w:right w:val="none" w:sz="0" w:space="0" w:color="auto"/>
      </w:divBdr>
      <w:divsChild>
        <w:div w:id="192428881">
          <w:marLeft w:val="0"/>
          <w:marRight w:val="0"/>
          <w:marTop w:val="0"/>
          <w:marBottom w:val="0"/>
          <w:divBdr>
            <w:top w:val="none" w:sz="0" w:space="0" w:color="auto"/>
            <w:left w:val="none" w:sz="0" w:space="0" w:color="auto"/>
            <w:bottom w:val="none" w:sz="0" w:space="0" w:color="auto"/>
            <w:right w:val="none" w:sz="0" w:space="0" w:color="auto"/>
          </w:divBdr>
        </w:div>
      </w:divsChild>
    </w:div>
    <w:div w:id="700470230">
      <w:bodyDiv w:val="1"/>
      <w:marLeft w:val="0"/>
      <w:marRight w:val="0"/>
      <w:marTop w:val="0"/>
      <w:marBottom w:val="0"/>
      <w:divBdr>
        <w:top w:val="none" w:sz="0" w:space="0" w:color="auto"/>
        <w:left w:val="none" w:sz="0" w:space="0" w:color="auto"/>
        <w:bottom w:val="none" w:sz="0" w:space="0" w:color="auto"/>
        <w:right w:val="none" w:sz="0" w:space="0" w:color="auto"/>
      </w:divBdr>
      <w:divsChild>
        <w:div w:id="2108309446">
          <w:marLeft w:val="0"/>
          <w:marRight w:val="0"/>
          <w:marTop w:val="0"/>
          <w:marBottom w:val="0"/>
          <w:divBdr>
            <w:top w:val="none" w:sz="0" w:space="0" w:color="auto"/>
            <w:left w:val="none" w:sz="0" w:space="0" w:color="auto"/>
            <w:bottom w:val="none" w:sz="0" w:space="0" w:color="auto"/>
            <w:right w:val="none" w:sz="0" w:space="0" w:color="auto"/>
          </w:divBdr>
        </w:div>
      </w:divsChild>
    </w:div>
    <w:div w:id="703024653">
      <w:bodyDiv w:val="1"/>
      <w:marLeft w:val="0"/>
      <w:marRight w:val="0"/>
      <w:marTop w:val="0"/>
      <w:marBottom w:val="0"/>
      <w:divBdr>
        <w:top w:val="none" w:sz="0" w:space="0" w:color="auto"/>
        <w:left w:val="none" w:sz="0" w:space="0" w:color="auto"/>
        <w:bottom w:val="none" w:sz="0" w:space="0" w:color="auto"/>
        <w:right w:val="none" w:sz="0" w:space="0" w:color="auto"/>
      </w:divBdr>
      <w:divsChild>
        <w:div w:id="1976058182">
          <w:marLeft w:val="0"/>
          <w:marRight w:val="0"/>
          <w:marTop w:val="0"/>
          <w:marBottom w:val="0"/>
          <w:divBdr>
            <w:top w:val="none" w:sz="0" w:space="0" w:color="auto"/>
            <w:left w:val="none" w:sz="0" w:space="0" w:color="auto"/>
            <w:bottom w:val="none" w:sz="0" w:space="0" w:color="auto"/>
            <w:right w:val="none" w:sz="0" w:space="0" w:color="auto"/>
          </w:divBdr>
        </w:div>
      </w:divsChild>
    </w:div>
    <w:div w:id="710541722">
      <w:bodyDiv w:val="1"/>
      <w:marLeft w:val="0"/>
      <w:marRight w:val="0"/>
      <w:marTop w:val="0"/>
      <w:marBottom w:val="0"/>
      <w:divBdr>
        <w:top w:val="none" w:sz="0" w:space="0" w:color="auto"/>
        <w:left w:val="none" w:sz="0" w:space="0" w:color="auto"/>
        <w:bottom w:val="none" w:sz="0" w:space="0" w:color="auto"/>
        <w:right w:val="none" w:sz="0" w:space="0" w:color="auto"/>
      </w:divBdr>
      <w:divsChild>
        <w:div w:id="304508903">
          <w:marLeft w:val="0"/>
          <w:marRight w:val="0"/>
          <w:marTop w:val="0"/>
          <w:marBottom w:val="0"/>
          <w:divBdr>
            <w:top w:val="none" w:sz="0" w:space="0" w:color="auto"/>
            <w:left w:val="none" w:sz="0" w:space="0" w:color="auto"/>
            <w:bottom w:val="none" w:sz="0" w:space="0" w:color="auto"/>
            <w:right w:val="none" w:sz="0" w:space="0" w:color="auto"/>
          </w:divBdr>
        </w:div>
      </w:divsChild>
    </w:div>
    <w:div w:id="711422949">
      <w:bodyDiv w:val="1"/>
      <w:marLeft w:val="0"/>
      <w:marRight w:val="0"/>
      <w:marTop w:val="0"/>
      <w:marBottom w:val="0"/>
      <w:divBdr>
        <w:top w:val="none" w:sz="0" w:space="0" w:color="auto"/>
        <w:left w:val="none" w:sz="0" w:space="0" w:color="auto"/>
        <w:bottom w:val="none" w:sz="0" w:space="0" w:color="auto"/>
        <w:right w:val="none" w:sz="0" w:space="0" w:color="auto"/>
      </w:divBdr>
      <w:divsChild>
        <w:div w:id="368647007">
          <w:marLeft w:val="0"/>
          <w:marRight w:val="0"/>
          <w:marTop w:val="0"/>
          <w:marBottom w:val="0"/>
          <w:divBdr>
            <w:top w:val="none" w:sz="0" w:space="0" w:color="auto"/>
            <w:left w:val="none" w:sz="0" w:space="0" w:color="auto"/>
            <w:bottom w:val="none" w:sz="0" w:space="0" w:color="auto"/>
            <w:right w:val="none" w:sz="0" w:space="0" w:color="auto"/>
          </w:divBdr>
        </w:div>
      </w:divsChild>
    </w:div>
    <w:div w:id="713384370">
      <w:bodyDiv w:val="1"/>
      <w:marLeft w:val="0"/>
      <w:marRight w:val="0"/>
      <w:marTop w:val="0"/>
      <w:marBottom w:val="0"/>
      <w:divBdr>
        <w:top w:val="none" w:sz="0" w:space="0" w:color="auto"/>
        <w:left w:val="none" w:sz="0" w:space="0" w:color="auto"/>
        <w:bottom w:val="none" w:sz="0" w:space="0" w:color="auto"/>
        <w:right w:val="none" w:sz="0" w:space="0" w:color="auto"/>
      </w:divBdr>
      <w:divsChild>
        <w:div w:id="1782604698">
          <w:marLeft w:val="0"/>
          <w:marRight w:val="0"/>
          <w:marTop w:val="0"/>
          <w:marBottom w:val="0"/>
          <w:divBdr>
            <w:top w:val="none" w:sz="0" w:space="0" w:color="auto"/>
            <w:left w:val="none" w:sz="0" w:space="0" w:color="auto"/>
            <w:bottom w:val="none" w:sz="0" w:space="0" w:color="auto"/>
            <w:right w:val="none" w:sz="0" w:space="0" w:color="auto"/>
          </w:divBdr>
        </w:div>
      </w:divsChild>
    </w:div>
    <w:div w:id="722406558">
      <w:bodyDiv w:val="1"/>
      <w:marLeft w:val="0"/>
      <w:marRight w:val="0"/>
      <w:marTop w:val="0"/>
      <w:marBottom w:val="0"/>
      <w:divBdr>
        <w:top w:val="none" w:sz="0" w:space="0" w:color="auto"/>
        <w:left w:val="none" w:sz="0" w:space="0" w:color="auto"/>
        <w:bottom w:val="none" w:sz="0" w:space="0" w:color="auto"/>
        <w:right w:val="none" w:sz="0" w:space="0" w:color="auto"/>
      </w:divBdr>
      <w:divsChild>
        <w:div w:id="1440225269">
          <w:marLeft w:val="0"/>
          <w:marRight w:val="0"/>
          <w:marTop w:val="0"/>
          <w:marBottom w:val="0"/>
          <w:divBdr>
            <w:top w:val="none" w:sz="0" w:space="0" w:color="auto"/>
            <w:left w:val="none" w:sz="0" w:space="0" w:color="auto"/>
            <w:bottom w:val="none" w:sz="0" w:space="0" w:color="auto"/>
            <w:right w:val="none" w:sz="0" w:space="0" w:color="auto"/>
          </w:divBdr>
        </w:div>
      </w:divsChild>
    </w:div>
    <w:div w:id="731346234">
      <w:bodyDiv w:val="1"/>
      <w:marLeft w:val="0"/>
      <w:marRight w:val="0"/>
      <w:marTop w:val="0"/>
      <w:marBottom w:val="0"/>
      <w:divBdr>
        <w:top w:val="none" w:sz="0" w:space="0" w:color="auto"/>
        <w:left w:val="none" w:sz="0" w:space="0" w:color="auto"/>
        <w:bottom w:val="none" w:sz="0" w:space="0" w:color="auto"/>
        <w:right w:val="none" w:sz="0" w:space="0" w:color="auto"/>
      </w:divBdr>
    </w:div>
    <w:div w:id="734398976">
      <w:bodyDiv w:val="1"/>
      <w:marLeft w:val="0"/>
      <w:marRight w:val="0"/>
      <w:marTop w:val="0"/>
      <w:marBottom w:val="0"/>
      <w:divBdr>
        <w:top w:val="none" w:sz="0" w:space="0" w:color="auto"/>
        <w:left w:val="none" w:sz="0" w:space="0" w:color="auto"/>
        <w:bottom w:val="none" w:sz="0" w:space="0" w:color="auto"/>
        <w:right w:val="none" w:sz="0" w:space="0" w:color="auto"/>
      </w:divBdr>
      <w:divsChild>
        <w:div w:id="917132929">
          <w:marLeft w:val="0"/>
          <w:marRight w:val="0"/>
          <w:marTop w:val="0"/>
          <w:marBottom w:val="0"/>
          <w:divBdr>
            <w:top w:val="none" w:sz="0" w:space="0" w:color="auto"/>
            <w:left w:val="none" w:sz="0" w:space="0" w:color="auto"/>
            <w:bottom w:val="none" w:sz="0" w:space="0" w:color="auto"/>
            <w:right w:val="none" w:sz="0" w:space="0" w:color="auto"/>
          </w:divBdr>
        </w:div>
      </w:divsChild>
    </w:div>
    <w:div w:id="741411825">
      <w:bodyDiv w:val="1"/>
      <w:marLeft w:val="0"/>
      <w:marRight w:val="0"/>
      <w:marTop w:val="0"/>
      <w:marBottom w:val="0"/>
      <w:divBdr>
        <w:top w:val="none" w:sz="0" w:space="0" w:color="auto"/>
        <w:left w:val="none" w:sz="0" w:space="0" w:color="auto"/>
        <w:bottom w:val="none" w:sz="0" w:space="0" w:color="auto"/>
        <w:right w:val="none" w:sz="0" w:space="0" w:color="auto"/>
      </w:divBdr>
      <w:divsChild>
        <w:div w:id="1009672954">
          <w:marLeft w:val="0"/>
          <w:marRight w:val="0"/>
          <w:marTop w:val="0"/>
          <w:marBottom w:val="0"/>
          <w:divBdr>
            <w:top w:val="none" w:sz="0" w:space="0" w:color="auto"/>
            <w:left w:val="none" w:sz="0" w:space="0" w:color="auto"/>
            <w:bottom w:val="none" w:sz="0" w:space="0" w:color="auto"/>
            <w:right w:val="none" w:sz="0" w:space="0" w:color="auto"/>
          </w:divBdr>
        </w:div>
      </w:divsChild>
    </w:div>
    <w:div w:id="742333581">
      <w:bodyDiv w:val="1"/>
      <w:marLeft w:val="0"/>
      <w:marRight w:val="0"/>
      <w:marTop w:val="0"/>
      <w:marBottom w:val="0"/>
      <w:divBdr>
        <w:top w:val="none" w:sz="0" w:space="0" w:color="auto"/>
        <w:left w:val="none" w:sz="0" w:space="0" w:color="auto"/>
        <w:bottom w:val="none" w:sz="0" w:space="0" w:color="auto"/>
        <w:right w:val="none" w:sz="0" w:space="0" w:color="auto"/>
      </w:divBdr>
      <w:divsChild>
        <w:div w:id="1312754563">
          <w:marLeft w:val="0"/>
          <w:marRight w:val="0"/>
          <w:marTop w:val="0"/>
          <w:marBottom w:val="0"/>
          <w:divBdr>
            <w:top w:val="none" w:sz="0" w:space="0" w:color="auto"/>
            <w:left w:val="none" w:sz="0" w:space="0" w:color="auto"/>
            <w:bottom w:val="none" w:sz="0" w:space="0" w:color="auto"/>
            <w:right w:val="none" w:sz="0" w:space="0" w:color="auto"/>
          </w:divBdr>
        </w:div>
      </w:divsChild>
    </w:div>
    <w:div w:id="742608060">
      <w:bodyDiv w:val="1"/>
      <w:marLeft w:val="0"/>
      <w:marRight w:val="0"/>
      <w:marTop w:val="0"/>
      <w:marBottom w:val="0"/>
      <w:divBdr>
        <w:top w:val="none" w:sz="0" w:space="0" w:color="auto"/>
        <w:left w:val="none" w:sz="0" w:space="0" w:color="auto"/>
        <w:bottom w:val="none" w:sz="0" w:space="0" w:color="auto"/>
        <w:right w:val="none" w:sz="0" w:space="0" w:color="auto"/>
      </w:divBdr>
      <w:divsChild>
        <w:div w:id="2082562082">
          <w:marLeft w:val="0"/>
          <w:marRight w:val="0"/>
          <w:marTop w:val="0"/>
          <w:marBottom w:val="0"/>
          <w:divBdr>
            <w:top w:val="none" w:sz="0" w:space="0" w:color="auto"/>
            <w:left w:val="none" w:sz="0" w:space="0" w:color="auto"/>
            <w:bottom w:val="none" w:sz="0" w:space="0" w:color="auto"/>
            <w:right w:val="none" w:sz="0" w:space="0" w:color="auto"/>
          </w:divBdr>
        </w:div>
      </w:divsChild>
    </w:div>
    <w:div w:id="744381230">
      <w:bodyDiv w:val="1"/>
      <w:marLeft w:val="0"/>
      <w:marRight w:val="0"/>
      <w:marTop w:val="0"/>
      <w:marBottom w:val="0"/>
      <w:divBdr>
        <w:top w:val="none" w:sz="0" w:space="0" w:color="auto"/>
        <w:left w:val="none" w:sz="0" w:space="0" w:color="auto"/>
        <w:bottom w:val="none" w:sz="0" w:space="0" w:color="auto"/>
        <w:right w:val="none" w:sz="0" w:space="0" w:color="auto"/>
      </w:divBdr>
      <w:divsChild>
        <w:div w:id="66197383">
          <w:marLeft w:val="0"/>
          <w:marRight w:val="0"/>
          <w:marTop w:val="0"/>
          <w:marBottom w:val="0"/>
          <w:divBdr>
            <w:top w:val="none" w:sz="0" w:space="0" w:color="auto"/>
            <w:left w:val="none" w:sz="0" w:space="0" w:color="auto"/>
            <w:bottom w:val="none" w:sz="0" w:space="0" w:color="auto"/>
            <w:right w:val="none" w:sz="0" w:space="0" w:color="auto"/>
          </w:divBdr>
        </w:div>
      </w:divsChild>
    </w:div>
    <w:div w:id="755590852">
      <w:bodyDiv w:val="1"/>
      <w:marLeft w:val="0"/>
      <w:marRight w:val="0"/>
      <w:marTop w:val="0"/>
      <w:marBottom w:val="0"/>
      <w:divBdr>
        <w:top w:val="none" w:sz="0" w:space="0" w:color="auto"/>
        <w:left w:val="none" w:sz="0" w:space="0" w:color="auto"/>
        <w:bottom w:val="none" w:sz="0" w:space="0" w:color="auto"/>
        <w:right w:val="none" w:sz="0" w:space="0" w:color="auto"/>
      </w:divBdr>
      <w:divsChild>
        <w:div w:id="1180117526">
          <w:marLeft w:val="0"/>
          <w:marRight w:val="0"/>
          <w:marTop w:val="0"/>
          <w:marBottom w:val="0"/>
          <w:divBdr>
            <w:top w:val="none" w:sz="0" w:space="0" w:color="auto"/>
            <w:left w:val="none" w:sz="0" w:space="0" w:color="auto"/>
            <w:bottom w:val="none" w:sz="0" w:space="0" w:color="auto"/>
            <w:right w:val="none" w:sz="0" w:space="0" w:color="auto"/>
          </w:divBdr>
        </w:div>
      </w:divsChild>
    </w:div>
    <w:div w:id="756096009">
      <w:bodyDiv w:val="1"/>
      <w:marLeft w:val="0"/>
      <w:marRight w:val="0"/>
      <w:marTop w:val="0"/>
      <w:marBottom w:val="0"/>
      <w:divBdr>
        <w:top w:val="none" w:sz="0" w:space="0" w:color="auto"/>
        <w:left w:val="none" w:sz="0" w:space="0" w:color="auto"/>
        <w:bottom w:val="none" w:sz="0" w:space="0" w:color="auto"/>
        <w:right w:val="none" w:sz="0" w:space="0" w:color="auto"/>
      </w:divBdr>
      <w:divsChild>
        <w:div w:id="1739591432">
          <w:marLeft w:val="0"/>
          <w:marRight w:val="0"/>
          <w:marTop w:val="0"/>
          <w:marBottom w:val="0"/>
          <w:divBdr>
            <w:top w:val="none" w:sz="0" w:space="0" w:color="auto"/>
            <w:left w:val="none" w:sz="0" w:space="0" w:color="auto"/>
            <w:bottom w:val="none" w:sz="0" w:space="0" w:color="auto"/>
            <w:right w:val="none" w:sz="0" w:space="0" w:color="auto"/>
          </w:divBdr>
        </w:div>
      </w:divsChild>
    </w:div>
    <w:div w:id="768503057">
      <w:bodyDiv w:val="1"/>
      <w:marLeft w:val="0"/>
      <w:marRight w:val="0"/>
      <w:marTop w:val="0"/>
      <w:marBottom w:val="0"/>
      <w:divBdr>
        <w:top w:val="none" w:sz="0" w:space="0" w:color="auto"/>
        <w:left w:val="none" w:sz="0" w:space="0" w:color="auto"/>
        <w:bottom w:val="none" w:sz="0" w:space="0" w:color="auto"/>
        <w:right w:val="none" w:sz="0" w:space="0" w:color="auto"/>
      </w:divBdr>
      <w:divsChild>
        <w:div w:id="160200110">
          <w:marLeft w:val="0"/>
          <w:marRight w:val="0"/>
          <w:marTop w:val="0"/>
          <w:marBottom w:val="0"/>
          <w:divBdr>
            <w:top w:val="none" w:sz="0" w:space="0" w:color="auto"/>
            <w:left w:val="none" w:sz="0" w:space="0" w:color="auto"/>
            <w:bottom w:val="none" w:sz="0" w:space="0" w:color="auto"/>
            <w:right w:val="none" w:sz="0" w:space="0" w:color="auto"/>
          </w:divBdr>
        </w:div>
      </w:divsChild>
    </w:div>
    <w:div w:id="772172021">
      <w:bodyDiv w:val="1"/>
      <w:marLeft w:val="0"/>
      <w:marRight w:val="0"/>
      <w:marTop w:val="0"/>
      <w:marBottom w:val="0"/>
      <w:divBdr>
        <w:top w:val="none" w:sz="0" w:space="0" w:color="auto"/>
        <w:left w:val="none" w:sz="0" w:space="0" w:color="auto"/>
        <w:bottom w:val="none" w:sz="0" w:space="0" w:color="auto"/>
        <w:right w:val="none" w:sz="0" w:space="0" w:color="auto"/>
      </w:divBdr>
    </w:div>
    <w:div w:id="785546219">
      <w:bodyDiv w:val="1"/>
      <w:marLeft w:val="0"/>
      <w:marRight w:val="0"/>
      <w:marTop w:val="0"/>
      <w:marBottom w:val="0"/>
      <w:divBdr>
        <w:top w:val="none" w:sz="0" w:space="0" w:color="auto"/>
        <w:left w:val="none" w:sz="0" w:space="0" w:color="auto"/>
        <w:bottom w:val="none" w:sz="0" w:space="0" w:color="auto"/>
        <w:right w:val="none" w:sz="0" w:space="0" w:color="auto"/>
      </w:divBdr>
      <w:divsChild>
        <w:div w:id="212232494">
          <w:marLeft w:val="0"/>
          <w:marRight w:val="0"/>
          <w:marTop w:val="0"/>
          <w:marBottom w:val="0"/>
          <w:divBdr>
            <w:top w:val="none" w:sz="0" w:space="0" w:color="auto"/>
            <w:left w:val="none" w:sz="0" w:space="0" w:color="auto"/>
            <w:bottom w:val="none" w:sz="0" w:space="0" w:color="auto"/>
            <w:right w:val="none" w:sz="0" w:space="0" w:color="auto"/>
          </w:divBdr>
        </w:div>
      </w:divsChild>
    </w:div>
    <w:div w:id="789663771">
      <w:bodyDiv w:val="1"/>
      <w:marLeft w:val="0"/>
      <w:marRight w:val="0"/>
      <w:marTop w:val="0"/>
      <w:marBottom w:val="0"/>
      <w:divBdr>
        <w:top w:val="none" w:sz="0" w:space="0" w:color="auto"/>
        <w:left w:val="none" w:sz="0" w:space="0" w:color="auto"/>
        <w:bottom w:val="none" w:sz="0" w:space="0" w:color="auto"/>
        <w:right w:val="none" w:sz="0" w:space="0" w:color="auto"/>
      </w:divBdr>
      <w:divsChild>
        <w:div w:id="920063255">
          <w:marLeft w:val="0"/>
          <w:marRight w:val="0"/>
          <w:marTop w:val="0"/>
          <w:marBottom w:val="0"/>
          <w:divBdr>
            <w:top w:val="none" w:sz="0" w:space="0" w:color="auto"/>
            <w:left w:val="none" w:sz="0" w:space="0" w:color="auto"/>
            <w:bottom w:val="none" w:sz="0" w:space="0" w:color="auto"/>
            <w:right w:val="none" w:sz="0" w:space="0" w:color="auto"/>
          </w:divBdr>
          <w:divsChild>
            <w:div w:id="1407919174">
              <w:marLeft w:val="0"/>
              <w:marRight w:val="0"/>
              <w:marTop w:val="0"/>
              <w:marBottom w:val="0"/>
              <w:divBdr>
                <w:top w:val="none" w:sz="0" w:space="0" w:color="auto"/>
                <w:left w:val="none" w:sz="0" w:space="0" w:color="auto"/>
                <w:bottom w:val="none" w:sz="0" w:space="0" w:color="auto"/>
                <w:right w:val="none" w:sz="0" w:space="0" w:color="auto"/>
              </w:divBdr>
              <w:divsChild>
                <w:div w:id="51468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584724">
      <w:bodyDiv w:val="1"/>
      <w:marLeft w:val="0"/>
      <w:marRight w:val="0"/>
      <w:marTop w:val="0"/>
      <w:marBottom w:val="0"/>
      <w:divBdr>
        <w:top w:val="none" w:sz="0" w:space="0" w:color="auto"/>
        <w:left w:val="none" w:sz="0" w:space="0" w:color="auto"/>
        <w:bottom w:val="none" w:sz="0" w:space="0" w:color="auto"/>
        <w:right w:val="none" w:sz="0" w:space="0" w:color="auto"/>
      </w:divBdr>
      <w:divsChild>
        <w:div w:id="1787115965">
          <w:marLeft w:val="0"/>
          <w:marRight w:val="0"/>
          <w:marTop w:val="0"/>
          <w:marBottom w:val="0"/>
          <w:divBdr>
            <w:top w:val="none" w:sz="0" w:space="0" w:color="auto"/>
            <w:left w:val="none" w:sz="0" w:space="0" w:color="auto"/>
            <w:bottom w:val="none" w:sz="0" w:space="0" w:color="auto"/>
            <w:right w:val="none" w:sz="0" w:space="0" w:color="auto"/>
          </w:divBdr>
        </w:div>
      </w:divsChild>
    </w:div>
    <w:div w:id="830875106">
      <w:bodyDiv w:val="1"/>
      <w:marLeft w:val="0"/>
      <w:marRight w:val="0"/>
      <w:marTop w:val="0"/>
      <w:marBottom w:val="0"/>
      <w:divBdr>
        <w:top w:val="none" w:sz="0" w:space="0" w:color="auto"/>
        <w:left w:val="none" w:sz="0" w:space="0" w:color="auto"/>
        <w:bottom w:val="none" w:sz="0" w:space="0" w:color="auto"/>
        <w:right w:val="none" w:sz="0" w:space="0" w:color="auto"/>
      </w:divBdr>
      <w:divsChild>
        <w:div w:id="1930919009">
          <w:marLeft w:val="0"/>
          <w:marRight w:val="0"/>
          <w:marTop w:val="0"/>
          <w:marBottom w:val="0"/>
          <w:divBdr>
            <w:top w:val="none" w:sz="0" w:space="0" w:color="auto"/>
            <w:left w:val="none" w:sz="0" w:space="0" w:color="auto"/>
            <w:bottom w:val="none" w:sz="0" w:space="0" w:color="auto"/>
            <w:right w:val="none" w:sz="0" w:space="0" w:color="auto"/>
          </w:divBdr>
        </w:div>
      </w:divsChild>
    </w:div>
    <w:div w:id="853156303">
      <w:bodyDiv w:val="1"/>
      <w:marLeft w:val="0"/>
      <w:marRight w:val="0"/>
      <w:marTop w:val="0"/>
      <w:marBottom w:val="0"/>
      <w:divBdr>
        <w:top w:val="none" w:sz="0" w:space="0" w:color="auto"/>
        <w:left w:val="none" w:sz="0" w:space="0" w:color="auto"/>
        <w:bottom w:val="none" w:sz="0" w:space="0" w:color="auto"/>
        <w:right w:val="none" w:sz="0" w:space="0" w:color="auto"/>
      </w:divBdr>
      <w:divsChild>
        <w:div w:id="1927808989">
          <w:marLeft w:val="0"/>
          <w:marRight w:val="0"/>
          <w:marTop w:val="0"/>
          <w:marBottom w:val="0"/>
          <w:divBdr>
            <w:top w:val="none" w:sz="0" w:space="0" w:color="auto"/>
            <w:left w:val="none" w:sz="0" w:space="0" w:color="auto"/>
            <w:bottom w:val="none" w:sz="0" w:space="0" w:color="auto"/>
            <w:right w:val="none" w:sz="0" w:space="0" w:color="auto"/>
          </w:divBdr>
        </w:div>
      </w:divsChild>
    </w:div>
    <w:div w:id="868496831">
      <w:bodyDiv w:val="1"/>
      <w:marLeft w:val="0"/>
      <w:marRight w:val="0"/>
      <w:marTop w:val="0"/>
      <w:marBottom w:val="0"/>
      <w:divBdr>
        <w:top w:val="none" w:sz="0" w:space="0" w:color="auto"/>
        <w:left w:val="none" w:sz="0" w:space="0" w:color="auto"/>
        <w:bottom w:val="none" w:sz="0" w:space="0" w:color="auto"/>
        <w:right w:val="none" w:sz="0" w:space="0" w:color="auto"/>
      </w:divBdr>
      <w:divsChild>
        <w:div w:id="2045516653">
          <w:marLeft w:val="0"/>
          <w:marRight w:val="0"/>
          <w:marTop w:val="0"/>
          <w:marBottom w:val="0"/>
          <w:divBdr>
            <w:top w:val="none" w:sz="0" w:space="0" w:color="auto"/>
            <w:left w:val="none" w:sz="0" w:space="0" w:color="auto"/>
            <w:bottom w:val="none" w:sz="0" w:space="0" w:color="auto"/>
            <w:right w:val="none" w:sz="0" w:space="0" w:color="auto"/>
          </w:divBdr>
        </w:div>
      </w:divsChild>
    </w:div>
    <w:div w:id="881013252">
      <w:bodyDiv w:val="1"/>
      <w:marLeft w:val="0"/>
      <w:marRight w:val="0"/>
      <w:marTop w:val="0"/>
      <w:marBottom w:val="0"/>
      <w:divBdr>
        <w:top w:val="none" w:sz="0" w:space="0" w:color="auto"/>
        <w:left w:val="none" w:sz="0" w:space="0" w:color="auto"/>
        <w:bottom w:val="none" w:sz="0" w:space="0" w:color="auto"/>
        <w:right w:val="none" w:sz="0" w:space="0" w:color="auto"/>
      </w:divBdr>
      <w:divsChild>
        <w:div w:id="741828066">
          <w:marLeft w:val="0"/>
          <w:marRight w:val="0"/>
          <w:marTop w:val="0"/>
          <w:marBottom w:val="0"/>
          <w:divBdr>
            <w:top w:val="none" w:sz="0" w:space="0" w:color="auto"/>
            <w:left w:val="none" w:sz="0" w:space="0" w:color="auto"/>
            <w:bottom w:val="none" w:sz="0" w:space="0" w:color="auto"/>
            <w:right w:val="none" w:sz="0" w:space="0" w:color="auto"/>
          </w:divBdr>
        </w:div>
      </w:divsChild>
    </w:div>
    <w:div w:id="917715580">
      <w:bodyDiv w:val="1"/>
      <w:marLeft w:val="0"/>
      <w:marRight w:val="0"/>
      <w:marTop w:val="0"/>
      <w:marBottom w:val="0"/>
      <w:divBdr>
        <w:top w:val="none" w:sz="0" w:space="0" w:color="auto"/>
        <w:left w:val="none" w:sz="0" w:space="0" w:color="auto"/>
        <w:bottom w:val="none" w:sz="0" w:space="0" w:color="auto"/>
        <w:right w:val="none" w:sz="0" w:space="0" w:color="auto"/>
      </w:divBdr>
      <w:divsChild>
        <w:div w:id="1117024012">
          <w:marLeft w:val="0"/>
          <w:marRight w:val="0"/>
          <w:marTop w:val="0"/>
          <w:marBottom w:val="0"/>
          <w:divBdr>
            <w:top w:val="none" w:sz="0" w:space="0" w:color="auto"/>
            <w:left w:val="none" w:sz="0" w:space="0" w:color="auto"/>
            <w:bottom w:val="none" w:sz="0" w:space="0" w:color="auto"/>
            <w:right w:val="none" w:sz="0" w:space="0" w:color="auto"/>
          </w:divBdr>
        </w:div>
      </w:divsChild>
    </w:div>
    <w:div w:id="929003762">
      <w:bodyDiv w:val="1"/>
      <w:marLeft w:val="0"/>
      <w:marRight w:val="0"/>
      <w:marTop w:val="0"/>
      <w:marBottom w:val="0"/>
      <w:divBdr>
        <w:top w:val="none" w:sz="0" w:space="0" w:color="auto"/>
        <w:left w:val="none" w:sz="0" w:space="0" w:color="auto"/>
        <w:bottom w:val="none" w:sz="0" w:space="0" w:color="auto"/>
        <w:right w:val="none" w:sz="0" w:space="0" w:color="auto"/>
      </w:divBdr>
      <w:divsChild>
        <w:div w:id="265575789">
          <w:marLeft w:val="0"/>
          <w:marRight w:val="0"/>
          <w:marTop w:val="0"/>
          <w:marBottom w:val="0"/>
          <w:divBdr>
            <w:top w:val="none" w:sz="0" w:space="0" w:color="auto"/>
            <w:left w:val="none" w:sz="0" w:space="0" w:color="auto"/>
            <w:bottom w:val="none" w:sz="0" w:space="0" w:color="auto"/>
            <w:right w:val="none" w:sz="0" w:space="0" w:color="auto"/>
          </w:divBdr>
        </w:div>
      </w:divsChild>
    </w:div>
    <w:div w:id="930968874">
      <w:bodyDiv w:val="1"/>
      <w:marLeft w:val="0"/>
      <w:marRight w:val="0"/>
      <w:marTop w:val="0"/>
      <w:marBottom w:val="0"/>
      <w:divBdr>
        <w:top w:val="none" w:sz="0" w:space="0" w:color="auto"/>
        <w:left w:val="none" w:sz="0" w:space="0" w:color="auto"/>
        <w:bottom w:val="none" w:sz="0" w:space="0" w:color="auto"/>
        <w:right w:val="none" w:sz="0" w:space="0" w:color="auto"/>
      </w:divBdr>
      <w:divsChild>
        <w:div w:id="1216962842">
          <w:marLeft w:val="0"/>
          <w:marRight w:val="0"/>
          <w:marTop w:val="0"/>
          <w:marBottom w:val="0"/>
          <w:divBdr>
            <w:top w:val="none" w:sz="0" w:space="0" w:color="auto"/>
            <w:left w:val="none" w:sz="0" w:space="0" w:color="auto"/>
            <w:bottom w:val="none" w:sz="0" w:space="0" w:color="auto"/>
            <w:right w:val="none" w:sz="0" w:space="0" w:color="auto"/>
          </w:divBdr>
        </w:div>
      </w:divsChild>
    </w:div>
    <w:div w:id="946041478">
      <w:bodyDiv w:val="1"/>
      <w:marLeft w:val="0"/>
      <w:marRight w:val="0"/>
      <w:marTop w:val="0"/>
      <w:marBottom w:val="0"/>
      <w:divBdr>
        <w:top w:val="none" w:sz="0" w:space="0" w:color="auto"/>
        <w:left w:val="none" w:sz="0" w:space="0" w:color="auto"/>
        <w:bottom w:val="none" w:sz="0" w:space="0" w:color="auto"/>
        <w:right w:val="none" w:sz="0" w:space="0" w:color="auto"/>
      </w:divBdr>
      <w:divsChild>
        <w:div w:id="132141413">
          <w:marLeft w:val="0"/>
          <w:marRight w:val="0"/>
          <w:marTop w:val="0"/>
          <w:marBottom w:val="0"/>
          <w:divBdr>
            <w:top w:val="none" w:sz="0" w:space="0" w:color="auto"/>
            <w:left w:val="none" w:sz="0" w:space="0" w:color="auto"/>
            <w:bottom w:val="none" w:sz="0" w:space="0" w:color="auto"/>
            <w:right w:val="none" w:sz="0" w:space="0" w:color="auto"/>
          </w:divBdr>
        </w:div>
      </w:divsChild>
    </w:div>
    <w:div w:id="949505725">
      <w:bodyDiv w:val="1"/>
      <w:marLeft w:val="0"/>
      <w:marRight w:val="0"/>
      <w:marTop w:val="0"/>
      <w:marBottom w:val="0"/>
      <w:divBdr>
        <w:top w:val="none" w:sz="0" w:space="0" w:color="auto"/>
        <w:left w:val="none" w:sz="0" w:space="0" w:color="auto"/>
        <w:bottom w:val="none" w:sz="0" w:space="0" w:color="auto"/>
        <w:right w:val="none" w:sz="0" w:space="0" w:color="auto"/>
      </w:divBdr>
      <w:divsChild>
        <w:div w:id="1210456107">
          <w:marLeft w:val="0"/>
          <w:marRight w:val="0"/>
          <w:marTop w:val="0"/>
          <w:marBottom w:val="0"/>
          <w:divBdr>
            <w:top w:val="none" w:sz="0" w:space="0" w:color="auto"/>
            <w:left w:val="none" w:sz="0" w:space="0" w:color="auto"/>
            <w:bottom w:val="none" w:sz="0" w:space="0" w:color="auto"/>
            <w:right w:val="none" w:sz="0" w:space="0" w:color="auto"/>
          </w:divBdr>
        </w:div>
      </w:divsChild>
    </w:div>
    <w:div w:id="954482514">
      <w:bodyDiv w:val="1"/>
      <w:marLeft w:val="0"/>
      <w:marRight w:val="0"/>
      <w:marTop w:val="0"/>
      <w:marBottom w:val="0"/>
      <w:divBdr>
        <w:top w:val="none" w:sz="0" w:space="0" w:color="auto"/>
        <w:left w:val="none" w:sz="0" w:space="0" w:color="auto"/>
        <w:bottom w:val="none" w:sz="0" w:space="0" w:color="auto"/>
        <w:right w:val="none" w:sz="0" w:space="0" w:color="auto"/>
      </w:divBdr>
      <w:divsChild>
        <w:div w:id="1485466940">
          <w:marLeft w:val="0"/>
          <w:marRight w:val="0"/>
          <w:marTop w:val="0"/>
          <w:marBottom w:val="0"/>
          <w:divBdr>
            <w:top w:val="none" w:sz="0" w:space="0" w:color="auto"/>
            <w:left w:val="none" w:sz="0" w:space="0" w:color="auto"/>
            <w:bottom w:val="none" w:sz="0" w:space="0" w:color="auto"/>
            <w:right w:val="none" w:sz="0" w:space="0" w:color="auto"/>
          </w:divBdr>
        </w:div>
      </w:divsChild>
    </w:div>
    <w:div w:id="955676822">
      <w:bodyDiv w:val="1"/>
      <w:marLeft w:val="0"/>
      <w:marRight w:val="0"/>
      <w:marTop w:val="0"/>
      <w:marBottom w:val="0"/>
      <w:divBdr>
        <w:top w:val="none" w:sz="0" w:space="0" w:color="auto"/>
        <w:left w:val="none" w:sz="0" w:space="0" w:color="auto"/>
        <w:bottom w:val="none" w:sz="0" w:space="0" w:color="auto"/>
        <w:right w:val="none" w:sz="0" w:space="0" w:color="auto"/>
      </w:divBdr>
      <w:divsChild>
        <w:div w:id="340089523">
          <w:marLeft w:val="0"/>
          <w:marRight w:val="0"/>
          <w:marTop w:val="0"/>
          <w:marBottom w:val="0"/>
          <w:divBdr>
            <w:top w:val="none" w:sz="0" w:space="0" w:color="auto"/>
            <w:left w:val="none" w:sz="0" w:space="0" w:color="auto"/>
            <w:bottom w:val="none" w:sz="0" w:space="0" w:color="auto"/>
            <w:right w:val="none" w:sz="0" w:space="0" w:color="auto"/>
          </w:divBdr>
        </w:div>
      </w:divsChild>
    </w:div>
    <w:div w:id="972712094">
      <w:bodyDiv w:val="1"/>
      <w:marLeft w:val="0"/>
      <w:marRight w:val="0"/>
      <w:marTop w:val="0"/>
      <w:marBottom w:val="0"/>
      <w:divBdr>
        <w:top w:val="none" w:sz="0" w:space="0" w:color="auto"/>
        <w:left w:val="none" w:sz="0" w:space="0" w:color="auto"/>
        <w:bottom w:val="none" w:sz="0" w:space="0" w:color="auto"/>
        <w:right w:val="none" w:sz="0" w:space="0" w:color="auto"/>
      </w:divBdr>
      <w:divsChild>
        <w:div w:id="108281702">
          <w:marLeft w:val="0"/>
          <w:marRight w:val="0"/>
          <w:marTop w:val="0"/>
          <w:marBottom w:val="0"/>
          <w:divBdr>
            <w:top w:val="none" w:sz="0" w:space="0" w:color="auto"/>
            <w:left w:val="none" w:sz="0" w:space="0" w:color="auto"/>
            <w:bottom w:val="none" w:sz="0" w:space="0" w:color="auto"/>
            <w:right w:val="none" w:sz="0" w:space="0" w:color="auto"/>
          </w:divBdr>
        </w:div>
      </w:divsChild>
    </w:div>
    <w:div w:id="985282392">
      <w:bodyDiv w:val="1"/>
      <w:marLeft w:val="0"/>
      <w:marRight w:val="0"/>
      <w:marTop w:val="0"/>
      <w:marBottom w:val="0"/>
      <w:divBdr>
        <w:top w:val="none" w:sz="0" w:space="0" w:color="auto"/>
        <w:left w:val="none" w:sz="0" w:space="0" w:color="auto"/>
        <w:bottom w:val="none" w:sz="0" w:space="0" w:color="auto"/>
        <w:right w:val="none" w:sz="0" w:space="0" w:color="auto"/>
      </w:divBdr>
      <w:divsChild>
        <w:div w:id="2116437669">
          <w:marLeft w:val="0"/>
          <w:marRight w:val="0"/>
          <w:marTop w:val="0"/>
          <w:marBottom w:val="0"/>
          <w:divBdr>
            <w:top w:val="none" w:sz="0" w:space="0" w:color="auto"/>
            <w:left w:val="none" w:sz="0" w:space="0" w:color="auto"/>
            <w:bottom w:val="none" w:sz="0" w:space="0" w:color="auto"/>
            <w:right w:val="none" w:sz="0" w:space="0" w:color="auto"/>
          </w:divBdr>
        </w:div>
      </w:divsChild>
    </w:div>
    <w:div w:id="986208693">
      <w:bodyDiv w:val="1"/>
      <w:marLeft w:val="0"/>
      <w:marRight w:val="0"/>
      <w:marTop w:val="0"/>
      <w:marBottom w:val="0"/>
      <w:divBdr>
        <w:top w:val="none" w:sz="0" w:space="0" w:color="auto"/>
        <w:left w:val="none" w:sz="0" w:space="0" w:color="auto"/>
        <w:bottom w:val="none" w:sz="0" w:space="0" w:color="auto"/>
        <w:right w:val="none" w:sz="0" w:space="0" w:color="auto"/>
      </w:divBdr>
    </w:div>
    <w:div w:id="1012609304">
      <w:bodyDiv w:val="1"/>
      <w:marLeft w:val="0"/>
      <w:marRight w:val="0"/>
      <w:marTop w:val="0"/>
      <w:marBottom w:val="0"/>
      <w:divBdr>
        <w:top w:val="none" w:sz="0" w:space="0" w:color="auto"/>
        <w:left w:val="none" w:sz="0" w:space="0" w:color="auto"/>
        <w:bottom w:val="none" w:sz="0" w:space="0" w:color="auto"/>
        <w:right w:val="none" w:sz="0" w:space="0" w:color="auto"/>
      </w:divBdr>
      <w:divsChild>
        <w:div w:id="57480262">
          <w:marLeft w:val="0"/>
          <w:marRight w:val="0"/>
          <w:marTop w:val="0"/>
          <w:marBottom w:val="0"/>
          <w:divBdr>
            <w:top w:val="none" w:sz="0" w:space="0" w:color="auto"/>
            <w:left w:val="none" w:sz="0" w:space="0" w:color="auto"/>
            <w:bottom w:val="none" w:sz="0" w:space="0" w:color="auto"/>
            <w:right w:val="none" w:sz="0" w:space="0" w:color="auto"/>
          </w:divBdr>
        </w:div>
      </w:divsChild>
    </w:div>
    <w:div w:id="1023483905">
      <w:bodyDiv w:val="1"/>
      <w:marLeft w:val="0"/>
      <w:marRight w:val="0"/>
      <w:marTop w:val="0"/>
      <w:marBottom w:val="0"/>
      <w:divBdr>
        <w:top w:val="none" w:sz="0" w:space="0" w:color="auto"/>
        <w:left w:val="none" w:sz="0" w:space="0" w:color="auto"/>
        <w:bottom w:val="none" w:sz="0" w:space="0" w:color="auto"/>
        <w:right w:val="none" w:sz="0" w:space="0" w:color="auto"/>
      </w:divBdr>
      <w:divsChild>
        <w:div w:id="1859735666">
          <w:marLeft w:val="0"/>
          <w:marRight w:val="0"/>
          <w:marTop w:val="0"/>
          <w:marBottom w:val="0"/>
          <w:divBdr>
            <w:top w:val="none" w:sz="0" w:space="0" w:color="auto"/>
            <w:left w:val="none" w:sz="0" w:space="0" w:color="auto"/>
            <w:bottom w:val="none" w:sz="0" w:space="0" w:color="auto"/>
            <w:right w:val="none" w:sz="0" w:space="0" w:color="auto"/>
          </w:divBdr>
        </w:div>
      </w:divsChild>
    </w:div>
    <w:div w:id="1039282393">
      <w:bodyDiv w:val="1"/>
      <w:marLeft w:val="0"/>
      <w:marRight w:val="0"/>
      <w:marTop w:val="0"/>
      <w:marBottom w:val="0"/>
      <w:divBdr>
        <w:top w:val="none" w:sz="0" w:space="0" w:color="auto"/>
        <w:left w:val="none" w:sz="0" w:space="0" w:color="auto"/>
        <w:bottom w:val="none" w:sz="0" w:space="0" w:color="auto"/>
        <w:right w:val="none" w:sz="0" w:space="0" w:color="auto"/>
      </w:divBdr>
      <w:divsChild>
        <w:div w:id="2139834701">
          <w:marLeft w:val="0"/>
          <w:marRight w:val="0"/>
          <w:marTop w:val="0"/>
          <w:marBottom w:val="0"/>
          <w:divBdr>
            <w:top w:val="none" w:sz="0" w:space="0" w:color="auto"/>
            <w:left w:val="none" w:sz="0" w:space="0" w:color="auto"/>
            <w:bottom w:val="none" w:sz="0" w:space="0" w:color="auto"/>
            <w:right w:val="none" w:sz="0" w:space="0" w:color="auto"/>
          </w:divBdr>
        </w:div>
      </w:divsChild>
    </w:div>
    <w:div w:id="1053115340">
      <w:bodyDiv w:val="1"/>
      <w:marLeft w:val="0"/>
      <w:marRight w:val="0"/>
      <w:marTop w:val="0"/>
      <w:marBottom w:val="0"/>
      <w:divBdr>
        <w:top w:val="none" w:sz="0" w:space="0" w:color="auto"/>
        <w:left w:val="none" w:sz="0" w:space="0" w:color="auto"/>
        <w:bottom w:val="none" w:sz="0" w:space="0" w:color="auto"/>
        <w:right w:val="none" w:sz="0" w:space="0" w:color="auto"/>
      </w:divBdr>
      <w:divsChild>
        <w:div w:id="2118140794">
          <w:marLeft w:val="0"/>
          <w:marRight w:val="0"/>
          <w:marTop w:val="0"/>
          <w:marBottom w:val="0"/>
          <w:divBdr>
            <w:top w:val="none" w:sz="0" w:space="0" w:color="auto"/>
            <w:left w:val="none" w:sz="0" w:space="0" w:color="auto"/>
            <w:bottom w:val="none" w:sz="0" w:space="0" w:color="auto"/>
            <w:right w:val="none" w:sz="0" w:space="0" w:color="auto"/>
          </w:divBdr>
        </w:div>
      </w:divsChild>
    </w:div>
    <w:div w:id="1077510061">
      <w:bodyDiv w:val="1"/>
      <w:marLeft w:val="0"/>
      <w:marRight w:val="0"/>
      <w:marTop w:val="0"/>
      <w:marBottom w:val="0"/>
      <w:divBdr>
        <w:top w:val="none" w:sz="0" w:space="0" w:color="auto"/>
        <w:left w:val="none" w:sz="0" w:space="0" w:color="auto"/>
        <w:bottom w:val="none" w:sz="0" w:space="0" w:color="auto"/>
        <w:right w:val="none" w:sz="0" w:space="0" w:color="auto"/>
      </w:divBdr>
      <w:divsChild>
        <w:div w:id="930240166">
          <w:marLeft w:val="0"/>
          <w:marRight w:val="0"/>
          <w:marTop w:val="0"/>
          <w:marBottom w:val="0"/>
          <w:divBdr>
            <w:top w:val="none" w:sz="0" w:space="0" w:color="auto"/>
            <w:left w:val="none" w:sz="0" w:space="0" w:color="auto"/>
            <w:bottom w:val="none" w:sz="0" w:space="0" w:color="auto"/>
            <w:right w:val="none" w:sz="0" w:space="0" w:color="auto"/>
          </w:divBdr>
        </w:div>
      </w:divsChild>
    </w:div>
    <w:div w:id="1081100981">
      <w:bodyDiv w:val="1"/>
      <w:marLeft w:val="0"/>
      <w:marRight w:val="0"/>
      <w:marTop w:val="0"/>
      <w:marBottom w:val="0"/>
      <w:divBdr>
        <w:top w:val="none" w:sz="0" w:space="0" w:color="auto"/>
        <w:left w:val="none" w:sz="0" w:space="0" w:color="auto"/>
        <w:bottom w:val="none" w:sz="0" w:space="0" w:color="auto"/>
        <w:right w:val="none" w:sz="0" w:space="0" w:color="auto"/>
      </w:divBdr>
      <w:divsChild>
        <w:div w:id="1609775280">
          <w:marLeft w:val="0"/>
          <w:marRight w:val="0"/>
          <w:marTop w:val="0"/>
          <w:marBottom w:val="0"/>
          <w:divBdr>
            <w:top w:val="none" w:sz="0" w:space="0" w:color="auto"/>
            <w:left w:val="none" w:sz="0" w:space="0" w:color="auto"/>
            <w:bottom w:val="none" w:sz="0" w:space="0" w:color="auto"/>
            <w:right w:val="none" w:sz="0" w:space="0" w:color="auto"/>
          </w:divBdr>
        </w:div>
      </w:divsChild>
    </w:div>
    <w:div w:id="1093940142">
      <w:bodyDiv w:val="1"/>
      <w:marLeft w:val="0"/>
      <w:marRight w:val="0"/>
      <w:marTop w:val="0"/>
      <w:marBottom w:val="0"/>
      <w:divBdr>
        <w:top w:val="none" w:sz="0" w:space="0" w:color="auto"/>
        <w:left w:val="none" w:sz="0" w:space="0" w:color="auto"/>
        <w:bottom w:val="none" w:sz="0" w:space="0" w:color="auto"/>
        <w:right w:val="none" w:sz="0" w:space="0" w:color="auto"/>
      </w:divBdr>
      <w:divsChild>
        <w:div w:id="948196036">
          <w:marLeft w:val="0"/>
          <w:marRight w:val="0"/>
          <w:marTop w:val="0"/>
          <w:marBottom w:val="0"/>
          <w:divBdr>
            <w:top w:val="none" w:sz="0" w:space="0" w:color="auto"/>
            <w:left w:val="none" w:sz="0" w:space="0" w:color="auto"/>
            <w:bottom w:val="none" w:sz="0" w:space="0" w:color="auto"/>
            <w:right w:val="none" w:sz="0" w:space="0" w:color="auto"/>
          </w:divBdr>
        </w:div>
      </w:divsChild>
    </w:div>
    <w:div w:id="1094352771">
      <w:bodyDiv w:val="1"/>
      <w:marLeft w:val="0"/>
      <w:marRight w:val="0"/>
      <w:marTop w:val="0"/>
      <w:marBottom w:val="0"/>
      <w:divBdr>
        <w:top w:val="none" w:sz="0" w:space="0" w:color="auto"/>
        <w:left w:val="none" w:sz="0" w:space="0" w:color="auto"/>
        <w:bottom w:val="none" w:sz="0" w:space="0" w:color="auto"/>
        <w:right w:val="none" w:sz="0" w:space="0" w:color="auto"/>
      </w:divBdr>
      <w:divsChild>
        <w:div w:id="1063337299">
          <w:marLeft w:val="0"/>
          <w:marRight w:val="0"/>
          <w:marTop w:val="0"/>
          <w:marBottom w:val="0"/>
          <w:divBdr>
            <w:top w:val="none" w:sz="0" w:space="0" w:color="auto"/>
            <w:left w:val="none" w:sz="0" w:space="0" w:color="auto"/>
            <w:bottom w:val="none" w:sz="0" w:space="0" w:color="auto"/>
            <w:right w:val="none" w:sz="0" w:space="0" w:color="auto"/>
          </w:divBdr>
        </w:div>
      </w:divsChild>
    </w:div>
    <w:div w:id="1101875833">
      <w:bodyDiv w:val="1"/>
      <w:marLeft w:val="0"/>
      <w:marRight w:val="0"/>
      <w:marTop w:val="0"/>
      <w:marBottom w:val="0"/>
      <w:divBdr>
        <w:top w:val="none" w:sz="0" w:space="0" w:color="auto"/>
        <w:left w:val="none" w:sz="0" w:space="0" w:color="auto"/>
        <w:bottom w:val="none" w:sz="0" w:space="0" w:color="auto"/>
        <w:right w:val="none" w:sz="0" w:space="0" w:color="auto"/>
      </w:divBdr>
      <w:divsChild>
        <w:div w:id="1944872255">
          <w:marLeft w:val="0"/>
          <w:marRight w:val="0"/>
          <w:marTop w:val="0"/>
          <w:marBottom w:val="0"/>
          <w:divBdr>
            <w:top w:val="none" w:sz="0" w:space="0" w:color="auto"/>
            <w:left w:val="none" w:sz="0" w:space="0" w:color="auto"/>
            <w:bottom w:val="none" w:sz="0" w:space="0" w:color="auto"/>
            <w:right w:val="none" w:sz="0" w:space="0" w:color="auto"/>
          </w:divBdr>
        </w:div>
      </w:divsChild>
    </w:div>
    <w:div w:id="1102647127">
      <w:bodyDiv w:val="1"/>
      <w:marLeft w:val="0"/>
      <w:marRight w:val="0"/>
      <w:marTop w:val="0"/>
      <w:marBottom w:val="0"/>
      <w:divBdr>
        <w:top w:val="none" w:sz="0" w:space="0" w:color="auto"/>
        <w:left w:val="none" w:sz="0" w:space="0" w:color="auto"/>
        <w:bottom w:val="none" w:sz="0" w:space="0" w:color="auto"/>
        <w:right w:val="none" w:sz="0" w:space="0" w:color="auto"/>
      </w:divBdr>
    </w:div>
    <w:div w:id="1111895025">
      <w:bodyDiv w:val="1"/>
      <w:marLeft w:val="0"/>
      <w:marRight w:val="0"/>
      <w:marTop w:val="0"/>
      <w:marBottom w:val="0"/>
      <w:divBdr>
        <w:top w:val="none" w:sz="0" w:space="0" w:color="auto"/>
        <w:left w:val="none" w:sz="0" w:space="0" w:color="auto"/>
        <w:bottom w:val="none" w:sz="0" w:space="0" w:color="auto"/>
        <w:right w:val="none" w:sz="0" w:space="0" w:color="auto"/>
      </w:divBdr>
      <w:divsChild>
        <w:div w:id="1549222084">
          <w:marLeft w:val="0"/>
          <w:marRight w:val="0"/>
          <w:marTop w:val="0"/>
          <w:marBottom w:val="0"/>
          <w:divBdr>
            <w:top w:val="none" w:sz="0" w:space="0" w:color="auto"/>
            <w:left w:val="none" w:sz="0" w:space="0" w:color="auto"/>
            <w:bottom w:val="none" w:sz="0" w:space="0" w:color="auto"/>
            <w:right w:val="none" w:sz="0" w:space="0" w:color="auto"/>
          </w:divBdr>
        </w:div>
        <w:div w:id="1213272451">
          <w:marLeft w:val="0"/>
          <w:marRight w:val="0"/>
          <w:marTop w:val="0"/>
          <w:marBottom w:val="0"/>
          <w:divBdr>
            <w:top w:val="none" w:sz="0" w:space="0" w:color="auto"/>
            <w:left w:val="none" w:sz="0" w:space="0" w:color="auto"/>
            <w:bottom w:val="none" w:sz="0" w:space="0" w:color="auto"/>
            <w:right w:val="none" w:sz="0" w:space="0" w:color="auto"/>
          </w:divBdr>
        </w:div>
        <w:div w:id="1269462820">
          <w:marLeft w:val="0"/>
          <w:marRight w:val="0"/>
          <w:marTop w:val="0"/>
          <w:marBottom w:val="0"/>
          <w:divBdr>
            <w:top w:val="none" w:sz="0" w:space="0" w:color="auto"/>
            <w:left w:val="none" w:sz="0" w:space="0" w:color="auto"/>
            <w:bottom w:val="none" w:sz="0" w:space="0" w:color="auto"/>
            <w:right w:val="none" w:sz="0" w:space="0" w:color="auto"/>
          </w:divBdr>
        </w:div>
      </w:divsChild>
    </w:div>
    <w:div w:id="1126658001">
      <w:bodyDiv w:val="1"/>
      <w:marLeft w:val="0"/>
      <w:marRight w:val="0"/>
      <w:marTop w:val="0"/>
      <w:marBottom w:val="0"/>
      <w:divBdr>
        <w:top w:val="none" w:sz="0" w:space="0" w:color="auto"/>
        <w:left w:val="none" w:sz="0" w:space="0" w:color="auto"/>
        <w:bottom w:val="none" w:sz="0" w:space="0" w:color="auto"/>
        <w:right w:val="none" w:sz="0" w:space="0" w:color="auto"/>
      </w:divBdr>
      <w:divsChild>
        <w:div w:id="999239725">
          <w:marLeft w:val="0"/>
          <w:marRight w:val="0"/>
          <w:marTop w:val="0"/>
          <w:marBottom w:val="0"/>
          <w:divBdr>
            <w:top w:val="none" w:sz="0" w:space="0" w:color="auto"/>
            <w:left w:val="none" w:sz="0" w:space="0" w:color="auto"/>
            <w:bottom w:val="none" w:sz="0" w:space="0" w:color="auto"/>
            <w:right w:val="none" w:sz="0" w:space="0" w:color="auto"/>
          </w:divBdr>
        </w:div>
      </w:divsChild>
    </w:div>
    <w:div w:id="1140001976">
      <w:bodyDiv w:val="1"/>
      <w:marLeft w:val="0"/>
      <w:marRight w:val="0"/>
      <w:marTop w:val="0"/>
      <w:marBottom w:val="0"/>
      <w:divBdr>
        <w:top w:val="none" w:sz="0" w:space="0" w:color="auto"/>
        <w:left w:val="none" w:sz="0" w:space="0" w:color="auto"/>
        <w:bottom w:val="none" w:sz="0" w:space="0" w:color="auto"/>
        <w:right w:val="none" w:sz="0" w:space="0" w:color="auto"/>
      </w:divBdr>
      <w:divsChild>
        <w:div w:id="945769813">
          <w:marLeft w:val="0"/>
          <w:marRight w:val="0"/>
          <w:marTop w:val="0"/>
          <w:marBottom w:val="0"/>
          <w:divBdr>
            <w:top w:val="none" w:sz="0" w:space="0" w:color="auto"/>
            <w:left w:val="none" w:sz="0" w:space="0" w:color="auto"/>
            <w:bottom w:val="none" w:sz="0" w:space="0" w:color="auto"/>
            <w:right w:val="none" w:sz="0" w:space="0" w:color="auto"/>
          </w:divBdr>
        </w:div>
      </w:divsChild>
    </w:div>
    <w:div w:id="1155410601">
      <w:bodyDiv w:val="1"/>
      <w:marLeft w:val="0"/>
      <w:marRight w:val="0"/>
      <w:marTop w:val="0"/>
      <w:marBottom w:val="0"/>
      <w:divBdr>
        <w:top w:val="none" w:sz="0" w:space="0" w:color="auto"/>
        <w:left w:val="none" w:sz="0" w:space="0" w:color="auto"/>
        <w:bottom w:val="none" w:sz="0" w:space="0" w:color="auto"/>
        <w:right w:val="none" w:sz="0" w:space="0" w:color="auto"/>
      </w:divBdr>
      <w:divsChild>
        <w:div w:id="1460612661">
          <w:marLeft w:val="0"/>
          <w:marRight w:val="0"/>
          <w:marTop w:val="0"/>
          <w:marBottom w:val="0"/>
          <w:divBdr>
            <w:top w:val="none" w:sz="0" w:space="0" w:color="auto"/>
            <w:left w:val="none" w:sz="0" w:space="0" w:color="auto"/>
            <w:bottom w:val="none" w:sz="0" w:space="0" w:color="auto"/>
            <w:right w:val="none" w:sz="0" w:space="0" w:color="auto"/>
          </w:divBdr>
        </w:div>
      </w:divsChild>
    </w:div>
    <w:div w:id="1157064601">
      <w:bodyDiv w:val="1"/>
      <w:marLeft w:val="0"/>
      <w:marRight w:val="0"/>
      <w:marTop w:val="0"/>
      <w:marBottom w:val="0"/>
      <w:divBdr>
        <w:top w:val="none" w:sz="0" w:space="0" w:color="auto"/>
        <w:left w:val="none" w:sz="0" w:space="0" w:color="auto"/>
        <w:bottom w:val="none" w:sz="0" w:space="0" w:color="auto"/>
        <w:right w:val="none" w:sz="0" w:space="0" w:color="auto"/>
      </w:divBdr>
      <w:divsChild>
        <w:div w:id="206261902">
          <w:marLeft w:val="0"/>
          <w:marRight w:val="0"/>
          <w:marTop w:val="0"/>
          <w:marBottom w:val="0"/>
          <w:divBdr>
            <w:top w:val="none" w:sz="0" w:space="0" w:color="auto"/>
            <w:left w:val="none" w:sz="0" w:space="0" w:color="auto"/>
            <w:bottom w:val="none" w:sz="0" w:space="0" w:color="auto"/>
            <w:right w:val="none" w:sz="0" w:space="0" w:color="auto"/>
          </w:divBdr>
        </w:div>
      </w:divsChild>
    </w:div>
    <w:div w:id="1157264091">
      <w:bodyDiv w:val="1"/>
      <w:marLeft w:val="0"/>
      <w:marRight w:val="0"/>
      <w:marTop w:val="0"/>
      <w:marBottom w:val="0"/>
      <w:divBdr>
        <w:top w:val="none" w:sz="0" w:space="0" w:color="auto"/>
        <w:left w:val="none" w:sz="0" w:space="0" w:color="auto"/>
        <w:bottom w:val="none" w:sz="0" w:space="0" w:color="auto"/>
        <w:right w:val="none" w:sz="0" w:space="0" w:color="auto"/>
      </w:divBdr>
      <w:divsChild>
        <w:div w:id="987242723">
          <w:marLeft w:val="0"/>
          <w:marRight w:val="0"/>
          <w:marTop w:val="0"/>
          <w:marBottom w:val="0"/>
          <w:divBdr>
            <w:top w:val="none" w:sz="0" w:space="0" w:color="auto"/>
            <w:left w:val="none" w:sz="0" w:space="0" w:color="auto"/>
            <w:bottom w:val="none" w:sz="0" w:space="0" w:color="auto"/>
            <w:right w:val="none" w:sz="0" w:space="0" w:color="auto"/>
          </w:divBdr>
        </w:div>
      </w:divsChild>
    </w:div>
    <w:div w:id="1158611808">
      <w:bodyDiv w:val="1"/>
      <w:marLeft w:val="0"/>
      <w:marRight w:val="0"/>
      <w:marTop w:val="0"/>
      <w:marBottom w:val="0"/>
      <w:divBdr>
        <w:top w:val="none" w:sz="0" w:space="0" w:color="auto"/>
        <w:left w:val="none" w:sz="0" w:space="0" w:color="auto"/>
        <w:bottom w:val="none" w:sz="0" w:space="0" w:color="auto"/>
        <w:right w:val="none" w:sz="0" w:space="0" w:color="auto"/>
      </w:divBdr>
      <w:divsChild>
        <w:div w:id="704675130">
          <w:marLeft w:val="0"/>
          <w:marRight w:val="0"/>
          <w:marTop w:val="0"/>
          <w:marBottom w:val="0"/>
          <w:divBdr>
            <w:top w:val="none" w:sz="0" w:space="0" w:color="auto"/>
            <w:left w:val="none" w:sz="0" w:space="0" w:color="auto"/>
            <w:bottom w:val="none" w:sz="0" w:space="0" w:color="auto"/>
            <w:right w:val="none" w:sz="0" w:space="0" w:color="auto"/>
          </w:divBdr>
        </w:div>
      </w:divsChild>
    </w:div>
    <w:div w:id="1164466405">
      <w:bodyDiv w:val="1"/>
      <w:marLeft w:val="0"/>
      <w:marRight w:val="0"/>
      <w:marTop w:val="0"/>
      <w:marBottom w:val="0"/>
      <w:divBdr>
        <w:top w:val="none" w:sz="0" w:space="0" w:color="auto"/>
        <w:left w:val="none" w:sz="0" w:space="0" w:color="auto"/>
        <w:bottom w:val="none" w:sz="0" w:space="0" w:color="auto"/>
        <w:right w:val="none" w:sz="0" w:space="0" w:color="auto"/>
      </w:divBdr>
      <w:divsChild>
        <w:div w:id="1136872762">
          <w:marLeft w:val="0"/>
          <w:marRight w:val="0"/>
          <w:marTop w:val="0"/>
          <w:marBottom w:val="0"/>
          <w:divBdr>
            <w:top w:val="none" w:sz="0" w:space="0" w:color="auto"/>
            <w:left w:val="none" w:sz="0" w:space="0" w:color="auto"/>
            <w:bottom w:val="none" w:sz="0" w:space="0" w:color="auto"/>
            <w:right w:val="none" w:sz="0" w:space="0" w:color="auto"/>
          </w:divBdr>
        </w:div>
      </w:divsChild>
    </w:div>
    <w:div w:id="1169517841">
      <w:bodyDiv w:val="1"/>
      <w:marLeft w:val="0"/>
      <w:marRight w:val="0"/>
      <w:marTop w:val="0"/>
      <w:marBottom w:val="0"/>
      <w:divBdr>
        <w:top w:val="none" w:sz="0" w:space="0" w:color="auto"/>
        <w:left w:val="none" w:sz="0" w:space="0" w:color="auto"/>
        <w:bottom w:val="none" w:sz="0" w:space="0" w:color="auto"/>
        <w:right w:val="none" w:sz="0" w:space="0" w:color="auto"/>
      </w:divBdr>
      <w:divsChild>
        <w:div w:id="1251890874">
          <w:marLeft w:val="0"/>
          <w:marRight w:val="0"/>
          <w:marTop w:val="0"/>
          <w:marBottom w:val="0"/>
          <w:divBdr>
            <w:top w:val="none" w:sz="0" w:space="0" w:color="auto"/>
            <w:left w:val="none" w:sz="0" w:space="0" w:color="auto"/>
            <w:bottom w:val="none" w:sz="0" w:space="0" w:color="auto"/>
            <w:right w:val="none" w:sz="0" w:space="0" w:color="auto"/>
          </w:divBdr>
        </w:div>
      </w:divsChild>
    </w:div>
    <w:div w:id="1170873191">
      <w:bodyDiv w:val="1"/>
      <w:marLeft w:val="0"/>
      <w:marRight w:val="0"/>
      <w:marTop w:val="0"/>
      <w:marBottom w:val="0"/>
      <w:divBdr>
        <w:top w:val="none" w:sz="0" w:space="0" w:color="auto"/>
        <w:left w:val="none" w:sz="0" w:space="0" w:color="auto"/>
        <w:bottom w:val="none" w:sz="0" w:space="0" w:color="auto"/>
        <w:right w:val="none" w:sz="0" w:space="0" w:color="auto"/>
      </w:divBdr>
    </w:div>
    <w:div w:id="1174489377">
      <w:bodyDiv w:val="1"/>
      <w:marLeft w:val="0"/>
      <w:marRight w:val="0"/>
      <w:marTop w:val="0"/>
      <w:marBottom w:val="0"/>
      <w:divBdr>
        <w:top w:val="none" w:sz="0" w:space="0" w:color="auto"/>
        <w:left w:val="none" w:sz="0" w:space="0" w:color="auto"/>
        <w:bottom w:val="none" w:sz="0" w:space="0" w:color="auto"/>
        <w:right w:val="none" w:sz="0" w:space="0" w:color="auto"/>
      </w:divBdr>
    </w:div>
    <w:div w:id="1175534249">
      <w:bodyDiv w:val="1"/>
      <w:marLeft w:val="0"/>
      <w:marRight w:val="0"/>
      <w:marTop w:val="0"/>
      <w:marBottom w:val="0"/>
      <w:divBdr>
        <w:top w:val="none" w:sz="0" w:space="0" w:color="auto"/>
        <w:left w:val="none" w:sz="0" w:space="0" w:color="auto"/>
        <w:bottom w:val="none" w:sz="0" w:space="0" w:color="auto"/>
        <w:right w:val="none" w:sz="0" w:space="0" w:color="auto"/>
      </w:divBdr>
      <w:divsChild>
        <w:div w:id="1647969385">
          <w:marLeft w:val="0"/>
          <w:marRight w:val="0"/>
          <w:marTop w:val="0"/>
          <w:marBottom w:val="0"/>
          <w:divBdr>
            <w:top w:val="none" w:sz="0" w:space="0" w:color="auto"/>
            <w:left w:val="none" w:sz="0" w:space="0" w:color="auto"/>
            <w:bottom w:val="none" w:sz="0" w:space="0" w:color="auto"/>
            <w:right w:val="none" w:sz="0" w:space="0" w:color="auto"/>
          </w:divBdr>
        </w:div>
      </w:divsChild>
    </w:div>
    <w:div w:id="1176916283">
      <w:bodyDiv w:val="1"/>
      <w:marLeft w:val="0"/>
      <w:marRight w:val="0"/>
      <w:marTop w:val="0"/>
      <w:marBottom w:val="0"/>
      <w:divBdr>
        <w:top w:val="none" w:sz="0" w:space="0" w:color="auto"/>
        <w:left w:val="none" w:sz="0" w:space="0" w:color="auto"/>
        <w:bottom w:val="none" w:sz="0" w:space="0" w:color="auto"/>
        <w:right w:val="none" w:sz="0" w:space="0" w:color="auto"/>
      </w:divBdr>
      <w:divsChild>
        <w:div w:id="857163566">
          <w:marLeft w:val="0"/>
          <w:marRight w:val="0"/>
          <w:marTop w:val="0"/>
          <w:marBottom w:val="0"/>
          <w:divBdr>
            <w:top w:val="none" w:sz="0" w:space="0" w:color="auto"/>
            <w:left w:val="none" w:sz="0" w:space="0" w:color="auto"/>
            <w:bottom w:val="none" w:sz="0" w:space="0" w:color="auto"/>
            <w:right w:val="none" w:sz="0" w:space="0" w:color="auto"/>
          </w:divBdr>
        </w:div>
      </w:divsChild>
    </w:div>
    <w:div w:id="1185359357">
      <w:bodyDiv w:val="1"/>
      <w:marLeft w:val="0"/>
      <w:marRight w:val="0"/>
      <w:marTop w:val="0"/>
      <w:marBottom w:val="0"/>
      <w:divBdr>
        <w:top w:val="none" w:sz="0" w:space="0" w:color="auto"/>
        <w:left w:val="none" w:sz="0" w:space="0" w:color="auto"/>
        <w:bottom w:val="none" w:sz="0" w:space="0" w:color="auto"/>
        <w:right w:val="none" w:sz="0" w:space="0" w:color="auto"/>
      </w:divBdr>
      <w:divsChild>
        <w:div w:id="1273827618">
          <w:marLeft w:val="0"/>
          <w:marRight w:val="0"/>
          <w:marTop w:val="0"/>
          <w:marBottom w:val="0"/>
          <w:divBdr>
            <w:top w:val="none" w:sz="0" w:space="0" w:color="auto"/>
            <w:left w:val="none" w:sz="0" w:space="0" w:color="auto"/>
            <w:bottom w:val="none" w:sz="0" w:space="0" w:color="auto"/>
            <w:right w:val="none" w:sz="0" w:space="0" w:color="auto"/>
          </w:divBdr>
        </w:div>
      </w:divsChild>
    </w:div>
    <w:div w:id="1192718016">
      <w:bodyDiv w:val="1"/>
      <w:marLeft w:val="0"/>
      <w:marRight w:val="0"/>
      <w:marTop w:val="0"/>
      <w:marBottom w:val="0"/>
      <w:divBdr>
        <w:top w:val="none" w:sz="0" w:space="0" w:color="auto"/>
        <w:left w:val="none" w:sz="0" w:space="0" w:color="auto"/>
        <w:bottom w:val="none" w:sz="0" w:space="0" w:color="auto"/>
        <w:right w:val="none" w:sz="0" w:space="0" w:color="auto"/>
      </w:divBdr>
      <w:divsChild>
        <w:div w:id="1926724618">
          <w:marLeft w:val="0"/>
          <w:marRight w:val="0"/>
          <w:marTop w:val="0"/>
          <w:marBottom w:val="0"/>
          <w:divBdr>
            <w:top w:val="none" w:sz="0" w:space="0" w:color="auto"/>
            <w:left w:val="none" w:sz="0" w:space="0" w:color="auto"/>
            <w:bottom w:val="none" w:sz="0" w:space="0" w:color="auto"/>
            <w:right w:val="none" w:sz="0" w:space="0" w:color="auto"/>
          </w:divBdr>
        </w:div>
      </w:divsChild>
    </w:div>
    <w:div w:id="1216042142">
      <w:bodyDiv w:val="1"/>
      <w:marLeft w:val="0"/>
      <w:marRight w:val="0"/>
      <w:marTop w:val="0"/>
      <w:marBottom w:val="0"/>
      <w:divBdr>
        <w:top w:val="none" w:sz="0" w:space="0" w:color="auto"/>
        <w:left w:val="none" w:sz="0" w:space="0" w:color="auto"/>
        <w:bottom w:val="none" w:sz="0" w:space="0" w:color="auto"/>
        <w:right w:val="none" w:sz="0" w:space="0" w:color="auto"/>
      </w:divBdr>
      <w:divsChild>
        <w:div w:id="495003175">
          <w:marLeft w:val="0"/>
          <w:marRight w:val="0"/>
          <w:marTop w:val="0"/>
          <w:marBottom w:val="0"/>
          <w:divBdr>
            <w:top w:val="none" w:sz="0" w:space="0" w:color="auto"/>
            <w:left w:val="none" w:sz="0" w:space="0" w:color="auto"/>
            <w:bottom w:val="none" w:sz="0" w:space="0" w:color="auto"/>
            <w:right w:val="none" w:sz="0" w:space="0" w:color="auto"/>
          </w:divBdr>
        </w:div>
      </w:divsChild>
    </w:div>
    <w:div w:id="1216042906">
      <w:bodyDiv w:val="1"/>
      <w:marLeft w:val="0"/>
      <w:marRight w:val="0"/>
      <w:marTop w:val="0"/>
      <w:marBottom w:val="0"/>
      <w:divBdr>
        <w:top w:val="none" w:sz="0" w:space="0" w:color="auto"/>
        <w:left w:val="none" w:sz="0" w:space="0" w:color="auto"/>
        <w:bottom w:val="none" w:sz="0" w:space="0" w:color="auto"/>
        <w:right w:val="none" w:sz="0" w:space="0" w:color="auto"/>
      </w:divBdr>
      <w:divsChild>
        <w:div w:id="493184719">
          <w:marLeft w:val="0"/>
          <w:marRight w:val="0"/>
          <w:marTop w:val="0"/>
          <w:marBottom w:val="0"/>
          <w:divBdr>
            <w:top w:val="none" w:sz="0" w:space="0" w:color="auto"/>
            <w:left w:val="none" w:sz="0" w:space="0" w:color="auto"/>
            <w:bottom w:val="none" w:sz="0" w:space="0" w:color="auto"/>
            <w:right w:val="none" w:sz="0" w:space="0" w:color="auto"/>
          </w:divBdr>
        </w:div>
      </w:divsChild>
    </w:div>
    <w:div w:id="1240096135">
      <w:bodyDiv w:val="1"/>
      <w:marLeft w:val="0"/>
      <w:marRight w:val="0"/>
      <w:marTop w:val="0"/>
      <w:marBottom w:val="0"/>
      <w:divBdr>
        <w:top w:val="none" w:sz="0" w:space="0" w:color="auto"/>
        <w:left w:val="none" w:sz="0" w:space="0" w:color="auto"/>
        <w:bottom w:val="none" w:sz="0" w:space="0" w:color="auto"/>
        <w:right w:val="none" w:sz="0" w:space="0" w:color="auto"/>
      </w:divBdr>
      <w:divsChild>
        <w:div w:id="154227336">
          <w:marLeft w:val="0"/>
          <w:marRight w:val="0"/>
          <w:marTop w:val="0"/>
          <w:marBottom w:val="0"/>
          <w:divBdr>
            <w:top w:val="none" w:sz="0" w:space="0" w:color="auto"/>
            <w:left w:val="none" w:sz="0" w:space="0" w:color="auto"/>
            <w:bottom w:val="none" w:sz="0" w:space="0" w:color="auto"/>
            <w:right w:val="none" w:sz="0" w:space="0" w:color="auto"/>
          </w:divBdr>
          <w:divsChild>
            <w:div w:id="1270233986">
              <w:marLeft w:val="0"/>
              <w:marRight w:val="0"/>
              <w:marTop w:val="0"/>
              <w:marBottom w:val="0"/>
              <w:divBdr>
                <w:top w:val="none" w:sz="0" w:space="0" w:color="auto"/>
                <w:left w:val="none" w:sz="0" w:space="0" w:color="auto"/>
                <w:bottom w:val="none" w:sz="0" w:space="0" w:color="auto"/>
                <w:right w:val="none" w:sz="0" w:space="0" w:color="auto"/>
              </w:divBdr>
              <w:divsChild>
                <w:div w:id="339047494">
                  <w:marLeft w:val="0"/>
                  <w:marRight w:val="0"/>
                  <w:marTop w:val="0"/>
                  <w:marBottom w:val="0"/>
                  <w:divBdr>
                    <w:top w:val="none" w:sz="0" w:space="0" w:color="auto"/>
                    <w:left w:val="none" w:sz="0" w:space="0" w:color="auto"/>
                    <w:bottom w:val="none" w:sz="0" w:space="0" w:color="auto"/>
                    <w:right w:val="none" w:sz="0" w:space="0" w:color="auto"/>
                  </w:divBdr>
                  <w:divsChild>
                    <w:div w:id="90769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640410">
      <w:bodyDiv w:val="1"/>
      <w:marLeft w:val="0"/>
      <w:marRight w:val="0"/>
      <w:marTop w:val="0"/>
      <w:marBottom w:val="0"/>
      <w:divBdr>
        <w:top w:val="none" w:sz="0" w:space="0" w:color="auto"/>
        <w:left w:val="none" w:sz="0" w:space="0" w:color="auto"/>
        <w:bottom w:val="none" w:sz="0" w:space="0" w:color="auto"/>
        <w:right w:val="none" w:sz="0" w:space="0" w:color="auto"/>
      </w:divBdr>
      <w:divsChild>
        <w:div w:id="1012680624">
          <w:marLeft w:val="0"/>
          <w:marRight w:val="0"/>
          <w:marTop w:val="0"/>
          <w:marBottom w:val="0"/>
          <w:divBdr>
            <w:top w:val="none" w:sz="0" w:space="0" w:color="auto"/>
            <w:left w:val="none" w:sz="0" w:space="0" w:color="auto"/>
            <w:bottom w:val="none" w:sz="0" w:space="0" w:color="auto"/>
            <w:right w:val="none" w:sz="0" w:space="0" w:color="auto"/>
          </w:divBdr>
          <w:divsChild>
            <w:div w:id="812329435">
              <w:marLeft w:val="0"/>
              <w:marRight w:val="0"/>
              <w:marTop w:val="0"/>
              <w:marBottom w:val="0"/>
              <w:divBdr>
                <w:top w:val="none" w:sz="0" w:space="0" w:color="auto"/>
                <w:left w:val="none" w:sz="0" w:space="0" w:color="auto"/>
                <w:bottom w:val="none" w:sz="0" w:space="0" w:color="auto"/>
                <w:right w:val="none" w:sz="0" w:space="0" w:color="auto"/>
              </w:divBdr>
              <w:divsChild>
                <w:div w:id="78631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073406">
      <w:bodyDiv w:val="1"/>
      <w:marLeft w:val="0"/>
      <w:marRight w:val="0"/>
      <w:marTop w:val="0"/>
      <w:marBottom w:val="0"/>
      <w:divBdr>
        <w:top w:val="none" w:sz="0" w:space="0" w:color="auto"/>
        <w:left w:val="none" w:sz="0" w:space="0" w:color="auto"/>
        <w:bottom w:val="none" w:sz="0" w:space="0" w:color="auto"/>
        <w:right w:val="none" w:sz="0" w:space="0" w:color="auto"/>
      </w:divBdr>
      <w:divsChild>
        <w:div w:id="2116627531">
          <w:marLeft w:val="0"/>
          <w:marRight w:val="0"/>
          <w:marTop w:val="0"/>
          <w:marBottom w:val="0"/>
          <w:divBdr>
            <w:top w:val="none" w:sz="0" w:space="0" w:color="auto"/>
            <w:left w:val="none" w:sz="0" w:space="0" w:color="auto"/>
            <w:bottom w:val="none" w:sz="0" w:space="0" w:color="auto"/>
            <w:right w:val="none" w:sz="0" w:space="0" w:color="auto"/>
          </w:divBdr>
        </w:div>
      </w:divsChild>
    </w:div>
    <w:div w:id="1245187787">
      <w:bodyDiv w:val="1"/>
      <w:marLeft w:val="0"/>
      <w:marRight w:val="0"/>
      <w:marTop w:val="0"/>
      <w:marBottom w:val="0"/>
      <w:divBdr>
        <w:top w:val="none" w:sz="0" w:space="0" w:color="auto"/>
        <w:left w:val="none" w:sz="0" w:space="0" w:color="auto"/>
        <w:bottom w:val="none" w:sz="0" w:space="0" w:color="auto"/>
        <w:right w:val="none" w:sz="0" w:space="0" w:color="auto"/>
      </w:divBdr>
      <w:divsChild>
        <w:div w:id="1537431460">
          <w:marLeft w:val="0"/>
          <w:marRight w:val="0"/>
          <w:marTop w:val="0"/>
          <w:marBottom w:val="0"/>
          <w:divBdr>
            <w:top w:val="none" w:sz="0" w:space="0" w:color="auto"/>
            <w:left w:val="none" w:sz="0" w:space="0" w:color="auto"/>
            <w:bottom w:val="none" w:sz="0" w:space="0" w:color="auto"/>
            <w:right w:val="none" w:sz="0" w:space="0" w:color="auto"/>
          </w:divBdr>
        </w:div>
      </w:divsChild>
    </w:div>
    <w:div w:id="1269461810">
      <w:bodyDiv w:val="1"/>
      <w:marLeft w:val="0"/>
      <w:marRight w:val="0"/>
      <w:marTop w:val="0"/>
      <w:marBottom w:val="0"/>
      <w:divBdr>
        <w:top w:val="none" w:sz="0" w:space="0" w:color="auto"/>
        <w:left w:val="none" w:sz="0" w:space="0" w:color="auto"/>
        <w:bottom w:val="none" w:sz="0" w:space="0" w:color="auto"/>
        <w:right w:val="none" w:sz="0" w:space="0" w:color="auto"/>
      </w:divBdr>
    </w:div>
    <w:div w:id="1285388887">
      <w:bodyDiv w:val="1"/>
      <w:marLeft w:val="0"/>
      <w:marRight w:val="0"/>
      <w:marTop w:val="0"/>
      <w:marBottom w:val="0"/>
      <w:divBdr>
        <w:top w:val="none" w:sz="0" w:space="0" w:color="auto"/>
        <w:left w:val="none" w:sz="0" w:space="0" w:color="auto"/>
        <w:bottom w:val="none" w:sz="0" w:space="0" w:color="auto"/>
        <w:right w:val="none" w:sz="0" w:space="0" w:color="auto"/>
      </w:divBdr>
      <w:divsChild>
        <w:div w:id="2088722277">
          <w:marLeft w:val="0"/>
          <w:marRight w:val="0"/>
          <w:marTop w:val="0"/>
          <w:marBottom w:val="0"/>
          <w:divBdr>
            <w:top w:val="none" w:sz="0" w:space="0" w:color="auto"/>
            <w:left w:val="none" w:sz="0" w:space="0" w:color="auto"/>
            <w:bottom w:val="none" w:sz="0" w:space="0" w:color="auto"/>
            <w:right w:val="none" w:sz="0" w:space="0" w:color="auto"/>
          </w:divBdr>
        </w:div>
      </w:divsChild>
    </w:div>
    <w:div w:id="1294866699">
      <w:bodyDiv w:val="1"/>
      <w:marLeft w:val="0"/>
      <w:marRight w:val="0"/>
      <w:marTop w:val="0"/>
      <w:marBottom w:val="0"/>
      <w:divBdr>
        <w:top w:val="none" w:sz="0" w:space="0" w:color="auto"/>
        <w:left w:val="none" w:sz="0" w:space="0" w:color="auto"/>
        <w:bottom w:val="none" w:sz="0" w:space="0" w:color="auto"/>
        <w:right w:val="none" w:sz="0" w:space="0" w:color="auto"/>
      </w:divBdr>
      <w:divsChild>
        <w:div w:id="1291204610">
          <w:marLeft w:val="0"/>
          <w:marRight w:val="0"/>
          <w:marTop w:val="0"/>
          <w:marBottom w:val="0"/>
          <w:divBdr>
            <w:top w:val="none" w:sz="0" w:space="0" w:color="auto"/>
            <w:left w:val="none" w:sz="0" w:space="0" w:color="auto"/>
            <w:bottom w:val="none" w:sz="0" w:space="0" w:color="auto"/>
            <w:right w:val="none" w:sz="0" w:space="0" w:color="auto"/>
          </w:divBdr>
        </w:div>
      </w:divsChild>
    </w:div>
    <w:div w:id="1295602075">
      <w:bodyDiv w:val="1"/>
      <w:marLeft w:val="0"/>
      <w:marRight w:val="0"/>
      <w:marTop w:val="0"/>
      <w:marBottom w:val="0"/>
      <w:divBdr>
        <w:top w:val="none" w:sz="0" w:space="0" w:color="auto"/>
        <w:left w:val="none" w:sz="0" w:space="0" w:color="auto"/>
        <w:bottom w:val="none" w:sz="0" w:space="0" w:color="auto"/>
        <w:right w:val="none" w:sz="0" w:space="0" w:color="auto"/>
      </w:divBdr>
      <w:divsChild>
        <w:div w:id="506332232">
          <w:marLeft w:val="0"/>
          <w:marRight w:val="0"/>
          <w:marTop w:val="0"/>
          <w:marBottom w:val="0"/>
          <w:divBdr>
            <w:top w:val="none" w:sz="0" w:space="0" w:color="auto"/>
            <w:left w:val="none" w:sz="0" w:space="0" w:color="auto"/>
            <w:bottom w:val="none" w:sz="0" w:space="0" w:color="auto"/>
            <w:right w:val="none" w:sz="0" w:space="0" w:color="auto"/>
          </w:divBdr>
        </w:div>
      </w:divsChild>
    </w:div>
    <w:div w:id="1296183937">
      <w:bodyDiv w:val="1"/>
      <w:marLeft w:val="0"/>
      <w:marRight w:val="0"/>
      <w:marTop w:val="0"/>
      <w:marBottom w:val="0"/>
      <w:divBdr>
        <w:top w:val="none" w:sz="0" w:space="0" w:color="auto"/>
        <w:left w:val="none" w:sz="0" w:space="0" w:color="auto"/>
        <w:bottom w:val="none" w:sz="0" w:space="0" w:color="auto"/>
        <w:right w:val="none" w:sz="0" w:space="0" w:color="auto"/>
      </w:divBdr>
      <w:divsChild>
        <w:div w:id="1395738140">
          <w:marLeft w:val="0"/>
          <w:marRight w:val="0"/>
          <w:marTop w:val="0"/>
          <w:marBottom w:val="0"/>
          <w:divBdr>
            <w:top w:val="none" w:sz="0" w:space="0" w:color="auto"/>
            <w:left w:val="none" w:sz="0" w:space="0" w:color="auto"/>
            <w:bottom w:val="none" w:sz="0" w:space="0" w:color="auto"/>
            <w:right w:val="none" w:sz="0" w:space="0" w:color="auto"/>
          </w:divBdr>
        </w:div>
      </w:divsChild>
    </w:div>
    <w:div w:id="1321886583">
      <w:bodyDiv w:val="1"/>
      <w:marLeft w:val="0"/>
      <w:marRight w:val="0"/>
      <w:marTop w:val="0"/>
      <w:marBottom w:val="0"/>
      <w:divBdr>
        <w:top w:val="none" w:sz="0" w:space="0" w:color="auto"/>
        <w:left w:val="none" w:sz="0" w:space="0" w:color="auto"/>
        <w:bottom w:val="none" w:sz="0" w:space="0" w:color="auto"/>
        <w:right w:val="none" w:sz="0" w:space="0" w:color="auto"/>
      </w:divBdr>
      <w:divsChild>
        <w:div w:id="1667853819">
          <w:marLeft w:val="0"/>
          <w:marRight w:val="0"/>
          <w:marTop w:val="0"/>
          <w:marBottom w:val="0"/>
          <w:divBdr>
            <w:top w:val="none" w:sz="0" w:space="0" w:color="auto"/>
            <w:left w:val="none" w:sz="0" w:space="0" w:color="auto"/>
            <w:bottom w:val="none" w:sz="0" w:space="0" w:color="auto"/>
            <w:right w:val="none" w:sz="0" w:space="0" w:color="auto"/>
          </w:divBdr>
        </w:div>
      </w:divsChild>
    </w:div>
    <w:div w:id="1322393007">
      <w:bodyDiv w:val="1"/>
      <w:marLeft w:val="0"/>
      <w:marRight w:val="0"/>
      <w:marTop w:val="0"/>
      <w:marBottom w:val="0"/>
      <w:divBdr>
        <w:top w:val="none" w:sz="0" w:space="0" w:color="auto"/>
        <w:left w:val="none" w:sz="0" w:space="0" w:color="auto"/>
        <w:bottom w:val="none" w:sz="0" w:space="0" w:color="auto"/>
        <w:right w:val="none" w:sz="0" w:space="0" w:color="auto"/>
      </w:divBdr>
    </w:div>
    <w:div w:id="1331326843">
      <w:bodyDiv w:val="1"/>
      <w:marLeft w:val="0"/>
      <w:marRight w:val="0"/>
      <w:marTop w:val="0"/>
      <w:marBottom w:val="0"/>
      <w:divBdr>
        <w:top w:val="none" w:sz="0" w:space="0" w:color="auto"/>
        <w:left w:val="none" w:sz="0" w:space="0" w:color="auto"/>
        <w:bottom w:val="none" w:sz="0" w:space="0" w:color="auto"/>
        <w:right w:val="none" w:sz="0" w:space="0" w:color="auto"/>
      </w:divBdr>
    </w:div>
    <w:div w:id="1345130684">
      <w:bodyDiv w:val="1"/>
      <w:marLeft w:val="0"/>
      <w:marRight w:val="0"/>
      <w:marTop w:val="0"/>
      <w:marBottom w:val="0"/>
      <w:divBdr>
        <w:top w:val="none" w:sz="0" w:space="0" w:color="auto"/>
        <w:left w:val="none" w:sz="0" w:space="0" w:color="auto"/>
        <w:bottom w:val="none" w:sz="0" w:space="0" w:color="auto"/>
        <w:right w:val="none" w:sz="0" w:space="0" w:color="auto"/>
      </w:divBdr>
      <w:divsChild>
        <w:div w:id="637034958">
          <w:marLeft w:val="0"/>
          <w:marRight w:val="0"/>
          <w:marTop w:val="0"/>
          <w:marBottom w:val="0"/>
          <w:divBdr>
            <w:top w:val="none" w:sz="0" w:space="0" w:color="auto"/>
            <w:left w:val="none" w:sz="0" w:space="0" w:color="auto"/>
            <w:bottom w:val="none" w:sz="0" w:space="0" w:color="auto"/>
            <w:right w:val="none" w:sz="0" w:space="0" w:color="auto"/>
          </w:divBdr>
        </w:div>
      </w:divsChild>
    </w:div>
    <w:div w:id="1352997671">
      <w:bodyDiv w:val="1"/>
      <w:marLeft w:val="0"/>
      <w:marRight w:val="0"/>
      <w:marTop w:val="0"/>
      <w:marBottom w:val="0"/>
      <w:divBdr>
        <w:top w:val="none" w:sz="0" w:space="0" w:color="auto"/>
        <w:left w:val="none" w:sz="0" w:space="0" w:color="auto"/>
        <w:bottom w:val="none" w:sz="0" w:space="0" w:color="auto"/>
        <w:right w:val="none" w:sz="0" w:space="0" w:color="auto"/>
      </w:divBdr>
      <w:divsChild>
        <w:div w:id="522086376">
          <w:marLeft w:val="0"/>
          <w:marRight w:val="0"/>
          <w:marTop w:val="0"/>
          <w:marBottom w:val="0"/>
          <w:divBdr>
            <w:top w:val="none" w:sz="0" w:space="0" w:color="auto"/>
            <w:left w:val="none" w:sz="0" w:space="0" w:color="auto"/>
            <w:bottom w:val="none" w:sz="0" w:space="0" w:color="auto"/>
            <w:right w:val="none" w:sz="0" w:space="0" w:color="auto"/>
          </w:divBdr>
        </w:div>
      </w:divsChild>
    </w:div>
    <w:div w:id="1358657346">
      <w:bodyDiv w:val="1"/>
      <w:marLeft w:val="0"/>
      <w:marRight w:val="0"/>
      <w:marTop w:val="0"/>
      <w:marBottom w:val="0"/>
      <w:divBdr>
        <w:top w:val="none" w:sz="0" w:space="0" w:color="auto"/>
        <w:left w:val="none" w:sz="0" w:space="0" w:color="auto"/>
        <w:bottom w:val="none" w:sz="0" w:space="0" w:color="auto"/>
        <w:right w:val="none" w:sz="0" w:space="0" w:color="auto"/>
      </w:divBdr>
      <w:divsChild>
        <w:div w:id="1880243446">
          <w:marLeft w:val="0"/>
          <w:marRight w:val="0"/>
          <w:marTop w:val="0"/>
          <w:marBottom w:val="0"/>
          <w:divBdr>
            <w:top w:val="none" w:sz="0" w:space="0" w:color="auto"/>
            <w:left w:val="none" w:sz="0" w:space="0" w:color="auto"/>
            <w:bottom w:val="none" w:sz="0" w:space="0" w:color="auto"/>
            <w:right w:val="none" w:sz="0" w:space="0" w:color="auto"/>
          </w:divBdr>
        </w:div>
      </w:divsChild>
    </w:div>
    <w:div w:id="1373263740">
      <w:bodyDiv w:val="1"/>
      <w:marLeft w:val="0"/>
      <w:marRight w:val="0"/>
      <w:marTop w:val="0"/>
      <w:marBottom w:val="0"/>
      <w:divBdr>
        <w:top w:val="none" w:sz="0" w:space="0" w:color="auto"/>
        <w:left w:val="none" w:sz="0" w:space="0" w:color="auto"/>
        <w:bottom w:val="none" w:sz="0" w:space="0" w:color="auto"/>
        <w:right w:val="none" w:sz="0" w:space="0" w:color="auto"/>
      </w:divBdr>
      <w:divsChild>
        <w:div w:id="530993617">
          <w:marLeft w:val="0"/>
          <w:marRight w:val="0"/>
          <w:marTop w:val="0"/>
          <w:marBottom w:val="0"/>
          <w:divBdr>
            <w:top w:val="none" w:sz="0" w:space="0" w:color="auto"/>
            <w:left w:val="none" w:sz="0" w:space="0" w:color="auto"/>
            <w:bottom w:val="none" w:sz="0" w:space="0" w:color="auto"/>
            <w:right w:val="none" w:sz="0" w:space="0" w:color="auto"/>
          </w:divBdr>
        </w:div>
      </w:divsChild>
    </w:div>
    <w:div w:id="1377898839">
      <w:bodyDiv w:val="1"/>
      <w:marLeft w:val="0"/>
      <w:marRight w:val="0"/>
      <w:marTop w:val="0"/>
      <w:marBottom w:val="0"/>
      <w:divBdr>
        <w:top w:val="none" w:sz="0" w:space="0" w:color="auto"/>
        <w:left w:val="none" w:sz="0" w:space="0" w:color="auto"/>
        <w:bottom w:val="none" w:sz="0" w:space="0" w:color="auto"/>
        <w:right w:val="none" w:sz="0" w:space="0" w:color="auto"/>
      </w:divBdr>
      <w:divsChild>
        <w:div w:id="387143341">
          <w:marLeft w:val="0"/>
          <w:marRight w:val="0"/>
          <w:marTop w:val="0"/>
          <w:marBottom w:val="0"/>
          <w:divBdr>
            <w:top w:val="none" w:sz="0" w:space="0" w:color="auto"/>
            <w:left w:val="none" w:sz="0" w:space="0" w:color="auto"/>
            <w:bottom w:val="none" w:sz="0" w:space="0" w:color="auto"/>
            <w:right w:val="none" w:sz="0" w:space="0" w:color="auto"/>
          </w:divBdr>
        </w:div>
      </w:divsChild>
    </w:div>
    <w:div w:id="1408765613">
      <w:bodyDiv w:val="1"/>
      <w:marLeft w:val="0"/>
      <w:marRight w:val="0"/>
      <w:marTop w:val="0"/>
      <w:marBottom w:val="0"/>
      <w:divBdr>
        <w:top w:val="none" w:sz="0" w:space="0" w:color="auto"/>
        <w:left w:val="none" w:sz="0" w:space="0" w:color="auto"/>
        <w:bottom w:val="none" w:sz="0" w:space="0" w:color="auto"/>
        <w:right w:val="none" w:sz="0" w:space="0" w:color="auto"/>
      </w:divBdr>
      <w:divsChild>
        <w:div w:id="629212199">
          <w:marLeft w:val="0"/>
          <w:marRight w:val="0"/>
          <w:marTop w:val="0"/>
          <w:marBottom w:val="0"/>
          <w:divBdr>
            <w:top w:val="none" w:sz="0" w:space="0" w:color="auto"/>
            <w:left w:val="none" w:sz="0" w:space="0" w:color="auto"/>
            <w:bottom w:val="none" w:sz="0" w:space="0" w:color="auto"/>
            <w:right w:val="none" w:sz="0" w:space="0" w:color="auto"/>
          </w:divBdr>
        </w:div>
      </w:divsChild>
    </w:div>
    <w:div w:id="1421020923">
      <w:bodyDiv w:val="1"/>
      <w:marLeft w:val="0"/>
      <w:marRight w:val="0"/>
      <w:marTop w:val="0"/>
      <w:marBottom w:val="0"/>
      <w:divBdr>
        <w:top w:val="none" w:sz="0" w:space="0" w:color="auto"/>
        <w:left w:val="none" w:sz="0" w:space="0" w:color="auto"/>
        <w:bottom w:val="none" w:sz="0" w:space="0" w:color="auto"/>
        <w:right w:val="none" w:sz="0" w:space="0" w:color="auto"/>
      </w:divBdr>
    </w:div>
    <w:div w:id="1447240252">
      <w:bodyDiv w:val="1"/>
      <w:marLeft w:val="0"/>
      <w:marRight w:val="0"/>
      <w:marTop w:val="0"/>
      <w:marBottom w:val="0"/>
      <w:divBdr>
        <w:top w:val="none" w:sz="0" w:space="0" w:color="auto"/>
        <w:left w:val="none" w:sz="0" w:space="0" w:color="auto"/>
        <w:bottom w:val="none" w:sz="0" w:space="0" w:color="auto"/>
        <w:right w:val="none" w:sz="0" w:space="0" w:color="auto"/>
      </w:divBdr>
      <w:divsChild>
        <w:div w:id="963386699">
          <w:marLeft w:val="0"/>
          <w:marRight w:val="0"/>
          <w:marTop w:val="0"/>
          <w:marBottom w:val="0"/>
          <w:divBdr>
            <w:top w:val="none" w:sz="0" w:space="0" w:color="auto"/>
            <w:left w:val="none" w:sz="0" w:space="0" w:color="auto"/>
            <w:bottom w:val="none" w:sz="0" w:space="0" w:color="auto"/>
            <w:right w:val="none" w:sz="0" w:space="0" w:color="auto"/>
          </w:divBdr>
        </w:div>
      </w:divsChild>
    </w:div>
    <w:div w:id="1454248450">
      <w:bodyDiv w:val="1"/>
      <w:marLeft w:val="0"/>
      <w:marRight w:val="0"/>
      <w:marTop w:val="0"/>
      <w:marBottom w:val="0"/>
      <w:divBdr>
        <w:top w:val="none" w:sz="0" w:space="0" w:color="auto"/>
        <w:left w:val="none" w:sz="0" w:space="0" w:color="auto"/>
        <w:bottom w:val="none" w:sz="0" w:space="0" w:color="auto"/>
        <w:right w:val="none" w:sz="0" w:space="0" w:color="auto"/>
      </w:divBdr>
      <w:divsChild>
        <w:div w:id="536311171">
          <w:marLeft w:val="0"/>
          <w:marRight w:val="0"/>
          <w:marTop w:val="0"/>
          <w:marBottom w:val="0"/>
          <w:divBdr>
            <w:top w:val="none" w:sz="0" w:space="0" w:color="auto"/>
            <w:left w:val="none" w:sz="0" w:space="0" w:color="auto"/>
            <w:bottom w:val="none" w:sz="0" w:space="0" w:color="auto"/>
            <w:right w:val="none" w:sz="0" w:space="0" w:color="auto"/>
          </w:divBdr>
        </w:div>
      </w:divsChild>
    </w:div>
    <w:div w:id="1458059138">
      <w:bodyDiv w:val="1"/>
      <w:marLeft w:val="0"/>
      <w:marRight w:val="0"/>
      <w:marTop w:val="0"/>
      <w:marBottom w:val="0"/>
      <w:divBdr>
        <w:top w:val="none" w:sz="0" w:space="0" w:color="auto"/>
        <w:left w:val="none" w:sz="0" w:space="0" w:color="auto"/>
        <w:bottom w:val="none" w:sz="0" w:space="0" w:color="auto"/>
        <w:right w:val="none" w:sz="0" w:space="0" w:color="auto"/>
      </w:divBdr>
      <w:divsChild>
        <w:div w:id="1131434596">
          <w:marLeft w:val="0"/>
          <w:marRight w:val="0"/>
          <w:marTop w:val="0"/>
          <w:marBottom w:val="0"/>
          <w:divBdr>
            <w:top w:val="none" w:sz="0" w:space="0" w:color="auto"/>
            <w:left w:val="none" w:sz="0" w:space="0" w:color="auto"/>
            <w:bottom w:val="none" w:sz="0" w:space="0" w:color="auto"/>
            <w:right w:val="none" w:sz="0" w:space="0" w:color="auto"/>
          </w:divBdr>
        </w:div>
      </w:divsChild>
    </w:div>
    <w:div w:id="1468012347">
      <w:bodyDiv w:val="1"/>
      <w:marLeft w:val="0"/>
      <w:marRight w:val="0"/>
      <w:marTop w:val="0"/>
      <w:marBottom w:val="0"/>
      <w:divBdr>
        <w:top w:val="none" w:sz="0" w:space="0" w:color="auto"/>
        <w:left w:val="none" w:sz="0" w:space="0" w:color="auto"/>
        <w:bottom w:val="none" w:sz="0" w:space="0" w:color="auto"/>
        <w:right w:val="none" w:sz="0" w:space="0" w:color="auto"/>
      </w:divBdr>
      <w:divsChild>
        <w:div w:id="625544959">
          <w:marLeft w:val="0"/>
          <w:marRight w:val="0"/>
          <w:marTop w:val="0"/>
          <w:marBottom w:val="0"/>
          <w:divBdr>
            <w:top w:val="none" w:sz="0" w:space="0" w:color="auto"/>
            <w:left w:val="none" w:sz="0" w:space="0" w:color="auto"/>
            <w:bottom w:val="none" w:sz="0" w:space="0" w:color="auto"/>
            <w:right w:val="none" w:sz="0" w:space="0" w:color="auto"/>
          </w:divBdr>
        </w:div>
      </w:divsChild>
    </w:div>
    <w:div w:id="1483230120">
      <w:bodyDiv w:val="1"/>
      <w:marLeft w:val="0"/>
      <w:marRight w:val="0"/>
      <w:marTop w:val="0"/>
      <w:marBottom w:val="0"/>
      <w:divBdr>
        <w:top w:val="none" w:sz="0" w:space="0" w:color="auto"/>
        <w:left w:val="none" w:sz="0" w:space="0" w:color="auto"/>
        <w:bottom w:val="none" w:sz="0" w:space="0" w:color="auto"/>
        <w:right w:val="none" w:sz="0" w:space="0" w:color="auto"/>
      </w:divBdr>
      <w:divsChild>
        <w:div w:id="786043801">
          <w:marLeft w:val="0"/>
          <w:marRight w:val="0"/>
          <w:marTop w:val="0"/>
          <w:marBottom w:val="0"/>
          <w:divBdr>
            <w:top w:val="none" w:sz="0" w:space="0" w:color="auto"/>
            <w:left w:val="none" w:sz="0" w:space="0" w:color="auto"/>
            <w:bottom w:val="none" w:sz="0" w:space="0" w:color="auto"/>
            <w:right w:val="none" w:sz="0" w:space="0" w:color="auto"/>
          </w:divBdr>
        </w:div>
      </w:divsChild>
    </w:div>
    <w:div w:id="1492326404">
      <w:bodyDiv w:val="1"/>
      <w:marLeft w:val="0"/>
      <w:marRight w:val="0"/>
      <w:marTop w:val="0"/>
      <w:marBottom w:val="0"/>
      <w:divBdr>
        <w:top w:val="none" w:sz="0" w:space="0" w:color="auto"/>
        <w:left w:val="none" w:sz="0" w:space="0" w:color="auto"/>
        <w:bottom w:val="none" w:sz="0" w:space="0" w:color="auto"/>
        <w:right w:val="none" w:sz="0" w:space="0" w:color="auto"/>
      </w:divBdr>
      <w:divsChild>
        <w:div w:id="322855885">
          <w:marLeft w:val="0"/>
          <w:marRight w:val="0"/>
          <w:marTop w:val="0"/>
          <w:marBottom w:val="0"/>
          <w:divBdr>
            <w:top w:val="none" w:sz="0" w:space="0" w:color="auto"/>
            <w:left w:val="none" w:sz="0" w:space="0" w:color="auto"/>
            <w:bottom w:val="none" w:sz="0" w:space="0" w:color="auto"/>
            <w:right w:val="none" w:sz="0" w:space="0" w:color="auto"/>
          </w:divBdr>
        </w:div>
      </w:divsChild>
    </w:div>
    <w:div w:id="1503659298">
      <w:bodyDiv w:val="1"/>
      <w:marLeft w:val="0"/>
      <w:marRight w:val="0"/>
      <w:marTop w:val="0"/>
      <w:marBottom w:val="0"/>
      <w:divBdr>
        <w:top w:val="none" w:sz="0" w:space="0" w:color="auto"/>
        <w:left w:val="none" w:sz="0" w:space="0" w:color="auto"/>
        <w:bottom w:val="none" w:sz="0" w:space="0" w:color="auto"/>
        <w:right w:val="none" w:sz="0" w:space="0" w:color="auto"/>
      </w:divBdr>
      <w:divsChild>
        <w:div w:id="115486862">
          <w:marLeft w:val="0"/>
          <w:marRight w:val="0"/>
          <w:marTop w:val="0"/>
          <w:marBottom w:val="0"/>
          <w:divBdr>
            <w:top w:val="none" w:sz="0" w:space="0" w:color="auto"/>
            <w:left w:val="none" w:sz="0" w:space="0" w:color="auto"/>
            <w:bottom w:val="none" w:sz="0" w:space="0" w:color="auto"/>
            <w:right w:val="none" w:sz="0" w:space="0" w:color="auto"/>
          </w:divBdr>
        </w:div>
      </w:divsChild>
    </w:div>
    <w:div w:id="1505972794">
      <w:bodyDiv w:val="1"/>
      <w:marLeft w:val="0"/>
      <w:marRight w:val="0"/>
      <w:marTop w:val="0"/>
      <w:marBottom w:val="0"/>
      <w:divBdr>
        <w:top w:val="none" w:sz="0" w:space="0" w:color="auto"/>
        <w:left w:val="none" w:sz="0" w:space="0" w:color="auto"/>
        <w:bottom w:val="none" w:sz="0" w:space="0" w:color="auto"/>
        <w:right w:val="none" w:sz="0" w:space="0" w:color="auto"/>
      </w:divBdr>
      <w:divsChild>
        <w:div w:id="1624385464">
          <w:marLeft w:val="0"/>
          <w:marRight w:val="0"/>
          <w:marTop w:val="0"/>
          <w:marBottom w:val="0"/>
          <w:divBdr>
            <w:top w:val="none" w:sz="0" w:space="0" w:color="auto"/>
            <w:left w:val="none" w:sz="0" w:space="0" w:color="auto"/>
            <w:bottom w:val="none" w:sz="0" w:space="0" w:color="auto"/>
            <w:right w:val="none" w:sz="0" w:space="0" w:color="auto"/>
          </w:divBdr>
        </w:div>
      </w:divsChild>
    </w:div>
    <w:div w:id="1537622347">
      <w:bodyDiv w:val="1"/>
      <w:marLeft w:val="0"/>
      <w:marRight w:val="0"/>
      <w:marTop w:val="0"/>
      <w:marBottom w:val="0"/>
      <w:divBdr>
        <w:top w:val="none" w:sz="0" w:space="0" w:color="auto"/>
        <w:left w:val="none" w:sz="0" w:space="0" w:color="auto"/>
        <w:bottom w:val="none" w:sz="0" w:space="0" w:color="auto"/>
        <w:right w:val="none" w:sz="0" w:space="0" w:color="auto"/>
      </w:divBdr>
      <w:divsChild>
        <w:div w:id="1276673495">
          <w:marLeft w:val="0"/>
          <w:marRight w:val="0"/>
          <w:marTop w:val="0"/>
          <w:marBottom w:val="0"/>
          <w:divBdr>
            <w:top w:val="none" w:sz="0" w:space="0" w:color="auto"/>
            <w:left w:val="none" w:sz="0" w:space="0" w:color="auto"/>
            <w:bottom w:val="none" w:sz="0" w:space="0" w:color="auto"/>
            <w:right w:val="none" w:sz="0" w:space="0" w:color="auto"/>
          </w:divBdr>
        </w:div>
      </w:divsChild>
    </w:div>
    <w:div w:id="1543055202">
      <w:bodyDiv w:val="1"/>
      <w:marLeft w:val="0"/>
      <w:marRight w:val="0"/>
      <w:marTop w:val="0"/>
      <w:marBottom w:val="0"/>
      <w:divBdr>
        <w:top w:val="none" w:sz="0" w:space="0" w:color="auto"/>
        <w:left w:val="none" w:sz="0" w:space="0" w:color="auto"/>
        <w:bottom w:val="none" w:sz="0" w:space="0" w:color="auto"/>
        <w:right w:val="none" w:sz="0" w:space="0" w:color="auto"/>
      </w:divBdr>
      <w:divsChild>
        <w:div w:id="766077945">
          <w:marLeft w:val="0"/>
          <w:marRight w:val="0"/>
          <w:marTop w:val="0"/>
          <w:marBottom w:val="0"/>
          <w:divBdr>
            <w:top w:val="none" w:sz="0" w:space="0" w:color="auto"/>
            <w:left w:val="none" w:sz="0" w:space="0" w:color="auto"/>
            <w:bottom w:val="none" w:sz="0" w:space="0" w:color="auto"/>
            <w:right w:val="none" w:sz="0" w:space="0" w:color="auto"/>
          </w:divBdr>
        </w:div>
      </w:divsChild>
    </w:div>
    <w:div w:id="1558395523">
      <w:bodyDiv w:val="1"/>
      <w:marLeft w:val="0"/>
      <w:marRight w:val="0"/>
      <w:marTop w:val="0"/>
      <w:marBottom w:val="0"/>
      <w:divBdr>
        <w:top w:val="none" w:sz="0" w:space="0" w:color="auto"/>
        <w:left w:val="none" w:sz="0" w:space="0" w:color="auto"/>
        <w:bottom w:val="none" w:sz="0" w:space="0" w:color="auto"/>
        <w:right w:val="none" w:sz="0" w:space="0" w:color="auto"/>
      </w:divBdr>
      <w:divsChild>
        <w:div w:id="1719160766">
          <w:marLeft w:val="0"/>
          <w:marRight w:val="0"/>
          <w:marTop w:val="0"/>
          <w:marBottom w:val="0"/>
          <w:divBdr>
            <w:top w:val="none" w:sz="0" w:space="0" w:color="auto"/>
            <w:left w:val="none" w:sz="0" w:space="0" w:color="auto"/>
            <w:bottom w:val="none" w:sz="0" w:space="0" w:color="auto"/>
            <w:right w:val="none" w:sz="0" w:space="0" w:color="auto"/>
          </w:divBdr>
        </w:div>
      </w:divsChild>
    </w:div>
    <w:div w:id="1561861559">
      <w:bodyDiv w:val="1"/>
      <w:marLeft w:val="0"/>
      <w:marRight w:val="0"/>
      <w:marTop w:val="0"/>
      <w:marBottom w:val="0"/>
      <w:divBdr>
        <w:top w:val="none" w:sz="0" w:space="0" w:color="auto"/>
        <w:left w:val="none" w:sz="0" w:space="0" w:color="auto"/>
        <w:bottom w:val="none" w:sz="0" w:space="0" w:color="auto"/>
        <w:right w:val="none" w:sz="0" w:space="0" w:color="auto"/>
      </w:divBdr>
      <w:divsChild>
        <w:div w:id="458376733">
          <w:marLeft w:val="0"/>
          <w:marRight w:val="0"/>
          <w:marTop w:val="0"/>
          <w:marBottom w:val="0"/>
          <w:divBdr>
            <w:top w:val="none" w:sz="0" w:space="0" w:color="auto"/>
            <w:left w:val="none" w:sz="0" w:space="0" w:color="auto"/>
            <w:bottom w:val="none" w:sz="0" w:space="0" w:color="auto"/>
            <w:right w:val="none" w:sz="0" w:space="0" w:color="auto"/>
          </w:divBdr>
        </w:div>
      </w:divsChild>
    </w:div>
    <w:div w:id="1575629026">
      <w:bodyDiv w:val="1"/>
      <w:marLeft w:val="0"/>
      <w:marRight w:val="0"/>
      <w:marTop w:val="0"/>
      <w:marBottom w:val="0"/>
      <w:divBdr>
        <w:top w:val="none" w:sz="0" w:space="0" w:color="auto"/>
        <w:left w:val="none" w:sz="0" w:space="0" w:color="auto"/>
        <w:bottom w:val="none" w:sz="0" w:space="0" w:color="auto"/>
        <w:right w:val="none" w:sz="0" w:space="0" w:color="auto"/>
      </w:divBdr>
      <w:divsChild>
        <w:div w:id="519514948">
          <w:marLeft w:val="0"/>
          <w:marRight w:val="0"/>
          <w:marTop w:val="0"/>
          <w:marBottom w:val="0"/>
          <w:divBdr>
            <w:top w:val="none" w:sz="0" w:space="0" w:color="auto"/>
            <w:left w:val="none" w:sz="0" w:space="0" w:color="auto"/>
            <w:bottom w:val="none" w:sz="0" w:space="0" w:color="auto"/>
            <w:right w:val="none" w:sz="0" w:space="0" w:color="auto"/>
          </w:divBdr>
        </w:div>
      </w:divsChild>
    </w:div>
    <w:div w:id="1576548137">
      <w:bodyDiv w:val="1"/>
      <w:marLeft w:val="0"/>
      <w:marRight w:val="0"/>
      <w:marTop w:val="0"/>
      <w:marBottom w:val="0"/>
      <w:divBdr>
        <w:top w:val="none" w:sz="0" w:space="0" w:color="auto"/>
        <w:left w:val="none" w:sz="0" w:space="0" w:color="auto"/>
        <w:bottom w:val="none" w:sz="0" w:space="0" w:color="auto"/>
        <w:right w:val="none" w:sz="0" w:space="0" w:color="auto"/>
      </w:divBdr>
      <w:divsChild>
        <w:div w:id="1943495149">
          <w:marLeft w:val="0"/>
          <w:marRight w:val="0"/>
          <w:marTop w:val="0"/>
          <w:marBottom w:val="0"/>
          <w:divBdr>
            <w:top w:val="none" w:sz="0" w:space="0" w:color="auto"/>
            <w:left w:val="none" w:sz="0" w:space="0" w:color="auto"/>
            <w:bottom w:val="none" w:sz="0" w:space="0" w:color="auto"/>
            <w:right w:val="none" w:sz="0" w:space="0" w:color="auto"/>
          </w:divBdr>
        </w:div>
      </w:divsChild>
    </w:div>
    <w:div w:id="1582136557">
      <w:bodyDiv w:val="1"/>
      <w:marLeft w:val="0"/>
      <w:marRight w:val="0"/>
      <w:marTop w:val="0"/>
      <w:marBottom w:val="0"/>
      <w:divBdr>
        <w:top w:val="none" w:sz="0" w:space="0" w:color="auto"/>
        <w:left w:val="none" w:sz="0" w:space="0" w:color="auto"/>
        <w:bottom w:val="none" w:sz="0" w:space="0" w:color="auto"/>
        <w:right w:val="none" w:sz="0" w:space="0" w:color="auto"/>
      </w:divBdr>
    </w:div>
    <w:div w:id="1584870795">
      <w:bodyDiv w:val="1"/>
      <w:marLeft w:val="0"/>
      <w:marRight w:val="0"/>
      <w:marTop w:val="0"/>
      <w:marBottom w:val="0"/>
      <w:divBdr>
        <w:top w:val="none" w:sz="0" w:space="0" w:color="auto"/>
        <w:left w:val="none" w:sz="0" w:space="0" w:color="auto"/>
        <w:bottom w:val="none" w:sz="0" w:space="0" w:color="auto"/>
        <w:right w:val="none" w:sz="0" w:space="0" w:color="auto"/>
      </w:divBdr>
      <w:divsChild>
        <w:div w:id="1170145419">
          <w:marLeft w:val="0"/>
          <w:marRight w:val="0"/>
          <w:marTop w:val="0"/>
          <w:marBottom w:val="0"/>
          <w:divBdr>
            <w:top w:val="none" w:sz="0" w:space="0" w:color="auto"/>
            <w:left w:val="none" w:sz="0" w:space="0" w:color="auto"/>
            <w:bottom w:val="none" w:sz="0" w:space="0" w:color="auto"/>
            <w:right w:val="none" w:sz="0" w:space="0" w:color="auto"/>
          </w:divBdr>
        </w:div>
      </w:divsChild>
    </w:div>
    <w:div w:id="1618950566">
      <w:bodyDiv w:val="1"/>
      <w:marLeft w:val="0"/>
      <w:marRight w:val="0"/>
      <w:marTop w:val="0"/>
      <w:marBottom w:val="0"/>
      <w:divBdr>
        <w:top w:val="none" w:sz="0" w:space="0" w:color="auto"/>
        <w:left w:val="none" w:sz="0" w:space="0" w:color="auto"/>
        <w:bottom w:val="none" w:sz="0" w:space="0" w:color="auto"/>
        <w:right w:val="none" w:sz="0" w:space="0" w:color="auto"/>
      </w:divBdr>
      <w:divsChild>
        <w:div w:id="831332133">
          <w:marLeft w:val="0"/>
          <w:marRight w:val="0"/>
          <w:marTop w:val="0"/>
          <w:marBottom w:val="0"/>
          <w:divBdr>
            <w:top w:val="none" w:sz="0" w:space="0" w:color="auto"/>
            <w:left w:val="none" w:sz="0" w:space="0" w:color="auto"/>
            <w:bottom w:val="none" w:sz="0" w:space="0" w:color="auto"/>
            <w:right w:val="none" w:sz="0" w:space="0" w:color="auto"/>
          </w:divBdr>
        </w:div>
      </w:divsChild>
    </w:div>
    <w:div w:id="1620379003">
      <w:bodyDiv w:val="1"/>
      <w:marLeft w:val="0"/>
      <w:marRight w:val="0"/>
      <w:marTop w:val="0"/>
      <w:marBottom w:val="0"/>
      <w:divBdr>
        <w:top w:val="none" w:sz="0" w:space="0" w:color="auto"/>
        <w:left w:val="none" w:sz="0" w:space="0" w:color="auto"/>
        <w:bottom w:val="none" w:sz="0" w:space="0" w:color="auto"/>
        <w:right w:val="none" w:sz="0" w:space="0" w:color="auto"/>
      </w:divBdr>
      <w:divsChild>
        <w:div w:id="2120447430">
          <w:marLeft w:val="0"/>
          <w:marRight w:val="0"/>
          <w:marTop w:val="0"/>
          <w:marBottom w:val="0"/>
          <w:divBdr>
            <w:top w:val="none" w:sz="0" w:space="0" w:color="auto"/>
            <w:left w:val="none" w:sz="0" w:space="0" w:color="auto"/>
            <w:bottom w:val="none" w:sz="0" w:space="0" w:color="auto"/>
            <w:right w:val="none" w:sz="0" w:space="0" w:color="auto"/>
          </w:divBdr>
        </w:div>
      </w:divsChild>
    </w:div>
    <w:div w:id="1628470796">
      <w:bodyDiv w:val="1"/>
      <w:marLeft w:val="0"/>
      <w:marRight w:val="0"/>
      <w:marTop w:val="0"/>
      <w:marBottom w:val="0"/>
      <w:divBdr>
        <w:top w:val="none" w:sz="0" w:space="0" w:color="auto"/>
        <w:left w:val="none" w:sz="0" w:space="0" w:color="auto"/>
        <w:bottom w:val="none" w:sz="0" w:space="0" w:color="auto"/>
        <w:right w:val="none" w:sz="0" w:space="0" w:color="auto"/>
      </w:divBdr>
      <w:divsChild>
        <w:div w:id="256405187">
          <w:marLeft w:val="0"/>
          <w:marRight w:val="0"/>
          <w:marTop w:val="0"/>
          <w:marBottom w:val="0"/>
          <w:divBdr>
            <w:top w:val="none" w:sz="0" w:space="0" w:color="auto"/>
            <w:left w:val="none" w:sz="0" w:space="0" w:color="auto"/>
            <w:bottom w:val="none" w:sz="0" w:space="0" w:color="auto"/>
            <w:right w:val="none" w:sz="0" w:space="0" w:color="auto"/>
          </w:divBdr>
        </w:div>
      </w:divsChild>
    </w:div>
    <w:div w:id="1650674475">
      <w:bodyDiv w:val="1"/>
      <w:marLeft w:val="0"/>
      <w:marRight w:val="0"/>
      <w:marTop w:val="0"/>
      <w:marBottom w:val="0"/>
      <w:divBdr>
        <w:top w:val="none" w:sz="0" w:space="0" w:color="auto"/>
        <w:left w:val="none" w:sz="0" w:space="0" w:color="auto"/>
        <w:bottom w:val="none" w:sz="0" w:space="0" w:color="auto"/>
        <w:right w:val="none" w:sz="0" w:space="0" w:color="auto"/>
      </w:divBdr>
      <w:divsChild>
        <w:div w:id="752288270">
          <w:marLeft w:val="0"/>
          <w:marRight w:val="0"/>
          <w:marTop w:val="0"/>
          <w:marBottom w:val="0"/>
          <w:divBdr>
            <w:top w:val="none" w:sz="0" w:space="0" w:color="auto"/>
            <w:left w:val="none" w:sz="0" w:space="0" w:color="auto"/>
            <w:bottom w:val="none" w:sz="0" w:space="0" w:color="auto"/>
            <w:right w:val="none" w:sz="0" w:space="0" w:color="auto"/>
          </w:divBdr>
        </w:div>
      </w:divsChild>
    </w:div>
    <w:div w:id="1656031226">
      <w:bodyDiv w:val="1"/>
      <w:marLeft w:val="0"/>
      <w:marRight w:val="0"/>
      <w:marTop w:val="0"/>
      <w:marBottom w:val="0"/>
      <w:divBdr>
        <w:top w:val="none" w:sz="0" w:space="0" w:color="auto"/>
        <w:left w:val="none" w:sz="0" w:space="0" w:color="auto"/>
        <w:bottom w:val="none" w:sz="0" w:space="0" w:color="auto"/>
        <w:right w:val="none" w:sz="0" w:space="0" w:color="auto"/>
      </w:divBdr>
      <w:divsChild>
        <w:div w:id="1497111043">
          <w:marLeft w:val="0"/>
          <w:marRight w:val="0"/>
          <w:marTop w:val="0"/>
          <w:marBottom w:val="0"/>
          <w:divBdr>
            <w:top w:val="none" w:sz="0" w:space="0" w:color="auto"/>
            <w:left w:val="none" w:sz="0" w:space="0" w:color="auto"/>
            <w:bottom w:val="none" w:sz="0" w:space="0" w:color="auto"/>
            <w:right w:val="none" w:sz="0" w:space="0" w:color="auto"/>
          </w:divBdr>
        </w:div>
      </w:divsChild>
    </w:div>
    <w:div w:id="1668558632">
      <w:bodyDiv w:val="1"/>
      <w:marLeft w:val="0"/>
      <w:marRight w:val="0"/>
      <w:marTop w:val="0"/>
      <w:marBottom w:val="0"/>
      <w:divBdr>
        <w:top w:val="none" w:sz="0" w:space="0" w:color="auto"/>
        <w:left w:val="none" w:sz="0" w:space="0" w:color="auto"/>
        <w:bottom w:val="none" w:sz="0" w:space="0" w:color="auto"/>
        <w:right w:val="none" w:sz="0" w:space="0" w:color="auto"/>
      </w:divBdr>
      <w:divsChild>
        <w:div w:id="2033607906">
          <w:marLeft w:val="0"/>
          <w:marRight w:val="0"/>
          <w:marTop w:val="0"/>
          <w:marBottom w:val="0"/>
          <w:divBdr>
            <w:top w:val="none" w:sz="0" w:space="0" w:color="auto"/>
            <w:left w:val="none" w:sz="0" w:space="0" w:color="auto"/>
            <w:bottom w:val="none" w:sz="0" w:space="0" w:color="auto"/>
            <w:right w:val="none" w:sz="0" w:space="0" w:color="auto"/>
          </w:divBdr>
        </w:div>
      </w:divsChild>
    </w:div>
    <w:div w:id="1674186508">
      <w:bodyDiv w:val="1"/>
      <w:marLeft w:val="0"/>
      <w:marRight w:val="0"/>
      <w:marTop w:val="0"/>
      <w:marBottom w:val="0"/>
      <w:divBdr>
        <w:top w:val="none" w:sz="0" w:space="0" w:color="auto"/>
        <w:left w:val="none" w:sz="0" w:space="0" w:color="auto"/>
        <w:bottom w:val="none" w:sz="0" w:space="0" w:color="auto"/>
        <w:right w:val="none" w:sz="0" w:space="0" w:color="auto"/>
      </w:divBdr>
      <w:divsChild>
        <w:div w:id="1768036156">
          <w:marLeft w:val="0"/>
          <w:marRight w:val="0"/>
          <w:marTop w:val="0"/>
          <w:marBottom w:val="0"/>
          <w:divBdr>
            <w:top w:val="none" w:sz="0" w:space="0" w:color="auto"/>
            <w:left w:val="none" w:sz="0" w:space="0" w:color="auto"/>
            <w:bottom w:val="none" w:sz="0" w:space="0" w:color="auto"/>
            <w:right w:val="none" w:sz="0" w:space="0" w:color="auto"/>
          </w:divBdr>
        </w:div>
      </w:divsChild>
    </w:div>
    <w:div w:id="1694920997">
      <w:bodyDiv w:val="1"/>
      <w:marLeft w:val="0"/>
      <w:marRight w:val="0"/>
      <w:marTop w:val="0"/>
      <w:marBottom w:val="0"/>
      <w:divBdr>
        <w:top w:val="none" w:sz="0" w:space="0" w:color="auto"/>
        <w:left w:val="none" w:sz="0" w:space="0" w:color="auto"/>
        <w:bottom w:val="none" w:sz="0" w:space="0" w:color="auto"/>
        <w:right w:val="none" w:sz="0" w:space="0" w:color="auto"/>
      </w:divBdr>
      <w:divsChild>
        <w:div w:id="400687143">
          <w:marLeft w:val="0"/>
          <w:marRight w:val="0"/>
          <w:marTop w:val="0"/>
          <w:marBottom w:val="0"/>
          <w:divBdr>
            <w:top w:val="none" w:sz="0" w:space="0" w:color="auto"/>
            <w:left w:val="none" w:sz="0" w:space="0" w:color="auto"/>
            <w:bottom w:val="none" w:sz="0" w:space="0" w:color="auto"/>
            <w:right w:val="none" w:sz="0" w:space="0" w:color="auto"/>
          </w:divBdr>
        </w:div>
      </w:divsChild>
    </w:div>
    <w:div w:id="1700005765">
      <w:bodyDiv w:val="1"/>
      <w:marLeft w:val="0"/>
      <w:marRight w:val="0"/>
      <w:marTop w:val="0"/>
      <w:marBottom w:val="0"/>
      <w:divBdr>
        <w:top w:val="none" w:sz="0" w:space="0" w:color="auto"/>
        <w:left w:val="none" w:sz="0" w:space="0" w:color="auto"/>
        <w:bottom w:val="none" w:sz="0" w:space="0" w:color="auto"/>
        <w:right w:val="none" w:sz="0" w:space="0" w:color="auto"/>
      </w:divBdr>
      <w:divsChild>
        <w:div w:id="39518701">
          <w:marLeft w:val="0"/>
          <w:marRight w:val="0"/>
          <w:marTop w:val="0"/>
          <w:marBottom w:val="0"/>
          <w:divBdr>
            <w:top w:val="none" w:sz="0" w:space="0" w:color="auto"/>
            <w:left w:val="none" w:sz="0" w:space="0" w:color="auto"/>
            <w:bottom w:val="none" w:sz="0" w:space="0" w:color="auto"/>
            <w:right w:val="none" w:sz="0" w:space="0" w:color="auto"/>
          </w:divBdr>
        </w:div>
      </w:divsChild>
    </w:div>
    <w:div w:id="1711957365">
      <w:bodyDiv w:val="1"/>
      <w:marLeft w:val="0"/>
      <w:marRight w:val="0"/>
      <w:marTop w:val="0"/>
      <w:marBottom w:val="0"/>
      <w:divBdr>
        <w:top w:val="none" w:sz="0" w:space="0" w:color="auto"/>
        <w:left w:val="none" w:sz="0" w:space="0" w:color="auto"/>
        <w:bottom w:val="none" w:sz="0" w:space="0" w:color="auto"/>
        <w:right w:val="none" w:sz="0" w:space="0" w:color="auto"/>
      </w:divBdr>
      <w:divsChild>
        <w:div w:id="1132670868">
          <w:marLeft w:val="0"/>
          <w:marRight w:val="0"/>
          <w:marTop w:val="0"/>
          <w:marBottom w:val="0"/>
          <w:divBdr>
            <w:top w:val="none" w:sz="0" w:space="0" w:color="auto"/>
            <w:left w:val="none" w:sz="0" w:space="0" w:color="auto"/>
            <w:bottom w:val="none" w:sz="0" w:space="0" w:color="auto"/>
            <w:right w:val="none" w:sz="0" w:space="0" w:color="auto"/>
          </w:divBdr>
        </w:div>
      </w:divsChild>
    </w:div>
    <w:div w:id="1717200661">
      <w:bodyDiv w:val="1"/>
      <w:marLeft w:val="0"/>
      <w:marRight w:val="0"/>
      <w:marTop w:val="0"/>
      <w:marBottom w:val="0"/>
      <w:divBdr>
        <w:top w:val="none" w:sz="0" w:space="0" w:color="auto"/>
        <w:left w:val="none" w:sz="0" w:space="0" w:color="auto"/>
        <w:bottom w:val="none" w:sz="0" w:space="0" w:color="auto"/>
        <w:right w:val="none" w:sz="0" w:space="0" w:color="auto"/>
      </w:divBdr>
    </w:div>
    <w:div w:id="1732923154">
      <w:bodyDiv w:val="1"/>
      <w:marLeft w:val="0"/>
      <w:marRight w:val="0"/>
      <w:marTop w:val="0"/>
      <w:marBottom w:val="0"/>
      <w:divBdr>
        <w:top w:val="none" w:sz="0" w:space="0" w:color="auto"/>
        <w:left w:val="none" w:sz="0" w:space="0" w:color="auto"/>
        <w:bottom w:val="none" w:sz="0" w:space="0" w:color="auto"/>
        <w:right w:val="none" w:sz="0" w:space="0" w:color="auto"/>
      </w:divBdr>
      <w:divsChild>
        <w:div w:id="530849850">
          <w:marLeft w:val="0"/>
          <w:marRight w:val="0"/>
          <w:marTop w:val="0"/>
          <w:marBottom w:val="0"/>
          <w:divBdr>
            <w:top w:val="none" w:sz="0" w:space="0" w:color="auto"/>
            <w:left w:val="none" w:sz="0" w:space="0" w:color="auto"/>
            <w:bottom w:val="none" w:sz="0" w:space="0" w:color="auto"/>
            <w:right w:val="none" w:sz="0" w:space="0" w:color="auto"/>
          </w:divBdr>
        </w:div>
      </w:divsChild>
    </w:div>
    <w:div w:id="1737512900">
      <w:bodyDiv w:val="1"/>
      <w:marLeft w:val="0"/>
      <w:marRight w:val="0"/>
      <w:marTop w:val="0"/>
      <w:marBottom w:val="0"/>
      <w:divBdr>
        <w:top w:val="none" w:sz="0" w:space="0" w:color="auto"/>
        <w:left w:val="none" w:sz="0" w:space="0" w:color="auto"/>
        <w:bottom w:val="none" w:sz="0" w:space="0" w:color="auto"/>
        <w:right w:val="none" w:sz="0" w:space="0" w:color="auto"/>
      </w:divBdr>
      <w:divsChild>
        <w:div w:id="503790465">
          <w:marLeft w:val="0"/>
          <w:marRight w:val="0"/>
          <w:marTop w:val="0"/>
          <w:marBottom w:val="0"/>
          <w:divBdr>
            <w:top w:val="none" w:sz="0" w:space="0" w:color="auto"/>
            <w:left w:val="none" w:sz="0" w:space="0" w:color="auto"/>
            <w:bottom w:val="none" w:sz="0" w:space="0" w:color="auto"/>
            <w:right w:val="none" w:sz="0" w:space="0" w:color="auto"/>
          </w:divBdr>
        </w:div>
      </w:divsChild>
    </w:div>
    <w:div w:id="1739014210">
      <w:bodyDiv w:val="1"/>
      <w:marLeft w:val="0"/>
      <w:marRight w:val="0"/>
      <w:marTop w:val="0"/>
      <w:marBottom w:val="0"/>
      <w:divBdr>
        <w:top w:val="none" w:sz="0" w:space="0" w:color="auto"/>
        <w:left w:val="none" w:sz="0" w:space="0" w:color="auto"/>
        <w:bottom w:val="none" w:sz="0" w:space="0" w:color="auto"/>
        <w:right w:val="none" w:sz="0" w:space="0" w:color="auto"/>
      </w:divBdr>
      <w:divsChild>
        <w:div w:id="1426152847">
          <w:marLeft w:val="0"/>
          <w:marRight w:val="0"/>
          <w:marTop w:val="0"/>
          <w:marBottom w:val="0"/>
          <w:divBdr>
            <w:top w:val="none" w:sz="0" w:space="0" w:color="auto"/>
            <w:left w:val="none" w:sz="0" w:space="0" w:color="auto"/>
            <w:bottom w:val="none" w:sz="0" w:space="0" w:color="auto"/>
            <w:right w:val="none" w:sz="0" w:space="0" w:color="auto"/>
          </w:divBdr>
        </w:div>
      </w:divsChild>
    </w:div>
    <w:div w:id="1743749047">
      <w:bodyDiv w:val="1"/>
      <w:marLeft w:val="0"/>
      <w:marRight w:val="0"/>
      <w:marTop w:val="0"/>
      <w:marBottom w:val="0"/>
      <w:divBdr>
        <w:top w:val="none" w:sz="0" w:space="0" w:color="auto"/>
        <w:left w:val="none" w:sz="0" w:space="0" w:color="auto"/>
        <w:bottom w:val="none" w:sz="0" w:space="0" w:color="auto"/>
        <w:right w:val="none" w:sz="0" w:space="0" w:color="auto"/>
      </w:divBdr>
      <w:divsChild>
        <w:div w:id="2136480946">
          <w:marLeft w:val="0"/>
          <w:marRight w:val="0"/>
          <w:marTop w:val="0"/>
          <w:marBottom w:val="0"/>
          <w:divBdr>
            <w:top w:val="none" w:sz="0" w:space="0" w:color="auto"/>
            <w:left w:val="none" w:sz="0" w:space="0" w:color="auto"/>
            <w:bottom w:val="none" w:sz="0" w:space="0" w:color="auto"/>
            <w:right w:val="none" w:sz="0" w:space="0" w:color="auto"/>
          </w:divBdr>
        </w:div>
      </w:divsChild>
    </w:div>
    <w:div w:id="1761949801">
      <w:bodyDiv w:val="1"/>
      <w:marLeft w:val="0"/>
      <w:marRight w:val="0"/>
      <w:marTop w:val="0"/>
      <w:marBottom w:val="0"/>
      <w:divBdr>
        <w:top w:val="none" w:sz="0" w:space="0" w:color="auto"/>
        <w:left w:val="none" w:sz="0" w:space="0" w:color="auto"/>
        <w:bottom w:val="none" w:sz="0" w:space="0" w:color="auto"/>
        <w:right w:val="none" w:sz="0" w:space="0" w:color="auto"/>
      </w:divBdr>
      <w:divsChild>
        <w:div w:id="1158502048">
          <w:marLeft w:val="0"/>
          <w:marRight w:val="0"/>
          <w:marTop w:val="0"/>
          <w:marBottom w:val="0"/>
          <w:divBdr>
            <w:top w:val="none" w:sz="0" w:space="0" w:color="auto"/>
            <w:left w:val="none" w:sz="0" w:space="0" w:color="auto"/>
            <w:bottom w:val="none" w:sz="0" w:space="0" w:color="auto"/>
            <w:right w:val="none" w:sz="0" w:space="0" w:color="auto"/>
          </w:divBdr>
        </w:div>
      </w:divsChild>
    </w:div>
    <w:div w:id="1764259650">
      <w:bodyDiv w:val="1"/>
      <w:marLeft w:val="0"/>
      <w:marRight w:val="0"/>
      <w:marTop w:val="0"/>
      <w:marBottom w:val="0"/>
      <w:divBdr>
        <w:top w:val="none" w:sz="0" w:space="0" w:color="auto"/>
        <w:left w:val="none" w:sz="0" w:space="0" w:color="auto"/>
        <w:bottom w:val="none" w:sz="0" w:space="0" w:color="auto"/>
        <w:right w:val="none" w:sz="0" w:space="0" w:color="auto"/>
      </w:divBdr>
      <w:divsChild>
        <w:div w:id="2093044778">
          <w:marLeft w:val="0"/>
          <w:marRight w:val="0"/>
          <w:marTop w:val="0"/>
          <w:marBottom w:val="0"/>
          <w:divBdr>
            <w:top w:val="none" w:sz="0" w:space="0" w:color="auto"/>
            <w:left w:val="none" w:sz="0" w:space="0" w:color="auto"/>
            <w:bottom w:val="none" w:sz="0" w:space="0" w:color="auto"/>
            <w:right w:val="none" w:sz="0" w:space="0" w:color="auto"/>
          </w:divBdr>
        </w:div>
      </w:divsChild>
    </w:div>
    <w:div w:id="1786655987">
      <w:bodyDiv w:val="1"/>
      <w:marLeft w:val="0"/>
      <w:marRight w:val="0"/>
      <w:marTop w:val="0"/>
      <w:marBottom w:val="0"/>
      <w:divBdr>
        <w:top w:val="none" w:sz="0" w:space="0" w:color="auto"/>
        <w:left w:val="none" w:sz="0" w:space="0" w:color="auto"/>
        <w:bottom w:val="none" w:sz="0" w:space="0" w:color="auto"/>
        <w:right w:val="none" w:sz="0" w:space="0" w:color="auto"/>
      </w:divBdr>
      <w:divsChild>
        <w:div w:id="2141916544">
          <w:marLeft w:val="0"/>
          <w:marRight w:val="0"/>
          <w:marTop w:val="0"/>
          <w:marBottom w:val="0"/>
          <w:divBdr>
            <w:top w:val="none" w:sz="0" w:space="0" w:color="auto"/>
            <w:left w:val="none" w:sz="0" w:space="0" w:color="auto"/>
            <w:bottom w:val="none" w:sz="0" w:space="0" w:color="auto"/>
            <w:right w:val="none" w:sz="0" w:space="0" w:color="auto"/>
          </w:divBdr>
        </w:div>
      </w:divsChild>
    </w:div>
    <w:div w:id="1794707127">
      <w:bodyDiv w:val="1"/>
      <w:marLeft w:val="0"/>
      <w:marRight w:val="0"/>
      <w:marTop w:val="0"/>
      <w:marBottom w:val="0"/>
      <w:divBdr>
        <w:top w:val="none" w:sz="0" w:space="0" w:color="auto"/>
        <w:left w:val="none" w:sz="0" w:space="0" w:color="auto"/>
        <w:bottom w:val="none" w:sz="0" w:space="0" w:color="auto"/>
        <w:right w:val="none" w:sz="0" w:space="0" w:color="auto"/>
      </w:divBdr>
      <w:divsChild>
        <w:div w:id="700399903">
          <w:marLeft w:val="0"/>
          <w:marRight w:val="0"/>
          <w:marTop w:val="0"/>
          <w:marBottom w:val="0"/>
          <w:divBdr>
            <w:top w:val="none" w:sz="0" w:space="0" w:color="auto"/>
            <w:left w:val="none" w:sz="0" w:space="0" w:color="auto"/>
            <w:bottom w:val="none" w:sz="0" w:space="0" w:color="auto"/>
            <w:right w:val="none" w:sz="0" w:space="0" w:color="auto"/>
          </w:divBdr>
        </w:div>
      </w:divsChild>
    </w:div>
    <w:div w:id="1801797142">
      <w:bodyDiv w:val="1"/>
      <w:marLeft w:val="0"/>
      <w:marRight w:val="0"/>
      <w:marTop w:val="0"/>
      <w:marBottom w:val="0"/>
      <w:divBdr>
        <w:top w:val="none" w:sz="0" w:space="0" w:color="auto"/>
        <w:left w:val="none" w:sz="0" w:space="0" w:color="auto"/>
        <w:bottom w:val="none" w:sz="0" w:space="0" w:color="auto"/>
        <w:right w:val="none" w:sz="0" w:space="0" w:color="auto"/>
      </w:divBdr>
      <w:divsChild>
        <w:div w:id="355084861">
          <w:marLeft w:val="0"/>
          <w:marRight w:val="0"/>
          <w:marTop w:val="0"/>
          <w:marBottom w:val="0"/>
          <w:divBdr>
            <w:top w:val="none" w:sz="0" w:space="0" w:color="auto"/>
            <w:left w:val="none" w:sz="0" w:space="0" w:color="auto"/>
            <w:bottom w:val="none" w:sz="0" w:space="0" w:color="auto"/>
            <w:right w:val="none" w:sz="0" w:space="0" w:color="auto"/>
          </w:divBdr>
        </w:div>
      </w:divsChild>
    </w:div>
    <w:div w:id="1812361665">
      <w:bodyDiv w:val="1"/>
      <w:marLeft w:val="0"/>
      <w:marRight w:val="0"/>
      <w:marTop w:val="0"/>
      <w:marBottom w:val="0"/>
      <w:divBdr>
        <w:top w:val="none" w:sz="0" w:space="0" w:color="auto"/>
        <w:left w:val="none" w:sz="0" w:space="0" w:color="auto"/>
        <w:bottom w:val="none" w:sz="0" w:space="0" w:color="auto"/>
        <w:right w:val="none" w:sz="0" w:space="0" w:color="auto"/>
      </w:divBdr>
      <w:divsChild>
        <w:div w:id="464272374">
          <w:marLeft w:val="0"/>
          <w:marRight w:val="0"/>
          <w:marTop w:val="0"/>
          <w:marBottom w:val="0"/>
          <w:divBdr>
            <w:top w:val="none" w:sz="0" w:space="0" w:color="auto"/>
            <w:left w:val="none" w:sz="0" w:space="0" w:color="auto"/>
            <w:bottom w:val="none" w:sz="0" w:space="0" w:color="auto"/>
            <w:right w:val="none" w:sz="0" w:space="0" w:color="auto"/>
          </w:divBdr>
        </w:div>
      </w:divsChild>
    </w:div>
    <w:div w:id="1812364800">
      <w:bodyDiv w:val="1"/>
      <w:marLeft w:val="0"/>
      <w:marRight w:val="0"/>
      <w:marTop w:val="0"/>
      <w:marBottom w:val="0"/>
      <w:divBdr>
        <w:top w:val="none" w:sz="0" w:space="0" w:color="auto"/>
        <w:left w:val="none" w:sz="0" w:space="0" w:color="auto"/>
        <w:bottom w:val="none" w:sz="0" w:space="0" w:color="auto"/>
        <w:right w:val="none" w:sz="0" w:space="0" w:color="auto"/>
      </w:divBdr>
      <w:divsChild>
        <w:div w:id="297803611">
          <w:marLeft w:val="0"/>
          <w:marRight w:val="0"/>
          <w:marTop w:val="0"/>
          <w:marBottom w:val="0"/>
          <w:divBdr>
            <w:top w:val="none" w:sz="0" w:space="0" w:color="auto"/>
            <w:left w:val="none" w:sz="0" w:space="0" w:color="auto"/>
            <w:bottom w:val="none" w:sz="0" w:space="0" w:color="auto"/>
            <w:right w:val="none" w:sz="0" w:space="0" w:color="auto"/>
          </w:divBdr>
        </w:div>
      </w:divsChild>
    </w:div>
    <w:div w:id="1830629232">
      <w:bodyDiv w:val="1"/>
      <w:marLeft w:val="0"/>
      <w:marRight w:val="0"/>
      <w:marTop w:val="0"/>
      <w:marBottom w:val="0"/>
      <w:divBdr>
        <w:top w:val="none" w:sz="0" w:space="0" w:color="auto"/>
        <w:left w:val="none" w:sz="0" w:space="0" w:color="auto"/>
        <w:bottom w:val="none" w:sz="0" w:space="0" w:color="auto"/>
        <w:right w:val="none" w:sz="0" w:space="0" w:color="auto"/>
      </w:divBdr>
      <w:divsChild>
        <w:div w:id="411896532">
          <w:marLeft w:val="0"/>
          <w:marRight w:val="0"/>
          <w:marTop w:val="0"/>
          <w:marBottom w:val="0"/>
          <w:divBdr>
            <w:top w:val="none" w:sz="0" w:space="0" w:color="auto"/>
            <w:left w:val="none" w:sz="0" w:space="0" w:color="auto"/>
            <w:bottom w:val="none" w:sz="0" w:space="0" w:color="auto"/>
            <w:right w:val="none" w:sz="0" w:space="0" w:color="auto"/>
          </w:divBdr>
        </w:div>
      </w:divsChild>
    </w:div>
    <w:div w:id="1830756027">
      <w:bodyDiv w:val="1"/>
      <w:marLeft w:val="0"/>
      <w:marRight w:val="0"/>
      <w:marTop w:val="0"/>
      <w:marBottom w:val="0"/>
      <w:divBdr>
        <w:top w:val="none" w:sz="0" w:space="0" w:color="auto"/>
        <w:left w:val="none" w:sz="0" w:space="0" w:color="auto"/>
        <w:bottom w:val="none" w:sz="0" w:space="0" w:color="auto"/>
        <w:right w:val="none" w:sz="0" w:space="0" w:color="auto"/>
      </w:divBdr>
      <w:divsChild>
        <w:div w:id="1728534016">
          <w:marLeft w:val="0"/>
          <w:marRight w:val="0"/>
          <w:marTop w:val="0"/>
          <w:marBottom w:val="0"/>
          <w:divBdr>
            <w:top w:val="none" w:sz="0" w:space="0" w:color="auto"/>
            <w:left w:val="none" w:sz="0" w:space="0" w:color="auto"/>
            <w:bottom w:val="none" w:sz="0" w:space="0" w:color="auto"/>
            <w:right w:val="none" w:sz="0" w:space="0" w:color="auto"/>
          </w:divBdr>
        </w:div>
      </w:divsChild>
    </w:div>
    <w:div w:id="1834642854">
      <w:bodyDiv w:val="1"/>
      <w:marLeft w:val="0"/>
      <w:marRight w:val="0"/>
      <w:marTop w:val="0"/>
      <w:marBottom w:val="0"/>
      <w:divBdr>
        <w:top w:val="none" w:sz="0" w:space="0" w:color="auto"/>
        <w:left w:val="none" w:sz="0" w:space="0" w:color="auto"/>
        <w:bottom w:val="none" w:sz="0" w:space="0" w:color="auto"/>
        <w:right w:val="none" w:sz="0" w:space="0" w:color="auto"/>
      </w:divBdr>
      <w:divsChild>
        <w:div w:id="1352534143">
          <w:marLeft w:val="0"/>
          <w:marRight w:val="0"/>
          <w:marTop w:val="0"/>
          <w:marBottom w:val="0"/>
          <w:divBdr>
            <w:top w:val="none" w:sz="0" w:space="0" w:color="auto"/>
            <w:left w:val="none" w:sz="0" w:space="0" w:color="auto"/>
            <w:bottom w:val="none" w:sz="0" w:space="0" w:color="auto"/>
            <w:right w:val="none" w:sz="0" w:space="0" w:color="auto"/>
          </w:divBdr>
        </w:div>
      </w:divsChild>
    </w:div>
    <w:div w:id="1845822924">
      <w:bodyDiv w:val="1"/>
      <w:marLeft w:val="0"/>
      <w:marRight w:val="0"/>
      <w:marTop w:val="0"/>
      <w:marBottom w:val="0"/>
      <w:divBdr>
        <w:top w:val="none" w:sz="0" w:space="0" w:color="auto"/>
        <w:left w:val="none" w:sz="0" w:space="0" w:color="auto"/>
        <w:bottom w:val="none" w:sz="0" w:space="0" w:color="auto"/>
        <w:right w:val="none" w:sz="0" w:space="0" w:color="auto"/>
      </w:divBdr>
      <w:divsChild>
        <w:div w:id="917058870">
          <w:marLeft w:val="0"/>
          <w:marRight w:val="0"/>
          <w:marTop w:val="0"/>
          <w:marBottom w:val="0"/>
          <w:divBdr>
            <w:top w:val="none" w:sz="0" w:space="0" w:color="auto"/>
            <w:left w:val="none" w:sz="0" w:space="0" w:color="auto"/>
            <w:bottom w:val="none" w:sz="0" w:space="0" w:color="auto"/>
            <w:right w:val="none" w:sz="0" w:space="0" w:color="auto"/>
          </w:divBdr>
        </w:div>
      </w:divsChild>
    </w:div>
    <w:div w:id="1848715334">
      <w:bodyDiv w:val="1"/>
      <w:marLeft w:val="0"/>
      <w:marRight w:val="0"/>
      <w:marTop w:val="0"/>
      <w:marBottom w:val="0"/>
      <w:divBdr>
        <w:top w:val="none" w:sz="0" w:space="0" w:color="auto"/>
        <w:left w:val="none" w:sz="0" w:space="0" w:color="auto"/>
        <w:bottom w:val="none" w:sz="0" w:space="0" w:color="auto"/>
        <w:right w:val="none" w:sz="0" w:space="0" w:color="auto"/>
      </w:divBdr>
      <w:divsChild>
        <w:div w:id="1209534541">
          <w:marLeft w:val="0"/>
          <w:marRight w:val="0"/>
          <w:marTop w:val="0"/>
          <w:marBottom w:val="0"/>
          <w:divBdr>
            <w:top w:val="none" w:sz="0" w:space="0" w:color="auto"/>
            <w:left w:val="none" w:sz="0" w:space="0" w:color="auto"/>
            <w:bottom w:val="none" w:sz="0" w:space="0" w:color="auto"/>
            <w:right w:val="none" w:sz="0" w:space="0" w:color="auto"/>
          </w:divBdr>
        </w:div>
      </w:divsChild>
    </w:div>
    <w:div w:id="1852182303">
      <w:bodyDiv w:val="1"/>
      <w:marLeft w:val="0"/>
      <w:marRight w:val="0"/>
      <w:marTop w:val="0"/>
      <w:marBottom w:val="0"/>
      <w:divBdr>
        <w:top w:val="none" w:sz="0" w:space="0" w:color="auto"/>
        <w:left w:val="none" w:sz="0" w:space="0" w:color="auto"/>
        <w:bottom w:val="none" w:sz="0" w:space="0" w:color="auto"/>
        <w:right w:val="none" w:sz="0" w:space="0" w:color="auto"/>
      </w:divBdr>
      <w:divsChild>
        <w:div w:id="133958289">
          <w:marLeft w:val="0"/>
          <w:marRight w:val="0"/>
          <w:marTop w:val="0"/>
          <w:marBottom w:val="0"/>
          <w:divBdr>
            <w:top w:val="none" w:sz="0" w:space="0" w:color="auto"/>
            <w:left w:val="none" w:sz="0" w:space="0" w:color="auto"/>
            <w:bottom w:val="none" w:sz="0" w:space="0" w:color="auto"/>
            <w:right w:val="none" w:sz="0" w:space="0" w:color="auto"/>
          </w:divBdr>
        </w:div>
      </w:divsChild>
    </w:div>
    <w:div w:id="1852530986">
      <w:bodyDiv w:val="1"/>
      <w:marLeft w:val="0"/>
      <w:marRight w:val="0"/>
      <w:marTop w:val="0"/>
      <w:marBottom w:val="0"/>
      <w:divBdr>
        <w:top w:val="none" w:sz="0" w:space="0" w:color="auto"/>
        <w:left w:val="none" w:sz="0" w:space="0" w:color="auto"/>
        <w:bottom w:val="none" w:sz="0" w:space="0" w:color="auto"/>
        <w:right w:val="none" w:sz="0" w:space="0" w:color="auto"/>
      </w:divBdr>
      <w:divsChild>
        <w:div w:id="505750857">
          <w:marLeft w:val="0"/>
          <w:marRight w:val="0"/>
          <w:marTop w:val="0"/>
          <w:marBottom w:val="0"/>
          <w:divBdr>
            <w:top w:val="none" w:sz="0" w:space="0" w:color="auto"/>
            <w:left w:val="none" w:sz="0" w:space="0" w:color="auto"/>
            <w:bottom w:val="none" w:sz="0" w:space="0" w:color="auto"/>
            <w:right w:val="none" w:sz="0" w:space="0" w:color="auto"/>
          </w:divBdr>
        </w:div>
      </w:divsChild>
    </w:div>
    <w:div w:id="1856453238">
      <w:bodyDiv w:val="1"/>
      <w:marLeft w:val="0"/>
      <w:marRight w:val="0"/>
      <w:marTop w:val="0"/>
      <w:marBottom w:val="0"/>
      <w:divBdr>
        <w:top w:val="none" w:sz="0" w:space="0" w:color="auto"/>
        <w:left w:val="none" w:sz="0" w:space="0" w:color="auto"/>
        <w:bottom w:val="none" w:sz="0" w:space="0" w:color="auto"/>
        <w:right w:val="none" w:sz="0" w:space="0" w:color="auto"/>
      </w:divBdr>
    </w:div>
    <w:div w:id="1865822501">
      <w:bodyDiv w:val="1"/>
      <w:marLeft w:val="0"/>
      <w:marRight w:val="0"/>
      <w:marTop w:val="0"/>
      <w:marBottom w:val="0"/>
      <w:divBdr>
        <w:top w:val="none" w:sz="0" w:space="0" w:color="auto"/>
        <w:left w:val="none" w:sz="0" w:space="0" w:color="auto"/>
        <w:bottom w:val="none" w:sz="0" w:space="0" w:color="auto"/>
        <w:right w:val="none" w:sz="0" w:space="0" w:color="auto"/>
      </w:divBdr>
      <w:divsChild>
        <w:div w:id="5255364">
          <w:marLeft w:val="0"/>
          <w:marRight w:val="0"/>
          <w:marTop w:val="0"/>
          <w:marBottom w:val="0"/>
          <w:divBdr>
            <w:top w:val="none" w:sz="0" w:space="0" w:color="auto"/>
            <w:left w:val="none" w:sz="0" w:space="0" w:color="auto"/>
            <w:bottom w:val="none" w:sz="0" w:space="0" w:color="auto"/>
            <w:right w:val="none" w:sz="0" w:space="0" w:color="auto"/>
          </w:divBdr>
        </w:div>
      </w:divsChild>
    </w:div>
    <w:div w:id="1870988255">
      <w:bodyDiv w:val="1"/>
      <w:marLeft w:val="0"/>
      <w:marRight w:val="0"/>
      <w:marTop w:val="0"/>
      <w:marBottom w:val="0"/>
      <w:divBdr>
        <w:top w:val="none" w:sz="0" w:space="0" w:color="auto"/>
        <w:left w:val="none" w:sz="0" w:space="0" w:color="auto"/>
        <w:bottom w:val="none" w:sz="0" w:space="0" w:color="auto"/>
        <w:right w:val="none" w:sz="0" w:space="0" w:color="auto"/>
      </w:divBdr>
      <w:divsChild>
        <w:div w:id="497231534">
          <w:marLeft w:val="0"/>
          <w:marRight w:val="0"/>
          <w:marTop w:val="0"/>
          <w:marBottom w:val="0"/>
          <w:divBdr>
            <w:top w:val="none" w:sz="0" w:space="0" w:color="auto"/>
            <w:left w:val="none" w:sz="0" w:space="0" w:color="auto"/>
            <w:bottom w:val="none" w:sz="0" w:space="0" w:color="auto"/>
            <w:right w:val="none" w:sz="0" w:space="0" w:color="auto"/>
          </w:divBdr>
        </w:div>
      </w:divsChild>
    </w:div>
    <w:div w:id="1882744464">
      <w:bodyDiv w:val="1"/>
      <w:marLeft w:val="0"/>
      <w:marRight w:val="0"/>
      <w:marTop w:val="0"/>
      <w:marBottom w:val="0"/>
      <w:divBdr>
        <w:top w:val="none" w:sz="0" w:space="0" w:color="auto"/>
        <w:left w:val="none" w:sz="0" w:space="0" w:color="auto"/>
        <w:bottom w:val="none" w:sz="0" w:space="0" w:color="auto"/>
        <w:right w:val="none" w:sz="0" w:space="0" w:color="auto"/>
      </w:divBdr>
      <w:divsChild>
        <w:div w:id="1284538296">
          <w:marLeft w:val="0"/>
          <w:marRight w:val="0"/>
          <w:marTop w:val="0"/>
          <w:marBottom w:val="0"/>
          <w:divBdr>
            <w:top w:val="none" w:sz="0" w:space="0" w:color="auto"/>
            <w:left w:val="none" w:sz="0" w:space="0" w:color="auto"/>
            <w:bottom w:val="none" w:sz="0" w:space="0" w:color="auto"/>
            <w:right w:val="none" w:sz="0" w:space="0" w:color="auto"/>
          </w:divBdr>
        </w:div>
      </w:divsChild>
    </w:div>
    <w:div w:id="1885170726">
      <w:bodyDiv w:val="1"/>
      <w:marLeft w:val="0"/>
      <w:marRight w:val="0"/>
      <w:marTop w:val="0"/>
      <w:marBottom w:val="0"/>
      <w:divBdr>
        <w:top w:val="none" w:sz="0" w:space="0" w:color="auto"/>
        <w:left w:val="none" w:sz="0" w:space="0" w:color="auto"/>
        <w:bottom w:val="none" w:sz="0" w:space="0" w:color="auto"/>
        <w:right w:val="none" w:sz="0" w:space="0" w:color="auto"/>
      </w:divBdr>
      <w:divsChild>
        <w:div w:id="1028874456">
          <w:marLeft w:val="0"/>
          <w:marRight w:val="0"/>
          <w:marTop w:val="0"/>
          <w:marBottom w:val="0"/>
          <w:divBdr>
            <w:top w:val="none" w:sz="0" w:space="0" w:color="auto"/>
            <w:left w:val="none" w:sz="0" w:space="0" w:color="auto"/>
            <w:bottom w:val="none" w:sz="0" w:space="0" w:color="auto"/>
            <w:right w:val="none" w:sz="0" w:space="0" w:color="auto"/>
          </w:divBdr>
        </w:div>
      </w:divsChild>
    </w:div>
    <w:div w:id="1894392093">
      <w:bodyDiv w:val="1"/>
      <w:marLeft w:val="0"/>
      <w:marRight w:val="0"/>
      <w:marTop w:val="0"/>
      <w:marBottom w:val="0"/>
      <w:divBdr>
        <w:top w:val="none" w:sz="0" w:space="0" w:color="auto"/>
        <w:left w:val="none" w:sz="0" w:space="0" w:color="auto"/>
        <w:bottom w:val="none" w:sz="0" w:space="0" w:color="auto"/>
        <w:right w:val="none" w:sz="0" w:space="0" w:color="auto"/>
      </w:divBdr>
      <w:divsChild>
        <w:div w:id="1247692317">
          <w:marLeft w:val="0"/>
          <w:marRight w:val="0"/>
          <w:marTop w:val="0"/>
          <w:marBottom w:val="0"/>
          <w:divBdr>
            <w:top w:val="none" w:sz="0" w:space="0" w:color="auto"/>
            <w:left w:val="none" w:sz="0" w:space="0" w:color="auto"/>
            <w:bottom w:val="none" w:sz="0" w:space="0" w:color="auto"/>
            <w:right w:val="none" w:sz="0" w:space="0" w:color="auto"/>
          </w:divBdr>
        </w:div>
      </w:divsChild>
    </w:div>
    <w:div w:id="1902784002">
      <w:bodyDiv w:val="1"/>
      <w:marLeft w:val="0"/>
      <w:marRight w:val="0"/>
      <w:marTop w:val="0"/>
      <w:marBottom w:val="0"/>
      <w:divBdr>
        <w:top w:val="none" w:sz="0" w:space="0" w:color="auto"/>
        <w:left w:val="none" w:sz="0" w:space="0" w:color="auto"/>
        <w:bottom w:val="none" w:sz="0" w:space="0" w:color="auto"/>
        <w:right w:val="none" w:sz="0" w:space="0" w:color="auto"/>
      </w:divBdr>
      <w:divsChild>
        <w:div w:id="1065371142">
          <w:marLeft w:val="0"/>
          <w:marRight w:val="0"/>
          <w:marTop w:val="0"/>
          <w:marBottom w:val="0"/>
          <w:divBdr>
            <w:top w:val="none" w:sz="0" w:space="0" w:color="auto"/>
            <w:left w:val="none" w:sz="0" w:space="0" w:color="auto"/>
            <w:bottom w:val="none" w:sz="0" w:space="0" w:color="auto"/>
            <w:right w:val="none" w:sz="0" w:space="0" w:color="auto"/>
          </w:divBdr>
        </w:div>
      </w:divsChild>
    </w:div>
    <w:div w:id="1906452352">
      <w:bodyDiv w:val="1"/>
      <w:marLeft w:val="0"/>
      <w:marRight w:val="0"/>
      <w:marTop w:val="0"/>
      <w:marBottom w:val="0"/>
      <w:divBdr>
        <w:top w:val="none" w:sz="0" w:space="0" w:color="auto"/>
        <w:left w:val="none" w:sz="0" w:space="0" w:color="auto"/>
        <w:bottom w:val="none" w:sz="0" w:space="0" w:color="auto"/>
        <w:right w:val="none" w:sz="0" w:space="0" w:color="auto"/>
      </w:divBdr>
      <w:divsChild>
        <w:div w:id="94443404">
          <w:marLeft w:val="0"/>
          <w:marRight w:val="0"/>
          <w:marTop w:val="0"/>
          <w:marBottom w:val="0"/>
          <w:divBdr>
            <w:top w:val="none" w:sz="0" w:space="0" w:color="auto"/>
            <w:left w:val="none" w:sz="0" w:space="0" w:color="auto"/>
            <w:bottom w:val="none" w:sz="0" w:space="0" w:color="auto"/>
            <w:right w:val="none" w:sz="0" w:space="0" w:color="auto"/>
          </w:divBdr>
        </w:div>
      </w:divsChild>
    </w:div>
    <w:div w:id="1908805753">
      <w:bodyDiv w:val="1"/>
      <w:marLeft w:val="0"/>
      <w:marRight w:val="0"/>
      <w:marTop w:val="0"/>
      <w:marBottom w:val="0"/>
      <w:divBdr>
        <w:top w:val="none" w:sz="0" w:space="0" w:color="auto"/>
        <w:left w:val="none" w:sz="0" w:space="0" w:color="auto"/>
        <w:bottom w:val="none" w:sz="0" w:space="0" w:color="auto"/>
        <w:right w:val="none" w:sz="0" w:space="0" w:color="auto"/>
      </w:divBdr>
      <w:divsChild>
        <w:div w:id="346448225">
          <w:marLeft w:val="0"/>
          <w:marRight w:val="0"/>
          <w:marTop w:val="0"/>
          <w:marBottom w:val="0"/>
          <w:divBdr>
            <w:top w:val="none" w:sz="0" w:space="0" w:color="auto"/>
            <w:left w:val="none" w:sz="0" w:space="0" w:color="auto"/>
            <w:bottom w:val="none" w:sz="0" w:space="0" w:color="auto"/>
            <w:right w:val="none" w:sz="0" w:space="0" w:color="auto"/>
          </w:divBdr>
        </w:div>
      </w:divsChild>
    </w:div>
    <w:div w:id="1910379699">
      <w:bodyDiv w:val="1"/>
      <w:marLeft w:val="0"/>
      <w:marRight w:val="0"/>
      <w:marTop w:val="0"/>
      <w:marBottom w:val="0"/>
      <w:divBdr>
        <w:top w:val="none" w:sz="0" w:space="0" w:color="auto"/>
        <w:left w:val="none" w:sz="0" w:space="0" w:color="auto"/>
        <w:bottom w:val="none" w:sz="0" w:space="0" w:color="auto"/>
        <w:right w:val="none" w:sz="0" w:space="0" w:color="auto"/>
      </w:divBdr>
      <w:divsChild>
        <w:div w:id="1381052919">
          <w:marLeft w:val="0"/>
          <w:marRight w:val="0"/>
          <w:marTop w:val="0"/>
          <w:marBottom w:val="0"/>
          <w:divBdr>
            <w:top w:val="none" w:sz="0" w:space="0" w:color="auto"/>
            <w:left w:val="none" w:sz="0" w:space="0" w:color="auto"/>
            <w:bottom w:val="none" w:sz="0" w:space="0" w:color="auto"/>
            <w:right w:val="none" w:sz="0" w:space="0" w:color="auto"/>
          </w:divBdr>
        </w:div>
      </w:divsChild>
    </w:div>
    <w:div w:id="1936553312">
      <w:bodyDiv w:val="1"/>
      <w:marLeft w:val="0"/>
      <w:marRight w:val="0"/>
      <w:marTop w:val="0"/>
      <w:marBottom w:val="0"/>
      <w:divBdr>
        <w:top w:val="none" w:sz="0" w:space="0" w:color="auto"/>
        <w:left w:val="none" w:sz="0" w:space="0" w:color="auto"/>
        <w:bottom w:val="none" w:sz="0" w:space="0" w:color="auto"/>
        <w:right w:val="none" w:sz="0" w:space="0" w:color="auto"/>
      </w:divBdr>
      <w:divsChild>
        <w:div w:id="1501775259">
          <w:marLeft w:val="0"/>
          <w:marRight w:val="0"/>
          <w:marTop w:val="0"/>
          <w:marBottom w:val="0"/>
          <w:divBdr>
            <w:top w:val="none" w:sz="0" w:space="0" w:color="auto"/>
            <w:left w:val="none" w:sz="0" w:space="0" w:color="auto"/>
            <w:bottom w:val="none" w:sz="0" w:space="0" w:color="auto"/>
            <w:right w:val="none" w:sz="0" w:space="0" w:color="auto"/>
          </w:divBdr>
        </w:div>
      </w:divsChild>
    </w:div>
    <w:div w:id="1940285207">
      <w:bodyDiv w:val="1"/>
      <w:marLeft w:val="0"/>
      <w:marRight w:val="0"/>
      <w:marTop w:val="0"/>
      <w:marBottom w:val="0"/>
      <w:divBdr>
        <w:top w:val="none" w:sz="0" w:space="0" w:color="auto"/>
        <w:left w:val="none" w:sz="0" w:space="0" w:color="auto"/>
        <w:bottom w:val="none" w:sz="0" w:space="0" w:color="auto"/>
        <w:right w:val="none" w:sz="0" w:space="0" w:color="auto"/>
      </w:divBdr>
      <w:divsChild>
        <w:div w:id="944112046">
          <w:marLeft w:val="0"/>
          <w:marRight w:val="0"/>
          <w:marTop w:val="0"/>
          <w:marBottom w:val="0"/>
          <w:divBdr>
            <w:top w:val="none" w:sz="0" w:space="0" w:color="auto"/>
            <w:left w:val="none" w:sz="0" w:space="0" w:color="auto"/>
            <w:bottom w:val="none" w:sz="0" w:space="0" w:color="auto"/>
            <w:right w:val="none" w:sz="0" w:space="0" w:color="auto"/>
          </w:divBdr>
        </w:div>
      </w:divsChild>
    </w:div>
    <w:div w:id="1964532061">
      <w:bodyDiv w:val="1"/>
      <w:marLeft w:val="0"/>
      <w:marRight w:val="0"/>
      <w:marTop w:val="0"/>
      <w:marBottom w:val="0"/>
      <w:divBdr>
        <w:top w:val="none" w:sz="0" w:space="0" w:color="auto"/>
        <w:left w:val="none" w:sz="0" w:space="0" w:color="auto"/>
        <w:bottom w:val="none" w:sz="0" w:space="0" w:color="auto"/>
        <w:right w:val="none" w:sz="0" w:space="0" w:color="auto"/>
      </w:divBdr>
      <w:divsChild>
        <w:div w:id="514928396">
          <w:marLeft w:val="0"/>
          <w:marRight w:val="0"/>
          <w:marTop w:val="0"/>
          <w:marBottom w:val="0"/>
          <w:divBdr>
            <w:top w:val="none" w:sz="0" w:space="0" w:color="auto"/>
            <w:left w:val="none" w:sz="0" w:space="0" w:color="auto"/>
            <w:bottom w:val="none" w:sz="0" w:space="0" w:color="auto"/>
            <w:right w:val="none" w:sz="0" w:space="0" w:color="auto"/>
          </w:divBdr>
        </w:div>
      </w:divsChild>
    </w:div>
    <w:div w:id="1971862290">
      <w:bodyDiv w:val="1"/>
      <w:marLeft w:val="0"/>
      <w:marRight w:val="0"/>
      <w:marTop w:val="0"/>
      <w:marBottom w:val="0"/>
      <w:divBdr>
        <w:top w:val="none" w:sz="0" w:space="0" w:color="auto"/>
        <w:left w:val="none" w:sz="0" w:space="0" w:color="auto"/>
        <w:bottom w:val="none" w:sz="0" w:space="0" w:color="auto"/>
        <w:right w:val="none" w:sz="0" w:space="0" w:color="auto"/>
      </w:divBdr>
      <w:divsChild>
        <w:div w:id="1199587969">
          <w:marLeft w:val="0"/>
          <w:marRight w:val="0"/>
          <w:marTop w:val="0"/>
          <w:marBottom w:val="0"/>
          <w:divBdr>
            <w:top w:val="none" w:sz="0" w:space="0" w:color="auto"/>
            <w:left w:val="none" w:sz="0" w:space="0" w:color="auto"/>
            <w:bottom w:val="none" w:sz="0" w:space="0" w:color="auto"/>
            <w:right w:val="none" w:sz="0" w:space="0" w:color="auto"/>
          </w:divBdr>
        </w:div>
      </w:divsChild>
    </w:div>
    <w:div w:id="1978292084">
      <w:bodyDiv w:val="1"/>
      <w:marLeft w:val="0"/>
      <w:marRight w:val="0"/>
      <w:marTop w:val="0"/>
      <w:marBottom w:val="0"/>
      <w:divBdr>
        <w:top w:val="none" w:sz="0" w:space="0" w:color="auto"/>
        <w:left w:val="none" w:sz="0" w:space="0" w:color="auto"/>
        <w:bottom w:val="none" w:sz="0" w:space="0" w:color="auto"/>
        <w:right w:val="none" w:sz="0" w:space="0" w:color="auto"/>
      </w:divBdr>
      <w:divsChild>
        <w:div w:id="333656210">
          <w:marLeft w:val="0"/>
          <w:marRight w:val="0"/>
          <w:marTop w:val="0"/>
          <w:marBottom w:val="0"/>
          <w:divBdr>
            <w:top w:val="none" w:sz="0" w:space="0" w:color="auto"/>
            <w:left w:val="none" w:sz="0" w:space="0" w:color="auto"/>
            <w:bottom w:val="none" w:sz="0" w:space="0" w:color="auto"/>
            <w:right w:val="none" w:sz="0" w:space="0" w:color="auto"/>
          </w:divBdr>
        </w:div>
      </w:divsChild>
    </w:div>
    <w:div w:id="1994410277">
      <w:bodyDiv w:val="1"/>
      <w:marLeft w:val="0"/>
      <w:marRight w:val="0"/>
      <w:marTop w:val="0"/>
      <w:marBottom w:val="0"/>
      <w:divBdr>
        <w:top w:val="none" w:sz="0" w:space="0" w:color="auto"/>
        <w:left w:val="none" w:sz="0" w:space="0" w:color="auto"/>
        <w:bottom w:val="none" w:sz="0" w:space="0" w:color="auto"/>
        <w:right w:val="none" w:sz="0" w:space="0" w:color="auto"/>
      </w:divBdr>
      <w:divsChild>
        <w:div w:id="1186210618">
          <w:marLeft w:val="0"/>
          <w:marRight w:val="0"/>
          <w:marTop w:val="0"/>
          <w:marBottom w:val="0"/>
          <w:divBdr>
            <w:top w:val="none" w:sz="0" w:space="0" w:color="auto"/>
            <w:left w:val="none" w:sz="0" w:space="0" w:color="auto"/>
            <w:bottom w:val="none" w:sz="0" w:space="0" w:color="auto"/>
            <w:right w:val="none" w:sz="0" w:space="0" w:color="auto"/>
          </w:divBdr>
        </w:div>
      </w:divsChild>
    </w:div>
    <w:div w:id="2002808995">
      <w:bodyDiv w:val="1"/>
      <w:marLeft w:val="0"/>
      <w:marRight w:val="0"/>
      <w:marTop w:val="0"/>
      <w:marBottom w:val="0"/>
      <w:divBdr>
        <w:top w:val="none" w:sz="0" w:space="0" w:color="auto"/>
        <w:left w:val="none" w:sz="0" w:space="0" w:color="auto"/>
        <w:bottom w:val="none" w:sz="0" w:space="0" w:color="auto"/>
        <w:right w:val="none" w:sz="0" w:space="0" w:color="auto"/>
      </w:divBdr>
      <w:divsChild>
        <w:div w:id="1820686804">
          <w:marLeft w:val="0"/>
          <w:marRight w:val="0"/>
          <w:marTop w:val="0"/>
          <w:marBottom w:val="0"/>
          <w:divBdr>
            <w:top w:val="none" w:sz="0" w:space="0" w:color="auto"/>
            <w:left w:val="none" w:sz="0" w:space="0" w:color="auto"/>
            <w:bottom w:val="none" w:sz="0" w:space="0" w:color="auto"/>
            <w:right w:val="none" w:sz="0" w:space="0" w:color="auto"/>
          </w:divBdr>
        </w:div>
      </w:divsChild>
    </w:div>
    <w:div w:id="2018846431">
      <w:bodyDiv w:val="1"/>
      <w:marLeft w:val="0"/>
      <w:marRight w:val="0"/>
      <w:marTop w:val="0"/>
      <w:marBottom w:val="0"/>
      <w:divBdr>
        <w:top w:val="none" w:sz="0" w:space="0" w:color="auto"/>
        <w:left w:val="none" w:sz="0" w:space="0" w:color="auto"/>
        <w:bottom w:val="none" w:sz="0" w:space="0" w:color="auto"/>
        <w:right w:val="none" w:sz="0" w:space="0" w:color="auto"/>
      </w:divBdr>
      <w:divsChild>
        <w:div w:id="1405182492">
          <w:marLeft w:val="0"/>
          <w:marRight w:val="0"/>
          <w:marTop w:val="0"/>
          <w:marBottom w:val="0"/>
          <w:divBdr>
            <w:top w:val="none" w:sz="0" w:space="0" w:color="auto"/>
            <w:left w:val="none" w:sz="0" w:space="0" w:color="auto"/>
            <w:bottom w:val="none" w:sz="0" w:space="0" w:color="auto"/>
            <w:right w:val="none" w:sz="0" w:space="0" w:color="auto"/>
          </w:divBdr>
        </w:div>
      </w:divsChild>
    </w:div>
    <w:div w:id="2045866779">
      <w:bodyDiv w:val="1"/>
      <w:marLeft w:val="0"/>
      <w:marRight w:val="0"/>
      <w:marTop w:val="0"/>
      <w:marBottom w:val="0"/>
      <w:divBdr>
        <w:top w:val="none" w:sz="0" w:space="0" w:color="auto"/>
        <w:left w:val="none" w:sz="0" w:space="0" w:color="auto"/>
        <w:bottom w:val="none" w:sz="0" w:space="0" w:color="auto"/>
        <w:right w:val="none" w:sz="0" w:space="0" w:color="auto"/>
      </w:divBdr>
      <w:divsChild>
        <w:div w:id="2028168259">
          <w:marLeft w:val="0"/>
          <w:marRight w:val="0"/>
          <w:marTop w:val="0"/>
          <w:marBottom w:val="0"/>
          <w:divBdr>
            <w:top w:val="none" w:sz="0" w:space="0" w:color="auto"/>
            <w:left w:val="none" w:sz="0" w:space="0" w:color="auto"/>
            <w:bottom w:val="none" w:sz="0" w:space="0" w:color="auto"/>
            <w:right w:val="none" w:sz="0" w:space="0" w:color="auto"/>
          </w:divBdr>
        </w:div>
      </w:divsChild>
    </w:div>
    <w:div w:id="2056927167">
      <w:bodyDiv w:val="1"/>
      <w:marLeft w:val="0"/>
      <w:marRight w:val="0"/>
      <w:marTop w:val="0"/>
      <w:marBottom w:val="0"/>
      <w:divBdr>
        <w:top w:val="none" w:sz="0" w:space="0" w:color="auto"/>
        <w:left w:val="none" w:sz="0" w:space="0" w:color="auto"/>
        <w:bottom w:val="none" w:sz="0" w:space="0" w:color="auto"/>
        <w:right w:val="none" w:sz="0" w:space="0" w:color="auto"/>
      </w:divBdr>
      <w:divsChild>
        <w:div w:id="1152677312">
          <w:marLeft w:val="0"/>
          <w:marRight w:val="0"/>
          <w:marTop w:val="0"/>
          <w:marBottom w:val="0"/>
          <w:divBdr>
            <w:top w:val="none" w:sz="0" w:space="0" w:color="auto"/>
            <w:left w:val="none" w:sz="0" w:space="0" w:color="auto"/>
            <w:bottom w:val="none" w:sz="0" w:space="0" w:color="auto"/>
            <w:right w:val="none" w:sz="0" w:space="0" w:color="auto"/>
          </w:divBdr>
        </w:div>
      </w:divsChild>
    </w:div>
    <w:div w:id="2060861681">
      <w:bodyDiv w:val="1"/>
      <w:marLeft w:val="0"/>
      <w:marRight w:val="0"/>
      <w:marTop w:val="0"/>
      <w:marBottom w:val="0"/>
      <w:divBdr>
        <w:top w:val="none" w:sz="0" w:space="0" w:color="auto"/>
        <w:left w:val="none" w:sz="0" w:space="0" w:color="auto"/>
        <w:bottom w:val="none" w:sz="0" w:space="0" w:color="auto"/>
        <w:right w:val="none" w:sz="0" w:space="0" w:color="auto"/>
      </w:divBdr>
      <w:divsChild>
        <w:div w:id="284777702">
          <w:marLeft w:val="0"/>
          <w:marRight w:val="0"/>
          <w:marTop w:val="0"/>
          <w:marBottom w:val="0"/>
          <w:divBdr>
            <w:top w:val="none" w:sz="0" w:space="0" w:color="auto"/>
            <w:left w:val="none" w:sz="0" w:space="0" w:color="auto"/>
            <w:bottom w:val="none" w:sz="0" w:space="0" w:color="auto"/>
            <w:right w:val="none" w:sz="0" w:space="0" w:color="auto"/>
          </w:divBdr>
        </w:div>
      </w:divsChild>
    </w:div>
    <w:div w:id="2062319239">
      <w:bodyDiv w:val="1"/>
      <w:marLeft w:val="0"/>
      <w:marRight w:val="0"/>
      <w:marTop w:val="0"/>
      <w:marBottom w:val="0"/>
      <w:divBdr>
        <w:top w:val="none" w:sz="0" w:space="0" w:color="auto"/>
        <w:left w:val="none" w:sz="0" w:space="0" w:color="auto"/>
        <w:bottom w:val="none" w:sz="0" w:space="0" w:color="auto"/>
        <w:right w:val="none" w:sz="0" w:space="0" w:color="auto"/>
      </w:divBdr>
      <w:divsChild>
        <w:div w:id="2105034003">
          <w:marLeft w:val="0"/>
          <w:marRight w:val="0"/>
          <w:marTop w:val="0"/>
          <w:marBottom w:val="0"/>
          <w:divBdr>
            <w:top w:val="none" w:sz="0" w:space="0" w:color="auto"/>
            <w:left w:val="none" w:sz="0" w:space="0" w:color="auto"/>
            <w:bottom w:val="none" w:sz="0" w:space="0" w:color="auto"/>
            <w:right w:val="none" w:sz="0" w:space="0" w:color="auto"/>
          </w:divBdr>
        </w:div>
      </w:divsChild>
    </w:div>
    <w:div w:id="2070835502">
      <w:bodyDiv w:val="1"/>
      <w:marLeft w:val="0"/>
      <w:marRight w:val="0"/>
      <w:marTop w:val="0"/>
      <w:marBottom w:val="0"/>
      <w:divBdr>
        <w:top w:val="none" w:sz="0" w:space="0" w:color="auto"/>
        <w:left w:val="none" w:sz="0" w:space="0" w:color="auto"/>
        <w:bottom w:val="none" w:sz="0" w:space="0" w:color="auto"/>
        <w:right w:val="none" w:sz="0" w:space="0" w:color="auto"/>
      </w:divBdr>
      <w:divsChild>
        <w:div w:id="1611694032">
          <w:marLeft w:val="0"/>
          <w:marRight w:val="0"/>
          <w:marTop w:val="0"/>
          <w:marBottom w:val="0"/>
          <w:divBdr>
            <w:top w:val="none" w:sz="0" w:space="0" w:color="auto"/>
            <w:left w:val="none" w:sz="0" w:space="0" w:color="auto"/>
            <w:bottom w:val="none" w:sz="0" w:space="0" w:color="auto"/>
            <w:right w:val="none" w:sz="0" w:space="0" w:color="auto"/>
          </w:divBdr>
        </w:div>
      </w:divsChild>
    </w:div>
    <w:div w:id="2086874297">
      <w:bodyDiv w:val="1"/>
      <w:marLeft w:val="0"/>
      <w:marRight w:val="0"/>
      <w:marTop w:val="0"/>
      <w:marBottom w:val="0"/>
      <w:divBdr>
        <w:top w:val="none" w:sz="0" w:space="0" w:color="auto"/>
        <w:left w:val="none" w:sz="0" w:space="0" w:color="auto"/>
        <w:bottom w:val="none" w:sz="0" w:space="0" w:color="auto"/>
        <w:right w:val="none" w:sz="0" w:space="0" w:color="auto"/>
      </w:divBdr>
      <w:divsChild>
        <w:div w:id="2001496158">
          <w:marLeft w:val="0"/>
          <w:marRight w:val="0"/>
          <w:marTop w:val="0"/>
          <w:marBottom w:val="0"/>
          <w:divBdr>
            <w:top w:val="none" w:sz="0" w:space="0" w:color="auto"/>
            <w:left w:val="none" w:sz="0" w:space="0" w:color="auto"/>
            <w:bottom w:val="none" w:sz="0" w:space="0" w:color="auto"/>
            <w:right w:val="none" w:sz="0" w:space="0" w:color="auto"/>
          </w:divBdr>
        </w:div>
      </w:divsChild>
    </w:div>
    <w:div w:id="2107076182">
      <w:bodyDiv w:val="1"/>
      <w:marLeft w:val="0"/>
      <w:marRight w:val="0"/>
      <w:marTop w:val="0"/>
      <w:marBottom w:val="0"/>
      <w:divBdr>
        <w:top w:val="none" w:sz="0" w:space="0" w:color="auto"/>
        <w:left w:val="none" w:sz="0" w:space="0" w:color="auto"/>
        <w:bottom w:val="none" w:sz="0" w:space="0" w:color="auto"/>
        <w:right w:val="none" w:sz="0" w:space="0" w:color="auto"/>
      </w:divBdr>
      <w:divsChild>
        <w:div w:id="1445540180">
          <w:marLeft w:val="0"/>
          <w:marRight w:val="0"/>
          <w:marTop w:val="0"/>
          <w:marBottom w:val="0"/>
          <w:divBdr>
            <w:top w:val="none" w:sz="0" w:space="0" w:color="auto"/>
            <w:left w:val="none" w:sz="0" w:space="0" w:color="auto"/>
            <w:bottom w:val="none" w:sz="0" w:space="0" w:color="auto"/>
            <w:right w:val="none" w:sz="0" w:space="0" w:color="auto"/>
          </w:divBdr>
        </w:div>
      </w:divsChild>
    </w:div>
    <w:div w:id="2109958463">
      <w:bodyDiv w:val="1"/>
      <w:marLeft w:val="0"/>
      <w:marRight w:val="0"/>
      <w:marTop w:val="0"/>
      <w:marBottom w:val="0"/>
      <w:divBdr>
        <w:top w:val="none" w:sz="0" w:space="0" w:color="auto"/>
        <w:left w:val="none" w:sz="0" w:space="0" w:color="auto"/>
        <w:bottom w:val="none" w:sz="0" w:space="0" w:color="auto"/>
        <w:right w:val="none" w:sz="0" w:space="0" w:color="auto"/>
      </w:divBdr>
      <w:divsChild>
        <w:div w:id="1407607077">
          <w:marLeft w:val="0"/>
          <w:marRight w:val="0"/>
          <w:marTop w:val="0"/>
          <w:marBottom w:val="0"/>
          <w:divBdr>
            <w:top w:val="none" w:sz="0" w:space="0" w:color="auto"/>
            <w:left w:val="none" w:sz="0" w:space="0" w:color="auto"/>
            <w:bottom w:val="none" w:sz="0" w:space="0" w:color="auto"/>
            <w:right w:val="none" w:sz="0" w:space="0" w:color="auto"/>
          </w:divBdr>
        </w:div>
      </w:divsChild>
    </w:div>
    <w:div w:id="2112847205">
      <w:bodyDiv w:val="1"/>
      <w:marLeft w:val="0"/>
      <w:marRight w:val="0"/>
      <w:marTop w:val="0"/>
      <w:marBottom w:val="0"/>
      <w:divBdr>
        <w:top w:val="none" w:sz="0" w:space="0" w:color="auto"/>
        <w:left w:val="none" w:sz="0" w:space="0" w:color="auto"/>
        <w:bottom w:val="none" w:sz="0" w:space="0" w:color="auto"/>
        <w:right w:val="none" w:sz="0" w:space="0" w:color="auto"/>
      </w:divBdr>
      <w:divsChild>
        <w:div w:id="2138794775">
          <w:marLeft w:val="0"/>
          <w:marRight w:val="0"/>
          <w:marTop w:val="0"/>
          <w:marBottom w:val="0"/>
          <w:divBdr>
            <w:top w:val="none" w:sz="0" w:space="0" w:color="auto"/>
            <w:left w:val="none" w:sz="0" w:space="0" w:color="auto"/>
            <w:bottom w:val="none" w:sz="0" w:space="0" w:color="auto"/>
            <w:right w:val="none" w:sz="0" w:space="0" w:color="auto"/>
          </w:divBdr>
        </w:div>
      </w:divsChild>
    </w:div>
    <w:div w:id="2132429446">
      <w:bodyDiv w:val="1"/>
      <w:marLeft w:val="0"/>
      <w:marRight w:val="0"/>
      <w:marTop w:val="0"/>
      <w:marBottom w:val="0"/>
      <w:divBdr>
        <w:top w:val="none" w:sz="0" w:space="0" w:color="auto"/>
        <w:left w:val="none" w:sz="0" w:space="0" w:color="auto"/>
        <w:bottom w:val="none" w:sz="0" w:space="0" w:color="auto"/>
        <w:right w:val="none" w:sz="0" w:space="0" w:color="auto"/>
      </w:divBdr>
    </w:div>
    <w:div w:id="2141655029">
      <w:bodyDiv w:val="1"/>
      <w:marLeft w:val="0"/>
      <w:marRight w:val="0"/>
      <w:marTop w:val="0"/>
      <w:marBottom w:val="0"/>
      <w:divBdr>
        <w:top w:val="none" w:sz="0" w:space="0" w:color="auto"/>
        <w:left w:val="none" w:sz="0" w:space="0" w:color="auto"/>
        <w:bottom w:val="none" w:sz="0" w:space="0" w:color="auto"/>
        <w:right w:val="none" w:sz="0" w:space="0" w:color="auto"/>
      </w:divBdr>
      <w:divsChild>
        <w:div w:id="2010448492">
          <w:marLeft w:val="0"/>
          <w:marRight w:val="0"/>
          <w:marTop w:val="0"/>
          <w:marBottom w:val="0"/>
          <w:divBdr>
            <w:top w:val="none" w:sz="0" w:space="0" w:color="auto"/>
            <w:left w:val="none" w:sz="0" w:space="0" w:color="auto"/>
            <w:bottom w:val="none" w:sz="0" w:space="0" w:color="auto"/>
            <w:right w:val="none" w:sz="0" w:space="0" w:color="auto"/>
          </w:divBdr>
        </w:div>
      </w:divsChild>
    </w:div>
    <w:div w:id="2143109677">
      <w:bodyDiv w:val="1"/>
      <w:marLeft w:val="0"/>
      <w:marRight w:val="0"/>
      <w:marTop w:val="0"/>
      <w:marBottom w:val="0"/>
      <w:divBdr>
        <w:top w:val="none" w:sz="0" w:space="0" w:color="auto"/>
        <w:left w:val="none" w:sz="0" w:space="0" w:color="auto"/>
        <w:bottom w:val="none" w:sz="0" w:space="0" w:color="auto"/>
        <w:right w:val="none" w:sz="0" w:space="0" w:color="auto"/>
      </w:divBdr>
      <w:divsChild>
        <w:div w:id="143709839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ata.mendeley.com/datasets/stswy64tcs/1"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24" Type="http://schemas.openxmlformats.org/officeDocument/2006/relationships/hyperlink" Target="http://www.isc.ac.uk/iscbulletin/"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tiff"/><Relationship Id="rId19" Type="http://schemas.openxmlformats.org/officeDocument/2006/relationships/image" Target="media/image13.png"/><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40306</TotalTime>
  <Pages>33</Pages>
  <Words>15492</Words>
  <Characters>88309</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Able</dc:creator>
  <cp:keywords/>
  <dc:description/>
  <cp:lastModifiedBy>Ray Able</cp:lastModifiedBy>
  <cp:revision>1809</cp:revision>
  <dcterms:created xsi:type="dcterms:W3CDTF">2022-03-25T08:40:00Z</dcterms:created>
  <dcterms:modified xsi:type="dcterms:W3CDTF">2025-09-13T18:09:00Z</dcterms:modified>
</cp:coreProperties>
</file>