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99207" w14:textId="7FD48D8B" w:rsidR="00D72EF9" w:rsidRDefault="00D72EF9" w:rsidP="00D72EF9">
      <w:pPr>
        <w:pStyle w:val="ListParagraph"/>
        <w:rPr>
          <w:rFonts w:ascii="Arial" w:hAnsi="Arial" w:cs="Arial"/>
          <w:b/>
          <w:bCs/>
          <w:i/>
          <w:iCs/>
          <w:sz w:val="36"/>
          <w:szCs w:val="36"/>
          <w:u w:val="single"/>
        </w:rPr>
      </w:pPr>
      <w:r w:rsidRPr="00D72EF9">
        <w:rPr>
          <w:rFonts w:ascii="Arial" w:hAnsi="Arial" w:cs="Arial"/>
          <w:b/>
          <w:bCs/>
          <w:i/>
          <w:iCs/>
          <w:sz w:val="36"/>
          <w:szCs w:val="36"/>
          <w:u w:val="single"/>
        </w:rPr>
        <w:t>Original Research Article</w:t>
      </w:r>
    </w:p>
    <w:p w14:paraId="18470E73" w14:textId="77777777" w:rsidR="0000003F" w:rsidRPr="00D72EF9" w:rsidRDefault="0000003F" w:rsidP="00D72EF9">
      <w:pPr>
        <w:pStyle w:val="ListParagraph"/>
        <w:rPr>
          <w:rFonts w:ascii="Arial" w:hAnsi="Arial" w:cs="Arial"/>
          <w:b/>
          <w:bCs/>
          <w:i/>
          <w:iCs/>
          <w:sz w:val="36"/>
          <w:szCs w:val="36"/>
          <w:u w:val="single"/>
        </w:rPr>
      </w:pPr>
      <w:bookmarkStart w:id="0" w:name="_GoBack"/>
      <w:bookmarkEnd w:id="0"/>
    </w:p>
    <w:p w14:paraId="10BF2A8D" w14:textId="5D4DBE12" w:rsidR="008B63A9" w:rsidRDefault="008B63A9" w:rsidP="00D37D96">
      <w:pPr>
        <w:pStyle w:val="ListParagraph"/>
        <w:spacing w:line="240" w:lineRule="auto"/>
        <w:jc w:val="right"/>
        <w:rPr>
          <w:rFonts w:ascii="Arial" w:hAnsi="Arial" w:cs="Arial"/>
          <w:b/>
          <w:sz w:val="36"/>
          <w:szCs w:val="36"/>
        </w:rPr>
      </w:pPr>
      <w:r w:rsidRPr="008B3DD8">
        <w:rPr>
          <w:rFonts w:ascii="Arial" w:hAnsi="Arial" w:cs="Arial"/>
          <w:b/>
          <w:sz w:val="36"/>
          <w:szCs w:val="36"/>
        </w:rPr>
        <w:t>Valorization of raw rice husk for T</w:t>
      </w:r>
      <w:r w:rsidR="008B3DD8">
        <w:rPr>
          <w:rFonts w:ascii="Arial" w:hAnsi="Arial" w:cs="Arial"/>
          <w:b/>
          <w:sz w:val="36"/>
          <w:szCs w:val="36"/>
        </w:rPr>
        <w:t xml:space="preserve">otal </w:t>
      </w:r>
      <w:r w:rsidRPr="008B3DD8">
        <w:rPr>
          <w:rFonts w:ascii="Arial" w:hAnsi="Arial" w:cs="Arial"/>
          <w:b/>
          <w:sz w:val="36"/>
          <w:szCs w:val="36"/>
        </w:rPr>
        <w:t>D</w:t>
      </w:r>
      <w:r w:rsidR="008B3DD8">
        <w:rPr>
          <w:rFonts w:ascii="Arial" w:hAnsi="Arial" w:cs="Arial"/>
          <w:b/>
          <w:sz w:val="36"/>
          <w:szCs w:val="36"/>
        </w:rPr>
        <w:t xml:space="preserve">issolved </w:t>
      </w:r>
      <w:r w:rsidRPr="008B3DD8">
        <w:rPr>
          <w:rFonts w:ascii="Arial" w:hAnsi="Arial" w:cs="Arial"/>
          <w:b/>
          <w:sz w:val="36"/>
          <w:szCs w:val="36"/>
        </w:rPr>
        <w:t>S</w:t>
      </w:r>
      <w:r w:rsidR="008B3DD8">
        <w:rPr>
          <w:rFonts w:ascii="Arial" w:hAnsi="Arial" w:cs="Arial"/>
          <w:b/>
          <w:sz w:val="36"/>
          <w:szCs w:val="36"/>
        </w:rPr>
        <w:t>olids</w:t>
      </w:r>
      <w:r w:rsidR="00813845">
        <w:rPr>
          <w:rFonts w:ascii="Arial" w:hAnsi="Arial" w:cs="Arial"/>
          <w:b/>
          <w:sz w:val="36"/>
          <w:szCs w:val="36"/>
        </w:rPr>
        <w:t xml:space="preserve"> (TDS)</w:t>
      </w:r>
      <w:r w:rsidRPr="008B3DD8">
        <w:rPr>
          <w:rFonts w:ascii="Arial" w:hAnsi="Arial" w:cs="Arial"/>
          <w:b/>
          <w:sz w:val="36"/>
          <w:szCs w:val="36"/>
        </w:rPr>
        <w:t xml:space="preserve"> adsorption: kinetic study and </w:t>
      </w:r>
      <w:r w:rsidR="009B37BA" w:rsidRPr="009B37BA">
        <w:rPr>
          <w:rFonts w:ascii="Arial" w:hAnsi="Arial" w:cs="Arial"/>
          <w:b/>
          <w:sz w:val="36"/>
          <w:szCs w:val="36"/>
          <w:highlight w:val="yellow"/>
        </w:rPr>
        <w:t>the effect</w:t>
      </w:r>
      <w:r w:rsidRPr="009B37BA">
        <w:rPr>
          <w:rFonts w:ascii="Arial" w:hAnsi="Arial" w:cs="Arial"/>
          <w:b/>
          <w:sz w:val="36"/>
          <w:szCs w:val="36"/>
          <w:highlight w:val="yellow"/>
        </w:rPr>
        <w:t xml:space="preserve"> of</w:t>
      </w:r>
      <w:r w:rsidR="009B37BA" w:rsidRPr="009B37BA">
        <w:rPr>
          <w:rFonts w:ascii="Arial" w:hAnsi="Arial" w:cs="Arial"/>
          <w:b/>
          <w:sz w:val="36"/>
          <w:szCs w:val="36"/>
          <w:highlight w:val="yellow"/>
        </w:rPr>
        <w:t xml:space="preserve"> compound </w:t>
      </w:r>
      <w:r w:rsidR="005D4D68" w:rsidRPr="009B37BA">
        <w:rPr>
          <w:rFonts w:ascii="Arial" w:hAnsi="Arial" w:cs="Arial"/>
          <w:b/>
          <w:sz w:val="36"/>
          <w:szCs w:val="36"/>
          <w:highlight w:val="yellow"/>
        </w:rPr>
        <w:t>polarity</w:t>
      </w:r>
      <w:r w:rsidR="005D4D68" w:rsidRPr="008B3DD8">
        <w:rPr>
          <w:rFonts w:ascii="Arial" w:hAnsi="Arial" w:cs="Arial"/>
          <w:b/>
          <w:sz w:val="36"/>
          <w:szCs w:val="36"/>
        </w:rPr>
        <w:t xml:space="preserve"> </w:t>
      </w:r>
    </w:p>
    <w:p w14:paraId="10D03054" w14:textId="77777777" w:rsidR="00884E2D" w:rsidRPr="008B3DD8" w:rsidRDefault="00884E2D" w:rsidP="00884E2D">
      <w:pPr>
        <w:pStyle w:val="ListParagraph"/>
        <w:spacing w:line="240" w:lineRule="auto"/>
        <w:jc w:val="right"/>
        <w:rPr>
          <w:rFonts w:ascii="Arial" w:hAnsi="Arial" w:cs="Arial"/>
          <w:b/>
          <w:sz w:val="36"/>
          <w:szCs w:val="36"/>
        </w:rPr>
      </w:pPr>
    </w:p>
    <w:p w14:paraId="3D744ACB" w14:textId="11955A08" w:rsidR="008B63A9" w:rsidRDefault="008B63A9" w:rsidP="004435DD">
      <w:pPr>
        <w:pStyle w:val="ListParagraph"/>
        <w:spacing w:line="360" w:lineRule="auto"/>
        <w:rPr>
          <w:rFonts w:ascii="Arial" w:hAnsi="Arial" w:cs="Arial"/>
          <w:b/>
        </w:rPr>
      </w:pPr>
    </w:p>
    <w:p w14:paraId="29ABA39F" w14:textId="38B0E5E0" w:rsidR="00AB43F4" w:rsidRDefault="00AB43F4" w:rsidP="004435DD">
      <w:pPr>
        <w:pStyle w:val="ListParagraph"/>
        <w:spacing w:line="360" w:lineRule="auto"/>
        <w:rPr>
          <w:rFonts w:ascii="Arial" w:hAnsi="Arial" w:cs="Arial"/>
          <w:b/>
        </w:rPr>
      </w:pPr>
    </w:p>
    <w:p w14:paraId="756F976A" w14:textId="77777777" w:rsidR="00AB43F4" w:rsidRPr="00884E2D" w:rsidRDefault="00AB43F4" w:rsidP="004435DD">
      <w:pPr>
        <w:pStyle w:val="ListParagraph"/>
        <w:spacing w:line="360" w:lineRule="auto"/>
        <w:rPr>
          <w:rFonts w:ascii="Arial" w:hAnsi="Arial" w:cs="Arial"/>
          <w:b/>
        </w:rPr>
      </w:pPr>
    </w:p>
    <w:p w14:paraId="316611DB" w14:textId="77777777" w:rsidR="004435DD" w:rsidRPr="00D37D96" w:rsidRDefault="004435DD" w:rsidP="004435DD">
      <w:pPr>
        <w:pStyle w:val="ListParagraph"/>
        <w:spacing w:line="360" w:lineRule="auto"/>
        <w:rPr>
          <w:rFonts w:ascii="Arial" w:hAnsi="Arial" w:cs="Arial"/>
          <w:b/>
          <w:lang w:val="en-GB"/>
        </w:rPr>
      </w:pPr>
      <w:r w:rsidRPr="00D37D96">
        <w:rPr>
          <w:rFonts w:ascii="Arial" w:hAnsi="Arial" w:cs="Arial"/>
          <w:b/>
          <w:lang w:val="en-GB"/>
        </w:rPr>
        <w:t xml:space="preserve">Abstract </w:t>
      </w:r>
    </w:p>
    <w:p w14:paraId="33C7DCAB" w14:textId="77777777" w:rsidR="003B3958" w:rsidRDefault="003B3958" w:rsidP="004435DD">
      <w:pPr>
        <w:pStyle w:val="ListParagraph"/>
        <w:spacing w:line="240" w:lineRule="auto"/>
        <w:jc w:val="both"/>
        <w:rPr>
          <w:rFonts w:ascii="Arial" w:hAnsi="Arial" w:cs="Arial"/>
          <w:sz w:val="20"/>
        </w:rPr>
      </w:pPr>
      <w:r w:rsidRPr="003B3958">
        <w:rPr>
          <w:rFonts w:ascii="Arial" w:hAnsi="Arial" w:cs="Arial"/>
          <w:b/>
          <w:sz w:val="20"/>
        </w:rPr>
        <w:t>Aim</w:t>
      </w:r>
      <w:r w:rsidR="00813845">
        <w:rPr>
          <w:rFonts w:ascii="Arial" w:hAnsi="Arial" w:cs="Arial"/>
          <w:b/>
          <w:sz w:val="20"/>
        </w:rPr>
        <w:t>s</w:t>
      </w:r>
      <w:r>
        <w:rPr>
          <w:rFonts w:ascii="Arial" w:hAnsi="Arial" w:cs="Arial"/>
          <w:sz w:val="20"/>
        </w:rPr>
        <w:t xml:space="preserve">: </w:t>
      </w:r>
      <w:r w:rsidR="004435DD" w:rsidRPr="004435DD">
        <w:rPr>
          <w:rFonts w:ascii="Arial" w:hAnsi="Arial" w:cs="Arial"/>
          <w:sz w:val="20"/>
        </w:rPr>
        <w:t>The present study aims to investigate the retention of TDS by adsorption on rice husk, a very abundant adsorbent, available at all times and less expensive.</w:t>
      </w:r>
      <w:r w:rsidR="004435DD">
        <w:rPr>
          <w:rFonts w:ascii="Arial" w:hAnsi="Arial" w:cs="Arial"/>
          <w:sz w:val="20"/>
        </w:rPr>
        <w:t xml:space="preserve"> </w:t>
      </w:r>
    </w:p>
    <w:p w14:paraId="15696B5C" w14:textId="77777777" w:rsidR="003B3958" w:rsidRDefault="003B3958" w:rsidP="004435DD">
      <w:pPr>
        <w:pStyle w:val="ListParagraph"/>
        <w:spacing w:line="240" w:lineRule="auto"/>
        <w:jc w:val="both"/>
        <w:rPr>
          <w:rFonts w:ascii="Arial" w:hAnsi="Arial" w:cs="Arial"/>
          <w:b/>
          <w:sz w:val="20"/>
        </w:rPr>
      </w:pPr>
      <w:r>
        <w:rPr>
          <w:rFonts w:ascii="Arial" w:hAnsi="Arial" w:cs="Arial"/>
          <w:b/>
          <w:sz w:val="20"/>
        </w:rPr>
        <w:t>Study design:</w:t>
      </w:r>
      <w:r w:rsidR="00C20CC3">
        <w:rPr>
          <w:rFonts w:ascii="Arial" w:hAnsi="Arial" w:cs="Arial"/>
          <w:b/>
          <w:sz w:val="20"/>
        </w:rPr>
        <w:t xml:space="preserve"> </w:t>
      </w:r>
      <w:r w:rsidR="00813845">
        <w:rPr>
          <w:rFonts w:ascii="Arial" w:hAnsi="Arial" w:cs="Arial"/>
          <w:sz w:val="20"/>
        </w:rPr>
        <w:t>T</w:t>
      </w:r>
      <w:r w:rsidR="00813845" w:rsidRPr="00C20CC3">
        <w:rPr>
          <w:rFonts w:ascii="Arial" w:hAnsi="Arial" w:cs="Arial"/>
          <w:sz w:val="20"/>
        </w:rPr>
        <w:t>his study was conducted</w:t>
      </w:r>
      <w:r w:rsidR="00813845" w:rsidRPr="00813845">
        <w:rPr>
          <w:rFonts w:ascii="Arial" w:hAnsi="Arial" w:cs="Arial"/>
          <w:sz w:val="20"/>
        </w:rPr>
        <w:t xml:space="preserve"> </w:t>
      </w:r>
      <w:r w:rsidR="00813845">
        <w:rPr>
          <w:rFonts w:ascii="Arial" w:hAnsi="Arial" w:cs="Arial"/>
          <w:sz w:val="20"/>
        </w:rPr>
        <w:t>by using batch method</w:t>
      </w:r>
      <w:r w:rsidR="00813845" w:rsidRPr="00C20CC3">
        <w:rPr>
          <w:rFonts w:ascii="Arial" w:hAnsi="Arial" w:cs="Arial"/>
          <w:sz w:val="20"/>
        </w:rPr>
        <w:t xml:space="preserve"> </w:t>
      </w:r>
      <w:r w:rsidR="00813845">
        <w:rPr>
          <w:rFonts w:ascii="Arial" w:hAnsi="Arial" w:cs="Arial"/>
          <w:sz w:val="20"/>
        </w:rPr>
        <w:t>in</w:t>
      </w:r>
      <w:r w:rsidR="00813845" w:rsidRPr="00C20CC3">
        <w:rPr>
          <w:rFonts w:ascii="Arial" w:hAnsi="Arial" w:cs="Arial"/>
          <w:sz w:val="20"/>
        </w:rPr>
        <w:t xml:space="preserve"> the treatment of wastewater and drinking water using adsorption chemistry.</w:t>
      </w:r>
    </w:p>
    <w:p w14:paraId="084856BB" w14:textId="77777777" w:rsidR="003B3958" w:rsidRPr="002F69F4" w:rsidRDefault="003B3958" w:rsidP="004435DD">
      <w:pPr>
        <w:pStyle w:val="ListParagraph"/>
        <w:spacing w:line="240" w:lineRule="auto"/>
        <w:jc w:val="both"/>
        <w:rPr>
          <w:rFonts w:ascii="Arial" w:hAnsi="Arial" w:cs="Arial"/>
          <w:sz w:val="20"/>
        </w:rPr>
      </w:pPr>
      <w:r w:rsidRPr="003B3958">
        <w:rPr>
          <w:rFonts w:ascii="Arial" w:hAnsi="Arial" w:cs="Arial"/>
          <w:b/>
          <w:sz w:val="20"/>
        </w:rPr>
        <w:t>Place and duration of study:</w:t>
      </w:r>
      <w:r w:rsidR="002F69F4">
        <w:rPr>
          <w:rFonts w:ascii="Arial" w:hAnsi="Arial" w:cs="Arial"/>
          <w:b/>
          <w:sz w:val="20"/>
        </w:rPr>
        <w:t xml:space="preserve"> </w:t>
      </w:r>
      <w:r w:rsidR="00813845">
        <w:rPr>
          <w:rFonts w:ascii="Arial" w:hAnsi="Arial" w:cs="Arial"/>
          <w:sz w:val="20"/>
        </w:rPr>
        <w:t>C</w:t>
      </w:r>
      <w:r w:rsidR="00C20CC3" w:rsidRPr="00C20CC3">
        <w:rPr>
          <w:rFonts w:ascii="Arial" w:hAnsi="Arial" w:cs="Arial"/>
          <w:sz w:val="20"/>
        </w:rPr>
        <w:t xml:space="preserve">hemistry laboratory of </w:t>
      </w:r>
      <w:proofErr w:type="spellStart"/>
      <w:r w:rsidR="00C20CC3" w:rsidRPr="00C20CC3">
        <w:rPr>
          <w:rFonts w:ascii="Arial" w:hAnsi="Arial" w:cs="Arial"/>
          <w:sz w:val="20"/>
        </w:rPr>
        <w:t>Yembila</w:t>
      </w:r>
      <w:proofErr w:type="spellEnd"/>
      <w:r w:rsidR="00C20CC3" w:rsidRPr="00C20CC3">
        <w:rPr>
          <w:rFonts w:ascii="Arial" w:hAnsi="Arial" w:cs="Arial"/>
          <w:sz w:val="20"/>
        </w:rPr>
        <w:t xml:space="preserve"> Abdoulaye TOGUYENI University</w:t>
      </w:r>
      <w:r w:rsidR="00813845">
        <w:rPr>
          <w:rFonts w:ascii="Arial" w:hAnsi="Arial" w:cs="Arial"/>
          <w:sz w:val="20"/>
        </w:rPr>
        <w:t>,</w:t>
      </w:r>
      <w:r w:rsidR="00C20CC3" w:rsidRPr="00C20CC3">
        <w:rPr>
          <w:rFonts w:ascii="Arial" w:hAnsi="Arial" w:cs="Arial"/>
          <w:sz w:val="20"/>
        </w:rPr>
        <w:t xml:space="preserve"> </w:t>
      </w:r>
      <w:r w:rsidR="00813845">
        <w:rPr>
          <w:rFonts w:ascii="Arial" w:hAnsi="Arial" w:cs="Arial"/>
          <w:sz w:val="20"/>
        </w:rPr>
        <w:t>September 2024 to January 2025.</w:t>
      </w:r>
    </w:p>
    <w:p w14:paraId="5A340126" w14:textId="5299E061" w:rsidR="003B3958" w:rsidRDefault="003B3958" w:rsidP="004435DD">
      <w:pPr>
        <w:pStyle w:val="ListParagraph"/>
        <w:spacing w:line="240" w:lineRule="auto"/>
        <w:jc w:val="both"/>
        <w:rPr>
          <w:rFonts w:ascii="Arial" w:hAnsi="Arial" w:cs="Arial"/>
          <w:b/>
          <w:sz w:val="20"/>
        </w:rPr>
      </w:pPr>
      <w:r>
        <w:rPr>
          <w:rFonts w:ascii="Arial" w:hAnsi="Arial" w:cs="Arial"/>
          <w:b/>
          <w:sz w:val="20"/>
        </w:rPr>
        <w:t>Methodology:</w:t>
      </w:r>
      <w:r w:rsidRPr="003B3958">
        <w:rPr>
          <w:rFonts w:ascii="Arial" w:hAnsi="Arial" w:cs="Arial"/>
          <w:sz w:val="20"/>
        </w:rPr>
        <w:t xml:space="preserve"> </w:t>
      </w:r>
      <w:r w:rsidRPr="00DA37DA">
        <w:rPr>
          <w:rFonts w:ascii="Arial" w:hAnsi="Arial" w:cs="Arial"/>
          <w:sz w:val="20"/>
        </w:rPr>
        <w:t>A synthetic aqueous solution is prepared from groundwater by varying the concentration from 30 to 130 mg/L. The study of the effect of contact time is carried out by varying from 10 to 120 min.</w:t>
      </w:r>
      <w:r>
        <w:rPr>
          <w:rFonts w:ascii="Arial" w:hAnsi="Arial" w:cs="Arial"/>
          <w:sz w:val="20"/>
        </w:rPr>
        <w:t xml:space="preserve"> The effects of adsorbent dose, initial concentration of TDS, particle</w:t>
      </w:r>
      <w:r w:rsidR="003322F4" w:rsidRPr="00D37D96">
        <w:rPr>
          <w:rFonts w:ascii="Arial" w:hAnsi="Arial" w:cs="Arial"/>
          <w:sz w:val="20"/>
        </w:rPr>
        <w:t>s</w:t>
      </w:r>
      <w:r>
        <w:rPr>
          <w:rFonts w:ascii="Arial" w:hAnsi="Arial" w:cs="Arial"/>
          <w:sz w:val="20"/>
        </w:rPr>
        <w:t xml:space="preserve"> size and polarity of compound</w:t>
      </w:r>
      <w:r w:rsidR="003322F4" w:rsidRPr="00D37D96">
        <w:rPr>
          <w:rFonts w:ascii="Arial" w:hAnsi="Arial" w:cs="Arial"/>
          <w:sz w:val="20"/>
        </w:rPr>
        <w:t>s</w:t>
      </w:r>
      <w:r>
        <w:rPr>
          <w:rFonts w:ascii="Arial" w:hAnsi="Arial" w:cs="Arial"/>
          <w:sz w:val="20"/>
        </w:rPr>
        <w:t xml:space="preserve"> on TDS adsorption were investigated.</w:t>
      </w:r>
    </w:p>
    <w:p w14:paraId="181CF802" w14:textId="3D05143F" w:rsidR="003B3958" w:rsidRDefault="00813845" w:rsidP="003B3958">
      <w:pPr>
        <w:pStyle w:val="ListParagraph"/>
        <w:spacing w:line="240" w:lineRule="auto"/>
        <w:jc w:val="both"/>
        <w:rPr>
          <w:rFonts w:ascii="Arial" w:hAnsi="Arial" w:cs="Arial"/>
          <w:sz w:val="20"/>
        </w:rPr>
      </w:pPr>
      <w:r>
        <w:rPr>
          <w:rFonts w:ascii="Arial" w:hAnsi="Arial" w:cs="Arial"/>
          <w:b/>
          <w:sz w:val="20"/>
        </w:rPr>
        <w:t>R</w:t>
      </w:r>
      <w:r w:rsidR="003B3958">
        <w:rPr>
          <w:rFonts w:ascii="Arial" w:hAnsi="Arial" w:cs="Arial"/>
          <w:b/>
          <w:sz w:val="20"/>
        </w:rPr>
        <w:t>esults:</w:t>
      </w:r>
      <w:r w:rsidR="003B3958" w:rsidRPr="003B3958">
        <w:rPr>
          <w:rFonts w:ascii="Arial" w:hAnsi="Arial" w:cs="Arial"/>
          <w:sz w:val="20"/>
        </w:rPr>
        <w:t xml:space="preserve"> </w:t>
      </w:r>
      <w:r w:rsidR="003B3958" w:rsidRPr="003147C0">
        <w:rPr>
          <w:rFonts w:ascii="Arial" w:hAnsi="Arial" w:cs="Arial"/>
          <w:sz w:val="20"/>
          <w:highlight w:val="yellow"/>
        </w:rPr>
        <w:t xml:space="preserve">The results </w:t>
      </w:r>
      <w:r w:rsidR="003147C0" w:rsidRPr="003147C0">
        <w:rPr>
          <w:rFonts w:ascii="Arial" w:hAnsi="Arial" w:cs="Arial"/>
          <w:sz w:val="20"/>
          <w:highlight w:val="yellow"/>
        </w:rPr>
        <w:t>proved</w:t>
      </w:r>
      <w:r w:rsidR="003B3958" w:rsidRPr="003147C0">
        <w:rPr>
          <w:rFonts w:ascii="Arial" w:hAnsi="Arial" w:cs="Arial"/>
          <w:sz w:val="20"/>
          <w:highlight w:val="yellow"/>
        </w:rPr>
        <w:t xml:space="preserve"> </w:t>
      </w:r>
      <w:r w:rsidR="003147C0" w:rsidRPr="003147C0">
        <w:rPr>
          <w:rFonts w:ascii="Arial" w:hAnsi="Arial" w:cs="Arial"/>
          <w:sz w:val="20"/>
          <w:highlight w:val="yellow"/>
        </w:rPr>
        <w:t xml:space="preserve">the smaller size (250-400 µm) showed better adsorption </w:t>
      </w:r>
      <w:r w:rsidR="003B3958" w:rsidRPr="003147C0">
        <w:rPr>
          <w:rFonts w:ascii="Arial" w:hAnsi="Arial" w:cs="Arial"/>
          <w:sz w:val="20"/>
          <w:highlight w:val="yellow"/>
        </w:rPr>
        <w:t>of TDS</w:t>
      </w:r>
      <w:r w:rsidR="003B3958">
        <w:rPr>
          <w:rFonts w:ascii="Arial" w:hAnsi="Arial" w:cs="Arial"/>
          <w:sz w:val="20"/>
        </w:rPr>
        <w:t xml:space="preserve">. </w:t>
      </w:r>
      <w:r w:rsidR="00E272EF" w:rsidRPr="00E272EF">
        <w:rPr>
          <w:rFonts w:ascii="Arial" w:hAnsi="Arial" w:cs="Arial"/>
          <w:sz w:val="20"/>
          <w:highlight w:val="yellow"/>
        </w:rPr>
        <w:t>T</w:t>
      </w:r>
      <w:r w:rsidR="00266A6D" w:rsidRPr="00E272EF">
        <w:rPr>
          <w:rFonts w:ascii="Arial" w:hAnsi="Arial" w:cs="Arial"/>
          <w:sz w:val="20"/>
          <w:highlight w:val="yellow"/>
        </w:rPr>
        <w:t>he optimal dose of adsorbent is 2 g and the maximum saturating concentration is 130 mg/L, the equilibrium time is observed from 120 min</w:t>
      </w:r>
      <w:r w:rsidR="00266A6D">
        <w:rPr>
          <w:rFonts w:ascii="Arial" w:hAnsi="Arial" w:cs="Arial"/>
          <w:sz w:val="20"/>
        </w:rPr>
        <w:t xml:space="preserve">. </w:t>
      </w:r>
      <w:r w:rsidR="003B3958">
        <w:rPr>
          <w:rFonts w:ascii="Arial" w:hAnsi="Arial" w:cs="Arial"/>
          <w:sz w:val="20"/>
        </w:rPr>
        <w:t xml:space="preserve">The effect of compound polarity showed that the glycerol did not affect the </w:t>
      </w:r>
      <w:r w:rsidR="003E7A10">
        <w:rPr>
          <w:rFonts w:ascii="Arial" w:hAnsi="Arial" w:cs="Arial"/>
          <w:sz w:val="20"/>
        </w:rPr>
        <w:t>adsorption</w:t>
      </w:r>
      <w:r w:rsidR="003B3958">
        <w:rPr>
          <w:rFonts w:ascii="Arial" w:hAnsi="Arial" w:cs="Arial"/>
          <w:sz w:val="20"/>
        </w:rPr>
        <w:t xml:space="preserve"> of total dissolved solids contrarily, the ionic compounds such as MB and </w:t>
      </w:r>
      <w:proofErr w:type="spellStart"/>
      <w:r w:rsidR="003B3958">
        <w:rPr>
          <w:rFonts w:ascii="Arial" w:hAnsi="Arial" w:cs="Arial"/>
          <w:sz w:val="20"/>
        </w:rPr>
        <w:t>KCl</w:t>
      </w:r>
      <w:proofErr w:type="spellEnd"/>
      <w:r w:rsidR="003B3958">
        <w:rPr>
          <w:rFonts w:ascii="Arial" w:hAnsi="Arial" w:cs="Arial"/>
          <w:sz w:val="20"/>
        </w:rPr>
        <w:t xml:space="preserve"> affected negatively. </w:t>
      </w:r>
      <w:r w:rsidR="00D906F1" w:rsidRPr="00D906F1">
        <w:rPr>
          <w:rFonts w:ascii="Arial" w:hAnsi="Arial" w:cs="Arial"/>
          <w:sz w:val="20"/>
        </w:rPr>
        <w:t>These compounds may compete for adsorption sites, which may increase the concentration of dissolved solids</w:t>
      </w:r>
      <w:r w:rsidR="003B3958">
        <w:rPr>
          <w:rFonts w:ascii="Arial" w:hAnsi="Arial" w:cs="Arial"/>
          <w:sz w:val="20"/>
        </w:rPr>
        <w:t xml:space="preserve">. The kinetic study also indicated that the pseudo-second-order fitted the TDS adsorption because </w:t>
      </w:r>
      <w:r w:rsidR="00D906F1" w:rsidRPr="00D906F1">
        <w:rPr>
          <w:rFonts w:ascii="Arial" w:hAnsi="Arial" w:cs="Arial"/>
          <w:sz w:val="20"/>
          <w:highlight w:val="yellow"/>
        </w:rPr>
        <w:t>the correlation coefficient (R²) should be close to 0.97</w:t>
      </w:r>
      <w:r w:rsidR="003B3958">
        <w:rPr>
          <w:rFonts w:ascii="Arial" w:hAnsi="Arial" w:cs="Arial"/>
          <w:sz w:val="20"/>
        </w:rPr>
        <w:t>.</w:t>
      </w:r>
    </w:p>
    <w:p w14:paraId="2A63191A" w14:textId="28B0BFB0" w:rsidR="003B3958" w:rsidRPr="00DE1688" w:rsidRDefault="003B3958" w:rsidP="004435DD">
      <w:pPr>
        <w:pStyle w:val="ListParagraph"/>
        <w:spacing w:line="240" w:lineRule="auto"/>
        <w:jc w:val="both"/>
        <w:rPr>
          <w:rFonts w:ascii="Arial" w:hAnsi="Arial" w:cs="Arial"/>
          <w:sz w:val="20"/>
        </w:rPr>
      </w:pPr>
      <w:r>
        <w:rPr>
          <w:rFonts w:ascii="Arial" w:hAnsi="Arial" w:cs="Arial"/>
          <w:b/>
          <w:sz w:val="20"/>
        </w:rPr>
        <w:t>Conclusion:</w:t>
      </w:r>
      <w:r w:rsidR="00C20CC3">
        <w:rPr>
          <w:rFonts w:ascii="Arial" w:hAnsi="Arial" w:cs="Arial"/>
          <w:b/>
          <w:sz w:val="20"/>
        </w:rPr>
        <w:t xml:space="preserve"> </w:t>
      </w:r>
      <w:r w:rsidR="0076361D" w:rsidRPr="00DE1688">
        <w:rPr>
          <w:rFonts w:ascii="Arial" w:hAnsi="Arial" w:cs="Arial"/>
          <w:sz w:val="20"/>
        </w:rPr>
        <w:t>This study on the use of rice husks demonstrates that this agricultural residue can be used in the field of water decontamination and waste management conducive to an environmentally friendly system.</w:t>
      </w:r>
    </w:p>
    <w:p w14:paraId="36C6D303" w14:textId="77777777" w:rsidR="008B63A9" w:rsidRDefault="008B63A9" w:rsidP="004435DD">
      <w:pPr>
        <w:pStyle w:val="ListParagraph"/>
        <w:spacing w:line="240" w:lineRule="auto"/>
        <w:jc w:val="both"/>
        <w:rPr>
          <w:rFonts w:ascii="Arial" w:hAnsi="Arial" w:cs="Arial"/>
          <w:i/>
          <w:sz w:val="20"/>
        </w:rPr>
      </w:pPr>
    </w:p>
    <w:p w14:paraId="0499E865" w14:textId="50D79C5A" w:rsidR="0002216B" w:rsidRPr="004435DD" w:rsidRDefault="0002216B" w:rsidP="004435DD">
      <w:pPr>
        <w:pStyle w:val="ListParagraph"/>
        <w:spacing w:line="240" w:lineRule="auto"/>
        <w:jc w:val="both"/>
        <w:rPr>
          <w:rFonts w:ascii="Arial" w:hAnsi="Arial" w:cs="Arial"/>
          <w:sz w:val="20"/>
        </w:rPr>
      </w:pPr>
      <w:r w:rsidRPr="008B63A9">
        <w:rPr>
          <w:rFonts w:ascii="Arial" w:hAnsi="Arial" w:cs="Arial"/>
          <w:i/>
          <w:sz w:val="20"/>
        </w:rPr>
        <w:t>Keywords:</w:t>
      </w:r>
      <w:r>
        <w:rPr>
          <w:rFonts w:ascii="Arial" w:hAnsi="Arial" w:cs="Arial"/>
          <w:sz w:val="20"/>
        </w:rPr>
        <w:t xml:space="preserve"> </w:t>
      </w:r>
      <w:r w:rsidR="008B63A9" w:rsidRPr="00813845">
        <w:rPr>
          <w:rFonts w:ascii="Arial" w:hAnsi="Arial" w:cs="Arial"/>
          <w:i/>
          <w:sz w:val="20"/>
        </w:rPr>
        <w:t xml:space="preserve">TDS, groundwater, kinetic study, </w:t>
      </w:r>
      <w:r w:rsidR="00813845" w:rsidRPr="00813845">
        <w:rPr>
          <w:rFonts w:ascii="Arial" w:hAnsi="Arial" w:cs="Arial"/>
          <w:i/>
          <w:sz w:val="20"/>
        </w:rPr>
        <w:t xml:space="preserve">compound </w:t>
      </w:r>
      <w:r w:rsidR="008B63A9" w:rsidRPr="00813845">
        <w:rPr>
          <w:rFonts w:ascii="Arial" w:hAnsi="Arial" w:cs="Arial"/>
          <w:i/>
          <w:sz w:val="20"/>
        </w:rPr>
        <w:t>polarity, adsorption.</w:t>
      </w:r>
    </w:p>
    <w:p w14:paraId="1F75170D" w14:textId="71EE5E97" w:rsidR="004435DD" w:rsidRDefault="004435DD">
      <w:pPr>
        <w:rPr>
          <w:rFonts w:ascii="Arial" w:hAnsi="Arial" w:cs="Arial"/>
          <w:b/>
        </w:rPr>
      </w:pPr>
      <w:r>
        <w:rPr>
          <w:rFonts w:ascii="Arial" w:hAnsi="Arial" w:cs="Arial"/>
          <w:b/>
        </w:rPr>
        <w:br w:type="page"/>
      </w:r>
    </w:p>
    <w:p w14:paraId="6A021594" w14:textId="77777777" w:rsidR="00B641BA" w:rsidRPr="00964A9D" w:rsidRDefault="003405C0" w:rsidP="00446F8F">
      <w:pPr>
        <w:pStyle w:val="ListParagraph"/>
        <w:numPr>
          <w:ilvl w:val="0"/>
          <w:numId w:val="1"/>
        </w:numPr>
        <w:spacing w:line="360" w:lineRule="auto"/>
        <w:rPr>
          <w:rFonts w:ascii="Arial" w:hAnsi="Arial" w:cs="Arial"/>
          <w:b/>
        </w:rPr>
      </w:pPr>
      <w:r w:rsidRPr="00964A9D">
        <w:rPr>
          <w:rFonts w:ascii="Arial" w:hAnsi="Arial" w:cs="Arial"/>
          <w:b/>
        </w:rPr>
        <w:lastRenderedPageBreak/>
        <w:t>INTRODUCTION</w:t>
      </w:r>
    </w:p>
    <w:p w14:paraId="6D02B005" w14:textId="2CCF605C" w:rsidR="006D7E93" w:rsidRPr="00901670" w:rsidRDefault="00156A21" w:rsidP="00901670">
      <w:pPr>
        <w:spacing w:line="240" w:lineRule="auto"/>
        <w:jc w:val="both"/>
        <w:rPr>
          <w:rFonts w:ascii="Arial" w:hAnsi="Arial" w:cs="Arial"/>
          <w:sz w:val="20"/>
        </w:rPr>
      </w:pPr>
      <w:r w:rsidRPr="00901670">
        <w:rPr>
          <w:rFonts w:ascii="Arial" w:hAnsi="Arial" w:cs="Arial"/>
          <w:sz w:val="20"/>
        </w:rPr>
        <w:t xml:space="preserve">Water quality can be affected by the elements contained in the body of water. These constituents of the body of water are suspended solids (SS) and total dissolved solids (TDS). Research studies have </w:t>
      </w:r>
      <w:r w:rsidR="00FD3AEF" w:rsidRPr="00901670">
        <w:rPr>
          <w:rFonts w:ascii="Arial" w:hAnsi="Arial" w:cs="Arial"/>
          <w:sz w:val="20"/>
        </w:rPr>
        <w:t>showe</w:t>
      </w:r>
      <w:r w:rsidR="00FD3AEF">
        <w:rPr>
          <w:rFonts w:ascii="Arial" w:hAnsi="Arial" w:cs="Arial"/>
          <w:sz w:val="20"/>
        </w:rPr>
        <w:t>d</w:t>
      </w:r>
      <w:r w:rsidRPr="00901670">
        <w:rPr>
          <w:rFonts w:ascii="Arial" w:hAnsi="Arial" w:cs="Arial"/>
          <w:sz w:val="20"/>
        </w:rPr>
        <w:t xml:space="preserve"> that SS and TDS are affected by meteorological factors.</w:t>
      </w:r>
      <w:r w:rsidR="003147C0">
        <w:rPr>
          <w:rFonts w:ascii="Arial" w:hAnsi="Arial" w:cs="Arial"/>
          <w:sz w:val="20"/>
        </w:rPr>
        <w:t xml:space="preserve"> </w:t>
      </w:r>
      <w:r w:rsidRPr="00901670">
        <w:rPr>
          <w:rFonts w:ascii="Arial" w:hAnsi="Arial" w:cs="Arial"/>
          <w:sz w:val="20"/>
        </w:rPr>
        <w:t xml:space="preserve">Indeed, parameters such as total nitrogen, total phosphorus, chemical oxygen demand and biological oxygen demand directly affect the TDS and SS content of water </w:t>
      </w:r>
      <w:r w:rsidRPr="00901670">
        <w:rPr>
          <w:rFonts w:ascii="Arial" w:hAnsi="Arial" w:cs="Arial"/>
          <w:sz w:val="20"/>
        </w:rPr>
        <w:fldChar w:fldCharType="begin"/>
      </w:r>
      <w:r w:rsidR="00B969D9">
        <w:rPr>
          <w:rFonts w:ascii="Arial" w:hAnsi="Arial" w:cs="Arial"/>
          <w:sz w:val="20"/>
        </w:rPr>
        <w:instrText xml:space="preserve"> ADDIN ZOTERO_ITEM CSL_CITATION {"citationID":"pJphwt4f","properties":{"formattedCitation":"(Zhang et al. 2017)","plainCitation":"(Zhang et al. 2017)","dontUpdate":true,"noteIndex":0},"citationItems":[{"id":1349,"uris":["http://zotero.org/users/local/emXCuEN0/items/E7L45CX9","http://zotero.org/users/17766503/items/E7L45CX9"],"itemData":{"id":1349,"type":"article-journal","abstract":"To explore the correlations among water quality parameters, suspended solids (SS) and total dissolved solids (TDS) with meteorological factors in a shallow reservoir in China, the long-term variations of water quality were considered. A non-parametric regression method, generalized additive models (GAM), was used to analyse the correlations among eleven physicochemical and biological parameters as well as three meteorological factors (wind speed, rainfall and solar radiation) which we collected from 2000 to 2011. The results indicate that the three meteorological factors may have positive effects on SS. Moreover, statistically significant correlations between many water quality parameters and SS or TDS were exhibited seasonally. The correlations between electrical conductivity (EC) and SS were opposite to correlations between EC and TDS. This finding reveals that TDS have a positive impact on EC, while EC negatively affects SS. The results indicated that many parameters, such as total nitrogen, total phosphorus, biological oxygen demand (BOD) and chemical oxygen demand (COD), were related to SS due to the adsorption of SS. Moreover, both positive and negative correlations between COD and TDS were observed in this freshwater reservoir. The positive correlation between chlorophyll a and SS suggested that the change of SS concentration in autumn was caused by the growth of algae. Meanwhile, significant correlations between SS and meteorological factors were also observed, indicating that meteorological factors had effects on SS dynamics. This study provides useful information regarding the correlations among water quality parameters, SS and TDS with meteorological factors in a freshwater reservoir.","container-title":"Environmental Science and Pollution Research","DOI":"10.1007/s11356-017-8402-1","journalAbbreviation":"Environmental Science and Pollution Research","source":"ResearchGate","title":"Analysing the correlations of long-term seasonal water quality parameters, suspended solids and total dissolved solids in a shallow reservoir with meteorological factors","volume":"24","author":[{"family":"Zhang","given":"Chen"},{"family":"Zhang","given":"Wenna"},{"family":"Huang","given":"Yixuan"},{"family":"Gao","given":"Xueping"}],"issued":{"date-parts":[["2017",3,1]]}}}],"schema":"https://github.com/citation-style-language/schema/raw/master/csl-citation.json"} </w:instrText>
      </w:r>
      <w:r w:rsidRPr="00901670">
        <w:rPr>
          <w:rFonts w:ascii="Arial" w:hAnsi="Arial" w:cs="Arial"/>
          <w:sz w:val="20"/>
        </w:rPr>
        <w:fldChar w:fldCharType="separate"/>
      </w:r>
      <w:r w:rsidRPr="00901670">
        <w:rPr>
          <w:rFonts w:ascii="Arial" w:hAnsi="Arial" w:cs="Arial"/>
          <w:sz w:val="20"/>
        </w:rPr>
        <w:t>(Zhang et al.</w:t>
      </w:r>
      <w:r w:rsidR="002F290F">
        <w:rPr>
          <w:rFonts w:ascii="Arial" w:hAnsi="Arial" w:cs="Arial"/>
          <w:sz w:val="20"/>
        </w:rPr>
        <w:t>,</w:t>
      </w:r>
      <w:r w:rsidRPr="00901670">
        <w:rPr>
          <w:rFonts w:ascii="Arial" w:hAnsi="Arial" w:cs="Arial"/>
          <w:sz w:val="20"/>
        </w:rPr>
        <w:t xml:space="preserve"> 2017)</w:t>
      </w:r>
      <w:r w:rsidRPr="00901670">
        <w:rPr>
          <w:rFonts w:ascii="Arial" w:hAnsi="Arial" w:cs="Arial"/>
          <w:sz w:val="20"/>
        </w:rPr>
        <w:fldChar w:fldCharType="end"/>
      </w:r>
      <w:r w:rsidRPr="00901670">
        <w:rPr>
          <w:rFonts w:ascii="Arial" w:hAnsi="Arial" w:cs="Arial"/>
          <w:sz w:val="20"/>
        </w:rPr>
        <w:t>.</w:t>
      </w:r>
      <w:r w:rsidR="0013577E" w:rsidRPr="00901670">
        <w:rPr>
          <w:rFonts w:ascii="Arial" w:hAnsi="Arial" w:cs="Arial"/>
          <w:sz w:val="20"/>
        </w:rPr>
        <w:t xml:space="preserve"> </w:t>
      </w:r>
      <w:r w:rsidR="00762562" w:rsidRPr="00901670">
        <w:rPr>
          <w:rFonts w:ascii="Arial" w:hAnsi="Arial" w:cs="Arial"/>
          <w:sz w:val="20"/>
        </w:rPr>
        <w:t xml:space="preserve">Therefore, water quality properties are affected when the dose exceeds the standards </w:t>
      </w:r>
      <w:r w:rsidR="00762562" w:rsidRPr="00901670">
        <w:rPr>
          <w:rFonts w:ascii="Arial" w:hAnsi="Arial" w:cs="Arial"/>
          <w:sz w:val="20"/>
        </w:rPr>
        <w:fldChar w:fldCharType="begin"/>
      </w:r>
      <w:r w:rsidR="00B969D9">
        <w:rPr>
          <w:rFonts w:ascii="Arial" w:hAnsi="Arial" w:cs="Arial"/>
          <w:sz w:val="20"/>
        </w:rPr>
        <w:instrText xml:space="preserve"> ADDIN ZOTERO_ITEM CSL_CITATION {"citationID":"16pnWfuE","properties":{"formattedCitation":"(Sharma et al. 2017)","plainCitation":"(Sharma et al. 2017)","dontUpdate":true,"noteIndex":0},"citationItems":[{"id":390,"uris":["http://zotero.org/users/local/emXCuEN0/items/3T98PQ9I","http://zotero.org/users/17766503/items/3T98PQ9I"],"itemData":{"id":390,"type":"article-journal","container-title":"Livestock Science","note":"publisher: Elsevier","page":"17–23","source":"Google Scholar","title":"Impact of total dissolved solids in drinking water on nutrient utilisation and growth performance of Murrah buffalo calves","URL":"https://www.sciencedirect.com/science/article/pii/S1871141317300288","volume":"198","author":[{"family":"Sharma","given":"Amit"},{"family":"Kundu","given":"S. S."},{"family":"Tariq","given":"Hujaz"},{"family":"Kewalramani","given":"N."},{"family":"Yadav","given":"R. K."}],"accessed":{"date-parts":[["2024",11,9]]},"issued":{"date-parts":[["2017"]]}}}],"schema":"https://github.com/citation-style-language/schema/raw/master/csl-citation.json"} </w:instrText>
      </w:r>
      <w:r w:rsidR="00762562" w:rsidRPr="00901670">
        <w:rPr>
          <w:rFonts w:ascii="Arial" w:hAnsi="Arial" w:cs="Arial"/>
          <w:sz w:val="20"/>
        </w:rPr>
        <w:fldChar w:fldCharType="separate"/>
      </w:r>
      <w:r w:rsidR="00762562" w:rsidRPr="00901670">
        <w:rPr>
          <w:rFonts w:ascii="Arial" w:hAnsi="Arial" w:cs="Arial"/>
          <w:sz w:val="20"/>
        </w:rPr>
        <w:t>(Sharma et al.</w:t>
      </w:r>
      <w:r w:rsidR="002F290F">
        <w:rPr>
          <w:rFonts w:ascii="Arial" w:hAnsi="Arial" w:cs="Arial"/>
          <w:sz w:val="20"/>
        </w:rPr>
        <w:t>,</w:t>
      </w:r>
      <w:r w:rsidR="00762562" w:rsidRPr="00901670">
        <w:rPr>
          <w:rFonts w:ascii="Arial" w:hAnsi="Arial" w:cs="Arial"/>
          <w:sz w:val="20"/>
        </w:rPr>
        <w:t xml:space="preserve"> 2017)</w:t>
      </w:r>
      <w:r w:rsidR="00762562" w:rsidRPr="00901670">
        <w:rPr>
          <w:rFonts w:ascii="Arial" w:hAnsi="Arial" w:cs="Arial"/>
          <w:sz w:val="20"/>
        </w:rPr>
        <w:fldChar w:fldCharType="end"/>
      </w:r>
      <w:r w:rsidR="00762562" w:rsidRPr="00901670">
        <w:rPr>
          <w:rFonts w:ascii="Arial" w:hAnsi="Arial" w:cs="Arial"/>
          <w:sz w:val="20"/>
        </w:rPr>
        <w:t>. The a</w:t>
      </w:r>
      <w:r w:rsidR="00FD3AEF">
        <w:rPr>
          <w:rFonts w:ascii="Arial" w:hAnsi="Arial" w:cs="Arial"/>
          <w:sz w:val="20"/>
        </w:rPr>
        <w:t>d</w:t>
      </w:r>
      <w:r w:rsidR="00762562" w:rsidRPr="00901670">
        <w:rPr>
          <w:rFonts w:ascii="Arial" w:hAnsi="Arial" w:cs="Arial"/>
          <w:sz w:val="20"/>
        </w:rPr>
        <w:t>sorption of water pollutants into animal tissues could pose a risk to the animals themselves and, indirectly, to consumers of animal products</w:t>
      </w:r>
      <w:r w:rsidR="00976FBD" w:rsidRPr="00901670">
        <w:rPr>
          <w:rFonts w:ascii="Arial" w:hAnsi="Arial" w:cs="Arial"/>
          <w:sz w:val="20"/>
        </w:rPr>
        <w:t xml:space="preserve"> </w:t>
      </w:r>
      <w:r w:rsidR="00976FBD" w:rsidRPr="00901670">
        <w:rPr>
          <w:rFonts w:ascii="Arial" w:hAnsi="Arial" w:cs="Arial"/>
          <w:sz w:val="20"/>
        </w:rPr>
        <w:fldChar w:fldCharType="begin"/>
      </w:r>
      <w:r w:rsidR="00B969D9">
        <w:rPr>
          <w:rFonts w:ascii="Arial" w:hAnsi="Arial" w:cs="Arial"/>
          <w:sz w:val="20"/>
        </w:rPr>
        <w:instrText xml:space="preserve"> ADDIN ZOTERO_ITEM CSL_CITATION {"citationID":"2o10nAbD","properties":{"formattedCitation":"(Meyer and Casey 2012)","plainCitation":"(Meyer and Casey 2012)","dontUpdate":true,"noteIndex":0},"citationItems":[{"id":1354,"uris":["http://zotero.org/users/local/emXCuEN0/items/9JBYVUHR","http://zotero.org/users/17766503/items/9JBYVUHR"],"itemData":{"id":1354,"type":"article-journal","container-title":"Animal Frontiers","DOI":"10.2527/af.2012-0041","ISSN":"2160-6056, 2160-6064","issue":"2","language":"en","page":"44-49","source":"DOI.org (Crossref)","title":"Establishing risk assessment on water quality for livestock","URL":"https://academic.oup.com/af/article/2/2/44/4638614","volume":"2","author":[{"family":"Meyer","given":"James A."},{"family":"Casey","given":"Norman H."}],"accessed":{"date-parts":[["2025",8,10]]},"issued":{"date-parts":[["2012",4,1]]}}}],"schema":"https://github.com/citation-style-language/schema/raw/master/csl-citation.json"} </w:instrText>
      </w:r>
      <w:r w:rsidR="00976FBD" w:rsidRPr="00901670">
        <w:rPr>
          <w:rFonts w:ascii="Arial" w:hAnsi="Arial" w:cs="Arial"/>
          <w:sz w:val="20"/>
        </w:rPr>
        <w:fldChar w:fldCharType="separate"/>
      </w:r>
      <w:r w:rsidR="00976FBD" w:rsidRPr="00901670">
        <w:rPr>
          <w:rFonts w:ascii="Arial" w:hAnsi="Arial" w:cs="Arial"/>
          <w:sz w:val="20"/>
        </w:rPr>
        <w:t>(Meyer and Casey</w:t>
      </w:r>
      <w:r w:rsidR="002F290F">
        <w:rPr>
          <w:rFonts w:ascii="Arial" w:hAnsi="Arial" w:cs="Arial"/>
          <w:sz w:val="20"/>
        </w:rPr>
        <w:t>,</w:t>
      </w:r>
      <w:r w:rsidR="00976FBD" w:rsidRPr="00901670">
        <w:rPr>
          <w:rFonts w:ascii="Arial" w:hAnsi="Arial" w:cs="Arial"/>
          <w:sz w:val="20"/>
        </w:rPr>
        <w:t xml:space="preserve"> 2012)</w:t>
      </w:r>
      <w:r w:rsidR="00976FBD" w:rsidRPr="00901670">
        <w:rPr>
          <w:rFonts w:ascii="Arial" w:hAnsi="Arial" w:cs="Arial"/>
          <w:sz w:val="20"/>
        </w:rPr>
        <w:fldChar w:fldCharType="end"/>
      </w:r>
      <w:r w:rsidR="00762562" w:rsidRPr="00901670">
        <w:rPr>
          <w:rFonts w:ascii="Arial" w:hAnsi="Arial" w:cs="Arial"/>
          <w:sz w:val="20"/>
        </w:rPr>
        <w:t>.</w:t>
      </w:r>
      <w:r w:rsidR="00976FBD" w:rsidRPr="00901670">
        <w:rPr>
          <w:rFonts w:ascii="Arial" w:hAnsi="Arial" w:cs="Arial"/>
          <w:sz w:val="20"/>
        </w:rPr>
        <w:t xml:space="preserve"> Other risks may be incurred when using water infested with pollutants that disrupt the TDS of the water, including the use of water for irrigation in vegetable production</w:t>
      </w:r>
      <w:r w:rsidR="00B62917" w:rsidRPr="00901670">
        <w:rPr>
          <w:rFonts w:ascii="Arial" w:hAnsi="Arial" w:cs="Arial"/>
          <w:sz w:val="20"/>
        </w:rPr>
        <w:t xml:space="preserve"> </w:t>
      </w:r>
      <w:r w:rsidR="00B62917" w:rsidRPr="00901670">
        <w:rPr>
          <w:rFonts w:ascii="Arial" w:hAnsi="Arial" w:cs="Arial"/>
          <w:sz w:val="20"/>
        </w:rPr>
        <w:fldChar w:fldCharType="begin"/>
      </w:r>
      <w:r w:rsidR="00B969D9">
        <w:rPr>
          <w:rFonts w:ascii="Arial" w:hAnsi="Arial" w:cs="Arial"/>
          <w:sz w:val="20"/>
        </w:rPr>
        <w:instrText xml:space="preserve"> ADDIN ZOTERO_ITEM CSL_CITATION {"citationID":"QyEM7286","properties":{"formattedCitation":"(Masoud et al. 2022; Palanisamy et al. 2020)","plainCitation":"(Masoud et al. 2022; Palanisamy et al. 2020)","dontUpdate":true,"noteIndex":0},"citationItems":[{"id":493,"uris":["http://zotero.org/users/local/emXCuEN0/items/3HJ4F7J3","http://zotero.org/users/17766503/items/3HJ4F7J3"],"itemData":{"id":493,"type":"article-journal","abstract":"Evaluating grouLindwater quality and associated hydrochemical properties is critical to manage groundwater resources in arid and semiarid environments. The current study examined groundwater quality and appropriateness for agriculture in the alluvial aquifer of Makkah Al-Mukarramah Province, Saudi Arabia, utilizing several irrigation water quality indices (IWQIs) such as irrigation water quality index (IWQI), total dissolved solids (TDS), sodium adsorption ratio (SAR), potential salinity (PS), magnesium hazard (MH), and residual sodium carbonate (RSC) assisted by multivariate modeling and GIS tools. One hundred fourteen groundwater wells were evaluated utilizing several physicochemical parameters, which indicating that the primary cation and anion concentrations were as follows: Na+ &gt; Ca2+ &gt; Mg2+ &gt; K+, and Cl− &gt; SO42˗ &gt; HCO3˗ &gt; NO3˗ &gt; CO32˗, respectively, reflecting Ca–HCO3, Na–Cl, and mixed Ca–Mg–Cl–SO4 water facies under the stress of evaporation, saltwater intrusion, and reverse ion exchange processes. The IWQI, TDS, SAR, PS, MH, and RSC across two studied regions had mean values of 64.86, 2028.53, 4.98, 26.18, 38.70, and − 14.77, respectively. For example, the computed IWQI model indicated that approximately 31% of samples fell into the no restriction range, implying that salinity tolerance crops should be avoided, while approximately 33% of samples fell into the low to moderate restriction range, and approximately 36% of samples fell into the high to severe restriction range for irrigation, implying that moderate to high salt sensitivity crops should be irrigated in loose soil with no compacted layers. The partial least squares regression model (PLSR) produced a more accurate assessment of six IWQIs based on values of R2 and slope. In Val. datasets, the PLSR model generated strong estimates for six IWQIs with R2 varied from 0.72 to 1.00. There was a good slope value of the linear relationship between measured and predicted for each parameter and the highest slope value (1.00) was shown with RSC. In the PLSR models of six IWQIs, there were no overfitting or underfitting between the measuring, calibrating, and validating datasets. In conclusion, the combination of physicochemical characteristics, WQIs, PLSR, and GIS tools to assess groundwater suitability for irrigation and their regulating variables is beneficial and provides a clear picture of water quality.;Abstract Evaluating grouLindwater quality and associated hydrochemical properties is critical to manage groundwater resources in arid and semiarid environments. The current study examined groundwater quality and appropriateness for agriculture in the alluvial aquifer of Makkah Al-Mukarramah Province, Saudi Arabia, utilizing several irrigation water quality indices (IWQIs) such as irrigation water quality index (IWQI), total dissolved solids (TDS), sodium adsorption ratio (SAR), potential salinity (PS), magnesium hazard (MH), and residual sodium carbonate (RSC) assisted by multivariate modeling and GIS tools. One hundred fourteen groundwater wells were evaluated utilizing several physicochemical parameters, which indicating that the primary cation and anion concentrations were as follows: Na+ &gt; Ca2+ &gt; Mg2+ &gt; K+, and Cl− &gt; SO4 2˗ &gt; HCO3 ˗ &gt; NO3 ˗ &gt; CO3 2˗, respectively, reflecting Ca–HCO3, Na–Cl, and mixed Ca–Mg–Cl–SO4 water facies under the stress of evaporation, saltwater intrusion, and reverse ion exchange processes. The IWQI, TDS, SAR, PS, MH, and RSC across two studied regions had mean values of 64.86, 2028.53, 4.98, 26.18, 38.70, and − 14.77, respectively. For example, the computed IWQI model indicated that approximately 31% of samples fell into the no restriction range, implying that salinity tolerance crops should be avoided, while approximately 33% of samples fell into the low to moderate restriction range, and approximately 36% of samples fell into the high to severe restriction range for irrigation, implying that moderate to high salt sensitivity crops should be irrigated in loose soil with no compacted layers. The partial least squares regression model (PLSR) produced a more accurate assessment of six IWQIs based on values of R 2 and slope. In Val. datasets, the PLSR model generated strong estimates for six IWQIs with R 2 varied from 0.72 to 1.00. There was a good slope value of the linear relationship between measured and predicted for each parameter and the highest slope value (1.00) was shown with RSC. In the PLSR models of six IWQIs, there were no overfitting or underfitting between the measuring, calibrating, and validating datasets. In conclusion, the combination of physicochemical characteristics, WQIs, PLSR, and GIS tools to assess groundwater suitability for irrigation and their regulating variables is beneficial and provides a clear picture of water quality.;Evaluating grouLindwater quality and associated hydrochemical properties is critical to manage groundwater resources in arid and semiarid environments. The current study examined groundwater quality and appropriateness for agriculture in the alluvial aquifer of Makkah Al-Mukarramah Province, Saudi Arabia, utilizing several irrigation water quality indices (IWQIs) such as irrigation water quality index (IWQI), total dissolved solids (TDS), sodium adsorption ratio (SAR), potential salinity (PS), magnesium hazard (MH), and residual sodium carbonate (RSC) assisted by multivariate modeling and GIS tools. One hundred fourteen groundwater wells were evaluated utilizing several physicochemical parameters, which indicating that the primary cation and anion concentrations were as follows: Na\n\n+\n\n&gt; Ca\n\n2+\n\n&gt; Mg\n\n2+\n\n&gt; K\n\n+\n\n, and Cl\n\n−\n\n&gt; SO\n\n4\n\n2˗\n\n&gt; HCO\n\n3\n\n˗\n\n&gt; NO\n\n3\n\n˗\n\n&gt; CO\n\n3\n\n2˗\n\n, respectively, reflecting Ca–HCO\n\n3\n\n, Na–Cl, and mixed Ca–Mg–Cl–SO\n\n4\n\nwater facies under the stress of evaporation, saltwater intrusion, and reverse ion exchange processes. The IWQI, TDS, SAR, PS, MH, and RSC across two studied regions had mean values of 64.86, 2028.53, 4.98, 26.18, 38.70, and − 14.77, respectively. For example, the computed IWQI model indicated that approximately 31% of samples fell into the no restriction range, implying that salinity tolerance crops should be avoided, while approximately 33% of samples fell into the low to moderate restriction range, and approximately 36% of samples fell into the high to severe restriction range for irrigation, implying that moderate to high salt sensitivity crops should be irrigated in loose soil with no compacted layers. The partial least squares regression model (PLSR) produced a more accurate assessment of six IWQIs based on values of\n\nR\n\n2\n\nand slope. In Val. datasets, the PLSR model generated strong estimates for six IWQIs with\n\nR\n\n2\n\nvaried from 0.72 to 1.00. There was a good slope value of the linear relationship between measured and predicted for each parameter and the highest slope value (1.00) was shown with RSC. In the PLSR models of six IWQIs, there were no overfitting or underfitting between the measuring, calibrating, and validating datasets. In conclusion, the combination of physicochemical characteristics, WQIs, PLSR, and GIS tools to assess groundwater suitability for irrigation and their regulating variables is beneficial and provides a clear picture of water quality.;","container-title":"Applied water science","DOI":"10.1007/s13201-022-01770-9","ISSN":"2190-5487","issue":"10","language":"English","note":"publisher-place: Cham\npublisher: Springer International Publishing","page":"1-22","source":"Summon 2 (hinari.summon.serialssolutions.com)","title":"Evaluation of groundwater quality for agricultural under different conditions using water quality indices, partial least squares regression models, and GIS approaches","URL":"https://go.exlibris.link/WCyMpr8X","volume":"12","author":[{"family":"Masoud","given":"Milad"},{"family":"El Osta","given":"Maged"},{"family":"Alqarawy","given":"Abdulaziz"},{"family":"Elsayed","given":"Salah"},{"family":"Gad","given":"Mohamed"}],"accessed":{"date-parts":[["2024",12,1]]},"issued":{"date-parts":[["2022"]]}}},{"id":1355,"uris":["http://zotero.org/users/local/emXCuEN0/items/LYHC4XEY","http://zotero.org/users/17766503/items/LYHC4XEY"],"itemData":{"id":1355,"type":"article-journal","abstract":"Groundwater is an important natural resource for irrigation purpose in the non-perennial River basin (Shanmuganadhi) of South India. The present investigation was conducted to determine the groundwater suitability for irrigation purpose, using irrigation water quality index (IWQI) with the application of GIS. A total of 61 groundwater samples collected from the present study region were chemically analyzed such as TDS, EC, pH, Ca 2+ , Mg 2+ , Na + , K + , HCO 3 − , Cl − , and SO 4 2−. Groundwater quality shows slight alkalinity (7.11-7.95). The Wilcox, USSL, and Doneen's diagrams, and RSC, KR, and MHR indices indicate that maximum groundwater sampling locations fall under the unsuitable category for irrigation purpose. According to the classification of IWQI, 57% of the total groundwater samples belongs to the poor to unsuitable water quality types for irrigation. The spatial distribution of IWQI displays that 77.27% of the present study region comes under the vulnerable zones such as moderate restriction (51.99%, high restriction (23.10%), and severe restriction (2.18%) water quality for irrigation purpose. Therefore, the present study suggests the suitable treatment methods for increasing the soil permeability and thereby to improve the crop production.","container-title":"Arabian Journal of Geosciences","DOI":"10.1007/s12517-020-06103-1","journalAbbreviation":"Arabian Journal of Geosciences","source":"ResearchGate","title":"Irrigation risk assessment of groundwater in a non-perennial river basin of South India: implication from irrigation water quality index (IWQI) and geographical information system (GIS) approaches","title-short":"Irrigation risk assessment of groundwater in a non-perennial river basin of South India","volume":"13","author":[{"family":"Palanisamy","given":"Aravinthasamy"},{"family":"Duraisamy","given":"Karunanidhi"},{"family":"Rao","given":"N."},{"family":"T","given":"SUBRAMANI"},{"family":"Krishnaraj","given":"Srinivasmoorthy"}],"issued":{"date-parts":[["2020",10,21]]}}}],"schema":"https://github.com/citation-style-language/schema/raw/master/csl-citation.json"} </w:instrText>
      </w:r>
      <w:r w:rsidR="00B62917" w:rsidRPr="00901670">
        <w:rPr>
          <w:rFonts w:ascii="Arial" w:hAnsi="Arial" w:cs="Arial"/>
          <w:sz w:val="20"/>
        </w:rPr>
        <w:fldChar w:fldCharType="separate"/>
      </w:r>
      <w:r w:rsidR="00C122A2" w:rsidRPr="00901670">
        <w:rPr>
          <w:rFonts w:ascii="Arial" w:hAnsi="Arial" w:cs="Arial"/>
          <w:sz w:val="20"/>
        </w:rPr>
        <w:t>(Masoud et al.</w:t>
      </w:r>
      <w:r w:rsidR="002F290F">
        <w:rPr>
          <w:rFonts w:ascii="Arial" w:hAnsi="Arial" w:cs="Arial"/>
          <w:sz w:val="20"/>
        </w:rPr>
        <w:t>,</w:t>
      </w:r>
      <w:r w:rsidR="00C122A2" w:rsidRPr="00901670">
        <w:rPr>
          <w:rFonts w:ascii="Arial" w:hAnsi="Arial" w:cs="Arial"/>
          <w:sz w:val="20"/>
        </w:rPr>
        <w:t xml:space="preserve"> 2022; Palanisamy et al. 2020)</w:t>
      </w:r>
      <w:r w:rsidR="00B62917" w:rsidRPr="00901670">
        <w:rPr>
          <w:rFonts w:ascii="Arial" w:hAnsi="Arial" w:cs="Arial"/>
          <w:sz w:val="20"/>
        </w:rPr>
        <w:fldChar w:fldCharType="end"/>
      </w:r>
      <w:r w:rsidR="002B5B78" w:rsidRPr="00901670">
        <w:rPr>
          <w:rFonts w:ascii="Arial" w:hAnsi="Arial" w:cs="Arial"/>
          <w:sz w:val="20"/>
        </w:rPr>
        <w:t xml:space="preserve">. </w:t>
      </w:r>
      <w:r w:rsidR="00180017" w:rsidRPr="00901670">
        <w:rPr>
          <w:rFonts w:ascii="Arial" w:hAnsi="Arial" w:cs="Arial"/>
          <w:sz w:val="20"/>
        </w:rPr>
        <w:t xml:space="preserve">Turbidity affects water quality and poses a threat to the ecosystem and affects the living environment of fish </w:t>
      </w:r>
      <w:r w:rsidR="006D7E93" w:rsidRPr="00901670">
        <w:rPr>
          <w:rFonts w:ascii="Arial" w:hAnsi="Arial" w:cs="Arial"/>
          <w:sz w:val="20"/>
          <w:lang w:val="fr-FR"/>
        </w:rPr>
        <w:fldChar w:fldCharType="begin"/>
      </w:r>
      <w:r w:rsidR="00FD3AEF">
        <w:rPr>
          <w:rFonts w:ascii="Arial" w:hAnsi="Arial" w:cs="Arial"/>
          <w:sz w:val="20"/>
        </w:rPr>
        <w:instrText xml:space="preserve"> ADDIN ZOTERO_ITEM CSL_CITATION {"citationID":"VRK2OkK2","properties":{"formattedCitation":"(Abrahams and Kattenfeld 1997)","plainCitation":"(Abrahams and Kattenfeld 1997)","noteIndex":0},"citationItems":[{"id":"rB5MxnzE/6Vre6Bl0","uris":["http://zotero.org/users/local/emXCuEN0/items/5V55SWNB"],"itemData":{"id":360,"type":"article-journal","container-title":"Behavioral Ecology and Sociobiology","DOI":"10.1007/s002650050330","ISSN":"0340-5443, 1432-0762","issue":"3","journalAbbreviation":"Behavioral Ecology and Sociobiology","license":"http://www.springer.com/tdm","page":"169-174","source":"DOI.org (Crossref)","title":"The role of turbidity as a constraint on predator-prey interactions in aquatic environments","volume":"40","author":[{"family":"Abrahams","given":"Mark V."},{"family":"Kattenfeld","given":"Michael G."}],"issued":{"date-parts":[["1997",3,26]]}}}],"schema":"https://github.com/citation-style-language/schema/raw/master/csl-citation.json"} </w:instrText>
      </w:r>
      <w:r w:rsidR="006D7E93" w:rsidRPr="00901670">
        <w:rPr>
          <w:rFonts w:ascii="Arial" w:hAnsi="Arial" w:cs="Arial"/>
          <w:sz w:val="20"/>
          <w:lang w:val="fr-FR"/>
        </w:rPr>
        <w:fldChar w:fldCharType="separate"/>
      </w:r>
      <w:r w:rsidR="006D7E93" w:rsidRPr="00901670">
        <w:rPr>
          <w:rFonts w:ascii="Arial" w:hAnsi="Arial" w:cs="Arial"/>
          <w:sz w:val="20"/>
        </w:rPr>
        <w:t>(Abrahams and Kattenfeld 1997)</w:t>
      </w:r>
      <w:r w:rsidR="006D7E93" w:rsidRPr="00901670">
        <w:rPr>
          <w:rFonts w:ascii="Arial" w:hAnsi="Arial" w:cs="Arial"/>
          <w:sz w:val="20"/>
          <w:lang w:val="fr-FR"/>
        </w:rPr>
        <w:fldChar w:fldCharType="end"/>
      </w:r>
      <w:r w:rsidR="00180017" w:rsidRPr="00901670">
        <w:rPr>
          <w:rFonts w:ascii="Arial" w:hAnsi="Arial" w:cs="Arial"/>
          <w:sz w:val="20"/>
        </w:rPr>
        <w:t>. Poor water quality can increase the cost of the treatment system. For example, high TDS concentrations in water c</w:t>
      </w:r>
      <w:r w:rsidR="00E008A2">
        <w:rPr>
          <w:rFonts w:ascii="Arial" w:hAnsi="Arial" w:cs="Arial"/>
          <w:sz w:val="20"/>
        </w:rPr>
        <w:t>ould</w:t>
      </w:r>
      <w:r w:rsidR="00180017" w:rsidRPr="00901670">
        <w:rPr>
          <w:rFonts w:ascii="Arial" w:hAnsi="Arial" w:cs="Arial"/>
          <w:sz w:val="20"/>
        </w:rPr>
        <w:t xml:space="preserve"> lead to excessive treatment costs, especially with reverse osmosis</w:t>
      </w:r>
      <w:r w:rsidR="00AE430D" w:rsidRPr="00901670">
        <w:rPr>
          <w:rFonts w:ascii="Arial" w:hAnsi="Arial" w:cs="Arial"/>
          <w:sz w:val="20"/>
        </w:rPr>
        <w:t xml:space="preserve"> </w:t>
      </w:r>
      <w:r w:rsidR="00AE430D" w:rsidRPr="00901670">
        <w:rPr>
          <w:rFonts w:ascii="Arial" w:hAnsi="Arial" w:cs="Arial"/>
          <w:sz w:val="20"/>
          <w:lang w:val="fr-FR"/>
        </w:rPr>
        <w:fldChar w:fldCharType="begin"/>
      </w:r>
      <w:r w:rsidR="00B969D9">
        <w:rPr>
          <w:rFonts w:ascii="Arial" w:hAnsi="Arial" w:cs="Arial"/>
          <w:sz w:val="20"/>
        </w:rPr>
        <w:instrText xml:space="preserve"> ADDIN ZOTERO_ITEM CSL_CITATION {"citationID":"n78t5PNL","properties":{"formattedCitation":"(Adjovu et al. 2023)","plainCitation":"(Adjovu et al. 2023)","dontUpdate":true,"noteIndex":0},"citationItems":[{"id":481,"uris":["http://zotero.org/users/local/emXCuEN0/items/FRLDRJEW","http://zotero.org/users/17766503/items/FRLDRJEW"],"itemData":{"id":481,"type":"article-journal","abstract":"This study provides a comprehensive review of the efforts utilized in the measurement of water quality parameters (WQPs) with a focus on total dissolved solids (TDS) and total suspended solids (TSS). The current method used in the measurement of TDS and TSS includes conventional field and gravimetric approaches. These methods are limited due to the associated cost and labor, and limited spatial coverages. Remote Sensing (RS) applications have, however, been used over the past few decades as an alternative to overcome these limitations. Although they also present underlying atmospheric interferences in images, radiometric and spectral resolution issues. Studies of these WQPs with RS, therefore, require the knowledge and utilization of the best mechanisms. The use of RS for retrieval of TDS, TSS, and their forms has been explored in many studies using images from airborne sensors onboard unmanned aerial vehicles (UAVs) and satellite sensors such as those onboard the Landsat, Sentinel-2, Aqua, and Terra platforms. The images and their spectral properties serve as inputs for deep learning analysis and statistical, and machine learning models. Methods used to retrieve these WQP measurements are dependent on the optical properties of the inland water bodies. While TSS is an optically active parameter, TDS is optically inactive with a low signal–noise ratio. The detection of TDS in the visible, near-infrared, and infrared bands is due to some process that (usually) co-occurs with changes in the TDS that is affecting a WQP that is optically active. This study revealed significant improvements in incorporating RS and conventional approaches in estimating WQPs. The findings reveal that improved spatiotemporal resolution has the potential to effectively detect changes in the WQPs. For effective monitoring of TDS and TSS using RS, we recommend employing atmospheric correction mechanisms to reduce image atmospheric interference, exploration of the fusion of optical and microwave bands, high-resolution hyperspectral images, utilization of ML and deep learning models, calibration and validation using observed data measured from conventional methods. Further studies could focus on the development of new technology and sensors using UAVs and satellite images to produce real-time in situ monitoring of TDS and TSS. The findings presented in this review aid in consolidating understanding and advancement of TDS and TSS measurements in a single repository thereby offering stakeholders, researchers, decision-makers, and regulatory bodies a go-to information resource to enhance their monitoring efforts and mitigation of water quality impairments.","container-title":"Remote sensing (Basel, Switzerland)","DOI":"10.3390/rs15143534","ISSN":"2072-4292","issue":"14","language":"English","note":"publisher-place: Basel\npublisher: MDPI AG","page":"3534","source":"Summon 2 (hinari.summon.serialssolutions.com)","title":"Measurement of Total Dissolved Solids and Total Suspended Solids in Water Systems: A Review of the Issues, Conventional, and Remote Sensing Techniques","title-short":"Measurement of Total Dissolved Solids and Total Suspended Solids in Water Systems","URL":"https://hinari.summon.serialssolutions.com/2.0.0/link/0/eLvHCXMwrV1LT-MwELYQWgkuKxYWUWCRpT1waSHN2HG6t_Ko9lJpRYv2aMX2hK20SlFSkLjwM_i9jO20PCS0l73kkESW5Xn4m2T8fYxBepL03uWEpHSENYTENDc2L4R0eVZibsXADJwyGFgYYTRJf019T81K-cu3iEW24LiOp6hKdBIBVG4EFMq4rCSIgwk6QOdi8Z5kr2qrkJKBPC0RkZ4UqMw_rZt-gAog3mxIgbf_o-wctpzRFvvcYkU-jJP6wtaw2mYbrWz5n4cd9jR--cLH5yWfzglK84uZd6h7dHwy_ztzDS8q1z6a3DVB83b1aFbx34Q2a94yl__gQx5_F_jxCBzyKM_X5eev2tO7YcgrJDMjn_gW-OqGT5dssM1Xdj26nJ7_7LVCCz1LIbzo9Ql2WGX7VhKIzbIyRUBhVJpYyFTfqayQVHiYDBAMCOOUNGhMjgMqPqW1CLtsvZpXuMc4pcvCmRy8sJkQ4HJZYGporSnOSwu2w74vV1vfRj4NTXWIt4l-sUmHnXlDrN7wHNjhBrmCbl1B_8sVOuzYm1H7SF3UhS3aAwc0Uc95pYdKDlJ_zlh22OHS0roN4UbTvg2ex0Ik-_9jNgds0yvVx07fQ7a-qO_wG_vkRdLr2VFwV7qOHy-fAUXx-L0","volume":"15","author":[{"family":"Adjovu","given":"Godson Ebenezer"},{"family":"Stephen","given":"Haroon"},{"family":"James","given":"David"},{"family":"Ahmad","given":"Sajjad"}],"accessed":{"date-parts":[["2024",12,1]]},"issued":{"date-parts":[["2023"]]}}}],"schema":"https://github.com/citation-style-language/schema/raw/master/csl-citation.json"} </w:instrText>
      </w:r>
      <w:r w:rsidR="00AE430D" w:rsidRPr="00901670">
        <w:rPr>
          <w:rFonts w:ascii="Arial" w:hAnsi="Arial" w:cs="Arial"/>
          <w:sz w:val="20"/>
          <w:lang w:val="fr-FR"/>
        </w:rPr>
        <w:fldChar w:fldCharType="separate"/>
      </w:r>
      <w:r w:rsidR="00AE430D" w:rsidRPr="00901670">
        <w:rPr>
          <w:rFonts w:ascii="Arial" w:hAnsi="Arial" w:cs="Arial"/>
          <w:sz w:val="20"/>
        </w:rPr>
        <w:t>(Adjovu et al.</w:t>
      </w:r>
      <w:r w:rsidR="002F290F">
        <w:rPr>
          <w:rFonts w:ascii="Arial" w:hAnsi="Arial" w:cs="Arial"/>
          <w:sz w:val="20"/>
        </w:rPr>
        <w:t>,</w:t>
      </w:r>
      <w:r w:rsidR="00AE430D" w:rsidRPr="00901670">
        <w:rPr>
          <w:rFonts w:ascii="Arial" w:hAnsi="Arial" w:cs="Arial"/>
          <w:sz w:val="20"/>
        </w:rPr>
        <w:t xml:space="preserve"> 2023)</w:t>
      </w:r>
      <w:r w:rsidR="00AE430D" w:rsidRPr="00901670">
        <w:rPr>
          <w:rFonts w:ascii="Arial" w:hAnsi="Arial" w:cs="Arial"/>
          <w:sz w:val="20"/>
          <w:lang w:val="fr-FR"/>
        </w:rPr>
        <w:fldChar w:fldCharType="end"/>
      </w:r>
      <w:r w:rsidR="00180017" w:rsidRPr="00901670">
        <w:rPr>
          <w:rFonts w:ascii="Arial" w:hAnsi="Arial" w:cs="Arial"/>
          <w:sz w:val="20"/>
        </w:rPr>
        <w:t>.</w:t>
      </w:r>
    </w:p>
    <w:p w14:paraId="1B27A72E" w14:textId="742D4A87" w:rsidR="00B7556F" w:rsidRPr="00061E01" w:rsidRDefault="00B7556F" w:rsidP="006B6C53">
      <w:pPr>
        <w:spacing w:line="240" w:lineRule="auto"/>
        <w:jc w:val="both"/>
        <w:rPr>
          <w:rFonts w:ascii="Arial" w:hAnsi="Arial" w:cs="Arial"/>
          <w:sz w:val="20"/>
        </w:rPr>
      </w:pPr>
      <w:r w:rsidRPr="00B7556F">
        <w:rPr>
          <w:rFonts w:ascii="Arial" w:hAnsi="Arial" w:cs="Arial"/>
          <w:sz w:val="20"/>
        </w:rPr>
        <w:t>Several methods exist in the field of water treatment (drinking water and wastewater) and are physical, chemical and biological in nature.</w:t>
      </w:r>
      <w:r>
        <w:rPr>
          <w:rFonts w:ascii="Arial" w:hAnsi="Arial" w:cs="Arial"/>
          <w:sz w:val="20"/>
        </w:rPr>
        <w:t xml:space="preserve"> There is coagulation (</w:t>
      </w:r>
      <w:r w:rsidRPr="00901670">
        <w:rPr>
          <w:rFonts w:ascii="Arial" w:hAnsi="Arial" w:cs="Arial"/>
          <w:sz w:val="20"/>
        </w:rPr>
        <w:fldChar w:fldCharType="begin"/>
      </w:r>
      <w:r w:rsidR="00847B0E">
        <w:rPr>
          <w:rFonts w:ascii="Arial" w:hAnsi="Arial" w:cs="Arial"/>
          <w:sz w:val="20"/>
        </w:rPr>
        <w:instrText xml:space="preserve"> ADDIN ZOTERO_ITEM CSL_CITATION {"citationID":"qTO4xrFz","properties":{"formattedCitation":"(Asrafuzzaman et al. 2011)","plainCitation":"(Asrafuzzaman et al. 2011)","dontUpdate":true,"noteIndex":0},"citationItems":[{"id":351,"uris":["http://zotero.org/users/local/emXCuEN0/items/4SKLDH3F","http://zotero.org/users/17766503/items/4SKLDH3F"],"itemData":{"id":351,"type":"article-journal","abstract":"Turbidity imparts a great problem in water treatment. Moringa oleifera, Cicer arietinum, and Dolichos lablab were used as locally available natural coagulants in this study to reduce turbidity of synthetic water. The tests were carried out, using artificial turbid water with conventional jar test apparatus. Optimum mixing intensity and duration were determined. After dosing water-soluble extracts of Moringa oleifera, Cicer arietinum, and Dolichos lablab reduced turbidity to 5.9, 3.9, and 11.1 nephelometric turbidity unit (NTU), respectively, from 100 NTU and 5, 3.3, and 9.5, NTU, respectively, after dosing and filtration. Natural coagulants worked better with high, turbid, water compare to medium, or low, turbid, water. Highest turbidity reduction efficiency (95.89%) was found with Cicer arietinum. About 89 to 96% total coliform reduction were also found with natural coagulant treatment of turbid water. Using locally available natural coagulants, suitable, easier, and environment friendly options for water treatment were observed.","container-title":"International Scholarly Research Notices","DOI":"10.5402/2011/632189","ISSN":"2356-7872","issue":"1","language":"en","note":"_eprint: https://onlinelibrary.wiley.com/doi/pdf/10.5402/2011/632189","page":"632189","source":"Wiley Online Library","title":"Reduction of Turbidity of Water Using Locally Available Natural Coagulants","URL":"https://onlinelibrary.wiley.com/doi/abs/10.5402/2011/632189","volume":"2011","author":[{"family":"Asrafuzzaman","given":"Md."},{"family":"Fakhruddin","given":"A. N. M."},{"family":"Hossain","given":"Md. Alamgir"}],"accessed":{"date-parts":[["2024",11,9]]},"issued":{"date-parts":[["2011"]]}}}],"schema":"https://github.com/citation-style-language/schema/raw/master/csl-citation.json"} </w:instrText>
      </w:r>
      <w:r w:rsidRPr="00901670">
        <w:rPr>
          <w:rFonts w:ascii="Arial" w:hAnsi="Arial" w:cs="Arial"/>
          <w:sz w:val="20"/>
        </w:rPr>
        <w:fldChar w:fldCharType="separate"/>
      </w:r>
      <w:r w:rsidRPr="00901670">
        <w:rPr>
          <w:rFonts w:ascii="Arial" w:hAnsi="Arial" w:cs="Arial"/>
          <w:sz w:val="20"/>
        </w:rPr>
        <w:t>(Asrafuzzaman et al.</w:t>
      </w:r>
      <w:r w:rsidR="002F290F">
        <w:rPr>
          <w:rFonts w:ascii="Arial" w:hAnsi="Arial" w:cs="Arial"/>
          <w:sz w:val="20"/>
        </w:rPr>
        <w:t>,</w:t>
      </w:r>
      <w:r w:rsidRPr="00901670">
        <w:rPr>
          <w:rFonts w:ascii="Arial" w:hAnsi="Arial" w:cs="Arial"/>
          <w:sz w:val="20"/>
        </w:rPr>
        <w:t xml:space="preserve"> 2011</w:t>
      </w:r>
      <w:r w:rsidRPr="00901670">
        <w:rPr>
          <w:rFonts w:ascii="Arial" w:hAnsi="Arial" w:cs="Arial"/>
          <w:sz w:val="20"/>
        </w:rPr>
        <w:fldChar w:fldCharType="end"/>
      </w:r>
      <w:r>
        <w:rPr>
          <w:rFonts w:ascii="Arial" w:hAnsi="Arial" w:cs="Arial"/>
          <w:sz w:val="20"/>
        </w:rPr>
        <w:t>,</w:t>
      </w:r>
      <w:r w:rsidRPr="00901670">
        <w:rPr>
          <w:rFonts w:ascii="Arial" w:hAnsi="Arial" w:cs="Arial"/>
          <w:sz w:val="20"/>
        </w:rPr>
        <w:fldChar w:fldCharType="begin"/>
      </w:r>
      <w:r w:rsidR="00847B0E">
        <w:rPr>
          <w:rFonts w:ascii="Arial" w:hAnsi="Arial" w:cs="Arial"/>
          <w:sz w:val="20"/>
        </w:rPr>
        <w:instrText xml:space="preserve"> ADDIN ZOTERO_ITEM CSL_CITATION {"citationID":"m51o5BSx","properties":{"formattedCitation":"(Igwegbe and Onukwuli 2019)","plainCitation":"(Igwegbe and Onukwuli 2019)","dontUpdate":true,"noteIndex":0},"citationItems":[{"id":405,"uris":["http://zotero.org/users/local/emXCuEN0/items/UVA5W983","http://zotero.org/users/17766503/items/UVA5W983"],"itemData":{"id":405,"type":"article-journal","container-title":"Pharm Chem J","issue":"4","page":"32–45","source":"Google Scholar","title":"Removal of total dissolved solids (TDS) from aquaculture wastewater by coagulation-flocculation process using Sesamum indicum extract: effect of operating parameters and coagulation-flocculation kinetics","title-short":"Removal of total dissolved solids (TDS) from aquaculture wastewater by coagulation-flocculation process using Sesamum indicum extract","URL":"https://www.researchgate.net/profile/Chinenye-Igwegbe/publication/341234794_Removal_of_Total_Dissolved_Solids_TDS_from_Aquaculture_Wastewater_by_Coagulation-flocculation_Process_using_Sesamum_indicum_extract_Effect_of_Operating_Parameters_and_Coagulation-Flocculation_kinetics/links/5eb547ed299bf1287f758d6f/Removal-of-Total-Dissolved-Solids-TDS-from-Aquaculture-Wastewater-by-Coagulation-flocculation-Process-using-Sesamum-indicum-extract-Effect-of-Operating-Parameters-and-Coagulation-Flocculation-kinetics.pdf","volume":"6","author":[{"family":"Igwegbe","given":"Chinenye Adaobi"},{"family":"Onukwuli","given":"Okechukwu Dominic"}],"accessed":{"date-parts":[["2024",11,9]]},"issued":{"date-parts":[["2019"]]}}}],"schema":"https://github.com/citation-style-language/schema/raw/master/csl-citation.json"} </w:instrText>
      </w:r>
      <w:r w:rsidRPr="00901670">
        <w:rPr>
          <w:rFonts w:ascii="Arial" w:hAnsi="Arial" w:cs="Arial"/>
          <w:sz w:val="20"/>
        </w:rPr>
        <w:fldChar w:fldCharType="separate"/>
      </w:r>
      <w:r w:rsidRPr="00901670">
        <w:rPr>
          <w:rFonts w:ascii="Arial" w:hAnsi="Arial" w:cs="Arial"/>
          <w:sz w:val="20"/>
        </w:rPr>
        <w:t>Igwegbe and Onukwuli 2019</w:t>
      </w:r>
      <w:r w:rsidRPr="00901670">
        <w:rPr>
          <w:rFonts w:ascii="Arial" w:hAnsi="Arial" w:cs="Arial"/>
          <w:sz w:val="20"/>
        </w:rPr>
        <w:fldChar w:fldCharType="end"/>
      </w:r>
      <w:r>
        <w:rPr>
          <w:rFonts w:ascii="Arial" w:hAnsi="Arial" w:cs="Arial"/>
          <w:sz w:val="20"/>
        </w:rPr>
        <w:t>,</w:t>
      </w:r>
      <w:r w:rsidRPr="00B7556F">
        <w:rPr>
          <w:rFonts w:ascii="Arial" w:hAnsi="Arial" w:cs="Arial"/>
          <w:sz w:val="20"/>
        </w:rPr>
        <w:t xml:space="preserve"> </w:t>
      </w:r>
      <w:r w:rsidRPr="00901670">
        <w:rPr>
          <w:rFonts w:ascii="Arial" w:hAnsi="Arial" w:cs="Arial"/>
          <w:sz w:val="20"/>
          <w:lang w:val="fr-FR"/>
        </w:rPr>
        <w:fldChar w:fldCharType="begin"/>
      </w:r>
      <w:r w:rsidR="00847B0E">
        <w:rPr>
          <w:rFonts w:ascii="Arial" w:hAnsi="Arial" w:cs="Arial"/>
          <w:sz w:val="20"/>
        </w:rPr>
        <w:instrText xml:space="preserve"> ADDIN ZOTERO_ITEM CSL_CITATION {"citationID":"jp9qZiub","properties":{"formattedCitation":"(Aboubaraka et al. 2017)","plainCitation":"(Aboubaraka et al. 2017)","dontUpdate":true,"noteIndex":0},"citationItems":[{"id":375,"uris":["http://zotero.org/users/local/emXCuEN0/items/8NCV2XMF","http://zotero.org/users/17766503/items/8NCV2XMF"],"itemData":{"id":375,"type":"article-journal","container-title":"Chemosphere","note":"publisher: Elsevier","page":"738–746","source":"Google Scholar","title":"Coagulation effectiveness of graphene oxide for the removal of turbidity from raw surface water","URL":"https://www.sciencedirect.com/science/article/pii/S0045653517306793","volume":"181","author":[{"family":"Aboubaraka","given":"Abdelmeguid E."},{"family":"Aboelfetoh","given":"Eman F."},{"family":"Ebeid","given":"El-Zeiny M."}],"accessed":{"date-parts":[["2024",11,9]]},"issued":{"date-parts":[["2017"]]}}}],"schema":"https://github.com/citation-style-language/schema/raw/master/csl-citation.json"} </w:instrText>
      </w:r>
      <w:r w:rsidRPr="00901670">
        <w:rPr>
          <w:rFonts w:ascii="Arial" w:hAnsi="Arial" w:cs="Arial"/>
          <w:sz w:val="20"/>
          <w:lang w:val="fr-FR"/>
        </w:rPr>
        <w:fldChar w:fldCharType="separate"/>
      </w:r>
      <w:r w:rsidRPr="00901670">
        <w:rPr>
          <w:rFonts w:ascii="Arial" w:hAnsi="Arial" w:cs="Arial"/>
          <w:sz w:val="20"/>
        </w:rPr>
        <w:t>Aboubaraka et al.</w:t>
      </w:r>
      <w:r w:rsidR="002F290F">
        <w:rPr>
          <w:rFonts w:ascii="Arial" w:hAnsi="Arial" w:cs="Arial"/>
          <w:sz w:val="20"/>
        </w:rPr>
        <w:t>,</w:t>
      </w:r>
      <w:r w:rsidRPr="00901670">
        <w:rPr>
          <w:rFonts w:ascii="Arial" w:hAnsi="Arial" w:cs="Arial"/>
          <w:sz w:val="20"/>
        </w:rPr>
        <w:t xml:space="preserve"> 2017)</w:t>
      </w:r>
      <w:r w:rsidRPr="00901670">
        <w:rPr>
          <w:rFonts w:ascii="Arial" w:hAnsi="Arial" w:cs="Arial"/>
          <w:sz w:val="20"/>
          <w:lang w:val="fr-FR"/>
        </w:rPr>
        <w:fldChar w:fldCharType="end"/>
      </w:r>
      <w:r w:rsidR="005075D8" w:rsidRPr="005075D8">
        <w:rPr>
          <w:rFonts w:ascii="Arial" w:hAnsi="Arial" w:cs="Arial"/>
          <w:sz w:val="20"/>
        </w:rPr>
        <w:t xml:space="preserve">, </w:t>
      </w:r>
      <w:r w:rsidR="005075D8">
        <w:rPr>
          <w:rFonts w:ascii="Arial" w:hAnsi="Arial" w:cs="Arial"/>
          <w:sz w:val="20"/>
          <w:lang w:val="fr-FR"/>
        </w:rPr>
        <w:fldChar w:fldCharType="begin"/>
      </w:r>
      <w:r w:rsidR="00847B0E">
        <w:rPr>
          <w:rFonts w:ascii="Arial" w:hAnsi="Arial" w:cs="Arial"/>
          <w:sz w:val="20"/>
        </w:rPr>
        <w:instrText xml:space="preserve"> ADDIN ZOTERO_ITEM CSL_CITATION {"citationID":"xdmu3fiT","properties":{"formattedCitation":"(Lin and Ika 2019)","plainCitation":"(Lin and Ika 2019)","dontUpdate":true,"noteIndex":0},"citationItems":[{"id":369,"uris":["http://zotero.org/users/local/emXCuEN0/items/6FNIW8GL","http://zotero.org/users/17766503/items/6FNIW8GL"],"itemData":{"id":369,"type":"article-journal","container-title":"Environmental Engineering Science","DOI":"10.1089/ees.2018.0430","ISSN":"1557-9018","issue":"6","journalAbbreviation":"Environmental Engineering Science","language":"en","license":"https://www.liebertpub.com/nv/resources-tools/text-and-data-mining-policy/121/","page":"732-738","source":"DOI.org (Crossref)","title":"Enhanced Coagulation of Low Turbid Water for Drinking Water Treatment: Dosing Approach on Floc Formation and Residuals Minimization","title-short":"Enhanced Coagulation of Low Turbid Water for Drinking Water Treatment","URL":"https://www.liebertpub.com/doi/10.1089/ees.2018.0430","volume":"36","author":[{"family":"Lin","given":"Jr-Lin"},{"family":"Ika","given":"Aldeno Rachmad"}],"accessed":{"date-parts":[["2024",11,9]]},"issued":{"date-parts":[["2019",6]]}}}],"schema":"https://github.com/citation-style-language/schema/raw/master/csl-citation.json"} </w:instrText>
      </w:r>
      <w:r w:rsidR="005075D8">
        <w:rPr>
          <w:rFonts w:ascii="Arial" w:hAnsi="Arial" w:cs="Arial"/>
          <w:sz w:val="20"/>
          <w:lang w:val="fr-FR"/>
        </w:rPr>
        <w:fldChar w:fldCharType="separate"/>
      </w:r>
      <w:r w:rsidR="005075D8" w:rsidRPr="005075D8">
        <w:rPr>
          <w:rFonts w:ascii="Arial" w:hAnsi="Arial" w:cs="Arial"/>
          <w:sz w:val="20"/>
        </w:rPr>
        <w:t>Lin and Ika 2019)</w:t>
      </w:r>
      <w:r w:rsidR="005075D8">
        <w:rPr>
          <w:rFonts w:ascii="Arial" w:hAnsi="Arial" w:cs="Arial"/>
          <w:sz w:val="20"/>
          <w:lang w:val="fr-FR"/>
        </w:rPr>
        <w:fldChar w:fldCharType="end"/>
      </w:r>
      <w:r w:rsidRPr="00B7556F">
        <w:rPr>
          <w:rFonts w:ascii="Arial" w:hAnsi="Arial" w:cs="Arial"/>
          <w:sz w:val="20"/>
        </w:rPr>
        <w:t>,</w:t>
      </w:r>
      <w:r>
        <w:rPr>
          <w:rFonts w:ascii="Arial" w:hAnsi="Arial" w:cs="Arial"/>
          <w:sz w:val="20"/>
        </w:rPr>
        <w:t xml:space="preserve"> </w:t>
      </w:r>
      <w:r w:rsidR="00061E01">
        <w:rPr>
          <w:rFonts w:ascii="Arial" w:hAnsi="Arial" w:cs="Arial"/>
          <w:sz w:val="20"/>
        </w:rPr>
        <w:fldChar w:fldCharType="begin"/>
      </w:r>
      <w:r w:rsidR="00847B0E">
        <w:rPr>
          <w:rFonts w:ascii="Arial" w:hAnsi="Arial" w:cs="Arial"/>
          <w:sz w:val="20"/>
        </w:rPr>
        <w:instrText xml:space="preserve"> ADDIN ZOTERO_ITEM CSL_CITATION {"citationID":"JFAvLaUY","properties":{"formattedCitation":"(Joseph et al. 2012)","plainCitation":"(Joseph et al. 2012)","dontUpdate":true,"noteIndex":0},"citationItems":[{"id":385,"uris":["http://zotero.org/users/local/emXCuEN0/items/5EYDNNXU","http://zotero.org/users/17766503/items/5EYDNNXU"],"itemData":{"id":385,"type":"article-journal","container-title":"Separation and purification technology","note":"publisher: Elsevier","page":"64–72","source":"Google Scholar","title":"Removal of natural organic matter from potential drinking water sources by combined coagulation and adsorption using carbon nanomaterials","URL":"https://www.sciencedirect.com/science/article/pii/S1383586612002626","volume":"95","author":[{"family":"Joseph","given":"Lesley"},{"family":"Flora","given":"Joseph RV"},{"family":"Park","given":"Yong-Gyun"},{"family":"Badawy","given":"Mohammed"},{"family":"Saleh","given":"Hazem"},{"family":"Yoon","given":"Yeomin"}],"accessed":{"date-parts":[["2024",11,9]]},"issued":{"date-parts":[["2012"]]}}}],"schema":"https://github.com/citation-style-language/schema/raw/master/csl-citation.json"} </w:instrText>
      </w:r>
      <w:r w:rsidR="00061E01">
        <w:rPr>
          <w:rFonts w:ascii="Arial" w:hAnsi="Arial" w:cs="Arial"/>
          <w:sz w:val="20"/>
        </w:rPr>
        <w:fldChar w:fldCharType="separate"/>
      </w:r>
      <w:r w:rsidR="00061E01" w:rsidRPr="00061E01">
        <w:rPr>
          <w:rFonts w:ascii="Arial" w:hAnsi="Arial" w:cs="Arial"/>
          <w:sz w:val="20"/>
        </w:rPr>
        <w:t>Joseph et al.</w:t>
      </w:r>
      <w:r w:rsidR="00D664CF">
        <w:rPr>
          <w:rFonts w:ascii="Arial" w:hAnsi="Arial" w:cs="Arial"/>
          <w:sz w:val="20"/>
        </w:rPr>
        <w:t>,</w:t>
      </w:r>
      <w:r w:rsidR="00061E01" w:rsidRPr="00061E01">
        <w:rPr>
          <w:rFonts w:ascii="Arial" w:hAnsi="Arial" w:cs="Arial"/>
          <w:sz w:val="20"/>
        </w:rPr>
        <w:t xml:space="preserve"> 2012</w:t>
      </w:r>
      <w:r w:rsidR="00061E01">
        <w:rPr>
          <w:rFonts w:ascii="Arial" w:hAnsi="Arial" w:cs="Arial"/>
          <w:sz w:val="20"/>
        </w:rPr>
        <w:t xml:space="preserve">, </w:t>
      </w:r>
      <w:r w:rsidR="00061E01" w:rsidRPr="00061E01">
        <w:rPr>
          <w:rFonts w:ascii="Arial" w:hAnsi="Arial" w:cs="Arial"/>
          <w:sz w:val="20"/>
        </w:rPr>
        <w:t>)</w:t>
      </w:r>
      <w:r w:rsidR="00061E01">
        <w:rPr>
          <w:rFonts w:ascii="Arial" w:hAnsi="Arial" w:cs="Arial"/>
          <w:sz w:val="20"/>
        </w:rPr>
        <w:fldChar w:fldCharType="end"/>
      </w:r>
      <w:r>
        <w:rPr>
          <w:rFonts w:ascii="Arial" w:hAnsi="Arial" w:cs="Arial"/>
          <w:sz w:val="20"/>
        </w:rPr>
        <w:t>,</w:t>
      </w:r>
      <w:r w:rsidR="005075D8">
        <w:rPr>
          <w:rFonts w:ascii="Arial" w:hAnsi="Arial" w:cs="Arial"/>
          <w:sz w:val="20"/>
        </w:rPr>
        <w:t xml:space="preserve"> flocculation </w:t>
      </w:r>
      <w:r w:rsidR="005075D8">
        <w:rPr>
          <w:rFonts w:ascii="Arial" w:hAnsi="Arial" w:cs="Arial"/>
          <w:sz w:val="20"/>
        </w:rPr>
        <w:fldChar w:fldCharType="begin"/>
      </w:r>
      <w:r w:rsidR="00FD3AEF">
        <w:rPr>
          <w:rFonts w:ascii="Arial" w:hAnsi="Arial" w:cs="Arial"/>
          <w:sz w:val="20"/>
        </w:rPr>
        <w:instrText xml:space="preserve"> ADDIN ZOTERO_ITEM CSL_CITATION {"citationID":"MVyDfdga","properties":{"formattedCitation":"(Zourif et al. 2024)","plainCitation":"(Zourif et al. 2024)","dontUpdate":true,"noteIndex":0},"citationItems":[{"id":"rB5MxnzE/mMGJp5lu","uris":["http://zotero.org/users/local/emXCuEN0/items/A33YKZK9"],"itemData":{"id":428,"type":"article-journal","abstract":"Coagulation-flocculation is an essential wastewater treatment and decolorization process. This study investigates walnut husks, an abundant agricultural waste, as a biocoagulant. The aim is to evaluate the coagulation efficacy of walnut husk powder (WHP) for removing methylene blue (MB) and turbidity (TUR) from water. WHP was prepared and characterized using Fourier transform infrared (FTIR), X-ray diffraction (XRD), scanning electron microscopy (SEM-EDX), and X-ray fluorescence spectrometry (XRF) techniques. Jar tests were conducted in varying doses, granulation, and the initial pH. Box Behnken Design based on the response surface method (BBD-RSM). Predicted MB and TUR eliminations matched experimental values. Under optimal conditions at pH 9, 89.48 % MB and 96.59 % TUR removal were attained at 900 mg. L-1 and 1000 mg. L-1 doses. Results prove that WHP shows promise as an efficient biocoagulant for the removal of dyes and turbidity from wastewater.","container-title":"Arabian journal of chemistry","DOI":"10.1016/j.arabjc.2023.105399","ISSN":"1878-5352","issue":"1","language":"English","note":"publisher: Elsevier B.V","page":"105399","source":"Summon 2 (hinari.summon.serialssolutions.com)","title":"Valorization of walnut husks as a natural coagulant for optimized water decolorization","volume":"17","author":[{"family":"Zourif","given":"Ali"},{"family":"Benbiyi","given":"Asmaa"},{"family":"Kouniba","given":"Salma"},{"family":"EL Guendouzi","given":"Mohamed"}],"issued":{"date-parts":[["2024"]]}}}],"schema":"https://github.com/citation-style-language/schema/raw/master/csl-citation.json"} </w:instrText>
      </w:r>
      <w:r w:rsidR="005075D8">
        <w:rPr>
          <w:rFonts w:ascii="Arial" w:hAnsi="Arial" w:cs="Arial"/>
          <w:sz w:val="20"/>
        </w:rPr>
        <w:fldChar w:fldCharType="separate"/>
      </w:r>
      <w:r w:rsidR="005075D8" w:rsidRPr="00FD3AEF">
        <w:rPr>
          <w:rFonts w:ascii="Arial" w:hAnsi="Arial" w:cs="Arial"/>
          <w:sz w:val="20"/>
        </w:rPr>
        <w:t>(Zourif et al.</w:t>
      </w:r>
      <w:r w:rsidR="002F290F" w:rsidRPr="00FD3AEF">
        <w:rPr>
          <w:rFonts w:ascii="Arial" w:hAnsi="Arial" w:cs="Arial"/>
          <w:sz w:val="20"/>
        </w:rPr>
        <w:t>,</w:t>
      </w:r>
      <w:r w:rsidR="005075D8" w:rsidRPr="00FD3AEF">
        <w:rPr>
          <w:rFonts w:ascii="Arial" w:hAnsi="Arial" w:cs="Arial"/>
          <w:sz w:val="20"/>
        </w:rPr>
        <w:t xml:space="preserve"> 2024</w:t>
      </w:r>
      <w:r w:rsidR="005075D8">
        <w:rPr>
          <w:rFonts w:ascii="Arial" w:hAnsi="Arial" w:cs="Arial"/>
          <w:sz w:val="20"/>
        </w:rPr>
        <w:fldChar w:fldCharType="end"/>
      </w:r>
      <w:r w:rsidR="005075D8" w:rsidRPr="00FD3AEF">
        <w:rPr>
          <w:rFonts w:ascii="Arial" w:hAnsi="Arial" w:cs="Arial"/>
          <w:sz w:val="20"/>
        </w:rPr>
        <w:t xml:space="preserve">, </w:t>
      </w:r>
      <w:r w:rsidR="005075D8">
        <w:rPr>
          <w:rFonts w:ascii="Arial" w:hAnsi="Arial" w:cs="Arial"/>
          <w:sz w:val="20"/>
        </w:rPr>
        <w:fldChar w:fldCharType="begin"/>
      </w:r>
      <w:r w:rsidR="00B969D9" w:rsidRPr="00FD3AEF">
        <w:rPr>
          <w:rFonts w:ascii="Arial" w:hAnsi="Arial" w:cs="Arial"/>
          <w:sz w:val="20"/>
        </w:rPr>
        <w:instrText xml:space="preserve"> ADDIN ZOTERO_ITEM CSL_CITATION {"citationID":"DN73R0jF","properties":{"formattedCitation":"(Yeap et al. 2014)","plainCitation":"(Yeap et al. 2014)","dontUpdate":true,"noteIndex":0},"citationItems":[{"id":293,"uris":["http://zotero.org/users/local/emXCuEN0/items/55FXKB8X","http://zotero.org/users/17766503/items/55FXKB8X"],"itemData":{"id":293,"type":"article-journal","container-title":"Chemical Engineering Journal","note":"publisher: Elsevier","page":"305–314","source":"Google Scholar","title":"Preparation and characterization of coagulation/flocculation behavior of a novel inorganic–organic hybrid polymer for reactive and disperse dyes removal","URL":"https://www.sciencedirect.com/science/article/pii/S1385894714000217","volume":"243","author":[{"family":"Yeap","given":"Kiew Lee"},{"family":"Teng","given":"Tjoon Tow"},{"family":"Poh","given":"Beng Teik"},{"family":"Morad","given":"Norhashimah"},{"family":"Lee","given":"Khai Ern"}],"accessed":{"date-parts":[["2024",10,28]]},"issued":{"date-parts":[["2014"]]}}}],"schema":"https://github.com/citation-style-language/schema/raw/master/csl-citation.json"} </w:instrText>
      </w:r>
      <w:r w:rsidR="005075D8">
        <w:rPr>
          <w:rFonts w:ascii="Arial" w:hAnsi="Arial" w:cs="Arial"/>
          <w:sz w:val="20"/>
        </w:rPr>
        <w:fldChar w:fldCharType="separate"/>
      </w:r>
      <w:r w:rsidR="005075D8" w:rsidRPr="00FD3AEF">
        <w:rPr>
          <w:rFonts w:ascii="Arial" w:hAnsi="Arial" w:cs="Arial"/>
          <w:sz w:val="20"/>
        </w:rPr>
        <w:t>Yeap et al.</w:t>
      </w:r>
      <w:r w:rsidR="002F290F" w:rsidRPr="00FD3AEF">
        <w:rPr>
          <w:rFonts w:ascii="Arial" w:hAnsi="Arial" w:cs="Arial"/>
          <w:sz w:val="20"/>
        </w:rPr>
        <w:t>,</w:t>
      </w:r>
      <w:r w:rsidR="005075D8" w:rsidRPr="00FD3AEF">
        <w:rPr>
          <w:rFonts w:ascii="Arial" w:hAnsi="Arial" w:cs="Arial"/>
          <w:sz w:val="20"/>
        </w:rPr>
        <w:t xml:space="preserve"> 2014)</w:t>
      </w:r>
      <w:r w:rsidR="005075D8">
        <w:rPr>
          <w:rFonts w:ascii="Arial" w:hAnsi="Arial" w:cs="Arial"/>
          <w:sz w:val="20"/>
        </w:rPr>
        <w:fldChar w:fldCharType="end"/>
      </w:r>
      <w:r w:rsidR="005075D8" w:rsidRPr="00FD3AEF">
        <w:rPr>
          <w:rFonts w:ascii="Arial" w:hAnsi="Arial" w:cs="Arial"/>
          <w:sz w:val="20"/>
        </w:rPr>
        <w:t xml:space="preserve">, </w:t>
      </w:r>
      <w:r w:rsidR="005075D8">
        <w:rPr>
          <w:rFonts w:ascii="Arial" w:hAnsi="Arial" w:cs="Arial"/>
          <w:sz w:val="20"/>
          <w:lang w:val="fr-FR"/>
        </w:rPr>
        <w:fldChar w:fldCharType="begin"/>
      </w:r>
      <w:r w:rsidR="00B969D9" w:rsidRPr="00FD3AEF">
        <w:rPr>
          <w:rFonts w:ascii="Arial" w:hAnsi="Arial" w:cs="Arial"/>
          <w:sz w:val="20"/>
        </w:rPr>
        <w:instrText xml:space="preserve"> ADDIN ZOTERO_ITEM CSL_CITATION {"citationID":"8BvpuCiC","properties":{"formattedCitation":"(Moghaddam et al. 2010)","plainCitation":"(Moghaddam et al. 2010)","dontUpdate":true,"noteIndex":0},"citationItems":[{"id":296,"uris":["http://zotero.org/users/local/emXCuEN0/items/CLZUSBZF","http://zotero.org/users/17766503/items/CLZUSBZF"],"i</w:instrText>
      </w:r>
      <w:r w:rsidR="00B969D9" w:rsidRPr="001A559C">
        <w:rPr>
          <w:rFonts w:ascii="Arial" w:hAnsi="Arial" w:cs="Arial"/>
          <w:sz w:val="20"/>
          <w:lang w:val="fr-FR"/>
        </w:rPr>
        <w:instrText>temData":{"id"</w:instrText>
      </w:r>
      <w:r w:rsidR="00B969D9">
        <w:rPr>
          <w:rFonts w:ascii="Arial" w:hAnsi="Arial" w:cs="Arial"/>
          <w:sz w:val="20"/>
          <w:lang w:val="fr-FR"/>
        </w:rPr>
        <w:instrText xml:space="preserve">:296,"type":"article-journal","container-title":"Journal of hazardous materials","issue":"1-3","note":"publisher: Elsevier","page":"651–657","source":"Google Scholar","title":"Coagulation/flocculation process for dye removal using sludge from water treatment plant: optimization through response surface methodology","title-short":"Coagulation/flocculation process for dye removal using sludge from water treatment plant","URL":"https://www.sciencedirect.com/science/article/pii/S0304389409017099","volume":"175","author":[{"family":"Moghaddam","given":"S. Sadri"},{"family":"Moghaddam","given":"MR Alavi"},{"family":"Arami","given":"M."}],"accessed":{"date-parts":[["2024",10,28]]},"issued":{"date-parts":[["2010"]]}}}],"schema":"https://github.com/citation-style-language/schema/raw/master/csl-citation.json"} </w:instrText>
      </w:r>
      <w:r w:rsidR="005075D8">
        <w:rPr>
          <w:rFonts w:ascii="Arial" w:hAnsi="Arial" w:cs="Arial"/>
          <w:sz w:val="20"/>
          <w:lang w:val="fr-FR"/>
        </w:rPr>
        <w:fldChar w:fldCharType="separate"/>
      </w:r>
      <w:r w:rsidR="005075D8" w:rsidRPr="00187B5E">
        <w:rPr>
          <w:rFonts w:ascii="Arial" w:hAnsi="Arial" w:cs="Arial"/>
          <w:sz w:val="20"/>
          <w:lang w:val="fr-FR"/>
        </w:rPr>
        <w:t>Moghaddam et al. 2010)</w:t>
      </w:r>
      <w:r w:rsidR="005075D8">
        <w:rPr>
          <w:rFonts w:ascii="Arial" w:hAnsi="Arial" w:cs="Arial"/>
          <w:sz w:val="20"/>
          <w:lang w:val="fr-FR"/>
        </w:rPr>
        <w:fldChar w:fldCharType="end"/>
      </w:r>
      <w:r w:rsidR="005075D8" w:rsidRPr="00187B5E">
        <w:rPr>
          <w:rFonts w:ascii="Arial" w:hAnsi="Arial" w:cs="Arial"/>
          <w:sz w:val="20"/>
          <w:lang w:val="fr-FR"/>
        </w:rPr>
        <w:t xml:space="preserve">, </w:t>
      </w:r>
      <w:r w:rsidR="005075D8">
        <w:rPr>
          <w:rFonts w:ascii="Arial" w:hAnsi="Arial" w:cs="Arial"/>
          <w:sz w:val="20"/>
          <w:lang w:val="fr-FR"/>
        </w:rPr>
        <w:fldChar w:fldCharType="begin"/>
      </w:r>
      <w:r w:rsidR="00B969D9">
        <w:rPr>
          <w:rFonts w:ascii="Arial" w:hAnsi="Arial" w:cs="Arial"/>
          <w:sz w:val="20"/>
          <w:lang w:val="fr-FR"/>
        </w:rPr>
        <w:instrText xml:space="preserve"> ADDIN ZOTERO_ITEM CSL_CITATION {"citationID":"xLHIOPji","properties":{"formattedCitation":"(Mishra and Bajpai 2005)","plainCitation":"(Mishra and Bajpai 2005)","dontUpdate":true,"noteIndex":0},"citationItems":[{"id":295,"uris":["http://zotero.org/users/local/emXCuEN0/items/X2TYBZCZ","http://zotero.org/users/17766503/items/X2TYBZCZ"],"itemData":{"id":295,"type":"article-journal","container-title":"Journal of Hazardous Materials","issue":"1-3","note":"publisher: Elsevier","page":"213–217","source":"Google Scholar","title":"Flocculation behaviour of model textile wastewater treated with a food grade polysaccharide","URL":"https://www.sciencedirect.com/science/article/pii/S0304389404005631","volume":"118","author":[{"family":"Mishra","given":"Anuradha"},{"family":"Bajpai","given":"Malvika"}],"accessed":{"date-parts":[["2024",10,28]]},"issued":{"date-parts":[["2005"]]}}}],"schema":"https://github.com/citation-style-language/schema/raw/master/csl-citation.json"} </w:instrText>
      </w:r>
      <w:r w:rsidR="005075D8">
        <w:rPr>
          <w:rFonts w:ascii="Arial" w:hAnsi="Arial" w:cs="Arial"/>
          <w:sz w:val="20"/>
          <w:lang w:val="fr-FR"/>
        </w:rPr>
        <w:fldChar w:fldCharType="separate"/>
      </w:r>
      <w:r w:rsidR="005075D8" w:rsidRPr="00847B0E">
        <w:rPr>
          <w:rFonts w:ascii="Arial" w:hAnsi="Arial" w:cs="Arial"/>
          <w:sz w:val="20"/>
          <w:lang w:val="fr-FR"/>
        </w:rPr>
        <w:t>(Mishra and Bajpai</w:t>
      </w:r>
      <w:r w:rsidR="002F290F">
        <w:rPr>
          <w:rFonts w:ascii="Arial" w:hAnsi="Arial" w:cs="Arial"/>
          <w:sz w:val="20"/>
          <w:lang w:val="fr-FR"/>
        </w:rPr>
        <w:t>,</w:t>
      </w:r>
      <w:r w:rsidR="005075D8" w:rsidRPr="00847B0E">
        <w:rPr>
          <w:rFonts w:ascii="Arial" w:hAnsi="Arial" w:cs="Arial"/>
          <w:sz w:val="20"/>
          <w:lang w:val="fr-FR"/>
        </w:rPr>
        <w:t xml:space="preserve"> 2005)</w:t>
      </w:r>
      <w:r w:rsidR="005075D8">
        <w:rPr>
          <w:rFonts w:ascii="Arial" w:hAnsi="Arial" w:cs="Arial"/>
          <w:sz w:val="20"/>
          <w:lang w:val="fr-FR"/>
        </w:rPr>
        <w:fldChar w:fldCharType="end"/>
      </w:r>
      <w:r w:rsidR="005075D8">
        <w:rPr>
          <w:rFonts w:ascii="Arial" w:hAnsi="Arial" w:cs="Arial"/>
          <w:sz w:val="20"/>
          <w:lang w:val="fr-FR"/>
        </w:rPr>
        <w:t xml:space="preserve">, </w:t>
      </w:r>
      <w:r w:rsidR="00215C58">
        <w:rPr>
          <w:rFonts w:ascii="Arial" w:hAnsi="Arial" w:cs="Arial"/>
          <w:sz w:val="20"/>
          <w:lang w:val="fr-FR"/>
        </w:rPr>
        <w:fldChar w:fldCharType="begin"/>
      </w:r>
      <w:r w:rsidR="00B969D9">
        <w:rPr>
          <w:rFonts w:ascii="Arial" w:hAnsi="Arial" w:cs="Arial"/>
          <w:sz w:val="20"/>
          <w:lang w:val="fr-FR"/>
        </w:rPr>
        <w:instrText xml:space="preserve"> ADDIN ZOTERO_ITEM CSL_CITATION {"citationID":"KKwHTO24","properties":{"formattedCitation":"(Mansour et al. 2011)","plainCitation":"(Mansour et al. 2011)","dontUpdate":true,"noteIndex":0},"citationItems":[{"id":187,"uris":["http://zotero.org/users/local/emXCuEN0/items/DWS6SMJC","http://zotero.org/users/17766503/items/DWS6SMJC"],"itemData":{"id":187,"type":"article-journal","abstract":"Dyes are widely used for industrial, printing, food, cosmetic and clinical purposes as well as textile dyeing because of their chemical stability, ease of synthesis, and versatility. Their stability, however, causes pollution once the dyes are released into the environment in effluents. More than 800,000 tons of dyes are annually produced worldwide, of which 60 to 70% are azo dyes. Considering the heterogeneous composition of these latter dyes, their degradation usually requires a chain of physical, chemical and biological treatments assuring the elimination of different pollutants in successive steps. In addition, some azo dyes are toxic and mutagenic and thus the biological treatment of these dyes is now of major scientific interest. Physical-chemical treatments (adsorption, coagulation/flocculation precipitation, etc.) are usually used for industrial effluents. In spite of their rapidity, these methods have turned out to be ineffective in attaining the standards required for these discharges. As a viable alternative, biological processes are receiving increasing interest owing to their cost effectiveness and their ability to produce less sludge. It has been found that some microorganisms can transform azo dyes into colourless products. Bacterial degradation of azo dyes is often initiated by an enzymatic biotransformation step that involves cleavage of azo linkages with the aid of an azoreductase and an electron donor. As the azoreductase in some microorganisms can catalyze the reductive cleavage of azo groups, they have potential advantages in developing bio-treatment methods of wastewater containing azo compounds.","container-title":"Revue des sciences de l’eau","DOI":"10.7202/1006453ar","ISSN":"1718-8598","issue":"3","journalAbbreviation":"Revue des sciences de l'eau","language":"fr","page":"209-238","source":"DOI.org (Crossref)","title":"Les colorants textiles sources de contamination de l’eau : Criblage de la toxicité et des méthodes de traitement","title-short":"Les colorants textiles sources de contamination de l’eau","URL":"http://id.erudit.org/iderudit/1006453ar","volume":"24","author":[{"family":"Mansour","given":"Hedi Ben"},{"family":"Boughzala","given":"Oualid"},{"family":"Dridi","given":"Dorra"},{"family":"Barillier","given":"Daniel"},{"family":"Chekir-Ghedira","given":"Leila"},{"family":"Mosrati","given":"Ridha"}],"accessed":{"date-parts":[["2024",10,27]]},"issued":{"date-parts":[["2011",11,28]]}}}],"schema":"https://github.com/citation-style-language/schema/raw/master/csl-citation.json"} </w:instrText>
      </w:r>
      <w:r w:rsidR="00215C58">
        <w:rPr>
          <w:rFonts w:ascii="Arial" w:hAnsi="Arial" w:cs="Arial"/>
          <w:sz w:val="20"/>
          <w:lang w:val="fr-FR"/>
        </w:rPr>
        <w:fldChar w:fldCharType="separate"/>
      </w:r>
      <w:r w:rsidR="00215C58" w:rsidRPr="00DE1688">
        <w:rPr>
          <w:rFonts w:ascii="Arial" w:hAnsi="Arial" w:cs="Arial"/>
          <w:sz w:val="20"/>
          <w:lang w:val="fr-FR"/>
        </w:rPr>
        <w:t>(Mansour et al.</w:t>
      </w:r>
      <w:r w:rsidR="002F290F" w:rsidRPr="00DE1688">
        <w:rPr>
          <w:rFonts w:ascii="Arial" w:hAnsi="Arial" w:cs="Arial"/>
          <w:sz w:val="20"/>
          <w:lang w:val="fr-FR"/>
        </w:rPr>
        <w:t>,</w:t>
      </w:r>
      <w:r w:rsidR="00215C58" w:rsidRPr="00DE1688">
        <w:rPr>
          <w:rFonts w:ascii="Arial" w:hAnsi="Arial" w:cs="Arial"/>
          <w:sz w:val="20"/>
          <w:lang w:val="fr-FR"/>
        </w:rPr>
        <w:t xml:space="preserve"> 2011)</w:t>
      </w:r>
      <w:r w:rsidR="00215C58">
        <w:rPr>
          <w:rFonts w:ascii="Arial" w:hAnsi="Arial" w:cs="Arial"/>
          <w:sz w:val="20"/>
          <w:lang w:val="fr-FR"/>
        </w:rPr>
        <w:fldChar w:fldCharType="end"/>
      </w:r>
      <w:r w:rsidR="005075D8" w:rsidRPr="005075D8">
        <w:rPr>
          <w:rFonts w:ascii="Arial" w:hAnsi="Arial" w:cs="Arial"/>
          <w:sz w:val="20"/>
          <w:lang w:val="fr-FR"/>
        </w:rPr>
        <w:t xml:space="preserve">,  </w:t>
      </w:r>
      <w:r w:rsidRPr="005075D8">
        <w:rPr>
          <w:rFonts w:ascii="Arial" w:hAnsi="Arial" w:cs="Arial"/>
          <w:sz w:val="20"/>
          <w:lang w:val="fr-FR"/>
        </w:rPr>
        <w:t xml:space="preserve">adsorption </w:t>
      </w:r>
      <w:r w:rsidRPr="00901670">
        <w:rPr>
          <w:rFonts w:ascii="Arial" w:hAnsi="Arial" w:cs="Arial"/>
          <w:sz w:val="20"/>
          <w:lang w:val="fr-FR"/>
        </w:rPr>
        <w:fldChar w:fldCharType="begin"/>
      </w:r>
      <w:r w:rsidR="00847B0E">
        <w:rPr>
          <w:rFonts w:ascii="Arial" w:hAnsi="Arial" w:cs="Arial"/>
          <w:sz w:val="20"/>
          <w:lang w:val="fr-FR"/>
        </w:rPr>
        <w:instrText xml:space="preserve"> ADDIN ZOTERO_ITEM CSL_CITATION {"citationID":"TcaC93yG","properties":{"formattedCitation":"(Amosa et al. 2016)","plainCitation":"(Amosa et al. 2016)","dontUpdate":true,"noteIndex":0},"citationItems":[{"id":381,"uris":["http://zotero.org/users/local/emXCuEN0/items/DCVUEBTM","http://zotero.org/users/17766503/items/DCVUEBTM"],"itemData":{"id":381,"type":"article-journal","container-title":"Cogent Engineering","DOI":"10.1080/23311916.2016.1162384","ISSN":"2331-1916","issue":"1","journalAbbreviation":"Cogent Engineering","language":"en","page":"1162384","source":"DOI.org (Crossref)","title":"Turbidity and suspended solids removal from high-strength wastewater using high surface area adsorbent: Mechanistic pathway and statistical analysis","title-short":"Turbidity and suspended solids removal from high-strength wastewater using high surface area adsorbent","URL":"https://www.tandfonline.com/doi/full/10.1080/23311916.2016.1162384","volume":"3","author":[{"family":"Amosa","given":"Mutiu Kolade"},{"family":"Jami","given":"Mohammed Saedi"},{"family":"Alkhatib","given":"Ma’an Fahmi R."},{"family":"Tajari","given":"Tamrin"},{"family":"Jimat","given":"Dzun Noraini"},{"family":"Owolabi","given":"Rasheed Uthman"}],"editor":[{"family":"Mercade-Prieto","given":"Ruben"}],"accessed":{"date-parts":[["2024",11,9]]},"issued":{"date-parts":[["2016",12,31]]}}}],"schema":"https://github.com/citation-style-language/schema/raw/master/csl-citation.json"} </w:instrText>
      </w:r>
      <w:r w:rsidRPr="00901670">
        <w:rPr>
          <w:rFonts w:ascii="Arial" w:hAnsi="Arial" w:cs="Arial"/>
          <w:sz w:val="20"/>
          <w:lang w:val="fr-FR"/>
        </w:rPr>
        <w:fldChar w:fldCharType="separate"/>
      </w:r>
      <w:r w:rsidRPr="005075D8">
        <w:rPr>
          <w:rFonts w:ascii="Arial" w:hAnsi="Arial" w:cs="Arial"/>
          <w:sz w:val="20"/>
          <w:lang w:val="fr-FR"/>
        </w:rPr>
        <w:t>(Amosa et al.</w:t>
      </w:r>
      <w:r w:rsidR="002F290F">
        <w:rPr>
          <w:rFonts w:ascii="Arial" w:hAnsi="Arial" w:cs="Arial"/>
          <w:sz w:val="20"/>
          <w:lang w:val="fr-FR"/>
        </w:rPr>
        <w:t>,</w:t>
      </w:r>
      <w:r w:rsidRPr="005075D8">
        <w:rPr>
          <w:rFonts w:ascii="Arial" w:hAnsi="Arial" w:cs="Arial"/>
          <w:sz w:val="20"/>
          <w:lang w:val="fr-FR"/>
        </w:rPr>
        <w:t xml:space="preserve"> 2016</w:t>
      </w:r>
      <w:r w:rsidRPr="00901670">
        <w:rPr>
          <w:rFonts w:ascii="Arial" w:hAnsi="Arial" w:cs="Arial"/>
          <w:sz w:val="20"/>
          <w:lang w:val="fr-FR"/>
        </w:rPr>
        <w:fldChar w:fldCharType="end"/>
      </w:r>
      <w:r w:rsidR="002F290F">
        <w:rPr>
          <w:rFonts w:ascii="Arial" w:hAnsi="Arial" w:cs="Arial"/>
          <w:sz w:val="20"/>
          <w:lang w:val="fr-FR"/>
        </w:rPr>
        <w:t> ; </w:t>
      </w:r>
      <w:r w:rsidR="00061E01" w:rsidRPr="00061E01">
        <w:rPr>
          <w:rFonts w:ascii="Arial" w:hAnsi="Arial" w:cs="Arial"/>
          <w:sz w:val="20"/>
          <w:lang w:val="fr-FR"/>
        </w:rPr>
        <w:t xml:space="preserve"> </w:t>
      </w:r>
      <w:r w:rsidR="00061E01">
        <w:rPr>
          <w:rFonts w:ascii="Arial" w:hAnsi="Arial" w:cs="Arial"/>
          <w:sz w:val="20"/>
          <w:lang w:val="fr-FR"/>
        </w:rPr>
        <w:fldChar w:fldCharType="begin"/>
      </w:r>
      <w:r w:rsidR="00847B0E">
        <w:rPr>
          <w:rFonts w:ascii="Arial" w:hAnsi="Arial" w:cs="Arial"/>
          <w:sz w:val="20"/>
          <w:lang w:val="fr-FR"/>
        </w:rPr>
        <w:instrText xml:space="preserve"> ADDIN ZOTERO_ITEM CSL_CITATION {"citationID":"RQPLr7y5","properties":{"formattedCitation":"(Ashour et al. 2021)","plainCitation":"(Ashour et al. 2021)","dontUpdate":true,"noteIndex":0},"citationItems":[{"id":404,"uris":["http://zotero.org/users/local/emXCuEN0/items/7NKNCZ9U","http://zotero.org/users/17766503/items/7NKNCZ9U"],"itemData":{"id":404,"type":"article-journal","container-title":"J Environ Treatment Tech","issue":"1","page":"289–296","source":"Google Scholar","title":"Removal of TDS and TSS from industrial wastewater using fly ash","URL":"https://www.dormaj.com/docs/Volume9/Issue%201/Removal%20of%20TDS%20and%20TSS%20from%20Industrial%20Wastewater%20using%20Fly%20Ash.pdf","volume":"9","author":[{"family":"Ashour","given":"Nehal M."},{"family":"Bassyouni","given":"Mohamed"},{"family":"Mamdouh","given":"Y. S."}],"accessed":{"date-parts":[["2024",11,9]]},"issued":{"date-parts":[["2021"]]}}}],"schema":"https://github.com/citation-style-language/schema/raw/master/csl-citation.json"} </w:instrText>
      </w:r>
      <w:r w:rsidR="00061E01">
        <w:rPr>
          <w:rFonts w:ascii="Arial" w:hAnsi="Arial" w:cs="Arial"/>
          <w:sz w:val="20"/>
          <w:lang w:val="fr-FR"/>
        </w:rPr>
        <w:fldChar w:fldCharType="separate"/>
      </w:r>
      <w:r w:rsidR="00061E01" w:rsidRPr="00061E01">
        <w:rPr>
          <w:rFonts w:ascii="Arial" w:hAnsi="Arial" w:cs="Arial"/>
          <w:sz w:val="20"/>
          <w:lang w:val="fr-FR"/>
        </w:rPr>
        <w:t>Ashour et al.</w:t>
      </w:r>
      <w:r w:rsidR="002F290F">
        <w:rPr>
          <w:rFonts w:ascii="Arial" w:hAnsi="Arial" w:cs="Arial"/>
          <w:sz w:val="20"/>
          <w:lang w:val="fr-FR"/>
        </w:rPr>
        <w:t>,</w:t>
      </w:r>
      <w:r w:rsidR="00061E01" w:rsidRPr="00061E01">
        <w:rPr>
          <w:rFonts w:ascii="Arial" w:hAnsi="Arial" w:cs="Arial"/>
          <w:sz w:val="20"/>
          <w:lang w:val="fr-FR"/>
        </w:rPr>
        <w:t xml:space="preserve"> 2021</w:t>
      </w:r>
      <w:r w:rsidR="00061E01">
        <w:rPr>
          <w:rFonts w:ascii="Arial" w:hAnsi="Arial" w:cs="Arial"/>
          <w:sz w:val="20"/>
          <w:lang w:val="fr-FR"/>
        </w:rPr>
        <w:fldChar w:fldCharType="end"/>
      </w:r>
      <w:r w:rsidR="00061E01" w:rsidRPr="00061E01">
        <w:rPr>
          <w:rFonts w:ascii="Arial" w:hAnsi="Arial" w:cs="Arial"/>
          <w:sz w:val="20"/>
          <w:lang w:val="fr-FR"/>
        </w:rPr>
        <w:t xml:space="preserve">, </w:t>
      </w:r>
      <w:r w:rsidR="00061E01">
        <w:rPr>
          <w:rFonts w:ascii="Arial" w:hAnsi="Arial" w:cs="Arial"/>
          <w:sz w:val="20"/>
        </w:rPr>
        <w:fldChar w:fldCharType="begin"/>
      </w:r>
      <w:r w:rsidR="00847B0E">
        <w:rPr>
          <w:rFonts w:ascii="Arial" w:hAnsi="Arial" w:cs="Arial"/>
          <w:sz w:val="20"/>
          <w:lang w:val="fr-FR"/>
        </w:rPr>
        <w:instrText xml:space="preserve"> ADDIN ZOTERO_ITEM CSL_CITATION {"citationID":"msr1hsTU","properties":{"formattedCitation":"(Chittala and Mogadati 2012)","plainCitation":"(Chittala and Mogadati 2012)","dontUpdate":true,"noteIndex":0},"citationItems":[{"id":414,"uris":["http://zotero.org/users/local/emXCuEN0/items/ZTJQNKBW","http://zotero.org/users/17766503/items/ZTJQNKBW"],"itemData":{"id":414,"type":"article-journal","container-title":"International Journal of Life Sciences Biotechnology and Pharma Research","issue":"1","note":"publisher: Citeseer","page":"103–112","source":"Google Scholar","title":"Performance studies on a pharmaceutical wastewater treatment plant with a special reference to total dissolved solids removal","URL":"https://citeseerx.ist.psu.edu/document?repid=rep1&amp;type=pdf&amp;doi=d3c8783f76f79d2089c045017d7c80e0ca3b88a8","volume":"1","author":[{"family":"Chittala","given":"Geeta"},{"family":"Mogadati","given":"Paul S."}],"accessed":{"date-parts":[["2024",11,9]]},"issued":{"date-parts":[["2012"]]}}}],"schema":"https://github.com/citation-style-language/schema/raw/master/csl-citation.json"} </w:instrText>
      </w:r>
      <w:r w:rsidR="00061E01">
        <w:rPr>
          <w:rFonts w:ascii="Arial" w:hAnsi="Arial" w:cs="Arial"/>
          <w:sz w:val="20"/>
        </w:rPr>
        <w:fldChar w:fldCharType="separate"/>
      </w:r>
      <w:r w:rsidR="00061E01" w:rsidRPr="00425D68">
        <w:rPr>
          <w:rFonts w:ascii="Arial" w:hAnsi="Arial" w:cs="Arial"/>
          <w:sz w:val="20"/>
          <w:lang w:val="fr-FR"/>
        </w:rPr>
        <w:t>Chittala and Mogadati</w:t>
      </w:r>
      <w:r w:rsidR="00D664CF">
        <w:rPr>
          <w:rFonts w:ascii="Arial" w:hAnsi="Arial" w:cs="Arial"/>
          <w:sz w:val="20"/>
          <w:lang w:val="fr-FR"/>
        </w:rPr>
        <w:t>,</w:t>
      </w:r>
      <w:r w:rsidR="00061E01" w:rsidRPr="00425D68">
        <w:rPr>
          <w:rFonts w:ascii="Arial" w:hAnsi="Arial" w:cs="Arial"/>
          <w:sz w:val="20"/>
          <w:lang w:val="fr-FR"/>
        </w:rPr>
        <w:t xml:space="preserve"> 2012</w:t>
      </w:r>
      <w:r w:rsidR="00061E01">
        <w:rPr>
          <w:rFonts w:ascii="Arial" w:hAnsi="Arial" w:cs="Arial"/>
          <w:sz w:val="20"/>
        </w:rPr>
        <w:fldChar w:fldCharType="end"/>
      </w:r>
      <w:r w:rsidR="00061E01" w:rsidRPr="00425D68">
        <w:rPr>
          <w:rFonts w:ascii="Arial" w:hAnsi="Arial" w:cs="Arial"/>
          <w:sz w:val="20"/>
          <w:lang w:val="fr-FR"/>
        </w:rPr>
        <w:t xml:space="preserve">, </w:t>
      </w:r>
      <w:r w:rsidR="00061E01">
        <w:rPr>
          <w:rFonts w:ascii="Arial" w:hAnsi="Arial" w:cs="Arial"/>
          <w:sz w:val="20"/>
          <w:lang w:val="fr-FR"/>
        </w:rPr>
        <w:fldChar w:fldCharType="begin"/>
      </w:r>
      <w:r w:rsidR="00847B0E">
        <w:rPr>
          <w:rFonts w:ascii="Arial" w:hAnsi="Arial" w:cs="Arial"/>
          <w:sz w:val="20"/>
          <w:lang w:val="fr-FR"/>
        </w:rPr>
        <w:instrText xml:space="preserve"> ADDIN ZOTERO_ITEM CSL_CITATION {"citationID":"PqZKlked","properties":{"formattedCitation":"(Fathima et al. 2007)","plainCitation":"(Fathima et al. 2007)","dontUpdate":true,"noteIndex":0},"citationItems":[{"id":371,"uris":["http://zotero.org/users/local/emXCuEN0/items/LMEKF9TX","http://zotero.org/users/17766503/items/LMEKF9TX"],"itemData":{"id":371,"type":"article-journal","container-title":"International Journal of Innovative Research in Science, Engineering and Technology","issue":"11","source":"Google Scholar","title":"Removal of Turbidity of Waste Water by Adsorption Technology","URL":"https://www.academia.edu/download/77782688/66_27_Removal.pdf","volume":"5","author":[{"family":"Fathima","given":"Nazia"},{"family":"Baig","given":"Uzma"},{"family":"Asthana","given":"Smita"},{"family":"Sirisha","given":"D."}],"accessed":{"date-parts":[["2024",11,9]]},"issued":{"date-parts":[["2007"]]}}}],"schema":"https://github.com/citation-style-language/schema/raw/master/csl-citation.json"} </w:instrText>
      </w:r>
      <w:r w:rsidR="00061E01">
        <w:rPr>
          <w:rFonts w:ascii="Arial" w:hAnsi="Arial" w:cs="Arial"/>
          <w:sz w:val="20"/>
          <w:lang w:val="fr-FR"/>
        </w:rPr>
        <w:fldChar w:fldCharType="separate"/>
      </w:r>
      <w:r w:rsidR="00061E01" w:rsidRPr="00425D68">
        <w:rPr>
          <w:rFonts w:ascii="Arial" w:hAnsi="Arial" w:cs="Arial"/>
          <w:sz w:val="20"/>
          <w:lang w:val="fr-FR"/>
        </w:rPr>
        <w:t>Fathima et al.</w:t>
      </w:r>
      <w:r w:rsidR="00D664CF">
        <w:rPr>
          <w:rFonts w:ascii="Arial" w:hAnsi="Arial" w:cs="Arial"/>
          <w:sz w:val="20"/>
          <w:lang w:val="fr-FR"/>
        </w:rPr>
        <w:t>,</w:t>
      </w:r>
      <w:r w:rsidR="00061E01" w:rsidRPr="00425D68">
        <w:rPr>
          <w:rFonts w:ascii="Arial" w:hAnsi="Arial" w:cs="Arial"/>
          <w:sz w:val="20"/>
          <w:lang w:val="fr-FR"/>
        </w:rPr>
        <w:t xml:space="preserve"> 2007</w:t>
      </w:r>
      <w:r w:rsidR="00061E01">
        <w:rPr>
          <w:rFonts w:ascii="Arial" w:hAnsi="Arial" w:cs="Arial"/>
          <w:sz w:val="20"/>
          <w:lang w:val="fr-FR"/>
        </w:rPr>
        <w:fldChar w:fldCharType="end"/>
      </w:r>
      <w:r w:rsidR="00061E01" w:rsidRPr="00425D68">
        <w:rPr>
          <w:rFonts w:ascii="Arial" w:hAnsi="Arial" w:cs="Arial"/>
          <w:sz w:val="20"/>
          <w:lang w:val="fr-FR"/>
        </w:rPr>
        <w:t xml:space="preserve">, </w:t>
      </w:r>
      <w:r w:rsidR="00061E01">
        <w:rPr>
          <w:rFonts w:ascii="Arial" w:hAnsi="Arial" w:cs="Arial"/>
          <w:sz w:val="20"/>
        </w:rPr>
        <w:fldChar w:fldCharType="begin"/>
      </w:r>
      <w:r w:rsidR="00847B0E">
        <w:rPr>
          <w:rFonts w:ascii="Arial" w:hAnsi="Arial" w:cs="Arial"/>
          <w:sz w:val="20"/>
          <w:lang w:val="fr-FR"/>
        </w:rPr>
        <w:instrText xml:space="preserve"> ADDIN ZOTERO_ITEM CSL_CITATION {"citationID":"IquPpx7v","properties":{"formattedCitation":"(Hassanpour Aslani et al. 2013)","plainCitation":"(Hassanpour Aslani et al. 2013)","dontUpdate":true,"noteIndex":0},"citationItems":[{"id":413,"uris":["http://zotero.org/users/local/emXCuEN0/items/DESLGTXA","http://zotero.org/users/17766503/items/DESLGTXA"],"itemData":{"id":413,"type":"article-journal","container-title":"Journal of Nanostructures","issue":"2","note":"publisher: University of Kashan","page":"219–225","source":"Google Scholar","title":"Feasibility study of reducing the total dissolved solids (TDS) from contaminated water in radish plant (Raphanus Sativus) using nano activated carbon and zeolite","URL":"http://jns.kashanu.ac.ir/article_5462_0.html","volume":"3","author":[{"family":"Hassanpour Aslani","given":"S."},{"family":"Ghafourian","given":"H."},{"family":"Ardakani","given":"M. R."},{"family":"Torabi","given":"S."}],"accessed":{"date-parts":[["2024",11,9]]},"issued":{"date-parts":[["2013"]]}}}],"schema":"https://github.com/citation-style-language/schema/raw/master/csl-citation.json"} </w:instrText>
      </w:r>
      <w:r w:rsidR="00061E01">
        <w:rPr>
          <w:rFonts w:ascii="Arial" w:hAnsi="Arial" w:cs="Arial"/>
          <w:sz w:val="20"/>
        </w:rPr>
        <w:fldChar w:fldCharType="separate"/>
      </w:r>
      <w:r w:rsidR="00061E01" w:rsidRPr="00425D68">
        <w:rPr>
          <w:rFonts w:ascii="Arial" w:hAnsi="Arial" w:cs="Arial"/>
          <w:sz w:val="20"/>
          <w:lang w:val="fr-FR"/>
        </w:rPr>
        <w:t>Hassanpour Aslani et al.</w:t>
      </w:r>
      <w:r w:rsidR="00D664CF">
        <w:rPr>
          <w:rFonts w:ascii="Arial" w:hAnsi="Arial" w:cs="Arial"/>
          <w:sz w:val="20"/>
          <w:lang w:val="fr-FR"/>
        </w:rPr>
        <w:t>,</w:t>
      </w:r>
      <w:r w:rsidR="00061E01" w:rsidRPr="00425D68">
        <w:rPr>
          <w:rFonts w:ascii="Arial" w:hAnsi="Arial" w:cs="Arial"/>
          <w:sz w:val="20"/>
          <w:lang w:val="fr-FR"/>
        </w:rPr>
        <w:t xml:space="preserve"> 2013</w:t>
      </w:r>
      <w:r w:rsidR="00061E01">
        <w:rPr>
          <w:rFonts w:ascii="Arial" w:hAnsi="Arial" w:cs="Arial"/>
          <w:sz w:val="20"/>
        </w:rPr>
        <w:fldChar w:fldCharType="end"/>
      </w:r>
      <w:r w:rsidR="00061E01" w:rsidRPr="00425D68">
        <w:rPr>
          <w:rFonts w:ascii="Arial" w:hAnsi="Arial" w:cs="Arial"/>
          <w:sz w:val="20"/>
          <w:lang w:val="fr-FR"/>
        </w:rPr>
        <w:t xml:space="preserve">, </w:t>
      </w:r>
      <w:r w:rsidR="00061E01">
        <w:rPr>
          <w:rFonts w:ascii="Arial" w:hAnsi="Arial" w:cs="Arial"/>
          <w:sz w:val="20"/>
        </w:rPr>
        <w:fldChar w:fldCharType="begin"/>
      </w:r>
      <w:r w:rsidR="00847B0E">
        <w:rPr>
          <w:rFonts w:ascii="Arial" w:hAnsi="Arial" w:cs="Arial"/>
          <w:sz w:val="20"/>
          <w:lang w:val="fr-FR"/>
        </w:rPr>
        <w:instrText xml:space="preserve"> ADDIN ZOTERO_ITEM CSL_CITATION {"citationID":"BDIrkLDJ","properties":{"formattedCitation":"(Wang 2021)","plainCitation":"(Wang 2021)","dontUpdate":true,"noteIndex":0},"citationItems":[{"id":482,"uris":["http://zotero.org/users/local/emXCuEN0/items/PPXWJR3T","http://zotero.org/users/17766503/items/PPXWJR3T"],"itemData":{"id":482,"type":"article-journal","abstract":"This study, based in San Bernardino County, Southern California, collected and examined tap water samples within the area to explore the feasibility of adopting non-industrial equipment and methods to reduce water hardness and total dissolved solids(TDS). We investigated how water quality could be improved by utilizing water boiling, activated carbon and sodium bicarbonate additives, as well as electrolysis methods. The results show that heating is effective at lower temperatures rather than long boils, as none of the boiling tests were lower than the original value. Activated carbon is unable to lower TDS, because it is unable to bind to any impurities present in the water. This resulted in an overall TDS increase of 3.5%. However, adding small amounts of sodium bicarbonate(NaHCO\n3\n) will further eliminate water hardness by reacting with magnesium ions and improve taste, while increasing the pH. When added to room temperature tap water, there is a continuous increase in TDS of 24.8% at the 30 mg/L mark. The new findings presented in this study showed that electrolysis was the most successful method in eliminating TDS, showing an inverse proportion where an increasing electrical current and duration of electrical lowers more amounts of solids. This method created a maximum decrease in TDS by a maximum of 22.7%, with 3 tests resulting in 15.3–16.6% decreases. Furthermore, when water is heated to a temperature around 50°C (122°F), a decrease in TDS of around 16% was also shown. The reduction of these solids will help lower water hardness and improve the taste of tap water. These results will help direct residents to drink more tap water rather than bottled water with similar taste and health benefits for a cheaper price as well as a reduction on plastic usage.;This study, based in San Bernardino County, Southern California, collected and examined tap water samples within the area to explore the feasibility of adopting non-industrial equipment and methods to reduce water hardness and total dissolved solids(TDS). We investigated how water quality could be improved by utilizing water boiling, activated carbon and sodium bicarbonate additives, as well as electrolysis methods. The results show that heating is effective at lower temperatures rather than long boils, as none of the boiling tests were lower than the original value. Activated carbon is unable to lower TDS, because it is unable to bind to any impurities present in the water. This resulted in an overall TDS increase of 3.5%. However, adding small amounts of sodium bicarbonate(NaHCO3) will further eliminate water hardness by reacting with magnesium ions and improve taste, while increasing the pH. When added to room temperature tap water, there is a continuous increase in TDS of 24.8% at the 30 mg/L mark. The new findings presented in this study showed that electrolysis was the most successful method in eliminating TDS, showing an inverse proportion where an increasing electrical current and duration of electrical lowers more amounts of solids. This method created a maximum decrease in TDS by a maximum of 22.7%, with 3 tests resulting in 15.3-16.6% decreases. Furthermore, when water is heated to a temperature around 50°C (122°F), a decrease in TDS of around 16% was also shown. The reduction of these solids will help lower water hardness and improve the taste of tap water. These results will help direct residents to drink more tap water rather than bottled water with similar taste and health benefits for a cheaper price as well as a reduction on plastic usage.;This study, based in San Bernardino County, Southern California, collected and examined tap water samples within the area to explore the feasibility of adopting non-industrial equipment and methods to reduce water hardness and total dissolved solids(TDS). We investigated how water quality could be improved by utilizing water boiling, activated carbon and sodium bicarbonate additives, as well as electrolysis methods. The results show that heating is effective at lower temperatures rather than long boils, as none of the boiling tests were lower than the original value. Activated carbon is unable to lower TDS, because it is unable to bind to any impurities present in the water. This resulted in an overall TDS increase of 3.5%. However, adding small amounts of sodium bicarbonate(NaHCO.sub.3) will further eliminate water hardness by reacting with magnesium ions and improve taste, while increasing the pH. When added to room temperature tap water, there is a continuous increase in TDS of 24.8% at the 30 mg/L </w:instrText>
      </w:r>
      <w:r w:rsidR="00847B0E" w:rsidRPr="00DE1688">
        <w:rPr>
          <w:rFonts w:ascii="Arial" w:hAnsi="Arial" w:cs="Arial"/>
          <w:sz w:val="20"/>
          <w:lang w:val="en-GB"/>
        </w:rPr>
        <w:instrText xml:space="preserve">mark. The new findings presented in this study showed that electrolysis was the most successful method in eliminating TDS, showing an inverse proportion where an increasing electrical current and duration of electrical lowers more amounts of solids. This method created a maximum decrease in TDS by a maximum of 22.7%, with 3 tests resulting in 15.3-16.6% decreases. Furthermore, when water is heated to a temperature around 50°C (122°F), a decrease in TDS of around 16% was also shown. The reduction of these solids will help lower water hardness and improve the taste of tap water. These results will help direct residents to drink more tap water rather than bottled water with similar taste and health benefits for a cheaper price as well as a reduction on plastic usage.;","container-title":"PloS one","DOI":"10.1371/journal.pone.0257865","ISSN":"1932-6203","issue":"9","language":"English","note":"publisher-place: San Francisco\npublisher: Public Library of Science","page":"e0257865","source":"Summon 2 (hinari.summon.serialssolutions.com)","title":"Research on drinking water purification technologies for household use by reducing total dissolved solids (TDS)","URL":"https://go.exlibris.link/R7dK8RjL","volume":"16","author":[{"family":"Wang","given":"Bill B."}],"editor":[{"family":"Dhaka","given":"Mahendra Singh"}],"accessed":{"date-parts":[["2024",12,1]]},"issued":{"date-parts":[["2021"]]}}}],"schema":"https://github.com/citation-style-language/schema/raw/master/csl-citation.json"} </w:instrText>
      </w:r>
      <w:r w:rsidR="00061E01">
        <w:rPr>
          <w:rFonts w:ascii="Arial" w:hAnsi="Arial" w:cs="Arial"/>
          <w:sz w:val="20"/>
        </w:rPr>
        <w:fldChar w:fldCharType="separate"/>
      </w:r>
      <w:r w:rsidR="00061E01" w:rsidRPr="00895410">
        <w:rPr>
          <w:rFonts w:ascii="Arial" w:hAnsi="Arial" w:cs="Arial"/>
          <w:sz w:val="20"/>
        </w:rPr>
        <w:t>Wang</w:t>
      </w:r>
      <w:r w:rsidR="00D664CF">
        <w:rPr>
          <w:rFonts w:ascii="Arial" w:hAnsi="Arial" w:cs="Arial"/>
          <w:sz w:val="20"/>
        </w:rPr>
        <w:t>,</w:t>
      </w:r>
      <w:r w:rsidR="00061E01" w:rsidRPr="00895410">
        <w:rPr>
          <w:rFonts w:ascii="Arial" w:hAnsi="Arial" w:cs="Arial"/>
          <w:sz w:val="20"/>
        </w:rPr>
        <w:t xml:space="preserve"> 2021)</w:t>
      </w:r>
      <w:r w:rsidR="00061E01">
        <w:rPr>
          <w:rFonts w:ascii="Arial" w:hAnsi="Arial" w:cs="Arial"/>
          <w:sz w:val="20"/>
        </w:rPr>
        <w:fldChar w:fldCharType="end"/>
      </w:r>
      <w:r w:rsidR="00215C58">
        <w:rPr>
          <w:rFonts w:ascii="Arial" w:hAnsi="Arial" w:cs="Arial"/>
          <w:sz w:val="20"/>
        </w:rPr>
        <w:t xml:space="preserve">. Among these methods, </w:t>
      </w:r>
      <w:r w:rsidR="00215C58" w:rsidRPr="00215C58">
        <w:rPr>
          <w:rFonts w:ascii="Arial" w:hAnsi="Arial" w:cs="Arial"/>
          <w:sz w:val="20"/>
        </w:rPr>
        <w:t>the adsorption process seems simple and less expensive to implement</w:t>
      </w:r>
      <w:r w:rsidR="00215C58">
        <w:rPr>
          <w:rFonts w:ascii="Arial" w:hAnsi="Arial" w:cs="Arial"/>
          <w:sz w:val="20"/>
        </w:rPr>
        <w:t xml:space="preserve">. </w:t>
      </w:r>
    </w:p>
    <w:p w14:paraId="5B4550D3" w14:textId="55B0AABC" w:rsidR="006655B4" w:rsidRDefault="00622760" w:rsidP="004C449E">
      <w:pPr>
        <w:spacing w:line="240" w:lineRule="auto"/>
        <w:jc w:val="both"/>
        <w:rPr>
          <w:rFonts w:ascii="Arial" w:hAnsi="Arial" w:cs="Arial"/>
          <w:sz w:val="20"/>
        </w:rPr>
      </w:pPr>
      <w:r>
        <w:rPr>
          <w:rFonts w:ascii="Arial" w:hAnsi="Arial" w:cs="Arial"/>
          <w:sz w:val="20"/>
        </w:rPr>
        <w:t>T</w:t>
      </w:r>
      <w:r w:rsidR="000A129F">
        <w:rPr>
          <w:rFonts w:ascii="Arial" w:hAnsi="Arial" w:cs="Arial"/>
          <w:sz w:val="20"/>
        </w:rPr>
        <w:t xml:space="preserve">he rice </w:t>
      </w:r>
      <w:r w:rsidR="003E7A10">
        <w:rPr>
          <w:rFonts w:ascii="Arial" w:hAnsi="Arial" w:cs="Arial"/>
          <w:sz w:val="20"/>
        </w:rPr>
        <w:t>husk</w:t>
      </w:r>
      <w:r w:rsidR="000A129F">
        <w:rPr>
          <w:rFonts w:ascii="Arial" w:hAnsi="Arial" w:cs="Arial"/>
          <w:sz w:val="20"/>
        </w:rPr>
        <w:t xml:space="preserve"> </w:t>
      </w:r>
      <w:r>
        <w:rPr>
          <w:rFonts w:ascii="Arial" w:hAnsi="Arial" w:cs="Arial"/>
          <w:sz w:val="20"/>
        </w:rPr>
        <w:t>is widely used in the wastewater treatment and many articles were reported</w:t>
      </w:r>
      <w:r w:rsidRPr="00FD3AEF">
        <w:rPr>
          <w:rFonts w:ascii="Arial" w:hAnsi="Arial" w:cs="Arial"/>
          <w:sz w:val="20"/>
          <w:highlight w:val="yellow"/>
        </w:rPr>
        <w:t>.</w:t>
      </w:r>
      <w:r w:rsidR="00EC22BB" w:rsidRPr="00FD3AEF">
        <w:rPr>
          <w:rFonts w:ascii="Arial" w:hAnsi="Arial" w:cs="Arial"/>
          <w:sz w:val="20"/>
          <w:highlight w:val="yellow"/>
        </w:rPr>
        <w:t xml:space="preserve"> </w:t>
      </w:r>
      <w:r w:rsidR="00FD3AEF" w:rsidRPr="00FD3AEF">
        <w:rPr>
          <w:rFonts w:ascii="Arial" w:hAnsi="Arial" w:cs="Arial"/>
          <w:sz w:val="20"/>
          <w:highlight w:val="yellow"/>
        </w:rPr>
        <w:t xml:space="preserve">A comprehensive literature review has taken stock of cheaper adsorbents from agriculture, in which rice husk is cited </w:t>
      </w:r>
      <w:r w:rsidR="00FD3AEF" w:rsidRPr="00FD3AEF">
        <w:rPr>
          <w:rFonts w:ascii="Arial" w:hAnsi="Arial" w:cs="Arial"/>
          <w:sz w:val="20"/>
          <w:highlight w:val="yellow"/>
        </w:rPr>
        <w:fldChar w:fldCharType="begin"/>
      </w:r>
      <w:r w:rsidR="00FD3AEF" w:rsidRPr="00FD3AEF">
        <w:rPr>
          <w:rFonts w:ascii="Arial" w:hAnsi="Arial" w:cs="Arial"/>
          <w:sz w:val="20"/>
          <w:highlight w:val="yellow"/>
        </w:rPr>
        <w:instrText xml:space="preserve"> ADDIN ZOTERO_ITEM CSL_CITATION {"citationID":"rFhWfyQV","properties":{"formattedCitation":"(De Gisi et al. 2016)","plainCitation":"(De Gisi et al. 2016)","noteIndex":0},"citationItems":[{"id":1411,"uris":["http://zotero.org/users/17766503/items/K68LC6MN"],"itemData":{"id":1411,"type":"article-journal","container-title":"Sustainable Materials and Technologies","DOI":"10.1016/j.susmat.2016.06.002","ISSN":"22149937","journalAbbreviation":"Sustainable Materials and Technologies","language":"en","page":"10-40","source":"DOI.org (Crossref)","title":"Characteristics and adsorption capacities of low-cost sorbents for wastewater treatment: A review","title-short":"Characteristics and adsorption capacities of low-cost sorbents for wastewater treatment","URL":"https://linkinghub.elsevier.com/retrieve/pii/S2214993715300221","volume":"9","author":[{"family":"De Gisi","given":"Sabino"},{"family":"Lofrano","given":"Giusy"},{"family":"Grassi","given":"Mariangela"},{"family":"Notarnicola","given":"Michele"}],"accessed":{"date-parts":[["2025",9,4]]},"issued":{"date-parts":[["2016",9]]}}}],"schema":"https://github.com/citation-style-language/schema/raw/master/csl-citation.json"} </w:instrText>
      </w:r>
      <w:r w:rsidR="00FD3AEF" w:rsidRPr="00FD3AEF">
        <w:rPr>
          <w:rFonts w:ascii="Arial" w:hAnsi="Arial" w:cs="Arial"/>
          <w:sz w:val="20"/>
          <w:highlight w:val="yellow"/>
        </w:rPr>
        <w:fldChar w:fldCharType="separate"/>
      </w:r>
      <w:r w:rsidR="00FD3AEF" w:rsidRPr="00FD3AEF">
        <w:rPr>
          <w:rFonts w:ascii="Arial" w:hAnsi="Arial" w:cs="Arial"/>
          <w:sz w:val="20"/>
          <w:highlight w:val="yellow"/>
        </w:rPr>
        <w:t>(De Gisi et al. 2016)</w:t>
      </w:r>
      <w:r w:rsidR="00FD3AEF" w:rsidRPr="00FD3AEF">
        <w:rPr>
          <w:rFonts w:ascii="Arial" w:hAnsi="Arial" w:cs="Arial"/>
          <w:sz w:val="20"/>
          <w:highlight w:val="yellow"/>
        </w:rPr>
        <w:fldChar w:fldCharType="end"/>
      </w:r>
      <w:r w:rsidR="00FD3AEF" w:rsidRPr="00FD3AEF">
        <w:rPr>
          <w:rFonts w:ascii="Arial" w:hAnsi="Arial" w:cs="Arial"/>
          <w:sz w:val="20"/>
          <w:highlight w:val="yellow"/>
        </w:rPr>
        <w:t>.</w:t>
      </w:r>
      <w:r>
        <w:rPr>
          <w:rFonts w:ascii="Arial" w:hAnsi="Arial" w:cs="Arial"/>
          <w:sz w:val="20"/>
        </w:rPr>
        <w:t xml:space="preserve"> </w:t>
      </w:r>
      <w:r w:rsidR="00F473A9" w:rsidRPr="003E7A10">
        <w:rPr>
          <w:rFonts w:ascii="Arial" w:hAnsi="Arial" w:cs="Arial"/>
          <w:sz w:val="20"/>
          <w:highlight w:val="yellow"/>
        </w:rPr>
        <w:t xml:space="preserve">As it is an abundant agricultural waste, it can be recovered by silica extraction </w:t>
      </w:r>
      <w:r w:rsidR="00F473A9" w:rsidRPr="003E7A10">
        <w:rPr>
          <w:rFonts w:ascii="Arial" w:hAnsi="Arial" w:cs="Arial"/>
          <w:sz w:val="20"/>
          <w:highlight w:val="yellow"/>
        </w:rPr>
        <w:fldChar w:fldCharType="begin"/>
      </w:r>
      <w:r w:rsidR="00F473A9" w:rsidRPr="003E7A10">
        <w:rPr>
          <w:rFonts w:ascii="Arial" w:hAnsi="Arial" w:cs="Arial"/>
          <w:sz w:val="20"/>
          <w:highlight w:val="yellow"/>
        </w:rPr>
        <w:instrText xml:space="preserve"> ADDIN ZOTERO_ITEM CSL_CITATION {"citationID":"0ZNfw99N","properties":{"formattedCitation":"(Arefieva et al. 2017)","plainCitation":"(Arefieva et al. 2017)","noteIndex":0},"citationItems":[{"id":1414,"uris":["http://zotero.org/users/17766503/items/DB8YG7EF"],"itemData":{"id":1414,"type":"article-journal","abstract":"This paper devoted to finding processing methods of alkaline hydrolysate produced from rice husk pre-extraction, and discusses alkaline hydrolysate processing schemed and disengagement of some products: amorphous silica of various quality, alkaline lignin, and water and alkaline extraction polysaccharides. Silica samples were characterized: crude (air-dried), burnt (no preliminary water treatment), washed in distilled water, and washed in distilled water and burnt. Waste water parameters upon the extraction of solids from alkaline hydrolysate dropped a few dozens or thousand times depending on the applied processing method. Color decreased a few thousand times, turbidity was virtually eliminated, chemical oxygen demanded about 20–136 times; polyphenols content might decrease 50% or be virtually eliminated. The most prospective scheme obtained the two following solid products from rice husk alkaline hydrolysate: amorphous silica and alkaline extraction polysaccharide. Chemical oxygen demand of the remaining waste water decreased about 140 times compared to the silica-free solution.","container-title":"Rice Science","DOI":"10.1016/j.rsci.2017.04.003","ISSN":"16726308","issue":"4","journalAbbreviation":"Rice Science","language":"en","page":"235-240","source":"DOI.org (Crossref)","title":"Processing Methods of Alkaline Hydrolysate from Rice Husk","URL":"https://linkinghub.elsevier.com/retrieve/pii/S1672630817300392","volume":"24","author":[{"family":"Arefieva","given":"Olga D."},{"family":"Zemnukhova","given":"Liudmila A."},{"family":"Kovshun","given":"Anastasia A."},{"family":"Kovekhova","given":"Anna V."}],"accessed":{"date-parts":[["2025",9,4]]},"issued":{"date-parts":[["2017",7]]}}}],"schema":"https://github.com/citation-style-language/schema/raw/master/csl-citation.json"} </w:instrText>
      </w:r>
      <w:r w:rsidR="00F473A9" w:rsidRPr="003E7A10">
        <w:rPr>
          <w:rFonts w:ascii="Arial" w:hAnsi="Arial" w:cs="Arial"/>
          <w:sz w:val="20"/>
          <w:highlight w:val="yellow"/>
        </w:rPr>
        <w:fldChar w:fldCharType="separate"/>
      </w:r>
      <w:r w:rsidR="00F473A9" w:rsidRPr="003E7A10">
        <w:rPr>
          <w:rFonts w:ascii="Arial" w:hAnsi="Arial" w:cs="Arial"/>
          <w:sz w:val="20"/>
          <w:highlight w:val="yellow"/>
        </w:rPr>
        <w:t>(Arefieva et al. 2017)</w:t>
      </w:r>
      <w:r w:rsidR="00F473A9" w:rsidRPr="003E7A10">
        <w:rPr>
          <w:rFonts w:ascii="Arial" w:hAnsi="Arial" w:cs="Arial"/>
          <w:sz w:val="20"/>
          <w:highlight w:val="yellow"/>
        </w:rPr>
        <w:fldChar w:fldCharType="end"/>
      </w:r>
      <w:r w:rsidR="00F473A9">
        <w:rPr>
          <w:rFonts w:ascii="Arial" w:hAnsi="Arial" w:cs="Arial"/>
          <w:sz w:val="20"/>
        </w:rPr>
        <w:t xml:space="preserve">. </w:t>
      </w:r>
      <w:r w:rsidR="00847B0E" w:rsidRPr="00847B0E">
        <w:rPr>
          <w:rFonts w:ascii="Arial" w:hAnsi="Arial" w:cs="Arial"/>
          <w:sz w:val="20"/>
        </w:rPr>
        <w:t xml:space="preserve">Thus, a similar study confirmed that rice husk hull is used in the </w:t>
      </w:r>
      <w:r w:rsidR="003E7A10">
        <w:rPr>
          <w:rFonts w:ascii="Arial" w:hAnsi="Arial" w:cs="Arial"/>
          <w:sz w:val="20"/>
        </w:rPr>
        <w:t>adsorption</w:t>
      </w:r>
      <w:r w:rsidR="00847B0E" w:rsidRPr="00847B0E">
        <w:rPr>
          <w:rFonts w:ascii="Arial" w:hAnsi="Arial" w:cs="Arial"/>
          <w:sz w:val="20"/>
        </w:rPr>
        <w:t xml:space="preserve"> of various pollutants such as pesticides, dyes and many other organic compounds</w:t>
      </w:r>
      <w:r w:rsidR="00847B0E">
        <w:rPr>
          <w:rFonts w:ascii="Arial" w:hAnsi="Arial" w:cs="Arial"/>
          <w:sz w:val="20"/>
        </w:rPr>
        <w:t xml:space="preserve"> </w:t>
      </w:r>
      <w:r w:rsidR="00847B0E">
        <w:rPr>
          <w:rFonts w:ascii="Arial" w:hAnsi="Arial" w:cs="Arial"/>
          <w:sz w:val="20"/>
        </w:rPr>
        <w:fldChar w:fldCharType="begin"/>
      </w:r>
      <w:r w:rsidR="00B969D9">
        <w:rPr>
          <w:rFonts w:ascii="Arial" w:hAnsi="Arial" w:cs="Arial"/>
          <w:sz w:val="20"/>
        </w:rPr>
        <w:instrText xml:space="preserve"> ADDIN ZOTERO_ITEM CSL_CITATION {"citationID":"eZFfJ7Ox","properties":{"formattedCitation":"(Ahmaruzzaman and Gupta 2011)","plainCitation":"(Ahmaruzzaman and Gupta 2011)","dontUpdate":true,"noteIndex":0},"citationItems":[{"id":315,"uris":["http://zotero.org/users/17766503/items/B2FWCDNR"],"itemData":{"id":315,"type":"article-journal","abstract":"Rice husk, which is a relatively abundant and inexpensive material, is currently being investigated as an adsorbent for the removal of various pollutants from water and wastewaters. Various pollutants, such as dyes, phenols, organic compounds, pesticides, inorganic anions, and heavy metals can be removed very eﬀectively with rice husk as an adsorbent. This article presents a brief review on the role of rice husk and rice husk ash in the removal of various pollutants from wastewater. Studies on the adsorption of various pollutants by rice husk materials are reviewed and the adsorption mechanism, inﬂuencing factors, favorable conditions, etc., discussed in this article. It is evident from the review that rice husk and its ash can be potentially utilized for the removal of various pollutants from water and wastewaters.","container-title":"Industrial &amp; Engineering Chemistry Research","DOI":"10.1021/ie201477c","ISSN":"0888-5885, 1520-5045","issue":"24","journalAbbreviation":"Ind. Eng. Chem. Res.","language":"en","page":"13589-13613","source":"DOI.org (Crossref)","title":"Rice Husk and Its Ash as Low-Cost Adsorbents in Water and Wastewater Treatment","URL":"https://pubs.acs.org/doi/10.1021/ie201477c","volume":"50","author":[{"family":"Ahmaruzzaman","given":"M."},{"family":"Gupta","given":"Vinod K."}],"accessed":{"date-parts":[["2024",11,6]]},"issued":{"date-parts":[["2011",12,21]]}}}],"schema":"https://github.com/citation-style-language/schema/raw/master/csl-citation.json"} </w:instrText>
      </w:r>
      <w:r w:rsidR="00847B0E">
        <w:rPr>
          <w:rFonts w:ascii="Arial" w:hAnsi="Arial" w:cs="Arial"/>
          <w:sz w:val="20"/>
        </w:rPr>
        <w:fldChar w:fldCharType="separate"/>
      </w:r>
      <w:r w:rsidR="00847B0E" w:rsidRPr="00847B0E">
        <w:rPr>
          <w:rFonts w:ascii="Arial" w:hAnsi="Arial" w:cs="Arial"/>
          <w:sz w:val="20"/>
        </w:rPr>
        <w:t>(Ahmaruzzaman and Gupta</w:t>
      </w:r>
      <w:r w:rsidR="00D664CF">
        <w:rPr>
          <w:rFonts w:ascii="Arial" w:hAnsi="Arial" w:cs="Arial"/>
          <w:sz w:val="20"/>
        </w:rPr>
        <w:t>,</w:t>
      </w:r>
      <w:r w:rsidR="00847B0E" w:rsidRPr="00847B0E">
        <w:rPr>
          <w:rFonts w:ascii="Arial" w:hAnsi="Arial" w:cs="Arial"/>
          <w:sz w:val="20"/>
        </w:rPr>
        <w:t xml:space="preserve"> 2011)</w:t>
      </w:r>
      <w:r w:rsidR="00847B0E">
        <w:rPr>
          <w:rFonts w:ascii="Arial" w:hAnsi="Arial" w:cs="Arial"/>
          <w:sz w:val="20"/>
        </w:rPr>
        <w:fldChar w:fldCharType="end"/>
      </w:r>
      <w:r w:rsidR="00847B0E" w:rsidRPr="00847B0E">
        <w:rPr>
          <w:rFonts w:ascii="Arial" w:hAnsi="Arial" w:cs="Arial"/>
          <w:sz w:val="20"/>
        </w:rPr>
        <w:t>.</w:t>
      </w:r>
      <w:r w:rsidR="00847B0E">
        <w:rPr>
          <w:rFonts w:ascii="Arial" w:hAnsi="Arial" w:cs="Arial"/>
          <w:sz w:val="20"/>
        </w:rPr>
        <w:t xml:space="preserve"> I</w:t>
      </w:r>
      <w:r>
        <w:rPr>
          <w:rFonts w:ascii="Arial" w:hAnsi="Arial" w:cs="Arial"/>
          <w:sz w:val="20"/>
        </w:rPr>
        <w:t xml:space="preserve">norganic pollutants were investigated: toxic metal as cadmium was uptaken by modified rice husk </w:t>
      </w:r>
      <w:r w:rsidR="00895410">
        <w:rPr>
          <w:rFonts w:ascii="Arial" w:hAnsi="Arial" w:cs="Arial"/>
          <w:sz w:val="20"/>
        </w:rPr>
        <w:fldChar w:fldCharType="begin"/>
      </w:r>
      <w:r w:rsidR="00B969D9">
        <w:rPr>
          <w:rFonts w:ascii="Arial" w:hAnsi="Arial" w:cs="Arial"/>
          <w:sz w:val="20"/>
        </w:rPr>
        <w:instrText xml:space="preserve"> ADDIN ZOTERO_ITEM CSL_CITATION {"citationID":"AvLPy8Wn","properties":{"formattedCitation":"(Ali et al. 2013)","plainCitation":"(Ali et al. 2013)","dontUpdate":true,"noteIndex":0},"citationItems":[{"id":1362,"uris":["http://zotero.org/users/local/emXCuEN0/items/54HSHH24","http://zotero.org/users/17766503/items/54HSHH24"],"itemData":{"id":1362,"type":"article-journal","abstract":"The present study reports the chemical modification of agricultural waste (rice straw) with urea using microwave radiation and the efficiency evaluation of this modified rice straw for the adsorption of a toxic heavy metal, cadmium. The elemental analysis of urea modified rice straw affirmed urea grafting on rice straw, and FTIR spectra of chemically benign modified adsorbent showed the presence of hydroxyl, carbonyl, and amino functional groups. Effects of process parameters (adsorbent dosage, contact time, agitation speed, pH, and temperature) were studied in batch mode. Parameters were optimized for the equilibrium study, and adsorption mechanism was elucidated using five mathematical models (Langmuir, Freundlich, Temkin, Harkin-Jura, and Dubinin-Radushkevich). Binding of Cd(II) ions on modified adsorbent followed Langmuir model, and the maximum uptake capacity was found to be 20.70 mg g\n              −1\n              . Kinetic modeling was done using six different kinetic models. The process was considered physisorption according to the obtained activation energy value. Thermodynamic parameters confirmed the process to be favorable and feasible. Exothermic nature of adsorption of Cd(II) ions on urea modified rice straw was confirmed by the negative value of Δ\n              H\n              °.","container-title":"Journal of Applied Chemistry","DOI":"10.1155/2013/417180","ISSN":"2314-6923","journalAbbreviation":"Journal of Applied Chemistry","language":"en","license":"http://creativecommons.org/licenses/by/3.0/","page":"1-12","source":"DOI.org (Crossref)","title":"Insight into Equilibrium and Kinetics of the Binding of Cadmium Ions on Radiation-Modified Straw from &lt;i&gt;Oryza sativa&lt;/i&gt;","URL":"https://www.hindawi.com/journals/jac/2013/417180/","volume":"2013","author":[{"family":"Ali","given":"Sana Zulfiqar"},{"family":"Athar","given":"Makshoof"},{"family":"Farooq","given":"Umar"},{"family":"Salman","given":"Muhammad"}],"accessed":{"date-parts":[["2025",8,11]]},"issued":{"date-parts":[["2013",7,30]]}}}],"schema":"https://github.com/citation-style-language/schema/raw/master/csl-citation.json"} </w:instrText>
      </w:r>
      <w:r w:rsidR="00895410">
        <w:rPr>
          <w:rFonts w:ascii="Arial" w:hAnsi="Arial" w:cs="Arial"/>
          <w:sz w:val="20"/>
        </w:rPr>
        <w:fldChar w:fldCharType="separate"/>
      </w:r>
      <w:r w:rsidR="00895410" w:rsidRPr="00895410">
        <w:rPr>
          <w:rFonts w:ascii="Arial" w:hAnsi="Arial" w:cs="Arial"/>
          <w:sz w:val="20"/>
        </w:rPr>
        <w:t>(Ali et al.</w:t>
      </w:r>
      <w:r w:rsidR="001F0C7A">
        <w:rPr>
          <w:rFonts w:ascii="Arial" w:hAnsi="Arial" w:cs="Arial"/>
          <w:sz w:val="20"/>
        </w:rPr>
        <w:t>,</w:t>
      </w:r>
      <w:r w:rsidR="00895410" w:rsidRPr="00895410">
        <w:rPr>
          <w:rFonts w:ascii="Arial" w:hAnsi="Arial" w:cs="Arial"/>
          <w:sz w:val="20"/>
        </w:rPr>
        <w:t xml:space="preserve"> 2013)</w:t>
      </w:r>
      <w:r w:rsidR="00895410">
        <w:rPr>
          <w:rFonts w:ascii="Arial" w:hAnsi="Arial" w:cs="Arial"/>
          <w:sz w:val="20"/>
        </w:rPr>
        <w:fldChar w:fldCharType="end"/>
      </w:r>
      <w:r w:rsidR="00B67851">
        <w:rPr>
          <w:rFonts w:ascii="Arial" w:hAnsi="Arial" w:cs="Arial"/>
          <w:sz w:val="20"/>
        </w:rPr>
        <w:t>,  c</w:t>
      </w:r>
      <w:r>
        <w:rPr>
          <w:rFonts w:ascii="Arial" w:hAnsi="Arial" w:cs="Arial"/>
          <w:sz w:val="20"/>
        </w:rPr>
        <w:t xml:space="preserve">hromium </w:t>
      </w:r>
      <w:r w:rsidRPr="006655B4">
        <w:rPr>
          <w:rFonts w:ascii="Arial" w:hAnsi="Arial" w:cs="Arial"/>
          <w:sz w:val="20"/>
        </w:rPr>
        <w:t xml:space="preserve">(VI) </w:t>
      </w:r>
      <w:r>
        <w:rPr>
          <w:rFonts w:ascii="Arial" w:hAnsi="Arial" w:cs="Arial"/>
          <w:sz w:val="20"/>
        </w:rPr>
        <w:t>r</w:t>
      </w:r>
      <w:r w:rsidRPr="006655B4">
        <w:rPr>
          <w:rFonts w:ascii="Arial" w:hAnsi="Arial" w:cs="Arial"/>
          <w:sz w:val="20"/>
        </w:rPr>
        <w:t>emoval from Aqueous Solution Using Rice Waste</w:t>
      </w:r>
      <w:r>
        <w:rPr>
          <w:rFonts w:ascii="Arial" w:hAnsi="Arial" w:cs="Arial"/>
          <w:sz w:val="20"/>
        </w:rPr>
        <w:t xml:space="preserve"> </w:t>
      </w:r>
      <w:r>
        <w:rPr>
          <w:rFonts w:ascii="Arial" w:hAnsi="Arial" w:cs="Arial"/>
          <w:sz w:val="20"/>
        </w:rPr>
        <w:fldChar w:fldCharType="begin"/>
      </w:r>
      <w:r w:rsidR="00B969D9">
        <w:rPr>
          <w:rFonts w:ascii="Arial" w:hAnsi="Arial" w:cs="Arial"/>
          <w:sz w:val="20"/>
        </w:rPr>
        <w:instrText xml:space="preserve"> ADDIN ZOTERO_ITEM CSL_CITATION {"citationID":"BCza8wvK","properties":{"formattedCitation":"(Naiya et al. 2011)","plainCitation":"(Naiya et al. 2011)","dontUpdate":true,"noteIndex":0},"citationItems":[{"id":276,"uris":["http://zotero.org/users/local/emXCuEN0/items/7PPICJKH","http://zotero.org/users/17766503/items/7PPICJKH"],"itemData":{"id":276,"type":"article-journal","abstract":"Rice waste - low cost agricultural waste has been utilized as the adsorbent for the removal of hexavalent chromium from aqueous solution. Adsorption capacity of rice wastes and interaction of the different functional groups were studied. Batch adsorption technique was employed to optimize the process parameter. A detailed FTIR characterization of the fresh adsorbents and Cr(VI) loaded adsorbents were carried out. The results show that the different functional groups such as surface hydroxyl, alkene, aromatic nitro, carboxilate anion and silicon oxide etc were responsible for the adsorption process.","container-title":"International Conference on Chemistry and Chemical Process","language":"en","source":"Zotero","title":"FTIR Study for the Cr(VI) Removal from Aqueous Solution Using Rice Waste","volume":"10","author":[{"family":"Naiya","given":"Tarun Kumar"},{"family":"Singha","given":"Biswajit"},{"family":"Das","given":"Sudip Kumar"}],"issued":{"date-parts":[["2011"]]}}}],"schema":"https://github.com/citation-style-language/schema/raw/master/csl-citation.json"} </w:instrText>
      </w:r>
      <w:r>
        <w:rPr>
          <w:rFonts w:ascii="Arial" w:hAnsi="Arial" w:cs="Arial"/>
          <w:sz w:val="20"/>
        </w:rPr>
        <w:fldChar w:fldCharType="separate"/>
      </w:r>
      <w:r w:rsidRPr="006655B4">
        <w:rPr>
          <w:rFonts w:ascii="Arial" w:hAnsi="Arial" w:cs="Arial"/>
          <w:sz w:val="20"/>
        </w:rPr>
        <w:t>(Naiya et al.</w:t>
      </w:r>
      <w:r w:rsidR="00D664CF">
        <w:rPr>
          <w:rFonts w:ascii="Arial" w:hAnsi="Arial" w:cs="Arial"/>
          <w:sz w:val="20"/>
        </w:rPr>
        <w:t>,</w:t>
      </w:r>
      <w:r w:rsidRPr="006655B4">
        <w:rPr>
          <w:rFonts w:ascii="Arial" w:hAnsi="Arial" w:cs="Arial"/>
          <w:sz w:val="20"/>
        </w:rPr>
        <w:t xml:space="preserve"> 2011)</w:t>
      </w:r>
      <w:r>
        <w:rPr>
          <w:rFonts w:ascii="Arial" w:hAnsi="Arial" w:cs="Arial"/>
          <w:sz w:val="20"/>
        </w:rPr>
        <w:fldChar w:fldCharType="end"/>
      </w:r>
      <w:r w:rsidR="00B67851">
        <w:rPr>
          <w:rFonts w:ascii="Arial" w:hAnsi="Arial" w:cs="Arial"/>
          <w:sz w:val="20"/>
        </w:rPr>
        <w:t xml:space="preserve">. Organic pollutants were also removed by rice </w:t>
      </w:r>
      <w:r w:rsidR="003E7A10">
        <w:rPr>
          <w:rFonts w:ascii="Arial" w:hAnsi="Arial" w:cs="Arial"/>
          <w:sz w:val="20"/>
        </w:rPr>
        <w:t>husk</w:t>
      </w:r>
      <w:r w:rsidR="00B67851">
        <w:rPr>
          <w:rFonts w:ascii="Arial" w:hAnsi="Arial" w:cs="Arial"/>
          <w:sz w:val="20"/>
        </w:rPr>
        <w:t xml:space="preserve"> such as </w:t>
      </w:r>
      <w:r w:rsidR="00B67851" w:rsidRPr="000A129F">
        <w:rPr>
          <w:rFonts w:ascii="Arial" w:hAnsi="Arial" w:cs="Arial"/>
          <w:sz w:val="20"/>
        </w:rPr>
        <w:t>sorption of methylene blue onto rice husk</w:t>
      </w:r>
      <w:r w:rsidR="00B67851">
        <w:rPr>
          <w:rFonts w:ascii="Arial" w:hAnsi="Arial" w:cs="Arial"/>
          <w:sz w:val="20"/>
        </w:rPr>
        <w:t xml:space="preserve"> </w:t>
      </w:r>
      <w:r w:rsidR="00B67851">
        <w:rPr>
          <w:rFonts w:ascii="Arial" w:hAnsi="Arial" w:cs="Arial"/>
          <w:sz w:val="20"/>
        </w:rPr>
        <w:fldChar w:fldCharType="begin"/>
      </w:r>
      <w:r w:rsidR="00B969D9">
        <w:rPr>
          <w:rFonts w:ascii="Arial" w:hAnsi="Arial" w:cs="Arial"/>
          <w:sz w:val="20"/>
        </w:rPr>
        <w:instrText xml:space="preserve"> ADDIN ZOTERO_ITEM CSL_CITATION {"citationID":"Eizv9kZ4","properties":{"formattedCitation":"(Vadivelan and Kumar 2005)","plainCitation":"(Vadivelan and Kumar 2005)","dontUpdate":true,"noteIndex":0},"citationItems":[{"id":197,"uris":["http://zotero.org/users/local/emXCuEN0/items/4KIK54TI","http://zotero.org/users/17766503/items/4KIK54TI"],"itemData":{"id":197,"type":"article-journal","abstract":"Batch experiments were carried out for the sorption of methylene blue onto rice husk particles. The operating variables studied were initial solution pH, initial dye concentration, adsorbent concentration, and contact time. Equilibrium data were ﬁtted to the Freundlich and Langmuir isotherm equations and the equilibrium data were found to be well represented by the Langmuir isotherm equation. The monolayer sorption capacity of rice husks for methylene blue sorption was found to be 40.5833 mg/g at room temperature (32 ◦C). The sorption was analyzed using pseudo-ﬁrst-order and pseudo-second-order kinetic models and the sorption kinetics was found to follow a pseudo-second-order kinetic model. Also the applicability of pseudo second order in modeling the kinetic data was also discussed. The sorption process was found to be controlled by both surface and pore diffusion with surface diffusion at the earlier stages followed by pore diffusion at the later stages. The average external mass transfer coefﬁcient and intraparticle diffusion coefﬁcient was found to be 0.01133 min−1 and 0.695358 mg/g min0.5. Analysis of sorption data using a Boyd plot conﬁrms that external mass transfer is the rate limiting step in the sorption process. The effective diffusion coefﬁcient, Di was calculated using the Boyd constant and was found to be 5.05 × 10−04 cm2/s for an initial dye concentration of 50 mg/L. A single-stage batch-adsorber design of the adsorption of methylene blue onto rice husk has been studied based on the Langmuir isotherm equation.","container-title":"Journal of Colloid and Interface Science","DOI":"10.1016/j.jcis.2005.01.007","ISSN":"00219797","issue":"1","journalAbbreviation":"Journal of Colloid and Interface Science","language":"en","license":"https://www.elsevier.com/tdm/userlicense/1.0/","page":"90-100","source":"DOI.org (Crossref)","title":"Equilibrium, kinetics, mechanism, and process design for the sorption of methylene blue onto rice husk","URL":"https://linkinghub.elsevier.com/retrieve/pii/S0021979705000081","volume":"286","author":[{"family":"Vadivelan","given":"V."},{"family":"Kumar","given":"K. Vasanth"}],"accessed":{"date-parts":[["2024",10,27]]},"issued":{"date-parts":[["2005",6]]}}}],"schema":"https://github.com/citation-style-language/schema/raw/master/csl-citation.json"} </w:instrText>
      </w:r>
      <w:r w:rsidR="00B67851">
        <w:rPr>
          <w:rFonts w:ascii="Arial" w:hAnsi="Arial" w:cs="Arial"/>
          <w:sz w:val="20"/>
        </w:rPr>
        <w:fldChar w:fldCharType="separate"/>
      </w:r>
      <w:r w:rsidR="00B67851" w:rsidRPr="000A129F">
        <w:rPr>
          <w:rFonts w:ascii="Arial" w:hAnsi="Arial" w:cs="Arial"/>
          <w:sz w:val="20"/>
        </w:rPr>
        <w:t>(Vadivelan and Kumar</w:t>
      </w:r>
      <w:r w:rsidR="00D664CF">
        <w:rPr>
          <w:rFonts w:ascii="Arial" w:hAnsi="Arial" w:cs="Arial"/>
          <w:sz w:val="20"/>
        </w:rPr>
        <w:t>,</w:t>
      </w:r>
      <w:r w:rsidR="00B67851" w:rsidRPr="000A129F">
        <w:rPr>
          <w:rFonts w:ascii="Arial" w:hAnsi="Arial" w:cs="Arial"/>
          <w:sz w:val="20"/>
        </w:rPr>
        <w:t xml:space="preserve"> 2005)</w:t>
      </w:r>
      <w:r w:rsidR="00B67851">
        <w:rPr>
          <w:rFonts w:ascii="Arial" w:hAnsi="Arial" w:cs="Arial"/>
          <w:sz w:val="20"/>
        </w:rPr>
        <w:fldChar w:fldCharType="end"/>
      </w:r>
      <w:r w:rsidR="00B67851">
        <w:rPr>
          <w:rFonts w:ascii="Arial" w:hAnsi="Arial" w:cs="Arial"/>
          <w:sz w:val="20"/>
        </w:rPr>
        <w:t xml:space="preserve">, </w:t>
      </w:r>
      <w:r w:rsidR="006655B4" w:rsidRPr="006655B4">
        <w:rPr>
          <w:rFonts w:ascii="Arial" w:hAnsi="Arial" w:cs="Arial"/>
          <w:sz w:val="20"/>
        </w:rPr>
        <w:t>rice  husk as adsorbent for methylene blue</w:t>
      </w:r>
      <w:r w:rsidR="006655B4">
        <w:rPr>
          <w:rFonts w:ascii="Arial" w:hAnsi="Arial" w:cs="Arial"/>
          <w:sz w:val="20"/>
        </w:rPr>
        <w:t xml:space="preserve"> </w:t>
      </w:r>
      <w:r w:rsidR="006655B4">
        <w:rPr>
          <w:rFonts w:ascii="Arial" w:hAnsi="Arial" w:cs="Arial"/>
          <w:sz w:val="20"/>
        </w:rPr>
        <w:fldChar w:fldCharType="begin"/>
      </w:r>
      <w:r w:rsidR="00B969D9">
        <w:rPr>
          <w:rFonts w:ascii="Arial" w:hAnsi="Arial" w:cs="Arial"/>
          <w:sz w:val="20"/>
        </w:rPr>
        <w:instrText xml:space="preserve"> ADDIN ZOTERO_ITEM CSL_CITATION {"citationID":"HD41sq82","properties":{"formattedCitation":"(Franco et al. 2017)","plainCitation":"(Franco et al. 2017)","dontUpdate":true,"noteIndex":0},"citationItems":[{"id":168,"uris":["http://zotero.org/users/local/emXCuEN0/items/7T6CZH3C","http://zotero.org/users/17766503/items/7T6CZH3C"],"itemData":{"id":168,"type":"article-journal","abstract":"Alternative treatments, such as, NaOH, ultrasound assisted (UA) and supercritical CO2 (SCO2), were performed to improve the potential of rice husk as adsorbent to remove methylene blue (MB) from aqueous media. All the treatments improved the surface characteristics of rice husk, exposing its organic fraction and/or providing more adsorption sites. The Langmuir and Hill models were able to explain the MB adsorption for all adsorbents in all studied temperatures. The experimental and modeled parameters demonstrated that the MB adsorption was favored by the temperature increase and by the use of NaOH-rice husk. The maximum adsorption capacities for the MB solutions (ranging from 10 to 100 mg L−1), estimated from the Langmuir model at 328 K, were in the following order: NaOH rice-husk (65.0 mg g−1) &amp;gt; UA-rice husk (58.7 mg g−1) &amp;gt; SCO2-rice husk (56.4 mg g−1) &amp;gt; raw rice husk (52.2 mg g−1). The adsorption was a spontaneous, favorable and endothermic process. In general, this work demonstrated that NaOH, UA and SCO2 treatments are alternatives to improve the potential of rice husk as adsorbent.","container-title":"Water Science and Technology","DOI":"10.2166/wst.2016.504","ISSN":"0273-1223, 1996-9732","issue":"2","language":"en","page":"296-305","source":"DOI.org (Crossref)","title":"Alternative treatments to improve the potential of rice husk as adsorbent for methylene blue","URL":"https://iwaponline.com/wst/article/75/2/296/28683/Alternative-treatments-to-improve-the-potential-of","volume":"75","author":[{"family":"Franco","given":"Dison S. P."},{"family":"Tanabe","given":"Eduardo H."},{"family":"Bertuol","given":"Daniel A."},{"family":"Dos Reis","given":"Glaydson S."},{"family":"Lima","given":"Éder C."},{"family":"Dotto","given":"Guilherme L."}],"accessed":{"date-parts":[["2024",10,27]]},"issued":{"date-parts":[["2017",1,23]]}}}],"schema":"https://github.com/citation-style-language/schema/raw/master/csl-citation.json"} </w:instrText>
      </w:r>
      <w:r w:rsidR="006655B4">
        <w:rPr>
          <w:rFonts w:ascii="Arial" w:hAnsi="Arial" w:cs="Arial"/>
          <w:sz w:val="20"/>
        </w:rPr>
        <w:fldChar w:fldCharType="separate"/>
      </w:r>
      <w:r w:rsidR="006655B4" w:rsidRPr="006655B4">
        <w:rPr>
          <w:rFonts w:ascii="Arial" w:hAnsi="Arial" w:cs="Arial"/>
          <w:sz w:val="20"/>
        </w:rPr>
        <w:t>(Franco et al.</w:t>
      </w:r>
      <w:r w:rsidR="001F0C7A">
        <w:rPr>
          <w:rFonts w:ascii="Arial" w:hAnsi="Arial" w:cs="Arial"/>
          <w:sz w:val="20"/>
        </w:rPr>
        <w:t>,</w:t>
      </w:r>
      <w:r w:rsidR="006655B4" w:rsidRPr="006655B4">
        <w:rPr>
          <w:rFonts w:ascii="Arial" w:hAnsi="Arial" w:cs="Arial"/>
          <w:sz w:val="20"/>
        </w:rPr>
        <w:t xml:space="preserve"> 2017)</w:t>
      </w:r>
      <w:r w:rsidR="006655B4">
        <w:rPr>
          <w:rFonts w:ascii="Arial" w:hAnsi="Arial" w:cs="Arial"/>
          <w:sz w:val="20"/>
        </w:rPr>
        <w:fldChar w:fldCharType="end"/>
      </w:r>
      <w:r w:rsidR="00B67851">
        <w:rPr>
          <w:rFonts w:ascii="Arial" w:hAnsi="Arial" w:cs="Arial"/>
          <w:sz w:val="20"/>
        </w:rPr>
        <w:t>, m</w:t>
      </w:r>
      <w:r w:rsidR="006655B4" w:rsidRPr="006655B4">
        <w:rPr>
          <w:rFonts w:ascii="Arial" w:hAnsi="Arial" w:cs="Arial"/>
          <w:sz w:val="20"/>
        </w:rPr>
        <w:t xml:space="preserve">ethylene </w:t>
      </w:r>
      <w:r w:rsidR="00B67851">
        <w:rPr>
          <w:rFonts w:ascii="Arial" w:hAnsi="Arial" w:cs="Arial"/>
          <w:sz w:val="20"/>
        </w:rPr>
        <w:t>b</w:t>
      </w:r>
      <w:r w:rsidR="006655B4" w:rsidRPr="006655B4">
        <w:rPr>
          <w:rFonts w:ascii="Arial" w:hAnsi="Arial" w:cs="Arial"/>
          <w:sz w:val="20"/>
        </w:rPr>
        <w:t>lue adsorption on activated carbon developed from Egyptian rice hull</w:t>
      </w:r>
      <w:r w:rsidR="006655B4">
        <w:rPr>
          <w:rFonts w:ascii="Arial" w:hAnsi="Arial" w:cs="Arial"/>
          <w:sz w:val="20"/>
        </w:rPr>
        <w:t xml:space="preserve"> </w:t>
      </w:r>
      <w:r w:rsidR="006655B4">
        <w:rPr>
          <w:rFonts w:ascii="Arial" w:hAnsi="Arial" w:cs="Arial"/>
          <w:sz w:val="20"/>
        </w:rPr>
        <w:fldChar w:fldCharType="begin"/>
      </w:r>
      <w:r w:rsidR="00B969D9">
        <w:rPr>
          <w:rFonts w:ascii="Arial" w:hAnsi="Arial" w:cs="Arial"/>
          <w:sz w:val="20"/>
        </w:rPr>
        <w:instrText xml:space="preserve"> ADDIN ZOTERO_ITEM CSL_CITATION {"citationID":"hC6wRHNp","properties":{"formattedCitation":"(El-Halwany 2010)","plainCitation":"(El-Halwany 2010)","dontUpdate":true,"noteIndex":0},"citationItems":[{"id":186,"uris":["http://zotero.org/users/local/emXCuEN0/items/YC2CG46C","http://zotero.org/users/17766503/items/YC2CG46C"],"itemData":{"id":186,"type":"article-journal","container-title":"Desalination","DOI":"10.1016/j.desal.2008.07.030","ISSN":"00119164","issue":"1","journalAbbreviation":"Desalination","language":"en","license":"https://www.elsevier.com/tdm/userlicense/1.0/","page":"208-213","source":"DOI.org (Crossref)","title":"Study of adsorption isotherms and kinetic models for Methylene Blue adsorption on activated carbon developed from Egyptian rice hull (Part II)","URL":"https://linkinghub.elsevier.com/retrieve/pii/S0011916409007929","volume":"250","author":[{"family":"El-Halwany","given":"M.M."}],"accessed":{"date-parts":[["2024",10,27]]},"issued":{"date-parts":[["2010",1]]}}}],"schema":"https://github.com/citation-style-language/schema/raw/master/csl-citation.json"} </w:instrText>
      </w:r>
      <w:r w:rsidR="006655B4">
        <w:rPr>
          <w:rFonts w:ascii="Arial" w:hAnsi="Arial" w:cs="Arial"/>
          <w:sz w:val="20"/>
        </w:rPr>
        <w:fldChar w:fldCharType="separate"/>
      </w:r>
      <w:r w:rsidR="006655B4" w:rsidRPr="006655B4">
        <w:rPr>
          <w:rFonts w:ascii="Arial" w:hAnsi="Arial" w:cs="Arial"/>
          <w:sz w:val="20"/>
        </w:rPr>
        <w:t>(El-Halwany</w:t>
      </w:r>
      <w:r w:rsidR="001F0C7A">
        <w:rPr>
          <w:rFonts w:ascii="Arial" w:hAnsi="Arial" w:cs="Arial"/>
          <w:sz w:val="20"/>
        </w:rPr>
        <w:t>,</w:t>
      </w:r>
      <w:r w:rsidR="006655B4" w:rsidRPr="006655B4">
        <w:rPr>
          <w:rFonts w:ascii="Arial" w:hAnsi="Arial" w:cs="Arial"/>
          <w:sz w:val="20"/>
        </w:rPr>
        <w:t xml:space="preserve"> 2010)</w:t>
      </w:r>
      <w:r w:rsidR="006655B4">
        <w:rPr>
          <w:rFonts w:ascii="Arial" w:hAnsi="Arial" w:cs="Arial"/>
          <w:sz w:val="20"/>
        </w:rPr>
        <w:fldChar w:fldCharType="end"/>
      </w:r>
      <w:r w:rsidR="00B67851">
        <w:rPr>
          <w:rFonts w:ascii="Arial" w:hAnsi="Arial" w:cs="Arial"/>
          <w:sz w:val="20"/>
        </w:rPr>
        <w:t>, p</w:t>
      </w:r>
      <w:r w:rsidR="006655B4" w:rsidRPr="006655B4">
        <w:rPr>
          <w:rFonts w:ascii="Arial" w:hAnsi="Arial" w:cs="Arial"/>
          <w:sz w:val="20"/>
        </w:rPr>
        <w:t>henol Adsorption</w:t>
      </w:r>
      <w:r w:rsidR="006655B4">
        <w:rPr>
          <w:rFonts w:ascii="Arial" w:hAnsi="Arial" w:cs="Arial"/>
          <w:sz w:val="20"/>
        </w:rPr>
        <w:t xml:space="preserve"> </w:t>
      </w:r>
      <w:r w:rsidR="00B67851">
        <w:rPr>
          <w:rFonts w:ascii="Arial" w:hAnsi="Arial" w:cs="Arial"/>
          <w:sz w:val="20"/>
        </w:rPr>
        <w:t xml:space="preserve">by </w:t>
      </w:r>
      <w:r w:rsidR="003E7A10">
        <w:rPr>
          <w:rFonts w:ascii="Arial" w:hAnsi="Arial" w:cs="Arial"/>
          <w:sz w:val="20"/>
        </w:rPr>
        <w:t>r</w:t>
      </w:r>
      <w:r w:rsidR="00B67851" w:rsidRPr="006655B4">
        <w:rPr>
          <w:rFonts w:ascii="Arial" w:hAnsi="Arial" w:cs="Arial"/>
          <w:sz w:val="20"/>
        </w:rPr>
        <w:t xml:space="preserve">ice </w:t>
      </w:r>
      <w:r w:rsidR="003E7A10">
        <w:rPr>
          <w:rFonts w:ascii="Arial" w:hAnsi="Arial" w:cs="Arial"/>
          <w:sz w:val="20"/>
        </w:rPr>
        <w:t>h</w:t>
      </w:r>
      <w:r w:rsidR="00B67851" w:rsidRPr="006655B4">
        <w:rPr>
          <w:rFonts w:ascii="Arial" w:hAnsi="Arial" w:cs="Arial"/>
          <w:sz w:val="20"/>
        </w:rPr>
        <w:t>usk</w:t>
      </w:r>
      <w:r w:rsidR="00B67851">
        <w:rPr>
          <w:rFonts w:ascii="Arial" w:hAnsi="Arial" w:cs="Arial"/>
          <w:sz w:val="20"/>
        </w:rPr>
        <w:t xml:space="preserve"> </w:t>
      </w:r>
      <w:r w:rsidR="006655B4">
        <w:rPr>
          <w:rFonts w:ascii="Arial" w:hAnsi="Arial" w:cs="Arial"/>
          <w:sz w:val="20"/>
        </w:rPr>
        <w:fldChar w:fldCharType="begin"/>
      </w:r>
      <w:r w:rsidR="00B969D9">
        <w:rPr>
          <w:rFonts w:ascii="Arial" w:hAnsi="Arial" w:cs="Arial"/>
          <w:sz w:val="20"/>
        </w:rPr>
        <w:instrText xml:space="preserve"> ADDIN ZOTERO_ITEM CSL_CITATION {"citationID":"aFYZQiqG","properties":{"formattedCitation":"(Daffalla et al. 2010)","plainCitation":"(Daffalla et al. 2010)","dontUpdate":true,"noteIndex":0},"citationItems":[{"id":280,"uris":["http://zotero.org/users/local/emXCuEN0/items/8H9QIWAJ","http://zotero.org/users/17766503/items/8H9QIWAJ"],"itemData":{"id":280,"type":"article-journal","abstract":"Over the last three decades, there has been increasing global concern over the public health impacts attributed to environmental pollution. Among various water pollutants, phenol and its derivatives are the most toxic because they are carcinogenic in nature. The objective of this study was to develop novel, low-cost adsorbent from rice husk modified by thermal and chemical treatments for the effective removal of phenol from industrial wastewater. The physical and surface properties of the developed adsorbents were characterized using FTIR, SEM and FSEM. The results indicated that the pretreatment of rice husk has caused the functional groups (-OH, Si-OH, C-H, C=O, C=C, CH2, CH3, CO, Si-O-Si, C-C, SiH, -O-CH3) on the surface of adsorbent to change and the specific surface area to increase. The adsorption capacity was greatly influenced by surface group changes. The effects of the presence of the surface functional group on adsorption of phenol were analyzed by observing the shifting of the FTIR peaks after the adsorption experiment. Analysis of FTIR shows that the –OH, C-H,-CO, C-OH, Si-OH and –Si-H groups contribute to the adsorption of phenol onto the surface of adsorbent.","container-title":"Journal of Applied Sciences","DOI":"10.3923/jas.2010.1060.1067","ISSN":"18125654","issue":"12","journalAbbreviation":"J. of Applied Sciences","language":"en","page":"1060-1067","source":"DOI.org (Crossref)","title":"Characterization of Adsorbent Developed from Rice Husk: Effect of Surface Functional Group on Phenol Adsorption","title-short":"Characterization of Adsorbent Developed from Rice Husk","URL":"https://www.scialert.net/abstract/?doi=jas.2010.1060.1067","volume":"10","author":[{"family":"Daffalla","given":"S.B."},{"family":"Mukhtar","given":"H."},{"family":"Shaharun","given":"M.S."}],"accessed":{"date-parts":[["2024",10,27]]},"issued":{"date-parts":[["2010",6,1]]}}}],"schema":"https://github.com/citation-style-language/schema/raw/master/csl-citation.json"} </w:instrText>
      </w:r>
      <w:r w:rsidR="006655B4">
        <w:rPr>
          <w:rFonts w:ascii="Arial" w:hAnsi="Arial" w:cs="Arial"/>
          <w:sz w:val="20"/>
        </w:rPr>
        <w:fldChar w:fldCharType="separate"/>
      </w:r>
      <w:r w:rsidR="006655B4" w:rsidRPr="006655B4">
        <w:rPr>
          <w:rFonts w:ascii="Arial" w:hAnsi="Arial" w:cs="Arial"/>
          <w:sz w:val="20"/>
        </w:rPr>
        <w:t>(Daffalla et al.</w:t>
      </w:r>
      <w:r w:rsidR="00D664CF">
        <w:rPr>
          <w:rFonts w:ascii="Arial" w:hAnsi="Arial" w:cs="Arial"/>
          <w:sz w:val="20"/>
        </w:rPr>
        <w:t>,</w:t>
      </w:r>
      <w:r w:rsidR="006655B4" w:rsidRPr="006655B4">
        <w:rPr>
          <w:rFonts w:ascii="Arial" w:hAnsi="Arial" w:cs="Arial"/>
          <w:sz w:val="20"/>
        </w:rPr>
        <w:t xml:space="preserve"> 2010)</w:t>
      </w:r>
      <w:r w:rsidR="006655B4">
        <w:rPr>
          <w:rFonts w:ascii="Arial" w:hAnsi="Arial" w:cs="Arial"/>
          <w:sz w:val="20"/>
        </w:rPr>
        <w:fldChar w:fldCharType="end"/>
      </w:r>
      <w:r w:rsidR="00B67851">
        <w:rPr>
          <w:rFonts w:ascii="Arial" w:hAnsi="Arial" w:cs="Arial"/>
          <w:sz w:val="20"/>
        </w:rPr>
        <w:t xml:space="preserve">, </w:t>
      </w:r>
      <w:r w:rsidRPr="00622760">
        <w:rPr>
          <w:rFonts w:ascii="Arial" w:hAnsi="Arial" w:cs="Arial"/>
          <w:sz w:val="20"/>
        </w:rPr>
        <w:t>Removal of Methylene Blue and Congo Red in Aqueous Phases</w:t>
      </w:r>
      <w:r>
        <w:rPr>
          <w:rFonts w:ascii="Arial" w:hAnsi="Arial" w:cs="Arial"/>
          <w:sz w:val="20"/>
        </w:rPr>
        <w:t xml:space="preserve"> </w:t>
      </w:r>
      <w:r>
        <w:rPr>
          <w:rFonts w:ascii="Arial" w:hAnsi="Arial" w:cs="Arial"/>
          <w:sz w:val="20"/>
        </w:rPr>
        <w:fldChar w:fldCharType="begin"/>
      </w:r>
      <w:r w:rsidR="00B969D9">
        <w:rPr>
          <w:rFonts w:ascii="Arial" w:hAnsi="Arial" w:cs="Arial"/>
          <w:sz w:val="20"/>
        </w:rPr>
        <w:instrText xml:space="preserve"> ADDIN ZOTERO_ITEM CSL_CITATION {"citationID":"1deUxTaJ","properties":{"formattedCitation":"(Chowdhury et al. 2009)","plainCitation":"(Chowdhury et al. 2009)","dontUpdate":true,"noteIndex":0},"citationItems":[{"id":164,"uris":["http://zotero.org/users/local/emXCuEN0/items/QJJE5KRX","http://zotero.org/users/17766503/items/QJJE5KRX"],"itemData":{"id":164,"type":"article-journal","abstract":"Abstract\n            Adsorption is of significant importance for effluent treatment, especially for the treatment of colored effluent generated from the dyeing and bleaching industries. Low cost adsorbents have gained attention over the decades as a means of achieving very high removal efficiencies to meet effluent discharge standards. The present article reports on batch investigations for color removal from aqueous solutions of Methylene Blue (MB) and Congo Red (CR) using Rice Husk Ash (RHA) as an alternative low cost adsorbent. The performance analysis was carried out as a function of various operating parameters, such as initial concentration of dye, adsorbent dose, contact time, shaker speed, interruption of shaking and ionic concentration. Performance studies revealed that a very high percentage removal of color was achievable for both dyes. The maximum percentage removal of MB was 99.939%, while 98.835% removal was observed for CR. These percentage removals were better than existing systems. Detailed data analysis indicated that adsorption of MB followed the Temkin isotherm, while CR followed the Freundlich isotherm. These isotherms were feasible within the framework of experimentation. Batch kinetic data, on the other hand, indicated that pseudo second order kinetics governed adsorption in both cases. Sensitivity analysis further indicated that the effects of initial dye concentration, shaker speed, pH and ionic strength had no noticeable effect on the percentage dye removal at equilibrium. Batch desorption studies revealed that 50% acetone solution was optimum for CR, while desorption of MB varied directly with acetone concentration.","container-title":"CLEAN – Soil, Air, Water","DOI":"10.1002/clen.200900051","ISSN":"1863-0650, 1863-0669","issue":"7","journalAbbreviation":"CLEAN Soil Air Water","language":"en","page":"581-591","source":"DOI.org (Crossref)","title":"Rice Husk Ash as a Low Cost Adsorbent for the Removal of Methylene Blue and Congo Red in Aqueous Phases","URL":"https://onlinelibrary.wiley.com/doi/10.1002/clen.200900051","volume":"37","author":[{"family":"Chowdhury","given":"Anirban K."},{"family":"Sarkar","given":"Anupam D."},{"family":"Bandyopadhyay","given":"Amitava"}],"accessed":{"date-parts":[["2024",10,27]]},"issued":{"date-parts":[["2009",7]]}}}],"schema":"https://github.com/citation-style-language/schema/raw/master/csl-citation.json"} </w:instrText>
      </w:r>
      <w:r>
        <w:rPr>
          <w:rFonts w:ascii="Arial" w:hAnsi="Arial" w:cs="Arial"/>
          <w:sz w:val="20"/>
        </w:rPr>
        <w:fldChar w:fldCharType="separate"/>
      </w:r>
      <w:r w:rsidRPr="00622760">
        <w:rPr>
          <w:rFonts w:ascii="Arial" w:hAnsi="Arial" w:cs="Arial"/>
          <w:sz w:val="20"/>
        </w:rPr>
        <w:t>(Chowdhury et al.</w:t>
      </w:r>
      <w:r w:rsidR="001F0C7A">
        <w:rPr>
          <w:rFonts w:ascii="Arial" w:hAnsi="Arial" w:cs="Arial"/>
          <w:sz w:val="20"/>
        </w:rPr>
        <w:t>,</w:t>
      </w:r>
      <w:r w:rsidRPr="00622760">
        <w:rPr>
          <w:rFonts w:ascii="Arial" w:hAnsi="Arial" w:cs="Arial"/>
          <w:sz w:val="20"/>
        </w:rPr>
        <w:t xml:space="preserve"> 2009)</w:t>
      </w:r>
      <w:r>
        <w:rPr>
          <w:rFonts w:ascii="Arial" w:hAnsi="Arial" w:cs="Arial"/>
          <w:sz w:val="20"/>
        </w:rPr>
        <w:fldChar w:fldCharType="end"/>
      </w:r>
      <w:r w:rsidR="006522CE">
        <w:rPr>
          <w:rFonts w:ascii="Arial" w:hAnsi="Arial" w:cs="Arial"/>
          <w:sz w:val="20"/>
        </w:rPr>
        <w:t>.</w:t>
      </w:r>
    </w:p>
    <w:p w14:paraId="0D3A8293" w14:textId="1A70DFC3" w:rsidR="006522CE" w:rsidRDefault="006522CE" w:rsidP="004C449E">
      <w:pPr>
        <w:spacing w:line="240" w:lineRule="auto"/>
        <w:jc w:val="both"/>
        <w:rPr>
          <w:rFonts w:ascii="Arial" w:hAnsi="Arial" w:cs="Arial"/>
          <w:sz w:val="20"/>
        </w:rPr>
      </w:pPr>
      <w:r>
        <w:rPr>
          <w:rFonts w:ascii="Arial" w:hAnsi="Arial" w:cs="Arial"/>
          <w:sz w:val="20"/>
        </w:rPr>
        <w:t xml:space="preserve">Most works are investigated on rice </w:t>
      </w:r>
      <w:r w:rsidR="003E7A10">
        <w:rPr>
          <w:rFonts w:ascii="Arial" w:hAnsi="Arial" w:cs="Arial"/>
          <w:sz w:val="20"/>
        </w:rPr>
        <w:t>husk</w:t>
      </w:r>
      <w:r>
        <w:rPr>
          <w:rFonts w:ascii="Arial" w:hAnsi="Arial" w:cs="Arial"/>
          <w:sz w:val="20"/>
        </w:rPr>
        <w:t xml:space="preserve"> as adsorbent on the wastewater treatment but few investigations can be found on TDS </w:t>
      </w:r>
      <w:r w:rsidR="003E7A10">
        <w:rPr>
          <w:rFonts w:ascii="Arial" w:hAnsi="Arial" w:cs="Arial"/>
          <w:sz w:val="20"/>
        </w:rPr>
        <w:t>adsorption</w:t>
      </w:r>
      <w:r>
        <w:rPr>
          <w:rFonts w:ascii="Arial" w:hAnsi="Arial" w:cs="Arial"/>
          <w:sz w:val="20"/>
        </w:rPr>
        <w:t xml:space="preserve">. The objective of this study is to use rice husk as low-cost adsorbent to remove TDS from groundwater. In fact, some parameters were studied such as the effect of adsorbent dose, </w:t>
      </w:r>
      <w:r w:rsidR="00995515">
        <w:rPr>
          <w:rFonts w:ascii="Arial" w:hAnsi="Arial" w:cs="Arial"/>
          <w:sz w:val="20"/>
        </w:rPr>
        <w:t>the effect of particle size, the effect of contact time, the effect of initial concentration, the effect of compound polarity and the kinetic adsorption.</w:t>
      </w:r>
    </w:p>
    <w:p w14:paraId="18B005AA" w14:textId="77777777" w:rsidR="00425D68" w:rsidRPr="004C449E" w:rsidRDefault="00425D68" w:rsidP="004C449E">
      <w:pPr>
        <w:spacing w:line="240" w:lineRule="auto"/>
        <w:jc w:val="both"/>
        <w:rPr>
          <w:rFonts w:ascii="Arial" w:hAnsi="Arial" w:cs="Arial"/>
          <w:sz w:val="20"/>
        </w:rPr>
      </w:pPr>
    </w:p>
    <w:p w14:paraId="33D61071" w14:textId="77777777" w:rsidR="004429B8" w:rsidRPr="00964A9D" w:rsidRDefault="003405C0" w:rsidP="00446F8F">
      <w:pPr>
        <w:pStyle w:val="ListParagraph"/>
        <w:numPr>
          <w:ilvl w:val="0"/>
          <w:numId w:val="1"/>
        </w:numPr>
        <w:spacing w:line="360" w:lineRule="auto"/>
        <w:jc w:val="both"/>
        <w:rPr>
          <w:rFonts w:ascii="Arial" w:hAnsi="Arial" w:cs="Arial"/>
          <w:b/>
        </w:rPr>
      </w:pPr>
      <w:r w:rsidRPr="00964A9D">
        <w:rPr>
          <w:rFonts w:ascii="Arial" w:hAnsi="Arial" w:cs="Arial"/>
          <w:b/>
        </w:rPr>
        <w:t>MATERIAL AND METHODS</w:t>
      </w:r>
    </w:p>
    <w:p w14:paraId="3641960B" w14:textId="77777777" w:rsidR="002F1B90" w:rsidRPr="00964A9D" w:rsidRDefault="004429B8" w:rsidP="00446F8F">
      <w:pPr>
        <w:pStyle w:val="ListParagraph"/>
        <w:numPr>
          <w:ilvl w:val="1"/>
          <w:numId w:val="2"/>
        </w:numPr>
        <w:spacing w:line="360" w:lineRule="auto"/>
        <w:jc w:val="both"/>
        <w:rPr>
          <w:rFonts w:ascii="Arial" w:hAnsi="Arial" w:cs="Arial"/>
          <w:b/>
          <w:sz w:val="24"/>
        </w:rPr>
      </w:pPr>
      <w:r w:rsidRPr="00964A9D">
        <w:rPr>
          <w:rFonts w:ascii="Arial" w:hAnsi="Arial" w:cs="Arial"/>
          <w:b/>
        </w:rPr>
        <w:t>Untreated rice husk adsorbent</w:t>
      </w:r>
    </w:p>
    <w:p w14:paraId="0D25F96B" w14:textId="7B4991B4" w:rsidR="009D30CC" w:rsidRDefault="002F1B90" w:rsidP="00A7605C">
      <w:pPr>
        <w:spacing w:line="240" w:lineRule="auto"/>
        <w:jc w:val="both"/>
        <w:rPr>
          <w:rFonts w:ascii="Arial" w:hAnsi="Arial" w:cs="Arial"/>
          <w:sz w:val="20"/>
        </w:rPr>
      </w:pPr>
      <w:r w:rsidRPr="00F3516E">
        <w:rPr>
          <w:rFonts w:ascii="Arial" w:hAnsi="Arial" w:cs="Arial"/>
          <w:sz w:val="20"/>
        </w:rPr>
        <w:t>This untreated rice husk was already used in our previous work. The husk waste</w:t>
      </w:r>
      <w:r w:rsidR="00F3516E" w:rsidRPr="00F3516E">
        <w:rPr>
          <w:rFonts w:ascii="Arial" w:hAnsi="Arial" w:cs="Arial"/>
          <w:sz w:val="20"/>
        </w:rPr>
        <w:t>s</w:t>
      </w:r>
      <w:r w:rsidRPr="00F3516E">
        <w:rPr>
          <w:rFonts w:ascii="Arial" w:hAnsi="Arial" w:cs="Arial"/>
          <w:sz w:val="20"/>
        </w:rPr>
        <w:t xml:space="preserve"> were collected from grinder women at KOUBRI, located in the south of </w:t>
      </w:r>
      <w:r w:rsidR="00F3516E" w:rsidRPr="00F3516E">
        <w:rPr>
          <w:rFonts w:ascii="Arial" w:hAnsi="Arial" w:cs="Arial"/>
          <w:sz w:val="20"/>
        </w:rPr>
        <w:t>O</w:t>
      </w:r>
      <w:r w:rsidRPr="00F3516E">
        <w:rPr>
          <w:rFonts w:ascii="Arial" w:hAnsi="Arial" w:cs="Arial"/>
          <w:sz w:val="20"/>
        </w:rPr>
        <w:t xml:space="preserve">uagadougou, the capital city of Burkina </w:t>
      </w:r>
      <w:r w:rsidR="00F3516E" w:rsidRPr="00F3516E">
        <w:rPr>
          <w:rFonts w:ascii="Arial" w:hAnsi="Arial" w:cs="Arial"/>
          <w:sz w:val="20"/>
        </w:rPr>
        <w:t>Faso.</w:t>
      </w:r>
      <w:r w:rsidR="00B46ACD">
        <w:rPr>
          <w:rFonts w:ascii="Arial" w:hAnsi="Arial" w:cs="Arial"/>
          <w:sz w:val="20"/>
        </w:rPr>
        <w:t xml:space="preserve"> </w:t>
      </w:r>
      <w:r w:rsidR="00B46ACD" w:rsidRPr="00B46ACD">
        <w:rPr>
          <w:rFonts w:ascii="Arial" w:hAnsi="Arial" w:cs="Arial"/>
          <w:sz w:val="20"/>
        </w:rPr>
        <w:t>The agricultural waste rinsed severally with distilled water to obtain cleaned husk thoroughly</w:t>
      </w:r>
      <w:r w:rsidR="00B46ACD">
        <w:rPr>
          <w:rFonts w:ascii="Arial" w:hAnsi="Arial" w:cs="Arial"/>
          <w:sz w:val="20"/>
        </w:rPr>
        <w:t xml:space="preserve">. </w:t>
      </w:r>
      <w:r w:rsidR="00B46ACD" w:rsidRPr="00B46ACD">
        <w:rPr>
          <w:rFonts w:ascii="Arial" w:hAnsi="Arial" w:cs="Arial"/>
          <w:sz w:val="20"/>
        </w:rPr>
        <w:t>Then, the husk</w:t>
      </w:r>
      <w:r w:rsidR="00B46ACD">
        <w:rPr>
          <w:rFonts w:ascii="Arial" w:hAnsi="Arial" w:cs="Arial"/>
          <w:sz w:val="20"/>
        </w:rPr>
        <w:t>s</w:t>
      </w:r>
      <w:r w:rsidR="00B46ACD" w:rsidRPr="00B46ACD">
        <w:rPr>
          <w:rFonts w:ascii="Arial" w:hAnsi="Arial" w:cs="Arial"/>
          <w:sz w:val="20"/>
        </w:rPr>
        <w:t xml:space="preserve"> were crushed </w:t>
      </w:r>
      <w:r w:rsidR="00316B53">
        <w:rPr>
          <w:rFonts w:ascii="Arial" w:hAnsi="Arial" w:cs="Arial"/>
          <w:sz w:val="20"/>
        </w:rPr>
        <w:t>and</w:t>
      </w:r>
      <w:r w:rsidR="00B46ACD" w:rsidRPr="00B46ACD">
        <w:rPr>
          <w:rFonts w:ascii="Arial" w:hAnsi="Arial" w:cs="Arial"/>
          <w:sz w:val="20"/>
        </w:rPr>
        <w:t xml:space="preserve"> sieved to have the desired sizes (</w:t>
      </w:r>
      <w:r w:rsidR="00B46ACD">
        <w:rPr>
          <w:rFonts w:ascii="Arial" w:hAnsi="Arial" w:cs="Arial"/>
          <w:sz w:val="20"/>
        </w:rPr>
        <w:t>µ</w:t>
      </w:r>
      <w:r w:rsidR="00B46ACD" w:rsidRPr="00B46ACD">
        <w:rPr>
          <w:rFonts w:ascii="Arial" w:hAnsi="Arial" w:cs="Arial"/>
          <w:sz w:val="20"/>
        </w:rPr>
        <w:t>m)</w:t>
      </w:r>
      <w:r w:rsidR="00B46ACD">
        <w:rPr>
          <w:rFonts w:ascii="Arial" w:hAnsi="Arial" w:cs="Arial"/>
          <w:sz w:val="20"/>
        </w:rPr>
        <w:t xml:space="preserve">. </w:t>
      </w:r>
      <w:r w:rsidR="009D30CC" w:rsidRPr="009D30CC">
        <w:rPr>
          <w:rFonts w:ascii="Arial" w:hAnsi="Arial" w:cs="Arial"/>
          <w:sz w:val="20"/>
        </w:rPr>
        <w:t>Physicochemical characterizations such as Fourier transform infrared spectroscopy (FT-IR), scanning electron microscopy (SEM), X-ray diffraction (XRD), and X-ray fluorescence (XRF) were performed on the washed rice husk. The surface morphological and chemical parameters, as well as mineral elements, were elucidated and reported in our previous study</w:t>
      </w:r>
      <w:r w:rsidR="009D30CC">
        <w:rPr>
          <w:rFonts w:ascii="Arial" w:hAnsi="Arial" w:cs="Arial"/>
          <w:sz w:val="20"/>
        </w:rPr>
        <w:t xml:space="preserve"> [</w:t>
      </w:r>
      <w:proofErr w:type="spellStart"/>
      <w:r w:rsidR="009D30CC">
        <w:rPr>
          <w:rFonts w:ascii="Arial" w:hAnsi="Arial" w:cs="Arial"/>
          <w:sz w:val="20"/>
        </w:rPr>
        <w:t>Oueda</w:t>
      </w:r>
      <w:proofErr w:type="spellEnd"/>
      <w:r w:rsidR="00D664CF">
        <w:rPr>
          <w:rFonts w:ascii="Arial" w:hAnsi="Arial" w:cs="Arial"/>
          <w:sz w:val="20"/>
        </w:rPr>
        <w:t xml:space="preserve"> et al.</w:t>
      </w:r>
      <w:r w:rsidR="009D30CC">
        <w:rPr>
          <w:rFonts w:ascii="Arial" w:hAnsi="Arial" w:cs="Arial"/>
          <w:sz w:val="20"/>
        </w:rPr>
        <w:t>,</w:t>
      </w:r>
      <w:r w:rsidR="002F290F">
        <w:rPr>
          <w:rFonts w:ascii="Arial" w:hAnsi="Arial" w:cs="Arial"/>
          <w:sz w:val="20"/>
        </w:rPr>
        <w:t xml:space="preserve"> </w:t>
      </w:r>
      <w:r w:rsidR="009D30CC">
        <w:rPr>
          <w:rFonts w:ascii="Arial" w:hAnsi="Arial" w:cs="Arial"/>
          <w:sz w:val="20"/>
        </w:rPr>
        <w:t>2024]</w:t>
      </w:r>
      <w:r w:rsidR="009D30CC" w:rsidRPr="009D30CC">
        <w:rPr>
          <w:rFonts w:ascii="Arial" w:hAnsi="Arial" w:cs="Arial"/>
          <w:sz w:val="20"/>
        </w:rPr>
        <w:t>.</w:t>
      </w:r>
      <w:r w:rsidR="00EA2E02">
        <w:rPr>
          <w:rFonts w:ascii="Arial" w:hAnsi="Arial" w:cs="Arial"/>
          <w:sz w:val="20"/>
        </w:rPr>
        <w:t xml:space="preserve"> </w:t>
      </w:r>
      <w:r w:rsidR="00EA2E02" w:rsidRPr="00EA2E02">
        <w:rPr>
          <w:rFonts w:ascii="Arial" w:hAnsi="Arial" w:cs="Arial"/>
          <w:sz w:val="20"/>
        </w:rPr>
        <w:t>FT-IR spectroscopy allowed the identification of surface functional groups</w:t>
      </w:r>
      <w:r w:rsidR="00D664CF">
        <w:rPr>
          <w:rFonts w:ascii="Arial" w:hAnsi="Arial" w:cs="Arial"/>
          <w:sz w:val="20"/>
        </w:rPr>
        <w:t>.</w:t>
      </w:r>
      <w:r w:rsidR="00FD099D">
        <w:rPr>
          <w:rFonts w:ascii="Arial" w:hAnsi="Arial" w:cs="Arial"/>
          <w:sz w:val="20"/>
        </w:rPr>
        <w:t xml:space="preserve"> </w:t>
      </w:r>
    </w:p>
    <w:p w14:paraId="04DE340C" w14:textId="77777777" w:rsidR="00562036" w:rsidRPr="001F5A1A" w:rsidRDefault="00562036" w:rsidP="00446F8F">
      <w:pPr>
        <w:pStyle w:val="ListParagraph"/>
        <w:numPr>
          <w:ilvl w:val="1"/>
          <w:numId w:val="2"/>
        </w:numPr>
        <w:spacing w:line="360" w:lineRule="auto"/>
        <w:jc w:val="both"/>
        <w:rPr>
          <w:rFonts w:ascii="Arial" w:hAnsi="Arial" w:cs="Arial"/>
          <w:b/>
        </w:rPr>
      </w:pPr>
      <w:r w:rsidRPr="001F5A1A">
        <w:rPr>
          <w:rFonts w:ascii="Arial" w:hAnsi="Arial" w:cs="Arial"/>
          <w:b/>
        </w:rPr>
        <w:t>Study of adsorption parameters</w:t>
      </w:r>
    </w:p>
    <w:p w14:paraId="5B7F7059" w14:textId="77777777" w:rsidR="00562036" w:rsidRPr="001F5A1A" w:rsidRDefault="00562036" w:rsidP="00446F8F">
      <w:pPr>
        <w:pStyle w:val="ListParagraph"/>
        <w:numPr>
          <w:ilvl w:val="2"/>
          <w:numId w:val="2"/>
        </w:numPr>
        <w:spacing w:line="360" w:lineRule="auto"/>
        <w:jc w:val="both"/>
        <w:rPr>
          <w:rFonts w:ascii="Arial" w:hAnsi="Arial" w:cs="Arial"/>
          <w:b/>
          <w:sz w:val="24"/>
        </w:rPr>
      </w:pPr>
      <w:r w:rsidRPr="001F5A1A">
        <w:rPr>
          <w:rFonts w:ascii="Arial" w:hAnsi="Arial" w:cs="Arial"/>
          <w:b/>
          <w:sz w:val="20"/>
          <w:szCs w:val="20"/>
        </w:rPr>
        <w:t>Effect of particles size</w:t>
      </w:r>
    </w:p>
    <w:p w14:paraId="4305E4D1" w14:textId="6494F799" w:rsidR="00A9296D" w:rsidRDefault="00F5524A" w:rsidP="00A7605C">
      <w:pPr>
        <w:spacing w:line="240" w:lineRule="auto"/>
        <w:jc w:val="both"/>
        <w:rPr>
          <w:rFonts w:ascii="Arial" w:hAnsi="Arial" w:cs="Arial"/>
          <w:sz w:val="20"/>
          <w:szCs w:val="20"/>
        </w:rPr>
      </w:pPr>
      <w:r w:rsidRPr="00F5524A">
        <w:rPr>
          <w:rFonts w:ascii="Arial" w:hAnsi="Arial" w:cs="Arial"/>
          <w:sz w:val="20"/>
          <w:szCs w:val="20"/>
        </w:rPr>
        <w:lastRenderedPageBreak/>
        <w:t>The batch process was used to study this parameter. Indeed, a volume of 25 mL of groundwater containing 151 ppm of total dissolved solids is brought into contact with 1 g of washed rice husk of the following particle sizes: 250-400, 400-500, 500-800</w:t>
      </w:r>
      <w:r>
        <w:rPr>
          <w:rFonts w:ascii="Arial" w:hAnsi="Arial" w:cs="Arial"/>
          <w:sz w:val="20"/>
          <w:szCs w:val="20"/>
        </w:rPr>
        <w:t xml:space="preserve"> </w:t>
      </w:r>
      <w:r>
        <w:rPr>
          <w:rFonts w:ascii="Arial" w:hAnsi="Arial" w:cs="Arial"/>
          <w:sz w:val="20"/>
        </w:rPr>
        <w:t>µ</w:t>
      </w:r>
      <w:r w:rsidRPr="00B46ACD">
        <w:rPr>
          <w:rFonts w:ascii="Arial" w:hAnsi="Arial" w:cs="Arial"/>
          <w:sz w:val="20"/>
        </w:rPr>
        <w:t>m</w:t>
      </w:r>
      <w:r w:rsidRPr="00F5524A">
        <w:rPr>
          <w:rFonts w:ascii="Arial" w:hAnsi="Arial" w:cs="Arial"/>
          <w:sz w:val="20"/>
          <w:szCs w:val="20"/>
        </w:rPr>
        <w:t>.</w:t>
      </w:r>
      <w:r>
        <w:rPr>
          <w:rFonts w:ascii="Arial" w:hAnsi="Arial" w:cs="Arial"/>
          <w:sz w:val="20"/>
          <w:szCs w:val="20"/>
        </w:rPr>
        <w:t xml:space="preserve"> </w:t>
      </w:r>
      <w:r w:rsidR="00D906F1" w:rsidRPr="00D906F1">
        <w:rPr>
          <w:rFonts w:ascii="Arial" w:hAnsi="Arial" w:cs="Arial"/>
          <w:sz w:val="20"/>
          <w:szCs w:val="20"/>
          <w:highlight w:val="yellow"/>
        </w:rPr>
        <w:t>S</w:t>
      </w:r>
      <w:r w:rsidR="00A9296D" w:rsidRPr="00D906F1">
        <w:rPr>
          <w:rFonts w:ascii="Arial" w:hAnsi="Arial" w:cs="Arial"/>
          <w:sz w:val="20"/>
          <w:szCs w:val="20"/>
          <w:highlight w:val="yellow"/>
        </w:rPr>
        <w:t>tirring for 30 minutes at 150 rpm and maintained at room temperature</w:t>
      </w:r>
      <w:r w:rsidR="00D906F1" w:rsidRPr="00D906F1">
        <w:rPr>
          <w:rFonts w:ascii="Arial" w:hAnsi="Arial" w:cs="Arial"/>
          <w:sz w:val="20"/>
          <w:szCs w:val="20"/>
          <w:highlight w:val="yellow"/>
        </w:rPr>
        <w:t xml:space="preserve"> was applied</w:t>
      </w:r>
      <w:r w:rsidR="00A9296D">
        <w:rPr>
          <w:rFonts w:ascii="Arial" w:hAnsi="Arial" w:cs="Arial"/>
          <w:sz w:val="20"/>
          <w:szCs w:val="20"/>
        </w:rPr>
        <w:t>.</w:t>
      </w:r>
      <w:r w:rsidR="00A9296D" w:rsidRPr="00A9296D">
        <w:rPr>
          <w:rFonts w:ascii="Arial" w:hAnsi="Arial" w:cs="Arial"/>
          <w:sz w:val="20"/>
          <w:szCs w:val="20"/>
        </w:rPr>
        <w:t xml:space="preserve"> </w:t>
      </w:r>
      <w:r w:rsidR="00A9296D">
        <w:rPr>
          <w:rFonts w:ascii="Arial" w:hAnsi="Arial" w:cs="Arial"/>
          <w:sz w:val="20"/>
          <w:szCs w:val="20"/>
        </w:rPr>
        <w:t>The equilibrium concentration</w:t>
      </w:r>
      <w:r w:rsidR="006D51EC">
        <w:rPr>
          <w:rFonts w:ascii="Arial" w:hAnsi="Arial" w:cs="Arial"/>
          <w:sz w:val="20"/>
          <w:szCs w:val="20"/>
        </w:rPr>
        <w:t xml:space="preserve"> </w:t>
      </w:r>
      <w:r w:rsidR="00A9296D">
        <w:rPr>
          <w:rFonts w:ascii="Arial" w:hAnsi="Arial" w:cs="Arial"/>
          <w:sz w:val="20"/>
          <w:szCs w:val="20"/>
        </w:rPr>
        <w:t xml:space="preserve">of TDS </w:t>
      </w:r>
      <w:r w:rsidR="006D51EC">
        <w:rPr>
          <w:rFonts w:ascii="Arial" w:hAnsi="Arial" w:cs="Arial"/>
          <w:sz w:val="20"/>
          <w:szCs w:val="20"/>
        </w:rPr>
        <w:t xml:space="preserve">(mg/L) </w:t>
      </w:r>
      <w:r w:rsidR="00A9296D">
        <w:rPr>
          <w:rFonts w:ascii="Arial" w:hAnsi="Arial" w:cs="Arial"/>
          <w:sz w:val="20"/>
          <w:szCs w:val="20"/>
        </w:rPr>
        <w:t xml:space="preserve">was measured using a </w:t>
      </w:r>
      <w:r w:rsidR="00E76A51">
        <w:rPr>
          <w:rFonts w:ascii="Arial" w:hAnsi="Arial" w:cs="Arial"/>
          <w:sz w:val="20"/>
          <w:szCs w:val="20"/>
        </w:rPr>
        <w:t>HI 2300 EC/TDS/NaCl meter (</w:t>
      </w:r>
      <w:r w:rsidR="00E76A51" w:rsidRPr="00E76A51">
        <w:rPr>
          <w:rFonts w:ascii="Arial" w:hAnsi="Arial" w:cs="Arial"/>
          <w:b/>
          <w:sz w:val="20"/>
          <w:szCs w:val="20"/>
        </w:rPr>
        <w:t>HANNA INSTRUMENTS</w:t>
      </w:r>
      <w:r w:rsidR="00E76A51">
        <w:rPr>
          <w:rFonts w:ascii="Arial" w:hAnsi="Arial" w:cs="Arial"/>
          <w:sz w:val="20"/>
          <w:szCs w:val="20"/>
        </w:rPr>
        <w:t>)</w:t>
      </w:r>
      <w:r w:rsidR="00A9296D">
        <w:rPr>
          <w:rFonts w:ascii="Arial" w:hAnsi="Arial" w:cs="Arial"/>
          <w:sz w:val="20"/>
          <w:szCs w:val="20"/>
        </w:rPr>
        <w:t>.</w:t>
      </w:r>
    </w:p>
    <w:p w14:paraId="542801A3" w14:textId="77777777" w:rsidR="00A9296D" w:rsidRPr="001F5A1A" w:rsidRDefault="00A9296D" w:rsidP="00446F8F">
      <w:pPr>
        <w:pStyle w:val="ListParagraph"/>
        <w:numPr>
          <w:ilvl w:val="2"/>
          <w:numId w:val="2"/>
        </w:numPr>
        <w:spacing w:line="360" w:lineRule="auto"/>
        <w:jc w:val="both"/>
        <w:rPr>
          <w:rFonts w:ascii="Arial" w:hAnsi="Arial" w:cs="Arial"/>
          <w:b/>
          <w:sz w:val="20"/>
          <w:szCs w:val="20"/>
        </w:rPr>
      </w:pPr>
      <w:r w:rsidRPr="001F5A1A">
        <w:rPr>
          <w:rFonts w:ascii="Arial" w:hAnsi="Arial" w:cs="Arial"/>
          <w:b/>
          <w:sz w:val="20"/>
          <w:szCs w:val="20"/>
        </w:rPr>
        <w:t>Effect of the adsorbent dose</w:t>
      </w:r>
    </w:p>
    <w:p w14:paraId="1DD3B0A5" w14:textId="77777777" w:rsidR="00A9296D" w:rsidRDefault="006D51EC" w:rsidP="00A7605C">
      <w:pPr>
        <w:spacing w:line="240" w:lineRule="auto"/>
        <w:jc w:val="both"/>
        <w:rPr>
          <w:rFonts w:ascii="Arial" w:hAnsi="Arial" w:cs="Arial"/>
          <w:sz w:val="20"/>
          <w:szCs w:val="20"/>
        </w:rPr>
      </w:pPr>
      <w:r>
        <w:rPr>
          <w:rFonts w:ascii="Arial" w:hAnsi="Arial" w:cs="Arial"/>
          <w:noProof/>
          <w:sz w:val="20"/>
          <w:szCs w:val="20"/>
          <w14:ligatures w14:val="none"/>
        </w:rPr>
        <mc:AlternateContent>
          <mc:Choice Requires="wps">
            <w:drawing>
              <wp:anchor distT="0" distB="0" distL="114300" distR="114300" simplePos="0" relativeHeight="251659264" behindDoc="0" locked="0" layoutInCell="1" allowOverlap="1" wp14:anchorId="536D22EF" wp14:editId="1CE1FEBF">
                <wp:simplePos x="0" y="0"/>
                <wp:positionH relativeFrom="column">
                  <wp:posOffset>4188460</wp:posOffset>
                </wp:positionH>
                <wp:positionV relativeFrom="paragraph">
                  <wp:posOffset>725170</wp:posOffset>
                </wp:positionV>
                <wp:extent cx="914400" cy="28956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914400" cy="289560"/>
                        </a:xfrm>
                        <a:prstGeom prst="rect">
                          <a:avLst/>
                        </a:prstGeom>
                        <a:solidFill>
                          <a:schemeClr val="lt1"/>
                        </a:solidFill>
                        <a:ln w="6350">
                          <a:noFill/>
                        </a:ln>
                      </wps:spPr>
                      <wps:txbx>
                        <w:txbxContent>
                          <w:p w14:paraId="5CFBFBB2" w14:textId="77777777" w:rsidR="00163626" w:rsidRPr="006D51EC" w:rsidRDefault="00163626">
                            <w:pPr>
                              <w:rPr>
                                <w:rFonts w:ascii="Arial" w:hAnsi="Arial" w:cs="Arial"/>
                                <w:b/>
                                <w:sz w:val="20"/>
                              </w:rPr>
                            </w:pPr>
                            <w:r w:rsidRPr="006D51EC">
                              <w:rPr>
                                <w:rFonts w:ascii="Arial" w:hAnsi="Arial" w:cs="Arial"/>
                                <w:b/>
                                <w:sz w:val="20"/>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6D22EF" id="_x0000_t202" coordsize="21600,21600" o:spt="202" path="m,l,21600r21600,l21600,xe">
                <v:stroke joinstyle="miter"/>
                <v:path gradientshapeok="t" o:connecttype="rect"/>
              </v:shapetype>
              <v:shape id="Zone de texte 3" o:spid="_x0000_s1026" type="#_x0000_t202" style="position:absolute;left:0;text-align:left;margin-left:329.8pt;margin-top:57.1pt;width:1in;height:22.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" fillcolor="white [3201]" stroked="f" strokeweight=".5pt">
                <v:textbox>
                  <w:txbxContent>
                    <w:p w14:paraId="5CFBFBB2" w14:textId="77777777" w:rsidR="00163626" w:rsidRPr="006D51EC" w:rsidRDefault="00163626">
                      <w:pPr>
                        <w:rPr>
                          <w:rFonts w:ascii="Arial" w:hAnsi="Arial" w:cs="Arial"/>
                          <w:b/>
                          <w:sz w:val="20"/>
                        </w:rPr>
                      </w:pPr>
                      <w:r w:rsidRPr="006D51EC">
                        <w:rPr>
                          <w:rFonts w:ascii="Arial" w:hAnsi="Arial" w:cs="Arial"/>
                          <w:b/>
                          <w:sz w:val="20"/>
                        </w:rPr>
                        <w:t>(1)</w:t>
                      </w:r>
                    </w:p>
                  </w:txbxContent>
                </v:textbox>
              </v:shape>
            </w:pict>
          </mc:Fallback>
        </mc:AlternateContent>
      </w:r>
      <w:r w:rsidR="00A9296D">
        <w:rPr>
          <w:rFonts w:ascii="Arial" w:hAnsi="Arial" w:cs="Arial"/>
          <w:sz w:val="20"/>
          <w:szCs w:val="20"/>
        </w:rPr>
        <w:t>Different mass of washed rice husk consisting</w:t>
      </w:r>
      <w:bookmarkStart w:id="1" w:name="_Hlk205643990"/>
      <w:r w:rsidR="005F4802">
        <w:rPr>
          <w:rFonts w:ascii="Arial" w:hAnsi="Arial" w:cs="Arial"/>
          <w:sz w:val="20"/>
          <w:szCs w:val="20"/>
        </w:rPr>
        <w:t xml:space="preserve"> </w:t>
      </w:r>
      <w:r w:rsidR="00A57895">
        <w:rPr>
          <w:rFonts w:ascii="Arial" w:hAnsi="Arial" w:cs="Arial"/>
          <w:sz w:val="20"/>
          <w:szCs w:val="20"/>
        </w:rPr>
        <w:t>0.25; 0.5</w:t>
      </w:r>
      <w:r w:rsidR="005F4802">
        <w:rPr>
          <w:rFonts w:ascii="Arial" w:hAnsi="Arial" w:cs="Arial"/>
          <w:sz w:val="20"/>
          <w:szCs w:val="20"/>
        </w:rPr>
        <w:t>0</w:t>
      </w:r>
      <w:r w:rsidR="00A57895">
        <w:rPr>
          <w:rFonts w:ascii="Arial" w:hAnsi="Arial" w:cs="Arial"/>
          <w:sz w:val="20"/>
          <w:szCs w:val="20"/>
        </w:rPr>
        <w:t>; 1.00; 1.5</w:t>
      </w:r>
      <w:r w:rsidR="005F4802">
        <w:rPr>
          <w:rFonts w:ascii="Arial" w:hAnsi="Arial" w:cs="Arial"/>
          <w:sz w:val="20"/>
          <w:szCs w:val="20"/>
        </w:rPr>
        <w:t>0</w:t>
      </w:r>
      <w:r w:rsidR="00A57895">
        <w:rPr>
          <w:rFonts w:ascii="Arial" w:hAnsi="Arial" w:cs="Arial"/>
          <w:sz w:val="20"/>
          <w:szCs w:val="20"/>
        </w:rPr>
        <w:t xml:space="preserve">; </w:t>
      </w:r>
      <w:r w:rsidR="005F4802">
        <w:rPr>
          <w:rFonts w:ascii="Arial" w:hAnsi="Arial" w:cs="Arial"/>
          <w:sz w:val="20"/>
          <w:szCs w:val="20"/>
        </w:rPr>
        <w:t xml:space="preserve">2.00; </w:t>
      </w:r>
      <w:r w:rsidR="00A57895">
        <w:rPr>
          <w:rFonts w:ascii="Arial" w:hAnsi="Arial" w:cs="Arial"/>
          <w:sz w:val="20"/>
          <w:szCs w:val="20"/>
        </w:rPr>
        <w:t>2.</w:t>
      </w:r>
      <w:r w:rsidR="005F4802">
        <w:rPr>
          <w:rFonts w:ascii="Arial" w:hAnsi="Arial" w:cs="Arial"/>
          <w:sz w:val="20"/>
          <w:szCs w:val="20"/>
        </w:rPr>
        <w:t>5</w:t>
      </w:r>
      <w:r w:rsidR="00A57895">
        <w:rPr>
          <w:rFonts w:ascii="Arial" w:hAnsi="Arial" w:cs="Arial"/>
          <w:sz w:val="20"/>
          <w:szCs w:val="20"/>
        </w:rPr>
        <w:t>0</w:t>
      </w:r>
      <w:r w:rsidR="005F4802">
        <w:rPr>
          <w:rFonts w:ascii="Arial" w:hAnsi="Arial" w:cs="Arial"/>
          <w:sz w:val="20"/>
          <w:szCs w:val="20"/>
        </w:rPr>
        <w:t xml:space="preserve">; 3.00 </w:t>
      </w:r>
      <w:r w:rsidR="00A57895">
        <w:rPr>
          <w:rFonts w:ascii="Arial" w:hAnsi="Arial" w:cs="Arial"/>
          <w:sz w:val="20"/>
          <w:szCs w:val="20"/>
        </w:rPr>
        <w:t xml:space="preserve">and </w:t>
      </w:r>
      <w:r w:rsidR="005F4802">
        <w:rPr>
          <w:rFonts w:ascii="Arial" w:hAnsi="Arial" w:cs="Arial"/>
          <w:sz w:val="20"/>
          <w:szCs w:val="20"/>
        </w:rPr>
        <w:t>3</w:t>
      </w:r>
      <w:r w:rsidR="00A57895">
        <w:rPr>
          <w:rFonts w:ascii="Arial" w:hAnsi="Arial" w:cs="Arial"/>
          <w:sz w:val="20"/>
          <w:szCs w:val="20"/>
        </w:rPr>
        <w:t>.</w:t>
      </w:r>
      <w:r w:rsidR="005F4802">
        <w:rPr>
          <w:rFonts w:ascii="Arial" w:hAnsi="Arial" w:cs="Arial"/>
          <w:sz w:val="20"/>
          <w:szCs w:val="20"/>
        </w:rPr>
        <w:t>25</w:t>
      </w:r>
      <w:r w:rsidR="00A57895">
        <w:rPr>
          <w:rFonts w:ascii="Arial" w:hAnsi="Arial" w:cs="Arial"/>
          <w:sz w:val="20"/>
          <w:szCs w:val="20"/>
        </w:rPr>
        <w:t xml:space="preserve"> </w:t>
      </w:r>
      <w:bookmarkEnd w:id="1"/>
      <w:r w:rsidR="002A3484">
        <w:rPr>
          <w:rFonts w:ascii="Arial" w:hAnsi="Arial" w:cs="Arial"/>
          <w:sz w:val="20"/>
          <w:szCs w:val="20"/>
        </w:rPr>
        <w:t xml:space="preserve">g </w:t>
      </w:r>
      <w:r w:rsidR="00A57895">
        <w:rPr>
          <w:rFonts w:ascii="Arial" w:hAnsi="Arial" w:cs="Arial"/>
          <w:sz w:val="20"/>
          <w:szCs w:val="20"/>
        </w:rPr>
        <w:t xml:space="preserve">were weighed. </w:t>
      </w:r>
      <w:r w:rsidR="00A57895" w:rsidRPr="00A57895">
        <w:rPr>
          <w:rFonts w:ascii="Arial" w:hAnsi="Arial" w:cs="Arial"/>
          <w:sz w:val="20"/>
          <w:szCs w:val="20"/>
        </w:rPr>
        <w:t>Each mass is contacted with 25 ml of groundwater containing 151 ppm TDS. Stirring is maintained at 300 rpm for 5 min, then at 200 rpm for 25 min.</w:t>
      </w:r>
      <w:r w:rsidR="00FD099D">
        <w:rPr>
          <w:rFonts w:ascii="Arial" w:hAnsi="Arial" w:cs="Arial"/>
          <w:sz w:val="20"/>
          <w:szCs w:val="20"/>
        </w:rPr>
        <w:t xml:space="preserve"> The </w:t>
      </w:r>
      <w:r>
        <w:rPr>
          <w:rFonts w:ascii="Arial" w:hAnsi="Arial" w:cs="Arial"/>
          <w:sz w:val="20"/>
          <w:szCs w:val="20"/>
        </w:rPr>
        <w:t>percentage</w:t>
      </w:r>
      <w:r w:rsidR="00FD099D">
        <w:rPr>
          <w:rFonts w:ascii="Arial" w:hAnsi="Arial" w:cs="Arial"/>
          <w:sz w:val="20"/>
          <w:szCs w:val="20"/>
        </w:rPr>
        <w:t xml:space="preserve"> of TDS uptake at the equilibrium was calculated using the following equation:</w:t>
      </w:r>
    </w:p>
    <w:p w14:paraId="5D2C6908" w14:textId="601B68C7" w:rsidR="007A2AB8" w:rsidRDefault="007A2AB8" w:rsidP="00A7605C">
      <w:pPr>
        <w:spacing w:line="240" w:lineRule="auto"/>
        <w:jc w:val="center"/>
        <w:rPr>
          <w:rFonts w:ascii="Arial" w:hAnsi="Arial" w:cs="Arial"/>
          <w:sz w:val="20"/>
          <w:szCs w:val="20"/>
        </w:rPr>
      </w:pPr>
      <m:oMathPara>
        <m:oMath>
          <m:r>
            <w:rPr>
              <w:rFonts w:ascii="Cambria Math" w:hAnsi="Cambria Math" w:cs="Arial"/>
              <w:sz w:val="20"/>
              <w:szCs w:val="20"/>
            </w:rPr>
            <m:t>R</m:t>
          </m:r>
          <m:d>
            <m:dPr>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m:t>
          </m:r>
          <m:f>
            <m:fPr>
              <m:ctrlPr>
                <w:rPr>
                  <w:rFonts w:ascii="Cambria Math" w:hAnsi="Cambria Math" w:cs="Arial"/>
                  <w:i/>
                  <w:sz w:val="20"/>
                  <w:szCs w:val="20"/>
                </w:rPr>
              </m:ctrlPr>
            </m:fPr>
            <m:num>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e</m:t>
                      </m:r>
                    </m:sub>
                  </m:sSub>
                </m:e>
              </m:d>
              <m:r>
                <w:rPr>
                  <w:rFonts w:ascii="Cambria Math" w:hAnsi="Cambria Math" w:cs="Arial"/>
                  <w:sz w:val="20"/>
                  <w:szCs w:val="20"/>
                </w:rPr>
                <m:t>×100</m:t>
              </m:r>
            </m:num>
            <m:den>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0</m:t>
                  </m:r>
                </m:sub>
              </m:sSub>
            </m:den>
          </m:f>
        </m:oMath>
      </m:oMathPara>
    </w:p>
    <w:p w14:paraId="0BC62F80" w14:textId="77777777" w:rsidR="007233C4" w:rsidRPr="007233C4" w:rsidRDefault="007233C4" w:rsidP="00A7605C">
      <w:pPr>
        <w:spacing w:line="240" w:lineRule="auto"/>
        <w:jc w:val="both"/>
        <w:rPr>
          <w:rFonts w:ascii="Arial" w:hAnsi="Arial" w:cs="Arial"/>
          <w:sz w:val="20"/>
          <w:szCs w:val="20"/>
        </w:rPr>
      </w:pPr>
      <w:r w:rsidRPr="007233C4">
        <w:rPr>
          <w:rFonts w:ascii="Arial" w:hAnsi="Arial" w:cs="Arial"/>
          <w:sz w:val="20"/>
          <w:szCs w:val="20"/>
        </w:rPr>
        <w:t xml:space="preserve">Where </w:t>
      </w:r>
      <w:r>
        <w:rPr>
          <w:rFonts w:ascii="Arial" w:hAnsi="Arial" w:cs="Arial"/>
          <w:sz w:val="20"/>
          <w:szCs w:val="20"/>
        </w:rPr>
        <w:t>C</w:t>
      </w:r>
      <w:r w:rsidRPr="007233C4">
        <w:rPr>
          <w:rFonts w:ascii="Arial" w:hAnsi="Arial" w:cs="Arial"/>
          <w:sz w:val="20"/>
          <w:szCs w:val="20"/>
          <w:vertAlign w:val="subscript"/>
        </w:rPr>
        <w:t>0</w:t>
      </w:r>
      <w:r>
        <w:rPr>
          <w:rFonts w:ascii="Arial" w:hAnsi="Arial" w:cs="Arial"/>
          <w:sz w:val="20"/>
          <w:szCs w:val="20"/>
        </w:rPr>
        <w:t xml:space="preserve"> and C</w:t>
      </w:r>
      <w:r w:rsidRPr="007233C4">
        <w:rPr>
          <w:rFonts w:ascii="Arial" w:hAnsi="Arial" w:cs="Arial"/>
          <w:sz w:val="20"/>
          <w:szCs w:val="20"/>
          <w:vertAlign w:val="subscript"/>
        </w:rPr>
        <w:t>e</w:t>
      </w:r>
      <w:r>
        <w:rPr>
          <w:rFonts w:ascii="Arial" w:hAnsi="Arial" w:cs="Arial"/>
          <w:sz w:val="20"/>
          <w:szCs w:val="20"/>
        </w:rPr>
        <w:t xml:space="preserve"> are the initial and equilibrium concentrations respectively (mg/L)</w:t>
      </w:r>
      <w:r w:rsidR="00895CAF">
        <w:rPr>
          <w:rFonts w:ascii="Arial" w:hAnsi="Arial" w:cs="Arial"/>
          <w:sz w:val="20"/>
          <w:szCs w:val="20"/>
        </w:rPr>
        <w:t>.</w:t>
      </w:r>
    </w:p>
    <w:p w14:paraId="4D1901F0" w14:textId="77777777" w:rsidR="007233C4" w:rsidRDefault="007233C4" w:rsidP="00446F8F">
      <w:pPr>
        <w:spacing w:line="360" w:lineRule="auto"/>
        <w:jc w:val="both"/>
        <w:rPr>
          <w:rFonts w:ascii="Arial" w:hAnsi="Arial" w:cs="Arial"/>
          <w:b/>
          <w:sz w:val="20"/>
          <w:szCs w:val="20"/>
        </w:rPr>
      </w:pPr>
    </w:p>
    <w:p w14:paraId="536C361E" w14:textId="77777777" w:rsidR="007A2AB8" w:rsidRPr="001F5A1A" w:rsidRDefault="006D51EC" w:rsidP="00446F8F">
      <w:pPr>
        <w:pStyle w:val="ListParagraph"/>
        <w:numPr>
          <w:ilvl w:val="2"/>
          <w:numId w:val="2"/>
        </w:numPr>
        <w:spacing w:line="360" w:lineRule="auto"/>
        <w:jc w:val="both"/>
        <w:rPr>
          <w:rFonts w:ascii="Arial" w:hAnsi="Arial" w:cs="Arial"/>
          <w:b/>
          <w:sz w:val="20"/>
          <w:szCs w:val="20"/>
        </w:rPr>
      </w:pPr>
      <w:r w:rsidRPr="001F5A1A">
        <w:rPr>
          <w:rFonts w:ascii="Arial" w:hAnsi="Arial" w:cs="Arial"/>
          <w:b/>
          <w:sz w:val="20"/>
          <w:szCs w:val="20"/>
        </w:rPr>
        <w:t>Effect of the initial concentration</w:t>
      </w:r>
    </w:p>
    <w:p w14:paraId="7965063F" w14:textId="77777777" w:rsidR="007A2AB8" w:rsidRDefault="0092398C" w:rsidP="00A7605C">
      <w:pPr>
        <w:spacing w:line="240" w:lineRule="auto"/>
        <w:jc w:val="both"/>
        <w:rPr>
          <w:rFonts w:ascii="Arial" w:hAnsi="Arial" w:cs="Arial"/>
          <w:sz w:val="20"/>
          <w:szCs w:val="20"/>
        </w:rPr>
      </w:pPr>
      <w:r>
        <w:rPr>
          <w:rFonts w:ascii="Arial" w:hAnsi="Arial" w:cs="Arial"/>
          <w:noProof/>
          <w:sz w:val="20"/>
          <w:szCs w:val="20"/>
          <w14:ligatures w14:val="none"/>
        </w:rPr>
        <mc:AlternateContent>
          <mc:Choice Requires="wps">
            <w:drawing>
              <wp:anchor distT="0" distB="0" distL="114300" distR="114300" simplePos="0" relativeHeight="251661312" behindDoc="0" locked="0" layoutInCell="1" allowOverlap="1" wp14:anchorId="24F6A9A6" wp14:editId="25D70AFD">
                <wp:simplePos x="0" y="0"/>
                <wp:positionH relativeFrom="column">
                  <wp:posOffset>4190365</wp:posOffset>
                </wp:positionH>
                <wp:positionV relativeFrom="paragraph">
                  <wp:posOffset>1090930</wp:posOffset>
                </wp:positionV>
                <wp:extent cx="914400" cy="23622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914400" cy="236220"/>
                        </a:xfrm>
                        <a:prstGeom prst="rect">
                          <a:avLst/>
                        </a:prstGeom>
                        <a:solidFill>
                          <a:sysClr val="window" lastClr="FFFFFF"/>
                        </a:solidFill>
                        <a:ln w="6350">
                          <a:noFill/>
                        </a:ln>
                      </wps:spPr>
                      <wps:txbx>
                        <w:txbxContent>
                          <w:p w14:paraId="24F16E43" w14:textId="77777777" w:rsidR="00163626" w:rsidRPr="006D51EC" w:rsidRDefault="00163626" w:rsidP="0092398C">
                            <w:pPr>
                              <w:rPr>
                                <w:rFonts w:ascii="Arial" w:hAnsi="Arial" w:cs="Arial"/>
                                <w:b/>
                                <w:sz w:val="20"/>
                              </w:rPr>
                            </w:pPr>
                            <w:r w:rsidRPr="006D51EC">
                              <w:rPr>
                                <w:rFonts w:ascii="Arial" w:hAnsi="Arial" w:cs="Arial"/>
                                <w:b/>
                                <w:sz w:val="20"/>
                              </w:rPr>
                              <w:t>(</w:t>
                            </w:r>
                            <w:r>
                              <w:rPr>
                                <w:rFonts w:ascii="Arial" w:hAnsi="Arial" w:cs="Arial"/>
                                <w:b/>
                                <w:sz w:val="20"/>
                              </w:rPr>
                              <w:t>2</w:t>
                            </w:r>
                            <w:r w:rsidRPr="006D51EC">
                              <w:rPr>
                                <w:rFonts w:ascii="Arial" w:hAnsi="Arial" w:cs="Arial"/>
                                <w:b/>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F6A9A6" id="Zone de texte 4" o:spid="_x0000_s1027" type="#_x0000_t202" style="position:absolute;left:0;text-align:left;margin-left:329.95pt;margin-top:85.9pt;width:1in;height:18.6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" fillcolor="window" stroked="f" strokeweight=".5pt">
                <v:textbox>
                  <w:txbxContent>
                    <w:p w14:paraId="24F16E43" w14:textId="77777777" w:rsidR="00163626" w:rsidRPr="006D51EC" w:rsidRDefault="00163626" w:rsidP="0092398C">
                      <w:pPr>
                        <w:rPr>
                          <w:rFonts w:ascii="Arial" w:hAnsi="Arial" w:cs="Arial"/>
                          <w:b/>
                          <w:sz w:val="20"/>
                        </w:rPr>
                      </w:pPr>
                      <w:r w:rsidRPr="006D51EC">
                        <w:rPr>
                          <w:rFonts w:ascii="Arial" w:hAnsi="Arial" w:cs="Arial"/>
                          <w:b/>
                          <w:sz w:val="20"/>
                        </w:rPr>
                        <w:t>(</w:t>
                      </w:r>
                      <w:r>
                        <w:rPr>
                          <w:rFonts w:ascii="Arial" w:hAnsi="Arial" w:cs="Arial"/>
                          <w:b/>
                          <w:sz w:val="20"/>
                        </w:rPr>
                        <w:t>2</w:t>
                      </w:r>
                      <w:r w:rsidRPr="006D51EC">
                        <w:rPr>
                          <w:rFonts w:ascii="Arial" w:hAnsi="Arial" w:cs="Arial"/>
                          <w:b/>
                          <w:sz w:val="20"/>
                        </w:rPr>
                        <w:t>)</w:t>
                      </w:r>
                    </w:p>
                  </w:txbxContent>
                </v:textbox>
              </v:shape>
            </w:pict>
          </mc:Fallback>
        </mc:AlternateContent>
      </w:r>
      <w:r w:rsidR="00F16050" w:rsidRPr="00F16050">
        <w:rPr>
          <w:rFonts w:ascii="Arial" w:hAnsi="Arial" w:cs="Arial"/>
          <w:sz w:val="20"/>
          <w:szCs w:val="20"/>
        </w:rPr>
        <w:t>The effects of initial TDS concentration were studied by varying the initial concentration by adding a well-adjusted mass of kaolinite</w:t>
      </w:r>
      <w:r w:rsidR="005F4802">
        <w:rPr>
          <w:rFonts w:ascii="Arial" w:hAnsi="Arial" w:cs="Arial"/>
          <w:sz w:val="20"/>
          <w:szCs w:val="20"/>
        </w:rPr>
        <w:t xml:space="preserve"> </w:t>
      </w:r>
      <w:r w:rsidR="005F4802" w:rsidRPr="005F4802">
        <w:rPr>
          <w:rFonts w:ascii="Arial" w:hAnsi="Arial" w:cs="Arial"/>
          <w:sz w:val="20"/>
          <w:szCs w:val="20"/>
        </w:rPr>
        <w:t>0.125; 0.25; 0.75; 1.00; 1.25; 1.25; 1.50; 2.00 and 2.50</w:t>
      </w:r>
      <w:r w:rsidR="002A3484">
        <w:rPr>
          <w:rFonts w:ascii="Arial" w:hAnsi="Arial" w:cs="Arial"/>
          <w:sz w:val="20"/>
          <w:szCs w:val="20"/>
        </w:rPr>
        <w:t xml:space="preserve"> g</w:t>
      </w:r>
      <w:r w:rsidR="005F4802" w:rsidRPr="005F4802">
        <w:rPr>
          <w:rFonts w:ascii="Arial" w:hAnsi="Arial" w:cs="Arial"/>
          <w:sz w:val="20"/>
          <w:szCs w:val="20"/>
        </w:rPr>
        <w:t xml:space="preserve"> </w:t>
      </w:r>
      <w:r w:rsidR="00F16050" w:rsidRPr="00F16050">
        <w:rPr>
          <w:rFonts w:ascii="Arial" w:hAnsi="Arial" w:cs="Arial"/>
          <w:sz w:val="20"/>
          <w:szCs w:val="20"/>
        </w:rPr>
        <w:t xml:space="preserve">into a volume </w:t>
      </w:r>
      <w:r w:rsidR="005F4802" w:rsidRPr="00F16050">
        <w:rPr>
          <w:rFonts w:ascii="Arial" w:hAnsi="Arial" w:cs="Arial"/>
          <w:sz w:val="20"/>
          <w:szCs w:val="20"/>
        </w:rPr>
        <w:t>5</w:t>
      </w:r>
      <w:r w:rsidR="005F4802">
        <w:rPr>
          <w:rFonts w:ascii="Arial" w:hAnsi="Arial" w:cs="Arial"/>
          <w:sz w:val="20"/>
          <w:szCs w:val="20"/>
        </w:rPr>
        <w:t>0</w:t>
      </w:r>
      <w:r w:rsidR="005F4802" w:rsidRPr="00F16050">
        <w:rPr>
          <w:rFonts w:ascii="Arial" w:hAnsi="Arial" w:cs="Arial"/>
          <w:sz w:val="20"/>
          <w:szCs w:val="20"/>
        </w:rPr>
        <w:t xml:space="preserve"> mL </w:t>
      </w:r>
      <w:r w:rsidR="00F16050" w:rsidRPr="00F16050">
        <w:rPr>
          <w:rFonts w:ascii="Arial" w:hAnsi="Arial" w:cs="Arial"/>
          <w:sz w:val="20"/>
          <w:szCs w:val="20"/>
        </w:rPr>
        <w:t>of groundwater with an initial TDS concentration of 151 ppm.</w:t>
      </w:r>
      <w:r w:rsidR="00F16050">
        <w:rPr>
          <w:rFonts w:ascii="Arial" w:hAnsi="Arial" w:cs="Arial"/>
          <w:sz w:val="20"/>
          <w:szCs w:val="20"/>
        </w:rPr>
        <w:t xml:space="preserve"> </w:t>
      </w:r>
      <w:r w:rsidR="00FE56B1" w:rsidRPr="00FE56B1">
        <w:rPr>
          <w:rFonts w:ascii="Arial" w:hAnsi="Arial" w:cs="Arial"/>
          <w:sz w:val="20"/>
          <w:szCs w:val="20"/>
        </w:rPr>
        <w:t>A volume of 25 ml of the supernatant from each aliquot was taken to study the effect of concentration. A quantity of 0.25 g of washed rice husk was added to each Erlenmeyer flask and stirred at 200 rpm for 30 min.</w:t>
      </w:r>
      <w:r>
        <w:rPr>
          <w:rFonts w:ascii="Arial" w:hAnsi="Arial" w:cs="Arial"/>
          <w:sz w:val="20"/>
          <w:szCs w:val="20"/>
        </w:rPr>
        <w:t xml:space="preserve"> The </w:t>
      </w:r>
      <w:r w:rsidR="00895CAF">
        <w:rPr>
          <w:rFonts w:ascii="Arial" w:hAnsi="Arial" w:cs="Arial"/>
          <w:sz w:val="20"/>
          <w:szCs w:val="20"/>
        </w:rPr>
        <w:t xml:space="preserve">amount TDS </w:t>
      </w:r>
      <w:r w:rsidR="007233C4">
        <w:rPr>
          <w:rFonts w:ascii="Arial" w:hAnsi="Arial" w:cs="Arial"/>
          <w:sz w:val="20"/>
          <w:szCs w:val="20"/>
        </w:rPr>
        <w:t xml:space="preserve">uptaken </w:t>
      </w:r>
      <w:r w:rsidR="00895CAF">
        <w:rPr>
          <w:rFonts w:ascii="Arial" w:hAnsi="Arial" w:cs="Arial"/>
          <w:sz w:val="20"/>
          <w:szCs w:val="20"/>
        </w:rPr>
        <w:t xml:space="preserve">by rice husk </w:t>
      </w:r>
      <w:r>
        <w:rPr>
          <w:rFonts w:ascii="Arial" w:hAnsi="Arial" w:cs="Arial"/>
          <w:sz w:val="20"/>
          <w:szCs w:val="20"/>
        </w:rPr>
        <w:t>during the adsorption was calculated using the equation (2).</w:t>
      </w:r>
    </w:p>
    <w:p w14:paraId="33AD8790" w14:textId="77777777" w:rsidR="00FD099D" w:rsidRPr="007A2AB8" w:rsidRDefault="007A2AB8" w:rsidP="00A7605C">
      <w:pPr>
        <w:spacing w:line="240" w:lineRule="auto"/>
        <w:jc w:val="both"/>
        <w:rPr>
          <w:rFonts w:ascii="Arial" w:hAnsi="Arial" w:cs="Arial"/>
          <w:sz w:val="20"/>
          <w:szCs w:val="20"/>
        </w:rPr>
      </w:pPr>
      <m:oMathPara>
        <m:oMath>
          <m:r>
            <w:rPr>
              <w:rFonts w:ascii="Cambria Math" w:hAnsi="Cambria Math" w:cs="Arial"/>
              <w:sz w:val="24"/>
              <w:szCs w:val="20"/>
            </w:rPr>
            <m:t xml:space="preserve">Qe </m:t>
          </m:r>
          <m:d>
            <m:dPr>
              <m:ctrlPr>
                <w:rPr>
                  <w:rFonts w:ascii="Cambria Math" w:hAnsi="Cambria Math" w:cs="Arial"/>
                  <w:i/>
                  <w:sz w:val="24"/>
                  <w:szCs w:val="20"/>
                </w:rPr>
              </m:ctrlPr>
            </m:dPr>
            <m:e>
              <m:f>
                <m:fPr>
                  <m:ctrlPr>
                    <w:rPr>
                      <w:rFonts w:ascii="Cambria Math" w:hAnsi="Cambria Math" w:cs="Arial"/>
                      <w:i/>
                      <w:sz w:val="24"/>
                      <w:szCs w:val="20"/>
                    </w:rPr>
                  </m:ctrlPr>
                </m:fPr>
                <m:num>
                  <m:r>
                    <w:rPr>
                      <w:rFonts w:ascii="Cambria Math" w:hAnsi="Cambria Math" w:cs="Arial"/>
                      <w:sz w:val="24"/>
                      <w:szCs w:val="20"/>
                    </w:rPr>
                    <m:t>mg</m:t>
                  </m:r>
                </m:num>
                <m:den>
                  <m:r>
                    <w:rPr>
                      <w:rFonts w:ascii="Cambria Math" w:hAnsi="Cambria Math" w:cs="Arial"/>
                      <w:sz w:val="24"/>
                      <w:szCs w:val="20"/>
                    </w:rPr>
                    <m:t>g</m:t>
                  </m:r>
                </m:den>
              </m:f>
            </m:e>
          </m:d>
          <m:r>
            <w:rPr>
              <w:rFonts w:ascii="Cambria Math" w:hAnsi="Cambria Math" w:cs="Arial"/>
              <w:sz w:val="24"/>
              <w:szCs w:val="20"/>
            </w:rPr>
            <m:t>=</m:t>
          </m:r>
          <m:f>
            <m:fPr>
              <m:ctrlPr>
                <w:rPr>
                  <w:rFonts w:ascii="Cambria Math" w:hAnsi="Cambria Math" w:cs="Arial"/>
                  <w:i/>
                  <w:sz w:val="24"/>
                  <w:szCs w:val="20"/>
                </w:rPr>
              </m:ctrlPr>
            </m:fPr>
            <m:num>
              <m:d>
                <m:dPr>
                  <m:ctrlPr>
                    <w:rPr>
                      <w:rFonts w:ascii="Cambria Math" w:hAnsi="Cambria Math" w:cs="Arial"/>
                      <w:i/>
                      <w:sz w:val="24"/>
                      <w:szCs w:val="20"/>
                    </w:rPr>
                  </m:ctrlPr>
                </m:dPr>
                <m:e>
                  <m:sSub>
                    <m:sSubPr>
                      <m:ctrlPr>
                        <w:rPr>
                          <w:rFonts w:ascii="Cambria Math" w:hAnsi="Cambria Math" w:cs="Arial"/>
                          <w:i/>
                          <w:sz w:val="24"/>
                          <w:szCs w:val="20"/>
                        </w:rPr>
                      </m:ctrlPr>
                    </m:sSubPr>
                    <m:e>
                      <m:r>
                        <w:rPr>
                          <w:rFonts w:ascii="Cambria Math" w:hAnsi="Cambria Math" w:cs="Arial"/>
                          <w:sz w:val="24"/>
                          <w:szCs w:val="20"/>
                        </w:rPr>
                        <m:t>C</m:t>
                      </m:r>
                    </m:e>
                    <m:sub>
                      <m:r>
                        <w:rPr>
                          <w:rFonts w:ascii="Cambria Math" w:hAnsi="Cambria Math" w:cs="Arial"/>
                          <w:sz w:val="24"/>
                          <w:szCs w:val="20"/>
                        </w:rPr>
                        <m:t>0</m:t>
                      </m:r>
                    </m:sub>
                  </m:sSub>
                  <m:r>
                    <w:rPr>
                      <w:rFonts w:ascii="Cambria Math" w:hAnsi="Cambria Math" w:cs="Arial"/>
                      <w:sz w:val="24"/>
                      <w:szCs w:val="20"/>
                    </w:rPr>
                    <m:t xml:space="preserve">- </m:t>
                  </m:r>
                  <m:sSub>
                    <m:sSubPr>
                      <m:ctrlPr>
                        <w:rPr>
                          <w:rFonts w:ascii="Cambria Math" w:hAnsi="Cambria Math" w:cs="Arial"/>
                          <w:i/>
                          <w:sz w:val="24"/>
                          <w:szCs w:val="20"/>
                        </w:rPr>
                      </m:ctrlPr>
                    </m:sSubPr>
                    <m:e>
                      <m:r>
                        <w:rPr>
                          <w:rFonts w:ascii="Cambria Math" w:hAnsi="Cambria Math" w:cs="Arial"/>
                          <w:sz w:val="24"/>
                          <w:szCs w:val="20"/>
                        </w:rPr>
                        <m:t>C</m:t>
                      </m:r>
                    </m:e>
                    <m:sub>
                      <m:r>
                        <w:rPr>
                          <w:rFonts w:ascii="Cambria Math" w:hAnsi="Cambria Math" w:cs="Arial"/>
                          <w:sz w:val="24"/>
                          <w:szCs w:val="20"/>
                        </w:rPr>
                        <m:t>e</m:t>
                      </m:r>
                    </m:sub>
                  </m:sSub>
                </m:e>
              </m:d>
              <m:r>
                <w:rPr>
                  <w:rFonts w:ascii="Cambria Math" w:hAnsi="Cambria Math" w:cs="Arial"/>
                  <w:sz w:val="24"/>
                  <w:szCs w:val="20"/>
                </w:rPr>
                <m:t>x V</m:t>
              </m:r>
            </m:num>
            <m:den>
              <m:r>
                <w:rPr>
                  <w:rFonts w:ascii="Cambria Math" w:hAnsi="Cambria Math" w:cs="Arial"/>
                  <w:sz w:val="24"/>
                  <w:szCs w:val="20"/>
                </w:rPr>
                <m:t>m</m:t>
              </m:r>
            </m:den>
          </m:f>
        </m:oMath>
      </m:oMathPara>
    </w:p>
    <w:p w14:paraId="23366FB6" w14:textId="77777777" w:rsidR="00A9296D" w:rsidRPr="00895CAF" w:rsidRDefault="00895CAF" w:rsidP="00A7605C">
      <w:pPr>
        <w:spacing w:line="240" w:lineRule="auto"/>
        <w:jc w:val="both"/>
        <w:rPr>
          <w:rFonts w:ascii="Arial" w:hAnsi="Arial" w:cs="Arial"/>
          <w:sz w:val="20"/>
          <w:szCs w:val="20"/>
        </w:rPr>
      </w:pPr>
      <w:r w:rsidRPr="00895CAF">
        <w:rPr>
          <w:rFonts w:ascii="Arial" w:hAnsi="Arial" w:cs="Arial"/>
          <w:sz w:val="20"/>
          <w:szCs w:val="20"/>
        </w:rPr>
        <w:t>Where</w:t>
      </w:r>
      <w:r>
        <w:rPr>
          <w:rFonts w:ascii="Arial" w:hAnsi="Arial" w:cs="Arial"/>
          <w:sz w:val="20"/>
          <w:szCs w:val="20"/>
        </w:rPr>
        <w:t xml:space="preserve"> V (mL) is the volume of supernatant taken for adsorption, m (g) is the mass of adsorbent used for </w:t>
      </w:r>
      <w:proofErr w:type="spellStart"/>
      <w:r>
        <w:rPr>
          <w:rFonts w:ascii="Arial" w:hAnsi="Arial" w:cs="Arial"/>
          <w:sz w:val="20"/>
          <w:szCs w:val="20"/>
        </w:rPr>
        <w:t>uptaking</w:t>
      </w:r>
      <w:proofErr w:type="spellEnd"/>
      <w:r>
        <w:rPr>
          <w:rFonts w:ascii="Arial" w:hAnsi="Arial" w:cs="Arial"/>
          <w:sz w:val="20"/>
          <w:szCs w:val="20"/>
        </w:rPr>
        <w:t xml:space="preserve"> and C</w:t>
      </w:r>
      <w:r w:rsidRPr="00895CAF">
        <w:rPr>
          <w:rFonts w:ascii="Arial" w:hAnsi="Arial" w:cs="Arial"/>
          <w:sz w:val="20"/>
          <w:szCs w:val="20"/>
          <w:vertAlign w:val="subscript"/>
        </w:rPr>
        <w:t>0</w:t>
      </w:r>
      <w:r>
        <w:rPr>
          <w:rFonts w:ascii="Arial" w:hAnsi="Arial" w:cs="Arial"/>
          <w:sz w:val="20"/>
          <w:szCs w:val="20"/>
        </w:rPr>
        <w:t>, C</w:t>
      </w:r>
      <w:r w:rsidRPr="00895CAF">
        <w:rPr>
          <w:rFonts w:ascii="Arial" w:hAnsi="Arial" w:cs="Arial"/>
          <w:sz w:val="20"/>
          <w:szCs w:val="20"/>
          <w:vertAlign w:val="subscript"/>
        </w:rPr>
        <w:t>e</w:t>
      </w:r>
      <w:r>
        <w:rPr>
          <w:rFonts w:ascii="Arial" w:hAnsi="Arial" w:cs="Arial"/>
          <w:sz w:val="20"/>
          <w:szCs w:val="20"/>
        </w:rPr>
        <w:t xml:space="preserve"> are defined in the equation (1). </w:t>
      </w:r>
    </w:p>
    <w:p w14:paraId="7A686F22" w14:textId="77777777" w:rsidR="00AB24BB" w:rsidRPr="001F5A1A" w:rsidRDefault="0092398C" w:rsidP="00446F8F">
      <w:pPr>
        <w:pStyle w:val="ListParagraph"/>
        <w:numPr>
          <w:ilvl w:val="2"/>
          <w:numId w:val="2"/>
        </w:numPr>
        <w:spacing w:line="360" w:lineRule="auto"/>
        <w:jc w:val="both"/>
        <w:rPr>
          <w:rFonts w:ascii="Arial" w:hAnsi="Arial" w:cs="Arial"/>
          <w:b/>
          <w:sz w:val="20"/>
          <w:szCs w:val="20"/>
        </w:rPr>
      </w:pPr>
      <w:r w:rsidRPr="001F5A1A">
        <w:rPr>
          <w:rFonts w:ascii="Arial" w:hAnsi="Arial" w:cs="Arial"/>
          <w:b/>
          <w:sz w:val="20"/>
          <w:szCs w:val="20"/>
        </w:rPr>
        <w:t xml:space="preserve">Effect of the contact time </w:t>
      </w:r>
    </w:p>
    <w:p w14:paraId="137C5946" w14:textId="3303779F" w:rsidR="00895CAF" w:rsidRDefault="0039236E" w:rsidP="00A7605C">
      <w:pPr>
        <w:spacing w:line="240" w:lineRule="auto"/>
        <w:jc w:val="both"/>
        <w:rPr>
          <w:rFonts w:ascii="Arial" w:hAnsi="Arial" w:cs="Arial"/>
          <w:sz w:val="20"/>
          <w:szCs w:val="20"/>
        </w:rPr>
      </w:pPr>
      <w:r w:rsidRPr="0039236E">
        <w:rPr>
          <w:rFonts w:ascii="Arial" w:hAnsi="Arial" w:cs="Arial"/>
          <w:sz w:val="20"/>
          <w:szCs w:val="20"/>
        </w:rPr>
        <w:t xml:space="preserve">The study of the effect of contact time on TDS adsorption was carried out by varying the </w:t>
      </w:r>
      <w:r w:rsidR="00F943A8">
        <w:rPr>
          <w:rFonts w:ascii="Arial" w:hAnsi="Arial" w:cs="Arial"/>
          <w:sz w:val="20"/>
          <w:szCs w:val="20"/>
        </w:rPr>
        <w:t>times</w:t>
      </w:r>
      <w:r w:rsidRPr="0039236E">
        <w:rPr>
          <w:rFonts w:ascii="Arial" w:hAnsi="Arial" w:cs="Arial"/>
          <w:sz w:val="20"/>
          <w:szCs w:val="20"/>
        </w:rPr>
        <w:t>: 10; 20; 30; 40; 50; 60; 70; 80; 90; 100; 120 min. The supernatant is collected, and then the equilibrium TDS is determined. The amount of TDS adsorbed (</w:t>
      </w:r>
      <w:r>
        <w:rPr>
          <w:rFonts w:ascii="Arial" w:hAnsi="Arial" w:cs="Arial"/>
          <w:sz w:val="20"/>
          <w:szCs w:val="20"/>
        </w:rPr>
        <w:t>Q</w:t>
      </w:r>
      <w:r w:rsidRPr="0039236E">
        <w:rPr>
          <w:rFonts w:ascii="Arial" w:hAnsi="Arial" w:cs="Arial"/>
          <w:sz w:val="20"/>
          <w:szCs w:val="20"/>
          <w:vertAlign w:val="subscript"/>
        </w:rPr>
        <w:t>t</w:t>
      </w:r>
      <w:r w:rsidRPr="0039236E">
        <w:rPr>
          <w:rFonts w:ascii="Arial" w:hAnsi="Arial" w:cs="Arial"/>
          <w:sz w:val="20"/>
          <w:szCs w:val="20"/>
        </w:rPr>
        <w:t xml:space="preserve">) </w:t>
      </w:r>
      <w:r w:rsidR="00892254">
        <w:rPr>
          <w:rFonts w:ascii="Arial" w:hAnsi="Arial" w:cs="Arial"/>
          <w:sz w:val="20"/>
          <w:szCs w:val="20"/>
        </w:rPr>
        <w:t xml:space="preserve">at given time </w:t>
      </w:r>
      <w:r w:rsidRPr="0039236E">
        <w:rPr>
          <w:rFonts w:ascii="Arial" w:hAnsi="Arial" w:cs="Arial"/>
          <w:sz w:val="20"/>
          <w:szCs w:val="20"/>
        </w:rPr>
        <w:t>is calculated using the equation (2).</w:t>
      </w:r>
    </w:p>
    <w:p w14:paraId="247997E4" w14:textId="77777777" w:rsidR="00895CAF" w:rsidRPr="001F5A1A" w:rsidRDefault="00895CAF" w:rsidP="00A7605C">
      <w:pPr>
        <w:pStyle w:val="ListParagraph"/>
        <w:numPr>
          <w:ilvl w:val="1"/>
          <w:numId w:val="2"/>
        </w:numPr>
        <w:spacing w:line="240" w:lineRule="auto"/>
        <w:jc w:val="both"/>
        <w:rPr>
          <w:rFonts w:ascii="Arial" w:hAnsi="Arial" w:cs="Arial"/>
          <w:b/>
          <w:sz w:val="20"/>
          <w:szCs w:val="20"/>
        </w:rPr>
      </w:pPr>
      <w:r w:rsidRPr="001F5A1A">
        <w:rPr>
          <w:rFonts w:ascii="Arial" w:hAnsi="Arial" w:cs="Arial"/>
          <w:b/>
          <w:sz w:val="20"/>
          <w:szCs w:val="20"/>
        </w:rPr>
        <w:t>Study of kinetic parameters</w:t>
      </w:r>
    </w:p>
    <w:p w14:paraId="67C4C7EA" w14:textId="549ED165" w:rsidR="00883818" w:rsidRDefault="002D11D3" w:rsidP="00A7605C">
      <w:pPr>
        <w:spacing w:line="240" w:lineRule="auto"/>
        <w:jc w:val="both"/>
        <w:rPr>
          <w:rFonts w:ascii="Arial" w:hAnsi="Arial" w:cs="Arial"/>
          <w:sz w:val="20"/>
          <w:szCs w:val="20"/>
        </w:rPr>
      </w:pPr>
      <w:r w:rsidRPr="00883818">
        <w:rPr>
          <w:rFonts w:ascii="Arial" w:hAnsi="Arial" w:cs="Arial"/>
          <w:sz w:val="20"/>
          <w:szCs w:val="20"/>
        </w:rPr>
        <w:t>In water effluent treatment, kinetic stud</w:t>
      </w:r>
      <w:r w:rsidR="007E5DA2">
        <w:rPr>
          <w:rFonts w:ascii="Arial" w:hAnsi="Arial" w:cs="Arial"/>
          <w:sz w:val="20"/>
          <w:szCs w:val="20"/>
        </w:rPr>
        <w:t>y</w:t>
      </w:r>
      <w:r w:rsidRPr="00883818">
        <w:rPr>
          <w:rFonts w:ascii="Arial" w:hAnsi="Arial" w:cs="Arial"/>
          <w:sz w:val="20"/>
          <w:szCs w:val="20"/>
        </w:rPr>
        <w:t xml:space="preserve"> play</w:t>
      </w:r>
      <w:r w:rsidR="007E5DA2">
        <w:rPr>
          <w:rFonts w:ascii="Arial" w:hAnsi="Arial" w:cs="Arial"/>
          <w:sz w:val="20"/>
          <w:szCs w:val="20"/>
        </w:rPr>
        <w:t>s</w:t>
      </w:r>
      <w:r w:rsidRPr="00883818">
        <w:rPr>
          <w:rFonts w:ascii="Arial" w:hAnsi="Arial" w:cs="Arial"/>
          <w:sz w:val="20"/>
          <w:szCs w:val="20"/>
        </w:rPr>
        <w:t xml:space="preserve"> a key role because they provide information on the mechanisms and reaction pathways of the adsorption process</w:t>
      </w:r>
      <w:r w:rsidR="005978B6">
        <w:rPr>
          <w:rFonts w:ascii="Arial" w:hAnsi="Arial" w:cs="Arial"/>
          <w:sz w:val="20"/>
          <w:szCs w:val="20"/>
        </w:rPr>
        <w:t xml:space="preserve"> </w:t>
      </w:r>
      <w:r w:rsidR="005978B6">
        <w:rPr>
          <w:rFonts w:ascii="Arial" w:hAnsi="Arial" w:cs="Arial"/>
          <w:sz w:val="20"/>
          <w:szCs w:val="20"/>
        </w:rPr>
        <w:fldChar w:fldCharType="begin"/>
      </w:r>
      <w:r w:rsidR="00B969D9">
        <w:rPr>
          <w:rFonts w:ascii="Arial" w:hAnsi="Arial" w:cs="Arial"/>
          <w:sz w:val="20"/>
          <w:szCs w:val="20"/>
        </w:rPr>
        <w:instrText xml:space="preserve"> ADDIN ZOTERO_ITEM CSL_CITATION {"citationID":"5zgaxoEd","properties":{"formattedCitation":"(Vaghetti et al. 2009)","plainCitation":"(Vaghetti et al. 2009)","dontUpdate":true,"noteIndex":0},"citationItems":[{"id":1394,"uris":["http://zotero.org/users/17766503/items/H4YCJK7M"],"itemData":{"id":1394,"type":"article-journal","abstract":"In the present study we reported for the first time, the feasibility of pecan nutshell (PNS-Carya illinoensis) as an alternative biosorbent to remove Cr(III), Fe(III) and Zn(II) metallic ions from aqueous solutions. The ability of PNS to remove these metallic ions was investigated by using batch biosorption procedure. The effects, such as pH and the biosorbent dosage on the adsorption capacities of PNS were studied. Five kinetic models were tested, the adsorption kinetics being the better fitted one to the fractionary-order kinetic model.","container-title":"Separation Science and Technology","DOI":"10.1080/01496390802634331","ISSN":"0149-6395, 1520-5754","issue":"3","journalAbbreviation":"Separation Science and Technology","language":"en","page":"615-644","source":"DOI.org (Crossref)","title":"Pecan Nutshell as Biosorbent to Remove Toxic Metals from Aqueous Solution","URL":"http://www.tandfonline.com/doi/abs/10.1080/01496390802634331","volume":"44","author":[{"family":"Vaghetti","given":"Julio C. P."},{"family":"Lima","given":"Eder C."},{"family":"Royer","given":"Betina"},{"family":"Cardoso","given":"Natali F."},{"family":"Martins","given":"Bruna"},{"family":"Calvete","given":"Tatiana"}],"accessed":{"date-parts":[["2025",8,25]]},"issued":{"date-parts":[["2009",2,3]]}}}],"schema":"https://github.com/citation-style-language/schema/raw/master/csl-citation.json"} </w:instrText>
      </w:r>
      <w:r w:rsidR="005978B6">
        <w:rPr>
          <w:rFonts w:ascii="Arial" w:hAnsi="Arial" w:cs="Arial"/>
          <w:sz w:val="20"/>
          <w:szCs w:val="20"/>
        </w:rPr>
        <w:fldChar w:fldCharType="separate"/>
      </w:r>
      <w:r w:rsidR="005978B6" w:rsidRPr="005978B6">
        <w:rPr>
          <w:rFonts w:ascii="Arial" w:hAnsi="Arial" w:cs="Arial"/>
          <w:sz w:val="20"/>
        </w:rPr>
        <w:t>(Vaghetti et al.</w:t>
      </w:r>
      <w:r w:rsidR="005978B6">
        <w:rPr>
          <w:rFonts w:ascii="Arial" w:hAnsi="Arial" w:cs="Arial"/>
          <w:sz w:val="20"/>
        </w:rPr>
        <w:t>,</w:t>
      </w:r>
      <w:r w:rsidR="005978B6" w:rsidRPr="005978B6">
        <w:rPr>
          <w:rFonts w:ascii="Arial" w:hAnsi="Arial" w:cs="Arial"/>
          <w:sz w:val="20"/>
        </w:rPr>
        <w:t xml:space="preserve"> 2009)</w:t>
      </w:r>
      <w:r w:rsidR="005978B6">
        <w:rPr>
          <w:rFonts w:ascii="Arial" w:hAnsi="Arial" w:cs="Arial"/>
          <w:sz w:val="20"/>
          <w:szCs w:val="20"/>
        </w:rPr>
        <w:fldChar w:fldCharType="end"/>
      </w:r>
      <w:r w:rsidRPr="00883818">
        <w:rPr>
          <w:rFonts w:ascii="Arial" w:hAnsi="Arial" w:cs="Arial"/>
          <w:sz w:val="20"/>
          <w:szCs w:val="20"/>
        </w:rPr>
        <w:t>.</w:t>
      </w:r>
      <w:r w:rsidR="00883818">
        <w:rPr>
          <w:rFonts w:ascii="Arial" w:hAnsi="Arial" w:cs="Arial"/>
          <w:sz w:val="20"/>
          <w:szCs w:val="20"/>
        </w:rPr>
        <w:t xml:space="preserve"> The two common models are used and the experimental data from the effects of contact time were used in this part. There are the </w:t>
      </w:r>
      <w:r w:rsidR="00883818" w:rsidRPr="00883818">
        <w:rPr>
          <w:rFonts w:ascii="Arial" w:hAnsi="Arial" w:cs="Arial"/>
          <w:sz w:val="20"/>
          <w:szCs w:val="20"/>
        </w:rPr>
        <w:t>pseudo-ﬁrst-order</w:t>
      </w:r>
      <w:r w:rsidR="00883818">
        <w:rPr>
          <w:rFonts w:ascii="Arial" w:hAnsi="Arial" w:cs="Arial"/>
          <w:sz w:val="20"/>
          <w:szCs w:val="20"/>
        </w:rPr>
        <w:t xml:space="preserve"> (3) and pseudo-second-order (4) models</w:t>
      </w:r>
      <w:r w:rsidR="005978B6">
        <w:rPr>
          <w:rFonts w:ascii="Arial" w:hAnsi="Arial" w:cs="Arial"/>
          <w:sz w:val="20"/>
          <w:szCs w:val="20"/>
        </w:rPr>
        <w:t xml:space="preserve"> </w:t>
      </w:r>
      <w:r w:rsidR="005978B6">
        <w:rPr>
          <w:rFonts w:ascii="Arial" w:hAnsi="Arial" w:cs="Arial"/>
          <w:sz w:val="20"/>
          <w:szCs w:val="20"/>
        </w:rPr>
        <w:fldChar w:fldCharType="begin"/>
      </w:r>
      <w:r w:rsidR="00B969D9">
        <w:rPr>
          <w:rFonts w:ascii="Arial" w:hAnsi="Arial" w:cs="Arial"/>
          <w:sz w:val="20"/>
          <w:szCs w:val="20"/>
        </w:rPr>
        <w:instrText xml:space="preserve"> ADDIN ZOTERO_ITEM CSL_CITATION {"citationID":"YYPCU3Hp","properties":{"formattedCitation":"(Ali et al. 2013)","plainCitation":"(Ali et al. 2013)","dontUpdate":true,"noteIndex":0},"citationItems":[{"id":1362,"uris":["http://zotero.org/users/local/emXCuEN0/items/54HSHH24","http://zotero.org/users/17766503/items/54HSHH24"],"itemData":{"id":1362,"type":"article-journal","abstract":"The present study reports the chemical modification of agricultural waste (rice straw) with urea using microwave radiation and the efficiency evaluation of this modified rice straw for the adsorption of a toxic heavy metal, cadmium. The elemental analysis of urea modified rice straw affirmed urea grafting on rice straw, and FTIR spectra of chemically benign modified adsorbent showed the presence of hydroxyl, carbonyl, and amino functional groups. Effects of process parameters (adsorbent dosage, contact time, agitation speed, pH, and temperature) were studied in batch mode. Parameters were optimized for the equilibrium study, and adsorption mechanism was elucidated using five mathematical models (Langmuir, Freundlich, Temkin, Harkin-Jura, and Dubinin-Radushkevich). Binding of Cd(II) ions on modified adsorbent followed Langmuir model, and the maximum uptake capacity was found to be 20.70 mg g\n              −1\n              . Kinetic modeling was done using six different kinetic models. The process was considered physisorption according to the obtained activation energy value. Thermodynamic parameters confirmed the process to be favorable and feasible. Exothermic nature of adsorption of Cd(II) ions on urea modified rice straw was confirmed by the negative value of Δ\n              H\n              °.","container-title":"Journal of Applied Chemistry","DOI":"10.1155/2013/417180","ISSN":"2314-6923","journalAbbreviation":"Journal of Applied Chemistry","language":"en","license":"http://creativecommons.org/licenses/by/3.0/","page":"1-12","source":"DOI.org (Crossref)","title":"Insight into Equilibrium and Kinetics of the Binding of Cadmium Ions on Radiation-Modified Straw from &lt;i&gt;Oryza sativa&lt;/i&gt;","URL":"https://www.hindawi.com/journals/jac/2013/417180/","volume":"2013","author":[{"family":"Ali","given":"Sana Zulfiqar"},{"family":"Athar","given":"Makshoof"},{"family":"Farooq","given":"Umar"},{"family":"Salman","given":"Muhammad"}],"accessed":{"date-parts":[["2025",8,11]]},"issued":{"date-parts":[["2013",7,30]]}}}],"schema":"https://github.com/citation-style-language/schema/raw/master/csl-citation.json"} </w:instrText>
      </w:r>
      <w:r w:rsidR="005978B6">
        <w:rPr>
          <w:rFonts w:ascii="Arial" w:hAnsi="Arial" w:cs="Arial"/>
          <w:sz w:val="20"/>
          <w:szCs w:val="20"/>
        </w:rPr>
        <w:fldChar w:fldCharType="separate"/>
      </w:r>
      <w:r w:rsidR="005978B6" w:rsidRPr="005978B6">
        <w:rPr>
          <w:rFonts w:ascii="Arial" w:hAnsi="Arial" w:cs="Arial"/>
          <w:sz w:val="20"/>
        </w:rPr>
        <w:t>(Ali et al.</w:t>
      </w:r>
      <w:r w:rsidR="00933BFC">
        <w:rPr>
          <w:rFonts w:ascii="Arial" w:hAnsi="Arial" w:cs="Arial"/>
          <w:sz w:val="20"/>
        </w:rPr>
        <w:t>,</w:t>
      </w:r>
      <w:r w:rsidR="005978B6" w:rsidRPr="005978B6">
        <w:rPr>
          <w:rFonts w:ascii="Arial" w:hAnsi="Arial" w:cs="Arial"/>
          <w:sz w:val="20"/>
        </w:rPr>
        <w:t xml:space="preserve"> 2013)</w:t>
      </w:r>
      <w:r w:rsidR="005978B6">
        <w:rPr>
          <w:rFonts w:ascii="Arial" w:hAnsi="Arial" w:cs="Arial"/>
          <w:sz w:val="20"/>
          <w:szCs w:val="20"/>
        </w:rPr>
        <w:fldChar w:fldCharType="end"/>
      </w:r>
      <w:r w:rsidR="00883818">
        <w:rPr>
          <w:rFonts w:ascii="Arial" w:hAnsi="Arial" w:cs="Arial"/>
          <w:sz w:val="20"/>
          <w:szCs w:val="20"/>
        </w:rPr>
        <w:t>.</w:t>
      </w:r>
    </w:p>
    <w:p w14:paraId="03363DCB" w14:textId="77777777" w:rsidR="00E32E52" w:rsidRDefault="00E32E52" w:rsidP="00A7605C">
      <w:pPr>
        <w:spacing w:line="240" w:lineRule="auto"/>
        <w:jc w:val="center"/>
        <w:rPr>
          <w:rFonts w:ascii="Arial" w:hAnsi="Arial" w:cs="Arial"/>
          <w:sz w:val="20"/>
          <w:szCs w:val="20"/>
        </w:rPr>
      </w:pPr>
      <w:r>
        <w:rPr>
          <w:rFonts w:ascii="Arial" w:hAnsi="Arial" w:cs="Arial"/>
          <w:noProof/>
          <w:sz w:val="20"/>
          <w:szCs w:val="20"/>
          <w14:ligatures w14:val="none"/>
        </w:rPr>
        <mc:AlternateContent>
          <mc:Choice Requires="wps">
            <w:drawing>
              <wp:anchor distT="0" distB="0" distL="114300" distR="114300" simplePos="0" relativeHeight="251662336" behindDoc="0" locked="0" layoutInCell="1" allowOverlap="1" wp14:anchorId="45CD62E7" wp14:editId="73580D55">
                <wp:simplePos x="0" y="0"/>
                <wp:positionH relativeFrom="column">
                  <wp:posOffset>4390390</wp:posOffset>
                </wp:positionH>
                <wp:positionV relativeFrom="paragraph">
                  <wp:posOffset>249555</wp:posOffset>
                </wp:positionV>
                <wp:extent cx="914400" cy="281940"/>
                <wp:effectExtent l="0" t="0" r="0" b="3810"/>
                <wp:wrapNone/>
                <wp:docPr id="5" name="Zone de texte 5"/>
                <wp:cNvGraphicFramePr/>
                <a:graphic xmlns:a="http://schemas.openxmlformats.org/drawingml/2006/main">
                  <a:graphicData uri="http://schemas.microsoft.com/office/word/2010/wordprocessingShape">
                    <wps:wsp>
                      <wps:cNvSpPr txBox="1"/>
                      <wps:spPr>
                        <a:xfrm>
                          <a:off x="0" y="0"/>
                          <a:ext cx="914400" cy="281940"/>
                        </a:xfrm>
                        <a:prstGeom prst="rect">
                          <a:avLst/>
                        </a:prstGeom>
                        <a:solidFill>
                          <a:schemeClr val="lt1"/>
                        </a:solidFill>
                        <a:ln w="6350">
                          <a:noFill/>
                        </a:ln>
                      </wps:spPr>
                      <wps:txbx>
                        <w:txbxContent>
                          <w:p w14:paraId="278F4494" w14:textId="77777777" w:rsidR="00163626" w:rsidRPr="00E32E52" w:rsidRDefault="00163626">
                            <w:pPr>
                              <w:rPr>
                                <w:b/>
                                <w:sz w:val="24"/>
                              </w:rPr>
                            </w:pPr>
                            <w:r w:rsidRPr="00E32E52">
                              <w:rPr>
                                <w:b/>
                                <w:sz w:val="24"/>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CD62E7" id="Zone de texte 5" o:spid="_x0000_s1028" type="#_x0000_t202" style="position:absolute;left:0;text-align:left;margin-left:345.7pt;margin-top:19.65pt;width:1in;height:22.2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" fillcolor="white [3201]" stroked="f" strokeweight=".5pt">
                <v:textbox>
                  <w:txbxContent>
                    <w:p w14:paraId="278F4494" w14:textId="77777777" w:rsidR="00163626" w:rsidRPr="00E32E52" w:rsidRDefault="00163626">
                      <w:pPr>
                        <w:rPr>
                          <w:b/>
                          <w:sz w:val="24"/>
                        </w:rPr>
                      </w:pPr>
                      <w:r w:rsidRPr="00E32E52">
                        <w:rPr>
                          <w:b/>
                          <w:sz w:val="24"/>
                        </w:rPr>
                        <w:t>(3)</w:t>
                      </w:r>
                    </w:p>
                  </w:txbxContent>
                </v:textbox>
              </v:shape>
            </w:pict>
          </mc:Fallback>
        </mc:AlternateContent>
      </w:r>
      <m:oMath>
        <m:func>
          <m:funcPr>
            <m:ctrlPr>
              <w:rPr>
                <w:rFonts w:ascii="Cambria Math" w:hAnsi="Cambria Math" w:cs="Arial"/>
                <w:i/>
                <w:sz w:val="24"/>
                <w:szCs w:val="20"/>
              </w:rPr>
            </m:ctrlPr>
          </m:funcPr>
          <m:fName>
            <m:r>
              <w:rPr>
                <w:rFonts w:ascii="Cambria Math" w:hAnsi="Cambria Math" w:cs="Arial"/>
                <w:sz w:val="24"/>
                <w:szCs w:val="20"/>
              </w:rPr>
              <m:t>ln</m:t>
            </m:r>
          </m:fName>
          <m:e>
            <m:d>
              <m:dPr>
                <m:ctrlPr>
                  <w:rPr>
                    <w:rFonts w:ascii="Cambria Math" w:hAnsi="Cambria Math" w:cs="Arial"/>
                    <w:i/>
                    <w:sz w:val="24"/>
                    <w:szCs w:val="20"/>
                  </w:rPr>
                </m:ctrlPr>
              </m:dPr>
              <m:e>
                <m:sSub>
                  <m:sSubPr>
                    <m:ctrlPr>
                      <w:rPr>
                        <w:rFonts w:ascii="Cambria Math" w:hAnsi="Cambria Math" w:cs="Arial"/>
                        <w:i/>
                        <w:sz w:val="24"/>
                        <w:szCs w:val="20"/>
                      </w:rPr>
                    </m:ctrlPr>
                  </m:sSubPr>
                  <m:e>
                    <m:r>
                      <w:rPr>
                        <w:rFonts w:ascii="Cambria Math" w:hAnsi="Cambria Math" w:cs="Arial"/>
                        <w:sz w:val="24"/>
                        <w:szCs w:val="20"/>
                      </w:rPr>
                      <m:t>Q</m:t>
                    </m:r>
                  </m:e>
                  <m:sub>
                    <m:r>
                      <w:rPr>
                        <w:rFonts w:ascii="Cambria Math" w:hAnsi="Cambria Math" w:cs="Arial"/>
                        <w:sz w:val="24"/>
                        <w:szCs w:val="20"/>
                      </w:rPr>
                      <m:t>e</m:t>
                    </m:r>
                  </m:sub>
                </m:sSub>
                <m:r>
                  <w:rPr>
                    <w:rFonts w:ascii="Cambria Math" w:hAnsi="Cambria Math" w:cs="Arial"/>
                    <w:sz w:val="24"/>
                    <w:szCs w:val="20"/>
                  </w:rPr>
                  <m:t>-</m:t>
                </m:r>
                <m:sSub>
                  <m:sSubPr>
                    <m:ctrlPr>
                      <w:rPr>
                        <w:rFonts w:ascii="Cambria Math" w:hAnsi="Cambria Math" w:cs="Arial"/>
                        <w:i/>
                        <w:sz w:val="24"/>
                        <w:szCs w:val="20"/>
                      </w:rPr>
                    </m:ctrlPr>
                  </m:sSubPr>
                  <m:e>
                    <m:r>
                      <w:rPr>
                        <w:rFonts w:ascii="Cambria Math" w:hAnsi="Cambria Math" w:cs="Arial"/>
                        <w:sz w:val="24"/>
                        <w:szCs w:val="20"/>
                      </w:rPr>
                      <m:t>Q</m:t>
                    </m:r>
                  </m:e>
                  <m:sub>
                    <m:r>
                      <w:rPr>
                        <w:rFonts w:ascii="Cambria Math" w:hAnsi="Cambria Math" w:cs="Arial"/>
                        <w:sz w:val="24"/>
                        <w:szCs w:val="20"/>
                      </w:rPr>
                      <m:t>t</m:t>
                    </m:r>
                  </m:sub>
                </m:sSub>
              </m:e>
            </m:d>
          </m:e>
        </m:func>
        <m:r>
          <w:rPr>
            <w:rFonts w:ascii="Cambria Math" w:hAnsi="Cambria Math" w:cs="Arial"/>
            <w:sz w:val="24"/>
            <w:szCs w:val="20"/>
          </w:rPr>
          <m:t>=</m:t>
        </m:r>
        <m:func>
          <m:funcPr>
            <m:ctrlPr>
              <w:rPr>
                <w:rFonts w:ascii="Cambria Math" w:hAnsi="Cambria Math" w:cs="Arial"/>
                <w:i/>
                <w:sz w:val="24"/>
                <w:szCs w:val="20"/>
              </w:rPr>
            </m:ctrlPr>
          </m:funcPr>
          <m:fName>
            <m:r>
              <w:rPr>
                <w:rFonts w:ascii="Cambria Math" w:hAnsi="Cambria Math" w:cs="Arial"/>
                <w:sz w:val="24"/>
                <w:szCs w:val="20"/>
              </w:rPr>
              <m:t>ln</m:t>
            </m:r>
          </m:fName>
          <m:e>
            <m:sSub>
              <m:sSubPr>
                <m:ctrlPr>
                  <w:rPr>
                    <w:rFonts w:ascii="Cambria Math" w:hAnsi="Cambria Math" w:cs="Arial"/>
                    <w:i/>
                    <w:sz w:val="24"/>
                    <w:szCs w:val="20"/>
                  </w:rPr>
                </m:ctrlPr>
              </m:sSubPr>
              <m:e>
                <m:r>
                  <w:rPr>
                    <w:rFonts w:ascii="Cambria Math" w:hAnsi="Cambria Math" w:cs="Arial"/>
                    <w:sz w:val="24"/>
                    <w:szCs w:val="20"/>
                  </w:rPr>
                  <m:t>Q</m:t>
                </m:r>
              </m:e>
              <m:sub>
                <m:r>
                  <w:rPr>
                    <w:rFonts w:ascii="Cambria Math" w:hAnsi="Cambria Math" w:cs="Arial"/>
                    <w:sz w:val="24"/>
                    <w:szCs w:val="20"/>
                  </w:rPr>
                  <m:t>e</m:t>
                </m:r>
              </m:sub>
            </m:sSub>
          </m:e>
        </m:func>
        <m:r>
          <w:rPr>
            <w:rFonts w:ascii="Cambria Math" w:hAnsi="Cambria Math" w:cs="Arial"/>
            <w:sz w:val="24"/>
            <w:szCs w:val="20"/>
          </w:rPr>
          <m:t>-</m:t>
        </m:r>
        <m:sSub>
          <m:sSubPr>
            <m:ctrlPr>
              <w:rPr>
                <w:rFonts w:ascii="Cambria Math" w:hAnsi="Cambria Math" w:cs="Arial"/>
                <w:i/>
                <w:sz w:val="24"/>
                <w:szCs w:val="20"/>
              </w:rPr>
            </m:ctrlPr>
          </m:sSubPr>
          <m:e>
            <m:r>
              <w:rPr>
                <w:rFonts w:ascii="Cambria Math" w:hAnsi="Cambria Math" w:cs="Arial"/>
                <w:sz w:val="24"/>
                <w:szCs w:val="20"/>
              </w:rPr>
              <m:t>k</m:t>
            </m:r>
          </m:e>
          <m:sub>
            <m:r>
              <w:rPr>
                <w:rFonts w:ascii="Cambria Math" w:hAnsi="Cambria Math" w:cs="Arial"/>
                <w:sz w:val="24"/>
                <w:szCs w:val="20"/>
              </w:rPr>
              <m:t>1</m:t>
            </m:r>
          </m:sub>
        </m:sSub>
        <m:r>
          <w:rPr>
            <w:rFonts w:ascii="Cambria Math" w:hAnsi="Cambria Math" w:cs="Arial"/>
            <w:sz w:val="24"/>
            <w:szCs w:val="20"/>
          </w:rPr>
          <m:t>t</m:t>
        </m:r>
      </m:oMath>
    </w:p>
    <w:p w14:paraId="52ED49CB" w14:textId="77777777" w:rsidR="00E32E52" w:rsidRDefault="00E32E52" w:rsidP="00A7605C">
      <w:pPr>
        <w:spacing w:line="240" w:lineRule="auto"/>
        <w:jc w:val="both"/>
        <w:rPr>
          <w:rFonts w:ascii="Arial" w:hAnsi="Arial" w:cs="Arial"/>
          <w:sz w:val="20"/>
          <w:szCs w:val="20"/>
        </w:rPr>
      </w:pPr>
    </w:p>
    <w:p w14:paraId="7434E1AA" w14:textId="77777777" w:rsidR="00E32E52" w:rsidRPr="00883818" w:rsidRDefault="00E32E52" w:rsidP="00A7605C">
      <w:pPr>
        <w:spacing w:line="240" w:lineRule="auto"/>
        <w:jc w:val="both"/>
        <w:rPr>
          <w:rFonts w:ascii="Arial" w:hAnsi="Arial" w:cs="Arial"/>
          <w:sz w:val="20"/>
          <w:szCs w:val="20"/>
        </w:rPr>
      </w:pPr>
      <w:r>
        <w:rPr>
          <w:rFonts w:ascii="Arial" w:hAnsi="Arial" w:cs="Arial"/>
          <w:noProof/>
          <w:sz w:val="20"/>
          <w:szCs w:val="20"/>
          <w14:ligatures w14:val="none"/>
        </w:rPr>
        <mc:AlternateContent>
          <mc:Choice Requires="wps">
            <w:drawing>
              <wp:anchor distT="0" distB="0" distL="114300" distR="114300" simplePos="0" relativeHeight="251663360" behindDoc="0" locked="0" layoutInCell="1" allowOverlap="1" wp14:anchorId="140478C8" wp14:editId="0A9A50B9">
                <wp:simplePos x="0" y="0"/>
                <wp:positionH relativeFrom="column">
                  <wp:posOffset>4396105</wp:posOffset>
                </wp:positionH>
                <wp:positionV relativeFrom="paragraph">
                  <wp:posOffset>434340</wp:posOffset>
                </wp:positionV>
                <wp:extent cx="914400" cy="259080"/>
                <wp:effectExtent l="0" t="0" r="0" b="7620"/>
                <wp:wrapNone/>
                <wp:docPr id="6" name="Zone de texte 6"/>
                <wp:cNvGraphicFramePr/>
                <a:graphic xmlns:a="http://schemas.openxmlformats.org/drawingml/2006/main">
                  <a:graphicData uri="http://schemas.microsoft.com/office/word/2010/wordprocessingShape">
                    <wps:wsp>
                      <wps:cNvSpPr txBox="1"/>
                      <wps:spPr>
                        <a:xfrm>
                          <a:off x="0" y="0"/>
                          <a:ext cx="914400" cy="259080"/>
                        </a:xfrm>
                        <a:prstGeom prst="rect">
                          <a:avLst/>
                        </a:prstGeom>
                        <a:solidFill>
                          <a:schemeClr val="lt1"/>
                        </a:solidFill>
                        <a:ln w="6350">
                          <a:noFill/>
                        </a:ln>
                      </wps:spPr>
                      <wps:txbx>
                        <w:txbxContent>
                          <w:p w14:paraId="372E224C" w14:textId="77777777" w:rsidR="00163626" w:rsidRPr="00E32E52" w:rsidRDefault="00163626">
                            <w:pPr>
                              <w:rPr>
                                <w:b/>
                                <w:sz w:val="24"/>
                              </w:rPr>
                            </w:pPr>
                            <w:r w:rsidRPr="00E32E52">
                              <w:rPr>
                                <w:b/>
                                <w:sz w:val="24"/>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0478C8" id="Zone de texte 6" o:spid="_x0000_s1029" type="#_x0000_t202" style="position:absolute;left:0;text-align:left;margin-left:346.15pt;margin-top:34.2pt;width:1in;height:20.4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" fillcolor="white [3201]" stroked="f" strokeweight=".5pt">
                <v:textbox>
                  <w:txbxContent>
                    <w:p w14:paraId="372E224C" w14:textId="77777777" w:rsidR="00163626" w:rsidRPr="00E32E52" w:rsidRDefault="00163626">
                      <w:pPr>
                        <w:rPr>
                          <w:b/>
                          <w:sz w:val="24"/>
                        </w:rPr>
                      </w:pPr>
                      <w:r w:rsidRPr="00E32E52">
                        <w:rPr>
                          <w:b/>
                          <w:sz w:val="24"/>
                        </w:rPr>
                        <w:t>(4)</w:t>
                      </w:r>
                    </w:p>
                  </w:txbxContent>
                </v:textbox>
              </v:shape>
            </w:pict>
          </mc:Fallback>
        </mc:AlternateContent>
      </w:r>
    </w:p>
    <w:p w14:paraId="2BC21D56" w14:textId="77777777" w:rsidR="00E32E52" w:rsidRPr="00883818" w:rsidRDefault="007C1F19" w:rsidP="00A7605C">
      <w:pPr>
        <w:spacing w:line="240" w:lineRule="auto"/>
        <w:jc w:val="both"/>
        <w:rPr>
          <w:rFonts w:ascii="Arial" w:hAnsi="Arial" w:cs="Arial"/>
          <w:sz w:val="20"/>
          <w:szCs w:val="20"/>
        </w:rPr>
      </w:pPr>
      <m:oMathPara>
        <m:oMath>
          <m:f>
            <m:fPr>
              <m:ctrlPr>
                <w:rPr>
                  <w:rFonts w:ascii="Cambria Math" w:hAnsi="Cambria Math" w:cs="Arial"/>
                  <w:bCs/>
                  <w:sz w:val="24"/>
                  <w:szCs w:val="24"/>
                </w:rPr>
              </m:ctrlPr>
            </m:fPr>
            <m:num>
              <m:r>
                <m:rPr>
                  <m:sty m:val="p"/>
                </m:rPr>
                <w:rPr>
                  <w:rFonts w:ascii="Cambria Math" w:hAnsi="Cambria Math" w:cs="Arial"/>
                  <w:sz w:val="24"/>
                  <w:szCs w:val="24"/>
                </w:rPr>
                <m:t>t</m:t>
              </m:r>
            </m:num>
            <m:den>
              <m:r>
                <m:rPr>
                  <m:sty m:val="p"/>
                </m:rPr>
                <w:rPr>
                  <w:rFonts w:ascii="Cambria Math" w:hAnsi="Cambria Math" w:cs="Arial"/>
                  <w:sz w:val="24"/>
                  <w:szCs w:val="24"/>
                </w:rPr>
                <m:t>Qt</m:t>
              </m:r>
            </m:den>
          </m:f>
          <m:r>
            <m:rPr>
              <m:sty m:val="p"/>
            </m:rPr>
            <w:rPr>
              <w:rFonts w:ascii="Cambria Math" w:hAnsi="Cambria Math" w:cs="Arial"/>
              <w:sz w:val="24"/>
              <w:szCs w:val="24"/>
            </w:rPr>
            <m:t xml:space="preserve">= </m:t>
          </m:r>
          <m:f>
            <m:fPr>
              <m:ctrlPr>
                <w:rPr>
                  <w:rFonts w:ascii="Cambria Math" w:hAnsi="Cambria Math" w:cs="Arial"/>
                  <w:bCs/>
                  <w:sz w:val="24"/>
                  <w:szCs w:val="24"/>
                </w:rPr>
              </m:ctrlPr>
            </m:fPr>
            <m:num>
              <m:r>
                <m:rPr>
                  <m:sty m:val="p"/>
                </m:rPr>
                <w:rPr>
                  <w:rFonts w:ascii="Cambria Math" w:hAnsi="Cambria Math" w:cs="Arial"/>
                  <w:sz w:val="24"/>
                  <w:szCs w:val="24"/>
                </w:rPr>
                <m:t>1</m:t>
              </m:r>
            </m:num>
            <m:den>
              <m:sSub>
                <m:sSubPr>
                  <m:ctrlPr>
                    <w:rPr>
                      <w:rFonts w:ascii="Cambria Math" w:hAnsi="Cambria Math" w:cs="Arial"/>
                      <w:bCs/>
                      <w:sz w:val="24"/>
                      <w:szCs w:val="24"/>
                    </w:rPr>
                  </m:ctrlPr>
                </m:sSubPr>
                <m:e>
                  <m:r>
                    <m:rPr>
                      <m:sty m:val="p"/>
                    </m:rPr>
                    <w:rPr>
                      <w:rFonts w:ascii="Cambria Math" w:hAnsi="Cambria Math" w:cs="Arial"/>
                      <w:sz w:val="24"/>
                      <w:szCs w:val="24"/>
                    </w:rPr>
                    <m:t>k</m:t>
                  </m:r>
                </m:e>
                <m:sub>
                  <m:r>
                    <m:rPr>
                      <m:sty m:val="p"/>
                    </m:rPr>
                    <w:rPr>
                      <w:rFonts w:ascii="Cambria Math" w:hAnsi="Cambria Math" w:cs="Arial"/>
                      <w:sz w:val="24"/>
                      <w:szCs w:val="24"/>
                    </w:rPr>
                    <m:t>2</m:t>
                  </m:r>
                </m:sub>
              </m:sSub>
              <m:sSup>
                <m:sSupPr>
                  <m:ctrlPr>
                    <w:rPr>
                      <w:rFonts w:ascii="Cambria Math" w:hAnsi="Cambria Math" w:cs="Arial"/>
                      <w:bCs/>
                      <w:sz w:val="24"/>
                      <w:szCs w:val="24"/>
                    </w:rPr>
                  </m:ctrlPr>
                </m:sSupPr>
                <m:e>
                  <m:r>
                    <m:rPr>
                      <m:sty m:val="p"/>
                    </m:rPr>
                    <w:rPr>
                      <w:rFonts w:ascii="Cambria Math" w:hAnsi="Cambria Math" w:cs="Arial"/>
                      <w:sz w:val="24"/>
                      <w:szCs w:val="24"/>
                    </w:rPr>
                    <m:t>Qe</m:t>
                  </m:r>
                </m:e>
                <m:sup>
                  <m:r>
                    <m:rPr>
                      <m:sty m:val="p"/>
                    </m:rPr>
                    <w:rPr>
                      <w:rFonts w:ascii="Cambria Math" w:hAnsi="Cambria Math" w:cs="Arial"/>
                      <w:sz w:val="24"/>
                      <w:szCs w:val="24"/>
                    </w:rPr>
                    <m:t>2</m:t>
                  </m:r>
                </m:sup>
              </m:sSup>
            </m:den>
          </m:f>
          <m:r>
            <m:rPr>
              <m:sty m:val="p"/>
            </m:rPr>
            <w:rPr>
              <w:rFonts w:ascii="Cambria Math" w:hAnsi="Cambria Math" w:cs="Arial"/>
              <w:sz w:val="24"/>
              <w:szCs w:val="24"/>
            </w:rPr>
            <m:t xml:space="preserve">+ </m:t>
          </m:r>
          <m:f>
            <m:fPr>
              <m:ctrlPr>
                <w:rPr>
                  <w:rFonts w:ascii="Cambria Math" w:hAnsi="Cambria Math" w:cs="Arial"/>
                  <w:bCs/>
                  <w:sz w:val="24"/>
                  <w:szCs w:val="24"/>
                </w:rPr>
              </m:ctrlPr>
            </m:fPr>
            <m:num>
              <m:r>
                <m:rPr>
                  <m:sty m:val="p"/>
                </m:rPr>
                <w:rPr>
                  <w:rFonts w:ascii="Cambria Math" w:hAnsi="Cambria Math" w:cs="Arial"/>
                  <w:sz w:val="24"/>
                  <w:szCs w:val="24"/>
                </w:rPr>
                <m:t>t</m:t>
              </m:r>
            </m:num>
            <m:den>
              <m:r>
                <m:rPr>
                  <m:sty m:val="p"/>
                </m:rPr>
                <w:rPr>
                  <w:rFonts w:ascii="Cambria Math" w:hAnsi="Cambria Math" w:cs="Arial"/>
                  <w:sz w:val="24"/>
                  <w:szCs w:val="24"/>
                </w:rPr>
                <m:t>Qe</m:t>
              </m:r>
            </m:den>
          </m:f>
        </m:oMath>
      </m:oMathPara>
    </w:p>
    <w:p w14:paraId="50EC3958" w14:textId="77777777" w:rsidR="009D3518" w:rsidRDefault="009D3518" w:rsidP="00A7605C">
      <w:pPr>
        <w:spacing w:line="240" w:lineRule="auto"/>
        <w:jc w:val="both"/>
        <w:rPr>
          <w:rFonts w:ascii="Arial" w:hAnsi="Arial" w:cs="Arial"/>
          <w:sz w:val="20"/>
          <w:szCs w:val="20"/>
        </w:rPr>
      </w:pPr>
    </w:p>
    <w:p w14:paraId="1160BB4A" w14:textId="77777777" w:rsidR="007E5DA2" w:rsidRDefault="007E5DA2" w:rsidP="00A7605C">
      <w:pPr>
        <w:spacing w:line="240" w:lineRule="auto"/>
        <w:jc w:val="both"/>
        <w:rPr>
          <w:rFonts w:ascii="Arial" w:hAnsi="Arial" w:cs="Arial"/>
          <w:sz w:val="20"/>
          <w:szCs w:val="20"/>
        </w:rPr>
      </w:pPr>
      <w:r>
        <w:rPr>
          <w:rFonts w:ascii="Arial" w:hAnsi="Arial" w:cs="Arial"/>
          <w:sz w:val="20"/>
          <w:szCs w:val="20"/>
        </w:rPr>
        <w:t>Where</w:t>
      </w:r>
      <w:r w:rsidR="009D3518">
        <w:rPr>
          <w:rFonts w:ascii="Arial" w:hAnsi="Arial" w:cs="Arial"/>
          <w:sz w:val="20"/>
          <w:szCs w:val="20"/>
        </w:rPr>
        <w:t xml:space="preserve"> </w:t>
      </w:r>
      <w:proofErr w:type="spellStart"/>
      <w:r w:rsidR="009D3518">
        <w:rPr>
          <w:rFonts w:ascii="Arial" w:hAnsi="Arial" w:cs="Arial"/>
          <w:sz w:val="20"/>
          <w:szCs w:val="20"/>
        </w:rPr>
        <w:t>Q</w:t>
      </w:r>
      <w:r w:rsidR="009D3518" w:rsidRPr="007E5DA2">
        <w:rPr>
          <w:rFonts w:ascii="Arial" w:hAnsi="Arial" w:cs="Arial"/>
          <w:sz w:val="20"/>
          <w:szCs w:val="20"/>
          <w:vertAlign w:val="subscript"/>
        </w:rPr>
        <w:t>e</w:t>
      </w:r>
      <w:proofErr w:type="spellEnd"/>
      <w:r w:rsidR="009D3518">
        <w:rPr>
          <w:rFonts w:ascii="Arial" w:hAnsi="Arial" w:cs="Arial"/>
          <w:sz w:val="20"/>
          <w:szCs w:val="20"/>
        </w:rPr>
        <w:t xml:space="preserve"> and Q</w:t>
      </w:r>
      <w:r w:rsidR="009D3518" w:rsidRPr="007E5DA2">
        <w:rPr>
          <w:rFonts w:ascii="Arial" w:hAnsi="Arial" w:cs="Arial"/>
          <w:sz w:val="20"/>
          <w:szCs w:val="20"/>
          <w:vertAlign w:val="subscript"/>
        </w:rPr>
        <w:t>t</w:t>
      </w:r>
      <w:r w:rsidR="009D3518">
        <w:rPr>
          <w:rFonts w:ascii="Arial" w:hAnsi="Arial" w:cs="Arial"/>
          <w:sz w:val="20"/>
          <w:szCs w:val="20"/>
        </w:rPr>
        <w:t xml:space="preserve"> are the amount</w:t>
      </w:r>
      <w:r>
        <w:rPr>
          <w:rFonts w:ascii="Arial" w:hAnsi="Arial" w:cs="Arial"/>
          <w:sz w:val="20"/>
          <w:szCs w:val="20"/>
        </w:rPr>
        <w:t>s</w:t>
      </w:r>
      <w:r w:rsidR="009D3518">
        <w:rPr>
          <w:rFonts w:ascii="Arial" w:hAnsi="Arial" w:cs="Arial"/>
          <w:sz w:val="20"/>
          <w:szCs w:val="20"/>
        </w:rPr>
        <w:t xml:space="preserve"> of TDS adsorbed </w:t>
      </w:r>
      <w:r>
        <w:rPr>
          <w:rFonts w:ascii="Arial" w:hAnsi="Arial" w:cs="Arial"/>
          <w:sz w:val="20"/>
          <w:szCs w:val="20"/>
        </w:rPr>
        <w:t xml:space="preserve">(mg/g) </w:t>
      </w:r>
      <w:r w:rsidR="009D3518">
        <w:rPr>
          <w:rFonts w:ascii="Arial" w:hAnsi="Arial" w:cs="Arial"/>
          <w:sz w:val="20"/>
          <w:szCs w:val="20"/>
        </w:rPr>
        <w:t xml:space="preserve">at the equilibrium </w:t>
      </w:r>
      <w:r>
        <w:rPr>
          <w:rFonts w:ascii="Arial" w:hAnsi="Arial" w:cs="Arial"/>
          <w:sz w:val="20"/>
          <w:szCs w:val="20"/>
        </w:rPr>
        <w:t>and studied time t, k</w:t>
      </w:r>
      <w:r w:rsidRPr="007E5DA2">
        <w:rPr>
          <w:rFonts w:ascii="Arial" w:hAnsi="Arial" w:cs="Arial"/>
          <w:sz w:val="20"/>
          <w:szCs w:val="20"/>
          <w:vertAlign w:val="subscript"/>
        </w:rPr>
        <w:t>1</w:t>
      </w:r>
      <w:r>
        <w:rPr>
          <w:rFonts w:ascii="Arial" w:hAnsi="Arial" w:cs="Arial"/>
          <w:sz w:val="20"/>
          <w:szCs w:val="20"/>
        </w:rPr>
        <w:t xml:space="preserve"> (min </w:t>
      </w:r>
      <w:r w:rsidRPr="007E5DA2">
        <w:rPr>
          <w:rFonts w:ascii="Arial" w:hAnsi="Arial" w:cs="Arial"/>
          <w:sz w:val="20"/>
          <w:szCs w:val="20"/>
          <w:vertAlign w:val="superscript"/>
        </w:rPr>
        <w:t>-1</w:t>
      </w:r>
      <w:r>
        <w:rPr>
          <w:rFonts w:ascii="Arial" w:hAnsi="Arial" w:cs="Arial"/>
          <w:sz w:val="20"/>
          <w:szCs w:val="20"/>
        </w:rPr>
        <w:t>) and k</w:t>
      </w:r>
      <w:r w:rsidRPr="007E5DA2">
        <w:rPr>
          <w:rFonts w:ascii="Arial" w:hAnsi="Arial" w:cs="Arial"/>
          <w:sz w:val="20"/>
          <w:szCs w:val="20"/>
          <w:vertAlign w:val="subscript"/>
        </w:rPr>
        <w:t>2</w:t>
      </w:r>
      <w:r>
        <w:rPr>
          <w:rFonts w:ascii="Arial" w:hAnsi="Arial" w:cs="Arial"/>
          <w:sz w:val="20"/>
          <w:szCs w:val="20"/>
        </w:rPr>
        <w:t xml:space="preserve"> (mg g</w:t>
      </w:r>
      <w:r w:rsidRPr="007E5DA2">
        <w:rPr>
          <w:rFonts w:ascii="Arial" w:hAnsi="Arial" w:cs="Arial"/>
          <w:sz w:val="20"/>
          <w:szCs w:val="20"/>
          <w:vertAlign w:val="superscript"/>
        </w:rPr>
        <w:t>-1</w:t>
      </w:r>
      <w:r>
        <w:rPr>
          <w:rFonts w:ascii="Arial" w:hAnsi="Arial" w:cs="Arial"/>
          <w:sz w:val="20"/>
          <w:szCs w:val="20"/>
        </w:rPr>
        <w:t xml:space="preserve"> min</w:t>
      </w:r>
      <w:r w:rsidRPr="007E5DA2">
        <w:rPr>
          <w:rFonts w:ascii="Arial" w:hAnsi="Arial" w:cs="Arial"/>
          <w:sz w:val="20"/>
          <w:szCs w:val="20"/>
          <w:vertAlign w:val="superscript"/>
        </w:rPr>
        <w:t>-1</w:t>
      </w:r>
      <w:r>
        <w:rPr>
          <w:rFonts w:ascii="Arial" w:hAnsi="Arial" w:cs="Arial"/>
          <w:sz w:val="20"/>
          <w:szCs w:val="20"/>
        </w:rPr>
        <w:t>) are the pseudo-first-order and pseudo-second-order rate constants.</w:t>
      </w:r>
    </w:p>
    <w:p w14:paraId="46FDC2F3" w14:textId="77777777" w:rsidR="007E5DA2" w:rsidRDefault="007E5DA2" w:rsidP="00446F8F">
      <w:pPr>
        <w:spacing w:line="360" w:lineRule="auto"/>
        <w:jc w:val="both"/>
        <w:rPr>
          <w:rFonts w:ascii="Arial" w:hAnsi="Arial" w:cs="Arial"/>
          <w:sz w:val="20"/>
          <w:szCs w:val="20"/>
        </w:rPr>
      </w:pPr>
    </w:p>
    <w:p w14:paraId="102CBF8B" w14:textId="77777777" w:rsidR="007E5DA2" w:rsidRPr="001F5A1A" w:rsidRDefault="007E5DA2" w:rsidP="00446F8F">
      <w:pPr>
        <w:pStyle w:val="ListParagraph"/>
        <w:numPr>
          <w:ilvl w:val="1"/>
          <w:numId w:val="2"/>
        </w:numPr>
        <w:spacing w:line="360" w:lineRule="auto"/>
        <w:jc w:val="both"/>
        <w:rPr>
          <w:rFonts w:ascii="Arial" w:hAnsi="Arial" w:cs="Arial"/>
          <w:b/>
          <w:sz w:val="20"/>
          <w:szCs w:val="20"/>
        </w:rPr>
      </w:pPr>
      <w:r w:rsidRPr="001F5A1A">
        <w:rPr>
          <w:rFonts w:ascii="Arial" w:hAnsi="Arial" w:cs="Arial"/>
          <w:b/>
          <w:sz w:val="20"/>
          <w:szCs w:val="20"/>
        </w:rPr>
        <w:lastRenderedPageBreak/>
        <w:t>effect of polarity compound on TDS adsorption</w:t>
      </w:r>
    </w:p>
    <w:p w14:paraId="1FBCF41E" w14:textId="1B31B4AB" w:rsidR="00964A9D" w:rsidRDefault="00254597" w:rsidP="00A7605C">
      <w:pPr>
        <w:spacing w:line="240" w:lineRule="auto"/>
        <w:jc w:val="both"/>
        <w:rPr>
          <w:rFonts w:ascii="Arial" w:hAnsi="Arial" w:cs="Arial"/>
          <w:sz w:val="20"/>
          <w:szCs w:val="20"/>
        </w:rPr>
      </w:pPr>
      <w:r w:rsidRPr="00254597">
        <w:rPr>
          <w:rFonts w:ascii="Arial" w:hAnsi="Arial" w:cs="Arial"/>
          <w:sz w:val="20"/>
          <w:szCs w:val="20"/>
        </w:rPr>
        <w:t>This section studies the influence of polarity on the adsorption of TDS in aqueous solution. Three compounds were used: glycerol</w:t>
      </w:r>
      <w:r w:rsidR="0091135A">
        <w:rPr>
          <w:rFonts w:ascii="Arial" w:hAnsi="Arial" w:cs="Arial"/>
          <w:sz w:val="20"/>
          <w:szCs w:val="20"/>
        </w:rPr>
        <w:t xml:space="preserve"> (</w:t>
      </w:r>
      <w:r w:rsidR="00972360" w:rsidRPr="00972360">
        <w:rPr>
          <w:rFonts w:ascii="Arial" w:hAnsi="Arial" w:cs="Arial"/>
          <w:sz w:val="20"/>
          <w:szCs w:val="20"/>
          <w:highlight w:val="yellow"/>
        </w:rPr>
        <w:t>PROLABO; 99.99%</w:t>
      </w:r>
      <w:r w:rsidR="00972360">
        <w:rPr>
          <w:rFonts w:ascii="Arial" w:hAnsi="Arial" w:cs="Arial"/>
          <w:sz w:val="20"/>
          <w:szCs w:val="20"/>
        </w:rPr>
        <w:t>)</w:t>
      </w:r>
      <w:r w:rsidRPr="00254597">
        <w:rPr>
          <w:rFonts w:ascii="Arial" w:hAnsi="Arial" w:cs="Arial"/>
          <w:sz w:val="20"/>
          <w:szCs w:val="20"/>
        </w:rPr>
        <w:t>, methylene blue</w:t>
      </w:r>
      <w:r w:rsidR="00972360">
        <w:rPr>
          <w:rFonts w:ascii="Arial" w:hAnsi="Arial" w:cs="Arial"/>
          <w:sz w:val="20"/>
          <w:szCs w:val="20"/>
        </w:rPr>
        <w:t xml:space="preserve"> (</w:t>
      </w:r>
      <w:r w:rsidR="00972360" w:rsidRPr="00972360">
        <w:rPr>
          <w:rFonts w:ascii="Arial" w:hAnsi="Arial" w:cs="Arial"/>
          <w:sz w:val="20"/>
          <w:szCs w:val="20"/>
          <w:highlight w:val="yellow"/>
        </w:rPr>
        <w:t>CARLO ERBA</w:t>
      </w:r>
      <w:r w:rsidR="00972360">
        <w:rPr>
          <w:rFonts w:ascii="Arial" w:hAnsi="Arial" w:cs="Arial"/>
          <w:sz w:val="20"/>
          <w:szCs w:val="20"/>
        </w:rPr>
        <w:t>)</w:t>
      </w:r>
      <w:r w:rsidRPr="00254597">
        <w:rPr>
          <w:rFonts w:ascii="Arial" w:hAnsi="Arial" w:cs="Arial"/>
          <w:sz w:val="20"/>
          <w:szCs w:val="20"/>
        </w:rPr>
        <w:t>, and potassium chloride</w:t>
      </w:r>
      <w:r w:rsidR="00972360">
        <w:rPr>
          <w:rFonts w:ascii="Arial" w:hAnsi="Arial" w:cs="Arial"/>
          <w:sz w:val="20"/>
          <w:szCs w:val="20"/>
        </w:rPr>
        <w:t xml:space="preserve"> (</w:t>
      </w:r>
      <w:r w:rsidR="00972360" w:rsidRPr="00972360">
        <w:rPr>
          <w:rFonts w:ascii="Arial" w:hAnsi="Arial" w:cs="Arial"/>
          <w:sz w:val="20"/>
          <w:szCs w:val="20"/>
          <w:highlight w:val="yellow"/>
        </w:rPr>
        <w:t>SIGMA ALDRICH; 99%)</w:t>
      </w:r>
      <w:r w:rsidRPr="00972360">
        <w:rPr>
          <w:rFonts w:ascii="Arial" w:hAnsi="Arial" w:cs="Arial"/>
          <w:sz w:val="20"/>
          <w:szCs w:val="20"/>
          <w:highlight w:val="yellow"/>
        </w:rPr>
        <w:t>.</w:t>
      </w:r>
      <w:r>
        <w:rPr>
          <w:rFonts w:ascii="Arial" w:hAnsi="Arial" w:cs="Arial"/>
          <w:sz w:val="20"/>
          <w:szCs w:val="20"/>
        </w:rPr>
        <w:t xml:space="preserve"> </w:t>
      </w:r>
      <w:r w:rsidR="006A1B6F" w:rsidRPr="006A1B6F">
        <w:rPr>
          <w:rFonts w:ascii="Arial" w:hAnsi="Arial" w:cs="Arial"/>
          <w:sz w:val="20"/>
          <w:szCs w:val="20"/>
        </w:rPr>
        <w:t xml:space="preserve">Glycerol is a byproduct of biodiesel and petroleum plants, methylene blue is a dye commonly used in dyeing and textiles, and potassium chloride is a salt used in electrochemistry, chemical batteries, and electrodes. All of these compounds can be present in water effluents and increase TDS loading. </w:t>
      </w:r>
      <w:r w:rsidR="005B2344">
        <w:rPr>
          <w:rFonts w:ascii="Arial" w:hAnsi="Arial" w:cs="Arial"/>
          <w:sz w:val="20"/>
          <w:szCs w:val="20"/>
        </w:rPr>
        <w:t xml:space="preserve">A serial </w:t>
      </w:r>
      <w:r w:rsidR="00AD15A5">
        <w:rPr>
          <w:rFonts w:ascii="Arial" w:hAnsi="Arial" w:cs="Arial"/>
          <w:sz w:val="20"/>
          <w:szCs w:val="20"/>
        </w:rPr>
        <w:t>volume</w:t>
      </w:r>
      <w:r w:rsidR="005B2344">
        <w:rPr>
          <w:rFonts w:ascii="Arial" w:hAnsi="Arial" w:cs="Arial"/>
          <w:sz w:val="20"/>
          <w:szCs w:val="20"/>
        </w:rPr>
        <w:t xml:space="preserve"> of each compound 0.5; 1.00; 1.50</w:t>
      </w:r>
      <w:r w:rsidR="00964A9D">
        <w:rPr>
          <w:rFonts w:ascii="Arial" w:hAnsi="Arial" w:cs="Arial"/>
          <w:sz w:val="20"/>
          <w:szCs w:val="20"/>
        </w:rPr>
        <w:t xml:space="preserve"> and 2.00 mL</w:t>
      </w:r>
      <w:r w:rsidR="005B2344">
        <w:rPr>
          <w:rFonts w:ascii="Arial" w:hAnsi="Arial" w:cs="Arial"/>
          <w:sz w:val="20"/>
          <w:szCs w:val="20"/>
        </w:rPr>
        <w:t xml:space="preserve"> </w:t>
      </w:r>
      <w:r w:rsidR="00964A9D">
        <w:rPr>
          <w:rFonts w:ascii="Arial" w:hAnsi="Arial" w:cs="Arial"/>
          <w:sz w:val="20"/>
          <w:szCs w:val="20"/>
        </w:rPr>
        <w:t>prepared from 0.05 g of glycerol, methylene blue and potassium chloride were added to 25 mL of aqueous solution 157 ppm of TDS. the effect of the different dose was measured by the adsorption percentage R</w:t>
      </w:r>
      <w:r w:rsidR="00187B5E">
        <w:rPr>
          <w:rFonts w:ascii="Arial" w:hAnsi="Arial" w:cs="Arial"/>
          <w:sz w:val="20"/>
          <w:szCs w:val="20"/>
        </w:rPr>
        <w:t xml:space="preserve"> </w:t>
      </w:r>
      <w:r w:rsidR="00964A9D">
        <w:rPr>
          <w:rFonts w:ascii="Arial" w:hAnsi="Arial" w:cs="Arial"/>
          <w:sz w:val="20"/>
          <w:szCs w:val="20"/>
        </w:rPr>
        <w:t>(%) of TDS</w:t>
      </w:r>
      <w:r w:rsidR="00187B5E">
        <w:rPr>
          <w:rFonts w:ascii="Arial" w:hAnsi="Arial" w:cs="Arial"/>
          <w:sz w:val="20"/>
          <w:szCs w:val="20"/>
        </w:rPr>
        <w:t>.</w:t>
      </w:r>
    </w:p>
    <w:p w14:paraId="2EEDD45A" w14:textId="11407EAA" w:rsidR="00964A9D" w:rsidRDefault="00964A9D" w:rsidP="00E76A51">
      <w:pPr>
        <w:spacing w:line="360" w:lineRule="auto"/>
        <w:jc w:val="center"/>
        <w:rPr>
          <w:rFonts w:ascii="Arial" w:hAnsi="Arial" w:cs="Arial"/>
          <w:sz w:val="20"/>
          <w:szCs w:val="20"/>
        </w:rPr>
      </w:pPr>
    </w:p>
    <w:p w14:paraId="74F85609" w14:textId="77777777" w:rsidR="00B641BA" w:rsidRPr="001F5A1A" w:rsidRDefault="003405C0" w:rsidP="00446F8F">
      <w:pPr>
        <w:pStyle w:val="ListParagraph"/>
        <w:numPr>
          <w:ilvl w:val="0"/>
          <w:numId w:val="1"/>
        </w:numPr>
        <w:spacing w:line="360" w:lineRule="auto"/>
        <w:jc w:val="both"/>
        <w:rPr>
          <w:rFonts w:ascii="Arial" w:hAnsi="Arial" w:cs="Arial"/>
          <w:b/>
          <w:szCs w:val="20"/>
        </w:rPr>
      </w:pPr>
      <w:r w:rsidRPr="001F5A1A">
        <w:rPr>
          <w:rFonts w:ascii="Arial" w:hAnsi="Arial" w:cs="Arial"/>
          <w:b/>
          <w:szCs w:val="20"/>
        </w:rPr>
        <w:t>RESULTS AND DISCUSSION</w:t>
      </w:r>
    </w:p>
    <w:p w14:paraId="76099333" w14:textId="77777777" w:rsidR="00B02B88" w:rsidRPr="00B02B88" w:rsidRDefault="00B02B88" w:rsidP="00446F8F">
      <w:pPr>
        <w:pStyle w:val="ListParagraph"/>
        <w:numPr>
          <w:ilvl w:val="0"/>
          <w:numId w:val="12"/>
        </w:numPr>
        <w:spacing w:line="360" w:lineRule="auto"/>
        <w:rPr>
          <w:rFonts w:ascii="Arial" w:hAnsi="Arial" w:cs="Arial"/>
          <w:b/>
          <w:vanish/>
        </w:rPr>
      </w:pPr>
    </w:p>
    <w:p w14:paraId="6860F626" w14:textId="77777777" w:rsidR="00B02B88" w:rsidRPr="00B02B88" w:rsidRDefault="00B02B88" w:rsidP="00446F8F">
      <w:pPr>
        <w:pStyle w:val="ListParagraph"/>
        <w:numPr>
          <w:ilvl w:val="0"/>
          <w:numId w:val="12"/>
        </w:numPr>
        <w:spacing w:line="360" w:lineRule="auto"/>
        <w:rPr>
          <w:rFonts w:ascii="Arial" w:hAnsi="Arial" w:cs="Arial"/>
          <w:b/>
          <w:vanish/>
        </w:rPr>
      </w:pPr>
    </w:p>
    <w:p w14:paraId="6ACFFBED" w14:textId="77777777" w:rsidR="004C353E" w:rsidRPr="001F5A1A" w:rsidRDefault="004C353E" w:rsidP="00446F8F">
      <w:pPr>
        <w:pStyle w:val="ListParagraph"/>
        <w:numPr>
          <w:ilvl w:val="1"/>
          <w:numId w:val="12"/>
        </w:numPr>
        <w:spacing w:line="360" w:lineRule="auto"/>
        <w:rPr>
          <w:rFonts w:ascii="Arial" w:hAnsi="Arial" w:cs="Arial"/>
          <w:b/>
        </w:rPr>
      </w:pPr>
      <w:r w:rsidRPr="001F5A1A">
        <w:rPr>
          <w:rFonts w:ascii="Arial" w:hAnsi="Arial" w:cs="Arial"/>
          <w:b/>
        </w:rPr>
        <w:t>Effect of particle size</w:t>
      </w:r>
    </w:p>
    <w:p w14:paraId="4800910F" w14:textId="16FAEE46" w:rsidR="004C353E" w:rsidRPr="00F3516E" w:rsidRDefault="004C353E" w:rsidP="00A7605C">
      <w:pPr>
        <w:spacing w:line="240" w:lineRule="auto"/>
        <w:jc w:val="both"/>
        <w:rPr>
          <w:rFonts w:ascii="Arial" w:hAnsi="Arial" w:cs="Arial"/>
          <w:sz w:val="20"/>
        </w:rPr>
      </w:pPr>
      <w:r w:rsidRPr="00F3516E">
        <w:rPr>
          <w:rFonts w:ascii="Arial" w:hAnsi="Arial" w:cs="Arial"/>
          <w:sz w:val="20"/>
        </w:rPr>
        <w:t xml:space="preserve">Figure </w:t>
      </w:r>
      <w:r w:rsidR="00C42D41">
        <w:rPr>
          <w:rFonts w:ascii="Arial" w:hAnsi="Arial" w:cs="Arial"/>
          <w:sz w:val="20"/>
        </w:rPr>
        <w:t>1</w:t>
      </w:r>
      <w:r w:rsidRPr="00F3516E">
        <w:rPr>
          <w:rFonts w:ascii="Arial" w:hAnsi="Arial" w:cs="Arial"/>
          <w:sz w:val="20"/>
        </w:rPr>
        <w:t xml:space="preserve"> represents the Total Dissolved Solids (TDS) values</w:t>
      </w:r>
      <w:r w:rsidR="00973C0B">
        <w:rPr>
          <w:rFonts w:ascii="Arial" w:hAnsi="Arial" w:cs="Arial"/>
          <w:sz w:val="20"/>
        </w:rPr>
        <w:t xml:space="preserve"> (ppm)</w:t>
      </w:r>
      <w:r w:rsidRPr="00F3516E">
        <w:rPr>
          <w:rFonts w:ascii="Arial" w:hAnsi="Arial" w:cs="Arial"/>
          <w:sz w:val="20"/>
        </w:rPr>
        <w:t xml:space="preserve"> as a function of different activated carbon particle sizes (in µm). In general, TDS increases with particle size. Indeed, the lowest value (~124.8 </w:t>
      </w:r>
      <w:r w:rsidR="003147C0" w:rsidRPr="003147C0">
        <w:rPr>
          <w:rFonts w:ascii="Arial" w:hAnsi="Arial" w:cs="Arial"/>
          <w:sz w:val="20"/>
          <w:highlight w:val="yellow"/>
        </w:rPr>
        <w:t>mg/L</w:t>
      </w:r>
      <w:r w:rsidRPr="00F3516E">
        <w:rPr>
          <w:rFonts w:ascii="Arial" w:hAnsi="Arial" w:cs="Arial"/>
          <w:sz w:val="20"/>
        </w:rPr>
        <w:t xml:space="preserve">) is obtained for particles of 250 to 400 µm and the highest value (~127.7 </w:t>
      </w:r>
      <w:r w:rsidR="003147C0" w:rsidRPr="003147C0">
        <w:rPr>
          <w:rFonts w:ascii="Arial" w:hAnsi="Arial" w:cs="Arial"/>
          <w:sz w:val="20"/>
          <w:highlight w:val="yellow"/>
        </w:rPr>
        <w:t>mg/L</w:t>
      </w:r>
      <w:r w:rsidRPr="00F3516E">
        <w:rPr>
          <w:rFonts w:ascii="Arial" w:hAnsi="Arial" w:cs="Arial"/>
          <w:sz w:val="20"/>
        </w:rPr>
        <w:t xml:space="preserve">) for particles of 500 to 600 µm. An increase in TDS with particle size could indicate that larger particles release more soluble compounds into solution or that they adsorb fewer solutes. It could also suggest lower adsorption efficiency for larger particles, since residual TDS is what is not adsorbed. Particle size determines the adsorption rate; the smaller the particle size, the faster the transfer to the center </w:t>
      </w:r>
      <w:r w:rsidR="00187B5E">
        <w:rPr>
          <w:rFonts w:ascii="Arial" w:hAnsi="Arial" w:cs="Arial"/>
          <w:sz w:val="20"/>
        </w:rPr>
        <w:fldChar w:fldCharType="begin"/>
      </w:r>
      <w:r w:rsidR="00B969D9">
        <w:rPr>
          <w:rFonts w:ascii="Arial" w:hAnsi="Arial" w:cs="Arial"/>
          <w:sz w:val="20"/>
        </w:rPr>
        <w:instrText xml:space="preserve"> ADDIN ZOTERO_ITEM CSL_CITATION {"citationID":"sKCGZlHq","properties":{"formattedCitation":"(Abdallah et al. 2016)","plainCitation":"(Abdallah et al. 2016)","dontUpdate":true,"noteIndex":0},"citationItems":[{"id":1344,"uris":["http://zotero.org/users/17766503/items/6SJRS4RI"],"itemData":{"id":1344,"type":"article-journal","abstract":"Water pollution from industrial wastewater is a serious problem in the world. This pollution can cause adverse effects on the environment. To reduce the harmful effects of these pollutants, several methods for wastewater treatment, especially physicochemical are implemented, in particular, the technique of adsorption. This study aimed to use a new natural and biodegradable adsorbent based on Lebanese Eucalyptus (South of Lebanon) in a physico-chemical adsorption process for treating colorful industrial discharges. The tests performed on the Methylene Blue, a cationic dye, showed a remarkable elimination in the first 20 minutes. The influences of various experimental parameters such particle size, adsorbent mass, pH, contact time, initial Methylene Blue concentration and temperature were studied. Experimental results have shown that the adsorption of Methylene Blue dye in the Eucalyptus has reached 99.46% at pH=4 and a temperature of 20±2̊C. The study of the isotherm showed that the Freundlich model can be used to describe the process of adsorption of Methylene Blue on the Eucalyptus powder.","language":"fr","source":"Zotero","title":"Étude de l’adsorption du Bleu de Méthylène sur un biomatériau à base de l’eucalyptus selon la taille des particules Treatment of industrial wastewater using a natural and biodegradable adsorbent based on Eucalyptus","author":[{"family":"Abdallah","given":"Mira"},{"family":"Hijazi","given":"Akram"},{"family":"Hamieh","given":"Mostafa"},{"family":"Alameh","given":"Mohamad"},{"family":"Rammal","given":"Hassan"}],"issued":{"date-parts":[["2016"]]}}}],"schema":"https://github.com/citation-style-language/schema/raw/master/csl-citation.json"} </w:instrText>
      </w:r>
      <w:r w:rsidR="00187B5E">
        <w:rPr>
          <w:rFonts w:ascii="Arial" w:hAnsi="Arial" w:cs="Arial"/>
          <w:sz w:val="20"/>
        </w:rPr>
        <w:fldChar w:fldCharType="separate"/>
      </w:r>
      <w:r w:rsidR="00187B5E" w:rsidRPr="00187B5E">
        <w:rPr>
          <w:rFonts w:ascii="Arial" w:hAnsi="Arial" w:cs="Arial"/>
          <w:sz w:val="20"/>
        </w:rPr>
        <w:t>(Abdallah et al.</w:t>
      </w:r>
      <w:r w:rsidR="00187B5E">
        <w:rPr>
          <w:rFonts w:ascii="Arial" w:hAnsi="Arial" w:cs="Arial"/>
          <w:sz w:val="20"/>
        </w:rPr>
        <w:t>,</w:t>
      </w:r>
      <w:r w:rsidR="00187B5E" w:rsidRPr="00187B5E">
        <w:rPr>
          <w:rFonts w:ascii="Arial" w:hAnsi="Arial" w:cs="Arial"/>
          <w:sz w:val="20"/>
        </w:rPr>
        <w:t xml:space="preserve"> 2016)</w:t>
      </w:r>
      <w:r w:rsidR="00187B5E">
        <w:rPr>
          <w:rFonts w:ascii="Arial" w:hAnsi="Arial" w:cs="Arial"/>
          <w:sz w:val="20"/>
        </w:rPr>
        <w:fldChar w:fldCharType="end"/>
      </w:r>
      <w:r w:rsidRPr="00F3516E">
        <w:rPr>
          <w:rFonts w:ascii="Arial" w:hAnsi="Arial" w:cs="Arial"/>
          <w:sz w:val="20"/>
        </w:rPr>
        <w:t>. In the continuation of our study, adsorption studies are carried out on particle sizes between 250 and 400 µm.</w:t>
      </w:r>
    </w:p>
    <w:p w14:paraId="24864D10" w14:textId="641D0314" w:rsidR="001F0C7A" w:rsidRDefault="0091135A" w:rsidP="00446F8F">
      <w:pPr>
        <w:spacing w:line="360" w:lineRule="auto"/>
        <w:jc w:val="center"/>
      </w:pPr>
      <w:r>
        <w:object w:dxaOrig="7957" w:dyaOrig="5612" w14:anchorId="5C1A4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05pt;height:287.3pt" o:ole="">
            <v:imagedata r:id="rId8" o:title=""/>
          </v:shape>
          <o:OLEObject Type="Embed" ProgID="Origin50.Graph" ShapeID="_x0000_i1025" DrawAspect="Content" ObjectID="_1818582069" r:id="rId9"/>
        </w:object>
      </w:r>
    </w:p>
    <w:p w14:paraId="58C9BDE5" w14:textId="00D36CA6" w:rsidR="00FE5AB6" w:rsidRPr="00EE3818" w:rsidRDefault="003B45A1" w:rsidP="003B45A1">
      <w:pPr>
        <w:pStyle w:val="Caption"/>
        <w:jc w:val="center"/>
        <w:rPr>
          <w:rFonts w:ascii="Arial" w:hAnsi="Arial" w:cs="Arial"/>
          <w:b/>
          <w:i w:val="0"/>
          <w:color w:val="auto"/>
          <w:sz w:val="20"/>
          <w:szCs w:val="20"/>
        </w:rPr>
      </w:pPr>
      <w:r w:rsidRPr="00EE3818">
        <w:rPr>
          <w:rFonts w:ascii="Arial" w:hAnsi="Arial" w:cs="Arial"/>
          <w:b/>
          <w:i w:val="0"/>
          <w:color w:val="auto"/>
          <w:sz w:val="20"/>
          <w:szCs w:val="20"/>
        </w:rPr>
        <w:t>Fig</w:t>
      </w:r>
      <w:r w:rsidR="00EE3818" w:rsidRPr="00EE3818">
        <w:rPr>
          <w:rFonts w:ascii="Arial" w:hAnsi="Arial" w:cs="Arial"/>
          <w:b/>
          <w:i w:val="0"/>
          <w:color w:val="auto"/>
          <w:sz w:val="20"/>
          <w:szCs w:val="20"/>
        </w:rPr>
        <w:t>.</w:t>
      </w:r>
      <w:r w:rsidRPr="00EE3818">
        <w:rPr>
          <w:rFonts w:ascii="Arial" w:hAnsi="Arial" w:cs="Arial"/>
          <w:b/>
          <w:i w:val="0"/>
          <w:color w:val="auto"/>
          <w:sz w:val="20"/>
          <w:szCs w:val="20"/>
        </w:rPr>
        <w:t xml:space="preserve"> </w:t>
      </w:r>
      <w:r w:rsidRPr="00EE3818">
        <w:rPr>
          <w:rFonts w:ascii="Arial" w:hAnsi="Arial" w:cs="Arial"/>
          <w:b/>
          <w:i w:val="0"/>
          <w:color w:val="auto"/>
          <w:sz w:val="20"/>
          <w:szCs w:val="20"/>
        </w:rPr>
        <w:fldChar w:fldCharType="begin"/>
      </w:r>
      <w:r w:rsidRPr="00EE3818">
        <w:rPr>
          <w:rFonts w:ascii="Arial" w:hAnsi="Arial" w:cs="Arial"/>
          <w:b/>
          <w:i w:val="0"/>
          <w:color w:val="auto"/>
          <w:sz w:val="20"/>
          <w:szCs w:val="20"/>
        </w:rPr>
        <w:instrText xml:space="preserve"> SEQ Figure \* ARABIC </w:instrText>
      </w:r>
      <w:r w:rsidRPr="00EE3818">
        <w:rPr>
          <w:rFonts w:ascii="Arial" w:hAnsi="Arial" w:cs="Arial"/>
          <w:b/>
          <w:i w:val="0"/>
          <w:color w:val="auto"/>
          <w:sz w:val="20"/>
          <w:szCs w:val="20"/>
        </w:rPr>
        <w:fldChar w:fldCharType="separate"/>
      </w:r>
      <w:r w:rsidR="0000536F" w:rsidRPr="00EE3818">
        <w:rPr>
          <w:rFonts w:ascii="Arial" w:hAnsi="Arial" w:cs="Arial"/>
          <w:b/>
          <w:i w:val="0"/>
          <w:noProof/>
          <w:color w:val="auto"/>
          <w:sz w:val="20"/>
          <w:szCs w:val="20"/>
        </w:rPr>
        <w:t>1</w:t>
      </w:r>
      <w:r w:rsidRPr="00EE3818">
        <w:rPr>
          <w:rFonts w:ascii="Arial" w:hAnsi="Arial" w:cs="Arial"/>
          <w:b/>
          <w:i w:val="0"/>
          <w:color w:val="auto"/>
          <w:sz w:val="20"/>
          <w:szCs w:val="20"/>
        </w:rPr>
        <w:fldChar w:fldCharType="end"/>
      </w:r>
      <w:r w:rsidR="00EE3818" w:rsidRPr="00EE3818">
        <w:rPr>
          <w:rFonts w:ascii="Arial" w:hAnsi="Arial" w:cs="Arial"/>
          <w:b/>
          <w:i w:val="0"/>
          <w:color w:val="auto"/>
          <w:sz w:val="20"/>
          <w:szCs w:val="20"/>
        </w:rPr>
        <w:t xml:space="preserve">. </w:t>
      </w:r>
      <w:r w:rsidR="00EE3818">
        <w:rPr>
          <w:rFonts w:ascii="Arial" w:hAnsi="Arial" w:cs="Arial"/>
          <w:b/>
          <w:i w:val="0"/>
          <w:color w:val="auto"/>
          <w:sz w:val="20"/>
          <w:szCs w:val="20"/>
        </w:rPr>
        <w:t xml:space="preserve">Effect of particle size on the </w:t>
      </w:r>
      <w:r w:rsidR="00EE3818" w:rsidRPr="00EE3818">
        <w:rPr>
          <w:rFonts w:ascii="Arial" w:hAnsi="Arial" w:cs="Arial"/>
          <w:b/>
          <w:i w:val="0"/>
          <w:color w:val="auto"/>
          <w:sz w:val="20"/>
          <w:szCs w:val="20"/>
        </w:rPr>
        <w:t xml:space="preserve">adsorption </w:t>
      </w:r>
      <w:r w:rsidR="00EE3818">
        <w:rPr>
          <w:rFonts w:ascii="Arial" w:hAnsi="Arial" w:cs="Arial"/>
          <w:b/>
          <w:i w:val="0"/>
          <w:color w:val="auto"/>
          <w:sz w:val="20"/>
          <w:szCs w:val="20"/>
        </w:rPr>
        <w:t xml:space="preserve">of </w:t>
      </w:r>
      <w:r w:rsidR="00EE3818" w:rsidRPr="00EE3818">
        <w:rPr>
          <w:rFonts w:ascii="Arial" w:hAnsi="Arial" w:cs="Arial"/>
          <w:b/>
          <w:i w:val="0"/>
          <w:color w:val="auto"/>
          <w:sz w:val="20"/>
          <w:szCs w:val="20"/>
        </w:rPr>
        <w:t xml:space="preserve">TDS </w:t>
      </w:r>
    </w:p>
    <w:p w14:paraId="37DA7AA7" w14:textId="77777777" w:rsidR="00EE3818" w:rsidRPr="00EE3818" w:rsidRDefault="00EE3818" w:rsidP="00EE3818"/>
    <w:p w14:paraId="4E86E50A" w14:textId="77777777" w:rsidR="004C353E" w:rsidRPr="00B02B88" w:rsidRDefault="004C353E" w:rsidP="00446F8F">
      <w:pPr>
        <w:pStyle w:val="ListParagraph"/>
        <w:numPr>
          <w:ilvl w:val="1"/>
          <w:numId w:val="12"/>
        </w:numPr>
        <w:spacing w:line="360" w:lineRule="auto"/>
        <w:jc w:val="both"/>
        <w:rPr>
          <w:rFonts w:ascii="Times New Roman" w:hAnsi="Times New Roman" w:cs="Times New Roman"/>
          <w:b/>
          <w:sz w:val="24"/>
          <w:szCs w:val="24"/>
        </w:rPr>
      </w:pPr>
      <w:r w:rsidRPr="00B02B88">
        <w:rPr>
          <w:rFonts w:ascii="Times New Roman" w:hAnsi="Times New Roman" w:cs="Times New Roman"/>
          <w:b/>
          <w:sz w:val="24"/>
          <w:szCs w:val="24"/>
        </w:rPr>
        <w:t>Effect of adsorbent dose</w:t>
      </w:r>
    </w:p>
    <w:p w14:paraId="280D8B39" w14:textId="5BD147B0" w:rsidR="004C353E" w:rsidRPr="00F3516E" w:rsidRDefault="004C353E" w:rsidP="00A7605C">
      <w:pPr>
        <w:spacing w:line="240" w:lineRule="auto"/>
        <w:jc w:val="both"/>
        <w:rPr>
          <w:rFonts w:ascii="Arial" w:hAnsi="Arial" w:cs="Arial"/>
          <w:sz w:val="20"/>
          <w:szCs w:val="24"/>
        </w:rPr>
      </w:pPr>
      <w:r w:rsidRPr="00F3516E">
        <w:rPr>
          <w:rFonts w:ascii="Arial" w:hAnsi="Arial" w:cs="Arial"/>
          <w:sz w:val="20"/>
          <w:szCs w:val="24"/>
        </w:rPr>
        <w:lastRenderedPageBreak/>
        <w:t xml:space="preserve">Figure </w:t>
      </w:r>
      <w:r w:rsidR="00153372">
        <w:rPr>
          <w:rFonts w:ascii="Arial" w:hAnsi="Arial" w:cs="Arial"/>
          <w:sz w:val="20"/>
          <w:szCs w:val="24"/>
        </w:rPr>
        <w:t>2</w:t>
      </w:r>
      <w:r w:rsidRPr="00F3516E">
        <w:rPr>
          <w:rFonts w:ascii="Arial" w:hAnsi="Arial" w:cs="Arial"/>
          <w:sz w:val="20"/>
          <w:szCs w:val="24"/>
        </w:rPr>
        <w:t xml:space="preserve"> shows the TDS reduction rate as a function of adsorbent mass. The graph shows that the adsorption percentage increases with the amount of unmodified rice husk. The optimum adsorption rate is obtained when the applied adsorbent mass is 2 g, or 37%. According to a previous study, increasing the adsorbent mass generally leads to an increase in the adsorption percentage. This is explained by the increased availability of free adsorption sites, allowing better capture of adsorbed molecules</w:t>
      </w:r>
      <w:r w:rsidR="00933BFC">
        <w:rPr>
          <w:rFonts w:ascii="Arial" w:hAnsi="Arial" w:cs="Arial"/>
          <w:sz w:val="20"/>
          <w:szCs w:val="24"/>
        </w:rPr>
        <w:t xml:space="preserve"> </w:t>
      </w:r>
      <w:r w:rsidR="00933BFC">
        <w:rPr>
          <w:rFonts w:ascii="Arial" w:hAnsi="Arial" w:cs="Arial"/>
          <w:sz w:val="20"/>
          <w:szCs w:val="24"/>
        </w:rPr>
        <w:fldChar w:fldCharType="begin"/>
      </w:r>
      <w:r w:rsidR="00B969D9">
        <w:rPr>
          <w:rFonts w:ascii="Arial" w:hAnsi="Arial" w:cs="Arial"/>
          <w:sz w:val="20"/>
          <w:szCs w:val="24"/>
        </w:rPr>
        <w:instrText xml:space="preserve"> ADDIN ZOTERO_ITEM CSL_CITATION {"citationID":"0kukfQ2W","properties":{"formattedCitation":"(Kifuani et al. 2018)","plainCitation":"(Kifuani et al. 2018)","dontUpdate":true,"noteIndex":0},"citationItems":[{"id":1397,"uris":["http://zotero.org/users/17766503/items/SEY2JZUU"],"itemData":{"id":1397,"type":"article-journal","container-title":"International Journal of Biological and Chemical Sciences","issue":"1","page":"558–575","source":"Google Scholar","title":"Adsorption d’un colorant basique, Bleu de Méthylčne, en solution aqueuse, sur un bioadsorbant issu de déchets agricoles de Cucumeropsis mannii Naudin","URL":"https://www.ajol.info/index.php/ijbcs/article/view/172481","volume":"12","author":[{"family":"Kifuani","given":"Kifline Milebudi"},{"family":"Mayeko","given":"Anatole Kifuani Kia"},{"family":"Vesituluta","given":"Philippe Noki"},{"family":"Lopaka","given":"Bernard Ilinga"},{"family":"Bakambo","given":"Gracien Ekoko"},{"family":"Mavinga","given":"Blaise Mbala"},{"family":"Lunguya","given":"Jérémie Muswema"}],"accessed":{"date-parts":[["2025",8,25]]},"issued":{"date-parts":[["2018"]]}}}],"schema":"https://github.com/citation-style-language/schema/raw/master/csl-citation.json"} </w:instrText>
      </w:r>
      <w:r w:rsidR="00933BFC">
        <w:rPr>
          <w:rFonts w:ascii="Arial" w:hAnsi="Arial" w:cs="Arial"/>
          <w:sz w:val="20"/>
          <w:szCs w:val="24"/>
        </w:rPr>
        <w:fldChar w:fldCharType="separate"/>
      </w:r>
      <w:r w:rsidR="00933BFC" w:rsidRPr="00933BFC">
        <w:rPr>
          <w:rFonts w:ascii="Arial" w:hAnsi="Arial" w:cs="Arial"/>
          <w:sz w:val="20"/>
        </w:rPr>
        <w:t>(Kifuani et al.</w:t>
      </w:r>
      <w:r w:rsidR="00933BFC">
        <w:rPr>
          <w:rFonts w:ascii="Arial" w:hAnsi="Arial" w:cs="Arial"/>
          <w:sz w:val="20"/>
        </w:rPr>
        <w:t>,</w:t>
      </w:r>
      <w:r w:rsidR="00933BFC" w:rsidRPr="00933BFC">
        <w:rPr>
          <w:rFonts w:ascii="Arial" w:hAnsi="Arial" w:cs="Arial"/>
          <w:sz w:val="20"/>
        </w:rPr>
        <w:t xml:space="preserve"> 2018)</w:t>
      </w:r>
      <w:r w:rsidR="00933BFC">
        <w:rPr>
          <w:rFonts w:ascii="Arial" w:hAnsi="Arial" w:cs="Arial"/>
          <w:sz w:val="20"/>
          <w:szCs w:val="24"/>
        </w:rPr>
        <w:fldChar w:fldCharType="end"/>
      </w:r>
      <w:r w:rsidR="00933BFC">
        <w:rPr>
          <w:rFonts w:ascii="Arial" w:hAnsi="Arial" w:cs="Arial"/>
          <w:sz w:val="20"/>
          <w:szCs w:val="24"/>
        </w:rPr>
        <w:t>.</w:t>
      </w:r>
      <w:r w:rsidR="00AA5673" w:rsidRPr="00F3516E">
        <w:rPr>
          <w:rFonts w:ascii="Arial" w:hAnsi="Arial" w:cs="Arial"/>
          <w:sz w:val="20"/>
          <w:szCs w:val="24"/>
        </w:rPr>
        <w:t xml:space="preserve"> The increase in adsorption with increasing carbon dose is due to the fact that more surface area is available for adsorption or, in other words, more active sites are available</w:t>
      </w:r>
      <w:r w:rsidR="00933BFC">
        <w:rPr>
          <w:rFonts w:ascii="Arial" w:hAnsi="Arial" w:cs="Arial"/>
          <w:sz w:val="20"/>
          <w:szCs w:val="24"/>
        </w:rPr>
        <w:t xml:space="preserve"> </w:t>
      </w:r>
      <w:r w:rsidR="00933BFC">
        <w:rPr>
          <w:rFonts w:ascii="Arial" w:hAnsi="Arial" w:cs="Arial"/>
          <w:sz w:val="20"/>
          <w:szCs w:val="24"/>
        </w:rPr>
        <w:fldChar w:fldCharType="begin"/>
      </w:r>
      <w:r w:rsidR="00B969D9">
        <w:rPr>
          <w:rFonts w:ascii="Arial" w:hAnsi="Arial" w:cs="Arial"/>
          <w:sz w:val="20"/>
          <w:szCs w:val="24"/>
        </w:rPr>
        <w:instrText xml:space="preserve"> ADDIN ZOTERO_ITEM CSL_CITATION {"citationID":"5I70n4g9","properties":{"formattedCitation":"(Anwar et al. 2009)","plainCitation":"(Anwar et al. 2009)","dontUpdate":true,"noteIndex":0},"citationItems":[{"id":1400,"uris":["http://zotero.org/users/17766503/items/I6ICPW47"],"itemData":{"id":1400,"type":"article-journal","abstract":"The adsorption of Cr(III) by two different coal varieties from Lakhra and Thar coalﬁelds (Pakistan) have been studied in batch mode. The effect of adsorbent dose, pH, contact time and agitation speed on the adsorption of Cr(III) by both the coals were investigated. Adsorption equilibrium was achieved in 40–50 min. The Langmuir, Freundlich and Temkin adsorption isotherms were used to elucidate the observed sorption phenomena. The maximum Cr(III) removal was 2.61 mg of Cr(III) per gram of LC (Lakhra coal) and 2.55 mg of Cr(III) per gram of TC (Thar coal) as evaluated from Langmuir isotherm. The heat of sorption was in the range 3.75–3.87 kJ/mol as evaluated from Temkin isotherm. Best results were obtained at pH &gt; 5. It is proposed that low rank coals of Pakistan can be used for removal of toxic metals like Cr(III) from industrial efﬂuents/waste waters.","container-title":"Journal of Hazardous Materials","DOI":"10.1016/j.jhazmat.2009.06.076","ISSN":"03043894","issue":"1-3","journalAbbreviation":"Journal of Hazardous Materials","language":"en","license":"https://www.elsevier.com/tdm/userlicense/1.0/","page":"797-801","source":"DOI.org (Crossref)","title":"Removal of chromium (III) by using coal as adsorbent","URL":"https://linkinghub.elsevier.com/retrieve/pii/S0304389409009947","volume":"171","author":[{"family":"Anwar","given":"Jamil"},{"family":"Shafique","given":"Umer"},{"family":"Salman","given":"Muhammad"},{"literal":"Waheed-uz-Zaman"},{"family":"Anwar","given":"Shafique"},{"family":"Anzano","given":"Jesús M."}],"accessed":{"date-parts":[["2025",8,25]]},"issued":{"date-parts":[["2009",11]]}}}],"schema":"https://github.com/citation-style-language/schema/raw/master/csl-citation.json"} </w:instrText>
      </w:r>
      <w:r w:rsidR="00933BFC">
        <w:rPr>
          <w:rFonts w:ascii="Arial" w:hAnsi="Arial" w:cs="Arial"/>
          <w:sz w:val="20"/>
          <w:szCs w:val="24"/>
        </w:rPr>
        <w:fldChar w:fldCharType="separate"/>
      </w:r>
      <w:r w:rsidR="00933BFC" w:rsidRPr="00933BFC">
        <w:rPr>
          <w:rFonts w:ascii="Arial" w:hAnsi="Arial" w:cs="Arial"/>
          <w:sz w:val="20"/>
        </w:rPr>
        <w:t>(Anwar et al.</w:t>
      </w:r>
      <w:r w:rsidR="00933BFC">
        <w:rPr>
          <w:rFonts w:ascii="Arial" w:hAnsi="Arial" w:cs="Arial"/>
          <w:sz w:val="20"/>
        </w:rPr>
        <w:t>,</w:t>
      </w:r>
      <w:r w:rsidR="00933BFC" w:rsidRPr="00933BFC">
        <w:rPr>
          <w:rFonts w:ascii="Arial" w:hAnsi="Arial" w:cs="Arial"/>
          <w:sz w:val="20"/>
        </w:rPr>
        <w:t xml:space="preserve"> 2009)</w:t>
      </w:r>
      <w:r w:rsidR="00933BFC">
        <w:rPr>
          <w:rFonts w:ascii="Arial" w:hAnsi="Arial" w:cs="Arial"/>
          <w:sz w:val="20"/>
          <w:szCs w:val="24"/>
        </w:rPr>
        <w:fldChar w:fldCharType="end"/>
      </w:r>
      <w:r w:rsidR="00AA5673" w:rsidRPr="00F3516E">
        <w:rPr>
          <w:rFonts w:ascii="Arial" w:hAnsi="Arial" w:cs="Arial"/>
          <w:sz w:val="20"/>
          <w:szCs w:val="24"/>
        </w:rPr>
        <w:t>.</w:t>
      </w:r>
      <w:r w:rsidR="009C28BF" w:rsidRPr="00F3516E">
        <w:rPr>
          <w:rFonts w:ascii="Arial" w:hAnsi="Arial" w:cs="Arial"/>
          <w:sz w:val="20"/>
          <w:szCs w:val="24"/>
        </w:rPr>
        <w:t xml:space="preserve"> Beyond the optimal mass, the adsorption rate of TDS decreases despite the addition of a certain mass of adsorbent. This decrease in adsorption capacity is explained by the formation of agglomerates of bio</w:t>
      </w:r>
      <w:r w:rsidR="00683C95">
        <w:rPr>
          <w:rFonts w:ascii="Arial" w:hAnsi="Arial" w:cs="Arial"/>
          <w:sz w:val="20"/>
          <w:szCs w:val="24"/>
        </w:rPr>
        <w:t>-</w:t>
      </w:r>
      <w:r w:rsidR="009C28BF" w:rsidRPr="00F3516E">
        <w:rPr>
          <w:rFonts w:ascii="Arial" w:hAnsi="Arial" w:cs="Arial"/>
          <w:sz w:val="20"/>
          <w:szCs w:val="24"/>
        </w:rPr>
        <w:t xml:space="preserve">adsorbent particles at high doses. Steric hindrance is then observed; only a few particles at the periphery of the formed sphere actually participate in </w:t>
      </w:r>
      <w:r w:rsidR="009C28BF" w:rsidRPr="001F0C7A">
        <w:rPr>
          <w:rFonts w:ascii="Arial" w:hAnsi="Arial" w:cs="Arial"/>
          <w:sz w:val="20"/>
          <w:szCs w:val="24"/>
        </w:rPr>
        <w:t>adsorption</w:t>
      </w:r>
      <w:r w:rsidR="003B45A1">
        <w:rPr>
          <w:rFonts w:ascii="Arial" w:hAnsi="Arial" w:cs="Arial"/>
          <w:sz w:val="20"/>
          <w:szCs w:val="24"/>
        </w:rPr>
        <w:t xml:space="preserve"> </w:t>
      </w:r>
      <w:r w:rsidR="003B45A1">
        <w:rPr>
          <w:rFonts w:ascii="Arial" w:hAnsi="Arial" w:cs="Arial"/>
          <w:sz w:val="20"/>
          <w:szCs w:val="24"/>
        </w:rPr>
        <w:fldChar w:fldCharType="begin"/>
      </w:r>
      <w:r w:rsidR="00B969D9">
        <w:rPr>
          <w:rFonts w:ascii="Arial" w:hAnsi="Arial" w:cs="Arial"/>
          <w:sz w:val="20"/>
          <w:szCs w:val="24"/>
        </w:rPr>
        <w:instrText xml:space="preserve"> ADDIN ZOTERO_ITEM CSL_CITATION {"citationID":"hJZICTi7","properties":{"formattedCitation":"(Kifuani et al. 2018)","plainCitation":"(Kifuani et al. 2018)","dontUpdate":true,"noteIndex":0},"citationItems":[{"id":1397,"uris":["http://zotero.org/users/17766503/items/SEY2JZUU"],"itemData":{"id":1397,"type":"article-journal","container-title":"International Journal of Biological and Chemical Sciences","issue":"1","page":"558–575","source":"Google Scholar","title":"Adsorption d’un colorant basique, Bleu de Méthylčne, en solution aqueuse, sur un bioadsorbant issu de déchets agricoles de Cucumeropsis mannii Naudin","URL":"https://www.ajol.info/index.php/ijbcs/article/view/172481","volume":"12","author":[{"family":"Kifuani","given":"Kifline Milebudi"},{"family":"Mayeko","given":"Anatole Kifuani Kia"},{"family":"Vesituluta","given":"Philippe Noki"},{"family":"Lopaka","given":"Bernard Ilinga"},{"family":"Bakambo","given":"Gracien Ekoko"},{"family":"Mavinga","given":"Blaise Mbala"},{"family":"Lunguya","given":"Jérémie Muswema"}],"accessed":{"date-parts":[["2025",8,25]]},"issued":{"date-parts":[["2018"]]}}}],"schema":"https://github.com/citation-style-language/schema/raw/master/csl-citation.json"} </w:instrText>
      </w:r>
      <w:r w:rsidR="003B45A1">
        <w:rPr>
          <w:rFonts w:ascii="Arial" w:hAnsi="Arial" w:cs="Arial"/>
          <w:sz w:val="20"/>
          <w:szCs w:val="24"/>
        </w:rPr>
        <w:fldChar w:fldCharType="separate"/>
      </w:r>
      <w:r w:rsidR="003B45A1" w:rsidRPr="003B45A1">
        <w:rPr>
          <w:rFonts w:ascii="Arial" w:hAnsi="Arial" w:cs="Arial"/>
          <w:sz w:val="20"/>
        </w:rPr>
        <w:t>(Kifuani et al.</w:t>
      </w:r>
      <w:r w:rsidR="003B45A1">
        <w:rPr>
          <w:rFonts w:ascii="Arial" w:hAnsi="Arial" w:cs="Arial"/>
          <w:sz w:val="20"/>
        </w:rPr>
        <w:t>,</w:t>
      </w:r>
      <w:r w:rsidR="003B45A1" w:rsidRPr="003B45A1">
        <w:rPr>
          <w:rFonts w:ascii="Arial" w:hAnsi="Arial" w:cs="Arial"/>
          <w:sz w:val="20"/>
        </w:rPr>
        <w:t xml:space="preserve"> 2018)</w:t>
      </w:r>
      <w:r w:rsidR="003B45A1">
        <w:rPr>
          <w:rFonts w:ascii="Arial" w:hAnsi="Arial" w:cs="Arial"/>
          <w:sz w:val="20"/>
          <w:szCs w:val="24"/>
        </w:rPr>
        <w:fldChar w:fldCharType="end"/>
      </w:r>
      <w:r w:rsidR="003B45A1">
        <w:rPr>
          <w:rFonts w:ascii="Arial" w:hAnsi="Arial" w:cs="Arial"/>
          <w:sz w:val="20"/>
          <w:szCs w:val="24"/>
        </w:rPr>
        <w:t>.</w:t>
      </w:r>
    </w:p>
    <w:p w14:paraId="2AA2D456" w14:textId="49BD3862" w:rsidR="009C28BF" w:rsidRDefault="003A33AE" w:rsidP="00446F8F">
      <w:pPr>
        <w:spacing w:line="360" w:lineRule="auto"/>
        <w:jc w:val="center"/>
      </w:pPr>
      <w:r>
        <w:object w:dxaOrig="7957" w:dyaOrig="5612" w14:anchorId="570E6030">
          <v:shape id="_x0000_i1026" type="#_x0000_t75" style="width:338.95pt;height:239.1pt" o:ole="">
            <v:imagedata r:id="rId10" o:title=""/>
          </v:shape>
          <o:OLEObject Type="Embed" ProgID="Origin50.Graph" ShapeID="_x0000_i1026" DrawAspect="Content" ObjectID="_1818582070" r:id="rId11"/>
        </w:object>
      </w:r>
    </w:p>
    <w:p w14:paraId="43B8BDC9" w14:textId="38BF82F5" w:rsidR="004C353E" w:rsidRPr="00EE3818" w:rsidRDefault="0000536F" w:rsidP="0000536F">
      <w:pPr>
        <w:pStyle w:val="Caption"/>
        <w:jc w:val="center"/>
        <w:rPr>
          <w:rFonts w:ascii="Arial" w:hAnsi="Arial" w:cs="Arial"/>
          <w:b/>
          <w:i w:val="0"/>
          <w:color w:val="auto"/>
          <w:sz w:val="20"/>
          <w:szCs w:val="20"/>
        </w:rPr>
      </w:pPr>
      <w:r w:rsidRPr="00EE3818">
        <w:rPr>
          <w:rFonts w:ascii="Arial" w:hAnsi="Arial" w:cs="Arial"/>
          <w:b/>
          <w:i w:val="0"/>
          <w:color w:val="auto"/>
          <w:sz w:val="20"/>
          <w:szCs w:val="20"/>
        </w:rPr>
        <w:t>Fig</w:t>
      </w:r>
      <w:r w:rsidR="00EE3818" w:rsidRPr="00EE3818">
        <w:rPr>
          <w:rFonts w:ascii="Arial" w:hAnsi="Arial" w:cs="Arial"/>
          <w:b/>
          <w:i w:val="0"/>
          <w:color w:val="auto"/>
          <w:sz w:val="20"/>
          <w:szCs w:val="20"/>
        </w:rPr>
        <w:t>.</w:t>
      </w:r>
      <w:r w:rsidRPr="00EE3818">
        <w:rPr>
          <w:rFonts w:ascii="Arial" w:hAnsi="Arial" w:cs="Arial"/>
          <w:b/>
          <w:i w:val="0"/>
          <w:color w:val="auto"/>
          <w:sz w:val="20"/>
          <w:szCs w:val="20"/>
        </w:rPr>
        <w:t xml:space="preserve"> </w:t>
      </w:r>
      <w:r w:rsidRPr="00EE3818">
        <w:rPr>
          <w:rFonts w:ascii="Arial" w:hAnsi="Arial" w:cs="Arial"/>
          <w:b/>
          <w:i w:val="0"/>
          <w:color w:val="auto"/>
          <w:sz w:val="20"/>
          <w:szCs w:val="20"/>
        </w:rPr>
        <w:fldChar w:fldCharType="begin"/>
      </w:r>
      <w:r w:rsidRPr="00EE3818">
        <w:rPr>
          <w:rFonts w:ascii="Arial" w:hAnsi="Arial" w:cs="Arial"/>
          <w:b/>
          <w:i w:val="0"/>
          <w:color w:val="auto"/>
          <w:sz w:val="20"/>
          <w:szCs w:val="20"/>
        </w:rPr>
        <w:instrText xml:space="preserve"> SEQ Figure \* ARABIC </w:instrText>
      </w:r>
      <w:r w:rsidRPr="00EE3818">
        <w:rPr>
          <w:rFonts w:ascii="Arial" w:hAnsi="Arial" w:cs="Arial"/>
          <w:b/>
          <w:i w:val="0"/>
          <w:color w:val="auto"/>
          <w:sz w:val="20"/>
          <w:szCs w:val="20"/>
        </w:rPr>
        <w:fldChar w:fldCharType="separate"/>
      </w:r>
      <w:r w:rsidRPr="00EE3818">
        <w:rPr>
          <w:rFonts w:ascii="Arial" w:hAnsi="Arial" w:cs="Arial"/>
          <w:b/>
          <w:i w:val="0"/>
          <w:color w:val="auto"/>
          <w:sz w:val="20"/>
          <w:szCs w:val="20"/>
        </w:rPr>
        <w:t>2</w:t>
      </w:r>
      <w:r w:rsidRPr="00EE3818">
        <w:rPr>
          <w:rFonts w:ascii="Arial" w:hAnsi="Arial" w:cs="Arial"/>
          <w:b/>
          <w:i w:val="0"/>
          <w:color w:val="auto"/>
          <w:sz w:val="20"/>
          <w:szCs w:val="20"/>
        </w:rPr>
        <w:fldChar w:fldCharType="end"/>
      </w:r>
      <w:r w:rsidR="00EE3818" w:rsidRPr="00EE3818">
        <w:rPr>
          <w:rFonts w:ascii="Arial" w:hAnsi="Arial" w:cs="Arial"/>
          <w:b/>
          <w:i w:val="0"/>
          <w:color w:val="auto"/>
          <w:sz w:val="20"/>
          <w:szCs w:val="20"/>
        </w:rPr>
        <w:t xml:space="preserve">. Effect of adsorbent dose on </w:t>
      </w:r>
      <w:r w:rsidR="00EE3818">
        <w:rPr>
          <w:rFonts w:ascii="Arial" w:hAnsi="Arial" w:cs="Arial"/>
          <w:b/>
          <w:i w:val="0"/>
          <w:color w:val="auto"/>
          <w:sz w:val="20"/>
          <w:szCs w:val="20"/>
        </w:rPr>
        <w:t xml:space="preserve">the </w:t>
      </w:r>
      <w:r w:rsidR="00EE3818" w:rsidRPr="00EE3818">
        <w:rPr>
          <w:rFonts w:ascii="Arial" w:hAnsi="Arial" w:cs="Arial"/>
          <w:b/>
          <w:i w:val="0"/>
          <w:color w:val="auto"/>
          <w:sz w:val="20"/>
          <w:szCs w:val="20"/>
        </w:rPr>
        <w:t xml:space="preserve">adsorption </w:t>
      </w:r>
      <w:r w:rsidR="00EE3818">
        <w:rPr>
          <w:rFonts w:ascii="Arial" w:hAnsi="Arial" w:cs="Arial"/>
          <w:b/>
          <w:i w:val="0"/>
          <w:color w:val="auto"/>
          <w:sz w:val="20"/>
          <w:szCs w:val="20"/>
        </w:rPr>
        <w:t xml:space="preserve">of </w:t>
      </w:r>
      <w:r w:rsidR="00EE3818" w:rsidRPr="00EE3818">
        <w:rPr>
          <w:rFonts w:ascii="Arial" w:hAnsi="Arial" w:cs="Arial"/>
          <w:b/>
          <w:i w:val="0"/>
          <w:color w:val="auto"/>
          <w:sz w:val="20"/>
          <w:szCs w:val="20"/>
        </w:rPr>
        <w:t xml:space="preserve">TDS </w:t>
      </w:r>
    </w:p>
    <w:p w14:paraId="215599FE" w14:textId="77777777" w:rsidR="00752F1B" w:rsidRDefault="00752F1B" w:rsidP="00446F8F">
      <w:pPr>
        <w:spacing w:line="360" w:lineRule="auto"/>
        <w:jc w:val="both"/>
        <w:rPr>
          <w:rFonts w:ascii="Times New Roman" w:hAnsi="Times New Roman" w:cs="Times New Roman"/>
          <w:b/>
          <w:sz w:val="24"/>
          <w:szCs w:val="24"/>
        </w:rPr>
      </w:pPr>
    </w:p>
    <w:p w14:paraId="6C01742C" w14:textId="77777777" w:rsidR="009C28BF" w:rsidRPr="00B02B88" w:rsidRDefault="009C28BF" w:rsidP="00446F8F">
      <w:pPr>
        <w:pStyle w:val="ListParagraph"/>
        <w:numPr>
          <w:ilvl w:val="1"/>
          <w:numId w:val="12"/>
        </w:numPr>
        <w:spacing w:line="360" w:lineRule="auto"/>
        <w:jc w:val="both"/>
        <w:rPr>
          <w:rFonts w:ascii="Times New Roman" w:hAnsi="Times New Roman" w:cs="Times New Roman"/>
          <w:b/>
          <w:sz w:val="24"/>
          <w:szCs w:val="24"/>
        </w:rPr>
      </w:pPr>
      <w:r w:rsidRPr="00B02B88">
        <w:rPr>
          <w:rFonts w:ascii="Times New Roman" w:hAnsi="Times New Roman" w:cs="Times New Roman"/>
          <w:b/>
          <w:sz w:val="24"/>
          <w:szCs w:val="24"/>
        </w:rPr>
        <w:t>Effect of the initial concentration</w:t>
      </w:r>
    </w:p>
    <w:p w14:paraId="0ED2A018" w14:textId="307C9880" w:rsidR="009C28BF" w:rsidRPr="00F3516E" w:rsidRDefault="009C28BF" w:rsidP="00A7605C">
      <w:pPr>
        <w:spacing w:line="240" w:lineRule="auto"/>
        <w:jc w:val="both"/>
        <w:rPr>
          <w:rFonts w:ascii="Arial" w:hAnsi="Arial" w:cs="Arial"/>
          <w:sz w:val="20"/>
          <w:szCs w:val="24"/>
        </w:rPr>
      </w:pPr>
      <w:r w:rsidRPr="00F3516E">
        <w:rPr>
          <w:rFonts w:ascii="Arial" w:hAnsi="Arial" w:cs="Arial"/>
          <w:sz w:val="20"/>
          <w:szCs w:val="24"/>
        </w:rPr>
        <w:t>This graph</w:t>
      </w:r>
      <w:r w:rsidR="00153372">
        <w:rPr>
          <w:rFonts w:ascii="Arial" w:hAnsi="Arial" w:cs="Arial"/>
          <w:sz w:val="20"/>
          <w:szCs w:val="24"/>
        </w:rPr>
        <w:t xml:space="preserve"> of the figure 3 </w:t>
      </w:r>
      <w:r w:rsidRPr="00F3516E">
        <w:rPr>
          <w:rFonts w:ascii="Arial" w:hAnsi="Arial" w:cs="Arial"/>
          <w:sz w:val="20"/>
          <w:szCs w:val="24"/>
        </w:rPr>
        <w:t xml:space="preserve">shows the evolution of the adsorption capacity </w:t>
      </w:r>
      <w:proofErr w:type="spellStart"/>
      <w:r w:rsidRPr="00F3516E">
        <w:rPr>
          <w:rFonts w:ascii="Arial" w:hAnsi="Arial" w:cs="Arial"/>
          <w:sz w:val="20"/>
          <w:szCs w:val="24"/>
        </w:rPr>
        <w:t>Q</w:t>
      </w:r>
      <w:r w:rsidRPr="00F3516E">
        <w:rPr>
          <w:rFonts w:ascii="Arial" w:hAnsi="Arial" w:cs="Arial"/>
          <w:sz w:val="20"/>
          <w:szCs w:val="24"/>
          <w:vertAlign w:val="subscript"/>
        </w:rPr>
        <w:t>e</w:t>
      </w:r>
      <w:proofErr w:type="spellEnd"/>
      <w:r w:rsidRPr="00F3516E">
        <w:rPr>
          <w:rFonts w:ascii="Arial" w:hAnsi="Arial" w:cs="Arial"/>
          <w:sz w:val="20"/>
          <w:szCs w:val="24"/>
        </w:rPr>
        <w:t xml:space="preserve"> (mg/g) as a function of the initial TDS concentration C</w:t>
      </w:r>
      <w:r w:rsidRPr="00F3516E">
        <w:rPr>
          <w:rFonts w:ascii="Arial" w:hAnsi="Arial" w:cs="Arial"/>
          <w:sz w:val="20"/>
          <w:szCs w:val="24"/>
          <w:vertAlign w:val="subscript"/>
        </w:rPr>
        <w:t>0</w:t>
      </w:r>
      <w:r w:rsidRPr="00F3516E">
        <w:rPr>
          <w:rFonts w:ascii="Arial" w:hAnsi="Arial" w:cs="Arial"/>
          <w:sz w:val="20"/>
          <w:szCs w:val="24"/>
        </w:rPr>
        <w:t xml:space="preserve"> (in mg/L).</w:t>
      </w:r>
      <w:r w:rsidR="00111072" w:rsidRPr="00F3516E">
        <w:rPr>
          <w:rFonts w:ascii="Arial" w:hAnsi="Arial" w:cs="Arial"/>
          <w:sz w:val="20"/>
          <w:szCs w:val="24"/>
        </w:rPr>
        <w:t xml:space="preserve"> </w:t>
      </w:r>
      <w:proofErr w:type="spellStart"/>
      <w:r w:rsidR="00111072" w:rsidRPr="00F3516E">
        <w:rPr>
          <w:rFonts w:ascii="Arial" w:hAnsi="Arial" w:cs="Arial"/>
          <w:sz w:val="20"/>
          <w:szCs w:val="24"/>
        </w:rPr>
        <w:t>Qe</w:t>
      </w:r>
      <w:proofErr w:type="spellEnd"/>
      <w:r w:rsidR="00111072" w:rsidRPr="00F3516E">
        <w:rPr>
          <w:rFonts w:ascii="Arial" w:hAnsi="Arial" w:cs="Arial"/>
          <w:sz w:val="20"/>
          <w:szCs w:val="24"/>
        </w:rPr>
        <w:t xml:space="preserve"> increases overall with C</w:t>
      </w:r>
      <w:r w:rsidR="00111072" w:rsidRPr="006D51EC">
        <w:rPr>
          <w:rFonts w:ascii="Arial" w:hAnsi="Arial" w:cs="Arial"/>
          <w:sz w:val="20"/>
          <w:szCs w:val="24"/>
          <w:vertAlign w:val="subscript"/>
        </w:rPr>
        <w:t>0</w:t>
      </w:r>
      <w:r w:rsidR="00111072" w:rsidRPr="00F3516E">
        <w:rPr>
          <w:rFonts w:ascii="Arial" w:hAnsi="Arial" w:cs="Arial"/>
          <w:sz w:val="20"/>
          <w:szCs w:val="24"/>
        </w:rPr>
        <w:t xml:space="preserve">, which is typical of adsorption phenomena: the higher the initial concentration of the solute, the greater the quantity adsorbed per unit mass of activated carbon. Between approximately 50 and 130 mg/L, a significant increase in </w:t>
      </w:r>
      <w:proofErr w:type="spellStart"/>
      <w:r w:rsidR="00111072" w:rsidRPr="00F3516E">
        <w:rPr>
          <w:rFonts w:ascii="Arial" w:hAnsi="Arial" w:cs="Arial"/>
          <w:sz w:val="20"/>
          <w:szCs w:val="24"/>
        </w:rPr>
        <w:t>Qe</w:t>
      </w:r>
      <w:proofErr w:type="spellEnd"/>
      <w:r w:rsidR="00111072" w:rsidRPr="00F3516E">
        <w:rPr>
          <w:rFonts w:ascii="Arial" w:hAnsi="Arial" w:cs="Arial"/>
          <w:sz w:val="20"/>
          <w:szCs w:val="24"/>
        </w:rPr>
        <w:t xml:space="preserve"> is observed, indicating that the activated carbon still has available capacity to adsorb the solute.</w:t>
      </w:r>
      <w:r w:rsidR="005D49D6" w:rsidRPr="00F3516E">
        <w:rPr>
          <w:rFonts w:ascii="Arial" w:hAnsi="Arial" w:cs="Arial"/>
          <w:sz w:val="20"/>
          <w:szCs w:val="24"/>
        </w:rPr>
        <w:t xml:space="preserve"> From 130 mg/L, the </w:t>
      </w:r>
      <w:proofErr w:type="spellStart"/>
      <w:r w:rsidR="005D49D6" w:rsidRPr="00F3516E">
        <w:rPr>
          <w:rFonts w:ascii="Arial" w:hAnsi="Arial" w:cs="Arial"/>
          <w:sz w:val="20"/>
          <w:szCs w:val="24"/>
        </w:rPr>
        <w:t>Qe</w:t>
      </w:r>
      <w:proofErr w:type="spellEnd"/>
      <w:r w:rsidR="005D49D6" w:rsidRPr="00F3516E">
        <w:rPr>
          <w:rFonts w:ascii="Arial" w:hAnsi="Arial" w:cs="Arial"/>
          <w:sz w:val="20"/>
          <w:szCs w:val="24"/>
        </w:rPr>
        <w:t xml:space="preserve"> reaches a maximum (about 1.4 mg/g) and then decreases slightly to 150 mg/L. This may indicate saturation of the active carbon sites or competitive or inhibitory effects at high concentrations.</w:t>
      </w:r>
    </w:p>
    <w:p w14:paraId="41545F9B" w14:textId="77777777" w:rsidR="005D49D6" w:rsidRDefault="005D49D6" w:rsidP="00446F8F">
      <w:pPr>
        <w:spacing w:line="360" w:lineRule="auto"/>
        <w:jc w:val="center"/>
        <w:rPr>
          <w:rFonts w:ascii="Times New Roman" w:hAnsi="Times New Roman" w:cs="Times New Roman"/>
          <w:sz w:val="24"/>
          <w:szCs w:val="24"/>
        </w:rPr>
      </w:pPr>
    </w:p>
    <w:p w14:paraId="107B2D79" w14:textId="77777777" w:rsidR="0000536F" w:rsidRPr="00EE3818" w:rsidRDefault="00F3516E" w:rsidP="0000536F">
      <w:pPr>
        <w:keepNext/>
        <w:spacing w:line="360" w:lineRule="auto"/>
        <w:jc w:val="center"/>
        <w:rPr>
          <w:rFonts w:ascii="Arial" w:hAnsi="Arial" w:cs="Arial"/>
          <w:b/>
          <w:iCs/>
          <w:sz w:val="20"/>
          <w:szCs w:val="20"/>
        </w:rPr>
      </w:pPr>
      <w:r w:rsidRPr="00EE3818">
        <w:rPr>
          <w:rFonts w:ascii="Arial" w:hAnsi="Arial" w:cs="Arial"/>
          <w:b/>
          <w:iCs/>
          <w:sz w:val="20"/>
          <w:szCs w:val="20"/>
        </w:rPr>
        <w:object w:dxaOrig="9228" w:dyaOrig="6518" w14:anchorId="7A85C253">
          <v:shape id="_x0000_i1027" type="#_x0000_t75" style="width:251.3pt;height:197.65pt" o:ole="">
            <v:imagedata r:id="rId12" o:title="" croptop="3914f" cropbottom="2605f" cropleft="5324f" cropright="7475f"/>
          </v:shape>
          <o:OLEObject Type="Embed" ProgID="Origin50.Graph" ShapeID="_x0000_i1027" DrawAspect="Content" ObjectID="_1818582071" r:id="rId13"/>
        </w:object>
      </w:r>
    </w:p>
    <w:p w14:paraId="5CE4A190" w14:textId="194D23D0" w:rsidR="00111072" w:rsidRDefault="0000536F" w:rsidP="0000536F">
      <w:pPr>
        <w:pStyle w:val="Caption"/>
        <w:jc w:val="center"/>
        <w:rPr>
          <w:rFonts w:ascii="Arial" w:hAnsi="Arial" w:cs="Arial"/>
          <w:b/>
          <w:i w:val="0"/>
          <w:color w:val="auto"/>
          <w:sz w:val="20"/>
          <w:szCs w:val="20"/>
        </w:rPr>
      </w:pPr>
      <w:r w:rsidRPr="00795BFD">
        <w:rPr>
          <w:rFonts w:ascii="Arial" w:hAnsi="Arial" w:cs="Arial"/>
          <w:b/>
          <w:i w:val="0"/>
          <w:color w:val="auto"/>
        </w:rPr>
        <w:t>Fig</w:t>
      </w:r>
      <w:r w:rsidR="00EE3818" w:rsidRPr="00EE3818">
        <w:rPr>
          <w:rFonts w:ascii="Arial" w:hAnsi="Arial" w:cs="Arial"/>
          <w:b/>
          <w:i w:val="0"/>
          <w:color w:val="auto"/>
          <w:sz w:val="20"/>
          <w:szCs w:val="20"/>
        </w:rPr>
        <w:t>. 3. Effect of the initial concentration of TDS on the adsorption of TDS</w:t>
      </w:r>
    </w:p>
    <w:p w14:paraId="3F63B06A" w14:textId="6E73A1C8" w:rsidR="002E6DB5" w:rsidRDefault="002E6DB5" w:rsidP="002E6DB5"/>
    <w:p w14:paraId="6C7BC682" w14:textId="77777777" w:rsidR="00974787" w:rsidRPr="00B02B88" w:rsidRDefault="00974787" w:rsidP="00446F8F">
      <w:pPr>
        <w:pStyle w:val="ListParagraph"/>
        <w:numPr>
          <w:ilvl w:val="1"/>
          <w:numId w:val="12"/>
        </w:numPr>
        <w:spacing w:line="360" w:lineRule="auto"/>
        <w:jc w:val="both"/>
        <w:rPr>
          <w:rFonts w:ascii="Times New Roman" w:hAnsi="Times New Roman" w:cs="Times New Roman"/>
          <w:b/>
          <w:sz w:val="24"/>
          <w:szCs w:val="24"/>
        </w:rPr>
      </w:pPr>
      <w:r w:rsidRPr="00B02B88">
        <w:rPr>
          <w:rFonts w:ascii="Times New Roman" w:hAnsi="Times New Roman" w:cs="Times New Roman"/>
          <w:b/>
          <w:sz w:val="24"/>
          <w:szCs w:val="24"/>
        </w:rPr>
        <w:t>Effect of contact time</w:t>
      </w:r>
    </w:p>
    <w:p w14:paraId="637B6B86" w14:textId="2B448099" w:rsidR="00FC570B" w:rsidRPr="00F3516E" w:rsidRDefault="00FC570B" w:rsidP="00A7605C">
      <w:pPr>
        <w:spacing w:line="240" w:lineRule="auto"/>
        <w:jc w:val="both"/>
        <w:rPr>
          <w:rFonts w:ascii="Arial" w:hAnsi="Arial" w:cs="Arial"/>
          <w:sz w:val="20"/>
          <w:szCs w:val="20"/>
        </w:rPr>
      </w:pPr>
      <w:r w:rsidRPr="00F3516E">
        <w:rPr>
          <w:rFonts w:ascii="Arial" w:hAnsi="Arial" w:cs="Arial"/>
          <w:sz w:val="20"/>
          <w:szCs w:val="20"/>
        </w:rPr>
        <w:t>The effect of contact time on TDS reduction was studied by varying the contact time from 10 to 130 min</w:t>
      </w:r>
      <w:r w:rsidR="00153372">
        <w:rPr>
          <w:rFonts w:ascii="Arial" w:hAnsi="Arial" w:cs="Arial"/>
          <w:sz w:val="20"/>
          <w:szCs w:val="20"/>
        </w:rPr>
        <w:t xml:space="preserve"> as represented on the figure 4</w:t>
      </w:r>
      <w:r w:rsidRPr="00F3516E">
        <w:rPr>
          <w:rFonts w:ascii="Arial" w:hAnsi="Arial" w:cs="Arial"/>
          <w:sz w:val="20"/>
          <w:szCs w:val="20"/>
        </w:rPr>
        <w:t>.</w:t>
      </w:r>
      <w:r w:rsidR="007F6F2A" w:rsidRPr="00F3516E">
        <w:rPr>
          <w:rFonts w:ascii="Arial" w:hAnsi="Arial" w:cs="Arial"/>
          <w:sz w:val="20"/>
          <w:szCs w:val="20"/>
        </w:rPr>
        <w:t xml:space="preserve"> The graph represents the evolution of the adsorbed quantity of TDS Qt (mg/g) versus contact time (min). The curve shows a rapid increase in Qt during the first minutes (0–30 min), indicating very rapid initial adsorption. The curve then gradually flattens to reach a plateau around 120 min, suggesting that adsorption equilibrium has been reached. The increase in </w:t>
      </w:r>
      <w:r w:rsidR="003E7A10">
        <w:rPr>
          <w:rFonts w:ascii="Arial" w:hAnsi="Arial" w:cs="Arial"/>
          <w:sz w:val="20"/>
          <w:szCs w:val="20"/>
        </w:rPr>
        <w:t>adsorption</w:t>
      </w:r>
      <w:r w:rsidR="007F6F2A" w:rsidRPr="00F3516E">
        <w:rPr>
          <w:rFonts w:ascii="Arial" w:hAnsi="Arial" w:cs="Arial"/>
          <w:sz w:val="20"/>
          <w:szCs w:val="20"/>
        </w:rPr>
        <w:t xml:space="preserve"> efficiency with increasing contact time is due to the fact that pollutants have more time to form a complex with the adsorbent</w:t>
      </w:r>
      <w:r w:rsidR="003B45A1">
        <w:rPr>
          <w:rFonts w:ascii="Arial" w:hAnsi="Arial" w:cs="Arial"/>
          <w:sz w:val="20"/>
          <w:szCs w:val="20"/>
        </w:rPr>
        <w:t xml:space="preserve"> </w:t>
      </w:r>
      <w:r w:rsidR="003B45A1" w:rsidRPr="003B45A1">
        <w:rPr>
          <w:rFonts w:ascii="Arial" w:hAnsi="Arial" w:cs="Arial"/>
          <w:sz w:val="20"/>
          <w:szCs w:val="20"/>
        </w:rPr>
        <w:fldChar w:fldCharType="begin"/>
      </w:r>
      <w:r w:rsidR="00B969D9">
        <w:rPr>
          <w:rFonts w:ascii="Arial" w:hAnsi="Arial" w:cs="Arial"/>
          <w:sz w:val="20"/>
          <w:szCs w:val="20"/>
        </w:rPr>
        <w:instrText xml:space="preserve"> ADDIN ZOTERO_ITEM CSL_CITATION {"citationID":"Xz1pnqJC","properties":{"formattedCitation":"(Anwar et al. 2009)","plainCitation":"(Anwar et al. 2009)","dontUpdate":true,"noteIndex":0},"citationItems":[{"id":1400,"uris":["http://zotero.org/users/17766503/items/I6ICPW47"],"itemData":{"id":1400,"type":"article-journal","abstract":"The adsorption of Cr(III) by two different coal varieties from Lakhra and Thar coalﬁelds (Pakistan) have been studied in batch mode. The effect of adsorbent dose, pH, contact time and agitation speed on the adsorption of Cr(III) by both the coals were investigated. Adsorption equilibrium was achieved in 40–50 min. The Langmuir, Freundlich and Temkin adsorption isotherms were used to elucidate the observed sorption phenomena. The maximum Cr(III) removal was 2.61 mg of Cr(III) per gram of LC (Lakhra coal) and 2.55 mg of Cr(III) per gram of TC (Thar coal) as evaluated from Langmuir isotherm. The heat of sorption was in the range 3.75–3.87 kJ/mol as evaluated from Temkin isotherm. Best results were obtained at pH &gt; 5. It is proposed that low rank coals of Pakistan can be used for removal of toxic metals like Cr(III) from industrial efﬂuents/waste waters.","container-title":"Journal of Hazardous Materials","DOI":"10.1016/j.jhazmat.2009.06.076","ISSN":"03043894","issue":"1-3","journalAbbreviation":"Journal of Hazardous Materials","language":"en","license":"https://www.elsevier.com/tdm/userlicense/1.0/","page":"797-801","source":"DOI.org (Crossref)","title":"Removal of chromium (III) by using coal as adsorbent","URL":"https://linkinghub.elsevier.com/retrieve/pii/S0304389409009947","volume":"171","author":[{"family":"Anwar","given":"Jamil"},{"family":"Shafique","given":"Umer"},{"family":"Salman","given":"Muhammad"},{"literal":"Waheed-uz-Zaman"},{"family":"Anwar","given":"Shafique"},{"family":"Anzano","given":"Jesús M."}],"accessed":{"date-parts":[["2025",8,25]]},"issued":{"date-parts":[["2009",11]]}}}],"schema":"https://github.com/citation-style-language/schema/raw/master/csl-citation.json"} </w:instrText>
      </w:r>
      <w:r w:rsidR="003B45A1" w:rsidRPr="003B45A1">
        <w:rPr>
          <w:rFonts w:ascii="Arial" w:hAnsi="Arial" w:cs="Arial"/>
          <w:sz w:val="20"/>
          <w:szCs w:val="20"/>
        </w:rPr>
        <w:fldChar w:fldCharType="separate"/>
      </w:r>
      <w:r w:rsidR="003B45A1" w:rsidRPr="003B45A1">
        <w:rPr>
          <w:rFonts w:ascii="Arial" w:hAnsi="Arial" w:cs="Arial"/>
          <w:sz w:val="20"/>
        </w:rPr>
        <w:t>(Anwar et al., 2009)</w:t>
      </w:r>
      <w:r w:rsidR="003B45A1" w:rsidRPr="003B45A1">
        <w:rPr>
          <w:rFonts w:ascii="Arial" w:hAnsi="Arial" w:cs="Arial"/>
          <w:sz w:val="20"/>
          <w:szCs w:val="20"/>
        </w:rPr>
        <w:fldChar w:fldCharType="end"/>
      </w:r>
      <w:r w:rsidR="007F6F2A" w:rsidRPr="003B45A1">
        <w:rPr>
          <w:rFonts w:ascii="Arial" w:hAnsi="Arial" w:cs="Arial"/>
          <w:sz w:val="20"/>
          <w:szCs w:val="20"/>
        </w:rPr>
        <w:t>.</w:t>
      </w:r>
    </w:p>
    <w:p w14:paraId="097935AA" w14:textId="77777777" w:rsidR="0000536F" w:rsidRDefault="00752F1B" w:rsidP="0000536F">
      <w:pPr>
        <w:keepNext/>
        <w:spacing w:line="360" w:lineRule="auto"/>
        <w:jc w:val="center"/>
      </w:pPr>
      <w:r w:rsidRPr="00252813">
        <w:object w:dxaOrig="9227" w:dyaOrig="6517" w14:anchorId="787CF272">
          <v:shape id="_x0000_i1028" type="#_x0000_t75" style="width:277.15pt;height:205.15pt" o:ole="">
            <v:imagedata r:id="rId14" o:title="" croptop="1223f" cropleft="4009f"/>
          </v:shape>
          <o:OLEObject Type="Embed" ProgID="Origin50.Graph" ShapeID="_x0000_i1028" DrawAspect="Content" ObjectID="_1818582072" r:id="rId15"/>
        </w:object>
      </w:r>
    </w:p>
    <w:p w14:paraId="10D8EF17" w14:textId="56A7DE74" w:rsidR="00841B17" w:rsidRPr="00153372" w:rsidRDefault="0000536F" w:rsidP="0000536F">
      <w:pPr>
        <w:pStyle w:val="Caption"/>
        <w:jc w:val="center"/>
        <w:rPr>
          <w:rFonts w:ascii="Arial" w:hAnsi="Arial" w:cs="Arial"/>
          <w:b/>
          <w:i w:val="0"/>
          <w:color w:val="auto"/>
          <w:sz w:val="20"/>
          <w:szCs w:val="20"/>
        </w:rPr>
      </w:pPr>
      <w:r w:rsidRPr="00153372">
        <w:rPr>
          <w:rFonts w:ascii="Arial" w:hAnsi="Arial" w:cs="Arial"/>
          <w:b/>
          <w:i w:val="0"/>
          <w:color w:val="auto"/>
          <w:sz w:val="20"/>
          <w:szCs w:val="20"/>
        </w:rPr>
        <w:t>Fig</w:t>
      </w:r>
      <w:r w:rsidR="002E6DB5" w:rsidRPr="00153372">
        <w:rPr>
          <w:rFonts w:ascii="Arial" w:hAnsi="Arial" w:cs="Arial"/>
          <w:b/>
          <w:i w:val="0"/>
          <w:color w:val="auto"/>
          <w:sz w:val="20"/>
          <w:szCs w:val="20"/>
        </w:rPr>
        <w:t>. 4. Effect of the contact time on the adsorption of TDS</w:t>
      </w:r>
    </w:p>
    <w:p w14:paraId="010DFEAE" w14:textId="77777777" w:rsidR="002E6DB5" w:rsidRPr="00795BFD" w:rsidRDefault="002E6DB5" w:rsidP="002E6DB5"/>
    <w:p w14:paraId="6D58FF0C" w14:textId="235201AC" w:rsidR="00752F1B" w:rsidRPr="00B02B88" w:rsidRDefault="00752F1B" w:rsidP="00446F8F">
      <w:pPr>
        <w:pStyle w:val="ListParagraph"/>
        <w:numPr>
          <w:ilvl w:val="1"/>
          <w:numId w:val="12"/>
        </w:numPr>
        <w:spacing w:line="360" w:lineRule="auto"/>
        <w:jc w:val="both"/>
        <w:rPr>
          <w:rFonts w:ascii="Times New Roman" w:hAnsi="Times New Roman" w:cs="Times New Roman"/>
          <w:b/>
          <w:sz w:val="24"/>
          <w:szCs w:val="24"/>
        </w:rPr>
      </w:pPr>
      <w:r w:rsidRPr="00B02B88">
        <w:rPr>
          <w:rFonts w:ascii="Times New Roman" w:hAnsi="Times New Roman" w:cs="Times New Roman"/>
          <w:b/>
          <w:sz w:val="24"/>
          <w:szCs w:val="24"/>
        </w:rPr>
        <w:t>Effect of compound polarity on</w:t>
      </w:r>
      <w:r w:rsidR="002E6DB5">
        <w:rPr>
          <w:rFonts w:ascii="Times New Roman" w:hAnsi="Times New Roman" w:cs="Times New Roman"/>
          <w:b/>
          <w:sz w:val="24"/>
          <w:szCs w:val="24"/>
        </w:rPr>
        <w:t xml:space="preserve"> the TDS</w:t>
      </w:r>
      <w:r w:rsidRPr="00B02B88">
        <w:rPr>
          <w:rFonts w:ascii="Times New Roman" w:hAnsi="Times New Roman" w:cs="Times New Roman"/>
          <w:b/>
          <w:sz w:val="24"/>
          <w:szCs w:val="24"/>
        </w:rPr>
        <w:t xml:space="preserve"> adsorption</w:t>
      </w:r>
    </w:p>
    <w:p w14:paraId="798BE975" w14:textId="60FAD6D4" w:rsidR="00683C95" w:rsidRDefault="00683C95" w:rsidP="00683C95">
      <w:pPr>
        <w:spacing w:after="0" w:line="240" w:lineRule="auto"/>
        <w:jc w:val="both"/>
        <w:rPr>
          <w:rFonts w:ascii="Arial" w:hAnsi="Arial" w:cs="Arial"/>
          <w:sz w:val="20"/>
          <w:szCs w:val="20"/>
        </w:rPr>
      </w:pPr>
      <w:r w:rsidRPr="00C65346">
        <w:rPr>
          <w:rFonts w:ascii="Arial" w:hAnsi="Arial" w:cs="Arial"/>
          <w:sz w:val="20"/>
          <w:szCs w:val="20"/>
        </w:rPr>
        <w:t xml:space="preserve">The graph </w:t>
      </w:r>
      <w:r w:rsidR="00153372">
        <w:rPr>
          <w:rFonts w:ascii="Arial" w:hAnsi="Arial" w:cs="Arial"/>
          <w:sz w:val="20"/>
          <w:szCs w:val="20"/>
        </w:rPr>
        <w:t xml:space="preserve">illustrated by figure 5 </w:t>
      </w:r>
      <w:r w:rsidRPr="00C65346">
        <w:rPr>
          <w:rFonts w:ascii="Arial" w:hAnsi="Arial" w:cs="Arial"/>
          <w:sz w:val="20"/>
          <w:szCs w:val="20"/>
        </w:rPr>
        <w:t xml:space="preserve">shows the evolution of the percentage </w:t>
      </w:r>
      <w:r>
        <w:rPr>
          <w:rFonts w:ascii="Arial" w:hAnsi="Arial" w:cs="Arial"/>
          <w:sz w:val="20"/>
          <w:szCs w:val="20"/>
        </w:rPr>
        <w:t xml:space="preserve">of </w:t>
      </w:r>
      <w:r w:rsidRPr="00C65346">
        <w:rPr>
          <w:rFonts w:ascii="Arial" w:hAnsi="Arial" w:cs="Arial"/>
          <w:sz w:val="20"/>
          <w:szCs w:val="20"/>
        </w:rPr>
        <w:t xml:space="preserve">adsorption (%) of TDS as a function of the </w:t>
      </w:r>
      <w:r w:rsidR="00153372">
        <w:rPr>
          <w:rFonts w:ascii="Arial" w:hAnsi="Arial" w:cs="Arial"/>
          <w:sz w:val="20"/>
          <w:szCs w:val="20"/>
        </w:rPr>
        <w:t>volume</w:t>
      </w:r>
      <w:r w:rsidRPr="00C65346">
        <w:rPr>
          <w:rFonts w:ascii="Arial" w:hAnsi="Arial" w:cs="Arial"/>
          <w:sz w:val="20"/>
          <w:szCs w:val="20"/>
        </w:rPr>
        <w:t xml:space="preserve"> of each of these three interfering compounds: glycerol (</w:t>
      </w:r>
      <w:proofErr w:type="spellStart"/>
      <w:r w:rsidRPr="00C65346">
        <w:rPr>
          <w:rFonts w:ascii="Arial" w:hAnsi="Arial" w:cs="Arial"/>
          <w:sz w:val="20"/>
          <w:szCs w:val="20"/>
        </w:rPr>
        <w:t>Gly</w:t>
      </w:r>
      <w:proofErr w:type="spellEnd"/>
      <w:r w:rsidRPr="00C65346">
        <w:rPr>
          <w:rFonts w:ascii="Arial" w:hAnsi="Arial" w:cs="Arial"/>
          <w:sz w:val="20"/>
          <w:szCs w:val="20"/>
        </w:rPr>
        <w:t>), potassium chloride (</w:t>
      </w:r>
      <w:proofErr w:type="spellStart"/>
      <w:r w:rsidRPr="00C65346">
        <w:rPr>
          <w:rFonts w:ascii="Arial" w:hAnsi="Arial" w:cs="Arial"/>
          <w:sz w:val="20"/>
          <w:szCs w:val="20"/>
        </w:rPr>
        <w:t>KCl</w:t>
      </w:r>
      <w:proofErr w:type="spellEnd"/>
      <w:r w:rsidRPr="00C65346">
        <w:rPr>
          <w:rFonts w:ascii="Arial" w:hAnsi="Arial" w:cs="Arial"/>
          <w:sz w:val="20"/>
          <w:szCs w:val="20"/>
        </w:rPr>
        <w:t>), and methylene blue (MB).</w:t>
      </w:r>
      <w:r>
        <w:rPr>
          <w:rFonts w:ascii="Arial" w:hAnsi="Arial" w:cs="Arial"/>
          <w:sz w:val="20"/>
          <w:szCs w:val="20"/>
        </w:rPr>
        <w:t xml:space="preserve"> T</w:t>
      </w:r>
      <w:r w:rsidRPr="00C65346">
        <w:rPr>
          <w:rFonts w:ascii="Arial" w:hAnsi="Arial" w:cs="Arial"/>
          <w:sz w:val="20"/>
          <w:szCs w:val="20"/>
        </w:rPr>
        <w:t xml:space="preserve">hese compounds have very different polarities and chemical </w:t>
      </w:r>
      <w:r w:rsidRPr="00C65346">
        <w:rPr>
          <w:rFonts w:ascii="Arial" w:hAnsi="Arial" w:cs="Arial"/>
          <w:sz w:val="20"/>
          <w:szCs w:val="20"/>
        </w:rPr>
        <w:lastRenderedPageBreak/>
        <w:t>geometries. These differences can influence their interaction with the active sites of the adsorbent and, consequently, the adsorption of total dissolved solids (TDS).</w:t>
      </w:r>
    </w:p>
    <w:p w14:paraId="07882671" w14:textId="77777777" w:rsidR="00683C95" w:rsidRPr="00F3516E" w:rsidRDefault="00683C95" w:rsidP="00683C95">
      <w:pPr>
        <w:spacing w:after="0" w:line="240" w:lineRule="auto"/>
        <w:jc w:val="both"/>
        <w:rPr>
          <w:rFonts w:ascii="Arial" w:hAnsi="Arial" w:cs="Arial"/>
          <w:sz w:val="20"/>
          <w:szCs w:val="20"/>
        </w:rPr>
      </w:pPr>
      <w:r w:rsidRPr="00F3516E">
        <w:rPr>
          <w:rFonts w:ascii="Arial" w:hAnsi="Arial" w:cs="Arial"/>
          <w:sz w:val="20"/>
          <w:szCs w:val="20"/>
        </w:rPr>
        <w:t>Glycerol (</w:t>
      </w:r>
      <w:proofErr w:type="spellStart"/>
      <w:r w:rsidRPr="00F3516E">
        <w:rPr>
          <w:rFonts w:ascii="Arial" w:hAnsi="Arial" w:cs="Arial"/>
          <w:sz w:val="20"/>
          <w:szCs w:val="20"/>
        </w:rPr>
        <w:t>Gly</w:t>
      </w:r>
      <w:proofErr w:type="spellEnd"/>
      <w:r w:rsidRPr="00F3516E">
        <w:rPr>
          <w:rFonts w:ascii="Arial" w:hAnsi="Arial" w:cs="Arial"/>
          <w:sz w:val="20"/>
          <w:szCs w:val="20"/>
        </w:rPr>
        <w:t>):</w:t>
      </w:r>
    </w:p>
    <w:p w14:paraId="0D377720" w14:textId="6DB96377" w:rsidR="00683C95" w:rsidRPr="007700B8" w:rsidRDefault="00683C95" w:rsidP="00683C95">
      <w:pPr>
        <w:spacing w:after="0" w:line="240" w:lineRule="auto"/>
        <w:jc w:val="both"/>
        <w:rPr>
          <w:rFonts w:ascii="Arial" w:hAnsi="Arial" w:cs="Arial"/>
          <w:sz w:val="20"/>
          <w:szCs w:val="20"/>
        </w:rPr>
      </w:pPr>
      <w:r w:rsidRPr="007700B8">
        <w:rPr>
          <w:rFonts w:ascii="Arial" w:hAnsi="Arial" w:cs="Arial"/>
          <w:sz w:val="20"/>
          <w:szCs w:val="20"/>
        </w:rPr>
        <w:t xml:space="preserve">The presence of three hydroxyl groups (-OH) gives glycerol a strong polarity. Of all the </w:t>
      </w:r>
      <w:r w:rsidR="00153372">
        <w:rPr>
          <w:rFonts w:ascii="Arial" w:hAnsi="Arial" w:cs="Arial"/>
          <w:sz w:val="20"/>
          <w:szCs w:val="20"/>
        </w:rPr>
        <w:t>volumes</w:t>
      </w:r>
      <w:r w:rsidRPr="007700B8">
        <w:rPr>
          <w:rFonts w:ascii="Arial" w:hAnsi="Arial" w:cs="Arial"/>
          <w:sz w:val="20"/>
          <w:szCs w:val="20"/>
        </w:rPr>
        <w:t xml:space="preserve"> tested, glycerol appears to have the least inhibitory effect on TDS adsorption, primarily between 0.6 and 1.4 </w:t>
      </w:r>
      <w:proofErr w:type="spellStart"/>
      <w:r w:rsidR="00153372">
        <w:rPr>
          <w:rFonts w:ascii="Arial" w:hAnsi="Arial" w:cs="Arial"/>
          <w:sz w:val="20"/>
          <w:szCs w:val="20"/>
        </w:rPr>
        <w:t>mL</w:t>
      </w:r>
      <w:r w:rsidRPr="007700B8">
        <w:rPr>
          <w:rFonts w:ascii="Arial" w:hAnsi="Arial" w:cs="Arial"/>
          <w:sz w:val="20"/>
          <w:szCs w:val="20"/>
        </w:rPr>
        <w:t>.</w:t>
      </w:r>
      <w:proofErr w:type="spellEnd"/>
    </w:p>
    <w:p w14:paraId="23E1B156" w14:textId="77777777" w:rsidR="00683C95" w:rsidRDefault="00683C95" w:rsidP="00683C95">
      <w:pPr>
        <w:spacing w:after="0" w:line="240" w:lineRule="auto"/>
        <w:jc w:val="both"/>
        <w:rPr>
          <w:rFonts w:ascii="Arial" w:hAnsi="Arial" w:cs="Arial"/>
          <w:sz w:val="20"/>
          <w:szCs w:val="20"/>
        </w:rPr>
      </w:pPr>
      <w:r w:rsidRPr="007700B8">
        <w:rPr>
          <w:rFonts w:ascii="Arial" w:hAnsi="Arial" w:cs="Arial"/>
          <w:sz w:val="20"/>
          <w:szCs w:val="20"/>
        </w:rPr>
        <w:t>Its polarity gives it good solubility in water without strong competition with TDS adsorption sites, thus reducing its interfering effect.</w:t>
      </w:r>
    </w:p>
    <w:p w14:paraId="245CF840" w14:textId="77777777" w:rsidR="00683C95" w:rsidRPr="00F3516E" w:rsidRDefault="00683C95" w:rsidP="00683C95">
      <w:pPr>
        <w:spacing w:after="0" w:line="240" w:lineRule="auto"/>
        <w:jc w:val="both"/>
        <w:rPr>
          <w:rFonts w:ascii="Arial" w:hAnsi="Arial" w:cs="Arial"/>
          <w:sz w:val="20"/>
          <w:szCs w:val="20"/>
        </w:rPr>
      </w:pPr>
      <w:proofErr w:type="spellStart"/>
      <w:r w:rsidRPr="00F3516E">
        <w:rPr>
          <w:rFonts w:ascii="Arial" w:hAnsi="Arial" w:cs="Arial"/>
          <w:sz w:val="20"/>
          <w:szCs w:val="20"/>
        </w:rPr>
        <w:t>KCl</w:t>
      </w:r>
      <w:proofErr w:type="spellEnd"/>
      <w:r w:rsidRPr="00F3516E">
        <w:rPr>
          <w:rFonts w:ascii="Arial" w:hAnsi="Arial" w:cs="Arial"/>
          <w:sz w:val="20"/>
          <w:szCs w:val="20"/>
        </w:rPr>
        <w:t xml:space="preserve"> (potassium chloride):</w:t>
      </w:r>
    </w:p>
    <w:p w14:paraId="1DAC7815" w14:textId="66FF9940" w:rsidR="00683C95" w:rsidRPr="000C752E" w:rsidRDefault="00683C95" w:rsidP="00683C95">
      <w:pPr>
        <w:spacing w:after="0" w:line="240" w:lineRule="auto"/>
        <w:jc w:val="both"/>
        <w:rPr>
          <w:rFonts w:ascii="Arial" w:hAnsi="Arial" w:cs="Arial"/>
          <w:sz w:val="20"/>
          <w:szCs w:val="20"/>
        </w:rPr>
      </w:pPr>
      <w:r w:rsidRPr="000C752E">
        <w:rPr>
          <w:rFonts w:ascii="Arial" w:hAnsi="Arial" w:cs="Arial"/>
          <w:sz w:val="20"/>
          <w:szCs w:val="20"/>
        </w:rPr>
        <w:t xml:space="preserve">Unlike glycerol, </w:t>
      </w:r>
      <w:proofErr w:type="spellStart"/>
      <w:r w:rsidRPr="000C752E">
        <w:rPr>
          <w:rFonts w:ascii="Arial" w:hAnsi="Arial" w:cs="Arial"/>
          <w:sz w:val="20"/>
          <w:szCs w:val="20"/>
        </w:rPr>
        <w:t>KCl</w:t>
      </w:r>
      <w:proofErr w:type="spellEnd"/>
      <w:r w:rsidRPr="000C752E">
        <w:rPr>
          <w:rFonts w:ascii="Arial" w:hAnsi="Arial" w:cs="Arial"/>
          <w:sz w:val="20"/>
          <w:szCs w:val="20"/>
        </w:rPr>
        <w:t xml:space="preserve"> dissociates completely in water (K</w:t>
      </w:r>
      <w:r w:rsidRPr="00153372">
        <w:rPr>
          <w:rFonts w:ascii="Arial" w:hAnsi="Arial" w:cs="Arial"/>
          <w:sz w:val="20"/>
          <w:szCs w:val="20"/>
          <w:vertAlign w:val="superscript"/>
        </w:rPr>
        <w:t>+</w:t>
      </w:r>
      <w:r w:rsidRPr="000C752E">
        <w:rPr>
          <w:rFonts w:ascii="Arial" w:hAnsi="Arial" w:cs="Arial"/>
          <w:sz w:val="20"/>
          <w:szCs w:val="20"/>
        </w:rPr>
        <w:t>; Cl</w:t>
      </w:r>
      <w:r w:rsidRPr="00153372">
        <w:rPr>
          <w:rFonts w:ascii="Arial" w:hAnsi="Arial" w:cs="Arial"/>
          <w:sz w:val="20"/>
          <w:szCs w:val="20"/>
          <w:vertAlign w:val="superscript"/>
        </w:rPr>
        <w:t>-</w:t>
      </w:r>
      <w:r w:rsidRPr="000C752E">
        <w:rPr>
          <w:rFonts w:ascii="Arial" w:hAnsi="Arial" w:cs="Arial"/>
          <w:sz w:val="20"/>
          <w:szCs w:val="20"/>
        </w:rPr>
        <w:t>). Being highly polar, it also negatively affects the adsorption of TDS on unmodified rice hu</w:t>
      </w:r>
      <w:r>
        <w:rPr>
          <w:rFonts w:ascii="Arial" w:hAnsi="Arial" w:cs="Arial"/>
          <w:sz w:val="20"/>
          <w:szCs w:val="20"/>
        </w:rPr>
        <w:t>sk</w:t>
      </w:r>
      <w:r w:rsidRPr="000C752E">
        <w:rPr>
          <w:rFonts w:ascii="Arial" w:hAnsi="Arial" w:cs="Arial"/>
          <w:sz w:val="20"/>
          <w:szCs w:val="20"/>
        </w:rPr>
        <w:t xml:space="preserve"> between 1.0 and 2.0 </w:t>
      </w:r>
      <w:proofErr w:type="spellStart"/>
      <w:r w:rsidR="00153372">
        <w:rPr>
          <w:rFonts w:ascii="Arial" w:hAnsi="Arial" w:cs="Arial"/>
          <w:sz w:val="20"/>
          <w:szCs w:val="20"/>
        </w:rPr>
        <w:t>mL</w:t>
      </w:r>
      <w:r w:rsidRPr="000C752E">
        <w:rPr>
          <w:rFonts w:ascii="Arial" w:hAnsi="Arial" w:cs="Arial"/>
          <w:sz w:val="20"/>
          <w:szCs w:val="20"/>
        </w:rPr>
        <w:t>.</w:t>
      </w:r>
      <w:proofErr w:type="spellEnd"/>
    </w:p>
    <w:p w14:paraId="7C878662" w14:textId="77777777" w:rsidR="00683C95" w:rsidRDefault="00683C95" w:rsidP="00683C95">
      <w:pPr>
        <w:spacing w:after="0" w:line="240" w:lineRule="auto"/>
        <w:jc w:val="both"/>
        <w:rPr>
          <w:rFonts w:ascii="Arial" w:hAnsi="Arial" w:cs="Arial"/>
          <w:sz w:val="20"/>
          <w:szCs w:val="20"/>
        </w:rPr>
      </w:pPr>
      <w:r w:rsidRPr="000C752E">
        <w:rPr>
          <w:rFonts w:ascii="Arial" w:hAnsi="Arial" w:cs="Arial"/>
          <w:sz w:val="20"/>
          <w:szCs w:val="20"/>
        </w:rPr>
        <w:t>These ions can compete directly with TDS for adsorption sites through ionic interactions, thus reducing the adsorption efficiency of rice hu</w:t>
      </w:r>
      <w:r>
        <w:rPr>
          <w:rFonts w:ascii="Arial" w:hAnsi="Arial" w:cs="Arial"/>
          <w:sz w:val="20"/>
          <w:szCs w:val="20"/>
        </w:rPr>
        <w:t>sk.</w:t>
      </w:r>
    </w:p>
    <w:p w14:paraId="763B45C0" w14:textId="060BBDEA" w:rsidR="00683C95" w:rsidRDefault="00683C95" w:rsidP="00683C95">
      <w:pPr>
        <w:spacing w:after="0" w:line="240" w:lineRule="auto"/>
        <w:jc w:val="both"/>
        <w:rPr>
          <w:rFonts w:ascii="Arial" w:hAnsi="Arial" w:cs="Arial"/>
          <w:sz w:val="20"/>
          <w:szCs w:val="20"/>
        </w:rPr>
      </w:pPr>
      <w:r w:rsidRPr="006D0A46">
        <w:rPr>
          <w:rFonts w:ascii="Arial" w:hAnsi="Arial" w:cs="Arial"/>
          <w:sz w:val="20"/>
          <w:szCs w:val="20"/>
        </w:rPr>
        <w:t>Methylene blue (MB) is a moderately polar organic cationic dye, but its molecular size is large compared to the tested compounds. Its adsorption rate on rice husk appears very low following the increase in its mass in aqueous solution. Its size could limit the adsorption efficiency of TDS on rice husk by blocking the active sites.</w:t>
      </w:r>
    </w:p>
    <w:p w14:paraId="0B816DDD" w14:textId="7F605F12" w:rsidR="00681C62" w:rsidRDefault="00681C62" w:rsidP="00683C95">
      <w:pPr>
        <w:spacing w:after="0" w:line="240" w:lineRule="auto"/>
        <w:jc w:val="both"/>
        <w:rPr>
          <w:rFonts w:ascii="Arial" w:hAnsi="Arial" w:cs="Arial"/>
          <w:sz w:val="20"/>
          <w:szCs w:val="20"/>
        </w:rPr>
      </w:pPr>
    </w:p>
    <w:p w14:paraId="2F2C20B0" w14:textId="7E53B4D0" w:rsidR="00681C62" w:rsidRDefault="00681C62" w:rsidP="00681C62">
      <w:pPr>
        <w:spacing w:after="0" w:line="240" w:lineRule="auto"/>
        <w:jc w:val="center"/>
        <w:rPr>
          <w:rFonts w:ascii="Arial" w:hAnsi="Arial" w:cs="Arial"/>
          <w:sz w:val="20"/>
          <w:szCs w:val="20"/>
        </w:rPr>
      </w:pPr>
    </w:p>
    <w:p w14:paraId="14B4893D" w14:textId="77777777" w:rsidR="00F3516E" w:rsidRPr="00F3516E" w:rsidRDefault="00F3516E" w:rsidP="00446F8F">
      <w:pPr>
        <w:spacing w:after="0" w:line="360" w:lineRule="auto"/>
        <w:jc w:val="both"/>
        <w:rPr>
          <w:rFonts w:ascii="Arial" w:hAnsi="Arial" w:cs="Arial"/>
          <w:sz w:val="20"/>
          <w:szCs w:val="24"/>
        </w:rPr>
      </w:pPr>
    </w:p>
    <w:p w14:paraId="5DC7F5B1" w14:textId="20DF26CC" w:rsidR="0000536F" w:rsidRDefault="007C1F19" w:rsidP="0091135A">
      <w:pPr>
        <w:keepNext/>
        <w:spacing w:line="360" w:lineRule="auto"/>
      </w:pPr>
      <w:r>
        <w:rPr>
          <w:noProof/>
        </w:rPr>
        <w:object w:dxaOrig="1440" w:dyaOrig="1440" w14:anchorId="276E687B">
          <v:shape id="_x0000_s1032" type="#_x0000_t75" style="position:absolute;margin-left:71.4pt;margin-top:0;width:310.7pt;height:221.95pt;z-index:251665408;mso-position-horizontal:absolute;mso-position-horizontal-relative:text;mso-position-vertical-relative:text">
            <v:imagedata r:id="rId16" o:title=""/>
            <w10:wrap type="square" side="right"/>
          </v:shape>
          <o:OLEObject Type="Embed" ProgID="Origin50.Graph" ShapeID="_x0000_s1032" DrawAspect="Content" ObjectID="_1818582073" r:id="rId17"/>
        </w:object>
      </w:r>
      <w:r w:rsidR="0091135A">
        <w:br w:type="textWrapping" w:clear="all"/>
      </w:r>
    </w:p>
    <w:p w14:paraId="6D01A566" w14:textId="5591823A" w:rsidR="00B63D83" w:rsidRPr="00153372" w:rsidRDefault="0000536F" w:rsidP="00795BFD">
      <w:pPr>
        <w:spacing w:line="360" w:lineRule="auto"/>
        <w:jc w:val="center"/>
        <w:rPr>
          <w:rFonts w:ascii="Arial" w:hAnsi="Arial" w:cs="Arial"/>
          <w:b/>
          <w:sz w:val="20"/>
          <w:szCs w:val="20"/>
        </w:rPr>
      </w:pPr>
      <w:r w:rsidRPr="00153372">
        <w:rPr>
          <w:rFonts w:ascii="Arial" w:hAnsi="Arial" w:cs="Arial"/>
          <w:b/>
          <w:sz w:val="20"/>
          <w:szCs w:val="20"/>
        </w:rPr>
        <w:t>Fig</w:t>
      </w:r>
      <w:r w:rsidR="00795BFD" w:rsidRPr="00153372">
        <w:rPr>
          <w:rFonts w:ascii="Arial" w:hAnsi="Arial" w:cs="Arial"/>
          <w:b/>
          <w:sz w:val="20"/>
          <w:szCs w:val="20"/>
        </w:rPr>
        <w:t>.</w:t>
      </w:r>
      <w:r w:rsidRPr="00153372">
        <w:rPr>
          <w:rFonts w:ascii="Arial" w:hAnsi="Arial" w:cs="Arial"/>
          <w:b/>
          <w:sz w:val="20"/>
          <w:szCs w:val="20"/>
        </w:rPr>
        <w:t xml:space="preserve"> </w:t>
      </w:r>
      <w:r w:rsidRPr="00153372">
        <w:rPr>
          <w:rFonts w:ascii="Arial" w:hAnsi="Arial" w:cs="Arial"/>
          <w:b/>
          <w:sz w:val="20"/>
          <w:szCs w:val="20"/>
        </w:rPr>
        <w:fldChar w:fldCharType="begin"/>
      </w:r>
      <w:r w:rsidRPr="00153372">
        <w:rPr>
          <w:rFonts w:ascii="Arial" w:hAnsi="Arial" w:cs="Arial"/>
          <w:b/>
          <w:sz w:val="20"/>
          <w:szCs w:val="20"/>
        </w:rPr>
        <w:instrText xml:space="preserve"> SEQ Figure \* ARABIC </w:instrText>
      </w:r>
      <w:r w:rsidRPr="00153372">
        <w:rPr>
          <w:rFonts w:ascii="Arial" w:hAnsi="Arial" w:cs="Arial"/>
          <w:b/>
          <w:sz w:val="20"/>
          <w:szCs w:val="20"/>
        </w:rPr>
        <w:fldChar w:fldCharType="separate"/>
      </w:r>
      <w:r w:rsidRPr="00153372">
        <w:rPr>
          <w:rFonts w:ascii="Arial" w:hAnsi="Arial" w:cs="Arial"/>
          <w:b/>
          <w:sz w:val="20"/>
          <w:szCs w:val="20"/>
        </w:rPr>
        <w:t>5</w:t>
      </w:r>
      <w:r w:rsidRPr="00153372">
        <w:rPr>
          <w:rFonts w:ascii="Arial" w:hAnsi="Arial" w:cs="Arial"/>
          <w:b/>
          <w:sz w:val="20"/>
          <w:szCs w:val="20"/>
        </w:rPr>
        <w:fldChar w:fldCharType="end"/>
      </w:r>
      <w:r w:rsidR="00795BFD" w:rsidRPr="00153372">
        <w:rPr>
          <w:rFonts w:ascii="Arial" w:hAnsi="Arial" w:cs="Arial"/>
          <w:b/>
          <w:sz w:val="20"/>
          <w:szCs w:val="20"/>
        </w:rPr>
        <w:t>. effect of the compound polarity on the adsorption of TDS</w:t>
      </w:r>
    </w:p>
    <w:p w14:paraId="69491EE3" w14:textId="77777777" w:rsidR="001F0C7A" w:rsidRPr="00540F81" w:rsidRDefault="001F0C7A" w:rsidP="00446F8F">
      <w:pPr>
        <w:spacing w:line="360" w:lineRule="auto"/>
        <w:jc w:val="both"/>
      </w:pPr>
    </w:p>
    <w:p w14:paraId="322C6E84" w14:textId="77777777" w:rsidR="00293DFA" w:rsidRPr="00B02B88" w:rsidRDefault="00293DFA" w:rsidP="00446F8F">
      <w:pPr>
        <w:pStyle w:val="ListParagraph"/>
        <w:numPr>
          <w:ilvl w:val="1"/>
          <w:numId w:val="12"/>
        </w:numPr>
        <w:spacing w:after="0" w:line="360" w:lineRule="auto"/>
        <w:jc w:val="both"/>
        <w:rPr>
          <w:rFonts w:ascii="Times New Roman" w:hAnsi="Times New Roman" w:cs="Times New Roman"/>
          <w:b/>
          <w:sz w:val="24"/>
          <w:szCs w:val="24"/>
        </w:rPr>
      </w:pPr>
      <w:r w:rsidRPr="00B02B88">
        <w:rPr>
          <w:rFonts w:ascii="Times New Roman" w:hAnsi="Times New Roman" w:cs="Times New Roman"/>
          <w:b/>
          <w:sz w:val="24"/>
          <w:szCs w:val="24"/>
        </w:rPr>
        <w:t>Kinetic study of adsorption</w:t>
      </w:r>
    </w:p>
    <w:p w14:paraId="6D989983" w14:textId="1E9D94B0" w:rsidR="00247DA7" w:rsidRDefault="004E0F2F" w:rsidP="00847B0E">
      <w:pPr>
        <w:spacing w:after="0" w:line="240" w:lineRule="auto"/>
        <w:jc w:val="both"/>
        <w:rPr>
          <w:rFonts w:ascii="Arial" w:hAnsi="Arial" w:cs="Arial"/>
          <w:sz w:val="20"/>
          <w:szCs w:val="24"/>
        </w:rPr>
      </w:pPr>
      <w:r w:rsidRPr="00F3516E">
        <w:rPr>
          <w:rFonts w:ascii="Arial" w:hAnsi="Arial" w:cs="Arial"/>
          <w:sz w:val="20"/>
          <w:szCs w:val="24"/>
        </w:rPr>
        <w:t>The kinetic study carried out in this study concern</w:t>
      </w:r>
      <w:r w:rsidR="00683C95">
        <w:rPr>
          <w:rFonts w:ascii="Arial" w:hAnsi="Arial" w:cs="Arial"/>
          <w:sz w:val="20"/>
          <w:szCs w:val="24"/>
        </w:rPr>
        <w:t>s</w:t>
      </w:r>
      <w:r w:rsidRPr="00F3516E">
        <w:rPr>
          <w:rFonts w:ascii="Arial" w:hAnsi="Arial" w:cs="Arial"/>
          <w:sz w:val="20"/>
          <w:szCs w:val="24"/>
        </w:rPr>
        <w:t xml:space="preserve"> pseudo first-order kinetics and pseudo second-order kinetics. </w:t>
      </w:r>
      <w:r w:rsidR="00CA6D56" w:rsidRPr="00F3516E">
        <w:rPr>
          <w:rFonts w:ascii="Arial" w:hAnsi="Arial" w:cs="Arial"/>
          <w:sz w:val="20"/>
          <w:szCs w:val="24"/>
        </w:rPr>
        <w:t xml:space="preserve">The adsorption kinetics graphs are </w:t>
      </w:r>
      <w:r w:rsidR="00683C95">
        <w:rPr>
          <w:rFonts w:ascii="Arial" w:hAnsi="Arial" w:cs="Arial"/>
          <w:sz w:val="20"/>
          <w:szCs w:val="24"/>
        </w:rPr>
        <w:t>represented</w:t>
      </w:r>
      <w:r w:rsidR="00CA6D56" w:rsidRPr="00F3516E">
        <w:rPr>
          <w:rFonts w:ascii="Arial" w:hAnsi="Arial" w:cs="Arial"/>
          <w:sz w:val="20"/>
          <w:szCs w:val="24"/>
        </w:rPr>
        <w:t xml:space="preserve"> in </w:t>
      </w:r>
      <w:r w:rsidR="00A2748A">
        <w:rPr>
          <w:rFonts w:ascii="Arial" w:hAnsi="Arial" w:cs="Arial"/>
          <w:sz w:val="20"/>
          <w:szCs w:val="24"/>
        </w:rPr>
        <w:t xml:space="preserve">the </w:t>
      </w:r>
      <w:r w:rsidR="00CA6D56" w:rsidRPr="00F3516E">
        <w:rPr>
          <w:rFonts w:ascii="Arial" w:hAnsi="Arial" w:cs="Arial"/>
          <w:sz w:val="20"/>
          <w:szCs w:val="24"/>
        </w:rPr>
        <w:t xml:space="preserve">Figures </w:t>
      </w:r>
      <w:r w:rsidR="00A2748A">
        <w:rPr>
          <w:rFonts w:ascii="Arial" w:hAnsi="Arial" w:cs="Arial"/>
          <w:sz w:val="20"/>
          <w:szCs w:val="24"/>
        </w:rPr>
        <w:t>6</w:t>
      </w:r>
      <w:r w:rsidR="00CA6D56" w:rsidRPr="00F3516E">
        <w:rPr>
          <w:rFonts w:ascii="Arial" w:hAnsi="Arial" w:cs="Arial"/>
          <w:sz w:val="20"/>
          <w:szCs w:val="24"/>
        </w:rPr>
        <w:t xml:space="preserve"> and </w:t>
      </w:r>
      <w:r w:rsidR="00A2748A">
        <w:rPr>
          <w:rFonts w:ascii="Arial" w:hAnsi="Arial" w:cs="Arial"/>
          <w:sz w:val="20"/>
          <w:szCs w:val="24"/>
        </w:rPr>
        <w:t>7</w:t>
      </w:r>
      <w:r w:rsidR="00CA6D56" w:rsidRPr="00F3516E">
        <w:rPr>
          <w:rFonts w:ascii="Arial" w:hAnsi="Arial" w:cs="Arial"/>
          <w:sz w:val="20"/>
          <w:szCs w:val="24"/>
        </w:rPr>
        <w:t xml:space="preserve"> and the parameters grouping k</w:t>
      </w:r>
      <w:r w:rsidR="00CA6D56" w:rsidRPr="00F3516E">
        <w:rPr>
          <w:rFonts w:ascii="Arial" w:hAnsi="Arial" w:cs="Arial"/>
          <w:sz w:val="20"/>
          <w:szCs w:val="24"/>
          <w:vertAlign w:val="subscript"/>
        </w:rPr>
        <w:t>1</w:t>
      </w:r>
      <w:r w:rsidR="00CA6D56" w:rsidRPr="00F3516E">
        <w:rPr>
          <w:rFonts w:ascii="Arial" w:hAnsi="Arial" w:cs="Arial"/>
          <w:sz w:val="20"/>
          <w:szCs w:val="24"/>
        </w:rPr>
        <w:t>, k</w:t>
      </w:r>
      <w:r w:rsidR="00CA6D56" w:rsidRPr="00F3516E">
        <w:rPr>
          <w:rFonts w:ascii="Arial" w:hAnsi="Arial" w:cs="Arial"/>
          <w:sz w:val="20"/>
          <w:szCs w:val="24"/>
          <w:vertAlign w:val="subscript"/>
        </w:rPr>
        <w:t>2</w:t>
      </w:r>
      <w:r w:rsidR="00CA6D56" w:rsidRPr="00F3516E">
        <w:rPr>
          <w:rFonts w:ascii="Arial" w:hAnsi="Arial" w:cs="Arial"/>
          <w:sz w:val="20"/>
          <w:szCs w:val="24"/>
        </w:rPr>
        <w:t xml:space="preserve">, </w:t>
      </w:r>
      <w:proofErr w:type="spellStart"/>
      <w:r w:rsidR="00CA6D56" w:rsidRPr="00F3516E">
        <w:rPr>
          <w:rFonts w:ascii="Arial" w:hAnsi="Arial" w:cs="Arial"/>
          <w:sz w:val="20"/>
          <w:szCs w:val="24"/>
        </w:rPr>
        <w:t>Qe</w:t>
      </w:r>
      <w:proofErr w:type="spellEnd"/>
      <w:r w:rsidR="00CA6D56" w:rsidRPr="00F3516E">
        <w:rPr>
          <w:rFonts w:ascii="Arial" w:hAnsi="Arial" w:cs="Arial"/>
          <w:sz w:val="20"/>
          <w:szCs w:val="24"/>
        </w:rPr>
        <w:t xml:space="preserve"> and R</w:t>
      </w:r>
      <w:r w:rsidR="00CA6D56" w:rsidRPr="00F3516E">
        <w:rPr>
          <w:rFonts w:ascii="Arial" w:hAnsi="Arial" w:cs="Arial"/>
          <w:sz w:val="20"/>
          <w:szCs w:val="24"/>
          <w:vertAlign w:val="superscript"/>
        </w:rPr>
        <w:t>2</w:t>
      </w:r>
      <w:r w:rsidR="00CA6D56" w:rsidRPr="00F3516E">
        <w:rPr>
          <w:rFonts w:ascii="Arial" w:hAnsi="Arial" w:cs="Arial"/>
          <w:sz w:val="20"/>
          <w:szCs w:val="24"/>
        </w:rPr>
        <w:t xml:space="preserve"> are calculated and presented in Table </w:t>
      </w:r>
      <w:r w:rsidR="00A2748A">
        <w:rPr>
          <w:rFonts w:ascii="Arial" w:hAnsi="Arial" w:cs="Arial"/>
          <w:sz w:val="20"/>
          <w:szCs w:val="24"/>
        </w:rPr>
        <w:t>1</w:t>
      </w:r>
      <w:r w:rsidR="00CA6D56" w:rsidRPr="00F3516E">
        <w:rPr>
          <w:rFonts w:ascii="Arial" w:hAnsi="Arial" w:cs="Arial"/>
          <w:sz w:val="20"/>
          <w:szCs w:val="24"/>
        </w:rPr>
        <w:t>. The correlation c</w:t>
      </w:r>
      <w:r w:rsidR="00A2748A">
        <w:rPr>
          <w:rFonts w:ascii="Arial" w:hAnsi="Arial" w:cs="Arial"/>
          <w:sz w:val="20"/>
          <w:szCs w:val="24"/>
        </w:rPr>
        <w:t>oe</w:t>
      </w:r>
      <w:r w:rsidR="00CA6D56" w:rsidRPr="00F3516E">
        <w:rPr>
          <w:rFonts w:ascii="Arial" w:hAnsi="Arial" w:cs="Arial"/>
          <w:sz w:val="20"/>
          <w:szCs w:val="24"/>
        </w:rPr>
        <w:t>fficient of the linear representation of the second-order equation (0.97) is higher than that of the pseudo-first order (0.91).</w:t>
      </w:r>
      <w:r w:rsidR="0026708B" w:rsidRPr="00F3516E">
        <w:rPr>
          <w:rFonts w:ascii="Arial" w:hAnsi="Arial" w:cs="Arial"/>
          <w:sz w:val="20"/>
          <w:szCs w:val="24"/>
        </w:rPr>
        <w:t xml:space="preserve"> From this result, the pseudo-order model is then adequate for the retention of TDS on the </w:t>
      </w:r>
      <w:proofErr w:type="spellStart"/>
      <w:r w:rsidR="0026708B" w:rsidRPr="00F3516E">
        <w:rPr>
          <w:rFonts w:ascii="Arial" w:hAnsi="Arial" w:cs="Arial"/>
          <w:sz w:val="20"/>
          <w:szCs w:val="24"/>
        </w:rPr>
        <w:t>unactivated</w:t>
      </w:r>
      <w:proofErr w:type="spellEnd"/>
      <w:r w:rsidR="0026708B" w:rsidRPr="00F3516E">
        <w:rPr>
          <w:rFonts w:ascii="Arial" w:hAnsi="Arial" w:cs="Arial"/>
          <w:sz w:val="20"/>
          <w:szCs w:val="24"/>
        </w:rPr>
        <w:t xml:space="preserve"> rice husk. </w:t>
      </w:r>
      <w:r w:rsidR="00F7156C" w:rsidRPr="00F3516E">
        <w:rPr>
          <w:rFonts w:ascii="Arial" w:hAnsi="Arial" w:cs="Arial"/>
          <w:sz w:val="20"/>
          <w:szCs w:val="24"/>
        </w:rPr>
        <w:t xml:space="preserve">The maximum </w:t>
      </w:r>
      <w:r w:rsidR="00683C95">
        <w:rPr>
          <w:rFonts w:ascii="Arial" w:hAnsi="Arial" w:cs="Arial"/>
          <w:sz w:val="20"/>
          <w:szCs w:val="24"/>
        </w:rPr>
        <w:t xml:space="preserve">of the </w:t>
      </w:r>
      <w:r w:rsidR="00F7156C" w:rsidRPr="00F3516E">
        <w:rPr>
          <w:rFonts w:ascii="Arial" w:hAnsi="Arial" w:cs="Arial"/>
          <w:sz w:val="20"/>
          <w:szCs w:val="24"/>
        </w:rPr>
        <w:t xml:space="preserve">theoretical </w:t>
      </w:r>
      <w:r w:rsidR="00683C95" w:rsidRPr="00F3516E">
        <w:rPr>
          <w:rFonts w:ascii="Arial" w:hAnsi="Arial" w:cs="Arial"/>
          <w:sz w:val="20"/>
          <w:szCs w:val="24"/>
        </w:rPr>
        <w:t>quantity</w:t>
      </w:r>
      <w:r w:rsidR="00683C95">
        <w:rPr>
          <w:rFonts w:ascii="Arial" w:hAnsi="Arial" w:cs="Arial"/>
          <w:sz w:val="20"/>
          <w:szCs w:val="24"/>
        </w:rPr>
        <w:t xml:space="preserve"> of</w:t>
      </w:r>
      <w:r w:rsidR="00683C95" w:rsidRPr="00F3516E">
        <w:rPr>
          <w:rFonts w:ascii="Arial" w:hAnsi="Arial" w:cs="Arial"/>
          <w:sz w:val="20"/>
          <w:szCs w:val="24"/>
        </w:rPr>
        <w:t xml:space="preserve"> </w:t>
      </w:r>
      <w:r w:rsidR="00F7156C" w:rsidRPr="00F3516E">
        <w:rPr>
          <w:rFonts w:ascii="Arial" w:hAnsi="Arial" w:cs="Arial"/>
          <w:sz w:val="20"/>
          <w:szCs w:val="24"/>
        </w:rPr>
        <w:t xml:space="preserve">adsorption </w:t>
      </w:r>
      <w:proofErr w:type="spellStart"/>
      <w:r w:rsidR="00F7156C" w:rsidRPr="00F3516E">
        <w:rPr>
          <w:rFonts w:ascii="Arial" w:hAnsi="Arial" w:cs="Arial"/>
          <w:sz w:val="20"/>
          <w:szCs w:val="24"/>
        </w:rPr>
        <w:t>Qe</w:t>
      </w:r>
      <w:proofErr w:type="spellEnd"/>
      <w:r w:rsidR="00F7156C" w:rsidRPr="00F3516E">
        <w:rPr>
          <w:rFonts w:ascii="Arial" w:hAnsi="Arial" w:cs="Arial"/>
          <w:sz w:val="20"/>
          <w:szCs w:val="24"/>
        </w:rPr>
        <w:t xml:space="preserve"> (</w:t>
      </w:r>
      <w:proofErr w:type="spellStart"/>
      <w:r w:rsidR="00F7156C" w:rsidRPr="00F3516E">
        <w:rPr>
          <w:rFonts w:ascii="Arial" w:hAnsi="Arial" w:cs="Arial"/>
          <w:sz w:val="20"/>
          <w:szCs w:val="24"/>
        </w:rPr>
        <w:t>theo</w:t>
      </w:r>
      <w:proofErr w:type="spellEnd"/>
      <w:r w:rsidR="00F7156C" w:rsidRPr="00F3516E">
        <w:rPr>
          <w:rFonts w:ascii="Arial" w:hAnsi="Arial" w:cs="Arial"/>
          <w:sz w:val="20"/>
          <w:szCs w:val="24"/>
        </w:rPr>
        <w:t xml:space="preserve">) </w:t>
      </w:r>
      <w:r w:rsidR="00683C95">
        <w:rPr>
          <w:rFonts w:ascii="Arial" w:hAnsi="Arial" w:cs="Arial"/>
          <w:sz w:val="20"/>
          <w:szCs w:val="24"/>
        </w:rPr>
        <w:t>was</w:t>
      </w:r>
      <w:r w:rsidR="00F7156C" w:rsidRPr="00F3516E">
        <w:rPr>
          <w:rFonts w:ascii="Arial" w:hAnsi="Arial" w:cs="Arial"/>
          <w:sz w:val="20"/>
          <w:szCs w:val="24"/>
        </w:rPr>
        <w:t xml:space="preserve"> 2.117 mg/g for first-order kinetics, close</w:t>
      </w:r>
      <w:r w:rsidR="00C8346C">
        <w:rPr>
          <w:rFonts w:ascii="Arial" w:hAnsi="Arial" w:cs="Arial"/>
          <w:sz w:val="20"/>
          <w:szCs w:val="24"/>
        </w:rPr>
        <w:t>d</w:t>
      </w:r>
      <w:r w:rsidR="00F7156C" w:rsidRPr="00F3516E">
        <w:rPr>
          <w:rFonts w:ascii="Arial" w:hAnsi="Arial" w:cs="Arial"/>
          <w:sz w:val="20"/>
          <w:szCs w:val="24"/>
        </w:rPr>
        <w:t xml:space="preserve"> to the maximum experimental adsorption quantity </w:t>
      </w:r>
      <w:proofErr w:type="spellStart"/>
      <w:r w:rsidR="00F7156C" w:rsidRPr="00F3516E">
        <w:rPr>
          <w:rFonts w:ascii="Arial" w:hAnsi="Arial" w:cs="Arial"/>
          <w:sz w:val="20"/>
          <w:szCs w:val="24"/>
        </w:rPr>
        <w:t>Qe</w:t>
      </w:r>
      <w:proofErr w:type="spellEnd"/>
      <w:r w:rsidR="00F7156C" w:rsidRPr="00F3516E">
        <w:rPr>
          <w:rFonts w:ascii="Arial" w:hAnsi="Arial" w:cs="Arial"/>
          <w:sz w:val="20"/>
          <w:szCs w:val="24"/>
        </w:rPr>
        <w:t xml:space="preserve"> (exp) 2.315 mg/g compared to that of the pseudo-second order which is 2.665 mg/g.</w:t>
      </w:r>
    </w:p>
    <w:p w14:paraId="73C06C19" w14:textId="77777777" w:rsidR="00D72EF9" w:rsidRDefault="00D72EF9" w:rsidP="00847B0E">
      <w:pPr>
        <w:spacing w:after="0" w:line="240" w:lineRule="auto"/>
        <w:jc w:val="both"/>
        <w:rPr>
          <w:rFonts w:ascii="Arial" w:hAnsi="Arial" w:cs="Arial"/>
          <w:sz w:val="20"/>
          <w:szCs w:val="24"/>
        </w:rPr>
      </w:pPr>
    </w:p>
    <w:p w14:paraId="364252CD" w14:textId="10A6E15C" w:rsidR="00D72EF9" w:rsidRPr="00F3516E" w:rsidRDefault="00D72EF9" w:rsidP="00847B0E">
      <w:pPr>
        <w:spacing w:after="0" w:line="240" w:lineRule="auto"/>
        <w:jc w:val="both"/>
        <w:rPr>
          <w:rFonts w:ascii="Arial" w:hAnsi="Arial" w:cs="Arial"/>
          <w:sz w:val="20"/>
          <w:szCs w:val="24"/>
        </w:rPr>
      </w:pPr>
      <w:r>
        <w:rPr>
          <w:rFonts w:ascii="Arial" w:hAnsi="Arial" w:cs="Arial"/>
          <w:sz w:val="20"/>
          <w:szCs w:val="24"/>
        </w:rPr>
        <w:t xml:space="preserve">Table 1: </w:t>
      </w:r>
      <w:r w:rsidR="00EC324F">
        <w:rPr>
          <w:rFonts w:ascii="Arial" w:hAnsi="Arial" w:cs="Arial"/>
          <w:sz w:val="20"/>
          <w:szCs w:val="24"/>
        </w:rPr>
        <w:t xml:space="preserve"> The analysis of First and Second pseudo-order with different parameters and values</w:t>
      </w:r>
    </w:p>
    <w:p w14:paraId="1CEDDF1A" w14:textId="0E2AAD6A" w:rsidR="00247DA7" w:rsidRDefault="00247DA7" w:rsidP="00446F8F">
      <w:pPr>
        <w:spacing w:after="0" w:line="360" w:lineRule="auto"/>
        <w:jc w:val="center"/>
        <w:rPr>
          <w:rFonts w:ascii="Times New Roman" w:hAnsi="Times New Roman" w:cs="Times New Roman"/>
          <w:sz w:val="24"/>
          <w:szCs w:val="24"/>
        </w:rPr>
      </w:pPr>
    </w:p>
    <w:p w14:paraId="164B8371" w14:textId="69FE47E9" w:rsidR="00A2748A" w:rsidRDefault="00A2748A" w:rsidP="00446F8F">
      <w:pPr>
        <w:spacing w:after="0" w:line="360" w:lineRule="auto"/>
        <w:jc w:val="center"/>
        <w:rPr>
          <w:rFonts w:ascii="Times New Roman" w:hAnsi="Times New Roman" w:cs="Times New Roman"/>
          <w:sz w:val="24"/>
          <w:szCs w:val="24"/>
        </w:rPr>
      </w:pPr>
    </w:p>
    <w:p w14:paraId="5B19A8E2" w14:textId="77777777" w:rsidR="00A2748A" w:rsidRDefault="00A2748A" w:rsidP="00446F8F">
      <w:pPr>
        <w:spacing w:after="0" w:line="360" w:lineRule="auto"/>
        <w:jc w:val="center"/>
        <w:rPr>
          <w:rFonts w:ascii="Times New Roman" w:hAnsi="Times New Roman" w:cs="Times New Roman"/>
          <w:sz w:val="24"/>
          <w:szCs w:val="24"/>
        </w:rPr>
      </w:pPr>
    </w:p>
    <w:tbl>
      <w:tblPr>
        <w:tblStyle w:val="TableGrid"/>
        <w:tblW w:w="9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1055"/>
        <w:gridCol w:w="1041"/>
        <w:gridCol w:w="1039"/>
        <w:gridCol w:w="1024"/>
        <w:gridCol w:w="1039"/>
        <w:gridCol w:w="1041"/>
        <w:gridCol w:w="1039"/>
        <w:gridCol w:w="1024"/>
      </w:tblGrid>
      <w:tr w:rsidR="00C47BFE" w:rsidRPr="00153372" w14:paraId="5DA0D1F0" w14:textId="77777777" w:rsidTr="00153372">
        <w:trPr>
          <w:trHeight w:val="416"/>
        </w:trPr>
        <w:tc>
          <w:tcPr>
            <w:tcW w:w="1369" w:type="dxa"/>
            <w:vMerge w:val="restart"/>
            <w:tcBorders>
              <w:top w:val="single" w:sz="4" w:space="0" w:color="auto"/>
            </w:tcBorders>
            <w:vAlign w:val="center"/>
          </w:tcPr>
          <w:p w14:paraId="6C94ABCE" w14:textId="6631354D" w:rsidR="00C47BFE" w:rsidRPr="00153372" w:rsidRDefault="00C47BFE" w:rsidP="00153372">
            <w:pPr>
              <w:spacing w:line="360" w:lineRule="auto"/>
              <w:jc w:val="center"/>
              <w:rPr>
                <w:rFonts w:ascii="Arial" w:hAnsi="Arial" w:cs="Arial"/>
                <w:b/>
                <w:sz w:val="20"/>
                <w:szCs w:val="20"/>
              </w:rPr>
            </w:pPr>
            <w:r w:rsidRPr="00153372">
              <w:rPr>
                <w:rFonts w:ascii="Arial" w:hAnsi="Arial" w:cs="Arial"/>
                <w:b/>
                <w:sz w:val="20"/>
                <w:szCs w:val="20"/>
              </w:rPr>
              <w:t>Parameters</w:t>
            </w:r>
          </w:p>
        </w:tc>
        <w:tc>
          <w:tcPr>
            <w:tcW w:w="4159" w:type="dxa"/>
            <w:gridSpan w:val="4"/>
            <w:tcBorders>
              <w:top w:val="single" w:sz="4" w:space="0" w:color="auto"/>
              <w:bottom w:val="single" w:sz="4" w:space="0" w:color="auto"/>
            </w:tcBorders>
            <w:vAlign w:val="center"/>
          </w:tcPr>
          <w:p w14:paraId="1E8FE2FE" w14:textId="77777777" w:rsidR="00C47BFE" w:rsidRPr="00153372" w:rsidRDefault="00C47BFE" w:rsidP="00153372">
            <w:pPr>
              <w:jc w:val="center"/>
              <w:rPr>
                <w:rFonts w:ascii="Arial" w:hAnsi="Arial" w:cs="Arial"/>
                <w:b/>
                <w:sz w:val="20"/>
                <w:szCs w:val="20"/>
              </w:rPr>
            </w:pPr>
            <w:r w:rsidRPr="00153372">
              <w:rPr>
                <w:rFonts w:ascii="Arial" w:hAnsi="Arial" w:cs="Arial"/>
                <w:b/>
                <w:sz w:val="20"/>
                <w:szCs w:val="20"/>
              </w:rPr>
              <w:t>First pseudo-order</w:t>
            </w:r>
          </w:p>
        </w:tc>
        <w:tc>
          <w:tcPr>
            <w:tcW w:w="4143" w:type="dxa"/>
            <w:gridSpan w:val="4"/>
            <w:tcBorders>
              <w:top w:val="single" w:sz="4" w:space="0" w:color="auto"/>
              <w:bottom w:val="single" w:sz="4" w:space="0" w:color="auto"/>
            </w:tcBorders>
            <w:vAlign w:val="center"/>
          </w:tcPr>
          <w:p w14:paraId="1103E625" w14:textId="77777777" w:rsidR="00C47BFE" w:rsidRPr="00153372" w:rsidRDefault="00C47BFE" w:rsidP="00153372">
            <w:pPr>
              <w:jc w:val="center"/>
              <w:rPr>
                <w:rFonts w:ascii="Arial" w:hAnsi="Arial" w:cs="Arial"/>
                <w:b/>
                <w:sz w:val="20"/>
                <w:szCs w:val="20"/>
              </w:rPr>
            </w:pPr>
            <w:r w:rsidRPr="00153372">
              <w:rPr>
                <w:rFonts w:ascii="Arial" w:hAnsi="Arial" w:cs="Arial"/>
                <w:b/>
                <w:sz w:val="20"/>
                <w:szCs w:val="20"/>
              </w:rPr>
              <w:t>Second pseudo-order</w:t>
            </w:r>
          </w:p>
        </w:tc>
      </w:tr>
      <w:tr w:rsidR="00C47BFE" w:rsidRPr="00153372" w14:paraId="5112B3A2" w14:textId="77777777" w:rsidTr="00E901F1">
        <w:trPr>
          <w:trHeight w:val="827"/>
        </w:trPr>
        <w:tc>
          <w:tcPr>
            <w:tcW w:w="1369" w:type="dxa"/>
            <w:vMerge/>
            <w:vAlign w:val="center"/>
          </w:tcPr>
          <w:p w14:paraId="7DA2BC60" w14:textId="77777777" w:rsidR="00C47BFE" w:rsidRPr="00153372" w:rsidRDefault="00C47BFE" w:rsidP="00446F8F">
            <w:pPr>
              <w:spacing w:line="360" w:lineRule="auto"/>
              <w:jc w:val="center"/>
              <w:rPr>
                <w:rFonts w:ascii="Arial" w:hAnsi="Arial" w:cs="Arial"/>
                <w:b/>
                <w:sz w:val="20"/>
                <w:szCs w:val="20"/>
              </w:rPr>
            </w:pPr>
          </w:p>
        </w:tc>
        <w:tc>
          <w:tcPr>
            <w:tcW w:w="1055" w:type="dxa"/>
            <w:tcBorders>
              <w:top w:val="single" w:sz="4" w:space="0" w:color="auto"/>
            </w:tcBorders>
            <w:vAlign w:val="center"/>
          </w:tcPr>
          <w:p w14:paraId="6721A70F" w14:textId="77777777" w:rsidR="00C47BFE" w:rsidRPr="00153372" w:rsidRDefault="00C47BFE" w:rsidP="00446F8F">
            <w:pPr>
              <w:spacing w:line="360" w:lineRule="auto"/>
              <w:jc w:val="center"/>
              <w:rPr>
                <w:rFonts w:ascii="Arial" w:hAnsi="Arial" w:cs="Arial"/>
                <w:b/>
                <w:sz w:val="20"/>
                <w:szCs w:val="20"/>
              </w:rPr>
            </w:pPr>
            <w:r w:rsidRPr="00153372">
              <w:rPr>
                <w:rFonts w:ascii="Arial" w:hAnsi="Arial" w:cs="Arial"/>
                <w:b/>
                <w:sz w:val="20"/>
                <w:szCs w:val="20"/>
              </w:rPr>
              <w:t>K</w:t>
            </w:r>
            <w:r w:rsidRPr="00153372">
              <w:rPr>
                <w:rFonts w:ascii="Arial" w:hAnsi="Arial" w:cs="Arial"/>
                <w:b/>
                <w:sz w:val="20"/>
                <w:szCs w:val="20"/>
                <w:vertAlign w:val="subscript"/>
              </w:rPr>
              <w:t>1</w:t>
            </w:r>
          </w:p>
        </w:tc>
        <w:tc>
          <w:tcPr>
            <w:tcW w:w="1041" w:type="dxa"/>
            <w:tcBorders>
              <w:top w:val="single" w:sz="4" w:space="0" w:color="auto"/>
            </w:tcBorders>
            <w:vAlign w:val="center"/>
          </w:tcPr>
          <w:p w14:paraId="1112D1C7" w14:textId="77777777" w:rsidR="00C47BFE" w:rsidRPr="00153372" w:rsidRDefault="00C47BFE" w:rsidP="00446F8F">
            <w:pPr>
              <w:spacing w:line="360" w:lineRule="auto"/>
              <w:jc w:val="center"/>
              <w:rPr>
                <w:rFonts w:ascii="Arial" w:hAnsi="Arial" w:cs="Arial"/>
                <w:b/>
                <w:sz w:val="20"/>
                <w:szCs w:val="20"/>
              </w:rPr>
            </w:pPr>
            <w:proofErr w:type="spellStart"/>
            <w:r w:rsidRPr="00153372">
              <w:rPr>
                <w:rFonts w:ascii="Arial" w:hAnsi="Arial" w:cs="Arial"/>
                <w:b/>
                <w:sz w:val="20"/>
                <w:szCs w:val="20"/>
              </w:rPr>
              <w:t>Qe</w:t>
            </w:r>
            <w:r w:rsidRPr="00153372">
              <w:rPr>
                <w:rFonts w:ascii="Arial" w:hAnsi="Arial" w:cs="Arial"/>
                <w:b/>
                <w:sz w:val="20"/>
                <w:szCs w:val="20"/>
                <w:vertAlign w:val="subscript"/>
              </w:rPr>
              <w:t>theo</w:t>
            </w:r>
            <w:proofErr w:type="spellEnd"/>
          </w:p>
        </w:tc>
        <w:tc>
          <w:tcPr>
            <w:tcW w:w="1039" w:type="dxa"/>
            <w:tcBorders>
              <w:top w:val="single" w:sz="4" w:space="0" w:color="auto"/>
            </w:tcBorders>
            <w:vAlign w:val="center"/>
          </w:tcPr>
          <w:p w14:paraId="1A068547" w14:textId="77777777" w:rsidR="00C47BFE" w:rsidRPr="00153372" w:rsidRDefault="00C47BFE" w:rsidP="00446F8F">
            <w:pPr>
              <w:spacing w:line="360" w:lineRule="auto"/>
              <w:jc w:val="center"/>
              <w:rPr>
                <w:rFonts w:ascii="Arial" w:hAnsi="Arial" w:cs="Arial"/>
                <w:b/>
                <w:sz w:val="20"/>
                <w:szCs w:val="20"/>
              </w:rPr>
            </w:pPr>
            <w:proofErr w:type="spellStart"/>
            <w:r w:rsidRPr="00153372">
              <w:rPr>
                <w:rFonts w:ascii="Arial" w:hAnsi="Arial" w:cs="Arial"/>
                <w:b/>
                <w:sz w:val="20"/>
                <w:szCs w:val="20"/>
              </w:rPr>
              <w:t>Qe</w:t>
            </w:r>
            <w:r w:rsidRPr="00153372">
              <w:rPr>
                <w:rFonts w:ascii="Arial" w:hAnsi="Arial" w:cs="Arial"/>
                <w:b/>
                <w:sz w:val="20"/>
                <w:szCs w:val="20"/>
                <w:vertAlign w:val="subscript"/>
              </w:rPr>
              <w:t>exp</w:t>
            </w:r>
            <w:proofErr w:type="spellEnd"/>
          </w:p>
        </w:tc>
        <w:tc>
          <w:tcPr>
            <w:tcW w:w="1022" w:type="dxa"/>
            <w:tcBorders>
              <w:top w:val="single" w:sz="4" w:space="0" w:color="auto"/>
            </w:tcBorders>
            <w:vAlign w:val="center"/>
          </w:tcPr>
          <w:p w14:paraId="0733C14C" w14:textId="77777777" w:rsidR="00C47BFE" w:rsidRPr="00153372" w:rsidRDefault="00C47BFE" w:rsidP="00446F8F">
            <w:pPr>
              <w:spacing w:line="360" w:lineRule="auto"/>
              <w:jc w:val="center"/>
              <w:rPr>
                <w:rFonts w:ascii="Arial" w:hAnsi="Arial" w:cs="Arial"/>
                <w:b/>
                <w:sz w:val="20"/>
                <w:szCs w:val="20"/>
              </w:rPr>
            </w:pPr>
            <w:r w:rsidRPr="00153372">
              <w:rPr>
                <w:rFonts w:ascii="Arial" w:hAnsi="Arial" w:cs="Arial"/>
                <w:b/>
                <w:sz w:val="20"/>
                <w:szCs w:val="20"/>
              </w:rPr>
              <w:t>R</w:t>
            </w:r>
            <w:r w:rsidRPr="00153372">
              <w:rPr>
                <w:rFonts w:ascii="Arial" w:hAnsi="Arial" w:cs="Arial"/>
                <w:b/>
                <w:sz w:val="20"/>
                <w:szCs w:val="20"/>
                <w:vertAlign w:val="superscript"/>
              </w:rPr>
              <w:t>2</w:t>
            </w:r>
          </w:p>
        </w:tc>
        <w:tc>
          <w:tcPr>
            <w:tcW w:w="1039" w:type="dxa"/>
            <w:tcBorders>
              <w:top w:val="single" w:sz="4" w:space="0" w:color="auto"/>
            </w:tcBorders>
            <w:vAlign w:val="center"/>
          </w:tcPr>
          <w:p w14:paraId="678B458B" w14:textId="77777777" w:rsidR="00C47BFE" w:rsidRPr="00153372" w:rsidRDefault="00C47BFE" w:rsidP="00446F8F">
            <w:pPr>
              <w:spacing w:line="360" w:lineRule="auto"/>
              <w:jc w:val="center"/>
              <w:rPr>
                <w:rFonts w:ascii="Arial" w:hAnsi="Arial" w:cs="Arial"/>
                <w:b/>
                <w:sz w:val="20"/>
                <w:szCs w:val="20"/>
              </w:rPr>
            </w:pPr>
            <w:r w:rsidRPr="00153372">
              <w:rPr>
                <w:rFonts w:ascii="Arial" w:hAnsi="Arial" w:cs="Arial"/>
                <w:b/>
                <w:sz w:val="20"/>
                <w:szCs w:val="20"/>
              </w:rPr>
              <w:t>K</w:t>
            </w:r>
            <w:r w:rsidRPr="00153372">
              <w:rPr>
                <w:rFonts w:ascii="Arial" w:hAnsi="Arial" w:cs="Arial"/>
                <w:b/>
                <w:sz w:val="20"/>
                <w:szCs w:val="20"/>
                <w:vertAlign w:val="subscript"/>
              </w:rPr>
              <w:t>2</w:t>
            </w:r>
          </w:p>
        </w:tc>
        <w:tc>
          <w:tcPr>
            <w:tcW w:w="1041" w:type="dxa"/>
            <w:tcBorders>
              <w:top w:val="single" w:sz="4" w:space="0" w:color="auto"/>
            </w:tcBorders>
            <w:vAlign w:val="center"/>
          </w:tcPr>
          <w:p w14:paraId="64F7C387" w14:textId="77777777" w:rsidR="00C47BFE" w:rsidRPr="00153372" w:rsidRDefault="00C47BFE" w:rsidP="00446F8F">
            <w:pPr>
              <w:spacing w:line="360" w:lineRule="auto"/>
              <w:jc w:val="center"/>
              <w:rPr>
                <w:rFonts w:ascii="Arial" w:hAnsi="Arial" w:cs="Arial"/>
                <w:b/>
                <w:sz w:val="20"/>
                <w:szCs w:val="20"/>
              </w:rPr>
            </w:pPr>
            <w:proofErr w:type="spellStart"/>
            <w:r w:rsidRPr="00153372">
              <w:rPr>
                <w:rFonts w:ascii="Arial" w:hAnsi="Arial" w:cs="Arial"/>
                <w:b/>
                <w:sz w:val="20"/>
                <w:szCs w:val="20"/>
              </w:rPr>
              <w:t>Qe</w:t>
            </w:r>
            <w:r w:rsidRPr="00153372">
              <w:rPr>
                <w:rFonts w:ascii="Arial" w:hAnsi="Arial" w:cs="Arial"/>
                <w:b/>
                <w:sz w:val="20"/>
                <w:szCs w:val="20"/>
                <w:vertAlign w:val="subscript"/>
              </w:rPr>
              <w:t>theo</w:t>
            </w:r>
            <w:proofErr w:type="spellEnd"/>
          </w:p>
        </w:tc>
        <w:tc>
          <w:tcPr>
            <w:tcW w:w="1039" w:type="dxa"/>
            <w:tcBorders>
              <w:top w:val="single" w:sz="4" w:space="0" w:color="auto"/>
            </w:tcBorders>
            <w:vAlign w:val="center"/>
          </w:tcPr>
          <w:p w14:paraId="101510AD" w14:textId="77777777" w:rsidR="00C47BFE" w:rsidRPr="00153372" w:rsidRDefault="00C47BFE" w:rsidP="00446F8F">
            <w:pPr>
              <w:spacing w:line="360" w:lineRule="auto"/>
              <w:jc w:val="center"/>
              <w:rPr>
                <w:rFonts w:ascii="Arial" w:hAnsi="Arial" w:cs="Arial"/>
                <w:b/>
                <w:sz w:val="20"/>
                <w:szCs w:val="20"/>
              </w:rPr>
            </w:pPr>
            <w:proofErr w:type="spellStart"/>
            <w:r w:rsidRPr="00153372">
              <w:rPr>
                <w:rFonts w:ascii="Arial" w:hAnsi="Arial" w:cs="Arial"/>
                <w:b/>
                <w:sz w:val="20"/>
                <w:szCs w:val="20"/>
              </w:rPr>
              <w:t>Qe</w:t>
            </w:r>
            <w:r w:rsidRPr="00153372">
              <w:rPr>
                <w:rFonts w:ascii="Arial" w:hAnsi="Arial" w:cs="Arial"/>
                <w:b/>
                <w:sz w:val="20"/>
                <w:szCs w:val="20"/>
                <w:vertAlign w:val="subscript"/>
              </w:rPr>
              <w:t>exp</w:t>
            </w:r>
            <w:proofErr w:type="spellEnd"/>
          </w:p>
        </w:tc>
        <w:tc>
          <w:tcPr>
            <w:tcW w:w="1022" w:type="dxa"/>
            <w:tcBorders>
              <w:top w:val="single" w:sz="4" w:space="0" w:color="auto"/>
            </w:tcBorders>
            <w:vAlign w:val="center"/>
          </w:tcPr>
          <w:p w14:paraId="132D6F47" w14:textId="77777777" w:rsidR="00C47BFE" w:rsidRPr="00153372" w:rsidRDefault="00C47BFE" w:rsidP="00446F8F">
            <w:pPr>
              <w:spacing w:line="360" w:lineRule="auto"/>
              <w:jc w:val="center"/>
              <w:rPr>
                <w:rFonts w:ascii="Arial" w:hAnsi="Arial" w:cs="Arial"/>
                <w:b/>
                <w:sz w:val="20"/>
                <w:szCs w:val="20"/>
              </w:rPr>
            </w:pPr>
            <w:r w:rsidRPr="00153372">
              <w:rPr>
                <w:rFonts w:ascii="Arial" w:hAnsi="Arial" w:cs="Arial"/>
                <w:b/>
                <w:sz w:val="20"/>
                <w:szCs w:val="20"/>
              </w:rPr>
              <w:t>R</w:t>
            </w:r>
            <w:r w:rsidRPr="00153372">
              <w:rPr>
                <w:rFonts w:ascii="Arial" w:hAnsi="Arial" w:cs="Arial"/>
                <w:b/>
                <w:sz w:val="20"/>
                <w:szCs w:val="20"/>
                <w:vertAlign w:val="superscript"/>
              </w:rPr>
              <w:t>2</w:t>
            </w:r>
          </w:p>
        </w:tc>
      </w:tr>
      <w:tr w:rsidR="00247DA7" w:rsidRPr="00153372" w14:paraId="644C5E1D" w14:textId="77777777" w:rsidTr="00E901F1">
        <w:trPr>
          <w:trHeight w:val="781"/>
        </w:trPr>
        <w:tc>
          <w:tcPr>
            <w:tcW w:w="1369" w:type="dxa"/>
            <w:tcBorders>
              <w:bottom w:val="single" w:sz="4" w:space="0" w:color="auto"/>
            </w:tcBorders>
            <w:vAlign w:val="center"/>
          </w:tcPr>
          <w:p w14:paraId="55823A92" w14:textId="77777777" w:rsidR="00247DA7" w:rsidRPr="00153372" w:rsidRDefault="00C47BFE" w:rsidP="00446F8F">
            <w:pPr>
              <w:spacing w:line="360" w:lineRule="auto"/>
              <w:jc w:val="center"/>
              <w:rPr>
                <w:rFonts w:ascii="Arial" w:hAnsi="Arial" w:cs="Arial"/>
                <w:b/>
                <w:sz w:val="20"/>
                <w:szCs w:val="20"/>
              </w:rPr>
            </w:pPr>
            <w:r w:rsidRPr="00153372">
              <w:rPr>
                <w:rFonts w:ascii="Arial" w:hAnsi="Arial" w:cs="Arial"/>
                <w:b/>
                <w:sz w:val="20"/>
                <w:szCs w:val="20"/>
              </w:rPr>
              <w:t>Value</w:t>
            </w:r>
          </w:p>
        </w:tc>
        <w:tc>
          <w:tcPr>
            <w:tcW w:w="1055" w:type="dxa"/>
            <w:tcBorders>
              <w:bottom w:val="single" w:sz="4" w:space="0" w:color="auto"/>
            </w:tcBorders>
            <w:vAlign w:val="center"/>
          </w:tcPr>
          <w:p w14:paraId="000DE263" w14:textId="77777777" w:rsidR="00247DA7" w:rsidRPr="00153372" w:rsidRDefault="00E76CF6" w:rsidP="00446F8F">
            <w:pPr>
              <w:spacing w:line="360" w:lineRule="auto"/>
              <w:jc w:val="center"/>
              <w:rPr>
                <w:rFonts w:ascii="Arial" w:hAnsi="Arial" w:cs="Arial"/>
                <w:b/>
                <w:sz w:val="20"/>
                <w:szCs w:val="20"/>
              </w:rPr>
            </w:pPr>
            <w:r w:rsidRPr="00153372">
              <w:rPr>
                <w:rFonts w:ascii="Arial" w:hAnsi="Arial" w:cs="Arial"/>
                <w:b/>
                <w:sz w:val="20"/>
                <w:szCs w:val="20"/>
              </w:rPr>
              <w:t>0.0251</w:t>
            </w:r>
          </w:p>
        </w:tc>
        <w:tc>
          <w:tcPr>
            <w:tcW w:w="1041" w:type="dxa"/>
            <w:tcBorders>
              <w:bottom w:val="single" w:sz="4" w:space="0" w:color="auto"/>
            </w:tcBorders>
            <w:vAlign w:val="center"/>
          </w:tcPr>
          <w:p w14:paraId="2FB2A04B" w14:textId="77777777" w:rsidR="00247DA7" w:rsidRPr="00153372" w:rsidRDefault="004721D2" w:rsidP="00446F8F">
            <w:pPr>
              <w:spacing w:line="360" w:lineRule="auto"/>
              <w:jc w:val="center"/>
              <w:rPr>
                <w:rFonts w:ascii="Arial" w:hAnsi="Arial" w:cs="Arial"/>
                <w:b/>
                <w:sz w:val="20"/>
                <w:szCs w:val="20"/>
              </w:rPr>
            </w:pPr>
            <w:r w:rsidRPr="00153372">
              <w:rPr>
                <w:rFonts w:ascii="Arial" w:hAnsi="Arial" w:cs="Arial"/>
                <w:b/>
                <w:sz w:val="20"/>
                <w:szCs w:val="20"/>
              </w:rPr>
              <w:t>2.117</w:t>
            </w:r>
          </w:p>
        </w:tc>
        <w:tc>
          <w:tcPr>
            <w:tcW w:w="1039" w:type="dxa"/>
            <w:tcBorders>
              <w:bottom w:val="single" w:sz="4" w:space="0" w:color="auto"/>
            </w:tcBorders>
            <w:vAlign w:val="center"/>
          </w:tcPr>
          <w:p w14:paraId="72BC3D27" w14:textId="77777777" w:rsidR="00247DA7" w:rsidRPr="00153372" w:rsidRDefault="004721D2" w:rsidP="00446F8F">
            <w:pPr>
              <w:spacing w:line="360" w:lineRule="auto"/>
              <w:jc w:val="center"/>
              <w:rPr>
                <w:rFonts w:ascii="Arial" w:hAnsi="Arial" w:cs="Arial"/>
                <w:b/>
                <w:sz w:val="20"/>
                <w:szCs w:val="20"/>
              </w:rPr>
            </w:pPr>
            <w:r w:rsidRPr="00153372">
              <w:rPr>
                <w:rFonts w:ascii="Arial" w:hAnsi="Arial" w:cs="Arial"/>
                <w:b/>
                <w:sz w:val="20"/>
                <w:szCs w:val="20"/>
              </w:rPr>
              <w:t>2.315</w:t>
            </w:r>
          </w:p>
        </w:tc>
        <w:tc>
          <w:tcPr>
            <w:tcW w:w="1022" w:type="dxa"/>
            <w:tcBorders>
              <w:bottom w:val="single" w:sz="4" w:space="0" w:color="auto"/>
            </w:tcBorders>
            <w:vAlign w:val="center"/>
          </w:tcPr>
          <w:p w14:paraId="3A82FBD4" w14:textId="77777777" w:rsidR="00247DA7" w:rsidRPr="00153372" w:rsidRDefault="00E76CF6" w:rsidP="00446F8F">
            <w:pPr>
              <w:spacing w:line="360" w:lineRule="auto"/>
              <w:jc w:val="center"/>
              <w:rPr>
                <w:rFonts w:ascii="Arial" w:hAnsi="Arial" w:cs="Arial"/>
                <w:b/>
                <w:sz w:val="20"/>
                <w:szCs w:val="20"/>
              </w:rPr>
            </w:pPr>
            <w:r w:rsidRPr="00153372">
              <w:rPr>
                <w:rFonts w:ascii="Arial" w:hAnsi="Arial" w:cs="Arial"/>
                <w:b/>
                <w:sz w:val="20"/>
                <w:szCs w:val="20"/>
              </w:rPr>
              <w:t>0.91</w:t>
            </w:r>
          </w:p>
        </w:tc>
        <w:tc>
          <w:tcPr>
            <w:tcW w:w="1039" w:type="dxa"/>
            <w:tcBorders>
              <w:bottom w:val="single" w:sz="4" w:space="0" w:color="auto"/>
            </w:tcBorders>
            <w:vAlign w:val="center"/>
          </w:tcPr>
          <w:p w14:paraId="4E03B4D4" w14:textId="77777777" w:rsidR="00247DA7" w:rsidRPr="00153372" w:rsidRDefault="00B32A8D" w:rsidP="00446F8F">
            <w:pPr>
              <w:spacing w:line="360" w:lineRule="auto"/>
              <w:jc w:val="center"/>
              <w:rPr>
                <w:rFonts w:ascii="Arial" w:hAnsi="Arial" w:cs="Arial"/>
                <w:b/>
                <w:sz w:val="20"/>
                <w:szCs w:val="20"/>
              </w:rPr>
            </w:pPr>
            <w:r w:rsidRPr="00153372">
              <w:rPr>
                <w:rFonts w:ascii="Arial" w:hAnsi="Arial" w:cs="Arial"/>
                <w:b/>
                <w:sz w:val="20"/>
                <w:szCs w:val="20"/>
              </w:rPr>
              <w:t>0.013</w:t>
            </w:r>
          </w:p>
        </w:tc>
        <w:tc>
          <w:tcPr>
            <w:tcW w:w="1041" w:type="dxa"/>
            <w:tcBorders>
              <w:bottom w:val="single" w:sz="4" w:space="0" w:color="auto"/>
            </w:tcBorders>
            <w:vAlign w:val="center"/>
          </w:tcPr>
          <w:p w14:paraId="7F3D076C" w14:textId="77777777" w:rsidR="00247DA7" w:rsidRPr="00153372" w:rsidRDefault="00B32A8D" w:rsidP="00446F8F">
            <w:pPr>
              <w:spacing w:line="360" w:lineRule="auto"/>
              <w:jc w:val="center"/>
              <w:rPr>
                <w:rFonts w:ascii="Arial" w:hAnsi="Arial" w:cs="Arial"/>
                <w:b/>
                <w:sz w:val="20"/>
                <w:szCs w:val="20"/>
              </w:rPr>
            </w:pPr>
            <w:r w:rsidRPr="00153372">
              <w:rPr>
                <w:rFonts w:ascii="Arial" w:hAnsi="Arial" w:cs="Arial"/>
                <w:b/>
                <w:sz w:val="20"/>
                <w:szCs w:val="20"/>
              </w:rPr>
              <w:t>2.665</w:t>
            </w:r>
          </w:p>
        </w:tc>
        <w:tc>
          <w:tcPr>
            <w:tcW w:w="1039" w:type="dxa"/>
            <w:tcBorders>
              <w:bottom w:val="single" w:sz="4" w:space="0" w:color="auto"/>
            </w:tcBorders>
            <w:vAlign w:val="center"/>
          </w:tcPr>
          <w:p w14:paraId="6352B557" w14:textId="77777777" w:rsidR="00247DA7" w:rsidRPr="00153372" w:rsidRDefault="004721D2" w:rsidP="00446F8F">
            <w:pPr>
              <w:spacing w:line="360" w:lineRule="auto"/>
              <w:jc w:val="center"/>
              <w:rPr>
                <w:rFonts w:ascii="Arial" w:hAnsi="Arial" w:cs="Arial"/>
                <w:b/>
                <w:sz w:val="20"/>
                <w:szCs w:val="20"/>
              </w:rPr>
            </w:pPr>
            <w:r w:rsidRPr="00153372">
              <w:rPr>
                <w:rFonts w:ascii="Arial" w:hAnsi="Arial" w:cs="Arial"/>
                <w:b/>
                <w:sz w:val="20"/>
                <w:szCs w:val="20"/>
              </w:rPr>
              <w:t>2.315</w:t>
            </w:r>
          </w:p>
        </w:tc>
        <w:tc>
          <w:tcPr>
            <w:tcW w:w="1022" w:type="dxa"/>
            <w:tcBorders>
              <w:bottom w:val="single" w:sz="4" w:space="0" w:color="auto"/>
            </w:tcBorders>
            <w:vAlign w:val="center"/>
          </w:tcPr>
          <w:p w14:paraId="7703B53A" w14:textId="77777777" w:rsidR="00247DA7" w:rsidRPr="00153372" w:rsidRDefault="002E4307" w:rsidP="00446F8F">
            <w:pPr>
              <w:spacing w:line="360" w:lineRule="auto"/>
              <w:jc w:val="center"/>
              <w:rPr>
                <w:rFonts w:ascii="Arial" w:hAnsi="Arial" w:cs="Arial"/>
                <w:b/>
                <w:sz w:val="20"/>
                <w:szCs w:val="20"/>
              </w:rPr>
            </w:pPr>
            <w:r w:rsidRPr="00153372">
              <w:rPr>
                <w:rFonts w:ascii="Arial" w:hAnsi="Arial" w:cs="Arial"/>
                <w:b/>
                <w:sz w:val="20"/>
                <w:szCs w:val="20"/>
              </w:rPr>
              <w:t>0.97</w:t>
            </w:r>
          </w:p>
        </w:tc>
      </w:tr>
    </w:tbl>
    <w:p w14:paraId="60C37C0A" w14:textId="77777777" w:rsidR="00247DA7" w:rsidRDefault="00247DA7" w:rsidP="00446F8F">
      <w:pPr>
        <w:spacing w:after="0" w:line="360" w:lineRule="auto"/>
        <w:jc w:val="both"/>
        <w:rPr>
          <w:rFonts w:ascii="Times New Roman" w:hAnsi="Times New Roman" w:cs="Times New Roman"/>
          <w:sz w:val="24"/>
          <w:szCs w:val="24"/>
        </w:rPr>
      </w:pPr>
    </w:p>
    <w:p w14:paraId="6200B434" w14:textId="77777777" w:rsidR="0094629C" w:rsidRDefault="0094629C" w:rsidP="00446F8F">
      <w:pPr>
        <w:spacing w:after="0" w:line="360" w:lineRule="auto"/>
        <w:jc w:val="center"/>
        <w:rPr>
          <w:rFonts w:ascii="Times New Roman" w:hAnsi="Times New Roman" w:cs="Times New Roman"/>
          <w:sz w:val="24"/>
          <w:szCs w:val="24"/>
        </w:rPr>
      </w:pPr>
    </w:p>
    <w:p w14:paraId="2BAB3B49" w14:textId="77777777" w:rsidR="0000536F" w:rsidRDefault="0094629C" w:rsidP="0000536F">
      <w:pPr>
        <w:keepNext/>
        <w:spacing w:after="0" w:line="360" w:lineRule="auto"/>
        <w:jc w:val="center"/>
      </w:pPr>
      <w:r w:rsidRPr="00F3516E">
        <w:rPr>
          <w:rFonts w:ascii="Arial" w:hAnsi="Arial" w:cs="Arial"/>
          <w:noProof/>
          <w:sz w:val="20"/>
          <w14:ligatures w14:val="none"/>
        </w:rPr>
        <w:drawing>
          <wp:inline distT="0" distB="0" distL="0" distR="0" wp14:anchorId="4F8A4976" wp14:editId="0731071E">
            <wp:extent cx="4572000" cy="2743200"/>
            <wp:effectExtent l="0" t="0" r="0" b="0"/>
            <wp:docPr id="2" name="Graphique 2">
              <a:extLst xmlns:a="http://schemas.openxmlformats.org/drawingml/2006/main">
                <a:ext uri="{FF2B5EF4-FFF2-40B4-BE49-F238E27FC236}">
                  <a16:creationId xmlns:a16="http://schemas.microsoft.com/office/drawing/2014/main" id="{740CE3C0-CD02-41C6-8127-5E82A598D3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0E15FE" w14:textId="79400B6D" w:rsidR="0094629C" w:rsidRPr="00C42D41" w:rsidRDefault="0000536F" w:rsidP="00C42D41">
      <w:pPr>
        <w:spacing w:line="360" w:lineRule="auto"/>
        <w:jc w:val="center"/>
        <w:rPr>
          <w:rFonts w:ascii="Arial" w:hAnsi="Arial" w:cs="Arial"/>
          <w:b/>
        </w:rPr>
      </w:pPr>
      <w:r w:rsidRPr="00C42D41">
        <w:rPr>
          <w:rFonts w:ascii="Arial" w:hAnsi="Arial" w:cs="Arial"/>
          <w:b/>
        </w:rPr>
        <w:t>Fig</w:t>
      </w:r>
      <w:r w:rsidR="00C42D41" w:rsidRPr="00C42D41">
        <w:rPr>
          <w:rFonts w:ascii="Arial" w:hAnsi="Arial" w:cs="Arial"/>
          <w:b/>
        </w:rPr>
        <w:t>.</w:t>
      </w:r>
      <w:r w:rsidRPr="00C42D41">
        <w:rPr>
          <w:rFonts w:ascii="Arial" w:hAnsi="Arial" w:cs="Arial"/>
          <w:b/>
        </w:rPr>
        <w:t xml:space="preserve"> </w:t>
      </w:r>
      <w:r w:rsidRPr="00C42D41">
        <w:rPr>
          <w:rFonts w:ascii="Arial" w:hAnsi="Arial" w:cs="Arial"/>
          <w:b/>
        </w:rPr>
        <w:fldChar w:fldCharType="begin"/>
      </w:r>
      <w:r w:rsidRPr="00C42D41">
        <w:rPr>
          <w:rFonts w:ascii="Arial" w:hAnsi="Arial" w:cs="Arial"/>
          <w:b/>
        </w:rPr>
        <w:instrText xml:space="preserve"> SEQ Figure \* ARABIC </w:instrText>
      </w:r>
      <w:r w:rsidRPr="00C42D41">
        <w:rPr>
          <w:rFonts w:ascii="Arial" w:hAnsi="Arial" w:cs="Arial"/>
          <w:b/>
        </w:rPr>
        <w:fldChar w:fldCharType="separate"/>
      </w:r>
      <w:r w:rsidRPr="00C42D41">
        <w:rPr>
          <w:rFonts w:ascii="Arial" w:hAnsi="Arial" w:cs="Arial"/>
          <w:b/>
        </w:rPr>
        <w:t>6</w:t>
      </w:r>
      <w:r w:rsidRPr="00C42D41">
        <w:rPr>
          <w:rFonts w:ascii="Arial" w:hAnsi="Arial" w:cs="Arial"/>
          <w:b/>
        </w:rPr>
        <w:fldChar w:fldCharType="end"/>
      </w:r>
      <w:r w:rsidR="00C42D41" w:rsidRPr="00C42D41">
        <w:rPr>
          <w:rFonts w:ascii="Arial" w:hAnsi="Arial" w:cs="Arial"/>
          <w:b/>
        </w:rPr>
        <w:t xml:space="preserve">. Pseudo-first-order kinetic adsorption model of TDS </w:t>
      </w:r>
    </w:p>
    <w:p w14:paraId="476E88B7" w14:textId="77777777" w:rsidR="0094629C" w:rsidRPr="00540F81" w:rsidRDefault="0094629C" w:rsidP="00446F8F">
      <w:pPr>
        <w:spacing w:after="0" w:line="360" w:lineRule="auto"/>
        <w:jc w:val="both"/>
        <w:rPr>
          <w:rFonts w:ascii="Arial" w:hAnsi="Arial" w:cs="Arial"/>
          <w:b/>
          <w:szCs w:val="24"/>
        </w:rPr>
      </w:pPr>
    </w:p>
    <w:p w14:paraId="767FAD58" w14:textId="77777777" w:rsidR="00A6212B" w:rsidRPr="00540F81" w:rsidRDefault="00A6212B" w:rsidP="00446F8F">
      <w:pPr>
        <w:spacing w:after="0" w:line="360" w:lineRule="auto"/>
        <w:jc w:val="both"/>
        <w:rPr>
          <w:rFonts w:ascii="Arial" w:hAnsi="Arial" w:cs="Arial"/>
          <w:b/>
          <w:szCs w:val="24"/>
        </w:rPr>
      </w:pPr>
    </w:p>
    <w:p w14:paraId="1B29F325" w14:textId="77777777" w:rsidR="00A6212B" w:rsidRPr="00540F81" w:rsidRDefault="00A6212B" w:rsidP="00446F8F">
      <w:pPr>
        <w:spacing w:after="0" w:line="360" w:lineRule="auto"/>
        <w:jc w:val="both"/>
        <w:rPr>
          <w:rFonts w:ascii="Arial" w:hAnsi="Arial" w:cs="Arial"/>
          <w:b/>
          <w:szCs w:val="24"/>
        </w:rPr>
      </w:pPr>
    </w:p>
    <w:p w14:paraId="7460B0C3" w14:textId="77777777" w:rsidR="0000536F" w:rsidRDefault="00A6212B" w:rsidP="0000536F">
      <w:pPr>
        <w:keepNext/>
        <w:spacing w:after="0" w:line="360" w:lineRule="auto"/>
        <w:jc w:val="center"/>
      </w:pPr>
      <w:r>
        <w:rPr>
          <w:noProof/>
          <w14:ligatures w14:val="none"/>
        </w:rPr>
        <w:lastRenderedPageBreak/>
        <w:drawing>
          <wp:inline distT="0" distB="0" distL="0" distR="0" wp14:anchorId="7EEAB5CE" wp14:editId="0D4D8A9D">
            <wp:extent cx="4572000" cy="2743200"/>
            <wp:effectExtent l="0" t="0" r="0" b="0"/>
            <wp:docPr id="1" name="Graphique 1">
              <a:extLst xmlns:a="http://schemas.openxmlformats.org/drawingml/2006/main">
                <a:ext uri="{FF2B5EF4-FFF2-40B4-BE49-F238E27FC236}">
                  <a16:creationId xmlns:a16="http://schemas.microsoft.com/office/drawing/2014/main" id="{1388AA91-7DD2-4313-986C-D56321FB34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6194C1" w14:textId="05C8401B" w:rsidR="00A6212B" w:rsidRPr="00C42D41" w:rsidRDefault="0000536F" w:rsidP="00C42D41">
      <w:pPr>
        <w:spacing w:line="360" w:lineRule="auto"/>
        <w:jc w:val="center"/>
        <w:rPr>
          <w:rFonts w:ascii="Arial" w:hAnsi="Arial" w:cs="Arial"/>
          <w:b/>
        </w:rPr>
      </w:pPr>
      <w:r w:rsidRPr="00C42D41">
        <w:rPr>
          <w:rFonts w:ascii="Arial" w:hAnsi="Arial" w:cs="Arial"/>
          <w:b/>
        </w:rPr>
        <w:t>Fig</w:t>
      </w:r>
      <w:r w:rsidR="00C42D41" w:rsidRPr="00C42D41">
        <w:rPr>
          <w:rFonts w:ascii="Arial" w:hAnsi="Arial" w:cs="Arial"/>
          <w:b/>
        </w:rPr>
        <w:t>.</w:t>
      </w:r>
      <w:r w:rsidRPr="00C42D41">
        <w:rPr>
          <w:rFonts w:ascii="Arial" w:hAnsi="Arial" w:cs="Arial"/>
          <w:b/>
        </w:rPr>
        <w:t xml:space="preserve"> </w:t>
      </w:r>
      <w:r w:rsidRPr="00C42D41">
        <w:rPr>
          <w:rFonts w:ascii="Arial" w:hAnsi="Arial" w:cs="Arial"/>
          <w:b/>
        </w:rPr>
        <w:fldChar w:fldCharType="begin"/>
      </w:r>
      <w:r w:rsidRPr="00C42D41">
        <w:rPr>
          <w:rFonts w:ascii="Arial" w:hAnsi="Arial" w:cs="Arial"/>
          <w:b/>
        </w:rPr>
        <w:instrText xml:space="preserve"> SEQ Figure \* ARABIC </w:instrText>
      </w:r>
      <w:r w:rsidRPr="00C42D41">
        <w:rPr>
          <w:rFonts w:ascii="Arial" w:hAnsi="Arial" w:cs="Arial"/>
          <w:b/>
        </w:rPr>
        <w:fldChar w:fldCharType="separate"/>
      </w:r>
      <w:r w:rsidRPr="00C42D41">
        <w:rPr>
          <w:rFonts w:ascii="Arial" w:hAnsi="Arial" w:cs="Arial"/>
          <w:b/>
        </w:rPr>
        <w:t>7</w:t>
      </w:r>
      <w:r w:rsidRPr="00C42D41">
        <w:rPr>
          <w:rFonts w:ascii="Arial" w:hAnsi="Arial" w:cs="Arial"/>
          <w:b/>
        </w:rPr>
        <w:fldChar w:fldCharType="end"/>
      </w:r>
      <w:r w:rsidR="00C42D41" w:rsidRPr="00C42D41">
        <w:rPr>
          <w:rFonts w:ascii="Arial" w:hAnsi="Arial" w:cs="Arial"/>
          <w:b/>
        </w:rPr>
        <w:t xml:space="preserve">. Pseudo-second-order kinetic adsorption model of TDS </w:t>
      </w:r>
    </w:p>
    <w:p w14:paraId="41948070" w14:textId="77777777" w:rsidR="00A6212B" w:rsidRDefault="00A6212B" w:rsidP="00446F8F">
      <w:pPr>
        <w:spacing w:after="0" w:line="360" w:lineRule="auto"/>
        <w:jc w:val="both"/>
        <w:rPr>
          <w:rFonts w:ascii="Arial" w:hAnsi="Arial" w:cs="Arial"/>
          <w:b/>
          <w:szCs w:val="24"/>
        </w:rPr>
      </w:pPr>
    </w:p>
    <w:p w14:paraId="791017BC" w14:textId="77777777" w:rsidR="00A6212B" w:rsidRPr="00B02B88" w:rsidRDefault="00A6212B" w:rsidP="00446F8F">
      <w:pPr>
        <w:spacing w:after="0" w:line="360" w:lineRule="auto"/>
        <w:jc w:val="both"/>
        <w:rPr>
          <w:rFonts w:ascii="Arial" w:hAnsi="Arial" w:cs="Arial"/>
          <w:b/>
          <w:szCs w:val="24"/>
        </w:rPr>
      </w:pPr>
    </w:p>
    <w:p w14:paraId="796B7956" w14:textId="77777777" w:rsidR="00B02B88" w:rsidRDefault="003405C0" w:rsidP="00446F8F">
      <w:pPr>
        <w:pStyle w:val="ListParagraph"/>
        <w:numPr>
          <w:ilvl w:val="0"/>
          <w:numId w:val="12"/>
        </w:numPr>
        <w:spacing w:after="0" w:line="360" w:lineRule="auto"/>
        <w:jc w:val="both"/>
        <w:rPr>
          <w:rFonts w:ascii="Arial" w:hAnsi="Arial" w:cs="Arial"/>
          <w:b/>
          <w:szCs w:val="24"/>
        </w:rPr>
      </w:pPr>
      <w:r w:rsidRPr="00B02B88">
        <w:rPr>
          <w:rFonts w:ascii="Arial" w:hAnsi="Arial" w:cs="Arial"/>
          <w:b/>
          <w:szCs w:val="24"/>
        </w:rPr>
        <w:t>CONCLUSION</w:t>
      </w:r>
    </w:p>
    <w:p w14:paraId="2B1AC3C4" w14:textId="508A5BF1" w:rsidR="006B6C53" w:rsidRDefault="0041061C" w:rsidP="00C525F5">
      <w:pPr>
        <w:spacing w:after="0" w:line="240" w:lineRule="auto"/>
        <w:jc w:val="both"/>
        <w:rPr>
          <w:rFonts w:ascii="Arial" w:hAnsi="Arial" w:cs="Arial"/>
          <w:sz w:val="20"/>
          <w:szCs w:val="24"/>
        </w:rPr>
      </w:pPr>
      <w:r w:rsidRPr="0041061C">
        <w:rPr>
          <w:rFonts w:ascii="Arial" w:hAnsi="Arial" w:cs="Arial"/>
          <w:sz w:val="20"/>
          <w:szCs w:val="24"/>
        </w:rPr>
        <w:t xml:space="preserve">The present work reveals </w:t>
      </w:r>
      <w:r>
        <w:rPr>
          <w:rFonts w:ascii="Arial" w:hAnsi="Arial" w:cs="Arial"/>
          <w:sz w:val="20"/>
          <w:szCs w:val="24"/>
        </w:rPr>
        <w:t xml:space="preserve">that the rice husk even untreated may be employed as a good candidate, and cheap adsorbent for the </w:t>
      </w:r>
      <w:r w:rsidR="003E7A10">
        <w:rPr>
          <w:rFonts w:ascii="Arial" w:hAnsi="Arial" w:cs="Arial"/>
          <w:sz w:val="20"/>
          <w:szCs w:val="24"/>
        </w:rPr>
        <w:t>adsorption</w:t>
      </w:r>
      <w:r>
        <w:rPr>
          <w:rFonts w:ascii="Arial" w:hAnsi="Arial" w:cs="Arial"/>
          <w:sz w:val="20"/>
          <w:szCs w:val="24"/>
        </w:rPr>
        <w:t xml:space="preserve"> of TDS from the groundwater. After</w:t>
      </w:r>
      <w:r w:rsidR="00E24FA2">
        <w:rPr>
          <w:rFonts w:ascii="Arial" w:hAnsi="Arial" w:cs="Arial"/>
          <w:sz w:val="20"/>
          <w:szCs w:val="24"/>
        </w:rPr>
        <w:t xml:space="preserve"> the investigation of different parameters, </w:t>
      </w:r>
      <w:r w:rsidR="00A7605C" w:rsidRPr="00A7605C">
        <w:rPr>
          <w:rFonts w:ascii="Arial" w:hAnsi="Arial" w:cs="Arial"/>
          <w:sz w:val="20"/>
          <w:szCs w:val="24"/>
        </w:rPr>
        <w:t>The TDS adsorption test showed that the adsorbent particle size fraction between 250 and 400 microns had the best adsorption rate.</w:t>
      </w:r>
      <w:r w:rsidR="00A7605C">
        <w:rPr>
          <w:rFonts w:ascii="Arial" w:hAnsi="Arial" w:cs="Arial"/>
          <w:sz w:val="20"/>
          <w:szCs w:val="24"/>
        </w:rPr>
        <w:t xml:space="preserve"> </w:t>
      </w:r>
      <w:r w:rsidR="00A7605C" w:rsidRPr="00A7605C">
        <w:rPr>
          <w:rFonts w:ascii="Arial" w:hAnsi="Arial" w:cs="Arial"/>
          <w:sz w:val="20"/>
          <w:szCs w:val="24"/>
        </w:rPr>
        <w:t>The study of the effect of compound polarity revealed that glycerol, a non-ionic polar compound, had no influence on the retention of TDS on rice husk.</w:t>
      </w:r>
      <w:r w:rsidR="00C525F5">
        <w:rPr>
          <w:rFonts w:ascii="Arial" w:hAnsi="Arial" w:cs="Arial"/>
          <w:sz w:val="20"/>
          <w:szCs w:val="24"/>
        </w:rPr>
        <w:t xml:space="preserve"> Kinetic investigation revealed that </w:t>
      </w:r>
      <w:r w:rsidR="00E24FA2">
        <w:rPr>
          <w:rFonts w:ascii="Arial" w:hAnsi="Arial" w:cs="Arial"/>
          <w:sz w:val="20"/>
          <w:szCs w:val="24"/>
        </w:rPr>
        <w:t xml:space="preserve">the TDS adsorption followed the pseudo-second-order kinetic </w:t>
      </w:r>
      <w:r w:rsidR="00A6212B">
        <w:rPr>
          <w:rFonts w:ascii="Arial" w:hAnsi="Arial" w:cs="Arial"/>
          <w:sz w:val="20"/>
          <w:szCs w:val="24"/>
        </w:rPr>
        <w:t>with good coefficient correlation of 0.97</w:t>
      </w:r>
      <w:r w:rsidR="00C525F5">
        <w:rPr>
          <w:rFonts w:ascii="Arial" w:hAnsi="Arial" w:cs="Arial"/>
          <w:sz w:val="20"/>
          <w:szCs w:val="24"/>
        </w:rPr>
        <w:t xml:space="preserve">. </w:t>
      </w:r>
      <w:r w:rsidR="00C525F5" w:rsidRPr="00C525F5">
        <w:rPr>
          <w:rFonts w:ascii="Arial" w:hAnsi="Arial" w:cs="Arial"/>
          <w:sz w:val="20"/>
          <w:szCs w:val="24"/>
        </w:rPr>
        <w:t>Based on the results obtained, rice husk appears to be a good candidate in the field of wastewater treatment because it is abundant, less expensive and recyclable.</w:t>
      </w:r>
    </w:p>
    <w:p w14:paraId="3CD502DB" w14:textId="7F928856" w:rsidR="006B6C53" w:rsidRDefault="006B6C53" w:rsidP="00446F8F">
      <w:pPr>
        <w:spacing w:after="0" w:line="360" w:lineRule="auto"/>
        <w:jc w:val="both"/>
        <w:rPr>
          <w:rFonts w:ascii="Arial" w:hAnsi="Arial" w:cs="Arial"/>
          <w:sz w:val="20"/>
          <w:szCs w:val="24"/>
        </w:rPr>
      </w:pPr>
    </w:p>
    <w:p w14:paraId="122C55D8" w14:textId="77777777" w:rsidR="00540F81" w:rsidRPr="00786D36" w:rsidRDefault="00540F81" w:rsidP="00540F81">
      <w:pPr>
        <w:pStyle w:val="ReferHead"/>
        <w:spacing w:after="0"/>
        <w:jc w:val="both"/>
        <w:rPr>
          <w:rFonts w:ascii="Arial" w:hAnsi="Arial" w:cs="Arial"/>
          <w:bCs/>
        </w:rPr>
      </w:pPr>
      <w:r w:rsidRPr="00786D36">
        <w:rPr>
          <w:rFonts w:ascii="Arial" w:hAnsi="Arial" w:cs="Arial"/>
          <w:bCs/>
        </w:rPr>
        <w:t>Competing interests</w:t>
      </w:r>
    </w:p>
    <w:p w14:paraId="5B053980" w14:textId="77777777" w:rsidR="00540F81" w:rsidRDefault="00540F81" w:rsidP="00540F81">
      <w:pPr>
        <w:pStyle w:val="ReferHead"/>
        <w:spacing w:after="0"/>
        <w:jc w:val="both"/>
        <w:rPr>
          <w:rFonts w:ascii="Arial" w:hAnsi="Arial" w:cs="Arial"/>
          <w:b w:val="0"/>
          <w:caps w:val="0"/>
          <w:sz w:val="20"/>
        </w:rPr>
      </w:pPr>
    </w:p>
    <w:p w14:paraId="16A5D414" w14:textId="5610BBE6" w:rsidR="00540F81" w:rsidRPr="00540F81" w:rsidRDefault="00540F81" w:rsidP="00540F81">
      <w:pPr>
        <w:pStyle w:val="ReferHead"/>
        <w:spacing w:after="0"/>
        <w:jc w:val="both"/>
        <w:rPr>
          <w:rFonts w:ascii="Arial" w:hAnsi="Arial" w:cs="Arial"/>
          <w:b w:val="0"/>
          <w:caps w:val="0"/>
          <w:sz w:val="20"/>
        </w:rPr>
      </w:pPr>
      <w:bookmarkStart w:id="2" w:name="_Hlk207590018"/>
      <w:r w:rsidRPr="00540F81">
        <w:rPr>
          <w:rFonts w:ascii="Arial" w:hAnsi="Arial" w:cs="Arial"/>
          <w:b w:val="0"/>
          <w:caps w:val="0"/>
          <w:sz w:val="20"/>
        </w:rPr>
        <w:t>Authors have declared that no competing interests exist.</w:t>
      </w:r>
    </w:p>
    <w:bookmarkEnd w:id="2"/>
    <w:p w14:paraId="33854BD2" w14:textId="77777777" w:rsidR="00540F81" w:rsidRDefault="00540F81" w:rsidP="00446F8F">
      <w:pPr>
        <w:spacing w:after="0" w:line="360" w:lineRule="auto"/>
        <w:jc w:val="both"/>
        <w:rPr>
          <w:rFonts w:ascii="Arial" w:hAnsi="Arial" w:cs="Arial"/>
          <w:sz w:val="20"/>
          <w:szCs w:val="24"/>
        </w:rPr>
      </w:pPr>
    </w:p>
    <w:p w14:paraId="184B8C0A" w14:textId="77777777" w:rsidR="00630494" w:rsidRPr="00740879" w:rsidRDefault="00630494" w:rsidP="00630494">
      <w:pPr>
        <w:rPr>
          <w:highlight w:val="yellow"/>
        </w:rPr>
      </w:pPr>
      <w:r w:rsidRPr="00740879">
        <w:rPr>
          <w:highlight w:val="yellow"/>
        </w:rPr>
        <w:t>Disclaimer (Artificial intelligence)</w:t>
      </w:r>
    </w:p>
    <w:p w14:paraId="2548297C" w14:textId="77777777" w:rsidR="00630494" w:rsidRPr="00740879" w:rsidRDefault="00630494" w:rsidP="00630494">
      <w:pPr>
        <w:rPr>
          <w:highlight w:val="yellow"/>
        </w:rPr>
      </w:pPr>
      <w:r w:rsidRPr="00740879">
        <w:rPr>
          <w:highlight w:val="yellow"/>
        </w:rPr>
        <w:t xml:space="preserve">Option 1: </w:t>
      </w:r>
    </w:p>
    <w:p w14:paraId="5C6C4952" w14:textId="77777777" w:rsidR="00630494" w:rsidRPr="00740879" w:rsidRDefault="00630494" w:rsidP="0063049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145AF5F" w14:textId="77777777" w:rsidR="00630494" w:rsidRPr="00740879" w:rsidRDefault="00630494" w:rsidP="00630494">
      <w:pPr>
        <w:rPr>
          <w:highlight w:val="yellow"/>
        </w:rPr>
      </w:pPr>
      <w:r w:rsidRPr="00740879">
        <w:rPr>
          <w:highlight w:val="yellow"/>
        </w:rPr>
        <w:t xml:space="preserve">Option 2: </w:t>
      </w:r>
    </w:p>
    <w:p w14:paraId="2965AE86" w14:textId="77777777" w:rsidR="00630494" w:rsidRPr="00740879" w:rsidRDefault="00630494" w:rsidP="0063049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E50A72" w14:textId="77777777" w:rsidR="00630494" w:rsidRPr="00740879" w:rsidRDefault="00630494" w:rsidP="00630494">
      <w:pPr>
        <w:rPr>
          <w:highlight w:val="yellow"/>
        </w:rPr>
      </w:pPr>
      <w:r w:rsidRPr="00740879">
        <w:rPr>
          <w:highlight w:val="yellow"/>
        </w:rPr>
        <w:t>Details of the AI usage are given below:</w:t>
      </w:r>
    </w:p>
    <w:p w14:paraId="39CE80FF" w14:textId="77777777" w:rsidR="00630494" w:rsidRPr="00740879" w:rsidRDefault="00630494" w:rsidP="00630494">
      <w:pPr>
        <w:rPr>
          <w:highlight w:val="yellow"/>
        </w:rPr>
      </w:pPr>
      <w:r w:rsidRPr="00740879">
        <w:rPr>
          <w:highlight w:val="yellow"/>
        </w:rPr>
        <w:t>1.</w:t>
      </w:r>
    </w:p>
    <w:p w14:paraId="42377859" w14:textId="77777777" w:rsidR="00630494" w:rsidRPr="00740879" w:rsidRDefault="00630494" w:rsidP="00630494">
      <w:pPr>
        <w:rPr>
          <w:highlight w:val="yellow"/>
        </w:rPr>
      </w:pPr>
      <w:r w:rsidRPr="00740879">
        <w:rPr>
          <w:highlight w:val="yellow"/>
        </w:rPr>
        <w:lastRenderedPageBreak/>
        <w:t>2.</w:t>
      </w:r>
    </w:p>
    <w:p w14:paraId="6510D3A2" w14:textId="77777777" w:rsidR="00630494" w:rsidRPr="00D047BB" w:rsidRDefault="00630494" w:rsidP="00630494">
      <w:r w:rsidRPr="00740879">
        <w:rPr>
          <w:highlight w:val="yellow"/>
        </w:rPr>
        <w:t>3.</w:t>
      </w:r>
    </w:p>
    <w:p w14:paraId="52DB5E6E" w14:textId="77777777" w:rsidR="003405C0" w:rsidRDefault="003405C0" w:rsidP="00847B0E">
      <w:pPr>
        <w:pStyle w:val="Bibliography"/>
        <w:rPr>
          <w:rFonts w:ascii="Arial" w:hAnsi="Arial" w:cs="Arial"/>
          <w:sz w:val="20"/>
        </w:rPr>
      </w:pPr>
    </w:p>
    <w:p w14:paraId="44C277C1" w14:textId="77777777" w:rsidR="003405C0" w:rsidRPr="003405C0" w:rsidRDefault="003405C0" w:rsidP="00847B0E">
      <w:pPr>
        <w:pStyle w:val="Bibliography"/>
        <w:rPr>
          <w:rFonts w:ascii="Arial" w:hAnsi="Arial" w:cs="Arial"/>
          <w:b/>
        </w:rPr>
      </w:pPr>
      <w:r w:rsidRPr="003405C0">
        <w:rPr>
          <w:rFonts w:ascii="Arial" w:hAnsi="Arial" w:cs="Arial"/>
          <w:b/>
        </w:rPr>
        <w:t>REFERENCES</w:t>
      </w:r>
    </w:p>
    <w:p w14:paraId="4A53D2AA" w14:textId="77777777" w:rsidR="00B64DAD" w:rsidRPr="00540F81" w:rsidRDefault="00B64DAD" w:rsidP="00B64DAD">
      <w:pPr>
        <w:pStyle w:val="Bibliography"/>
        <w:jc w:val="both"/>
        <w:rPr>
          <w:rFonts w:ascii="Arial" w:hAnsi="Arial" w:cs="Arial"/>
          <w:sz w:val="20"/>
        </w:rPr>
      </w:pPr>
      <w:r>
        <w:rPr>
          <w:rFonts w:ascii="Arial" w:hAnsi="Arial" w:cs="Arial"/>
          <w:sz w:val="20"/>
        </w:rPr>
        <w:fldChar w:fldCharType="begin"/>
      </w:r>
      <w:r>
        <w:rPr>
          <w:rFonts w:ascii="Arial" w:hAnsi="Arial" w:cs="Arial"/>
          <w:sz w:val="20"/>
        </w:rPr>
        <w:instrText xml:space="preserve"> ADDIN ZOTERO_BIBL {"uncited":[],"omitted":[],"custom":[]} CSL_BIBLIOGRAPHY </w:instrText>
      </w:r>
      <w:r>
        <w:rPr>
          <w:rFonts w:ascii="Arial" w:hAnsi="Arial" w:cs="Arial"/>
          <w:sz w:val="20"/>
        </w:rPr>
        <w:fldChar w:fldCharType="separate"/>
      </w:r>
      <w:r w:rsidRPr="00B969D9">
        <w:rPr>
          <w:rFonts w:ascii="Arial" w:hAnsi="Arial" w:cs="Arial"/>
          <w:sz w:val="20"/>
        </w:rPr>
        <w:t>Abdallah, M</w:t>
      </w:r>
      <w:r>
        <w:rPr>
          <w:rFonts w:ascii="Arial" w:hAnsi="Arial" w:cs="Arial"/>
          <w:sz w:val="20"/>
        </w:rPr>
        <w:t>.</w:t>
      </w:r>
      <w:r w:rsidRPr="00B969D9">
        <w:rPr>
          <w:rFonts w:ascii="Arial" w:hAnsi="Arial" w:cs="Arial"/>
          <w:sz w:val="20"/>
        </w:rPr>
        <w:t>, Akram</w:t>
      </w:r>
      <w:r>
        <w:rPr>
          <w:rFonts w:ascii="Arial" w:hAnsi="Arial" w:cs="Arial"/>
          <w:sz w:val="20"/>
        </w:rPr>
        <w:t>,</w:t>
      </w:r>
      <w:r w:rsidRPr="00B969D9">
        <w:rPr>
          <w:rFonts w:ascii="Arial" w:hAnsi="Arial" w:cs="Arial"/>
          <w:sz w:val="20"/>
        </w:rPr>
        <w:t xml:space="preserve"> H</w:t>
      </w:r>
      <w:r>
        <w:rPr>
          <w:rFonts w:ascii="Arial" w:hAnsi="Arial" w:cs="Arial"/>
          <w:sz w:val="20"/>
        </w:rPr>
        <w:t>.</w:t>
      </w:r>
      <w:r w:rsidRPr="00B969D9">
        <w:rPr>
          <w:rFonts w:ascii="Arial" w:hAnsi="Arial" w:cs="Arial"/>
          <w:sz w:val="20"/>
        </w:rPr>
        <w:t>, Mostafa</w:t>
      </w:r>
      <w:r>
        <w:rPr>
          <w:rFonts w:ascii="Arial" w:hAnsi="Arial" w:cs="Arial"/>
          <w:sz w:val="20"/>
        </w:rPr>
        <w:t>,</w:t>
      </w:r>
      <w:r w:rsidRPr="00B969D9">
        <w:rPr>
          <w:rFonts w:ascii="Arial" w:hAnsi="Arial" w:cs="Arial"/>
          <w:sz w:val="20"/>
        </w:rPr>
        <w:t xml:space="preserve"> H</w:t>
      </w:r>
      <w:r>
        <w:rPr>
          <w:rFonts w:ascii="Arial" w:hAnsi="Arial" w:cs="Arial"/>
          <w:sz w:val="20"/>
        </w:rPr>
        <w:t>.</w:t>
      </w:r>
      <w:r w:rsidRPr="00B969D9">
        <w:rPr>
          <w:rFonts w:ascii="Arial" w:hAnsi="Arial" w:cs="Arial"/>
          <w:sz w:val="20"/>
        </w:rPr>
        <w:t xml:space="preserve">, </w:t>
      </w:r>
      <w:r>
        <w:rPr>
          <w:rFonts w:ascii="Arial" w:hAnsi="Arial" w:cs="Arial"/>
          <w:sz w:val="20"/>
        </w:rPr>
        <w:t>et al</w:t>
      </w:r>
      <w:r w:rsidRPr="00B969D9">
        <w:rPr>
          <w:rFonts w:ascii="Arial" w:hAnsi="Arial" w:cs="Arial"/>
          <w:sz w:val="20"/>
        </w:rPr>
        <w:t>.</w:t>
      </w:r>
      <w:r>
        <w:rPr>
          <w:rFonts w:ascii="Arial" w:hAnsi="Arial" w:cs="Arial"/>
          <w:sz w:val="20"/>
        </w:rPr>
        <w:t xml:space="preserve"> </w:t>
      </w:r>
      <w:r w:rsidRPr="002909AF">
        <w:rPr>
          <w:rFonts w:ascii="Arial" w:hAnsi="Arial" w:cs="Arial"/>
          <w:sz w:val="20"/>
          <w:lang w:val="fr-FR"/>
        </w:rPr>
        <w:t xml:space="preserve">(2016). </w:t>
      </w:r>
      <w:r w:rsidRPr="00B969D9">
        <w:rPr>
          <w:rFonts w:ascii="Arial" w:hAnsi="Arial" w:cs="Arial"/>
          <w:i/>
          <w:iCs/>
          <w:sz w:val="20"/>
          <w:lang w:val="fr-FR"/>
        </w:rPr>
        <w:t>Étude de l’adsorption du Bleu de Méthylène sur un biomatériau à base de l’eucalyptus selon la taille des particules</w:t>
      </w:r>
      <w:r w:rsidRPr="00B969D9">
        <w:rPr>
          <w:rFonts w:ascii="Arial" w:hAnsi="Arial" w:cs="Arial"/>
          <w:sz w:val="20"/>
          <w:lang w:val="fr-FR"/>
        </w:rPr>
        <w:t>.</w:t>
      </w:r>
      <w:r>
        <w:rPr>
          <w:rFonts w:ascii="Arial" w:hAnsi="Arial" w:cs="Arial"/>
          <w:sz w:val="20"/>
          <w:lang w:val="fr-FR"/>
        </w:rPr>
        <w:t xml:space="preserve"> </w:t>
      </w:r>
      <w:r w:rsidRPr="00540F81">
        <w:rPr>
          <w:rFonts w:ascii="Arial" w:hAnsi="Arial" w:cs="Arial"/>
          <w:sz w:val="20"/>
        </w:rPr>
        <w:t>J</w:t>
      </w:r>
      <w:r w:rsidRPr="00540F81">
        <w:rPr>
          <w:rFonts w:ascii="Arial" w:hAnsi="Arial" w:cs="Arial"/>
          <w:i/>
          <w:sz w:val="20"/>
        </w:rPr>
        <w:t>ournal of Materials and Environmental Sciences</w:t>
      </w:r>
      <w:r w:rsidRPr="00540F81">
        <w:rPr>
          <w:rFonts w:ascii="Arial" w:hAnsi="Arial" w:cs="Arial"/>
          <w:sz w:val="20"/>
        </w:rPr>
        <w:t>, 7(11), 4036-4048</w:t>
      </w:r>
    </w:p>
    <w:p w14:paraId="0CC5AFE2"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Aboubaraka, A</w:t>
      </w:r>
      <w:r>
        <w:rPr>
          <w:rFonts w:ascii="Arial" w:hAnsi="Arial" w:cs="Arial"/>
          <w:sz w:val="20"/>
        </w:rPr>
        <w:t>.</w:t>
      </w:r>
      <w:r w:rsidRPr="00B969D9">
        <w:rPr>
          <w:rFonts w:ascii="Arial" w:hAnsi="Arial" w:cs="Arial"/>
          <w:sz w:val="20"/>
        </w:rPr>
        <w:t xml:space="preserve"> E., Eman F. A</w:t>
      </w:r>
      <w:r>
        <w:rPr>
          <w:rFonts w:ascii="Arial" w:hAnsi="Arial" w:cs="Arial"/>
          <w:sz w:val="20"/>
        </w:rPr>
        <w:t>.</w:t>
      </w:r>
      <w:r w:rsidRPr="00B969D9">
        <w:rPr>
          <w:rFonts w:ascii="Arial" w:hAnsi="Arial" w:cs="Arial"/>
          <w:sz w:val="20"/>
        </w:rPr>
        <w:t>, and</w:t>
      </w:r>
      <w:r>
        <w:rPr>
          <w:rFonts w:ascii="Arial" w:hAnsi="Arial" w:cs="Arial"/>
          <w:sz w:val="20"/>
        </w:rPr>
        <w:t xml:space="preserve"> </w:t>
      </w:r>
      <w:r w:rsidRPr="00B969D9">
        <w:rPr>
          <w:rFonts w:ascii="Arial" w:hAnsi="Arial" w:cs="Arial"/>
          <w:sz w:val="20"/>
        </w:rPr>
        <w:t xml:space="preserve">El-Zeiny M. E. </w:t>
      </w:r>
      <w:r>
        <w:rPr>
          <w:rFonts w:ascii="Arial" w:hAnsi="Arial" w:cs="Arial"/>
          <w:sz w:val="20"/>
        </w:rPr>
        <w:t>(</w:t>
      </w:r>
      <w:r w:rsidRPr="00B969D9">
        <w:rPr>
          <w:rFonts w:ascii="Arial" w:hAnsi="Arial" w:cs="Arial"/>
          <w:sz w:val="20"/>
        </w:rPr>
        <w:t>2017</w:t>
      </w:r>
      <w:r>
        <w:rPr>
          <w:rFonts w:ascii="Arial" w:hAnsi="Arial" w:cs="Arial"/>
          <w:sz w:val="20"/>
        </w:rPr>
        <w:t>)</w:t>
      </w:r>
      <w:r w:rsidRPr="00B969D9">
        <w:rPr>
          <w:rFonts w:ascii="Arial" w:hAnsi="Arial" w:cs="Arial"/>
          <w:sz w:val="20"/>
        </w:rPr>
        <w:t>. Coagulation Effectiveness of Graphene Oxide for the Removal of Turbidity from Raw Surface Water.</w:t>
      </w:r>
      <w:r>
        <w:rPr>
          <w:rFonts w:ascii="Arial" w:hAnsi="Arial" w:cs="Arial"/>
          <w:sz w:val="20"/>
        </w:rPr>
        <w:t xml:space="preserve"> </w:t>
      </w:r>
      <w:r w:rsidRPr="00B969D9">
        <w:rPr>
          <w:rFonts w:ascii="Arial" w:hAnsi="Arial" w:cs="Arial"/>
          <w:i/>
          <w:iCs/>
          <w:sz w:val="20"/>
        </w:rPr>
        <w:t>Chemosphere</w:t>
      </w:r>
      <w:r>
        <w:rPr>
          <w:rFonts w:ascii="Arial" w:hAnsi="Arial" w:cs="Arial"/>
          <w:i/>
          <w:iCs/>
          <w:sz w:val="20"/>
        </w:rPr>
        <w:t>,</w:t>
      </w:r>
      <w:r w:rsidRPr="00B969D9">
        <w:rPr>
          <w:rFonts w:ascii="Arial" w:hAnsi="Arial" w:cs="Arial"/>
          <w:sz w:val="20"/>
        </w:rPr>
        <w:t xml:space="preserve"> 181</w:t>
      </w:r>
      <w:r>
        <w:rPr>
          <w:rFonts w:ascii="Arial" w:hAnsi="Arial" w:cs="Arial"/>
          <w:sz w:val="20"/>
        </w:rPr>
        <w:t xml:space="preserve">, </w:t>
      </w:r>
      <w:r w:rsidRPr="00B969D9">
        <w:rPr>
          <w:rFonts w:ascii="Arial" w:hAnsi="Arial" w:cs="Arial"/>
          <w:sz w:val="20"/>
        </w:rPr>
        <w:t>738–46. https://www.sciencedirect.com/science/article/pii/S0045653517306793.</w:t>
      </w:r>
    </w:p>
    <w:p w14:paraId="16F928B4"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Abrahams, M</w:t>
      </w:r>
      <w:r>
        <w:rPr>
          <w:rFonts w:ascii="Arial" w:hAnsi="Arial" w:cs="Arial"/>
          <w:sz w:val="20"/>
        </w:rPr>
        <w:t>.</w:t>
      </w:r>
      <w:r w:rsidRPr="00B969D9">
        <w:rPr>
          <w:rFonts w:ascii="Arial" w:hAnsi="Arial" w:cs="Arial"/>
          <w:sz w:val="20"/>
        </w:rPr>
        <w:t xml:space="preserve"> V., and Michael G. K. </w:t>
      </w:r>
      <w:r>
        <w:rPr>
          <w:rFonts w:ascii="Arial" w:hAnsi="Arial" w:cs="Arial"/>
          <w:sz w:val="20"/>
        </w:rPr>
        <w:t>(</w:t>
      </w:r>
      <w:r w:rsidRPr="00B969D9">
        <w:rPr>
          <w:rFonts w:ascii="Arial" w:hAnsi="Arial" w:cs="Arial"/>
          <w:sz w:val="20"/>
        </w:rPr>
        <w:t>1997</w:t>
      </w:r>
      <w:r>
        <w:rPr>
          <w:rFonts w:ascii="Arial" w:hAnsi="Arial" w:cs="Arial"/>
          <w:sz w:val="20"/>
        </w:rPr>
        <w:t>)</w:t>
      </w:r>
      <w:r w:rsidRPr="00B969D9">
        <w:rPr>
          <w:rFonts w:ascii="Arial" w:hAnsi="Arial" w:cs="Arial"/>
          <w:sz w:val="20"/>
        </w:rPr>
        <w:t>.</w:t>
      </w:r>
      <w:r>
        <w:rPr>
          <w:rFonts w:ascii="Arial" w:hAnsi="Arial" w:cs="Arial"/>
          <w:sz w:val="20"/>
        </w:rPr>
        <w:t xml:space="preserve"> </w:t>
      </w:r>
      <w:r w:rsidRPr="00B969D9">
        <w:rPr>
          <w:rFonts w:ascii="Arial" w:hAnsi="Arial" w:cs="Arial"/>
          <w:sz w:val="20"/>
        </w:rPr>
        <w:t xml:space="preserve">The Role of Turbidity as a Constraint on Predator-Prey Interactions in Aquatic Environments. </w:t>
      </w:r>
      <w:r w:rsidRPr="00B969D9">
        <w:rPr>
          <w:rFonts w:ascii="Arial" w:hAnsi="Arial" w:cs="Arial"/>
          <w:i/>
          <w:iCs/>
          <w:sz w:val="20"/>
        </w:rPr>
        <w:t>Behavioral Ecology and Sociobiology</w:t>
      </w:r>
      <w:r>
        <w:rPr>
          <w:rFonts w:ascii="Arial" w:hAnsi="Arial" w:cs="Arial"/>
          <w:i/>
          <w:iCs/>
          <w:sz w:val="20"/>
        </w:rPr>
        <w:t>,</w:t>
      </w:r>
      <w:r w:rsidRPr="00B969D9">
        <w:rPr>
          <w:rFonts w:ascii="Arial" w:hAnsi="Arial" w:cs="Arial"/>
          <w:sz w:val="20"/>
        </w:rPr>
        <w:t xml:space="preserve"> 40(3)</w:t>
      </w:r>
      <w:r>
        <w:rPr>
          <w:rFonts w:ascii="Arial" w:hAnsi="Arial" w:cs="Arial"/>
          <w:sz w:val="20"/>
        </w:rPr>
        <w:t xml:space="preserve">, </w:t>
      </w:r>
      <w:r w:rsidRPr="00B969D9">
        <w:rPr>
          <w:rFonts w:ascii="Arial" w:hAnsi="Arial" w:cs="Arial"/>
          <w:sz w:val="20"/>
        </w:rPr>
        <w:t>169–74. https://doi.org/10.1007/s002650050330.</w:t>
      </w:r>
    </w:p>
    <w:p w14:paraId="6F9B2C52" w14:textId="77777777" w:rsidR="00B64DAD" w:rsidRPr="00B969D9" w:rsidRDefault="00B64DAD" w:rsidP="00B64DAD">
      <w:pPr>
        <w:pStyle w:val="Bibliography"/>
        <w:jc w:val="both"/>
        <w:rPr>
          <w:rFonts w:ascii="Arial" w:hAnsi="Arial" w:cs="Arial"/>
          <w:sz w:val="20"/>
        </w:rPr>
      </w:pPr>
      <w:r w:rsidRPr="00540F81">
        <w:rPr>
          <w:rFonts w:ascii="Arial" w:hAnsi="Arial" w:cs="Arial"/>
          <w:sz w:val="20"/>
        </w:rPr>
        <w:t xml:space="preserve">Adjovu, G. E., Haroon S., David James, et al. </w:t>
      </w:r>
      <w:r w:rsidRPr="00CC308D">
        <w:rPr>
          <w:rFonts w:ascii="Arial" w:hAnsi="Arial" w:cs="Arial"/>
          <w:sz w:val="20"/>
        </w:rPr>
        <w:t xml:space="preserve">(2023). </w:t>
      </w:r>
      <w:r w:rsidRPr="00B969D9">
        <w:rPr>
          <w:rFonts w:ascii="Arial" w:hAnsi="Arial" w:cs="Arial"/>
          <w:sz w:val="20"/>
        </w:rPr>
        <w:t xml:space="preserve">Measurement of Total Dissolved Solids and Total Suspended Solids in Water Systems: A Review of the Issues, Conventional, and Remote Sensing Techniques. </w:t>
      </w:r>
      <w:r w:rsidRPr="00B969D9">
        <w:rPr>
          <w:rFonts w:ascii="Arial" w:hAnsi="Arial" w:cs="Arial"/>
          <w:i/>
          <w:iCs/>
          <w:sz w:val="20"/>
        </w:rPr>
        <w:t>Remote Sensing (Basel, Switzerland)</w:t>
      </w:r>
      <w:r w:rsidRPr="00B969D9">
        <w:rPr>
          <w:rFonts w:ascii="Arial" w:hAnsi="Arial" w:cs="Arial"/>
          <w:sz w:val="20"/>
        </w:rPr>
        <w:t xml:space="preserve"> (Basel)</w:t>
      </w:r>
      <w:r>
        <w:rPr>
          <w:rFonts w:ascii="Arial" w:hAnsi="Arial" w:cs="Arial"/>
          <w:sz w:val="20"/>
        </w:rPr>
        <w:t xml:space="preserve">, </w:t>
      </w:r>
      <w:r w:rsidRPr="00B969D9">
        <w:rPr>
          <w:rFonts w:ascii="Arial" w:hAnsi="Arial" w:cs="Arial"/>
          <w:sz w:val="20"/>
        </w:rPr>
        <w:t>15(14)</w:t>
      </w:r>
      <w:r>
        <w:rPr>
          <w:rFonts w:ascii="Arial" w:hAnsi="Arial" w:cs="Arial"/>
          <w:sz w:val="20"/>
        </w:rPr>
        <w:t xml:space="preserve">, </w:t>
      </w:r>
      <w:r w:rsidRPr="00B969D9">
        <w:rPr>
          <w:rFonts w:ascii="Arial" w:hAnsi="Arial" w:cs="Arial"/>
          <w:sz w:val="20"/>
        </w:rPr>
        <w:t>3534. https://doi.org/10.3390/rs15143534.</w:t>
      </w:r>
    </w:p>
    <w:p w14:paraId="2F004911"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 xml:space="preserve">Ahmaruzzaman, M., and Vinod K. Gupta. </w:t>
      </w:r>
      <w:r>
        <w:rPr>
          <w:rFonts w:ascii="Arial" w:hAnsi="Arial" w:cs="Arial"/>
          <w:sz w:val="20"/>
        </w:rPr>
        <w:t>(</w:t>
      </w:r>
      <w:r w:rsidRPr="00B969D9">
        <w:rPr>
          <w:rFonts w:ascii="Arial" w:hAnsi="Arial" w:cs="Arial"/>
          <w:sz w:val="20"/>
        </w:rPr>
        <w:t>2011</w:t>
      </w:r>
      <w:r>
        <w:rPr>
          <w:rFonts w:ascii="Arial" w:hAnsi="Arial" w:cs="Arial"/>
          <w:sz w:val="20"/>
        </w:rPr>
        <w:t>)</w:t>
      </w:r>
      <w:r w:rsidRPr="00B969D9">
        <w:rPr>
          <w:rFonts w:ascii="Arial" w:hAnsi="Arial" w:cs="Arial"/>
          <w:sz w:val="20"/>
        </w:rPr>
        <w:t xml:space="preserve">. Rice Husk and Its Ash as Low-Cost Adsorbents in Water and Wastewater Treatment. </w:t>
      </w:r>
      <w:r w:rsidRPr="00B969D9">
        <w:rPr>
          <w:rFonts w:ascii="Arial" w:hAnsi="Arial" w:cs="Arial"/>
          <w:i/>
          <w:iCs/>
          <w:sz w:val="20"/>
        </w:rPr>
        <w:t>Industrial &amp; Engineering Chemistry Research</w:t>
      </w:r>
      <w:r>
        <w:rPr>
          <w:rFonts w:ascii="Arial" w:hAnsi="Arial" w:cs="Arial"/>
          <w:i/>
          <w:iCs/>
          <w:sz w:val="20"/>
        </w:rPr>
        <w:t>,</w:t>
      </w:r>
      <w:r w:rsidRPr="00B969D9">
        <w:rPr>
          <w:rFonts w:ascii="Arial" w:hAnsi="Arial" w:cs="Arial"/>
          <w:sz w:val="20"/>
        </w:rPr>
        <w:t xml:space="preserve"> 50(24)</w:t>
      </w:r>
      <w:r>
        <w:rPr>
          <w:rFonts w:ascii="Arial" w:hAnsi="Arial" w:cs="Arial"/>
          <w:sz w:val="20"/>
        </w:rPr>
        <w:t xml:space="preserve">, </w:t>
      </w:r>
      <w:r w:rsidRPr="00B969D9">
        <w:rPr>
          <w:rFonts w:ascii="Arial" w:hAnsi="Arial" w:cs="Arial"/>
          <w:sz w:val="20"/>
        </w:rPr>
        <w:t>13589–613. https://doi.org/10.1021/ie201477c.</w:t>
      </w:r>
    </w:p>
    <w:p w14:paraId="38FFCDA5"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Ali, S</w:t>
      </w:r>
      <w:r>
        <w:rPr>
          <w:rFonts w:ascii="Arial" w:hAnsi="Arial" w:cs="Arial"/>
          <w:sz w:val="20"/>
        </w:rPr>
        <w:t>.</w:t>
      </w:r>
      <w:r w:rsidRPr="00B969D9">
        <w:rPr>
          <w:rFonts w:ascii="Arial" w:hAnsi="Arial" w:cs="Arial"/>
          <w:sz w:val="20"/>
        </w:rPr>
        <w:t xml:space="preserve"> Z</w:t>
      </w:r>
      <w:r>
        <w:rPr>
          <w:rFonts w:ascii="Arial" w:hAnsi="Arial" w:cs="Arial"/>
          <w:sz w:val="20"/>
        </w:rPr>
        <w:t>.</w:t>
      </w:r>
      <w:r w:rsidRPr="00B969D9">
        <w:rPr>
          <w:rFonts w:ascii="Arial" w:hAnsi="Arial" w:cs="Arial"/>
          <w:sz w:val="20"/>
        </w:rPr>
        <w:t>, Makshoof</w:t>
      </w:r>
      <w:r>
        <w:rPr>
          <w:rFonts w:ascii="Arial" w:hAnsi="Arial" w:cs="Arial"/>
          <w:sz w:val="20"/>
        </w:rPr>
        <w:t xml:space="preserve">, </w:t>
      </w:r>
      <w:r w:rsidRPr="00B969D9">
        <w:rPr>
          <w:rFonts w:ascii="Arial" w:hAnsi="Arial" w:cs="Arial"/>
          <w:sz w:val="20"/>
        </w:rPr>
        <w:t>A</w:t>
      </w:r>
      <w:r>
        <w:rPr>
          <w:rFonts w:ascii="Arial" w:hAnsi="Arial" w:cs="Arial"/>
          <w:sz w:val="20"/>
        </w:rPr>
        <w:t>.</w:t>
      </w:r>
      <w:r w:rsidRPr="00B969D9">
        <w:rPr>
          <w:rFonts w:ascii="Arial" w:hAnsi="Arial" w:cs="Arial"/>
          <w:sz w:val="20"/>
        </w:rPr>
        <w:t>, Umar F</w:t>
      </w:r>
      <w:r>
        <w:rPr>
          <w:rFonts w:ascii="Arial" w:hAnsi="Arial" w:cs="Arial"/>
          <w:sz w:val="20"/>
        </w:rPr>
        <w:t>.</w:t>
      </w:r>
      <w:r w:rsidRPr="00B969D9">
        <w:rPr>
          <w:rFonts w:ascii="Arial" w:hAnsi="Arial" w:cs="Arial"/>
          <w:sz w:val="20"/>
        </w:rPr>
        <w:t xml:space="preserve">, </w:t>
      </w:r>
      <w:r>
        <w:rPr>
          <w:rFonts w:ascii="Arial" w:hAnsi="Arial" w:cs="Arial"/>
          <w:sz w:val="20"/>
        </w:rPr>
        <w:t>et al</w:t>
      </w:r>
      <w:r w:rsidRPr="00B969D9">
        <w:rPr>
          <w:rFonts w:ascii="Arial" w:hAnsi="Arial" w:cs="Arial"/>
          <w:sz w:val="20"/>
        </w:rPr>
        <w:t xml:space="preserve">. </w:t>
      </w:r>
      <w:r>
        <w:rPr>
          <w:rFonts w:ascii="Arial" w:hAnsi="Arial" w:cs="Arial"/>
          <w:sz w:val="20"/>
        </w:rPr>
        <w:t>(</w:t>
      </w:r>
      <w:r w:rsidRPr="00B969D9">
        <w:rPr>
          <w:rFonts w:ascii="Arial" w:hAnsi="Arial" w:cs="Arial"/>
          <w:sz w:val="20"/>
        </w:rPr>
        <w:t>2013</w:t>
      </w:r>
      <w:r>
        <w:rPr>
          <w:rFonts w:ascii="Arial" w:hAnsi="Arial" w:cs="Arial"/>
          <w:sz w:val="20"/>
        </w:rPr>
        <w:t>)</w:t>
      </w:r>
      <w:r w:rsidRPr="00B969D9">
        <w:rPr>
          <w:rFonts w:ascii="Arial" w:hAnsi="Arial" w:cs="Arial"/>
          <w:sz w:val="20"/>
        </w:rPr>
        <w:t xml:space="preserve">. Insight into Equilibrium and Kinetics of the Binding of Cadmium Ions on Radiation-Modified Straw from </w:t>
      </w:r>
      <w:r w:rsidRPr="00B969D9">
        <w:rPr>
          <w:rFonts w:ascii="Arial" w:hAnsi="Arial" w:cs="Arial"/>
          <w:i/>
          <w:iCs/>
          <w:sz w:val="20"/>
        </w:rPr>
        <w:t>Oryza Sativa</w:t>
      </w:r>
      <w:r w:rsidRPr="00B969D9">
        <w:rPr>
          <w:rFonts w:ascii="Arial" w:hAnsi="Arial" w:cs="Arial"/>
          <w:sz w:val="20"/>
        </w:rPr>
        <w:t xml:space="preserve">. </w:t>
      </w:r>
      <w:r w:rsidRPr="00B969D9">
        <w:rPr>
          <w:rFonts w:ascii="Arial" w:hAnsi="Arial" w:cs="Arial"/>
          <w:i/>
          <w:iCs/>
          <w:sz w:val="20"/>
        </w:rPr>
        <w:t>Journal of Applied Chemistry</w:t>
      </w:r>
      <w:r>
        <w:rPr>
          <w:rFonts w:ascii="Arial" w:hAnsi="Arial" w:cs="Arial"/>
          <w:i/>
          <w:iCs/>
          <w:sz w:val="20"/>
        </w:rPr>
        <w:t>,</w:t>
      </w:r>
      <w:r w:rsidRPr="00B969D9">
        <w:rPr>
          <w:rFonts w:ascii="Arial" w:hAnsi="Arial" w:cs="Arial"/>
          <w:sz w:val="20"/>
        </w:rPr>
        <w:t xml:space="preserve"> 1–12. https://doi.org/10.1155/2013/417180.</w:t>
      </w:r>
    </w:p>
    <w:p w14:paraId="4880FCD2" w14:textId="77777777" w:rsidR="00B64DAD" w:rsidRPr="00B969D9" w:rsidRDefault="00B64DAD" w:rsidP="00B64DAD">
      <w:pPr>
        <w:pStyle w:val="Bibliography"/>
        <w:jc w:val="both"/>
        <w:rPr>
          <w:rFonts w:ascii="Arial" w:hAnsi="Arial" w:cs="Arial"/>
          <w:sz w:val="20"/>
        </w:rPr>
      </w:pPr>
      <w:r w:rsidRPr="00540F81">
        <w:rPr>
          <w:rFonts w:ascii="Arial" w:hAnsi="Arial" w:cs="Arial"/>
          <w:sz w:val="20"/>
        </w:rPr>
        <w:t xml:space="preserve">Amosa, M. K., Mohammed, S. J., Ma’an F. R. A., et al. </w:t>
      </w:r>
      <w:r w:rsidRPr="00CC308D">
        <w:rPr>
          <w:rFonts w:ascii="Arial" w:hAnsi="Arial" w:cs="Arial"/>
          <w:sz w:val="20"/>
        </w:rPr>
        <w:t xml:space="preserve">(2016). </w:t>
      </w:r>
      <w:r w:rsidRPr="00B969D9">
        <w:rPr>
          <w:rFonts w:ascii="Arial" w:hAnsi="Arial" w:cs="Arial"/>
          <w:sz w:val="20"/>
        </w:rPr>
        <w:t>Turbidity and Suspended Solids Removal from High-Strength Wastewater Using High Surface Area Adsorbent: Mechanistic Pathway and Statistical Analysis</w:t>
      </w:r>
      <w:r>
        <w:rPr>
          <w:rFonts w:ascii="Arial" w:hAnsi="Arial" w:cs="Arial"/>
          <w:sz w:val="20"/>
        </w:rPr>
        <w:t xml:space="preserve">. </w:t>
      </w:r>
      <w:r w:rsidRPr="00B969D9">
        <w:rPr>
          <w:rFonts w:ascii="Arial" w:hAnsi="Arial" w:cs="Arial"/>
          <w:i/>
          <w:iCs/>
          <w:sz w:val="20"/>
        </w:rPr>
        <w:t>Cogent Engineering</w:t>
      </w:r>
      <w:r>
        <w:rPr>
          <w:rFonts w:ascii="Arial" w:hAnsi="Arial" w:cs="Arial"/>
          <w:i/>
          <w:iCs/>
          <w:sz w:val="20"/>
        </w:rPr>
        <w:t xml:space="preserve">, </w:t>
      </w:r>
      <w:r w:rsidRPr="00B969D9">
        <w:rPr>
          <w:rFonts w:ascii="Arial" w:hAnsi="Arial" w:cs="Arial"/>
          <w:sz w:val="20"/>
        </w:rPr>
        <w:t>3(1)</w:t>
      </w:r>
      <w:r>
        <w:rPr>
          <w:rFonts w:ascii="Arial" w:hAnsi="Arial" w:cs="Arial"/>
          <w:sz w:val="20"/>
        </w:rPr>
        <w:t>,</w:t>
      </w:r>
      <w:r w:rsidRPr="00B969D9">
        <w:rPr>
          <w:rFonts w:ascii="Arial" w:hAnsi="Arial" w:cs="Arial"/>
          <w:sz w:val="20"/>
        </w:rPr>
        <w:t xml:space="preserve"> 1162384. https://doi.org/10.1080/23311916.2016.1162384.</w:t>
      </w:r>
    </w:p>
    <w:p w14:paraId="176FE1E1" w14:textId="77777777" w:rsidR="00B64DAD" w:rsidRDefault="00B64DAD" w:rsidP="00B64DAD">
      <w:pPr>
        <w:pStyle w:val="Bibliography"/>
        <w:jc w:val="both"/>
        <w:rPr>
          <w:rFonts w:ascii="Arial" w:hAnsi="Arial" w:cs="Arial"/>
          <w:sz w:val="20"/>
        </w:rPr>
      </w:pPr>
      <w:r w:rsidRPr="00B64DAD">
        <w:rPr>
          <w:rFonts w:ascii="Arial" w:hAnsi="Arial" w:cs="Arial"/>
          <w:sz w:val="20"/>
        </w:rPr>
        <w:t xml:space="preserve">Anwar, J., Umer S., Muhammad S., et al. </w:t>
      </w:r>
      <w:r w:rsidRPr="00CC308D">
        <w:rPr>
          <w:rFonts w:ascii="Arial" w:hAnsi="Arial" w:cs="Arial"/>
          <w:sz w:val="20"/>
        </w:rPr>
        <w:t xml:space="preserve">(2009). </w:t>
      </w:r>
      <w:r w:rsidRPr="00B969D9">
        <w:rPr>
          <w:rFonts w:ascii="Arial" w:hAnsi="Arial" w:cs="Arial"/>
          <w:sz w:val="20"/>
        </w:rPr>
        <w:t xml:space="preserve">Removal of Chromium (III) by Using Coal as Adsorbent. </w:t>
      </w:r>
      <w:r w:rsidRPr="00B969D9">
        <w:rPr>
          <w:rFonts w:ascii="Arial" w:hAnsi="Arial" w:cs="Arial"/>
          <w:i/>
          <w:iCs/>
          <w:sz w:val="20"/>
        </w:rPr>
        <w:t>Journal of Hazardous Materials</w:t>
      </w:r>
      <w:r>
        <w:rPr>
          <w:rFonts w:ascii="Arial" w:hAnsi="Arial" w:cs="Arial"/>
          <w:i/>
          <w:iCs/>
          <w:sz w:val="20"/>
        </w:rPr>
        <w:t>,</w:t>
      </w:r>
      <w:r w:rsidRPr="00B969D9">
        <w:rPr>
          <w:rFonts w:ascii="Arial" w:hAnsi="Arial" w:cs="Arial"/>
          <w:sz w:val="20"/>
        </w:rPr>
        <w:t xml:space="preserve"> 171(1–3)</w:t>
      </w:r>
      <w:r>
        <w:rPr>
          <w:rFonts w:ascii="Arial" w:hAnsi="Arial" w:cs="Arial"/>
          <w:sz w:val="20"/>
        </w:rPr>
        <w:t>,</w:t>
      </w:r>
      <w:r w:rsidRPr="00B969D9">
        <w:rPr>
          <w:rFonts w:ascii="Arial" w:hAnsi="Arial" w:cs="Arial"/>
          <w:sz w:val="20"/>
        </w:rPr>
        <w:t xml:space="preserve"> 797–801. https://doi.org/10.1016/j.jhazmat.2009.06.076.</w:t>
      </w:r>
    </w:p>
    <w:p w14:paraId="3A392332" w14:textId="77777777" w:rsidR="00874074" w:rsidRPr="00874074" w:rsidRDefault="00111D59" w:rsidP="00B64DAD">
      <w:pPr>
        <w:rPr>
          <w:rFonts w:ascii="Arial" w:hAnsi="Arial" w:cs="Arial"/>
          <w:sz w:val="20"/>
        </w:rPr>
      </w:pPr>
      <w:r w:rsidRPr="00874074">
        <w:rPr>
          <w:rFonts w:ascii="Arial" w:hAnsi="Arial" w:cs="Arial"/>
          <w:sz w:val="20"/>
        </w:rPr>
        <w:t>Arefieva, O</w:t>
      </w:r>
      <w:r w:rsidR="00B64DAD" w:rsidRPr="00874074">
        <w:rPr>
          <w:rFonts w:ascii="Arial" w:hAnsi="Arial" w:cs="Arial"/>
          <w:sz w:val="20"/>
        </w:rPr>
        <w:t>.</w:t>
      </w:r>
      <w:r w:rsidRPr="00874074">
        <w:rPr>
          <w:rFonts w:ascii="Arial" w:hAnsi="Arial" w:cs="Arial"/>
          <w:sz w:val="20"/>
        </w:rPr>
        <w:t xml:space="preserve"> D., Liudmila A. Z</w:t>
      </w:r>
      <w:r w:rsidR="00B64DAD" w:rsidRPr="00874074">
        <w:rPr>
          <w:rFonts w:ascii="Arial" w:hAnsi="Arial" w:cs="Arial"/>
          <w:sz w:val="20"/>
        </w:rPr>
        <w:t>.</w:t>
      </w:r>
      <w:r w:rsidRPr="00874074">
        <w:rPr>
          <w:rFonts w:ascii="Arial" w:hAnsi="Arial" w:cs="Arial"/>
          <w:sz w:val="20"/>
        </w:rPr>
        <w:t>, Anastasia A. K</w:t>
      </w:r>
      <w:r w:rsidR="00B64DAD" w:rsidRPr="00874074">
        <w:rPr>
          <w:rFonts w:ascii="Arial" w:hAnsi="Arial" w:cs="Arial"/>
          <w:sz w:val="20"/>
        </w:rPr>
        <w:t>.</w:t>
      </w:r>
      <w:r w:rsidRPr="00874074">
        <w:rPr>
          <w:rFonts w:ascii="Arial" w:hAnsi="Arial" w:cs="Arial"/>
          <w:sz w:val="20"/>
        </w:rPr>
        <w:t xml:space="preserve">, </w:t>
      </w:r>
      <w:r w:rsidR="00B64DAD" w:rsidRPr="00874074">
        <w:rPr>
          <w:rFonts w:ascii="Arial" w:hAnsi="Arial" w:cs="Arial"/>
          <w:sz w:val="20"/>
        </w:rPr>
        <w:t>et al</w:t>
      </w:r>
      <w:r w:rsidRPr="00874074">
        <w:rPr>
          <w:rFonts w:ascii="Arial" w:hAnsi="Arial" w:cs="Arial"/>
          <w:sz w:val="20"/>
        </w:rPr>
        <w:t xml:space="preserve">. </w:t>
      </w:r>
      <w:r w:rsidR="00B64DAD" w:rsidRPr="00874074">
        <w:rPr>
          <w:rFonts w:ascii="Arial" w:hAnsi="Arial" w:cs="Arial"/>
          <w:sz w:val="20"/>
        </w:rPr>
        <w:t>(</w:t>
      </w:r>
      <w:r w:rsidRPr="00874074">
        <w:rPr>
          <w:rFonts w:ascii="Arial" w:hAnsi="Arial" w:cs="Arial"/>
          <w:sz w:val="20"/>
        </w:rPr>
        <w:t>2017</w:t>
      </w:r>
      <w:r w:rsidR="00B64DAD" w:rsidRPr="00874074">
        <w:rPr>
          <w:rFonts w:ascii="Arial" w:hAnsi="Arial" w:cs="Arial"/>
          <w:sz w:val="20"/>
        </w:rPr>
        <w:t>)</w:t>
      </w:r>
      <w:r w:rsidRPr="00874074">
        <w:rPr>
          <w:rFonts w:ascii="Arial" w:hAnsi="Arial" w:cs="Arial"/>
          <w:sz w:val="20"/>
        </w:rPr>
        <w:t xml:space="preserve">. Processing Methods of Alkaline Hydrolysate from Rice Husk. </w:t>
      </w:r>
      <w:r w:rsidRPr="00874074">
        <w:rPr>
          <w:rFonts w:ascii="Arial" w:hAnsi="Arial" w:cs="Arial"/>
          <w:i/>
          <w:iCs/>
          <w:sz w:val="20"/>
        </w:rPr>
        <w:t>Rice Science</w:t>
      </w:r>
      <w:r w:rsidR="00B64DAD" w:rsidRPr="00874074">
        <w:rPr>
          <w:rFonts w:ascii="Arial" w:hAnsi="Arial" w:cs="Arial"/>
          <w:i/>
          <w:iCs/>
          <w:sz w:val="20"/>
        </w:rPr>
        <w:t>,</w:t>
      </w:r>
      <w:r w:rsidRPr="00874074">
        <w:rPr>
          <w:rFonts w:ascii="Arial" w:hAnsi="Arial" w:cs="Arial"/>
          <w:sz w:val="20"/>
        </w:rPr>
        <w:t xml:space="preserve"> 24(4)</w:t>
      </w:r>
      <w:r w:rsidR="00B64DAD" w:rsidRPr="00874074">
        <w:rPr>
          <w:rFonts w:ascii="Arial" w:hAnsi="Arial" w:cs="Arial"/>
          <w:sz w:val="20"/>
        </w:rPr>
        <w:t xml:space="preserve">, </w:t>
      </w:r>
      <w:r w:rsidRPr="00874074">
        <w:rPr>
          <w:rFonts w:ascii="Arial" w:hAnsi="Arial" w:cs="Arial"/>
          <w:sz w:val="20"/>
        </w:rPr>
        <w:t>235–40. https://doi.org/10.1016/j.rsci.2017.04.003.</w:t>
      </w:r>
    </w:p>
    <w:p w14:paraId="3D080051"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Ashour, N</w:t>
      </w:r>
      <w:r>
        <w:rPr>
          <w:rFonts w:ascii="Arial" w:hAnsi="Arial" w:cs="Arial"/>
          <w:sz w:val="20"/>
        </w:rPr>
        <w:t>.</w:t>
      </w:r>
      <w:r w:rsidRPr="00B969D9">
        <w:rPr>
          <w:rFonts w:ascii="Arial" w:hAnsi="Arial" w:cs="Arial"/>
          <w:sz w:val="20"/>
        </w:rPr>
        <w:t xml:space="preserve"> M., Mohamed B</w:t>
      </w:r>
      <w:r>
        <w:rPr>
          <w:rFonts w:ascii="Arial" w:hAnsi="Arial" w:cs="Arial"/>
          <w:sz w:val="20"/>
        </w:rPr>
        <w:t>.</w:t>
      </w:r>
      <w:r w:rsidRPr="00B969D9">
        <w:rPr>
          <w:rFonts w:ascii="Arial" w:hAnsi="Arial" w:cs="Arial"/>
          <w:sz w:val="20"/>
        </w:rPr>
        <w:t>, and Mamdouh Y. S.</w:t>
      </w:r>
      <w:r>
        <w:rPr>
          <w:rFonts w:ascii="Arial" w:hAnsi="Arial" w:cs="Arial"/>
          <w:sz w:val="20"/>
        </w:rPr>
        <w:t xml:space="preserve"> (</w:t>
      </w:r>
      <w:r w:rsidRPr="00B969D9">
        <w:rPr>
          <w:rFonts w:ascii="Arial" w:hAnsi="Arial" w:cs="Arial"/>
          <w:sz w:val="20"/>
        </w:rPr>
        <w:t>2021</w:t>
      </w:r>
      <w:r>
        <w:rPr>
          <w:rFonts w:ascii="Arial" w:hAnsi="Arial" w:cs="Arial"/>
          <w:sz w:val="20"/>
        </w:rPr>
        <w:t>)</w:t>
      </w:r>
      <w:r w:rsidRPr="00B969D9">
        <w:rPr>
          <w:rFonts w:ascii="Arial" w:hAnsi="Arial" w:cs="Arial"/>
          <w:sz w:val="20"/>
        </w:rPr>
        <w:t xml:space="preserve">. Removal of TDS and TSS from Industrial Wastewater Using Fly Ash. </w:t>
      </w:r>
      <w:r w:rsidRPr="00B969D9">
        <w:rPr>
          <w:rFonts w:ascii="Arial" w:hAnsi="Arial" w:cs="Arial"/>
          <w:i/>
          <w:iCs/>
          <w:sz w:val="20"/>
        </w:rPr>
        <w:t>J</w:t>
      </w:r>
      <w:r>
        <w:rPr>
          <w:rFonts w:ascii="Arial" w:hAnsi="Arial" w:cs="Arial"/>
          <w:i/>
          <w:iCs/>
          <w:sz w:val="20"/>
        </w:rPr>
        <w:t>ournal of</w:t>
      </w:r>
      <w:r w:rsidRPr="00B969D9">
        <w:rPr>
          <w:rFonts w:ascii="Arial" w:hAnsi="Arial" w:cs="Arial"/>
          <w:i/>
          <w:iCs/>
          <w:sz w:val="20"/>
        </w:rPr>
        <w:t xml:space="preserve"> Environ</w:t>
      </w:r>
      <w:r>
        <w:rPr>
          <w:rFonts w:ascii="Arial" w:hAnsi="Arial" w:cs="Arial"/>
          <w:i/>
          <w:iCs/>
          <w:sz w:val="20"/>
        </w:rPr>
        <w:t>mental</w:t>
      </w:r>
      <w:r w:rsidRPr="00B969D9">
        <w:rPr>
          <w:rFonts w:ascii="Arial" w:hAnsi="Arial" w:cs="Arial"/>
          <w:i/>
          <w:iCs/>
          <w:sz w:val="20"/>
        </w:rPr>
        <w:t xml:space="preserve"> Treatment Tech</w:t>
      </w:r>
      <w:r>
        <w:rPr>
          <w:rFonts w:ascii="Arial" w:hAnsi="Arial" w:cs="Arial"/>
          <w:i/>
          <w:iCs/>
          <w:sz w:val="20"/>
        </w:rPr>
        <w:t>niques,</w:t>
      </w:r>
      <w:r w:rsidRPr="00B969D9">
        <w:rPr>
          <w:rFonts w:ascii="Arial" w:hAnsi="Arial" w:cs="Arial"/>
          <w:sz w:val="20"/>
        </w:rPr>
        <w:t xml:space="preserve"> 9(1)</w:t>
      </w:r>
      <w:r>
        <w:rPr>
          <w:rFonts w:ascii="Arial" w:hAnsi="Arial" w:cs="Arial"/>
          <w:sz w:val="20"/>
        </w:rPr>
        <w:t xml:space="preserve">, </w:t>
      </w:r>
      <w:r w:rsidRPr="00B969D9">
        <w:rPr>
          <w:rFonts w:ascii="Arial" w:hAnsi="Arial" w:cs="Arial"/>
          <w:sz w:val="20"/>
        </w:rPr>
        <w:t xml:space="preserve">289–96. </w:t>
      </w:r>
    </w:p>
    <w:p w14:paraId="77010461"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Asrafuzzaman, Md., Fakhruddin</w:t>
      </w:r>
      <w:r>
        <w:rPr>
          <w:rFonts w:ascii="Arial" w:hAnsi="Arial" w:cs="Arial"/>
          <w:sz w:val="20"/>
        </w:rPr>
        <w:t>,</w:t>
      </w:r>
      <w:r w:rsidRPr="00B969D9">
        <w:rPr>
          <w:rFonts w:ascii="Arial" w:hAnsi="Arial" w:cs="Arial"/>
          <w:sz w:val="20"/>
        </w:rPr>
        <w:t xml:space="preserve"> A. N. M., and Alamgir Hossain Md.</w:t>
      </w:r>
      <w:r>
        <w:rPr>
          <w:rFonts w:ascii="Arial" w:hAnsi="Arial" w:cs="Arial"/>
          <w:sz w:val="20"/>
        </w:rPr>
        <w:t xml:space="preserve"> (</w:t>
      </w:r>
      <w:r w:rsidRPr="00B969D9">
        <w:rPr>
          <w:rFonts w:ascii="Arial" w:hAnsi="Arial" w:cs="Arial"/>
          <w:sz w:val="20"/>
        </w:rPr>
        <w:t>2011</w:t>
      </w:r>
      <w:r>
        <w:rPr>
          <w:rFonts w:ascii="Arial" w:hAnsi="Arial" w:cs="Arial"/>
          <w:sz w:val="20"/>
        </w:rPr>
        <w:t>)</w:t>
      </w:r>
      <w:r w:rsidRPr="00B969D9">
        <w:rPr>
          <w:rFonts w:ascii="Arial" w:hAnsi="Arial" w:cs="Arial"/>
          <w:sz w:val="20"/>
        </w:rPr>
        <w:t xml:space="preserve">. Reduction of Turbidity of Water Using Locally Available Natural Coagulants. </w:t>
      </w:r>
      <w:r w:rsidRPr="00B969D9">
        <w:rPr>
          <w:rFonts w:ascii="Arial" w:hAnsi="Arial" w:cs="Arial"/>
          <w:i/>
          <w:iCs/>
          <w:sz w:val="20"/>
        </w:rPr>
        <w:t>International Scholarly Research Notices</w:t>
      </w:r>
      <w:r>
        <w:rPr>
          <w:rFonts w:ascii="Arial" w:hAnsi="Arial" w:cs="Arial"/>
          <w:i/>
          <w:iCs/>
          <w:sz w:val="20"/>
        </w:rPr>
        <w:t>,</w:t>
      </w:r>
      <w:r>
        <w:rPr>
          <w:rFonts w:ascii="Arial" w:hAnsi="Arial" w:cs="Arial"/>
          <w:sz w:val="20"/>
        </w:rPr>
        <w:t xml:space="preserve"> </w:t>
      </w:r>
      <w:r w:rsidRPr="00B969D9">
        <w:rPr>
          <w:rFonts w:ascii="Arial" w:hAnsi="Arial" w:cs="Arial"/>
          <w:sz w:val="20"/>
        </w:rPr>
        <w:t>(1): 632189. https://doi.org/10.5402/2011/632189.</w:t>
      </w:r>
    </w:p>
    <w:p w14:paraId="7D11FF16"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Chittala, G</w:t>
      </w:r>
      <w:r>
        <w:rPr>
          <w:rFonts w:ascii="Arial" w:hAnsi="Arial" w:cs="Arial"/>
          <w:sz w:val="20"/>
        </w:rPr>
        <w:t>.</w:t>
      </w:r>
      <w:r w:rsidRPr="00B969D9">
        <w:rPr>
          <w:rFonts w:ascii="Arial" w:hAnsi="Arial" w:cs="Arial"/>
          <w:sz w:val="20"/>
        </w:rPr>
        <w:t xml:space="preserve">, and Paul S. M. </w:t>
      </w:r>
      <w:r>
        <w:rPr>
          <w:rFonts w:ascii="Arial" w:hAnsi="Arial" w:cs="Arial"/>
          <w:sz w:val="20"/>
        </w:rPr>
        <w:t>(</w:t>
      </w:r>
      <w:r w:rsidRPr="00B969D9">
        <w:rPr>
          <w:rFonts w:ascii="Arial" w:hAnsi="Arial" w:cs="Arial"/>
          <w:sz w:val="20"/>
        </w:rPr>
        <w:t>2012</w:t>
      </w:r>
      <w:r>
        <w:rPr>
          <w:rFonts w:ascii="Arial" w:hAnsi="Arial" w:cs="Arial"/>
          <w:sz w:val="20"/>
        </w:rPr>
        <w:t>)</w:t>
      </w:r>
      <w:r w:rsidRPr="00B969D9">
        <w:rPr>
          <w:rFonts w:ascii="Arial" w:hAnsi="Arial" w:cs="Arial"/>
          <w:sz w:val="20"/>
        </w:rPr>
        <w:t xml:space="preserve">. Performance Studies on a Pharmaceutical Wastewater Treatment Plant with a Special Reference to Total Dissolved Solids Removal.” </w:t>
      </w:r>
      <w:r w:rsidRPr="00B969D9">
        <w:rPr>
          <w:rFonts w:ascii="Arial" w:hAnsi="Arial" w:cs="Arial"/>
          <w:i/>
          <w:iCs/>
          <w:sz w:val="20"/>
        </w:rPr>
        <w:t>International Journal of Life Sciences Biotechnology and Pharma Research</w:t>
      </w:r>
      <w:r>
        <w:rPr>
          <w:rFonts w:ascii="Arial" w:hAnsi="Arial" w:cs="Arial"/>
          <w:i/>
          <w:iCs/>
          <w:sz w:val="20"/>
        </w:rPr>
        <w:t>,</w:t>
      </w:r>
      <w:r w:rsidRPr="00B969D9">
        <w:rPr>
          <w:rFonts w:ascii="Arial" w:hAnsi="Arial" w:cs="Arial"/>
          <w:sz w:val="20"/>
        </w:rPr>
        <w:t xml:space="preserve"> 1(1)</w:t>
      </w:r>
      <w:r>
        <w:rPr>
          <w:rFonts w:ascii="Arial" w:hAnsi="Arial" w:cs="Arial"/>
          <w:sz w:val="20"/>
        </w:rPr>
        <w:t>,</w:t>
      </w:r>
      <w:r w:rsidRPr="00B969D9">
        <w:rPr>
          <w:rFonts w:ascii="Arial" w:hAnsi="Arial" w:cs="Arial"/>
          <w:sz w:val="20"/>
        </w:rPr>
        <w:t xml:space="preserve">103–12. </w:t>
      </w:r>
    </w:p>
    <w:p w14:paraId="3673E6F4"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Chowdhury, A</w:t>
      </w:r>
      <w:r>
        <w:rPr>
          <w:rFonts w:ascii="Arial" w:hAnsi="Arial" w:cs="Arial"/>
          <w:sz w:val="20"/>
        </w:rPr>
        <w:t>.</w:t>
      </w:r>
      <w:r w:rsidRPr="00B969D9">
        <w:rPr>
          <w:rFonts w:ascii="Arial" w:hAnsi="Arial" w:cs="Arial"/>
          <w:sz w:val="20"/>
        </w:rPr>
        <w:t xml:space="preserve"> K., Anupam</w:t>
      </w:r>
      <w:r>
        <w:rPr>
          <w:rFonts w:ascii="Arial" w:hAnsi="Arial" w:cs="Arial"/>
          <w:sz w:val="20"/>
        </w:rPr>
        <w:t>,</w:t>
      </w:r>
      <w:r w:rsidRPr="00B969D9">
        <w:rPr>
          <w:rFonts w:ascii="Arial" w:hAnsi="Arial" w:cs="Arial"/>
          <w:sz w:val="20"/>
        </w:rPr>
        <w:t xml:space="preserve"> D. S</w:t>
      </w:r>
      <w:r>
        <w:rPr>
          <w:rFonts w:ascii="Arial" w:hAnsi="Arial" w:cs="Arial"/>
          <w:sz w:val="20"/>
        </w:rPr>
        <w:t>.</w:t>
      </w:r>
      <w:r w:rsidRPr="00B969D9">
        <w:rPr>
          <w:rFonts w:ascii="Arial" w:hAnsi="Arial" w:cs="Arial"/>
          <w:sz w:val="20"/>
        </w:rPr>
        <w:t xml:space="preserve">, and Amitava B. </w:t>
      </w:r>
      <w:r>
        <w:rPr>
          <w:rFonts w:ascii="Arial" w:hAnsi="Arial" w:cs="Arial"/>
          <w:sz w:val="20"/>
        </w:rPr>
        <w:t>(</w:t>
      </w:r>
      <w:r w:rsidRPr="00B969D9">
        <w:rPr>
          <w:rFonts w:ascii="Arial" w:hAnsi="Arial" w:cs="Arial"/>
          <w:sz w:val="20"/>
        </w:rPr>
        <w:t>2009</w:t>
      </w:r>
      <w:r>
        <w:rPr>
          <w:rFonts w:ascii="Arial" w:hAnsi="Arial" w:cs="Arial"/>
          <w:sz w:val="20"/>
        </w:rPr>
        <w:t>)</w:t>
      </w:r>
      <w:r w:rsidRPr="00B969D9">
        <w:rPr>
          <w:rFonts w:ascii="Arial" w:hAnsi="Arial" w:cs="Arial"/>
          <w:sz w:val="20"/>
        </w:rPr>
        <w:t xml:space="preserve">. Rice Husk Ash as a Low-Cost Adsorbent for the Removal of Methylene Blue and Congo Red in Aqueous Phases. </w:t>
      </w:r>
      <w:r w:rsidRPr="00B969D9">
        <w:rPr>
          <w:rFonts w:ascii="Arial" w:hAnsi="Arial" w:cs="Arial"/>
          <w:i/>
          <w:iCs/>
          <w:sz w:val="20"/>
        </w:rPr>
        <w:t>CLEAN – Soil, Air, Water</w:t>
      </w:r>
      <w:r>
        <w:rPr>
          <w:rFonts w:ascii="Arial" w:hAnsi="Arial" w:cs="Arial"/>
          <w:i/>
          <w:iCs/>
          <w:sz w:val="20"/>
        </w:rPr>
        <w:t>,</w:t>
      </w:r>
      <w:r w:rsidRPr="00B969D9">
        <w:rPr>
          <w:rFonts w:ascii="Arial" w:hAnsi="Arial" w:cs="Arial"/>
          <w:sz w:val="20"/>
        </w:rPr>
        <w:t xml:space="preserve"> 37(7)</w:t>
      </w:r>
      <w:r>
        <w:rPr>
          <w:rFonts w:ascii="Arial" w:hAnsi="Arial" w:cs="Arial"/>
          <w:sz w:val="20"/>
        </w:rPr>
        <w:t>,</w:t>
      </w:r>
      <w:r w:rsidRPr="00B969D9">
        <w:rPr>
          <w:rFonts w:ascii="Arial" w:hAnsi="Arial" w:cs="Arial"/>
          <w:sz w:val="20"/>
        </w:rPr>
        <w:t xml:space="preserve"> 581–91. https://doi.org/10.1002/clen.200900051.</w:t>
      </w:r>
    </w:p>
    <w:p w14:paraId="176FF124" w14:textId="77777777" w:rsidR="00B64DAD" w:rsidRDefault="00B64DAD" w:rsidP="00B64DAD">
      <w:pPr>
        <w:pStyle w:val="Bibliography"/>
        <w:jc w:val="both"/>
        <w:rPr>
          <w:rFonts w:ascii="Arial" w:hAnsi="Arial" w:cs="Arial"/>
          <w:sz w:val="20"/>
        </w:rPr>
      </w:pPr>
      <w:r w:rsidRPr="00B969D9">
        <w:rPr>
          <w:rFonts w:ascii="Arial" w:hAnsi="Arial" w:cs="Arial"/>
          <w:sz w:val="20"/>
        </w:rPr>
        <w:lastRenderedPageBreak/>
        <w:t>Daffalla, S.B., Mukhtar</w:t>
      </w:r>
      <w:r>
        <w:rPr>
          <w:rFonts w:ascii="Arial" w:hAnsi="Arial" w:cs="Arial"/>
          <w:sz w:val="20"/>
        </w:rPr>
        <w:t>,</w:t>
      </w:r>
      <w:r w:rsidRPr="00B969D9">
        <w:rPr>
          <w:rFonts w:ascii="Arial" w:hAnsi="Arial" w:cs="Arial"/>
          <w:sz w:val="20"/>
        </w:rPr>
        <w:t xml:space="preserve"> H., and Shaharun M.S.</w:t>
      </w:r>
      <w:r>
        <w:rPr>
          <w:rFonts w:ascii="Arial" w:hAnsi="Arial" w:cs="Arial"/>
          <w:sz w:val="20"/>
        </w:rPr>
        <w:t xml:space="preserve"> (</w:t>
      </w:r>
      <w:r w:rsidRPr="00B969D9">
        <w:rPr>
          <w:rFonts w:ascii="Arial" w:hAnsi="Arial" w:cs="Arial"/>
          <w:sz w:val="20"/>
        </w:rPr>
        <w:t>2010</w:t>
      </w:r>
      <w:r>
        <w:rPr>
          <w:rFonts w:ascii="Arial" w:hAnsi="Arial" w:cs="Arial"/>
          <w:sz w:val="20"/>
        </w:rPr>
        <w:t>)</w:t>
      </w:r>
      <w:r w:rsidRPr="00B969D9">
        <w:rPr>
          <w:rFonts w:ascii="Arial" w:hAnsi="Arial" w:cs="Arial"/>
          <w:sz w:val="20"/>
        </w:rPr>
        <w:t>. Characterization of Adsorbent Developed from Rice Husk: Effect of Surface Functional Group on Phenol Adsorption.</w:t>
      </w:r>
      <w:r>
        <w:rPr>
          <w:rFonts w:ascii="Arial" w:hAnsi="Arial" w:cs="Arial"/>
          <w:sz w:val="20"/>
        </w:rPr>
        <w:t xml:space="preserve"> </w:t>
      </w:r>
      <w:r w:rsidRPr="00B969D9">
        <w:rPr>
          <w:rFonts w:ascii="Arial" w:hAnsi="Arial" w:cs="Arial"/>
          <w:i/>
          <w:iCs/>
          <w:sz w:val="20"/>
        </w:rPr>
        <w:t>Journal of Applied Sciences</w:t>
      </w:r>
      <w:r>
        <w:rPr>
          <w:rFonts w:ascii="Arial" w:hAnsi="Arial" w:cs="Arial"/>
          <w:i/>
          <w:iCs/>
          <w:sz w:val="20"/>
        </w:rPr>
        <w:t>,</w:t>
      </w:r>
      <w:r w:rsidRPr="00B969D9">
        <w:rPr>
          <w:rFonts w:ascii="Arial" w:hAnsi="Arial" w:cs="Arial"/>
          <w:sz w:val="20"/>
        </w:rPr>
        <w:t xml:space="preserve"> 10(12)</w:t>
      </w:r>
      <w:r>
        <w:rPr>
          <w:rFonts w:ascii="Arial" w:hAnsi="Arial" w:cs="Arial"/>
          <w:sz w:val="20"/>
        </w:rPr>
        <w:t xml:space="preserve">, </w:t>
      </w:r>
      <w:r w:rsidRPr="00B969D9">
        <w:rPr>
          <w:rFonts w:ascii="Arial" w:hAnsi="Arial" w:cs="Arial"/>
          <w:sz w:val="20"/>
        </w:rPr>
        <w:t>1060–67. https://doi.org/10.3923/jas.2010.1060.1067.</w:t>
      </w:r>
    </w:p>
    <w:p w14:paraId="3C82A508" w14:textId="77777777" w:rsidR="00B64DAD" w:rsidRPr="00F473A9" w:rsidRDefault="00B64DAD" w:rsidP="00B64DAD">
      <w:pPr>
        <w:pStyle w:val="Bibliography"/>
        <w:rPr>
          <w:rFonts w:ascii="Arial" w:hAnsi="Arial" w:cs="Arial"/>
          <w:sz w:val="20"/>
        </w:rPr>
      </w:pPr>
      <w:r w:rsidRPr="00B64DAD">
        <w:rPr>
          <w:rFonts w:ascii="Arial" w:hAnsi="Arial" w:cs="Arial"/>
          <w:sz w:val="20"/>
        </w:rPr>
        <w:t xml:space="preserve">De Gisi, S., Giusy L., Mariangela G., et al. </w:t>
      </w:r>
      <w:r w:rsidRPr="00640EBC">
        <w:rPr>
          <w:rFonts w:ascii="Arial" w:hAnsi="Arial" w:cs="Arial"/>
          <w:sz w:val="20"/>
        </w:rPr>
        <w:t xml:space="preserve">(2016). </w:t>
      </w:r>
      <w:r w:rsidRPr="00F473A9">
        <w:rPr>
          <w:rFonts w:ascii="Arial" w:hAnsi="Arial" w:cs="Arial"/>
          <w:sz w:val="20"/>
        </w:rPr>
        <w:t>Characteristics and Adsorption Capacities of Low-Cost Sorbents for Wastewater Treatment: A Review.</w:t>
      </w:r>
      <w:r>
        <w:rPr>
          <w:rFonts w:ascii="Arial" w:hAnsi="Arial" w:cs="Arial"/>
          <w:sz w:val="20"/>
        </w:rPr>
        <w:t xml:space="preserve"> </w:t>
      </w:r>
      <w:r w:rsidRPr="00F473A9">
        <w:rPr>
          <w:rFonts w:ascii="Arial" w:hAnsi="Arial" w:cs="Arial"/>
          <w:i/>
          <w:iCs/>
          <w:sz w:val="20"/>
        </w:rPr>
        <w:t>Sustainable Materials and Technologies</w:t>
      </w:r>
      <w:r>
        <w:rPr>
          <w:rFonts w:ascii="Arial" w:hAnsi="Arial" w:cs="Arial"/>
          <w:i/>
          <w:iCs/>
          <w:sz w:val="20"/>
        </w:rPr>
        <w:t>,</w:t>
      </w:r>
      <w:r w:rsidRPr="00F473A9">
        <w:rPr>
          <w:rFonts w:ascii="Arial" w:hAnsi="Arial" w:cs="Arial"/>
          <w:sz w:val="20"/>
        </w:rPr>
        <w:t xml:space="preserve"> 9</w:t>
      </w:r>
      <w:r>
        <w:rPr>
          <w:rFonts w:ascii="Arial" w:hAnsi="Arial" w:cs="Arial"/>
          <w:sz w:val="20"/>
        </w:rPr>
        <w:t>,</w:t>
      </w:r>
      <w:r w:rsidRPr="00F473A9">
        <w:rPr>
          <w:rFonts w:ascii="Arial" w:hAnsi="Arial" w:cs="Arial"/>
          <w:sz w:val="20"/>
        </w:rPr>
        <w:t xml:space="preserve"> 10–40. https://doi.org/10.1016/j.susmat.2016.06.002.</w:t>
      </w:r>
    </w:p>
    <w:p w14:paraId="7B01EB29" w14:textId="77777777" w:rsidR="00B64DAD" w:rsidRPr="00540F81" w:rsidRDefault="00B64DAD" w:rsidP="00B64DAD">
      <w:pPr>
        <w:pStyle w:val="Bibliography"/>
        <w:jc w:val="both"/>
        <w:rPr>
          <w:rFonts w:ascii="Arial" w:hAnsi="Arial" w:cs="Arial"/>
          <w:sz w:val="20"/>
          <w:lang w:val="fr-FR"/>
        </w:rPr>
      </w:pPr>
      <w:r w:rsidRPr="00B969D9">
        <w:rPr>
          <w:rFonts w:ascii="Arial" w:hAnsi="Arial" w:cs="Arial"/>
          <w:sz w:val="20"/>
        </w:rPr>
        <w:t xml:space="preserve">El-Halwany, M.M. </w:t>
      </w:r>
      <w:r>
        <w:rPr>
          <w:rFonts w:ascii="Arial" w:hAnsi="Arial" w:cs="Arial"/>
          <w:sz w:val="20"/>
        </w:rPr>
        <w:t>(</w:t>
      </w:r>
      <w:r w:rsidRPr="00B969D9">
        <w:rPr>
          <w:rFonts w:ascii="Arial" w:hAnsi="Arial" w:cs="Arial"/>
          <w:sz w:val="20"/>
        </w:rPr>
        <w:t>2010</w:t>
      </w:r>
      <w:r>
        <w:rPr>
          <w:rFonts w:ascii="Arial" w:hAnsi="Arial" w:cs="Arial"/>
          <w:sz w:val="20"/>
        </w:rPr>
        <w:t>)</w:t>
      </w:r>
      <w:r w:rsidRPr="00B969D9">
        <w:rPr>
          <w:rFonts w:ascii="Arial" w:hAnsi="Arial" w:cs="Arial"/>
          <w:sz w:val="20"/>
        </w:rPr>
        <w:t>.</w:t>
      </w:r>
      <w:r>
        <w:rPr>
          <w:rFonts w:ascii="Arial" w:hAnsi="Arial" w:cs="Arial"/>
          <w:sz w:val="20"/>
        </w:rPr>
        <w:t xml:space="preserve"> </w:t>
      </w:r>
      <w:r w:rsidRPr="00B969D9">
        <w:rPr>
          <w:rFonts w:ascii="Arial" w:hAnsi="Arial" w:cs="Arial"/>
          <w:sz w:val="20"/>
        </w:rPr>
        <w:t xml:space="preserve">Study of Adsorption Isotherms and Kinetic Models for Methylene Blue Adsorption on Activated Carbon Developed from Egyptian Rice Hull (Part II). </w:t>
      </w:r>
      <w:r w:rsidRPr="00540F81">
        <w:rPr>
          <w:rFonts w:ascii="Arial" w:hAnsi="Arial" w:cs="Arial"/>
          <w:i/>
          <w:iCs/>
          <w:sz w:val="20"/>
          <w:lang w:val="fr-FR"/>
        </w:rPr>
        <w:t>Desalination,</w:t>
      </w:r>
      <w:r w:rsidRPr="00540F81">
        <w:rPr>
          <w:rFonts w:ascii="Arial" w:hAnsi="Arial" w:cs="Arial"/>
          <w:sz w:val="20"/>
          <w:lang w:val="fr-FR"/>
        </w:rPr>
        <w:t xml:space="preserve"> 250(1), 208–13. https://doi.org/10.1016/j.desal.2008.07.030.</w:t>
      </w:r>
    </w:p>
    <w:p w14:paraId="13A77A22" w14:textId="77777777" w:rsidR="00B64DAD" w:rsidRPr="00B969D9" w:rsidRDefault="00B64DAD" w:rsidP="00B64DAD">
      <w:pPr>
        <w:pStyle w:val="Bibliography"/>
        <w:jc w:val="both"/>
        <w:rPr>
          <w:rFonts w:ascii="Arial" w:hAnsi="Arial" w:cs="Arial"/>
          <w:sz w:val="20"/>
        </w:rPr>
      </w:pPr>
      <w:r w:rsidRPr="00163626">
        <w:rPr>
          <w:rFonts w:ascii="Arial" w:hAnsi="Arial" w:cs="Arial"/>
          <w:sz w:val="20"/>
          <w:lang w:val="fr-FR"/>
        </w:rPr>
        <w:t xml:space="preserve">Fathima, N., Uzma B., Smita A., et al. </w:t>
      </w:r>
      <w:r w:rsidRPr="00163626">
        <w:rPr>
          <w:rFonts w:ascii="Arial" w:hAnsi="Arial" w:cs="Arial"/>
          <w:sz w:val="20"/>
        </w:rPr>
        <w:t xml:space="preserve">(2007). </w:t>
      </w:r>
      <w:r w:rsidRPr="00B969D9">
        <w:rPr>
          <w:rFonts w:ascii="Arial" w:hAnsi="Arial" w:cs="Arial"/>
          <w:sz w:val="20"/>
        </w:rPr>
        <w:t xml:space="preserve">Removal of Turbidity of Waste Water by Adsorption Technology. </w:t>
      </w:r>
      <w:r w:rsidRPr="00B969D9">
        <w:rPr>
          <w:rFonts w:ascii="Arial" w:hAnsi="Arial" w:cs="Arial"/>
          <w:i/>
          <w:iCs/>
          <w:sz w:val="20"/>
        </w:rPr>
        <w:t>International Journal of Innovative Research in Science, Engineering and Technology</w:t>
      </w:r>
      <w:r>
        <w:rPr>
          <w:rFonts w:ascii="Arial" w:hAnsi="Arial" w:cs="Arial"/>
          <w:sz w:val="20"/>
        </w:rPr>
        <w:t xml:space="preserve">, </w:t>
      </w:r>
      <w:r w:rsidRPr="00B969D9">
        <w:rPr>
          <w:rFonts w:ascii="Arial" w:hAnsi="Arial" w:cs="Arial"/>
          <w:sz w:val="20"/>
        </w:rPr>
        <w:t xml:space="preserve">5(11). </w:t>
      </w:r>
    </w:p>
    <w:p w14:paraId="1B05361B"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Franco, Di</w:t>
      </w:r>
      <w:r>
        <w:rPr>
          <w:rFonts w:ascii="Arial" w:hAnsi="Arial" w:cs="Arial"/>
          <w:sz w:val="20"/>
        </w:rPr>
        <w:t>.</w:t>
      </w:r>
      <w:r w:rsidRPr="00B969D9">
        <w:rPr>
          <w:rFonts w:ascii="Arial" w:hAnsi="Arial" w:cs="Arial"/>
          <w:sz w:val="20"/>
        </w:rPr>
        <w:t xml:space="preserve"> S. P., Eduardo H. T</w:t>
      </w:r>
      <w:r>
        <w:rPr>
          <w:rFonts w:ascii="Arial" w:hAnsi="Arial" w:cs="Arial"/>
          <w:sz w:val="20"/>
        </w:rPr>
        <w:t>.</w:t>
      </w:r>
      <w:r w:rsidRPr="00B969D9">
        <w:rPr>
          <w:rFonts w:ascii="Arial" w:hAnsi="Arial" w:cs="Arial"/>
          <w:sz w:val="20"/>
        </w:rPr>
        <w:t>, Daniel A. B</w:t>
      </w:r>
      <w:r>
        <w:rPr>
          <w:rFonts w:ascii="Arial" w:hAnsi="Arial" w:cs="Arial"/>
          <w:sz w:val="20"/>
        </w:rPr>
        <w:t>.</w:t>
      </w:r>
      <w:r w:rsidRPr="00B969D9">
        <w:rPr>
          <w:rFonts w:ascii="Arial" w:hAnsi="Arial" w:cs="Arial"/>
          <w:sz w:val="20"/>
        </w:rPr>
        <w:t xml:space="preserve">, </w:t>
      </w:r>
      <w:r>
        <w:rPr>
          <w:rFonts w:ascii="Arial" w:hAnsi="Arial" w:cs="Arial"/>
          <w:sz w:val="20"/>
        </w:rPr>
        <w:t>et al</w:t>
      </w:r>
      <w:r w:rsidRPr="00B969D9">
        <w:rPr>
          <w:rFonts w:ascii="Arial" w:hAnsi="Arial" w:cs="Arial"/>
          <w:sz w:val="20"/>
        </w:rPr>
        <w:t xml:space="preserve">. </w:t>
      </w:r>
      <w:r>
        <w:rPr>
          <w:rFonts w:ascii="Arial" w:hAnsi="Arial" w:cs="Arial"/>
          <w:sz w:val="20"/>
        </w:rPr>
        <w:t>(</w:t>
      </w:r>
      <w:r w:rsidRPr="00B969D9">
        <w:rPr>
          <w:rFonts w:ascii="Arial" w:hAnsi="Arial" w:cs="Arial"/>
          <w:sz w:val="20"/>
        </w:rPr>
        <w:t>2017</w:t>
      </w:r>
      <w:r>
        <w:rPr>
          <w:rFonts w:ascii="Arial" w:hAnsi="Arial" w:cs="Arial"/>
          <w:sz w:val="20"/>
        </w:rPr>
        <w:t>)</w:t>
      </w:r>
      <w:r w:rsidRPr="00B969D9">
        <w:rPr>
          <w:rFonts w:ascii="Arial" w:hAnsi="Arial" w:cs="Arial"/>
          <w:sz w:val="20"/>
        </w:rPr>
        <w:t xml:space="preserve">. Alternative Treatments to Improve the Potential of Rice Husk as Adsorbent for Methylene Blue. </w:t>
      </w:r>
      <w:r w:rsidRPr="00B969D9">
        <w:rPr>
          <w:rFonts w:ascii="Arial" w:hAnsi="Arial" w:cs="Arial"/>
          <w:i/>
          <w:iCs/>
          <w:sz w:val="20"/>
        </w:rPr>
        <w:t>Water Science and Technology</w:t>
      </w:r>
      <w:r>
        <w:rPr>
          <w:rFonts w:ascii="Arial" w:hAnsi="Arial" w:cs="Arial"/>
          <w:i/>
          <w:iCs/>
          <w:sz w:val="20"/>
        </w:rPr>
        <w:t>,</w:t>
      </w:r>
      <w:r w:rsidRPr="00B969D9">
        <w:rPr>
          <w:rFonts w:ascii="Arial" w:hAnsi="Arial" w:cs="Arial"/>
          <w:sz w:val="20"/>
        </w:rPr>
        <w:t xml:space="preserve"> 75(2)</w:t>
      </w:r>
      <w:r>
        <w:rPr>
          <w:rFonts w:ascii="Arial" w:hAnsi="Arial" w:cs="Arial"/>
          <w:sz w:val="20"/>
        </w:rPr>
        <w:t xml:space="preserve">, </w:t>
      </w:r>
      <w:r w:rsidRPr="00B969D9">
        <w:rPr>
          <w:rFonts w:ascii="Arial" w:hAnsi="Arial" w:cs="Arial"/>
          <w:sz w:val="20"/>
        </w:rPr>
        <w:t>296–305. https://doi.org/10.2166/wst.2016.504.</w:t>
      </w:r>
    </w:p>
    <w:p w14:paraId="31F975C9" w14:textId="77777777" w:rsidR="00B64DAD" w:rsidRPr="00B969D9" w:rsidRDefault="00B64DAD" w:rsidP="00B64DAD">
      <w:pPr>
        <w:pStyle w:val="Bibliography"/>
        <w:jc w:val="both"/>
        <w:rPr>
          <w:rFonts w:ascii="Arial" w:hAnsi="Arial" w:cs="Arial"/>
          <w:sz w:val="20"/>
        </w:rPr>
      </w:pPr>
      <w:r w:rsidRPr="00540F81">
        <w:rPr>
          <w:rFonts w:ascii="Arial" w:hAnsi="Arial" w:cs="Arial"/>
          <w:sz w:val="20"/>
        </w:rPr>
        <w:t xml:space="preserve">Hassanpour A., S., Ghafourian H., Ardakani M. R., et al. </w:t>
      </w:r>
      <w:r w:rsidRPr="005B72DC">
        <w:rPr>
          <w:rFonts w:ascii="Arial" w:hAnsi="Arial" w:cs="Arial"/>
          <w:sz w:val="20"/>
        </w:rPr>
        <w:t xml:space="preserve">(2013). </w:t>
      </w:r>
      <w:r w:rsidRPr="00B969D9">
        <w:rPr>
          <w:rFonts w:ascii="Arial" w:hAnsi="Arial" w:cs="Arial"/>
          <w:sz w:val="20"/>
        </w:rPr>
        <w:t>Feasibility Study of Reducing the Total Dissolved Solids (TDS) from Contaminated Water in Radish Plant (Raphanus Sativus) Using Nano Activated Carbon and Zeolite.</w:t>
      </w:r>
      <w:r>
        <w:rPr>
          <w:rFonts w:ascii="Arial" w:hAnsi="Arial" w:cs="Arial"/>
          <w:sz w:val="20"/>
        </w:rPr>
        <w:t xml:space="preserve"> </w:t>
      </w:r>
      <w:r w:rsidRPr="00B969D9">
        <w:rPr>
          <w:rFonts w:ascii="Arial" w:hAnsi="Arial" w:cs="Arial"/>
          <w:i/>
          <w:iCs/>
          <w:sz w:val="20"/>
        </w:rPr>
        <w:t>Journal of Nanostructures</w:t>
      </w:r>
      <w:r>
        <w:rPr>
          <w:rFonts w:ascii="Arial" w:hAnsi="Arial" w:cs="Arial"/>
          <w:i/>
          <w:iCs/>
          <w:sz w:val="20"/>
        </w:rPr>
        <w:t>,</w:t>
      </w:r>
      <w:r w:rsidRPr="00B969D9">
        <w:rPr>
          <w:rFonts w:ascii="Arial" w:hAnsi="Arial" w:cs="Arial"/>
          <w:sz w:val="20"/>
        </w:rPr>
        <w:t xml:space="preserve"> 3(2)</w:t>
      </w:r>
      <w:r>
        <w:rPr>
          <w:rFonts w:ascii="Arial" w:hAnsi="Arial" w:cs="Arial"/>
          <w:sz w:val="20"/>
        </w:rPr>
        <w:t xml:space="preserve">, </w:t>
      </w:r>
      <w:r w:rsidRPr="00B969D9">
        <w:rPr>
          <w:rFonts w:ascii="Arial" w:hAnsi="Arial" w:cs="Arial"/>
          <w:sz w:val="20"/>
        </w:rPr>
        <w:t xml:space="preserve">219–25. </w:t>
      </w:r>
    </w:p>
    <w:p w14:paraId="4A2880E7"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Igwegbe, C</w:t>
      </w:r>
      <w:r>
        <w:rPr>
          <w:rFonts w:ascii="Arial" w:hAnsi="Arial" w:cs="Arial"/>
          <w:sz w:val="20"/>
        </w:rPr>
        <w:t>.</w:t>
      </w:r>
      <w:r w:rsidRPr="00B969D9">
        <w:rPr>
          <w:rFonts w:ascii="Arial" w:hAnsi="Arial" w:cs="Arial"/>
          <w:sz w:val="20"/>
        </w:rPr>
        <w:t xml:space="preserve"> A</w:t>
      </w:r>
      <w:r>
        <w:rPr>
          <w:rFonts w:ascii="Arial" w:hAnsi="Arial" w:cs="Arial"/>
          <w:sz w:val="20"/>
        </w:rPr>
        <w:t>.</w:t>
      </w:r>
      <w:r w:rsidRPr="00B969D9">
        <w:rPr>
          <w:rFonts w:ascii="Arial" w:hAnsi="Arial" w:cs="Arial"/>
          <w:sz w:val="20"/>
        </w:rPr>
        <w:t>, and Okechukwu D</w:t>
      </w:r>
      <w:r>
        <w:rPr>
          <w:rFonts w:ascii="Arial" w:hAnsi="Arial" w:cs="Arial"/>
          <w:sz w:val="20"/>
        </w:rPr>
        <w:t>.</w:t>
      </w:r>
      <w:r w:rsidRPr="00B969D9">
        <w:rPr>
          <w:rFonts w:ascii="Arial" w:hAnsi="Arial" w:cs="Arial"/>
          <w:sz w:val="20"/>
        </w:rPr>
        <w:t xml:space="preserve"> O. </w:t>
      </w:r>
      <w:r>
        <w:rPr>
          <w:rFonts w:ascii="Arial" w:hAnsi="Arial" w:cs="Arial"/>
          <w:sz w:val="20"/>
        </w:rPr>
        <w:t>(</w:t>
      </w:r>
      <w:r w:rsidRPr="00B969D9">
        <w:rPr>
          <w:rFonts w:ascii="Arial" w:hAnsi="Arial" w:cs="Arial"/>
          <w:sz w:val="20"/>
        </w:rPr>
        <w:t>2019</w:t>
      </w:r>
      <w:r>
        <w:rPr>
          <w:rFonts w:ascii="Arial" w:hAnsi="Arial" w:cs="Arial"/>
          <w:sz w:val="20"/>
        </w:rPr>
        <w:t>)</w:t>
      </w:r>
      <w:r w:rsidRPr="00B969D9">
        <w:rPr>
          <w:rFonts w:ascii="Arial" w:hAnsi="Arial" w:cs="Arial"/>
          <w:sz w:val="20"/>
        </w:rPr>
        <w:t xml:space="preserve">. Removal of Total Dissolved Solids (TDS) from Aquaculture Wastewater by Coagulation-Flocculation Process Using Sesamum Indicum Extract: Effect of Operating Parameters and Coagulation-Flocculation Kinetics. </w:t>
      </w:r>
      <w:r w:rsidRPr="005B72DC">
        <w:rPr>
          <w:rFonts w:ascii="Arial" w:hAnsi="Arial" w:cs="Arial"/>
          <w:i/>
          <w:iCs/>
          <w:sz w:val="20"/>
        </w:rPr>
        <w:t>The Pharmaceutical and Chemical Journal, 2019, 6(4)</w:t>
      </w:r>
      <w:r>
        <w:rPr>
          <w:rFonts w:ascii="Arial" w:hAnsi="Arial" w:cs="Arial"/>
          <w:i/>
          <w:iCs/>
          <w:sz w:val="20"/>
        </w:rPr>
        <w:t xml:space="preserve">, </w:t>
      </w:r>
      <w:r w:rsidRPr="005B72DC">
        <w:rPr>
          <w:rFonts w:ascii="Arial" w:hAnsi="Arial" w:cs="Arial"/>
          <w:i/>
          <w:iCs/>
          <w:sz w:val="20"/>
        </w:rPr>
        <w:t>32-45</w:t>
      </w:r>
      <w:r w:rsidRPr="00B969D9">
        <w:rPr>
          <w:rFonts w:ascii="Arial" w:hAnsi="Arial" w:cs="Arial"/>
          <w:sz w:val="20"/>
        </w:rPr>
        <w:t xml:space="preserve">. </w:t>
      </w:r>
    </w:p>
    <w:p w14:paraId="0EE5F271" w14:textId="77777777" w:rsidR="00B64DAD" w:rsidRPr="00540F81" w:rsidRDefault="00B64DAD" w:rsidP="00B64DAD">
      <w:pPr>
        <w:pStyle w:val="Bibliography"/>
        <w:jc w:val="both"/>
        <w:rPr>
          <w:rFonts w:ascii="Arial" w:hAnsi="Arial" w:cs="Arial"/>
          <w:sz w:val="20"/>
          <w:lang w:val="fr-FR"/>
        </w:rPr>
      </w:pPr>
      <w:r w:rsidRPr="00B969D9">
        <w:rPr>
          <w:rFonts w:ascii="Arial" w:hAnsi="Arial" w:cs="Arial"/>
          <w:sz w:val="20"/>
        </w:rPr>
        <w:t>Joseph, L</w:t>
      </w:r>
      <w:r>
        <w:rPr>
          <w:rFonts w:ascii="Arial" w:hAnsi="Arial" w:cs="Arial"/>
          <w:sz w:val="20"/>
        </w:rPr>
        <w:t>.</w:t>
      </w:r>
      <w:r w:rsidRPr="00B969D9">
        <w:rPr>
          <w:rFonts w:ascii="Arial" w:hAnsi="Arial" w:cs="Arial"/>
          <w:sz w:val="20"/>
        </w:rPr>
        <w:t>, Joseph R</w:t>
      </w:r>
      <w:r>
        <w:rPr>
          <w:rFonts w:ascii="Arial" w:hAnsi="Arial" w:cs="Arial"/>
          <w:sz w:val="20"/>
        </w:rPr>
        <w:t>.</w:t>
      </w:r>
      <w:r w:rsidRPr="00B969D9">
        <w:rPr>
          <w:rFonts w:ascii="Arial" w:hAnsi="Arial" w:cs="Arial"/>
          <w:sz w:val="20"/>
        </w:rPr>
        <w:t>F</w:t>
      </w:r>
      <w:r>
        <w:rPr>
          <w:rFonts w:ascii="Arial" w:hAnsi="Arial" w:cs="Arial"/>
          <w:sz w:val="20"/>
        </w:rPr>
        <w:t>.</w:t>
      </w:r>
      <w:r w:rsidRPr="00B969D9">
        <w:rPr>
          <w:rFonts w:ascii="Arial" w:hAnsi="Arial" w:cs="Arial"/>
          <w:sz w:val="20"/>
        </w:rPr>
        <w:t>, Yong-Gyun P</w:t>
      </w:r>
      <w:r>
        <w:rPr>
          <w:rFonts w:ascii="Arial" w:hAnsi="Arial" w:cs="Arial"/>
          <w:sz w:val="20"/>
        </w:rPr>
        <w:t>.</w:t>
      </w:r>
      <w:r w:rsidRPr="00B969D9">
        <w:rPr>
          <w:rFonts w:ascii="Arial" w:hAnsi="Arial" w:cs="Arial"/>
          <w:sz w:val="20"/>
        </w:rPr>
        <w:t xml:space="preserve">, </w:t>
      </w:r>
      <w:r>
        <w:rPr>
          <w:rFonts w:ascii="Arial" w:hAnsi="Arial" w:cs="Arial"/>
          <w:sz w:val="20"/>
        </w:rPr>
        <w:t>et al</w:t>
      </w:r>
      <w:r w:rsidRPr="00B969D9">
        <w:rPr>
          <w:rFonts w:ascii="Arial" w:hAnsi="Arial" w:cs="Arial"/>
          <w:sz w:val="20"/>
        </w:rPr>
        <w:t xml:space="preserve">. </w:t>
      </w:r>
      <w:r>
        <w:rPr>
          <w:rFonts w:ascii="Arial" w:hAnsi="Arial" w:cs="Arial"/>
          <w:sz w:val="20"/>
        </w:rPr>
        <w:t>(</w:t>
      </w:r>
      <w:r w:rsidRPr="00B969D9">
        <w:rPr>
          <w:rFonts w:ascii="Arial" w:hAnsi="Arial" w:cs="Arial"/>
          <w:sz w:val="20"/>
        </w:rPr>
        <w:t>2012</w:t>
      </w:r>
      <w:r>
        <w:rPr>
          <w:rFonts w:ascii="Arial" w:hAnsi="Arial" w:cs="Arial"/>
          <w:sz w:val="20"/>
        </w:rPr>
        <w:t>)</w:t>
      </w:r>
      <w:r w:rsidRPr="00B969D9">
        <w:rPr>
          <w:rFonts w:ascii="Arial" w:hAnsi="Arial" w:cs="Arial"/>
          <w:sz w:val="20"/>
        </w:rPr>
        <w:t xml:space="preserve">. Removal of Natural Organic Matter from Potential Drinking Water Sources by Combined Coagulation and Adsorption Using Carbon Nanomaterials. </w:t>
      </w:r>
      <w:r w:rsidRPr="00540F81">
        <w:rPr>
          <w:rFonts w:ascii="Arial" w:hAnsi="Arial" w:cs="Arial"/>
          <w:i/>
          <w:iCs/>
          <w:sz w:val="20"/>
          <w:lang w:val="fr-FR"/>
        </w:rPr>
        <w:t>Separation and Purification Technology,</w:t>
      </w:r>
      <w:r w:rsidRPr="00540F81">
        <w:rPr>
          <w:rFonts w:ascii="Arial" w:hAnsi="Arial" w:cs="Arial"/>
          <w:sz w:val="20"/>
          <w:lang w:val="fr-FR"/>
        </w:rPr>
        <w:t xml:space="preserve"> 95, 64–72. </w:t>
      </w:r>
    </w:p>
    <w:p w14:paraId="26928855" w14:textId="77777777" w:rsidR="00B64DAD" w:rsidRPr="00B969D9" w:rsidRDefault="00B64DAD" w:rsidP="00B64DAD">
      <w:pPr>
        <w:pStyle w:val="Bibliography"/>
        <w:jc w:val="both"/>
        <w:rPr>
          <w:rFonts w:ascii="Arial" w:hAnsi="Arial" w:cs="Arial"/>
          <w:sz w:val="20"/>
        </w:rPr>
      </w:pPr>
      <w:r w:rsidRPr="005B72DC">
        <w:rPr>
          <w:rFonts w:ascii="Arial" w:hAnsi="Arial" w:cs="Arial"/>
          <w:sz w:val="20"/>
          <w:lang w:val="fr-FR"/>
        </w:rPr>
        <w:t>Kifuani, K. M</w:t>
      </w:r>
      <w:r>
        <w:rPr>
          <w:rFonts w:ascii="Arial" w:hAnsi="Arial" w:cs="Arial"/>
          <w:sz w:val="20"/>
          <w:lang w:val="fr-FR"/>
        </w:rPr>
        <w:t>.</w:t>
      </w:r>
      <w:r w:rsidRPr="005B72DC">
        <w:rPr>
          <w:rFonts w:ascii="Arial" w:hAnsi="Arial" w:cs="Arial"/>
          <w:sz w:val="20"/>
          <w:lang w:val="fr-FR"/>
        </w:rPr>
        <w:t>, Anatole Kifuani K</w:t>
      </w:r>
      <w:r>
        <w:rPr>
          <w:rFonts w:ascii="Arial" w:hAnsi="Arial" w:cs="Arial"/>
          <w:sz w:val="20"/>
          <w:lang w:val="fr-FR"/>
        </w:rPr>
        <w:t>.</w:t>
      </w:r>
      <w:r w:rsidRPr="005B72DC">
        <w:rPr>
          <w:rFonts w:ascii="Arial" w:hAnsi="Arial" w:cs="Arial"/>
          <w:sz w:val="20"/>
          <w:lang w:val="fr-FR"/>
        </w:rPr>
        <w:t xml:space="preserve"> M</w:t>
      </w:r>
      <w:r>
        <w:rPr>
          <w:rFonts w:ascii="Arial" w:hAnsi="Arial" w:cs="Arial"/>
          <w:sz w:val="20"/>
          <w:lang w:val="fr-FR"/>
        </w:rPr>
        <w:t>.</w:t>
      </w:r>
      <w:r w:rsidRPr="005B72DC">
        <w:rPr>
          <w:rFonts w:ascii="Arial" w:hAnsi="Arial" w:cs="Arial"/>
          <w:sz w:val="20"/>
          <w:lang w:val="fr-FR"/>
        </w:rPr>
        <w:t>, Philippe N</w:t>
      </w:r>
      <w:r>
        <w:rPr>
          <w:rFonts w:ascii="Arial" w:hAnsi="Arial" w:cs="Arial"/>
          <w:sz w:val="20"/>
          <w:lang w:val="fr-FR"/>
        </w:rPr>
        <w:t>.</w:t>
      </w:r>
      <w:r w:rsidRPr="005B72DC">
        <w:rPr>
          <w:rFonts w:ascii="Arial" w:hAnsi="Arial" w:cs="Arial"/>
          <w:sz w:val="20"/>
          <w:lang w:val="fr-FR"/>
        </w:rPr>
        <w:t xml:space="preserve"> V</w:t>
      </w:r>
      <w:r>
        <w:rPr>
          <w:rFonts w:ascii="Arial" w:hAnsi="Arial" w:cs="Arial"/>
          <w:sz w:val="20"/>
          <w:lang w:val="fr-FR"/>
        </w:rPr>
        <w:t>.</w:t>
      </w:r>
      <w:r w:rsidRPr="005B72DC">
        <w:rPr>
          <w:rFonts w:ascii="Arial" w:hAnsi="Arial" w:cs="Arial"/>
          <w:sz w:val="20"/>
          <w:lang w:val="fr-FR"/>
        </w:rPr>
        <w:t xml:space="preserve">, et al. 2018. </w:t>
      </w:r>
      <w:r w:rsidRPr="00B969D9">
        <w:rPr>
          <w:rFonts w:ascii="Arial" w:hAnsi="Arial" w:cs="Arial"/>
          <w:sz w:val="20"/>
          <w:lang w:val="fr-FR"/>
        </w:rPr>
        <w:t>Adsorption d’un Colorant Basique, Bleu de Méthyl</w:t>
      </w:r>
      <w:r>
        <w:rPr>
          <w:rFonts w:ascii="Arial" w:hAnsi="Arial" w:cs="Arial"/>
          <w:sz w:val="20"/>
          <w:lang w:val="fr-FR"/>
        </w:rPr>
        <w:t>è</w:t>
      </w:r>
      <w:r w:rsidRPr="00B969D9">
        <w:rPr>
          <w:rFonts w:ascii="Arial" w:hAnsi="Arial" w:cs="Arial"/>
          <w:sz w:val="20"/>
          <w:lang w:val="fr-FR"/>
        </w:rPr>
        <w:t xml:space="preserve">ne, En Solution Aqueuse, Sur Un Bioadsorbant Issu de Déchets Agricoles de Cucumeropsis Mannii Naudin. </w:t>
      </w:r>
      <w:r w:rsidRPr="00B969D9">
        <w:rPr>
          <w:rFonts w:ascii="Arial" w:hAnsi="Arial" w:cs="Arial"/>
          <w:i/>
          <w:iCs/>
          <w:sz w:val="20"/>
        </w:rPr>
        <w:t>International Journal of Biological and Chemical Sciences</w:t>
      </w:r>
      <w:r>
        <w:rPr>
          <w:rFonts w:ascii="Arial" w:hAnsi="Arial" w:cs="Arial"/>
          <w:i/>
          <w:iCs/>
          <w:sz w:val="20"/>
        </w:rPr>
        <w:t>,</w:t>
      </w:r>
      <w:r w:rsidRPr="00B969D9">
        <w:rPr>
          <w:rFonts w:ascii="Arial" w:hAnsi="Arial" w:cs="Arial"/>
          <w:sz w:val="20"/>
        </w:rPr>
        <w:t xml:space="preserve"> 12 (1): 558–75.</w:t>
      </w:r>
    </w:p>
    <w:p w14:paraId="5E84EFF5" w14:textId="77777777" w:rsidR="00B64DAD" w:rsidRPr="00540F81" w:rsidRDefault="00B64DAD" w:rsidP="00B64DAD">
      <w:pPr>
        <w:pStyle w:val="Bibliography"/>
        <w:jc w:val="both"/>
        <w:rPr>
          <w:rFonts w:ascii="Arial" w:hAnsi="Arial" w:cs="Arial"/>
          <w:sz w:val="20"/>
          <w:lang w:val="fr-FR"/>
        </w:rPr>
      </w:pPr>
      <w:r w:rsidRPr="00B969D9">
        <w:rPr>
          <w:rFonts w:ascii="Arial" w:hAnsi="Arial" w:cs="Arial"/>
          <w:sz w:val="20"/>
        </w:rPr>
        <w:t>Lin, J-L</w:t>
      </w:r>
      <w:r>
        <w:rPr>
          <w:rFonts w:ascii="Arial" w:hAnsi="Arial" w:cs="Arial"/>
          <w:sz w:val="20"/>
        </w:rPr>
        <w:t>.</w:t>
      </w:r>
      <w:r w:rsidRPr="00B969D9">
        <w:rPr>
          <w:rFonts w:ascii="Arial" w:hAnsi="Arial" w:cs="Arial"/>
          <w:sz w:val="20"/>
        </w:rPr>
        <w:t>, and Aldeno R</w:t>
      </w:r>
      <w:r>
        <w:rPr>
          <w:rFonts w:ascii="Arial" w:hAnsi="Arial" w:cs="Arial"/>
          <w:sz w:val="20"/>
        </w:rPr>
        <w:t>.</w:t>
      </w:r>
      <w:r w:rsidRPr="00B969D9">
        <w:rPr>
          <w:rFonts w:ascii="Arial" w:hAnsi="Arial" w:cs="Arial"/>
          <w:sz w:val="20"/>
        </w:rPr>
        <w:t xml:space="preserve"> I. </w:t>
      </w:r>
      <w:r>
        <w:rPr>
          <w:rFonts w:ascii="Arial" w:hAnsi="Arial" w:cs="Arial"/>
          <w:sz w:val="20"/>
        </w:rPr>
        <w:t>(</w:t>
      </w:r>
      <w:r w:rsidRPr="00B969D9">
        <w:rPr>
          <w:rFonts w:ascii="Arial" w:hAnsi="Arial" w:cs="Arial"/>
          <w:sz w:val="20"/>
        </w:rPr>
        <w:t>2019</w:t>
      </w:r>
      <w:r>
        <w:rPr>
          <w:rFonts w:ascii="Arial" w:hAnsi="Arial" w:cs="Arial"/>
          <w:sz w:val="20"/>
        </w:rPr>
        <w:t>)</w:t>
      </w:r>
      <w:r w:rsidRPr="00B969D9">
        <w:rPr>
          <w:rFonts w:ascii="Arial" w:hAnsi="Arial" w:cs="Arial"/>
          <w:sz w:val="20"/>
        </w:rPr>
        <w:t>. Enhanced Coagulation of Low Turbid Water for Drinking Water Treatment: Dosing Approach on Floc Formation and Residuals Minimization.</w:t>
      </w:r>
      <w:r>
        <w:rPr>
          <w:rFonts w:ascii="Arial" w:hAnsi="Arial" w:cs="Arial"/>
          <w:sz w:val="20"/>
        </w:rPr>
        <w:t xml:space="preserve"> </w:t>
      </w:r>
      <w:r w:rsidRPr="00540F81">
        <w:rPr>
          <w:rFonts w:ascii="Arial" w:hAnsi="Arial" w:cs="Arial"/>
          <w:i/>
          <w:iCs/>
          <w:sz w:val="20"/>
          <w:lang w:val="fr-FR"/>
        </w:rPr>
        <w:t>Environmental Engineering Science,</w:t>
      </w:r>
      <w:r w:rsidRPr="00540F81">
        <w:rPr>
          <w:rFonts w:ascii="Arial" w:hAnsi="Arial" w:cs="Arial"/>
          <w:sz w:val="20"/>
          <w:lang w:val="fr-FR"/>
        </w:rPr>
        <w:t xml:space="preserve"> 36(6), 732–738. https://doi.org/10.1089/ees.2018.0430.</w:t>
      </w:r>
    </w:p>
    <w:p w14:paraId="2CF663FF" w14:textId="77777777" w:rsidR="00B64DAD" w:rsidRPr="00B969D9" w:rsidRDefault="00B64DAD" w:rsidP="00B64DAD">
      <w:pPr>
        <w:pStyle w:val="Bibliography"/>
        <w:jc w:val="both"/>
        <w:rPr>
          <w:rFonts w:ascii="Arial" w:hAnsi="Arial" w:cs="Arial"/>
          <w:sz w:val="20"/>
          <w:lang w:val="fr-FR"/>
        </w:rPr>
      </w:pPr>
      <w:r w:rsidRPr="00834BC2">
        <w:rPr>
          <w:rFonts w:ascii="Arial" w:hAnsi="Arial" w:cs="Arial"/>
          <w:sz w:val="20"/>
          <w:lang w:val="fr-FR"/>
        </w:rPr>
        <w:t xml:space="preserve">Mansour, H. B., Oualid B., Dorra D., et al. </w:t>
      </w:r>
      <w:r>
        <w:rPr>
          <w:rFonts w:ascii="Arial" w:hAnsi="Arial" w:cs="Arial"/>
          <w:sz w:val="20"/>
          <w:lang w:val="fr-FR"/>
        </w:rPr>
        <w:t>(</w:t>
      </w:r>
      <w:r w:rsidRPr="00B969D9">
        <w:rPr>
          <w:rFonts w:ascii="Arial" w:hAnsi="Arial" w:cs="Arial"/>
          <w:sz w:val="20"/>
          <w:lang w:val="fr-FR"/>
        </w:rPr>
        <w:t>2011</w:t>
      </w:r>
      <w:r>
        <w:rPr>
          <w:rFonts w:ascii="Arial" w:hAnsi="Arial" w:cs="Arial"/>
          <w:sz w:val="20"/>
          <w:lang w:val="fr-FR"/>
        </w:rPr>
        <w:t>)</w:t>
      </w:r>
      <w:r w:rsidRPr="00B969D9">
        <w:rPr>
          <w:rFonts w:ascii="Arial" w:hAnsi="Arial" w:cs="Arial"/>
          <w:sz w:val="20"/>
          <w:lang w:val="fr-FR"/>
        </w:rPr>
        <w:t xml:space="preserve">. Les colorants textiles sources de contamination de l’eau : Criblage de la toxicité et des méthodes de traitement. </w:t>
      </w:r>
      <w:r w:rsidRPr="00B969D9">
        <w:rPr>
          <w:rFonts w:ascii="Arial" w:hAnsi="Arial" w:cs="Arial"/>
          <w:i/>
          <w:iCs/>
          <w:sz w:val="20"/>
          <w:lang w:val="fr-FR"/>
        </w:rPr>
        <w:t>Revue des sciences de l’eau</w:t>
      </w:r>
      <w:r w:rsidRPr="00B969D9">
        <w:rPr>
          <w:rFonts w:ascii="Arial" w:hAnsi="Arial" w:cs="Arial"/>
          <w:sz w:val="20"/>
          <w:lang w:val="fr-FR"/>
        </w:rPr>
        <w:t xml:space="preserve"> 24 (3)</w:t>
      </w:r>
      <w:r>
        <w:rPr>
          <w:rFonts w:ascii="Arial" w:hAnsi="Arial" w:cs="Arial"/>
          <w:sz w:val="20"/>
          <w:lang w:val="fr-FR"/>
        </w:rPr>
        <w:t xml:space="preserve">, </w:t>
      </w:r>
      <w:r w:rsidRPr="00B969D9">
        <w:rPr>
          <w:rFonts w:ascii="Arial" w:hAnsi="Arial" w:cs="Arial"/>
          <w:sz w:val="20"/>
          <w:lang w:val="fr-FR"/>
        </w:rPr>
        <w:t>209–</w:t>
      </w:r>
      <w:r>
        <w:rPr>
          <w:rFonts w:ascii="Arial" w:hAnsi="Arial" w:cs="Arial"/>
          <w:sz w:val="20"/>
          <w:lang w:val="fr-FR"/>
        </w:rPr>
        <w:t>2</w:t>
      </w:r>
      <w:r w:rsidRPr="00B969D9">
        <w:rPr>
          <w:rFonts w:ascii="Arial" w:hAnsi="Arial" w:cs="Arial"/>
          <w:sz w:val="20"/>
          <w:lang w:val="fr-FR"/>
        </w:rPr>
        <w:t>38. https://doi.org/10.7202/1006453ar.</w:t>
      </w:r>
    </w:p>
    <w:p w14:paraId="0366E6E3" w14:textId="77777777" w:rsidR="00B64DAD" w:rsidRPr="00B969D9" w:rsidRDefault="00B64DAD" w:rsidP="00B64DAD">
      <w:pPr>
        <w:pStyle w:val="Bibliography"/>
        <w:jc w:val="both"/>
        <w:rPr>
          <w:rFonts w:ascii="Arial" w:hAnsi="Arial" w:cs="Arial"/>
          <w:sz w:val="20"/>
        </w:rPr>
      </w:pPr>
      <w:r w:rsidRPr="00834BC2">
        <w:rPr>
          <w:rFonts w:ascii="Arial" w:hAnsi="Arial" w:cs="Arial"/>
          <w:sz w:val="20"/>
          <w:lang w:val="fr-FR"/>
        </w:rPr>
        <w:t>Masoud, M., Maged El O., Abdulaziz</w:t>
      </w:r>
      <w:r>
        <w:rPr>
          <w:rFonts w:ascii="Arial" w:hAnsi="Arial" w:cs="Arial"/>
          <w:sz w:val="20"/>
          <w:lang w:val="fr-FR"/>
        </w:rPr>
        <w:t xml:space="preserve">, </w:t>
      </w:r>
      <w:r w:rsidRPr="00834BC2">
        <w:rPr>
          <w:rFonts w:ascii="Arial" w:hAnsi="Arial" w:cs="Arial"/>
          <w:sz w:val="20"/>
          <w:lang w:val="fr-FR"/>
        </w:rPr>
        <w:t xml:space="preserve">A., et al. </w:t>
      </w:r>
      <w:r w:rsidRPr="00834BC2">
        <w:rPr>
          <w:rFonts w:ascii="Arial" w:hAnsi="Arial" w:cs="Arial"/>
          <w:sz w:val="20"/>
        </w:rPr>
        <w:t xml:space="preserve">(2022). </w:t>
      </w:r>
      <w:r w:rsidRPr="00B969D9">
        <w:rPr>
          <w:rFonts w:ascii="Arial" w:hAnsi="Arial" w:cs="Arial"/>
          <w:sz w:val="20"/>
        </w:rPr>
        <w:t xml:space="preserve">Evaluation of Groundwater Quality for Agricultural under Different Conditions Using Water Quality Indices, Partial Least Squares Regression Models, and GIS Approaches. </w:t>
      </w:r>
      <w:r w:rsidRPr="00B969D9">
        <w:rPr>
          <w:rFonts w:ascii="Arial" w:hAnsi="Arial" w:cs="Arial"/>
          <w:i/>
          <w:iCs/>
          <w:sz w:val="20"/>
        </w:rPr>
        <w:t>Applied Water Science</w:t>
      </w:r>
      <w:r w:rsidRPr="00B969D9">
        <w:rPr>
          <w:rFonts w:ascii="Arial" w:hAnsi="Arial" w:cs="Arial"/>
          <w:sz w:val="20"/>
        </w:rPr>
        <w:t xml:space="preserve"> (Cham)</w:t>
      </w:r>
      <w:r>
        <w:rPr>
          <w:rFonts w:ascii="Arial" w:hAnsi="Arial" w:cs="Arial"/>
          <w:sz w:val="20"/>
        </w:rPr>
        <w:t>,</w:t>
      </w:r>
      <w:r w:rsidRPr="00B969D9">
        <w:rPr>
          <w:rFonts w:ascii="Arial" w:hAnsi="Arial" w:cs="Arial"/>
          <w:sz w:val="20"/>
        </w:rPr>
        <w:t xml:space="preserve"> 12(10)</w:t>
      </w:r>
      <w:r>
        <w:rPr>
          <w:rFonts w:ascii="Arial" w:hAnsi="Arial" w:cs="Arial"/>
          <w:sz w:val="20"/>
        </w:rPr>
        <w:t xml:space="preserve">, </w:t>
      </w:r>
      <w:r w:rsidRPr="00B969D9">
        <w:rPr>
          <w:rFonts w:ascii="Arial" w:hAnsi="Arial" w:cs="Arial"/>
          <w:sz w:val="20"/>
        </w:rPr>
        <w:t>1–22. https://doi.org/10.1007/s13201-022-01770-9.</w:t>
      </w:r>
    </w:p>
    <w:p w14:paraId="1DB43D40"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Meyer, J</w:t>
      </w:r>
      <w:r>
        <w:rPr>
          <w:rFonts w:ascii="Arial" w:hAnsi="Arial" w:cs="Arial"/>
          <w:sz w:val="20"/>
        </w:rPr>
        <w:t xml:space="preserve">. </w:t>
      </w:r>
      <w:r w:rsidRPr="00B969D9">
        <w:rPr>
          <w:rFonts w:ascii="Arial" w:hAnsi="Arial" w:cs="Arial"/>
          <w:sz w:val="20"/>
        </w:rPr>
        <w:t>A., and Norman H. C</w:t>
      </w:r>
      <w:r>
        <w:rPr>
          <w:rFonts w:ascii="Arial" w:hAnsi="Arial" w:cs="Arial"/>
          <w:sz w:val="20"/>
        </w:rPr>
        <w:t>.</w:t>
      </w:r>
      <w:r w:rsidRPr="00B969D9">
        <w:rPr>
          <w:rFonts w:ascii="Arial" w:hAnsi="Arial" w:cs="Arial"/>
          <w:sz w:val="20"/>
        </w:rPr>
        <w:t xml:space="preserve"> </w:t>
      </w:r>
      <w:r>
        <w:rPr>
          <w:rFonts w:ascii="Arial" w:hAnsi="Arial" w:cs="Arial"/>
          <w:sz w:val="20"/>
        </w:rPr>
        <w:t>(</w:t>
      </w:r>
      <w:r w:rsidRPr="00B969D9">
        <w:rPr>
          <w:rFonts w:ascii="Arial" w:hAnsi="Arial" w:cs="Arial"/>
          <w:sz w:val="20"/>
        </w:rPr>
        <w:t>2012</w:t>
      </w:r>
      <w:r>
        <w:rPr>
          <w:rFonts w:ascii="Arial" w:hAnsi="Arial" w:cs="Arial"/>
          <w:sz w:val="20"/>
        </w:rPr>
        <w:t>)</w:t>
      </w:r>
      <w:r w:rsidRPr="00B969D9">
        <w:rPr>
          <w:rFonts w:ascii="Arial" w:hAnsi="Arial" w:cs="Arial"/>
          <w:sz w:val="20"/>
        </w:rPr>
        <w:t>. Establishing Risk Assessment on Water Quality for Livestock.</w:t>
      </w:r>
      <w:r>
        <w:rPr>
          <w:rFonts w:ascii="Arial" w:hAnsi="Arial" w:cs="Arial"/>
          <w:sz w:val="20"/>
        </w:rPr>
        <w:t xml:space="preserve"> </w:t>
      </w:r>
      <w:r w:rsidRPr="00B969D9">
        <w:rPr>
          <w:rFonts w:ascii="Arial" w:hAnsi="Arial" w:cs="Arial"/>
          <w:i/>
          <w:iCs/>
          <w:sz w:val="20"/>
        </w:rPr>
        <w:t>Animal Frontiers</w:t>
      </w:r>
      <w:r>
        <w:rPr>
          <w:rFonts w:ascii="Arial" w:hAnsi="Arial" w:cs="Arial"/>
          <w:i/>
          <w:iCs/>
          <w:sz w:val="20"/>
        </w:rPr>
        <w:t>,</w:t>
      </w:r>
      <w:r w:rsidRPr="00B969D9">
        <w:rPr>
          <w:rFonts w:ascii="Arial" w:hAnsi="Arial" w:cs="Arial"/>
          <w:sz w:val="20"/>
        </w:rPr>
        <w:t xml:space="preserve"> 2(2)</w:t>
      </w:r>
      <w:r>
        <w:rPr>
          <w:rFonts w:ascii="Arial" w:hAnsi="Arial" w:cs="Arial"/>
          <w:sz w:val="20"/>
        </w:rPr>
        <w:t xml:space="preserve">, </w:t>
      </w:r>
      <w:r w:rsidRPr="00B969D9">
        <w:rPr>
          <w:rFonts w:ascii="Arial" w:hAnsi="Arial" w:cs="Arial"/>
          <w:sz w:val="20"/>
        </w:rPr>
        <w:t>44–49. https://doi.org/10.2527/af.2012-0041.</w:t>
      </w:r>
    </w:p>
    <w:p w14:paraId="269E8F3A"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Mishra, Anuradha, and Malvika B</w:t>
      </w:r>
      <w:r>
        <w:rPr>
          <w:rFonts w:ascii="Arial" w:hAnsi="Arial" w:cs="Arial"/>
          <w:sz w:val="20"/>
        </w:rPr>
        <w:t>.</w:t>
      </w:r>
      <w:r w:rsidRPr="00B969D9">
        <w:rPr>
          <w:rFonts w:ascii="Arial" w:hAnsi="Arial" w:cs="Arial"/>
          <w:sz w:val="20"/>
        </w:rPr>
        <w:t xml:space="preserve"> </w:t>
      </w:r>
      <w:r>
        <w:rPr>
          <w:rFonts w:ascii="Arial" w:hAnsi="Arial" w:cs="Arial"/>
          <w:sz w:val="20"/>
        </w:rPr>
        <w:t>(</w:t>
      </w:r>
      <w:r w:rsidRPr="00B969D9">
        <w:rPr>
          <w:rFonts w:ascii="Arial" w:hAnsi="Arial" w:cs="Arial"/>
          <w:sz w:val="20"/>
        </w:rPr>
        <w:t>2005</w:t>
      </w:r>
      <w:r>
        <w:rPr>
          <w:rFonts w:ascii="Arial" w:hAnsi="Arial" w:cs="Arial"/>
          <w:sz w:val="20"/>
        </w:rPr>
        <w:t>)</w:t>
      </w:r>
      <w:r w:rsidRPr="00B969D9">
        <w:rPr>
          <w:rFonts w:ascii="Arial" w:hAnsi="Arial" w:cs="Arial"/>
          <w:sz w:val="20"/>
        </w:rPr>
        <w:t xml:space="preserve">. Flocculation Behaviour of Model Textile Wastewater Treated with a Food Grade Polysaccharide. </w:t>
      </w:r>
      <w:r w:rsidRPr="00B969D9">
        <w:rPr>
          <w:rFonts w:ascii="Arial" w:hAnsi="Arial" w:cs="Arial"/>
          <w:i/>
          <w:iCs/>
          <w:sz w:val="20"/>
        </w:rPr>
        <w:t>Journal of Hazardous Materials</w:t>
      </w:r>
      <w:r>
        <w:rPr>
          <w:rFonts w:ascii="Arial" w:hAnsi="Arial" w:cs="Arial"/>
          <w:i/>
          <w:iCs/>
          <w:sz w:val="20"/>
        </w:rPr>
        <w:t>,</w:t>
      </w:r>
      <w:r w:rsidRPr="00B969D9">
        <w:rPr>
          <w:rFonts w:ascii="Arial" w:hAnsi="Arial" w:cs="Arial"/>
          <w:sz w:val="20"/>
        </w:rPr>
        <w:t xml:space="preserve"> 118(1–3)</w:t>
      </w:r>
      <w:r>
        <w:rPr>
          <w:rFonts w:ascii="Arial" w:hAnsi="Arial" w:cs="Arial"/>
          <w:sz w:val="20"/>
        </w:rPr>
        <w:t>,</w:t>
      </w:r>
      <w:r w:rsidRPr="00B969D9">
        <w:rPr>
          <w:rFonts w:ascii="Arial" w:hAnsi="Arial" w:cs="Arial"/>
          <w:sz w:val="20"/>
        </w:rPr>
        <w:t xml:space="preserve"> 213–</w:t>
      </w:r>
      <w:r>
        <w:rPr>
          <w:rFonts w:ascii="Arial" w:hAnsi="Arial" w:cs="Arial"/>
          <w:sz w:val="20"/>
        </w:rPr>
        <w:t>2</w:t>
      </w:r>
      <w:r w:rsidRPr="00B969D9">
        <w:rPr>
          <w:rFonts w:ascii="Arial" w:hAnsi="Arial" w:cs="Arial"/>
          <w:sz w:val="20"/>
        </w:rPr>
        <w:t>17. https://www.sciencedirect.com/science/article/pii/S0304389404005631.</w:t>
      </w:r>
    </w:p>
    <w:p w14:paraId="2BE968C8"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lastRenderedPageBreak/>
        <w:t>Moghaddam, S. S</w:t>
      </w:r>
      <w:r>
        <w:rPr>
          <w:rFonts w:ascii="Arial" w:hAnsi="Arial" w:cs="Arial"/>
          <w:sz w:val="20"/>
        </w:rPr>
        <w:t>.</w:t>
      </w:r>
      <w:r w:rsidRPr="00B969D9">
        <w:rPr>
          <w:rFonts w:ascii="Arial" w:hAnsi="Arial" w:cs="Arial"/>
          <w:sz w:val="20"/>
        </w:rPr>
        <w:t>, Moghaddam MR A</w:t>
      </w:r>
      <w:r>
        <w:rPr>
          <w:rFonts w:ascii="Arial" w:hAnsi="Arial" w:cs="Arial"/>
          <w:sz w:val="20"/>
        </w:rPr>
        <w:t>.</w:t>
      </w:r>
      <w:r w:rsidRPr="00B969D9">
        <w:rPr>
          <w:rFonts w:ascii="Arial" w:hAnsi="Arial" w:cs="Arial"/>
          <w:sz w:val="20"/>
        </w:rPr>
        <w:t xml:space="preserve">, and Arami M. </w:t>
      </w:r>
      <w:r>
        <w:rPr>
          <w:rFonts w:ascii="Arial" w:hAnsi="Arial" w:cs="Arial"/>
          <w:sz w:val="20"/>
        </w:rPr>
        <w:t>(</w:t>
      </w:r>
      <w:r w:rsidRPr="00B969D9">
        <w:rPr>
          <w:rFonts w:ascii="Arial" w:hAnsi="Arial" w:cs="Arial"/>
          <w:sz w:val="20"/>
        </w:rPr>
        <w:t>2010</w:t>
      </w:r>
      <w:r>
        <w:rPr>
          <w:rFonts w:ascii="Arial" w:hAnsi="Arial" w:cs="Arial"/>
          <w:sz w:val="20"/>
        </w:rPr>
        <w:t>)</w:t>
      </w:r>
      <w:r w:rsidRPr="00B969D9">
        <w:rPr>
          <w:rFonts w:ascii="Arial" w:hAnsi="Arial" w:cs="Arial"/>
          <w:sz w:val="20"/>
        </w:rPr>
        <w:t xml:space="preserve">. Coagulation/Flocculation Process for Dye Removal Using Sludge from Water Treatment Plant: Optimization through Response Surface Methodology. </w:t>
      </w:r>
      <w:r w:rsidRPr="00B969D9">
        <w:rPr>
          <w:rFonts w:ascii="Arial" w:hAnsi="Arial" w:cs="Arial"/>
          <w:i/>
          <w:iCs/>
          <w:sz w:val="20"/>
        </w:rPr>
        <w:t>Journal of Hazardous Materials</w:t>
      </w:r>
      <w:r>
        <w:rPr>
          <w:rFonts w:ascii="Arial" w:hAnsi="Arial" w:cs="Arial"/>
          <w:i/>
          <w:iCs/>
          <w:sz w:val="20"/>
        </w:rPr>
        <w:t>,</w:t>
      </w:r>
      <w:r w:rsidRPr="00B969D9">
        <w:rPr>
          <w:rFonts w:ascii="Arial" w:hAnsi="Arial" w:cs="Arial"/>
          <w:sz w:val="20"/>
        </w:rPr>
        <w:t xml:space="preserve"> 175(1–3)</w:t>
      </w:r>
      <w:r>
        <w:rPr>
          <w:rFonts w:ascii="Arial" w:hAnsi="Arial" w:cs="Arial"/>
          <w:sz w:val="20"/>
        </w:rPr>
        <w:t xml:space="preserve">, </w:t>
      </w:r>
      <w:r w:rsidRPr="00B969D9">
        <w:rPr>
          <w:rFonts w:ascii="Arial" w:hAnsi="Arial" w:cs="Arial"/>
          <w:sz w:val="20"/>
        </w:rPr>
        <w:t xml:space="preserve">651–57. </w:t>
      </w:r>
    </w:p>
    <w:p w14:paraId="346589CA"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Naiya, T</w:t>
      </w:r>
      <w:r>
        <w:rPr>
          <w:rFonts w:ascii="Arial" w:hAnsi="Arial" w:cs="Arial"/>
          <w:sz w:val="20"/>
        </w:rPr>
        <w:t>.</w:t>
      </w:r>
      <w:r w:rsidRPr="00B969D9">
        <w:rPr>
          <w:rFonts w:ascii="Arial" w:hAnsi="Arial" w:cs="Arial"/>
          <w:sz w:val="20"/>
        </w:rPr>
        <w:t xml:space="preserve"> K</w:t>
      </w:r>
      <w:r>
        <w:rPr>
          <w:rFonts w:ascii="Arial" w:hAnsi="Arial" w:cs="Arial"/>
          <w:sz w:val="20"/>
        </w:rPr>
        <w:t>.</w:t>
      </w:r>
      <w:r w:rsidRPr="00B969D9">
        <w:rPr>
          <w:rFonts w:ascii="Arial" w:hAnsi="Arial" w:cs="Arial"/>
          <w:sz w:val="20"/>
        </w:rPr>
        <w:t>, Biswajit S</w:t>
      </w:r>
      <w:r>
        <w:rPr>
          <w:rFonts w:ascii="Arial" w:hAnsi="Arial" w:cs="Arial"/>
          <w:sz w:val="20"/>
        </w:rPr>
        <w:t>.</w:t>
      </w:r>
      <w:r w:rsidRPr="00B969D9">
        <w:rPr>
          <w:rFonts w:ascii="Arial" w:hAnsi="Arial" w:cs="Arial"/>
          <w:sz w:val="20"/>
        </w:rPr>
        <w:t>, Sudip K</w:t>
      </w:r>
      <w:r>
        <w:rPr>
          <w:rFonts w:ascii="Arial" w:hAnsi="Arial" w:cs="Arial"/>
          <w:sz w:val="20"/>
        </w:rPr>
        <w:t>.</w:t>
      </w:r>
      <w:r w:rsidRPr="00B969D9">
        <w:rPr>
          <w:rFonts w:ascii="Arial" w:hAnsi="Arial" w:cs="Arial"/>
          <w:sz w:val="20"/>
        </w:rPr>
        <w:t xml:space="preserve"> D. </w:t>
      </w:r>
      <w:r>
        <w:rPr>
          <w:rFonts w:ascii="Arial" w:hAnsi="Arial" w:cs="Arial"/>
          <w:sz w:val="20"/>
        </w:rPr>
        <w:t>(</w:t>
      </w:r>
      <w:r w:rsidRPr="00B969D9">
        <w:rPr>
          <w:rFonts w:ascii="Arial" w:hAnsi="Arial" w:cs="Arial"/>
          <w:sz w:val="20"/>
        </w:rPr>
        <w:t>2011</w:t>
      </w:r>
      <w:r>
        <w:rPr>
          <w:rFonts w:ascii="Arial" w:hAnsi="Arial" w:cs="Arial"/>
          <w:sz w:val="20"/>
        </w:rPr>
        <w:t>)</w:t>
      </w:r>
      <w:r w:rsidRPr="00B969D9">
        <w:rPr>
          <w:rFonts w:ascii="Arial" w:hAnsi="Arial" w:cs="Arial"/>
          <w:sz w:val="20"/>
        </w:rPr>
        <w:t>. FTIR Study for the Cr</w:t>
      </w:r>
      <w:r>
        <w:rPr>
          <w:rFonts w:ascii="Arial" w:hAnsi="Arial" w:cs="Arial"/>
          <w:sz w:val="20"/>
        </w:rPr>
        <w:t xml:space="preserve"> </w:t>
      </w:r>
      <w:r w:rsidRPr="00B969D9">
        <w:rPr>
          <w:rFonts w:ascii="Arial" w:hAnsi="Arial" w:cs="Arial"/>
          <w:sz w:val="20"/>
        </w:rPr>
        <w:t xml:space="preserve">(VI) Removal from Aqueous Solution Using Rice Waste. </w:t>
      </w:r>
      <w:r w:rsidRPr="00B969D9">
        <w:rPr>
          <w:rFonts w:ascii="Arial" w:hAnsi="Arial" w:cs="Arial"/>
          <w:i/>
          <w:iCs/>
          <w:sz w:val="20"/>
        </w:rPr>
        <w:t>International Conference on Chemistry and Chemical Process</w:t>
      </w:r>
      <w:r>
        <w:rPr>
          <w:rFonts w:ascii="Arial" w:hAnsi="Arial" w:cs="Arial"/>
          <w:sz w:val="20"/>
        </w:rPr>
        <w:t>,</w:t>
      </w:r>
      <w:r w:rsidRPr="00B969D9">
        <w:rPr>
          <w:rFonts w:ascii="Arial" w:hAnsi="Arial" w:cs="Arial"/>
          <w:sz w:val="20"/>
        </w:rPr>
        <w:t>10.</w:t>
      </w:r>
    </w:p>
    <w:p w14:paraId="3663C8A6" w14:textId="77777777" w:rsidR="00B64DAD" w:rsidRPr="00B969D9" w:rsidRDefault="00B64DAD" w:rsidP="00B64DAD">
      <w:pPr>
        <w:pStyle w:val="Bibliography"/>
        <w:jc w:val="both"/>
        <w:rPr>
          <w:rFonts w:ascii="Arial" w:hAnsi="Arial" w:cs="Arial"/>
          <w:sz w:val="20"/>
        </w:rPr>
      </w:pPr>
      <w:r w:rsidRPr="00540F81">
        <w:rPr>
          <w:rFonts w:ascii="Arial" w:hAnsi="Arial" w:cs="Arial"/>
          <w:sz w:val="20"/>
        </w:rPr>
        <w:t xml:space="preserve">Palanisamy, A., Karunanidhi D., N. Rao, et al. </w:t>
      </w:r>
      <w:r w:rsidRPr="00C6408B">
        <w:rPr>
          <w:rFonts w:ascii="Arial" w:hAnsi="Arial" w:cs="Arial"/>
          <w:sz w:val="20"/>
        </w:rPr>
        <w:t xml:space="preserve">(2020). </w:t>
      </w:r>
      <w:r w:rsidRPr="00B969D9">
        <w:rPr>
          <w:rFonts w:ascii="Arial" w:hAnsi="Arial" w:cs="Arial"/>
          <w:sz w:val="20"/>
        </w:rPr>
        <w:t xml:space="preserve">Irrigation Risk Assessment of Groundwater in a Non-Perennial River Basin of South India: Implication from Irrigation Water Quality Index (IWQI) and Geographical Information System (GIS) Approaches. </w:t>
      </w:r>
      <w:r w:rsidRPr="00B969D9">
        <w:rPr>
          <w:rFonts w:ascii="Arial" w:hAnsi="Arial" w:cs="Arial"/>
          <w:i/>
          <w:iCs/>
          <w:sz w:val="20"/>
        </w:rPr>
        <w:t>Arabian Journal of Geosciences</w:t>
      </w:r>
      <w:r>
        <w:rPr>
          <w:rFonts w:ascii="Arial" w:hAnsi="Arial" w:cs="Arial"/>
          <w:i/>
          <w:iCs/>
          <w:sz w:val="20"/>
        </w:rPr>
        <w:t>,</w:t>
      </w:r>
      <w:r w:rsidRPr="00B969D9">
        <w:rPr>
          <w:rFonts w:ascii="Arial" w:hAnsi="Arial" w:cs="Arial"/>
          <w:sz w:val="20"/>
        </w:rPr>
        <w:t xml:space="preserve"> </w:t>
      </w:r>
      <w:r w:rsidRPr="00C6408B">
        <w:rPr>
          <w:rFonts w:ascii="Arial" w:hAnsi="Arial" w:cs="Arial"/>
          <w:sz w:val="20"/>
        </w:rPr>
        <w:t>13:1125</w:t>
      </w:r>
      <w:r w:rsidRPr="00B969D9">
        <w:rPr>
          <w:rFonts w:ascii="Arial" w:hAnsi="Arial" w:cs="Arial"/>
          <w:sz w:val="20"/>
        </w:rPr>
        <w:t>. https://doi.org/10.1007/s12517-020-06103-1.</w:t>
      </w:r>
    </w:p>
    <w:p w14:paraId="2D155FF9" w14:textId="77777777" w:rsidR="00B64DAD" w:rsidRPr="00B969D9" w:rsidRDefault="00B64DAD" w:rsidP="00B64DAD">
      <w:pPr>
        <w:pStyle w:val="Bibliography"/>
        <w:jc w:val="both"/>
        <w:rPr>
          <w:rFonts w:ascii="Arial" w:hAnsi="Arial" w:cs="Arial"/>
          <w:sz w:val="20"/>
        </w:rPr>
      </w:pPr>
      <w:r w:rsidRPr="00540F81">
        <w:rPr>
          <w:rFonts w:ascii="Arial" w:hAnsi="Arial" w:cs="Arial"/>
          <w:sz w:val="20"/>
        </w:rPr>
        <w:t xml:space="preserve">Sharma, A., Kundu S. S., Tariq H., et al. </w:t>
      </w:r>
      <w:r w:rsidRPr="00C6408B">
        <w:rPr>
          <w:rFonts w:ascii="Arial" w:hAnsi="Arial" w:cs="Arial"/>
          <w:sz w:val="20"/>
        </w:rPr>
        <w:t xml:space="preserve">(2017). </w:t>
      </w:r>
      <w:r w:rsidRPr="00B969D9">
        <w:rPr>
          <w:rFonts w:ascii="Arial" w:hAnsi="Arial" w:cs="Arial"/>
          <w:sz w:val="20"/>
        </w:rPr>
        <w:t xml:space="preserve">Impact of Total Dissolved Solids in Drinking Water on Nutrient Utilisation and Growth Performance of Murrah Buffalo Calves. </w:t>
      </w:r>
      <w:r w:rsidRPr="00B969D9">
        <w:rPr>
          <w:rFonts w:ascii="Arial" w:hAnsi="Arial" w:cs="Arial"/>
          <w:i/>
          <w:iCs/>
          <w:sz w:val="20"/>
        </w:rPr>
        <w:t>Livestock Science</w:t>
      </w:r>
      <w:r>
        <w:rPr>
          <w:rFonts w:ascii="Arial" w:hAnsi="Arial" w:cs="Arial"/>
          <w:i/>
          <w:iCs/>
          <w:sz w:val="20"/>
        </w:rPr>
        <w:t>,</w:t>
      </w:r>
      <w:r w:rsidRPr="00B969D9">
        <w:rPr>
          <w:rFonts w:ascii="Arial" w:hAnsi="Arial" w:cs="Arial"/>
          <w:sz w:val="20"/>
        </w:rPr>
        <w:t xml:space="preserve"> 198</w:t>
      </w:r>
      <w:r>
        <w:rPr>
          <w:rFonts w:ascii="Arial" w:hAnsi="Arial" w:cs="Arial"/>
          <w:sz w:val="20"/>
        </w:rPr>
        <w:t xml:space="preserve">, </w:t>
      </w:r>
      <w:r w:rsidRPr="00B969D9">
        <w:rPr>
          <w:rFonts w:ascii="Arial" w:hAnsi="Arial" w:cs="Arial"/>
          <w:sz w:val="20"/>
        </w:rPr>
        <w:t>17–23.</w:t>
      </w:r>
    </w:p>
    <w:p w14:paraId="280F9ADE"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Vadivelan, V., and Kumar V</w:t>
      </w:r>
      <w:r>
        <w:rPr>
          <w:rFonts w:ascii="Arial" w:hAnsi="Arial" w:cs="Arial"/>
          <w:sz w:val="20"/>
        </w:rPr>
        <w:t>.</w:t>
      </w:r>
      <w:r w:rsidRPr="00B969D9">
        <w:rPr>
          <w:rFonts w:ascii="Arial" w:hAnsi="Arial" w:cs="Arial"/>
          <w:sz w:val="20"/>
        </w:rPr>
        <w:t xml:space="preserve"> K</w:t>
      </w:r>
      <w:r>
        <w:rPr>
          <w:rFonts w:ascii="Arial" w:hAnsi="Arial" w:cs="Arial"/>
          <w:sz w:val="20"/>
        </w:rPr>
        <w:t>.</w:t>
      </w:r>
      <w:r w:rsidRPr="00B969D9">
        <w:rPr>
          <w:rFonts w:ascii="Arial" w:hAnsi="Arial" w:cs="Arial"/>
          <w:sz w:val="20"/>
        </w:rPr>
        <w:t xml:space="preserve"> </w:t>
      </w:r>
      <w:r>
        <w:rPr>
          <w:rFonts w:ascii="Arial" w:hAnsi="Arial" w:cs="Arial"/>
          <w:sz w:val="20"/>
        </w:rPr>
        <w:t>(</w:t>
      </w:r>
      <w:r w:rsidRPr="00B969D9">
        <w:rPr>
          <w:rFonts w:ascii="Arial" w:hAnsi="Arial" w:cs="Arial"/>
          <w:sz w:val="20"/>
        </w:rPr>
        <w:t>2005</w:t>
      </w:r>
      <w:r>
        <w:rPr>
          <w:rFonts w:ascii="Arial" w:hAnsi="Arial" w:cs="Arial"/>
          <w:sz w:val="20"/>
        </w:rPr>
        <w:t>)</w:t>
      </w:r>
      <w:r w:rsidRPr="00B969D9">
        <w:rPr>
          <w:rFonts w:ascii="Arial" w:hAnsi="Arial" w:cs="Arial"/>
          <w:sz w:val="20"/>
        </w:rPr>
        <w:t xml:space="preserve">. Equilibrium, Kinetics, Mechanism, and Process Design for the Sorption of Methylene Blue onto Rice Husk. </w:t>
      </w:r>
      <w:r w:rsidRPr="00B969D9">
        <w:rPr>
          <w:rFonts w:ascii="Arial" w:hAnsi="Arial" w:cs="Arial"/>
          <w:i/>
          <w:iCs/>
          <w:sz w:val="20"/>
        </w:rPr>
        <w:t>Journal of Colloid and Interface Science</w:t>
      </w:r>
      <w:r>
        <w:rPr>
          <w:rFonts w:ascii="Arial" w:hAnsi="Arial" w:cs="Arial"/>
          <w:i/>
          <w:iCs/>
          <w:sz w:val="20"/>
        </w:rPr>
        <w:t>,</w:t>
      </w:r>
      <w:r w:rsidRPr="00B969D9">
        <w:rPr>
          <w:rFonts w:ascii="Arial" w:hAnsi="Arial" w:cs="Arial"/>
          <w:sz w:val="20"/>
        </w:rPr>
        <w:t xml:space="preserve"> 286(1)</w:t>
      </w:r>
      <w:r>
        <w:rPr>
          <w:rFonts w:ascii="Arial" w:hAnsi="Arial" w:cs="Arial"/>
          <w:sz w:val="20"/>
        </w:rPr>
        <w:t xml:space="preserve">, </w:t>
      </w:r>
      <w:r w:rsidRPr="00B969D9">
        <w:rPr>
          <w:rFonts w:ascii="Arial" w:hAnsi="Arial" w:cs="Arial"/>
          <w:sz w:val="20"/>
        </w:rPr>
        <w:t>90–100. https://doi.org/10.1016/j.jcis.2005.01.007.</w:t>
      </w:r>
    </w:p>
    <w:p w14:paraId="79B4EE18"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Vaghetti, J</w:t>
      </w:r>
      <w:r>
        <w:rPr>
          <w:rFonts w:ascii="Arial" w:hAnsi="Arial" w:cs="Arial"/>
          <w:sz w:val="20"/>
        </w:rPr>
        <w:t xml:space="preserve">. </w:t>
      </w:r>
      <w:r w:rsidRPr="00B969D9">
        <w:rPr>
          <w:rFonts w:ascii="Arial" w:hAnsi="Arial" w:cs="Arial"/>
          <w:sz w:val="20"/>
        </w:rPr>
        <w:t>C. P., Eder C. L</w:t>
      </w:r>
      <w:r>
        <w:rPr>
          <w:rFonts w:ascii="Arial" w:hAnsi="Arial" w:cs="Arial"/>
          <w:sz w:val="20"/>
        </w:rPr>
        <w:t>.</w:t>
      </w:r>
      <w:r w:rsidRPr="00B969D9">
        <w:rPr>
          <w:rFonts w:ascii="Arial" w:hAnsi="Arial" w:cs="Arial"/>
          <w:sz w:val="20"/>
        </w:rPr>
        <w:t>, Betina R</w:t>
      </w:r>
      <w:r>
        <w:rPr>
          <w:rFonts w:ascii="Arial" w:hAnsi="Arial" w:cs="Arial"/>
          <w:sz w:val="20"/>
        </w:rPr>
        <w:t>.</w:t>
      </w:r>
      <w:r w:rsidRPr="00B969D9">
        <w:rPr>
          <w:rFonts w:ascii="Arial" w:hAnsi="Arial" w:cs="Arial"/>
          <w:sz w:val="20"/>
        </w:rPr>
        <w:t xml:space="preserve">, </w:t>
      </w:r>
      <w:r>
        <w:rPr>
          <w:rFonts w:ascii="Arial" w:hAnsi="Arial" w:cs="Arial"/>
          <w:sz w:val="20"/>
        </w:rPr>
        <w:t>et al</w:t>
      </w:r>
      <w:r w:rsidRPr="00B969D9">
        <w:rPr>
          <w:rFonts w:ascii="Arial" w:hAnsi="Arial" w:cs="Arial"/>
          <w:sz w:val="20"/>
        </w:rPr>
        <w:t xml:space="preserve">. </w:t>
      </w:r>
      <w:r>
        <w:rPr>
          <w:rFonts w:ascii="Arial" w:hAnsi="Arial" w:cs="Arial"/>
          <w:sz w:val="20"/>
        </w:rPr>
        <w:t>(</w:t>
      </w:r>
      <w:r w:rsidRPr="00B969D9">
        <w:rPr>
          <w:rFonts w:ascii="Arial" w:hAnsi="Arial" w:cs="Arial"/>
          <w:sz w:val="20"/>
        </w:rPr>
        <w:t>2009</w:t>
      </w:r>
      <w:r>
        <w:rPr>
          <w:rFonts w:ascii="Arial" w:hAnsi="Arial" w:cs="Arial"/>
          <w:sz w:val="20"/>
        </w:rPr>
        <w:t>)</w:t>
      </w:r>
      <w:r w:rsidRPr="00B969D9">
        <w:rPr>
          <w:rFonts w:ascii="Arial" w:hAnsi="Arial" w:cs="Arial"/>
          <w:sz w:val="20"/>
        </w:rPr>
        <w:t xml:space="preserve">. Pecan Nutshell as Biosorbent to Remove Toxic Metals from Aqueous Solution. </w:t>
      </w:r>
      <w:r w:rsidRPr="00B969D9">
        <w:rPr>
          <w:rFonts w:ascii="Arial" w:hAnsi="Arial" w:cs="Arial"/>
          <w:i/>
          <w:iCs/>
          <w:sz w:val="20"/>
        </w:rPr>
        <w:t>Separation Science and Technology</w:t>
      </w:r>
      <w:r>
        <w:rPr>
          <w:rFonts w:ascii="Arial" w:hAnsi="Arial" w:cs="Arial"/>
          <w:i/>
          <w:iCs/>
          <w:sz w:val="20"/>
        </w:rPr>
        <w:t>,</w:t>
      </w:r>
      <w:r w:rsidRPr="00B969D9">
        <w:rPr>
          <w:rFonts w:ascii="Arial" w:hAnsi="Arial" w:cs="Arial"/>
          <w:sz w:val="20"/>
        </w:rPr>
        <w:t xml:space="preserve"> 44(3)</w:t>
      </w:r>
      <w:r>
        <w:rPr>
          <w:rFonts w:ascii="Arial" w:hAnsi="Arial" w:cs="Arial"/>
          <w:sz w:val="20"/>
        </w:rPr>
        <w:t xml:space="preserve">, </w:t>
      </w:r>
      <w:r w:rsidRPr="00B969D9">
        <w:rPr>
          <w:rFonts w:ascii="Arial" w:hAnsi="Arial" w:cs="Arial"/>
          <w:sz w:val="20"/>
        </w:rPr>
        <w:t>615–44. https://doi.org/10.1080/01496390802634331.</w:t>
      </w:r>
    </w:p>
    <w:p w14:paraId="2D1EF872"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Wang, B</w:t>
      </w:r>
      <w:r>
        <w:rPr>
          <w:rFonts w:ascii="Arial" w:hAnsi="Arial" w:cs="Arial"/>
          <w:sz w:val="20"/>
        </w:rPr>
        <w:t xml:space="preserve">. </w:t>
      </w:r>
      <w:r w:rsidRPr="00B969D9">
        <w:rPr>
          <w:rFonts w:ascii="Arial" w:hAnsi="Arial" w:cs="Arial"/>
          <w:sz w:val="20"/>
        </w:rPr>
        <w:t xml:space="preserve">B. </w:t>
      </w:r>
      <w:r>
        <w:rPr>
          <w:rFonts w:ascii="Arial" w:hAnsi="Arial" w:cs="Arial"/>
          <w:sz w:val="20"/>
        </w:rPr>
        <w:t>(</w:t>
      </w:r>
      <w:r w:rsidRPr="00B969D9">
        <w:rPr>
          <w:rFonts w:ascii="Arial" w:hAnsi="Arial" w:cs="Arial"/>
          <w:sz w:val="20"/>
        </w:rPr>
        <w:t>2021</w:t>
      </w:r>
      <w:r>
        <w:rPr>
          <w:rFonts w:ascii="Arial" w:hAnsi="Arial" w:cs="Arial"/>
          <w:sz w:val="20"/>
        </w:rPr>
        <w:t>)</w:t>
      </w:r>
      <w:r w:rsidRPr="00B969D9">
        <w:rPr>
          <w:rFonts w:ascii="Arial" w:hAnsi="Arial" w:cs="Arial"/>
          <w:sz w:val="20"/>
        </w:rPr>
        <w:t xml:space="preserve">. Research on Drinking Water Purification Technologies for Household Use by Reducing Total Dissolved Solids (TDS). </w:t>
      </w:r>
      <w:r w:rsidRPr="00B969D9">
        <w:rPr>
          <w:rFonts w:ascii="Arial" w:hAnsi="Arial" w:cs="Arial"/>
          <w:i/>
          <w:iCs/>
          <w:sz w:val="20"/>
        </w:rPr>
        <w:t>PloS One</w:t>
      </w:r>
      <w:r w:rsidRPr="00B969D9">
        <w:rPr>
          <w:rFonts w:ascii="Arial" w:hAnsi="Arial" w:cs="Arial"/>
          <w:sz w:val="20"/>
        </w:rPr>
        <w:t xml:space="preserve"> (San Francisco) 16(9): e0257865. https://doi.org/10.1371/journal.pone.0257865.</w:t>
      </w:r>
    </w:p>
    <w:p w14:paraId="182DEC48"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Yeap, K</w:t>
      </w:r>
      <w:r>
        <w:rPr>
          <w:rFonts w:ascii="Arial" w:hAnsi="Arial" w:cs="Arial"/>
          <w:sz w:val="20"/>
        </w:rPr>
        <w:t>.</w:t>
      </w:r>
      <w:r w:rsidRPr="00B969D9">
        <w:rPr>
          <w:rFonts w:ascii="Arial" w:hAnsi="Arial" w:cs="Arial"/>
          <w:sz w:val="20"/>
        </w:rPr>
        <w:t xml:space="preserve"> L</w:t>
      </w:r>
      <w:r>
        <w:rPr>
          <w:rFonts w:ascii="Arial" w:hAnsi="Arial" w:cs="Arial"/>
          <w:sz w:val="20"/>
        </w:rPr>
        <w:t>.</w:t>
      </w:r>
      <w:r w:rsidRPr="00B969D9">
        <w:rPr>
          <w:rFonts w:ascii="Arial" w:hAnsi="Arial" w:cs="Arial"/>
          <w:sz w:val="20"/>
        </w:rPr>
        <w:t>, Tjoon T</w:t>
      </w:r>
      <w:r>
        <w:rPr>
          <w:rFonts w:ascii="Arial" w:hAnsi="Arial" w:cs="Arial"/>
          <w:sz w:val="20"/>
        </w:rPr>
        <w:t>.</w:t>
      </w:r>
      <w:r w:rsidRPr="00B969D9">
        <w:rPr>
          <w:rFonts w:ascii="Arial" w:hAnsi="Arial" w:cs="Arial"/>
          <w:sz w:val="20"/>
        </w:rPr>
        <w:t xml:space="preserve"> T</w:t>
      </w:r>
      <w:r>
        <w:rPr>
          <w:rFonts w:ascii="Arial" w:hAnsi="Arial" w:cs="Arial"/>
          <w:sz w:val="20"/>
        </w:rPr>
        <w:t>.</w:t>
      </w:r>
      <w:r w:rsidRPr="00B969D9">
        <w:rPr>
          <w:rFonts w:ascii="Arial" w:hAnsi="Arial" w:cs="Arial"/>
          <w:sz w:val="20"/>
        </w:rPr>
        <w:t>, Beng T</w:t>
      </w:r>
      <w:r>
        <w:rPr>
          <w:rFonts w:ascii="Arial" w:hAnsi="Arial" w:cs="Arial"/>
          <w:sz w:val="20"/>
        </w:rPr>
        <w:t>.</w:t>
      </w:r>
      <w:r w:rsidRPr="00B969D9">
        <w:rPr>
          <w:rFonts w:ascii="Arial" w:hAnsi="Arial" w:cs="Arial"/>
          <w:sz w:val="20"/>
        </w:rPr>
        <w:t xml:space="preserve"> P</w:t>
      </w:r>
      <w:r>
        <w:rPr>
          <w:rFonts w:ascii="Arial" w:hAnsi="Arial" w:cs="Arial"/>
          <w:sz w:val="20"/>
        </w:rPr>
        <w:t>.</w:t>
      </w:r>
      <w:r w:rsidRPr="00B969D9">
        <w:rPr>
          <w:rFonts w:ascii="Arial" w:hAnsi="Arial" w:cs="Arial"/>
          <w:sz w:val="20"/>
        </w:rPr>
        <w:t xml:space="preserve">, </w:t>
      </w:r>
      <w:r>
        <w:rPr>
          <w:rFonts w:ascii="Arial" w:hAnsi="Arial" w:cs="Arial"/>
          <w:sz w:val="20"/>
        </w:rPr>
        <w:t>et al</w:t>
      </w:r>
      <w:r w:rsidRPr="00B969D9">
        <w:rPr>
          <w:rFonts w:ascii="Arial" w:hAnsi="Arial" w:cs="Arial"/>
          <w:sz w:val="20"/>
        </w:rPr>
        <w:t xml:space="preserve">. </w:t>
      </w:r>
      <w:r>
        <w:rPr>
          <w:rFonts w:ascii="Arial" w:hAnsi="Arial" w:cs="Arial"/>
          <w:sz w:val="20"/>
        </w:rPr>
        <w:t>(</w:t>
      </w:r>
      <w:r w:rsidRPr="00B969D9">
        <w:rPr>
          <w:rFonts w:ascii="Arial" w:hAnsi="Arial" w:cs="Arial"/>
          <w:sz w:val="20"/>
        </w:rPr>
        <w:t>2014</w:t>
      </w:r>
      <w:r>
        <w:rPr>
          <w:rFonts w:ascii="Arial" w:hAnsi="Arial" w:cs="Arial"/>
          <w:sz w:val="20"/>
        </w:rPr>
        <w:t>)</w:t>
      </w:r>
      <w:r w:rsidRPr="00B969D9">
        <w:rPr>
          <w:rFonts w:ascii="Arial" w:hAnsi="Arial" w:cs="Arial"/>
          <w:sz w:val="20"/>
        </w:rPr>
        <w:t>.</w:t>
      </w:r>
      <w:r>
        <w:rPr>
          <w:rFonts w:ascii="Arial" w:hAnsi="Arial" w:cs="Arial"/>
          <w:sz w:val="20"/>
        </w:rPr>
        <w:t xml:space="preserve"> </w:t>
      </w:r>
      <w:r w:rsidRPr="00B969D9">
        <w:rPr>
          <w:rFonts w:ascii="Arial" w:hAnsi="Arial" w:cs="Arial"/>
          <w:sz w:val="20"/>
        </w:rPr>
        <w:t xml:space="preserve">Preparation and Characterization of Coagulation/Flocculation Behavior of a Novel Inorganic–Organic Hybrid Polymer for Reactive and Disperse Dyes Removal. </w:t>
      </w:r>
      <w:r w:rsidRPr="00B969D9">
        <w:rPr>
          <w:rFonts w:ascii="Arial" w:hAnsi="Arial" w:cs="Arial"/>
          <w:i/>
          <w:iCs/>
          <w:sz w:val="20"/>
        </w:rPr>
        <w:t>Chemical Engineering Journal</w:t>
      </w:r>
      <w:r>
        <w:rPr>
          <w:rFonts w:ascii="Arial" w:hAnsi="Arial" w:cs="Arial"/>
          <w:i/>
          <w:iCs/>
          <w:sz w:val="20"/>
        </w:rPr>
        <w:t>,</w:t>
      </w:r>
      <w:r w:rsidRPr="00B969D9">
        <w:rPr>
          <w:rFonts w:ascii="Arial" w:hAnsi="Arial" w:cs="Arial"/>
          <w:sz w:val="20"/>
        </w:rPr>
        <w:t xml:space="preserve"> 243</w:t>
      </w:r>
      <w:r>
        <w:rPr>
          <w:rFonts w:ascii="Arial" w:hAnsi="Arial" w:cs="Arial"/>
          <w:sz w:val="20"/>
        </w:rPr>
        <w:t xml:space="preserve">, </w:t>
      </w:r>
      <w:r w:rsidRPr="00B969D9">
        <w:rPr>
          <w:rFonts w:ascii="Arial" w:hAnsi="Arial" w:cs="Arial"/>
          <w:sz w:val="20"/>
        </w:rPr>
        <w:t xml:space="preserve">305–14. </w:t>
      </w:r>
    </w:p>
    <w:p w14:paraId="34CE48D8" w14:textId="77777777" w:rsidR="00B64DAD" w:rsidRPr="00B969D9" w:rsidRDefault="00B64DAD" w:rsidP="00B64DAD">
      <w:pPr>
        <w:pStyle w:val="Bibliography"/>
        <w:jc w:val="both"/>
        <w:rPr>
          <w:rFonts w:ascii="Arial" w:hAnsi="Arial" w:cs="Arial"/>
          <w:sz w:val="20"/>
        </w:rPr>
      </w:pPr>
      <w:r w:rsidRPr="00B969D9">
        <w:rPr>
          <w:rFonts w:ascii="Arial" w:hAnsi="Arial" w:cs="Arial"/>
          <w:sz w:val="20"/>
        </w:rPr>
        <w:t>Zhang, C</w:t>
      </w:r>
      <w:r>
        <w:rPr>
          <w:rFonts w:ascii="Arial" w:hAnsi="Arial" w:cs="Arial"/>
          <w:sz w:val="20"/>
        </w:rPr>
        <w:t>.</w:t>
      </w:r>
      <w:r w:rsidRPr="00B969D9">
        <w:rPr>
          <w:rFonts w:ascii="Arial" w:hAnsi="Arial" w:cs="Arial"/>
          <w:sz w:val="20"/>
        </w:rPr>
        <w:t>, Wenna Z</w:t>
      </w:r>
      <w:r>
        <w:rPr>
          <w:rFonts w:ascii="Arial" w:hAnsi="Arial" w:cs="Arial"/>
          <w:sz w:val="20"/>
        </w:rPr>
        <w:t>.</w:t>
      </w:r>
      <w:r w:rsidRPr="00B969D9">
        <w:rPr>
          <w:rFonts w:ascii="Arial" w:hAnsi="Arial" w:cs="Arial"/>
          <w:sz w:val="20"/>
        </w:rPr>
        <w:t>, Yixuan H</w:t>
      </w:r>
      <w:r>
        <w:rPr>
          <w:rFonts w:ascii="Arial" w:hAnsi="Arial" w:cs="Arial"/>
          <w:sz w:val="20"/>
        </w:rPr>
        <w:t>.</w:t>
      </w:r>
      <w:r w:rsidRPr="00B969D9">
        <w:rPr>
          <w:rFonts w:ascii="Arial" w:hAnsi="Arial" w:cs="Arial"/>
          <w:sz w:val="20"/>
        </w:rPr>
        <w:t xml:space="preserve">, </w:t>
      </w:r>
      <w:r>
        <w:rPr>
          <w:rFonts w:ascii="Arial" w:hAnsi="Arial" w:cs="Arial"/>
          <w:sz w:val="20"/>
        </w:rPr>
        <w:t xml:space="preserve">et al. </w:t>
      </w:r>
      <w:r w:rsidRPr="00B969D9">
        <w:rPr>
          <w:rFonts w:ascii="Arial" w:hAnsi="Arial" w:cs="Arial"/>
          <w:sz w:val="20"/>
        </w:rPr>
        <w:t xml:space="preserve"> </w:t>
      </w:r>
      <w:r>
        <w:rPr>
          <w:rFonts w:ascii="Arial" w:hAnsi="Arial" w:cs="Arial"/>
          <w:sz w:val="20"/>
        </w:rPr>
        <w:t>(</w:t>
      </w:r>
      <w:r w:rsidRPr="00B969D9">
        <w:rPr>
          <w:rFonts w:ascii="Arial" w:hAnsi="Arial" w:cs="Arial"/>
          <w:sz w:val="20"/>
        </w:rPr>
        <w:t>2017</w:t>
      </w:r>
      <w:r>
        <w:rPr>
          <w:rFonts w:ascii="Arial" w:hAnsi="Arial" w:cs="Arial"/>
          <w:sz w:val="20"/>
        </w:rPr>
        <w:t>)</w:t>
      </w:r>
      <w:r w:rsidRPr="00B969D9">
        <w:rPr>
          <w:rFonts w:ascii="Arial" w:hAnsi="Arial" w:cs="Arial"/>
          <w:sz w:val="20"/>
        </w:rPr>
        <w:t xml:space="preserve">. </w:t>
      </w:r>
      <w:r>
        <w:rPr>
          <w:rFonts w:ascii="Arial" w:hAnsi="Arial" w:cs="Arial"/>
          <w:sz w:val="20"/>
        </w:rPr>
        <w:t xml:space="preserve"> </w:t>
      </w:r>
      <w:r w:rsidRPr="00B969D9">
        <w:rPr>
          <w:rFonts w:ascii="Arial" w:hAnsi="Arial" w:cs="Arial"/>
          <w:sz w:val="20"/>
        </w:rPr>
        <w:t>Analy</w:t>
      </w:r>
      <w:r>
        <w:rPr>
          <w:rFonts w:ascii="Arial" w:hAnsi="Arial" w:cs="Arial"/>
          <w:sz w:val="20"/>
        </w:rPr>
        <w:t>s</w:t>
      </w:r>
      <w:r w:rsidRPr="00B969D9">
        <w:rPr>
          <w:rFonts w:ascii="Arial" w:hAnsi="Arial" w:cs="Arial"/>
          <w:sz w:val="20"/>
        </w:rPr>
        <w:t xml:space="preserve">ing the Correlations of Long-Term Seasonal Water Quality Parameters, Suspended Solids and Total Dissolved Solids in a Shallow Reservoir with Meteorological Factors. </w:t>
      </w:r>
      <w:r w:rsidRPr="00B969D9">
        <w:rPr>
          <w:rFonts w:ascii="Arial" w:hAnsi="Arial" w:cs="Arial"/>
          <w:i/>
          <w:iCs/>
          <w:sz w:val="20"/>
        </w:rPr>
        <w:t>Environmental Science and Pollution Research</w:t>
      </w:r>
      <w:r>
        <w:rPr>
          <w:rFonts w:ascii="Arial" w:hAnsi="Arial" w:cs="Arial"/>
          <w:i/>
          <w:iCs/>
          <w:sz w:val="20"/>
        </w:rPr>
        <w:t>,</w:t>
      </w:r>
      <w:r w:rsidRPr="00B969D9">
        <w:rPr>
          <w:rFonts w:ascii="Arial" w:hAnsi="Arial" w:cs="Arial"/>
          <w:sz w:val="20"/>
        </w:rPr>
        <w:t xml:space="preserve"> 24. https://doi.org/10.1007/s11356-017-8402-1.</w:t>
      </w:r>
    </w:p>
    <w:p w14:paraId="68CD5345" w14:textId="77777777" w:rsidR="00B64DAD" w:rsidRPr="00B969D9" w:rsidRDefault="00B64DAD" w:rsidP="00B64DAD">
      <w:pPr>
        <w:pStyle w:val="Bibliography"/>
        <w:jc w:val="both"/>
        <w:rPr>
          <w:rFonts w:ascii="Arial" w:hAnsi="Arial" w:cs="Arial"/>
          <w:sz w:val="20"/>
        </w:rPr>
      </w:pPr>
      <w:r w:rsidRPr="00540F81">
        <w:rPr>
          <w:rFonts w:ascii="Arial" w:hAnsi="Arial" w:cs="Arial"/>
          <w:sz w:val="20"/>
        </w:rPr>
        <w:t xml:space="preserve">Zourif, A., Asmaa B., Salma K., et al. </w:t>
      </w:r>
      <w:r w:rsidRPr="00973C0B">
        <w:rPr>
          <w:rFonts w:ascii="Arial" w:hAnsi="Arial" w:cs="Arial"/>
          <w:sz w:val="20"/>
        </w:rPr>
        <w:t xml:space="preserve">(2024). </w:t>
      </w:r>
      <w:r w:rsidRPr="00B969D9">
        <w:rPr>
          <w:rFonts w:ascii="Arial" w:hAnsi="Arial" w:cs="Arial"/>
          <w:sz w:val="20"/>
        </w:rPr>
        <w:t xml:space="preserve">Valorization of Walnut Husks as a Natural Coagulant for Optimized Water Decolorization.” </w:t>
      </w:r>
      <w:r w:rsidRPr="00B969D9">
        <w:rPr>
          <w:rFonts w:ascii="Arial" w:hAnsi="Arial" w:cs="Arial"/>
          <w:i/>
          <w:iCs/>
          <w:sz w:val="20"/>
        </w:rPr>
        <w:t>Arabian Journal of Chemistry</w:t>
      </w:r>
      <w:r>
        <w:rPr>
          <w:rFonts w:ascii="Arial" w:hAnsi="Arial" w:cs="Arial"/>
          <w:i/>
          <w:iCs/>
          <w:sz w:val="20"/>
        </w:rPr>
        <w:t>,</w:t>
      </w:r>
      <w:r w:rsidRPr="00B969D9">
        <w:rPr>
          <w:rFonts w:ascii="Arial" w:hAnsi="Arial" w:cs="Arial"/>
          <w:sz w:val="20"/>
        </w:rPr>
        <w:t xml:space="preserve"> 17(1)</w:t>
      </w:r>
      <w:r>
        <w:rPr>
          <w:rFonts w:ascii="Arial" w:hAnsi="Arial" w:cs="Arial"/>
          <w:sz w:val="20"/>
        </w:rPr>
        <w:t xml:space="preserve">, </w:t>
      </w:r>
      <w:r w:rsidRPr="00B969D9">
        <w:rPr>
          <w:rFonts w:ascii="Arial" w:hAnsi="Arial" w:cs="Arial"/>
          <w:sz w:val="20"/>
        </w:rPr>
        <w:t>105399. https://doi.org/10.1016/j.arabjc.2023.105399.</w:t>
      </w:r>
    </w:p>
    <w:p w14:paraId="3841E7FA" w14:textId="28005EE0" w:rsidR="006B6C53" w:rsidRPr="0041061C" w:rsidRDefault="00B64DAD" w:rsidP="00B64DAD">
      <w:pPr>
        <w:pStyle w:val="Bibliography"/>
        <w:rPr>
          <w:rFonts w:ascii="Arial" w:hAnsi="Arial" w:cs="Arial"/>
          <w:sz w:val="20"/>
          <w:szCs w:val="24"/>
        </w:rPr>
      </w:pPr>
      <w:r>
        <w:rPr>
          <w:rFonts w:ascii="Arial" w:hAnsi="Arial" w:cs="Arial"/>
          <w:sz w:val="20"/>
          <w:szCs w:val="24"/>
        </w:rPr>
        <w:fldChar w:fldCharType="end"/>
      </w:r>
    </w:p>
    <w:sectPr w:rsidR="006B6C53" w:rsidRPr="0041061C">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9ED66" w14:textId="77777777" w:rsidR="007C1F19" w:rsidRDefault="007C1F19" w:rsidP="00AB43F4">
      <w:pPr>
        <w:spacing w:after="0" w:line="240" w:lineRule="auto"/>
      </w:pPr>
      <w:r>
        <w:separator/>
      </w:r>
    </w:p>
  </w:endnote>
  <w:endnote w:type="continuationSeparator" w:id="0">
    <w:p w14:paraId="58150D6A" w14:textId="77777777" w:rsidR="007C1F19" w:rsidRDefault="007C1F19" w:rsidP="00AB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3EF28" w14:textId="77777777" w:rsidR="00AB43F4" w:rsidRDefault="00AB4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2B1D" w14:textId="77777777" w:rsidR="00AB43F4" w:rsidRDefault="00AB4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C8E88" w14:textId="77777777" w:rsidR="00AB43F4" w:rsidRDefault="00AB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00B7A" w14:textId="77777777" w:rsidR="007C1F19" w:rsidRDefault="007C1F19" w:rsidP="00AB43F4">
      <w:pPr>
        <w:spacing w:after="0" w:line="240" w:lineRule="auto"/>
      </w:pPr>
      <w:r>
        <w:separator/>
      </w:r>
    </w:p>
  </w:footnote>
  <w:footnote w:type="continuationSeparator" w:id="0">
    <w:p w14:paraId="6FD62FA1" w14:textId="77777777" w:rsidR="007C1F19" w:rsidRDefault="007C1F19" w:rsidP="00AB4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68573" w14:textId="67325032" w:rsidR="00AB43F4" w:rsidRDefault="007C1F19">
    <w:pPr>
      <w:pStyle w:val="Header"/>
    </w:pPr>
    <w:r>
      <w:rPr>
        <w:noProof/>
      </w:rPr>
      <w:pict w14:anchorId="191F7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89265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83716" w14:textId="2468DDF9" w:rsidR="00AB43F4" w:rsidRDefault="007C1F19">
    <w:pPr>
      <w:pStyle w:val="Header"/>
    </w:pPr>
    <w:r>
      <w:rPr>
        <w:noProof/>
      </w:rPr>
      <w:pict w14:anchorId="6263A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89265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CFB2" w14:textId="1D3F2589" w:rsidR="00AB43F4" w:rsidRDefault="007C1F19">
    <w:pPr>
      <w:pStyle w:val="Header"/>
    </w:pPr>
    <w:r>
      <w:rPr>
        <w:noProof/>
      </w:rPr>
      <w:pict w14:anchorId="6093B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89265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146F"/>
    <w:multiLevelType w:val="hybridMultilevel"/>
    <w:tmpl w:val="41C0C2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520082"/>
    <w:multiLevelType w:val="hybridMultilevel"/>
    <w:tmpl w:val="7A7A2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8129F1"/>
    <w:multiLevelType w:val="multilevel"/>
    <w:tmpl w:val="040C001D"/>
    <w:numStyleLink w:val="Style3"/>
  </w:abstractNum>
  <w:abstractNum w:abstractNumId="3" w15:restartNumberingAfterBreak="0">
    <w:nsid w:val="23AC39FC"/>
    <w:multiLevelType w:val="multilevel"/>
    <w:tmpl w:val="040C001F"/>
    <w:numStyleLink w:val="Style2"/>
  </w:abstractNum>
  <w:abstractNum w:abstractNumId="4" w15:restartNumberingAfterBreak="0">
    <w:nsid w:val="32632A5C"/>
    <w:multiLevelType w:val="multilevel"/>
    <w:tmpl w:val="040C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EA40BF"/>
    <w:multiLevelType w:val="multilevel"/>
    <w:tmpl w:val="040C001F"/>
    <w:numStyleLink w:val="Style2"/>
  </w:abstractNum>
  <w:abstractNum w:abstractNumId="6" w15:restartNumberingAfterBreak="0">
    <w:nsid w:val="35CF0301"/>
    <w:multiLevelType w:val="multilevel"/>
    <w:tmpl w:val="040C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987F27"/>
    <w:multiLevelType w:val="multilevel"/>
    <w:tmpl w:val="040C001F"/>
    <w:numStyleLink w:val="Style2"/>
  </w:abstractNum>
  <w:abstractNum w:abstractNumId="8" w15:restartNumberingAfterBreak="0">
    <w:nsid w:val="4EA7300C"/>
    <w:multiLevelType w:val="multilevel"/>
    <w:tmpl w:val="040C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7DC3EA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890924"/>
    <w:multiLevelType w:val="multilevel"/>
    <w:tmpl w:val="040C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AD4C92"/>
    <w:multiLevelType w:val="multilevel"/>
    <w:tmpl w:val="040C001F"/>
    <w:numStyleLink w:val="Style2"/>
  </w:abstractNum>
  <w:num w:numId="1">
    <w:abstractNumId w:val="1"/>
  </w:num>
  <w:num w:numId="2">
    <w:abstractNumId w:val="11"/>
  </w:num>
  <w:num w:numId="3">
    <w:abstractNumId w:val="4"/>
  </w:num>
  <w:num w:numId="4">
    <w:abstractNumId w:val="10"/>
  </w:num>
  <w:num w:numId="5">
    <w:abstractNumId w:val="3"/>
  </w:num>
  <w:num w:numId="6">
    <w:abstractNumId w:val="0"/>
  </w:num>
  <w:num w:numId="7">
    <w:abstractNumId w:val="6"/>
  </w:num>
  <w:num w:numId="8">
    <w:abstractNumId w:val="2"/>
  </w:num>
  <w:num w:numId="9">
    <w:abstractNumId w:val="9"/>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S0NDc1MjI0tzAwNzRV0lEKTi0uzszPAykwrAUAwZHqDSwAAAA="/>
  </w:docVars>
  <w:rsids>
    <w:rsidRoot w:val="004C353E"/>
    <w:rsid w:val="0000003F"/>
    <w:rsid w:val="0000536F"/>
    <w:rsid w:val="00020CE4"/>
    <w:rsid w:val="0002216B"/>
    <w:rsid w:val="000370AF"/>
    <w:rsid w:val="00061E01"/>
    <w:rsid w:val="000A129F"/>
    <w:rsid w:val="000C752E"/>
    <w:rsid w:val="00111072"/>
    <w:rsid w:val="00111D59"/>
    <w:rsid w:val="00112F88"/>
    <w:rsid w:val="0013577E"/>
    <w:rsid w:val="00145A8B"/>
    <w:rsid w:val="00153372"/>
    <w:rsid w:val="00156A21"/>
    <w:rsid w:val="00163626"/>
    <w:rsid w:val="00180017"/>
    <w:rsid w:val="00187B5E"/>
    <w:rsid w:val="001A559C"/>
    <w:rsid w:val="001F0C7A"/>
    <w:rsid w:val="001F5A1A"/>
    <w:rsid w:val="00215C58"/>
    <w:rsid w:val="00241A79"/>
    <w:rsid w:val="00246EB3"/>
    <w:rsid w:val="00247DA7"/>
    <w:rsid w:val="00254597"/>
    <w:rsid w:val="00266A6D"/>
    <w:rsid w:val="0026708B"/>
    <w:rsid w:val="002909AF"/>
    <w:rsid w:val="00293DFA"/>
    <w:rsid w:val="002A3484"/>
    <w:rsid w:val="002B5852"/>
    <w:rsid w:val="002B5B78"/>
    <w:rsid w:val="002D11D3"/>
    <w:rsid w:val="002E3A5F"/>
    <w:rsid w:val="002E4307"/>
    <w:rsid w:val="002E6DB5"/>
    <w:rsid w:val="002F1B90"/>
    <w:rsid w:val="002F290F"/>
    <w:rsid w:val="002F69F4"/>
    <w:rsid w:val="003147C0"/>
    <w:rsid w:val="00316B53"/>
    <w:rsid w:val="003322F4"/>
    <w:rsid w:val="003405C0"/>
    <w:rsid w:val="0039236E"/>
    <w:rsid w:val="003A33AE"/>
    <w:rsid w:val="003B3958"/>
    <w:rsid w:val="003B45A1"/>
    <w:rsid w:val="003C615B"/>
    <w:rsid w:val="003D4A91"/>
    <w:rsid w:val="003E58DB"/>
    <w:rsid w:val="003E7A10"/>
    <w:rsid w:val="003F6291"/>
    <w:rsid w:val="0041061C"/>
    <w:rsid w:val="00425D68"/>
    <w:rsid w:val="00430846"/>
    <w:rsid w:val="004429B8"/>
    <w:rsid w:val="004435DD"/>
    <w:rsid w:val="00446F8F"/>
    <w:rsid w:val="00450CFC"/>
    <w:rsid w:val="004721D2"/>
    <w:rsid w:val="00487B3C"/>
    <w:rsid w:val="00496B37"/>
    <w:rsid w:val="004A41A8"/>
    <w:rsid w:val="004C353E"/>
    <w:rsid w:val="004C449E"/>
    <w:rsid w:val="004E0F2F"/>
    <w:rsid w:val="005075D8"/>
    <w:rsid w:val="00523500"/>
    <w:rsid w:val="00540F81"/>
    <w:rsid w:val="00544959"/>
    <w:rsid w:val="00562036"/>
    <w:rsid w:val="005902D6"/>
    <w:rsid w:val="005978B6"/>
    <w:rsid w:val="005B2021"/>
    <w:rsid w:val="005B2344"/>
    <w:rsid w:val="005B72DC"/>
    <w:rsid w:val="005D49D6"/>
    <w:rsid w:val="005D4D68"/>
    <w:rsid w:val="005F4802"/>
    <w:rsid w:val="00622760"/>
    <w:rsid w:val="00630494"/>
    <w:rsid w:val="006341EE"/>
    <w:rsid w:val="00640EBC"/>
    <w:rsid w:val="006522CE"/>
    <w:rsid w:val="00654B99"/>
    <w:rsid w:val="006655B4"/>
    <w:rsid w:val="00681C62"/>
    <w:rsid w:val="00683C95"/>
    <w:rsid w:val="00685A1D"/>
    <w:rsid w:val="006A1B6F"/>
    <w:rsid w:val="006B6C53"/>
    <w:rsid w:val="006D0A46"/>
    <w:rsid w:val="006D51EC"/>
    <w:rsid w:val="006D7E93"/>
    <w:rsid w:val="006E0B6F"/>
    <w:rsid w:val="007233C4"/>
    <w:rsid w:val="00752F1B"/>
    <w:rsid w:val="0075658D"/>
    <w:rsid w:val="007613BB"/>
    <w:rsid w:val="00762562"/>
    <w:rsid w:val="0076361D"/>
    <w:rsid w:val="007700B8"/>
    <w:rsid w:val="00795BFD"/>
    <w:rsid w:val="007973FE"/>
    <w:rsid w:val="007A1558"/>
    <w:rsid w:val="007A2AB8"/>
    <w:rsid w:val="007C1F19"/>
    <w:rsid w:val="007D254A"/>
    <w:rsid w:val="007E5DA2"/>
    <w:rsid w:val="007F3730"/>
    <w:rsid w:val="007F6F2A"/>
    <w:rsid w:val="00813845"/>
    <w:rsid w:val="0083170C"/>
    <w:rsid w:val="00834BC2"/>
    <w:rsid w:val="00841B17"/>
    <w:rsid w:val="00847B0E"/>
    <w:rsid w:val="00873924"/>
    <w:rsid w:val="0087510B"/>
    <w:rsid w:val="00883818"/>
    <w:rsid w:val="00884E2D"/>
    <w:rsid w:val="00892254"/>
    <w:rsid w:val="00895410"/>
    <w:rsid w:val="00895CAF"/>
    <w:rsid w:val="008B3DD8"/>
    <w:rsid w:val="008B63A9"/>
    <w:rsid w:val="008B6AAD"/>
    <w:rsid w:val="00901670"/>
    <w:rsid w:val="00903079"/>
    <w:rsid w:val="0091135A"/>
    <w:rsid w:val="0092398C"/>
    <w:rsid w:val="0093381F"/>
    <w:rsid w:val="00933BFC"/>
    <w:rsid w:val="0093419F"/>
    <w:rsid w:val="0094629C"/>
    <w:rsid w:val="00964A9D"/>
    <w:rsid w:val="00972360"/>
    <w:rsid w:val="00973C0B"/>
    <w:rsid w:val="00974787"/>
    <w:rsid w:val="00976FBD"/>
    <w:rsid w:val="00995515"/>
    <w:rsid w:val="009B37BA"/>
    <w:rsid w:val="009C28BF"/>
    <w:rsid w:val="009C459D"/>
    <w:rsid w:val="009D30CC"/>
    <w:rsid w:val="009D3518"/>
    <w:rsid w:val="00A2748A"/>
    <w:rsid w:val="00A57895"/>
    <w:rsid w:val="00A6212B"/>
    <w:rsid w:val="00A7605C"/>
    <w:rsid w:val="00A9296D"/>
    <w:rsid w:val="00AA5673"/>
    <w:rsid w:val="00AB24BB"/>
    <w:rsid w:val="00AB43F4"/>
    <w:rsid w:val="00AD15A5"/>
    <w:rsid w:val="00AD2B3A"/>
    <w:rsid w:val="00AE430D"/>
    <w:rsid w:val="00AF25CC"/>
    <w:rsid w:val="00B02B88"/>
    <w:rsid w:val="00B32A8D"/>
    <w:rsid w:val="00B43877"/>
    <w:rsid w:val="00B46ACD"/>
    <w:rsid w:val="00B566A6"/>
    <w:rsid w:val="00B62917"/>
    <w:rsid w:val="00B63D83"/>
    <w:rsid w:val="00B641BA"/>
    <w:rsid w:val="00B643AA"/>
    <w:rsid w:val="00B64DAD"/>
    <w:rsid w:val="00B67851"/>
    <w:rsid w:val="00B72467"/>
    <w:rsid w:val="00B7556F"/>
    <w:rsid w:val="00B969D9"/>
    <w:rsid w:val="00BB63DB"/>
    <w:rsid w:val="00C122A2"/>
    <w:rsid w:val="00C20CC3"/>
    <w:rsid w:val="00C211ED"/>
    <w:rsid w:val="00C42D41"/>
    <w:rsid w:val="00C47BFE"/>
    <w:rsid w:val="00C47D1A"/>
    <w:rsid w:val="00C525F5"/>
    <w:rsid w:val="00C6408B"/>
    <w:rsid w:val="00C65346"/>
    <w:rsid w:val="00C8346C"/>
    <w:rsid w:val="00CA6D56"/>
    <w:rsid w:val="00CC308D"/>
    <w:rsid w:val="00D215D9"/>
    <w:rsid w:val="00D37D96"/>
    <w:rsid w:val="00D53A93"/>
    <w:rsid w:val="00D664CF"/>
    <w:rsid w:val="00D72EF9"/>
    <w:rsid w:val="00D906F1"/>
    <w:rsid w:val="00D9579E"/>
    <w:rsid w:val="00DA37DA"/>
    <w:rsid w:val="00DC1814"/>
    <w:rsid w:val="00DC6B59"/>
    <w:rsid w:val="00DD2F3F"/>
    <w:rsid w:val="00DE1688"/>
    <w:rsid w:val="00DE56D9"/>
    <w:rsid w:val="00DF14A6"/>
    <w:rsid w:val="00E008A2"/>
    <w:rsid w:val="00E1533C"/>
    <w:rsid w:val="00E24FA2"/>
    <w:rsid w:val="00E272EF"/>
    <w:rsid w:val="00E30C37"/>
    <w:rsid w:val="00E32E52"/>
    <w:rsid w:val="00E33D8C"/>
    <w:rsid w:val="00E36C56"/>
    <w:rsid w:val="00E76A51"/>
    <w:rsid w:val="00E76CF6"/>
    <w:rsid w:val="00E901F1"/>
    <w:rsid w:val="00EA2E02"/>
    <w:rsid w:val="00EB4B5C"/>
    <w:rsid w:val="00EC22BB"/>
    <w:rsid w:val="00EC324F"/>
    <w:rsid w:val="00EE3818"/>
    <w:rsid w:val="00EF066B"/>
    <w:rsid w:val="00F03008"/>
    <w:rsid w:val="00F16050"/>
    <w:rsid w:val="00F32CBF"/>
    <w:rsid w:val="00F3516E"/>
    <w:rsid w:val="00F36A03"/>
    <w:rsid w:val="00F473A9"/>
    <w:rsid w:val="00F5524A"/>
    <w:rsid w:val="00F60EDD"/>
    <w:rsid w:val="00F62F7E"/>
    <w:rsid w:val="00F7156C"/>
    <w:rsid w:val="00F943A8"/>
    <w:rsid w:val="00FC24FF"/>
    <w:rsid w:val="00FC570B"/>
    <w:rsid w:val="00FD099D"/>
    <w:rsid w:val="00FD3AEF"/>
    <w:rsid w:val="00FE56B1"/>
    <w:rsid w:val="00FE5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D796A"/>
  <w15:chartTrackingRefBased/>
  <w15:docId w15:val="{00B614BE-535C-4E8D-B2DA-FC12D377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53E"/>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099D"/>
    <w:rPr>
      <w:color w:val="808080"/>
    </w:rPr>
  </w:style>
  <w:style w:type="paragraph" w:styleId="ListParagraph">
    <w:name w:val="List Paragraph"/>
    <w:basedOn w:val="Normal"/>
    <w:uiPriority w:val="34"/>
    <w:qFormat/>
    <w:rsid w:val="00964A9D"/>
    <w:pPr>
      <w:ind w:left="720"/>
      <w:contextualSpacing/>
    </w:pPr>
  </w:style>
  <w:style w:type="numbering" w:customStyle="1" w:styleId="Style1">
    <w:name w:val="Style1"/>
    <w:uiPriority w:val="99"/>
    <w:rsid w:val="00964A9D"/>
    <w:pPr>
      <w:numPr>
        <w:numId w:val="3"/>
      </w:numPr>
    </w:pPr>
  </w:style>
  <w:style w:type="numbering" w:customStyle="1" w:styleId="Style2">
    <w:name w:val="Style2"/>
    <w:uiPriority w:val="99"/>
    <w:rsid w:val="001F5A1A"/>
    <w:pPr>
      <w:numPr>
        <w:numId w:val="4"/>
      </w:numPr>
    </w:pPr>
  </w:style>
  <w:style w:type="numbering" w:customStyle="1" w:styleId="Style3">
    <w:name w:val="Style3"/>
    <w:uiPriority w:val="99"/>
    <w:rsid w:val="001F5A1A"/>
    <w:pPr>
      <w:numPr>
        <w:numId w:val="7"/>
      </w:numPr>
    </w:pPr>
  </w:style>
  <w:style w:type="numbering" w:customStyle="1" w:styleId="Style4">
    <w:name w:val="Style4"/>
    <w:uiPriority w:val="99"/>
    <w:rsid w:val="001F5A1A"/>
    <w:pPr>
      <w:numPr>
        <w:numId w:val="11"/>
      </w:numPr>
    </w:pPr>
  </w:style>
  <w:style w:type="paragraph" w:styleId="Bibliography">
    <w:name w:val="Bibliography"/>
    <w:basedOn w:val="Normal"/>
    <w:next w:val="Normal"/>
    <w:uiPriority w:val="37"/>
    <w:unhideWhenUsed/>
    <w:rsid w:val="006B6C53"/>
    <w:pPr>
      <w:spacing w:after="240" w:line="240" w:lineRule="auto"/>
      <w:ind w:left="720" w:hanging="720"/>
    </w:pPr>
  </w:style>
  <w:style w:type="character" w:styleId="Hyperlink">
    <w:name w:val="Hyperlink"/>
    <w:basedOn w:val="DefaultParagraphFont"/>
    <w:uiPriority w:val="99"/>
    <w:unhideWhenUsed/>
    <w:rsid w:val="00884E2D"/>
    <w:rPr>
      <w:color w:val="0563C1" w:themeColor="hyperlink"/>
      <w:u w:val="single"/>
    </w:rPr>
  </w:style>
  <w:style w:type="character" w:styleId="UnresolvedMention">
    <w:name w:val="Unresolved Mention"/>
    <w:basedOn w:val="DefaultParagraphFont"/>
    <w:uiPriority w:val="99"/>
    <w:semiHidden/>
    <w:unhideWhenUsed/>
    <w:rsid w:val="00884E2D"/>
    <w:rPr>
      <w:color w:val="605E5C"/>
      <w:shd w:val="clear" w:color="auto" w:fill="E1DFDD"/>
    </w:rPr>
  </w:style>
  <w:style w:type="paragraph" w:styleId="Revision">
    <w:name w:val="Revision"/>
    <w:hidden/>
    <w:uiPriority w:val="99"/>
    <w:semiHidden/>
    <w:rsid w:val="00E36C56"/>
    <w:pPr>
      <w:spacing w:after="0" w:line="240" w:lineRule="auto"/>
    </w:pPr>
    <w:rPr>
      <w:kern w:val="2"/>
      <w:lang w:val="en-US"/>
      <w14:ligatures w14:val="standardContextual"/>
    </w:rPr>
  </w:style>
  <w:style w:type="paragraph" w:styleId="BalloonText">
    <w:name w:val="Balloon Text"/>
    <w:basedOn w:val="Normal"/>
    <w:link w:val="BalloonTextChar"/>
    <w:uiPriority w:val="99"/>
    <w:semiHidden/>
    <w:unhideWhenUsed/>
    <w:rsid w:val="00D37D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D96"/>
    <w:rPr>
      <w:rFonts w:ascii="Segoe UI" w:hAnsi="Segoe UI" w:cs="Segoe UI"/>
      <w:kern w:val="2"/>
      <w:sz w:val="18"/>
      <w:szCs w:val="18"/>
      <w:lang w:val="en-US"/>
      <w14:ligatures w14:val="standardContextual"/>
    </w:rPr>
  </w:style>
  <w:style w:type="paragraph" w:styleId="Caption">
    <w:name w:val="caption"/>
    <w:basedOn w:val="Normal"/>
    <w:next w:val="Normal"/>
    <w:uiPriority w:val="35"/>
    <w:unhideWhenUsed/>
    <w:qFormat/>
    <w:rsid w:val="003B45A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0536F"/>
    <w:pPr>
      <w:spacing w:after="0"/>
      <w:ind w:left="440" w:hanging="440"/>
    </w:pPr>
    <w:rPr>
      <w:rFonts w:cstheme="minorHAnsi"/>
      <w:smallCaps/>
      <w:sz w:val="20"/>
      <w:szCs w:val="20"/>
    </w:rPr>
  </w:style>
  <w:style w:type="paragraph" w:customStyle="1" w:styleId="ReferHead">
    <w:name w:val="Refer Head"/>
    <w:basedOn w:val="Normal"/>
    <w:rsid w:val="00540F81"/>
    <w:pPr>
      <w:keepNext/>
      <w:spacing w:after="240" w:line="240" w:lineRule="auto"/>
    </w:pPr>
    <w:rPr>
      <w:rFonts w:ascii="Helvetica" w:eastAsia="Times New Roman" w:hAnsi="Helvetica" w:cs="Times New Roman"/>
      <w:b/>
      <w:caps/>
      <w:kern w:val="0"/>
      <w:szCs w:val="20"/>
      <w14:ligatures w14:val="none"/>
    </w:rPr>
  </w:style>
  <w:style w:type="paragraph" w:styleId="Header">
    <w:name w:val="header"/>
    <w:basedOn w:val="Normal"/>
    <w:link w:val="HeaderChar"/>
    <w:uiPriority w:val="99"/>
    <w:unhideWhenUsed/>
    <w:rsid w:val="00AB4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3F4"/>
    <w:rPr>
      <w:kern w:val="2"/>
      <w:lang w:val="en-US"/>
      <w14:ligatures w14:val="standardContextual"/>
    </w:rPr>
  </w:style>
  <w:style w:type="paragraph" w:styleId="Footer">
    <w:name w:val="footer"/>
    <w:basedOn w:val="Normal"/>
    <w:link w:val="FooterChar"/>
    <w:uiPriority w:val="99"/>
    <w:unhideWhenUsed/>
    <w:rsid w:val="00AB4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3F4"/>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Pseudo first order</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accent1"/>
                </a:solidFill>
              </a:ln>
              <a:effectLst/>
            </c:spPr>
          </c:marker>
          <c:trendline>
            <c:spPr>
              <a:ln w="12700" cap="flat" cmpd="sng" algn="ctr">
                <a:solidFill>
                  <a:schemeClr val="dk1"/>
                </a:solidFill>
                <a:prstDash val="sysDot"/>
                <a:miter lim="800000"/>
              </a:ln>
              <a:effectLst/>
            </c:spPr>
            <c:trendlineType val="linear"/>
            <c:dispRSqr val="0"/>
            <c:dispEq val="0"/>
          </c:trendline>
          <c:xVal>
            <c:numRef>
              <c:f>Feuil4!$C$1:$J$1</c:f>
              <c:numCache>
                <c:formatCode>General</c:formatCode>
                <c:ptCount val="8"/>
                <c:pt idx="0">
                  <c:v>10</c:v>
                </c:pt>
                <c:pt idx="1">
                  <c:v>20</c:v>
                </c:pt>
                <c:pt idx="2">
                  <c:v>30</c:v>
                </c:pt>
                <c:pt idx="3">
                  <c:v>40</c:v>
                </c:pt>
                <c:pt idx="4">
                  <c:v>50</c:v>
                </c:pt>
                <c:pt idx="5">
                  <c:v>80</c:v>
                </c:pt>
                <c:pt idx="6">
                  <c:v>90</c:v>
                </c:pt>
                <c:pt idx="7">
                  <c:v>100</c:v>
                </c:pt>
              </c:numCache>
            </c:numRef>
          </c:xVal>
          <c:yVal>
            <c:numRef>
              <c:f>Feuil4!$C$7:$J$7</c:f>
              <c:numCache>
                <c:formatCode>General</c:formatCode>
                <c:ptCount val="8"/>
                <c:pt idx="0">
                  <c:v>0.36810932156439524</c:v>
                </c:pt>
                <c:pt idx="1">
                  <c:v>0.1570037488096645</c:v>
                </c:pt>
                <c:pt idx="2">
                  <c:v>-0.13353139262452338</c:v>
                </c:pt>
                <c:pt idx="3">
                  <c:v>-0.12216763397420727</c:v>
                </c:pt>
                <c:pt idx="4">
                  <c:v>-0.28768207245178179</c:v>
                </c:pt>
                <c:pt idx="5">
                  <c:v>-0.86750056770472428</c:v>
                </c:pt>
                <c:pt idx="6">
                  <c:v>-1.4271163556401467</c:v>
                </c:pt>
                <c:pt idx="7">
                  <c:v>-2.2537949288246182</c:v>
                </c:pt>
              </c:numCache>
            </c:numRef>
          </c:yVal>
          <c:smooth val="0"/>
          <c:extLst>
            <c:ext xmlns:c16="http://schemas.microsoft.com/office/drawing/2014/chart" uri="{C3380CC4-5D6E-409C-BE32-E72D297353CC}">
              <c16:uniqueId val="{00000001-25EC-4F9C-AC76-95138B436B5C}"/>
            </c:ext>
          </c:extLst>
        </c:ser>
        <c:dLbls>
          <c:showLegendKey val="0"/>
          <c:showVal val="0"/>
          <c:showCatName val="0"/>
          <c:showSerName val="0"/>
          <c:showPercent val="0"/>
          <c:showBubbleSize val="0"/>
        </c:dLbls>
        <c:axId val="1371500735"/>
        <c:axId val="1074834367"/>
      </c:scatterChart>
      <c:valAx>
        <c:axId val="1371500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time (min)</a:t>
                </a:r>
              </a:p>
            </c:rich>
          </c:tx>
          <c:layout>
            <c:manualLayout>
              <c:xMode val="edge"/>
              <c:yMode val="edge"/>
              <c:x val="0.77203368328958877"/>
              <c:y val="0.267569262175561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4834367"/>
        <c:crosses val="autoZero"/>
        <c:crossBetween val="midCat"/>
      </c:valAx>
      <c:valAx>
        <c:axId val="107483436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ln(Qe - Qt)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7150073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t>Pseudo second order</a:t>
            </a:r>
          </a:p>
        </c:rich>
      </c:tx>
      <c:layout>
        <c:manualLayout>
          <c:xMode val="edge"/>
          <c:yMode val="edge"/>
          <c:x val="0.34939566929133858"/>
          <c:y val="0.1111111111111111"/>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5269203849518811"/>
          <c:y val="0.17171296296296296"/>
          <c:w val="0.71719685039370074"/>
          <c:h val="0.60977653834937295"/>
        </c:manualLayout>
      </c:layout>
      <c:scatterChart>
        <c:scatterStyle val="lineMarker"/>
        <c:varyColors val="0"/>
        <c:ser>
          <c:idx val="0"/>
          <c:order val="0"/>
          <c:spPr>
            <a:ln w="19050" cap="rnd">
              <a:noFill/>
              <a:round/>
            </a:ln>
            <a:effectLst/>
          </c:spPr>
          <c:marker>
            <c:symbol val="circle"/>
            <c:size val="5"/>
            <c:spPr>
              <a:solidFill>
                <a:schemeClr val="tx1"/>
              </a:solidFill>
              <a:ln w="9525">
                <a:solidFill>
                  <a:schemeClr val="accent1"/>
                </a:solidFill>
              </a:ln>
              <a:effectLst/>
            </c:spPr>
          </c:marker>
          <c:trendline>
            <c:spPr>
              <a:ln w="6350" cap="flat" cmpd="sng" algn="ctr">
                <a:solidFill>
                  <a:schemeClr val="dk1"/>
                </a:solidFill>
                <a:prstDash val="solid"/>
                <a:miter lim="800000"/>
              </a:ln>
              <a:effectLst/>
            </c:spPr>
            <c:trendlineType val="linear"/>
            <c:dispRSqr val="0"/>
            <c:dispEq val="0"/>
          </c:trendline>
          <c:xVal>
            <c:numRef>
              <c:f>Feuil4!$C$1:$J$1</c:f>
              <c:numCache>
                <c:formatCode>General</c:formatCode>
                <c:ptCount val="8"/>
                <c:pt idx="0">
                  <c:v>10</c:v>
                </c:pt>
                <c:pt idx="1">
                  <c:v>20</c:v>
                </c:pt>
                <c:pt idx="2">
                  <c:v>30</c:v>
                </c:pt>
                <c:pt idx="3">
                  <c:v>40</c:v>
                </c:pt>
                <c:pt idx="4">
                  <c:v>50</c:v>
                </c:pt>
                <c:pt idx="5">
                  <c:v>80</c:v>
                </c:pt>
                <c:pt idx="6">
                  <c:v>90</c:v>
                </c:pt>
                <c:pt idx="7">
                  <c:v>100</c:v>
                </c:pt>
              </c:numCache>
            </c:numRef>
          </c:xVal>
          <c:yVal>
            <c:numRef>
              <c:f>Feuil4!$C$9:$J$9</c:f>
              <c:numCache>
                <c:formatCode>General</c:formatCode>
                <c:ptCount val="8"/>
                <c:pt idx="0">
                  <c:v>11.494252873563214</c:v>
                </c:pt>
                <c:pt idx="1">
                  <c:v>17.467248908296941</c:v>
                </c:pt>
                <c:pt idx="2">
                  <c:v>20.833333333333325</c:v>
                </c:pt>
                <c:pt idx="3">
                  <c:v>27.972027972027977</c:v>
                </c:pt>
                <c:pt idx="4">
                  <c:v>31.948881789137367</c:v>
                </c:pt>
                <c:pt idx="5">
                  <c:v>42.216358839050123</c:v>
                </c:pt>
                <c:pt idx="6">
                  <c:v>43.373493975903614</c:v>
                </c:pt>
                <c:pt idx="7">
                  <c:v>45.248868778280531</c:v>
                </c:pt>
              </c:numCache>
            </c:numRef>
          </c:yVal>
          <c:smooth val="0"/>
          <c:extLst>
            <c:ext xmlns:c16="http://schemas.microsoft.com/office/drawing/2014/chart" uri="{C3380CC4-5D6E-409C-BE32-E72D297353CC}">
              <c16:uniqueId val="{00000001-AD4D-436A-A136-BDE13D024F01}"/>
            </c:ext>
          </c:extLst>
        </c:ser>
        <c:dLbls>
          <c:showLegendKey val="0"/>
          <c:showVal val="0"/>
          <c:showCatName val="0"/>
          <c:showSerName val="0"/>
          <c:showPercent val="0"/>
          <c:showBubbleSize val="0"/>
        </c:dLbls>
        <c:axId val="1640545856"/>
        <c:axId val="1966898128"/>
      </c:scatterChart>
      <c:valAx>
        <c:axId val="1640545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time (min)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66898128"/>
        <c:crosses val="autoZero"/>
        <c:crossBetween val="midCat"/>
      </c:valAx>
      <c:valAx>
        <c:axId val="1966898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t/Qt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405458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ED03F-BAB8-4315-B48A-B9CFFF94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16374</Words>
  <Characters>93333</Characters>
  <Application>Microsoft Office Word</Application>
  <DocSecurity>0</DocSecurity>
  <Lines>777</Lines>
  <Paragraphs>218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3</cp:revision>
  <dcterms:created xsi:type="dcterms:W3CDTF">2025-09-04T14:02:00Z</dcterms:created>
  <dcterms:modified xsi:type="dcterms:W3CDTF">2025-09-05T07:25:00Z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id="rB5MxnzE"/&gt;&lt;style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y fmtid="{D5CDD505-2E9C-101B-9397-08002B2CF9AE}" pid="4" name="GrammarlyDocumentId">
    <vt:lpwstr>a8de4761-f220-4785-984a-93050b4e6429</vt:lpwstr>
  </property>
</Properties>
</file>