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F1549" w14:textId="77777777" w:rsidR="00F61810" w:rsidRDefault="00F61810">
      <w:pPr>
        <w:rPr>
          <w:rFonts w:ascii="Times New Roman" w:hAnsi="Times New Roman" w:cs="Times New Roman"/>
          <w:b/>
          <w:sz w:val="24"/>
          <w:szCs w:val="24"/>
        </w:rPr>
      </w:pPr>
      <w:r w:rsidRPr="00F61810">
        <w:rPr>
          <w:rFonts w:ascii="Times New Roman" w:hAnsi="Times New Roman" w:cs="Times New Roman"/>
          <w:b/>
          <w:sz w:val="24"/>
          <w:szCs w:val="24"/>
        </w:rPr>
        <w:t xml:space="preserve">Original Research Article </w:t>
      </w:r>
    </w:p>
    <w:p w14:paraId="0883DFC5" w14:textId="77777777" w:rsidR="00F61810" w:rsidRDefault="00F61810">
      <w:pPr>
        <w:rPr>
          <w:rFonts w:ascii="Times New Roman" w:hAnsi="Times New Roman" w:cs="Times New Roman"/>
          <w:b/>
          <w:sz w:val="24"/>
          <w:szCs w:val="24"/>
        </w:rPr>
      </w:pPr>
    </w:p>
    <w:p w14:paraId="3F548965" w14:textId="78FB4989" w:rsidR="005C5351" w:rsidRDefault="00624C31">
      <w:pPr>
        <w:rPr>
          <w:rFonts w:ascii="Times New Roman" w:hAnsi="Times New Roman" w:cs="Times New Roman"/>
          <w:b/>
          <w:sz w:val="24"/>
          <w:szCs w:val="24"/>
        </w:rPr>
      </w:pPr>
      <w:r w:rsidRPr="00624C31">
        <w:rPr>
          <w:rFonts w:ascii="Times New Roman" w:hAnsi="Times New Roman" w:cs="Times New Roman"/>
          <w:b/>
          <w:sz w:val="24"/>
          <w:szCs w:val="24"/>
        </w:rPr>
        <w:t xml:space="preserve">Association of </w:t>
      </w:r>
      <w:r w:rsidR="0045452E">
        <w:rPr>
          <w:rFonts w:ascii="Times New Roman" w:hAnsi="Times New Roman" w:cs="Times New Roman"/>
          <w:b/>
          <w:sz w:val="24"/>
          <w:szCs w:val="24"/>
        </w:rPr>
        <w:t>Serum Cardiac Troponin I and In-</w:t>
      </w:r>
      <w:r w:rsidRPr="00624C31">
        <w:rPr>
          <w:rFonts w:ascii="Times New Roman" w:hAnsi="Times New Roman" w:cs="Times New Roman"/>
          <w:b/>
          <w:sz w:val="24"/>
          <w:szCs w:val="24"/>
        </w:rPr>
        <w:t xml:space="preserve">Hospital Outcome </w:t>
      </w:r>
      <w:r w:rsidR="0045452E" w:rsidRPr="00624C31">
        <w:rPr>
          <w:rFonts w:ascii="Times New Roman" w:hAnsi="Times New Roman" w:cs="Times New Roman"/>
          <w:b/>
          <w:sz w:val="24"/>
          <w:szCs w:val="24"/>
        </w:rPr>
        <w:t>in</w:t>
      </w:r>
      <w:r w:rsidRPr="00624C31">
        <w:rPr>
          <w:rFonts w:ascii="Times New Roman" w:hAnsi="Times New Roman" w:cs="Times New Roman"/>
          <w:b/>
          <w:sz w:val="24"/>
          <w:szCs w:val="24"/>
        </w:rPr>
        <w:t xml:space="preserve"> Patients with </w:t>
      </w:r>
      <w:proofErr w:type="spellStart"/>
      <w:r w:rsidRPr="00624C31">
        <w:rPr>
          <w:rFonts w:ascii="Times New Roman" w:hAnsi="Times New Roman" w:cs="Times New Roman"/>
          <w:b/>
          <w:sz w:val="24"/>
          <w:szCs w:val="24"/>
        </w:rPr>
        <w:t>Ischaemic</w:t>
      </w:r>
      <w:proofErr w:type="spellEnd"/>
      <w:r w:rsidRPr="00624C31">
        <w:rPr>
          <w:rFonts w:ascii="Times New Roman" w:hAnsi="Times New Roman" w:cs="Times New Roman"/>
          <w:b/>
          <w:sz w:val="24"/>
          <w:szCs w:val="24"/>
        </w:rPr>
        <w:t xml:space="preserve"> Stroke</w:t>
      </w:r>
      <w:r w:rsidR="009F68F9">
        <w:rPr>
          <w:rFonts w:ascii="Times New Roman" w:hAnsi="Times New Roman" w:cs="Times New Roman"/>
          <w:b/>
          <w:sz w:val="24"/>
          <w:szCs w:val="24"/>
        </w:rPr>
        <w:t>:</w:t>
      </w:r>
      <w:r w:rsidR="0045452E">
        <w:rPr>
          <w:rFonts w:ascii="Times New Roman" w:hAnsi="Times New Roman" w:cs="Times New Roman"/>
          <w:b/>
          <w:sz w:val="24"/>
          <w:szCs w:val="24"/>
        </w:rPr>
        <w:t xml:space="preserve"> </w:t>
      </w:r>
      <w:r w:rsidR="00E33ACD">
        <w:rPr>
          <w:rFonts w:ascii="Times New Roman" w:hAnsi="Times New Roman" w:cs="Times New Roman"/>
          <w:b/>
          <w:sz w:val="24"/>
          <w:szCs w:val="24"/>
        </w:rPr>
        <w:t>A</w:t>
      </w:r>
      <w:r w:rsidR="0045452E">
        <w:rPr>
          <w:rFonts w:ascii="Times New Roman" w:hAnsi="Times New Roman" w:cs="Times New Roman"/>
          <w:b/>
          <w:sz w:val="24"/>
          <w:szCs w:val="24"/>
        </w:rPr>
        <w:t xml:space="preserve"> Prospective Observational Study</w:t>
      </w:r>
    </w:p>
    <w:p w14:paraId="2FF44C5B" w14:textId="77777777" w:rsidR="008C7E26" w:rsidRDefault="008C7E26">
      <w:pPr>
        <w:rPr>
          <w:rFonts w:ascii="Times New Roman" w:hAnsi="Times New Roman" w:cs="Times New Roman"/>
          <w:b/>
          <w:sz w:val="24"/>
          <w:szCs w:val="24"/>
        </w:rPr>
      </w:pPr>
    </w:p>
    <w:p w14:paraId="154AED75" w14:textId="77777777" w:rsidR="008C7E26" w:rsidRPr="00624C31" w:rsidRDefault="008C7E26">
      <w:pPr>
        <w:rPr>
          <w:rFonts w:ascii="Times New Roman" w:hAnsi="Times New Roman" w:cs="Times New Roman"/>
          <w:b/>
          <w:sz w:val="24"/>
          <w:szCs w:val="24"/>
        </w:rPr>
      </w:pPr>
    </w:p>
    <w:p w14:paraId="3BB37165" w14:textId="77777777" w:rsidR="00794C99" w:rsidRDefault="00794C99" w:rsidP="00624C31">
      <w:pPr>
        <w:rPr>
          <w:rFonts w:ascii="Times New Roman" w:hAnsi="Times New Roman" w:cs="Times New Roman"/>
          <w:b/>
          <w:sz w:val="24"/>
          <w:szCs w:val="24"/>
        </w:rPr>
      </w:pPr>
    </w:p>
    <w:p w14:paraId="2927AE93" w14:textId="2AD154EA" w:rsidR="00624C31" w:rsidRPr="00624C31" w:rsidRDefault="00624C31" w:rsidP="00624C31">
      <w:pPr>
        <w:rPr>
          <w:rFonts w:ascii="Times New Roman" w:hAnsi="Times New Roman" w:cs="Times New Roman"/>
          <w:b/>
          <w:sz w:val="24"/>
          <w:szCs w:val="24"/>
        </w:rPr>
      </w:pPr>
      <w:r w:rsidRPr="00624C31">
        <w:rPr>
          <w:rFonts w:ascii="Times New Roman" w:hAnsi="Times New Roman" w:cs="Times New Roman"/>
          <w:b/>
          <w:sz w:val="24"/>
          <w:szCs w:val="24"/>
        </w:rPr>
        <w:t>ABSTRACT</w:t>
      </w:r>
    </w:p>
    <w:p w14:paraId="726110CB" w14:textId="4FFE8969"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Background:</w:t>
      </w:r>
      <w:r w:rsidRPr="00624C31">
        <w:rPr>
          <w:rFonts w:ascii="Times New Roman" w:hAnsi="Times New Roman" w:cs="Times New Roman"/>
          <w:sz w:val="24"/>
          <w:szCs w:val="24"/>
        </w:rPr>
        <w:t xml:space="preserve"> </w:t>
      </w:r>
      <w:proofErr w:type="spellStart"/>
      <w:r w:rsidRPr="00624C31">
        <w:rPr>
          <w:rFonts w:ascii="Times New Roman" w:hAnsi="Times New Roman" w:cs="Times New Roman"/>
          <w:sz w:val="24"/>
          <w:szCs w:val="24"/>
        </w:rPr>
        <w:t>Ischaemic</w:t>
      </w:r>
      <w:proofErr w:type="spellEnd"/>
      <w:r w:rsidR="0045452E">
        <w:rPr>
          <w:rFonts w:ascii="Times New Roman" w:hAnsi="Times New Roman" w:cs="Times New Roman"/>
          <w:sz w:val="24"/>
          <w:szCs w:val="24"/>
        </w:rPr>
        <w:t xml:space="preserve"> stroke is a severe</w:t>
      </w:r>
      <w:r w:rsidRPr="00624C31">
        <w:rPr>
          <w:rFonts w:ascii="Times New Roman" w:hAnsi="Times New Roman" w:cs="Times New Roman"/>
          <w:sz w:val="24"/>
          <w:szCs w:val="24"/>
        </w:rPr>
        <w:t xml:space="preserve"> neurological event, which is associated with significant medical complications. Cardiac manifestations are common and can impact morbidity and mortality in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patients. </w:t>
      </w:r>
    </w:p>
    <w:p w14:paraId="10CE4252" w14:textId="54760DDC"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Methods:</w:t>
      </w:r>
      <w:r w:rsidRPr="00624C31">
        <w:rPr>
          <w:rFonts w:ascii="Times New Roman" w:hAnsi="Times New Roman" w:cs="Times New Roman"/>
          <w:sz w:val="24"/>
          <w:szCs w:val="24"/>
        </w:rPr>
        <w:t xml:space="preserve"> This prospective observational study was carried out in the department of Medicine and Neurology in Dhaka Medical College Hospital, Dhaka,</w:t>
      </w:r>
      <w:r>
        <w:rPr>
          <w:rFonts w:ascii="Times New Roman" w:hAnsi="Times New Roman" w:cs="Times New Roman"/>
          <w:sz w:val="24"/>
          <w:szCs w:val="24"/>
        </w:rPr>
        <w:t xml:space="preserve"> Bangladesh</w:t>
      </w:r>
      <w:r w:rsidRPr="00624C31">
        <w:rPr>
          <w:rFonts w:ascii="Times New Roman" w:hAnsi="Times New Roman" w:cs="Times New Roman"/>
          <w:sz w:val="24"/>
          <w:szCs w:val="24"/>
        </w:rPr>
        <w:t xml:space="preserve"> from 1st April</w:t>
      </w:r>
      <w:r w:rsidR="00ED0A14">
        <w:rPr>
          <w:rFonts w:ascii="Times New Roman" w:hAnsi="Times New Roman" w:cs="Times New Roman"/>
          <w:sz w:val="24"/>
          <w:szCs w:val="24"/>
        </w:rPr>
        <w:t xml:space="preserve"> 2022 to 30th September, 2024</w:t>
      </w:r>
      <w:r w:rsidRPr="00624C31">
        <w:rPr>
          <w:rFonts w:ascii="Times New Roman" w:hAnsi="Times New Roman" w:cs="Times New Roman"/>
          <w:sz w:val="24"/>
          <w:szCs w:val="24"/>
        </w:rPr>
        <w:t xml:space="preserve">. A total of 204patients suffering from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confirmed by CT scan of head were included in this study. The patients were divided into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elevated </w:t>
      </w:r>
      <w:r w:rsidR="0045452E" w:rsidRPr="0045452E">
        <w:rPr>
          <w:rFonts w:ascii="Times New Roman" w:hAnsi="Times New Roman" w:cs="Times New Roman"/>
          <w:sz w:val="24"/>
          <w:szCs w:val="24"/>
        </w:rPr>
        <w:t xml:space="preserve">serum cardiac troponin I </w:t>
      </w:r>
      <w:r w:rsidR="0045452E">
        <w:rPr>
          <w:rFonts w:ascii="Times New Roman" w:hAnsi="Times New Roman" w:cs="Times New Roman"/>
          <w:sz w:val="24"/>
          <w:szCs w:val="24"/>
        </w:rPr>
        <w:t>(</w:t>
      </w:r>
      <w:r w:rsidRPr="00624C31">
        <w:rPr>
          <w:rFonts w:ascii="Times New Roman" w:hAnsi="Times New Roman" w:cs="Times New Roman"/>
          <w:sz w:val="24"/>
          <w:szCs w:val="24"/>
        </w:rPr>
        <w:t>cTnI</w:t>
      </w:r>
      <w:r w:rsidR="0045452E">
        <w:rPr>
          <w:rFonts w:ascii="Times New Roman" w:hAnsi="Times New Roman" w:cs="Times New Roman"/>
          <w:sz w:val="24"/>
          <w:szCs w:val="24"/>
        </w:rPr>
        <w:t>)</w:t>
      </w:r>
      <w:r w:rsidRPr="00624C31">
        <w:rPr>
          <w:rFonts w:ascii="Times New Roman" w:hAnsi="Times New Roman" w:cs="Times New Roman"/>
          <w:sz w:val="24"/>
          <w:szCs w:val="24"/>
        </w:rPr>
        <w:t xml:space="preserve"> (Group I=cTnI&gt;0.1 ng/ml; n=102) and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normal cTnI (Group II=cTnI&lt;0.1 ng/ml; n=102) groups, based on Troponin I level measured within 72 hours of the incident. </w:t>
      </w:r>
    </w:p>
    <w:p w14:paraId="53D2FFF5" w14:textId="098F5003"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Results:</w:t>
      </w:r>
      <w:r w:rsidRPr="00624C31">
        <w:rPr>
          <w:rFonts w:ascii="Times New Roman" w:hAnsi="Times New Roman" w:cs="Times New Roman"/>
          <w:sz w:val="24"/>
          <w:szCs w:val="24"/>
        </w:rPr>
        <w:t xml:space="preserve"> The mean age of study population in Group I and Group II were 63.68±13.921 vs 58.75±12.694 years (p=0.001). The mean </w:t>
      </w:r>
      <w:r w:rsidR="0045452E" w:rsidRPr="0045452E">
        <w:rPr>
          <w:rFonts w:ascii="Times New Roman" w:hAnsi="Times New Roman" w:cs="Times New Roman"/>
          <w:sz w:val="24"/>
          <w:szCs w:val="24"/>
        </w:rPr>
        <w:t xml:space="preserve">The National Institutes of Health Stroke Scale </w:t>
      </w:r>
      <w:r w:rsidR="0045452E">
        <w:rPr>
          <w:rFonts w:ascii="Times New Roman" w:hAnsi="Times New Roman" w:cs="Times New Roman"/>
          <w:sz w:val="24"/>
          <w:szCs w:val="24"/>
        </w:rPr>
        <w:t>(</w:t>
      </w:r>
      <w:r w:rsidRPr="00624C31">
        <w:rPr>
          <w:rFonts w:ascii="Times New Roman" w:hAnsi="Times New Roman" w:cs="Times New Roman"/>
          <w:sz w:val="24"/>
          <w:szCs w:val="24"/>
        </w:rPr>
        <w:t>NIHSS</w:t>
      </w:r>
      <w:r w:rsidR="0045452E">
        <w:rPr>
          <w:rFonts w:ascii="Times New Roman" w:hAnsi="Times New Roman" w:cs="Times New Roman"/>
          <w:sz w:val="24"/>
          <w:szCs w:val="24"/>
        </w:rPr>
        <w:t>)</w:t>
      </w:r>
      <w:r w:rsidRPr="00624C31">
        <w:rPr>
          <w:rFonts w:ascii="Times New Roman" w:hAnsi="Times New Roman" w:cs="Times New Roman"/>
          <w:sz w:val="24"/>
          <w:szCs w:val="24"/>
        </w:rPr>
        <w:t xml:space="preserve"> Score in Group I was 7.86±4.553 and in Group II was 2.47±1.141 (p=0.001). </w:t>
      </w:r>
      <w:r w:rsidR="0045452E">
        <w:rPr>
          <w:rFonts w:ascii="Times New Roman" w:hAnsi="Times New Roman" w:cs="Times New Roman"/>
          <w:sz w:val="24"/>
          <w:szCs w:val="24"/>
        </w:rPr>
        <w:t xml:space="preserve">The mean serum cTnI was 6.79±7.84 and </w:t>
      </w:r>
      <w:r w:rsidR="0045452E" w:rsidRPr="00624C31">
        <w:rPr>
          <w:rFonts w:ascii="Times New Roman" w:hAnsi="Times New Roman" w:cs="Times New Roman"/>
          <w:sz w:val="24"/>
          <w:szCs w:val="24"/>
        </w:rPr>
        <w:t>0.031</w:t>
      </w:r>
      <w:r w:rsidRPr="00624C31">
        <w:rPr>
          <w:rFonts w:ascii="Times New Roman" w:hAnsi="Times New Roman" w:cs="Times New Roman"/>
          <w:sz w:val="24"/>
          <w:szCs w:val="24"/>
        </w:rPr>
        <w:t>±0.027 (p=0.001) in Group I and Group II</w:t>
      </w:r>
      <w:r w:rsidR="0045452E">
        <w:rPr>
          <w:rFonts w:ascii="Times New Roman" w:hAnsi="Times New Roman" w:cs="Times New Roman"/>
          <w:sz w:val="24"/>
          <w:szCs w:val="24"/>
        </w:rPr>
        <w:t xml:space="preserve"> respectively. The mean cTnI of different </w:t>
      </w:r>
      <w:r w:rsidR="0045452E" w:rsidRPr="0045452E">
        <w:rPr>
          <w:rFonts w:ascii="Times New Roman" w:hAnsi="Times New Roman" w:cs="Times New Roman"/>
          <w:sz w:val="24"/>
          <w:szCs w:val="24"/>
        </w:rPr>
        <w:t xml:space="preserve">The Modified Rankin Scale (MRS) </w:t>
      </w:r>
      <w:r w:rsidR="0045452E">
        <w:rPr>
          <w:rFonts w:ascii="Times New Roman" w:hAnsi="Times New Roman" w:cs="Times New Roman"/>
          <w:sz w:val="24"/>
          <w:szCs w:val="24"/>
        </w:rPr>
        <w:t xml:space="preserve">groups were </w:t>
      </w:r>
      <w:r w:rsidRPr="00624C31">
        <w:rPr>
          <w:rFonts w:ascii="Times New Roman" w:hAnsi="Times New Roman" w:cs="Times New Roman"/>
          <w:sz w:val="24"/>
          <w:szCs w:val="24"/>
        </w:rPr>
        <w:t>1.37±4.14 in independent</w:t>
      </w:r>
      <w:r w:rsidR="0045452E">
        <w:rPr>
          <w:rFonts w:ascii="Times New Roman" w:hAnsi="Times New Roman" w:cs="Times New Roman"/>
          <w:sz w:val="24"/>
          <w:szCs w:val="24"/>
        </w:rPr>
        <w:t xml:space="preserve"> category</w:t>
      </w:r>
      <w:r w:rsidRPr="00624C31">
        <w:rPr>
          <w:rFonts w:ascii="Times New Roman" w:hAnsi="Times New Roman" w:cs="Times New Roman"/>
          <w:sz w:val="24"/>
          <w:szCs w:val="24"/>
        </w:rPr>
        <w:t>, 3.53±5.85 in dependent</w:t>
      </w:r>
      <w:r w:rsidR="0045452E">
        <w:rPr>
          <w:rFonts w:ascii="Times New Roman" w:hAnsi="Times New Roman" w:cs="Times New Roman"/>
          <w:sz w:val="24"/>
          <w:szCs w:val="24"/>
        </w:rPr>
        <w:t xml:space="preserve"> category</w:t>
      </w:r>
      <w:r w:rsidRPr="00624C31">
        <w:rPr>
          <w:rFonts w:ascii="Times New Roman" w:hAnsi="Times New Roman" w:cs="Times New Roman"/>
          <w:sz w:val="24"/>
          <w:szCs w:val="24"/>
        </w:rPr>
        <w:t xml:space="preserve"> and 11.47±9.87 in death (p=0.001)</w:t>
      </w:r>
      <w:r w:rsidR="0045452E">
        <w:rPr>
          <w:rFonts w:ascii="Times New Roman" w:hAnsi="Times New Roman" w:cs="Times New Roman"/>
          <w:sz w:val="24"/>
          <w:szCs w:val="24"/>
        </w:rPr>
        <w:t xml:space="preserve"> category</w:t>
      </w:r>
      <w:r w:rsidRPr="00624C31">
        <w:rPr>
          <w:rFonts w:ascii="Times New Roman" w:hAnsi="Times New Roman" w:cs="Times New Roman"/>
          <w:sz w:val="24"/>
          <w:szCs w:val="24"/>
        </w:rPr>
        <w:t xml:space="preserve">. </w:t>
      </w:r>
      <w:r w:rsidR="0045452E">
        <w:rPr>
          <w:rFonts w:ascii="Times New Roman" w:hAnsi="Times New Roman" w:cs="Times New Roman"/>
          <w:sz w:val="24"/>
          <w:szCs w:val="24"/>
        </w:rPr>
        <w:t xml:space="preserve">65.69% </w:t>
      </w:r>
      <w:r w:rsidRPr="00624C31">
        <w:rPr>
          <w:rFonts w:ascii="Times New Roman" w:hAnsi="Times New Roman" w:cs="Times New Roman"/>
          <w:sz w:val="24"/>
          <w:szCs w:val="24"/>
        </w:rPr>
        <w:t>patients had poor outc</w:t>
      </w:r>
      <w:r w:rsidR="004C176F">
        <w:rPr>
          <w:rFonts w:ascii="Times New Roman" w:hAnsi="Times New Roman" w:cs="Times New Roman"/>
          <w:sz w:val="24"/>
          <w:szCs w:val="24"/>
        </w:rPr>
        <w:t>ome</w:t>
      </w:r>
      <w:r w:rsidR="0045452E">
        <w:rPr>
          <w:rFonts w:ascii="Times New Roman" w:hAnsi="Times New Roman" w:cs="Times New Roman"/>
          <w:sz w:val="24"/>
          <w:szCs w:val="24"/>
        </w:rPr>
        <w:t xml:space="preserve"> (MRS-Dependent and death category)</w:t>
      </w:r>
      <w:r w:rsidR="004C176F">
        <w:rPr>
          <w:rFonts w:ascii="Times New Roman" w:hAnsi="Times New Roman" w:cs="Times New Roman"/>
          <w:sz w:val="24"/>
          <w:szCs w:val="24"/>
        </w:rPr>
        <w:t xml:space="preserve"> </w:t>
      </w:r>
      <w:r w:rsidR="0045452E">
        <w:rPr>
          <w:rFonts w:ascii="Times New Roman" w:hAnsi="Times New Roman" w:cs="Times New Roman"/>
          <w:sz w:val="24"/>
          <w:szCs w:val="24"/>
        </w:rPr>
        <w:t>where cTn</w:t>
      </w:r>
      <w:r w:rsidR="004C176F">
        <w:rPr>
          <w:rFonts w:ascii="Times New Roman" w:hAnsi="Times New Roman" w:cs="Times New Roman"/>
          <w:sz w:val="24"/>
          <w:szCs w:val="24"/>
        </w:rPr>
        <w:t>I</w:t>
      </w:r>
      <w:r w:rsidR="0045452E">
        <w:rPr>
          <w:rFonts w:ascii="Times New Roman" w:hAnsi="Times New Roman" w:cs="Times New Roman"/>
          <w:sz w:val="24"/>
          <w:szCs w:val="24"/>
        </w:rPr>
        <w:t xml:space="preserve"> was &gt;0.10 while </w:t>
      </w:r>
      <w:r w:rsidR="0045452E" w:rsidRPr="00624C31">
        <w:rPr>
          <w:rFonts w:ascii="Times New Roman" w:hAnsi="Times New Roman" w:cs="Times New Roman"/>
          <w:sz w:val="24"/>
          <w:szCs w:val="24"/>
        </w:rPr>
        <w:t>only</w:t>
      </w:r>
      <w:r w:rsidR="0045452E">
        <w:rPr>
          <w:rFonts w:ascii="Times New Roman" w:hAnsi="Times New Roman" w:cs="Times New Roman"/>
          <w:sz w:val="24"/>
          <w:szCs w:val="24"/>
        </w:rPr>
        <w:t xml:space="preserve"> </w:t>
      </w:r>
      <w:r w:rsidRPr="00624C31">
        <w:rPr>
          <w:rFonts w:ascii="Times New Roman" w:hAnsi="Times New Roman" w:cs="Times New Roman"/>
          <w:sz w:val="24"/>
          <w:szCs w:val="24"/>
        </w:rPr>
        <w:t>40.20%</w:t>
      </w:r>
      <w:r w:rsidR="0045452E">
        <w:rPr>
          <w:rFonts w:ascii="Times New Roman" w:hAnsi="Times New Roman" w:cs="Times New Roman"/>
          <w:sz w:val="24"/>
          <w:szCs w:val="24"/>
        </w:rPr>
        <w:t xml:space="preserve"> had poor outcome where</w:t>
      </w:r>
      <w:r w:rsidRPr="00624C31">
        <w:rPr>
          <w:rFonts w:ascii="Times New Roman" w:hAnsi="Times New Roman" w:cs="Times New Roman"/>
          <w:sz w:val="24"/>
          <w:szCs w:val="24"/>
        </w:rPr>
        <w:t xml:space="preserve"> in </w:t>
      </w:r>
      <w:r w:rsidR="0045452E">
        <w:rPr>
          <w:rFonts w:ascii="Times New Roman" w:hAnsi="Times New Roman" w:cs="Times New Roman"/>
          <w:sz w:val="24"/>
          <w:szCs w:val="24"/>
        </w:rPr>
        <w:t xml:space="preserve">cTnI was </w:t>
      </w:r>
      <w:r w:rsidRPr="00624C31">
        <w:rPr>
          <w:rFonts w:ascii="Times New Roman" w:hAnsi="Times New Roman" w:cs="Times New Roman"/>
          <w:sz w:val="24"/>
          <w:szCs w:val="24"/>
        </w:rPr>
        <w:t>&lt;0.10. The difference was statistically significant between two groups (p&lt;0.05).</w:t>
      </w:r>
    </w:p>
    <w:p w14:paraId="60B22E5F" w14:textId="77777777" w:rsidR="00624C31" w:rsidRPr="00624C31" w:rsidRDefault="00624C31" w:rsidP="00624C31">
      <w:pPr>
        <w:jc w:val="both"/>
        <w:rPr>
          <w:rFonts w:ascii="Times New Roman" w:hAnsi="Times New Roman" w:cs="Times New Roman"/>
          <w:sz w:val="24"/>
          <w:szCs w:val="24"/>
        </w:rPr>
      </w:pPr>
      <w:r w:rsidRPr="00624C31">
        <w:rPr>
          <w:rFonts w:ascii="Times New Roman" w:hAnsi="Times New Roman" w:cs="Times New Roman"/>
          <w:b/>
          <w:sz w:val="24"/>
          <w:szCs w:val="24"/>
        </w:rPr>
        <w:t>Conclusion:</w:t>
      </w:r>
      <w:r w:rsidRPr="00624C31">
        <w:rPr>
          <w:rFonts w:ascii="Times New Roman" w:hAnsi="Times New Roman" w:cs="Times New Roman"/>
          <w:sz w:val="24"/>
          <w:szCs w:val="24"/>
        </w:rPr>
        <w:t xml:space="preserve"> Measurements of serum cardiac troponin I reveal a higher incidence of myocardial injury in patients with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Raised serum cardiac troponin I is associated with more severe neurological injury. </w:t>
      </w:r>
    </w:p>
    <w:p w14:paraId="2EA9E095" w14:textId="77777777" w:rsidR="00624C31" w:rsidRDefault="00624C31" w:rsidP="00624C31">
      <w:pPr>
        <w:jc w:val="both"/>
        <w:rPr>
          <w:rFonts w:ascii="Times New Roman" w:hAnsi="Times New Roman" w:cs="Times New Roman"/>
          <w:i/>
          <w:sz w:val="24"/>
          <w:szCs w:val="24"/>
        </w:rPr>
      </w:pPr>
      <w:r w:rsidRPr="00624C31">
        <w:rPr>
          <w:rFonts w:ascii="Times New Roman" w:hAnsi="Times New Roman" w:cs="Times New Roman"/>
          <w:sz w:val="24"/>
          <w:szCs w:val="24"/>
        </w:rPr>
        <w:t xml:space="preserve">Keywords: </w:t>
      </w:r>
      <w:proofErr w:type="spellStart"/>
      <w:r w:rsidRPr="00624C31">
        <w:rPr>
          <w:rFonts w:ascii="Times New Roman" w:hAnsi="Times New Roman" w:cs="Times New Roman"/>
          <w:i/>
          <w:sz w:val="24"/>
          <w:szCs w:val="24"/>
        </w:rPr>
        <w:t>Ischaemic</w:t>
      </w:r>
      <w:proofErr w:type="spellEnd"/>
      <w:r w:rsidRPr="00624C31">
        <w:rPr>
          <w:rFonts w:ascii="Times New Roman" w:hAnsi="Times New Roman" w:cs="Times New Roman"/>
          <w:i/>
          <w:sz w:val="24"/>
          <w:szCs w:val="24"/>
        </w:rPr>
        <w:t xml:space="preserve"> Stroke, Troponin I, In</w:t>
      </w:r>
      <w:r>
        <w:rPr>
          <w:rFonts w:ascii="Times New Roman" w:hAnsi="Times New Roman" w:cs="Times New Roman"/>
          <w:i/>
          <w:sz w:val="24"/>
          <w:szCs w:val="24"/>
        </w:rPr>
        <w:t>-</w:t>
      </w:r>
      <w:r w:rsidRPr="00624C31">
        <w:rPr>
          <w:rFonts w:ascii="Times New Roman" w:hAnsi="Times New Roman" w:cs="Times New Roman"/>
          <w:i/>
          <w:sz w:val="24"/>
          <w:szCs w:val="24"/>
        </w:rPr>
        <w:t xml:space="preserve"> hospital outcome.</w:t>
      </w:r>
    </w:p>
    <w:p w14:paraId="30A457E5" w14:textId="77777777" w:rsidR="0045452E" w:rsidRDefault="0045452E" w:rsidP="00624C31">
      <w:pPr>
        <w:jc w:val="both"/>
        <w:rPr>
          <w:rFonts w:ascii="Times New Roman" w:hAnsi="Times New Roman" w:cs="Times New Roman"/>
          <w:b/>
          <w:sz w:val="24"/>
          <w:szCs w:val="24"/>
        </w:rPr>
      </w:pPr>
    </w:p>
    <w:p w14:paraId="68C7BEBC" w14:textId="77777777" w:rsidR="0045452E" w:rsidRDefault="0045452E" w:rsidP="00624C31">
      <w:pPr>
        <w:jc w:val="both"/>
        <w:rPr>
          <w:rFonts w:ascii="Times New Roman" w:hAnsi="Times New Roman" w:cs="Times New Roman"/>
          <w:b/>
          <w:sz w:val="24"/>
          <w:szCs w:val="24"/>
        </w:rPr>
      </w:pPr>
    </w:p>
    <w:p w14:paraId="51ED0F6F" w14:textId="77777777" w:rsidR="0045452E" w:rsidRDefault="0045452E" w:rsidP="00624C31">
      <w:pPr>
        <w:jc w:val="both"/>
        <w:rPr>
          <w:rFonts w:ascii="Times New Roman" w:hAnsi="Times New Roman" w:cs="Times New Roman"/>
          <w:b/>
          <w:sz w:val="24"/>
          <w:szCs w:val="24"/>
        </w:rPr>
      </w:pPr>
    </w:p>
    <w:p w14:paraId="72EA6ED6" w14:textId="77777777" w:rsidR="0045452E" w:rsidRDefault="0045452E" w:rsidP="00624C31">
      <w:pPr>
        <w:jc w:val="both"/>
        <w:rPr>
          <w:rFonts w:ascii="Times New Roman" w:hAnsi="Times New Roman" w:cs="Times New Roman"/>
          <w:b/>
          <w:sz w:val="24"/>
          <w:szCs w:val="24"/>
        </w:rPr>
      </w:pPr>
    </w:p>
    <w:p w14:paraId="6315C6BC" w14:textId="77777777" w:rsidR="00624C31" w:rsidRDefault="00624C31" w:rsidP="00624C31">
      <w:pPr>
        <w:jc w:val="both"/>
        <w:rPr>
          <w:rFonts w:ascii="Times New Roman" w:hAnsi="Times New Roman" w:cs="Times New Roman"/>
          <w:b/>
          <w:sz w:val="24"/>
          <w:szCs w:val="24"/>
        </w:rPr>
      </w:pPr>
      <w:r w:rsidRPr="00624C31">
        <w:rPr>
          <w:rFonts w:ascii="Times New Roman" w:hAnsi="Times New Roman" w:cs="Times New Roman"/>
          <w:b/>
          <w:sz w:val="24"/>
          <w:szCs w:val="24"/>
        </w:rPr>
        <w:lastRenderedPageBreak/>
        <w:t>Introduction:</w:t>
      </w:r>
    </w:p>
    <w:p w14:paraId="55761807" w14:textId="580FD276" w:rsidR="00624C31" w:rsidRPr="00624C31" w:rsidRDefault="00AB2BD7" w:rsidP="00624C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24C31" w:rsidRPr="00624C31">
        <w:rPr>
          <w:rFonts w:ascii="Times New Roman" w:hAnsi="Times New Roman" w:cs="Times New Roman"/>
          <w:sz w:val="24"/>
          <w:szCs w:val="24"/>
        </w:rPr>
        <w:t>Cerebrovascular and cardiovascular diseases are major causes of death and disability worldwide</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w:t>
      </w:r>
      <w:proofErr w:type="spellStart"/>
      <w:r w:rsidR="00624C31" w:rsidRPr="00624C31">
        <w:rPr>
          <w:rFonts w:ascii="Times New Roman" w:hAnsi="Times New Roman" w:cs="Times New Roman"/>
          <w:sz w:val="24"/>
          <w:szCs w:val="24"/>
        </w:rPr>
        <w:t>scheitz</w:t>
      </w:r>
      <w:proofErr w:type="spellEnd"/>
      <w:r w:rsidR="00624C31" w:rsidRPr="00624C31">
        <w:rPr>
          <w:rFonts w:ascii="Times New Roman" w:hAnsi="Times New Roman" w:cs="Times New Roman"/>
          <w:sz w:val="24"/>
          <w:szCs w:val="24"/>
        </w:rPr>
        <w:t xml:space="preserve"> et al., 2015). </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With this </w:t>
      </w:r>
      <w:proofErr w:type="gramStart"/>
      <w:r w:rsidR="00624C31" w:rsidRPr="00624C31">
        <w:rPr>
          <w:rFonts w:ascii="Times New Roman" w:hAnsi="Times New Roman" w:cs="Times New Roman"/>
          <w:sz w:val="24"/>
          <w:szCs w:val="24"/>
        </w:rPr>
        <w:t>fast economic</w:t>
      </w:r>
      <w:proofErr w:type="gramEnd"/>
      <w:r w:rsidR="00624C31" w:rsidRPr="00624C31">
        <w:rPr>
          <w:rFonts w:ascii="Times New Roman" w:hAnsi="Times New Roman" w:cs="Times New Roman"/>
          <w:sz w:val="24"/>
          <w:szCs w:val="24"/>
        </w:rPr>
        <w:t xml:space="preserve"> transition, the burden of diseases in Bangladesh is shifting from infectious disease to non-communicable ones and the major cause of death has gradually shifted from infectio</w:t>
      </w:r>
      <w:r w:rsidR="00ED0A14">
        <w:rPr>
          <w:rFonts w:ascii="Times New Roman" w:hAnsi="Times New Roman" w:cs="Times New Roman"/>
          <w:sz w:val="24"/>
          <w:szCs w:val="24"/>
        </w:rPr>
        <w:t>us and parasitic diseases to non-communicable diseases</w:t>
      </w:r>
      <w:r w:rsidR="0045452E">
        <w:rPr>
          <w:rFonts w:ascii="Times New Roman" w:hAnsi="Times New Roman" w:cs="Times New Roman"/>
          <w:sz w:val="24"/>
          <w:szCs w:val="24"/>
        </w:rPr>
        <w:t xml:space="preserve"> </w:t>
      </w:r>
      <w:r w:rsidR="00ED0A14">
        <w:rPr>
          <w:rFonts w:ascii="Times New Roman" w:hAnsi="Times New Roman" w:cs="Times New Roman"/>
          <w:sz w:val="24"/>
          <w:szCs w:val="24"/>
        </w:rPr>
        <w:t>(NCDs)</w:t>
      </w:r>
      <w:r w:rsidR="00624C31" w:rsidRPr="00624C31">
        <w:rPr>
          <w:rFonts w:ascii="Times New Roman" w:hAnsi="Times New Roman" w:cs="Times New Roman"/>
          <w:sz w:val="24"/>
          <w:szCs w:val="24"/>
        </w:rPr>
        <w:t>over the last three de</w:t>
      </w:r>
      <w:r w:rsidR="00624C31">
        <w:rPr>
          <w:rFonts w:ascii="Times New Roman" w:hAnsi="Times New Roman" w:cs="Times New Roman"/>
          <w:sz w:val="24"/>
          <w:szCs w:val="24"/>
        </w:rPr>
        <w:t>cades</w:t>
      </w:r>
      <w:r>
        <w:rPr>
          <w:rFonts w:ascii="Times New Roman" w:hAnsi="Times New Roman" w:cs="Times New Roman"/>
          <w:sz w:val="24"/>
          <w:szCs w:val="24"/>
        </w:rPr>
        <w:t>”</w:t>
      </w:r>
      <w:r w:rsidR="00624C31">
        <w:rPr>
          <w:rFonts w:ascii="Times New Roman" w:hAnsi="Times New Roman" w:cs="Times New Roman"/>
          <w:sz w:val="24"/>
          <w:szCs w:val="24"/>
        </w:rPr>
        <w:t xml:space="preserve"> (Bleich SN et al., 2011).</w:t>
      </w:r>
      <w:r>
        <w:rPr>
          <w:rFonts w:ascii="Times New Roman" w:hAnsi="Times New Roman" w:cs="Times New Roman"/>
          <w:sz w:val="24"/>
          <w:szCs w:val="24"/>
        </w:rPr>
        <w:t xml:space="preserve"> “</w:t>
      </w:r>
      <w:r w:rsidR="00624C31" w:rsidRPr="00624C31">
        <w:rPr>
          <w:rFonts w:ascii="Times New Roman" w:hAnsi="Times New Roman" w:cs="Times New Roman"/>
          <w:sz w:val="24"/>
          <w:szCs w:val="24"/>
        </w:rPr>
        <w:t xml:space="preserve">The World Health Organization ranks Bangladesh’s mortality rate due to stroke as number 84 in the world. The nationwide survey yielded a crude prevalence of stroke 11.39 per thousand population. The highest prevalence (14.71/1000) was found in Mymensingh and the lowest in </w:t>
      </w:r>
      <w:proofErr w:type="spellStart"/>
      <w:r w:rsidR="00624C31" w:rsidRPr="00624C31">
        <w:rPr>
          <w:rFonts w:ascii="Times New Roman" w:hAnsi="Times New Roman" w:cs="Times New Roman"/>
          <w:sz w:val="24"/>
          <w:szCs w:val="24"/>
        </w:rPr>
        <w:t>Rajshahi</w:t>
      </w:r>
      <w:proofErr w:type="spellEnd"/>
      <w:r w:rsidR="00624C31" w:rsidRPr="00624C31">
        <w:rPr>
          <w:rFonts w:ascii="Times New Roman" w:hAnsi="Times New Roman" w:cs="Times New Roman"/>
          <w:sz w:val="24"/>
          <w:szCs w:val="24"/>
        </w:rPr>
        <w:t xml:space="preserve"> (7.62/1000). The prevalence of stroke in males was almost twice that in females</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(Mondal et al., 2022). </w:t>
      </w:r>
    </w:p>
    <w:p w14:paraId="2E849671" w14:textId="006792B8" w:rsidR="00624C31" w:rsidRPr="00624C31" w:rsidRDefault="00AB2BD7" w:rsidP="00624C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24C31" w:rsidRPr="00624C31">
        <w:rPr>
          <w:rFonts w:ascii="Times New Roman" w:hAnsi="Times New Roman" w:cs="Times New Roman"/>
          <w:sz w:val="24"/>
          <w:szCs w:val="24"/>
        </w:rPr>
        <w:t>Stroke is classically characterized as a neurological deficit attributed to an acute focal injury of the central nervous system (CNS) by a vascular cause, including cerebral infarction, intracerebral hemorrhage (ICH), and subarachnoid hemorrhage (SAH), and is a major cause of disability and death worldwide</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(Sacco et al., 2013). </w:t>
      </w:r>
    </w:p>
    <w:p w14:paraId="2F8C34FC" w14:textId="6D686A18" w:rsidR="00624C31" w:rsidRDefault="00AB2BD7" w:rsidP="00624C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24C31" w:rsidRPr="00624C31">
        <w:rPr>
          <w:rFonts w:ascii="Times New Roman" w:hAnsi="Times New Roman" w:cs="Times New Roman"/>
          <w:sz w:val="24"/>
          <w:szCs w:val="24"/>
        </w:rPr>
        <w:t xml:space="preserve">Stroke has been divided into two major types,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and hemorrhagic.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stroke is the most common type of stroke, accounting for 80% of all strokes and has a poor prognosis and is associated with high mortality rate (Yang et al., 2018). Intracerebral hemorrhage (ICH) accounts for approximately 10 to 20% of stroke (</w:t>
      </w:r>
      <w:proofErr w:type="spellStart"/>
      <w:r w:rsidR="00624C31" w:rsidRPr="00624C31">
        <w:rPr>
          <w:rFonts w:ascii="Times New Roman" w:hAnsi="Times New Roman" w:cs="Times New Roman"/>
          <w:sz w:val="24"/>
          <w:szCs w:val="24"/>
        </w:rPr>
        <w:t>caplan</w:t>
      </w:r>
      <w:proofErr w:type="spellEnd"/>
      <w:r w:rsidR="00624C31" w:rsidRPr="00624C31">
        <w:rPr>
          <w:rFonts w:ascii="Times New Roman" w:hAnsi="Times New Roman" w:cs="Times New Roman"/>
          <w:sz w:val="24"/>
          <w:szCs w:val="24"/>
        </w:rPr>
        <w:t xml:space="preserve"> et al., 1992). In Bangladesh, the majority had an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stroke (79.7%), followed by intracerebral hemorrhage (15.7%) and subarachnoid hemorrhage (4.6%)</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(Mondal et al., 2022).</w:t>
      </w:r>
    </w:p>
    <w:p w14:paraId="30D96969" w14:textId="48F3F83C" w:rsidR="00624C31" w:rsidRPr="00624C31" w:rsidRDefault="00AB2BD7" w:rsidP="00624C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24C31" w:rsidRPr="00624C31">
        <w:rPr>
          <w:rFonts w:ascii="Times New Roman" w:hAnsi="Times New Roman" w:cs="Times New Roman"/>
          <w:sz w:val="24"/>
          <w:szCs w:val="24"/>
        </w:rPr>
        <w:t xml:space="preserve">In Bangladesh,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stroke was presented as hemiparesis, in 66.2% patients followed by 57.0% patients were inability to talk, 33.8% presented with hemiplegia, 20.4% had vertigo, 9.2% had headache, 7.0% had vomiting, 2.8% had loss of consciousness and 2.1% had convulsion. Maximum incidences occurred during sleep (36.6%), during day to day activity 39.4% and resting condition (21.8%) respectively</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(Ara et al., 2018).</w:t>
      </w:r>
    </w:p>
    <w:p w14:paraId="1FADAE06" w14:textId="6DCD4910" w:rsidR="00624C31" w:rsidRPr="00624C31" w:rsidRDefault="00AB2BD7" w:rsidP="00624C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24C31" w:rsidRPr="00624C31">
        <w:rPr>
          <w:rFonts w:ascii="Times New Roman" w:hAnsi="Times New Roman" w:cs="Times New Roman"/>
          <w:sz w:val="24"/>
          <w:szCs w:val="24"/>
        </w:rPr>
        <w:t xml:space="preserve">The people of Bangladesh are vulnerable to various subtypes of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stroke and higher prevalence of large-artery atherosclerosis (LAA) suggests the presence of uncontrolled hypertension, diabetes mellitus, smoking habit and dyslipidemia</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w:t>
      </w:r>
      <w:proofErr w:type="spellStart"/>
      <w:r w:rsidR="00624C31" w:rsidRPr="00624C31">
        <w:rPr>
          <w:rFonts w:ascii="Times New Roman" w:hAnsi="Times New Roman" w:cs="Times New Roman"/>
          <w:sz w:val="24"/>
          <w:szCs w:val="24"/>
        </w:rPr>
        <w:t>Shahidullah</w:t>
      </w:r>
      <w:proofErr w:type="spellEnd"/>
      <w:r w:rsidR="00624C31" w:rsidRPr="00624C31">
        <w:rPr>
          <w:rFonts w:ascii="Times New Roman" w:hAnsi="Times New Roman" w:cs="Times New Roman"/>
          <w:sz w:val="24"/>
          <w:szCs w:val="24"/>
        </w:rPr>
        <w:t xml:space="preserve"> et al., 2021). </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Acute stroke patients, mostly have moderate grade of NIHSS score on admission and there is </w:t>
      </w:r>
      <w:r w:rsidR="00624C31" w:rsidRPr="00624C31">
        <w:rPr>
          <w:rFonts w:ascii="Times New Roman" w:hAnsi="Times New Roman" w:cs="Times New Roman"/>
          <w:sz w:val="24"/>
          <w:szCs w:val="24"/>
        </w:rPr>
        <w:lastRenderedPageBreak/>
        <w:t xml:space="preserve">significant association between hypoxia and admission NIHSS score </w:t>
      </w:r>
      <w:r w:rsidR="00624C31">
        <w:rPr>
          <w:rFonts w:ascii="Times New Roman" w:hAnsi="Times New Roman" w:cs="Times New Roman"/>
          <w:sz w:val="24"/>
          <w:szCs w:val="24"/>
        </w:rPr>
        <w:t>severity</w:t>
      </w:r>
      <w:r>
        <w:rPr>
          <w:rFonts w:ascii="Times New Roman" w:hAnsi="Times New Roman" w:cs="Times New Roman"/>
          <w:sz w:val="24"/>
          <w:szCs w:val="24"/>
        </w:rPr>
        <w:t>”</w:t>
      </w:r>
      <w:r w:rsidR="00624C31">
        <w:rPr>
          <w:rFonts w:ascii="Times New Roman" w:hAnsi="Times New Roman" w:cs="Times New Roman"/>
          <w:sz w:val="24"/>
          <w:szCs w:val="24"/>
        </w:rPr>
        <w:t xml:space="preserve"> (Ghose et al., 2018). </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In recent years, considerable investigative interest has been directed at the cardiac Troponin I, a new marker of myocardial injury. Troponin elevations have been reported in 27–34% of patients with </w:t>
      </w:r>
      <w:r w:rsidR="004A0803" w:rsidRPr="00624C31">
        <w:rPr>
          <w:rFonts w:ascii="Times New Roman" w:hAnsi="Times New Roman" w:cs="Times New Roman"/>
          <w:sz w:val="24"/>
          <w:szCs w:val="24"/>
        </w:rPr>
        <w:t>stroke and</w:t>
      </w:r>
      <w:r w:rsidR="00624C31" w:rsidRPr="00624C31">
        <w:rPr>
          <w:rFonts w:ascii="Times New Roman" w:hAnsi="Times New Roman" w:cs="Times New Roman"/>
          <w:sz w:val="24"/>
          <w:szCs w:val="24"/>
        </w:rPr>
        <w:t xml:space="preserve"> have been associated with increased mortality after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stroke, intracerebral hemorrhage (ICH) and subarachnoid hemorrhage (SAH). In patients with high troponin levels mortality was 14.7% in ischemic stroke patients, 31.3% in ICH patients, and 43.8% in SAH</w:t>
      </w:r>
      <w:r>
        <w:rPr>
          <w:rFonts w:ascii="Times New Roman" w:hAnsi="Times New Roman" w:cs="Times New Roman"/>
          <w:sz w:val="24"/>
          <w:szCs w:val="24"/>
        </w:rPr>
        <w:t>”</w:t>
      </w:r>
      <w:r w:rsidR="00624C31" w:rsidRPr="00624C31">
        <w:rPr>
          <w:rFonts w:ascii="Times New Roman" w:hAnsi="Times New Roman" w:cs="Times New Roman"/>
          <w:sz w:val="24"/>
          <w:szCs w:val="24"/>
        </w:rPr>
        <w:t xml:space="preserve"> (</w:t>
      </w:r>
      <w:proofErr w:type="spellStart"/>
      <w:r w:rsidR="00624C31" w:rsidRPr="00624C31">
        <w:rPr>
          <w:rFonts w:ascii="Times New Roman" w:hAnsi="Times New Roman" w:cs="Times New Roman"/>
          <w:sz w:val="24"/>
          <w:szCs w:val="24"/>
        </w:rPr>
        <w:t>Alkhachroum</w:t>
      </w:r>
      <w:proofErr w:type="spellEnd"/>
      <w:r w:rsidR="00624C31" w:rsidRPr="00624C31">
        <w:rPr>
          <w:rFonts w:ascii="Times New Roman" w:hAnsi="Times New Roman" w:cs="Times New Roman"/>
          <w:sz w:val="24"/>
          <w:szCs w:val="24"/>
        </w:rPr>
        <w:t xml:space="preserve"> et al., 2019). </w:t>
      </w:r>
    </w:p>
    <w:p w14:paraId="64F9DD97" w14:textId="126D49E0" w:rsidR="00624C31" w:rsidRDefault="00A41FF0" w:rsidP="00624C31">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24C31" w:rsidRPr="00624C31">
        <w:rPr>
          <w:rFonts w:ascii="Times New Roman" w:hAnsi="Times New Roman" w:cs="Times New Roman"/>
          <w:sz w:val="24"/>
          <w:szCs w:val="24"/>
        </w:rPr>
        <w:t>Detection of elevated cardiac troponin I is appropriate to categorize the patients into high risk group. Multidisciplinary team management can reduce the mortality, morbidity and improved poor neurological outcome</w:t>
      </w:r>
      <w:r>
        <w:rPr>
          <w:rFonts w:ascii="Times New Roman" w:hAnsi="Times New Roman" w:cs="Times New Roman"/>
          <w:sz w:val="24"/>
          <w:szCs w:val="24"/>
        </w:rPr>
        <w:t>” (</w:t>
      </w:r>
      <w:r w:rsidRPr="00A41FF0">
        <w:rPr>
          <w:rFonts w:ascii="Times New Roman" w:hAnsi="Times New Roman" w:cs="Times New Roman"/>
          <w:sz w:val="24"/>
          <w:szCs w:val="24"/>
        </w:rPr>
        <w:t>Ghose et al., 2018</w:t>
      </w:r>
      <w:bookmarkStart w:id="0" w:name="_GoBack"/>
      <w:bookmarkEnd w:id="0"/>
      <w:r>
        <w:rPr>
          <w:rFonts w:ascii="Times New Roman" w:hAnsi="Times New Roman" w:cs="Times New Roman"/>
          <w:sz w:val="24"/>
          <w:szCs w:val="24"/>
        </w:rPr>
        <w:t>)</w:t>
      </w:r>
      <w:r w:rsidR="00624C31" w:rsidRPr="00624C31">
        <w:rPr>
          <w:rFonts w:ascii="Times New Roman" w:hAnsi="Times New Roman" w:cs="Times New Roman"/>
          <w:sz w:val="24"/>
          <w:szCs w:val="24"/>
        </w:rPr>
        <w:t xml:space="preserve">. Therefore, the aim of this study will be to evaluate the association of serum cardiac Troponin I and in hospital outcome in patients with </w:t>
      </w:r>
      <w:proofErr w:type="spellStart"/>
      <w:r w:rsidR="00624C31" w:rsidRPr="00624C31">
        <w:rPr>
          <w:rFonts w:ascii="Times New Roman" w:hAnsi="Times New Roman" w:cs="Times New Roman"/>
          <w:sz w:val="24"/>
          <w:szCs w:val="24"/>
        </w:rPr>
        <w:t>ischaemic</w:t>
      </w:r>
      <w:proofErr w:type="spellEnd"/>
      <w:r w:rsidR="00624C31" w:rsidRPr="00624C31">
        <w:rPr>
          <w:rFonts w:ascii="Times New Roman" w:hAnsi="Times New Roman" w:cs="Times New Roman"/>
          <w:sz w:val="24"/>
          <w:szCs w:val="24"/>
        </w:rPr>
        <w:t xml:space="preserve"> stroke in Dhaka </w:t>
      </w:r>
      <w:r w:rsidR="00624C31">
        <w:rPr>
          <w:rFonts w:ascii="Times New Roman" w:hAnsi="Times New Roman" w:cs="Times New Roman"/>
          <w:sz w:val="24"/>
          <w:szCs w:val="24"/>
        </w:rPr>
        <w:t>Medical College Hospital, Dhaka, Bangladesh.</w:t>
      </w:r>
    </w:p>
    <w:p w14:paraId="16A45C3A" w14:textId="77777777" w:rsidR="00624C31" w:rsidRDefault="00624C31" w:rsidP="00624C31">
      <w:pPr>
        <w:spacing w:line="360" w:lineRule="auto"/>
        <w:jc w:val="both"/>
        <w:rPr>
          <w:rFonts w:ascii="Times New Roman" w:hAnsi="Times New Roman" w:cs="Times New Roman"/>
          <w:b/>
          <w:sz w:val="24"/>
          <w:szCs w:val="24"/>
        </w:rPr>
      </w:pPr>
      <w:r w:rsidRPr="00624C31">
        <w:rPr>
          <w:rFonts w:ascii="Times New Roman" w:hAnsi="Times New Roman" w:cs="Times New Roman"/>
          <w:b/>
          <w:sz w:val="24"/>
          <w:szCs w:val="24"/>
        </w:rPr>
        <w:t>Materials and methods:</w:t>
      </w:r>
    </w:p>
    <w:p w14:paraId="3A72D9B0" w14:textId="51D98C58" w:rsidR="00624C31" w:rsidRDefault="00624C31" w:rsidP="00624C31">
      <w:pPr>
        <w:spacing w:line="360" w:lineRule="auto"/>
        <w:jc w:val="both"/>
      </w:pPr>
      <w:r w:rsidRPr="00624C31">
        <w:rPr>
          <w:rFonts w:ascii="Times New Roman" w:hAnsi="Times New Roman" w:cs="Times New Roman"/>
          <w:sz w:val="24"/>
          <w:szCs w:val="24"/>
        </w:rPr>
        <w:t>This prospective observational study was carried out in the department of Medicine and Neurology in Dhaka Medical College Hospital, Dhaka,</w:t>
      </w:r>
      <w:r w:rsidR="00FF0556">
        <w:rPr>
          <w:rFonts w:ascii="Times New Roman" w:hAnsi="Times New Roman" w:cs="Times New Roman"/>
          <w:sz w:val="24"/>
          <w:szCs w:val="24"/>
        </w:rPr>
        <w:t xml:space="preserve"> </w:t>
      </w:r>
      <w:r>
        <w:rPr>
          <w:rFonts w:ascii="Times New Roman" w:hAnsi="Times New Roman" w:cs="Times New Roman"/>
          <w:sz w:val="24"/>
          <w:szCs w:val="24"/>
        </w:rPr>
        <w:t>Bangladesh</w:t>
      </w:r>
      <w:r w:rsidRPr="00624C31">
        <w:rPr>
          <w:rFonts w:ascii="Times New Roman" w:hAnsi="Times New Roman" w:cs="Times New Roman"/>
          <w:sz w:val="24"/>
          <w:szCs w:val="24"/>
        </w:rPr>
        <w:t xml:space="preserve"> from 1st April</w:t>
      </w:r>
      <w:r w:rsidR="00ED0A14">
        <w:rPr>
          <w:rFonts w:ascii="Times New Roman" w:hAnsi="Times New Roman" w:cs="Times New Roman"/>
          <w:sz w:val="24"/>
          <w:szCs w:val="24"/>
        </w:rPr>
        <w:t xml:space="preserve"> 2022 to 30th September, 2024</w:t>
      </w:r>
      <w:r w:rsidRPr="00624C31">
        <w:rPr>
          <w:rFonts w:ascii="Times New Roman" w:hAnsi="Times New Roman" w:cs="Times New Roman"/>
          <w:sz w:val="24"/>
          <w:szCs w:val="24"/>
        </w:rPr>
        <w:t xml:space="preserve">. A total of 204patients suffering from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confirmed by CT scan of head were included in this study</w:t>
      </w:r>
      <w:r>
        <w:rPr>
          <w:rFonts w:ascii="Times New Roman" w:hAnsi="Times New Roman" w:cs="Times New Roman"/>
          <w:sz w:val="24"/>
          <w:szCs w:val="24"/>
        </w:rPr>
        <w:t xml:space="preserve"> by purposive sampling method</w:t>
      </w:r>
      <w:r w:rsidRPr="00624C31">
        <w:rPr>
          <w:rFonts w:ascii="Times New Roman" w:hAnsi="Times New Roman" w:cs="Times New Roman"/>
          <w:sz w:val="24"/>
          <w:szCs w:val="24"/>
        </w:rPr>
        <w:t xml:space="preserve">. The patients were divided into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elevated cTnI (Group I=cTnI&gt;0.1 ng/ml; n=102) and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 normal cTnI (Group II=cTnI&lt;0.1 ng/ml; n=102) groups, based on Troponin I level measured within 72 hours of the incident.</w:t>
      </w:r>
      <w:r w:rsidRPr="00624C31">
        <w:t xml:space="preserve"> </w:t>
      </w:r>
    </w:p>
    <w:p w14:paraId="63160CC0" w14:textId="77777777" w:rsidR="00624C31" w:rsidRPr="00624C31" w:rsidRDefault="00624C31" w:rsidP="00624C31">
      <w:pPr>
        <w:spacing w:after="0" w:line="360" w:lineRule="auto"/>
        <w:jc w:val="both"/>
        <w:rPr>
          <w:rFonts w:ascii="Times New Roman" w:hAnsi="Times New Roman" w:cs="Times New Roman"/>
          <w:b/>
          <w:sz w:val="24"/>
          <w:szCs w:val="24"/>
        </w:rPr>
      </w:pPr>
      <w:r w:rsidRPr="00624C31">
        <w:rPr>
          <w:rFonts w:ascii="Times New Roman" w:hAnsi="Times New Roman" w:cs="Times New Roman"/>
          <w:b/>
          <w:sz w:val="24"/>
          <w:szCs w:val="24"/>
        </w:rPr>
        <w:t xml:space="preserve"> Inclusion criteria:</w:t>
      </w:r>
    </w:p>
    <w:p w14:paraId="5FF41D74"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1. Age &gt; 18 year of both sex</w:t>
      </w:r>
    </w:p>
    <w:p w14:paraId="331AE713"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2. </w:t>
      </w:r>
      <w:proofErr w:type="spellStart"/>
      <w:r w:rsidRPr="00624C31">
        <w:rPr>
          <w:rFonts w:ascii="Times New Roman" w:hAnsi="Times New Roman" w:cs="Times New Roman"/>
          <w:sz w:val="24"/>
          <w:szCs w:val="24"/>
        </w:rPr>
        <w:t>Ischaemic</w:t>
      </w:r>
      <w:proofErr w:type="spellEnd"/>
      <w:r w:rsidRPr="00624C31">
        <w:rPr>
          <w:rFonts w:ascii="Times New Roman" w:hAnsi="Times New Roman" w:cs="Times New Roman"/>
          <w:sz w:val="24"/>
          <w:szCs w:val="24"/>
        </w:rPr>
        <w:t xml:space="preserve"> stroke within 3 days of the incident</w:t>
      </w:r>
    </w:p>
    <w:p w14:paraId="2A1F8804"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3. Pre stroke MRS 0 or 1</w:t>
      </w:r>
    </w:p>
    <w:p w14:paraId="16B1B934"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4. Patients willing to give informed written consent</w:t>
      </w:r>
    </w:p>
    <w:p w14:paraId="3B1AB8C3" w14:textId="77777777" w:rsidR="00624C31" w:rsidRPr="00624C31" w:rsidRDefault="00624C31" w:rsidP="00624C31">
      <w:pPr>
        <w:spacing w:after="0" w:line="360" w:lineRule="auto"/>
        <w:jc w:val="both"/>
        <w:rPr>
          <w:rFonts w:ascii="Times New Roman" w:hAnsi="Times New Roman" w:cs="Times New Roman"/>
          <w:b/>
          <w:sz w:val="24"/>
          <w:szCs w:val="24"/>
        </w:rPr>
      </w:pPr>
      <w:r w:rsidRPr="00624C31">
        <w:rPr>
          <w:rFonts w:ascii="Times New Roman" w:hAnsi="Times New Roman" w:cs="Times New Roman"/>
          <w:b/>
          <w:sz w:val="24"/>
          <w:szCs w:val="24"/>
        </w:rPr>
        <w:t>Exclusion criteria:</w:t>
      </w:r>
    </w:p>
    <w:p w14:paraId="0B2EE583"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1. Spontaneous or traumatic intracerebral </w:t>
      </w:r>
      <w:proofErr w:type="spellStart"/>
      <w:r w:rsidRPr="00624C31">
        <w:rPr>
          <w:rFonts w:ascii="Times New Roman" w:hAnsi="Times New Roman" w:cs="Times New Roman"/>
          <w:sz w:val="24"/>
          <w:szCs w:val="24"/>
        </w:rPr>
        <w:t>haemorrhage</w:t>
      </w:r>
      <w:proofErr w:type="spellEnd"/>
    </w:p>
    <w:p w14:paraId="21278FCF"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2. History of myocardial infarction, cardiac surgery within 3 months.</w:t>
      </w:r>
    </w:p>
    <w:p w14:paraId="05C4BB0A" w14:textId="77777777" w:rsidR="00624C31" w:rsidRPr="00624C31" w:rsidRDefault="00624C31" w:rsidP="00624C31">
      <w:pPr>
        <w:spacing w:after="0" w:line="360" w:lineRule="auto"/>
        <w:jc w:val="both"/>
        <w:rPr>
          <w:rFonts w:ascii="Times New Roman" w:hAnsi="Times New Roman" w:cs="Times New Roman"/>
          <w:sz w:val="24"/>
          <w:szCs w:val="24"/>
        </w:rPr>
      </w:pPr>
      <w:r w:rsidRPr="00624C31">
        <w:rPr>
          <w:rFonts w:ascii="Times New Roman" w:hAnsi="Times New Roman" w:cs="Times New Roman"/>
          <w:sz w:val="24"/>
          <w:szCs w:val="24"/>
        </w:rPr>
        <w:t xml:space="preserve">3. Spontaneous or traumatic subarachnoid </w:t>
      </w:r>
      <w:proofErr w:type="spellStart"/>
      <w:r w:rsidRPr="00624C31">
        <w:rPr>
          <w:rFonts w:ascii="Times New Roman" w:hAnsi="Times New Roman" w:cs="Times New Roman"/>
          <w:sz w:val="24"/>
          <w:szCs w:val="24"/>
        </w:rPr>
        <w:t>haemorrhage</w:t>
      </w:r>
      <w:proofErr w:type="spellEnd"/>
    </w:p>
    <w:p w14:paraId="67482301" w14:textId="77777777" w:rsidR="00624C31" w:rsidRDefault="00624C31" w:rsidP="00624C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624C31">
        <w:rPr>
          <w:rFonts w:ascii="Times New Roman" w:hAnsi="Times New Roman" w:cs="Times New Roman"/>
          <w:sz w:val="24"/>
          <w:szCs w:val="24"/>
        </w:rPr>
        <w:t>. Patients on anticoagulant medications</w:t>
      </w:r>
    </w:p>
    <w:p w14:paraId="5573DC4A" w14:textId="5217FDA5" w:rsidR="00967D16" w:rsidRDefault="00967D16" w:rsidP="00967D16">
      <w:pPr>
        <w:spacing w:after="0" w:line="360" w:lineRule="auto"/>
        <w:jc w:val="both"/>
        <w:rPr>
          <w:rFonts w:ascii="Times New Roman" w:hAnsi="Times New Roman" w:cs="Times New Roman"/>
          <w:sz w:val="24"/>
          <w:szCs w:val="24"/>
        </w:rPr>
      </w:pPr>
      <w:r w:rsidRPr="00967D16">
        <w:rPr>
          <w:rFonts w:ascii="Times New Roman" w:hAnsi="Times New Roman" w:cs="Times New Roman"/>
          <w:sz w:val="24"/>
          <w:szCs w:val="24"/>
        </w:rPr>
        <w:lastRenderedPageBreak/>
        <w:t>All the study subjects with confirmed ischemic stroke diagnosed by CT scan of head or MRI of brain, admitted in the department of Medicine and department of neurology DMCH, Dhaka, who fulfill the inclusion and exclusion criteria were considered primarily for the study. Informed written consent was taken from each patient or their legal guardian before enrollment. Meticulous history and detailed clinical examination was performed and recorded in redesigned structured format. Demographic data such as age, gender was recorded. Risk factors profile incl</w:t>
      </w:r>
      <w:r w:rsidR="00FF0556">
        <w:rPr>
          <w:rFonts w:ascii="Times New Roman" w:hAnsi="Times New Roman" w:cs="Times New Roman"/>
          <w:sz w:val="24"/>
          <w:szCs w:val="24"/>
        </w:rPr>
        <w:t>uding hypertension, smoking, diabetes mellitus (DM) and previous history of ischemic heart disease (IHD)</w:t>
      </w:r>
      <w:r w:rsidRPr="00967D16">
        <w:rPr>
          <w:rFonts w:ascii="Times New Roman" w:hAnsi="Times New Roman" w:cs="Times New Roman"/>
          <w:sz w:val="24"/>
          <w:szCs w:val="24"/>
        </w:rPr>
        <w:t xml:space="preserve"> were noted. Laboratory investigation was done. Estimation of serum cardiac troponin I was performed with 3 ml blood, collected from each patient within 72 hours after the incident. After centrifugation serum was taken in a small test tube and put into an auto analyzer (Chemiluminescence machine, dimension EXL/ MAGLUMI 2000 analyzer). Serum cardiac troponin I was measured by automatic immune assay system in department of laboratory medicine, Dhaka medical college, hospital, Dhaka. RBG, serum creatinine, ECG and echocardiography was collected from </w:t>
      </w:r>
      <w:r w:rsidR="00FF0556" w:rsidRPr="00967D16">
        <w:rPr>
          <w:rFonts w:ascii="Times New Roman" w:hAnsi="Times New Roman" w:cs="Times New Roman"/>
          <w:sz w:val="24"/>
          <w:szCs w:val="24"/>
        </w:rPr>
        <w:t>patient’s</w:t>
      </w:r>
      <w:r w:rsidRPr="00967D16">
        <w:rPr>
          <w:rFonts w:ascii="Times New Roman" w:hAnsi="Times New Roman" w:cs="Times New Roman"/>
          <w:sz w:val="24"/>
          <w:szCs w:val="24"/>
        </w:rPr>
        <w:t xml:space="preserve"> record. Then, the study sample was further divided into two groups; Gro</w:t>
      </w:r>
      <w:r w:rsidR="00FF0556">
        <w:rPr>
          <w:rFonts w:ascii="Times New Roman" w:hAnsi="Times New Roman" w:cs="Times New Roman"/>
          <w:sz w:val="24"/>
          <w:szCs w:val="24"/>
        </w:rPr>
        <w:t>up-I= serum cardiac troponin I &gt;</w:t>
      </w:r>
      <w:r w:rsidRPr="00967D16">
        <w:rPr>
          <w:rFonts w:ascii="Times New Roman" w:hAnsi="Times New Roman" w:cs="Times New Roman"/>
          <w:sz w:val="24"/>
          <w:szCs w:val="24"/>
        </w:rPr>
        <w:t xml:space="preserve"> 0.1 ng/ml and Group-II= serum cardiac troponin I &lt; 0.1 ng/ml. During hospitalization period, every patient was treated by respective clinical experts of each department. At day seven, patients </w:t>
      </w:r>
      <w:proofErr w:type="gramStart"/>
      <w:r w:rsidRPr="00967D16">
        <w:rPr>
          <w:rFonts w:ascii="Times New Roman" w:hAnsi="Times New Roman" w:cs="Times New Roman"/>
          <w:sz w:val="24"/>
          <w:szCs w:val="24"/>
        </w:rPr>
        <w:t>was</w:t>
      </w:r>
      <w:proofErr w:type="gramEnd"/>
      <w:r w:rsidRPr="00967D16">
        <w:rPr>
          <w:rFonts w:ascii="Times New Roman" w:hAnsi="Times New Roman" w:cs="Times New Roman"/>
          <w:sz w:val="24"/>
          <w:szCs w:val="24"/>
        </w:rPr>
        <w:t xml:space="preserve"> examined and categorized as independent (0</w:t>
      </w:r>
      <w:r w:rsidR="00FF0556" w:rsidRPr="00967D16">
        <w:rPr>
          <w:rFonts w:ascii="Times New Roman" w:hAnsi="Times New Roman" w:cs="Times New Roman"/>
          <w:sz w:val="24"/>
          <w:szCs w:val="24"/>
        </w:rPr>
        <w:t>, 1,2,3</w:t>
      </w:r>
      <w:r w:rsidRPr="00967D16">
        <w:rPr>
          <w:rFonts w:ascii="Times New Roman" w:hAnsi="Times New Roman" w:cs="Times New Roman"/>
          <w:sz w:val="24"/>
          <w:szCs w:val="24"/>
        </w:rPr>
        <w:t>), dependent (4,5) and death (6) by using Modified Rankin scale (MRS).</w:t>
      </w:r>
    </w:p>
    <w:p w14:paraId="58D6F78C" w14:textId="77777777" w:rsidR="00967D16" w:rsidRPr="00CD3C62"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The Modified Rankin Scale (MRS) is the most widely used outcome measure in stroke clinical trials. </w:t>
      </w:r>
    </w:p>
    <w:tbl>
      <w:tblPr>
        <w:tblStyle w:val="TableGrid"/>
        <w:tblW w:w="0" w:type="auto"/>
        <w:tblLook w:val="04A0" w:firstRow="1" w:lastRow="0" w:firstColumn="1" w:lastColumn="0" w:noHBand="0" w:noVBand="1"/>
      </w:tblPr>
      <w:tblGrid>
        <w:gridCol w:w="805"/>
        <w:gridCol w:w="8545"/>
      </w:tblGrid>
      <w:tr w:rsidR="00967D16" w14:paraId="24033BCE" w14:textId="77777777" w:rsidTr="00E30961">
        <w:tc>
          <w:tcPr>
            <w:tcW w:w="805" w:type="dxa"/>
          </w:tcPr>
          <w:p w14:paraId="49E38894"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545" w:type="dxa"/>
          </w:tcPr>
          <w:p w14:paraId="38FB83FC"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symptoms</w:t>
            </w:r>
          </w:p>
        </w:tc>
      </w:tr>
      <w:tr w:rsidR="00967D16" w14:paraId="23469D9C" w14:textId="77777777" w:rsidTr="00E30961">
        <w:tc>
          <w:tcPr>
            <w:tcW w:w="805" w:type="dxa"/>
          </w:tcPr>
          <w:p w14:paraId="2B1A1ED6"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545" w:type="dxa"/>
          </w:tcPr>
          <w:p w14:paraId="241DB8C8"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No significant disability, despite symptoms; able to perform all usual duties and activities</w:t>
            </w:r>
          </w:p>
        </w:tc>
      </w:tr>
      <w:tr w:rsidR="00967D16" w14:paraId="7F28E534" w14:textId="77777777" w:rsidTr="00E30961">
        <w:tc>
          <w:tcPr>
            <w:tcW w:w="805" w:type="dxa"/>
          </w:tcPr>
          <w:p w14:paraId="6719320D"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545" w:type="dxa"/>
          </w:tcPr>
          <w:p w14:paraId="4CA20865"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Slight disability; unable to perform all previous activities but able to look after own affairs without assistance</w:t>
            </w:r>
          </w:p>
        </w:tc>
      </w:tr>
      <w:tr w:rsidR="00967D16" w14:paraId="1E4DA3F4" w14:textId="77777777" w:rsidTr="00E30961">
        <w:tc>
          <w:tcPr>
            <w:tcW w:w="805" w:type="dxa"/>
          </w:tcPr>
          <w:p w14:paraId="5EEDE5EA"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545" w:type="dxa"/>
          </w:tcPr>
          <w:p w14:paraId="679A1CBE"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 disability; requires some help, but able to walk without assistance</w:t>
            </w:r>
          </w:p>
        </w:tc>
      </w:tr>
      <w:tr w:rsidR="00967D16" w14:paraId="45837249" w14:textId="77777777" w:rsidTr="00E30961">
        <w:tc>
          <w:tcPr>
            <w:tcW w:w="805" w:type="dxa"/>
          </w:tcPr>
          <w:p w14:paraId="239795F1"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545" w:type="dxa"/>
          </w:tcPr>
          <w:p w14:paraId="09601146"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Moderately severe disability; unable to walk without assistance and unable to attend to own bodily needs without assistance</w:t>
            </w:r>
          </w:p>
        </w:tc>
      </w:tr>
      <w:tr w:rsidR="00967D16" w14:paraId="1A688849" w14:textId="77777777" w:rsidTr="00E30961">
        <w:tc>
          <w:tcPr>
            <w:tcW w:w="805" w:type="dxa"/>
          </w:tcPr>
          <w:p w14:paraId="5EC43BC6"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545" w:type="dxa"/>
          </w:tcPr>
          <w:p w14:paraId="2936124B"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Severe disability; bedridden, incontinent, and requires constant nursing care and attention</w:t>
            </w:r>
          </w:p>
        </w:tc>
      </w:tr>
      <w:tr w:rsidR="00967D16" w14:paraId="2187DDEB" w14:textId="77777777" w:rsidTr="00E30961">
        <w:tc>
          <w:tcPr>
            <w:tcW w:w="805" w:type="dxa"/>
          </w:tcPr>
          <w:p w14:paraId="37412579" w14:textId="77777777" w:rsidR="00967D16" w:rsidRDefault="00967D16" w:rsidP="00E3096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545" w:type="dxa"/>
          </w:tcPr>
          <w:p w14:paraId="59475B56" w14:textId="77777777" w:rsidR="00967D16" w:rsidRDefault="00967D16" w:rsidP="00E30961">
            <w:pPr>
              <w:spacing w:line="360" w:lineRule="auto"/>
              <w:jc w:val="both"/>
              <w:rPr>
                <w:rFonts w:ascii="Times New Roman" w:hAnsi="Times New Roman" w:cs="Times New Roman"/>
                <w:sz w:val="24"/>
                <w:szCs w:val="24"/>
              </w:rPr>
            </w:pPr>
            <w:r w:rsidRPr="00CD3C62">
              <w:rPr>
                <w:rFonts w:ascii="Times New Roman" w:hAnsi="Times New Roman" w:cs="Times New Roman"/>
                <w:sz w:val="24"/>
                <w:szCs w:val="24"/>
              </w:rPr>
              <w:t>Death</w:t>
            </w:r>
          </w:p>
        </w:tc>
      </w:tr>
    </w:tbl>
    <w:p w14:paraId="74593485" w14:textId="77777777" w:rsidR="00967D16" w:rsidRPr="0058399A" w:rsidRDefault="00967D16" w:rsidP="00967D16">
      <w:pPr>
        <w:spacing w:after="0" w:line="360" w:lineRule="auto"/>
        <w:jc w:val="center"/>
        <w:rPr>
          <w:rFonts w:ascii="Times New Roman" w:hAnsi="Times New Roman" w:cs="Times New Roman"/>
          <w:b/>
          <w:sz w:val="24"/>
          <w:szCs w:val="24"/>
        </w:rPr>
      </w:pPr>
      <w:r w:rsidRPr="0058399A">
        <w:rPr>
          <w:rFonts w:ascii="Times New Roman" w:hAnsi="Times New Roman" w:cs="Times New Roman"/>
          <w:b/>
          <w:sz w:val="24"/>
          <w:szCs w:val="24"/>
        </w:rPr>
        <w:lastRenderedPageBreak/>
        <w:t>Table-1:</w:t>
      </w:r>
      <w:r>
        <w:rPr>
          <w:rFonts w:ascii="Times New Roman" w:hAnsi="Times New Roman" w:cs="Times New Roman"/>
          <w:b/>
          <w:sz w:val="24"/>
          <w:szCs w:val="24"/>
        </w:rPr>
        <w:t xml:space="preserve"> </w:t>
      </w:r>
      <w:r w:rsidRPr="0058399A">
        <w:rPr>
          <w:rFonts w:ascii="Times New Roman" w:hAnsi="Times New Roman" w:cs="Times New Roman"/>
          <w:b/>
          <w:sz w:val="24"/>
          <w:szCs w:val="24"/>
        </w:rPr>
        <w:t>The Modified Rankin Scale (MRS)</w:t>
      </w:r>
    </w:p>
    <w:p w14:paraId="1D40BC58" w14:textId="77777777" w:rsidR="00967D16"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 xml:space="preserve">This Modified Rankin scale (MRS) was categorized as two groups. </w:t>
      </w:r>
    </w:p>
    <w:p w14:paraId="57863058" w14:textId="77777777" w:rsidR="00967D16"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A)</w:t>
      </w:r>
      <w:r>
        <w:rPr>
          <w:rFonts w:ascii="Times New Roman" w:hAnsi="Times New Roman" w:cs="Times New Roman"/>
          <w:sz w:val="24"/>
          <w:szCs w:val="24"/>
        </w:rPr>
        <w:t xml:space="preserve"> </w:t>
      </w:r>
      <w:r w:rsidRPr="00CD3C62">
        <w:rPr>
          <w:rFonts w:ascii="Times New Roman" w:hAnsi="Times New Roman" w:cs="Times New Roman"/>
          <w:sz w:val="24"/>
          <w:szCs w:val="24"/>
        </w:rPr>
        <w:t xml:space="preserve">Those with good outcome (independent) MRS 0 to 3. </w:t>
      </w:r>
    </w:p>
    <w:p w14:paraId="51F97889" w14:textId="77777777" w:rsidR="00967D16" w:rsidRDefault="00967D16" w:rsidP="00967D16">
      <w:pPr>
        <w:spacing w:after="0" w:line="360" w:lineRule="auto"/>
        <w:jc w:val="both"/>
        <w:rPr>
          <w:rFonts w:ascii="Times New Roman" w:hAnsi="Times New Roman" w:cs="Times New Roman"/>
          <w:sz w:val="24"/>
          <w:szCs w:val="24"/>
        </w:rPr>
      </w:pPr>
      <w:r w:rsidRPr="00CD3C62">
        <w:rPr>
          <w:rFonts w:ascii="Times New Roman" w:hAnsi="Times New Roman" w:cs="Times New Roman"/>
          <w:sz w:val="24"/>
          <w:szCs w:val="24"/>
        </w:rPr>
        <w:t>B) Those with poor outcome (dependent, MRS 4,5 and death, MRS 6).</w:t>
      </w:r>
    </w:p>
    <w:p w14:paraId="6A91EE11" w14:textId="77777777" w:rsidR="00967D16" w:rsidRPr="00624C31" w:rsidRDefault="00967D16" w:rsidP="00624C31">
      <w:pPr>
        <w:spacing w:after="0" w:line="360" w:lineRule="auto"/>
        <w:jc w:val="both"/>
        <w:rPr>
          <w:rFonts w:ascii="Times New Roman" w:hAnsi="Times New Roman" w:cs="Times New Roman"/>
          <w:sz w:val="24"/>
          <w:szCs w:val="24"/>
        </w:rPr>
      </w:pPr>
      <w:r w:rsidRPr="00967D16">
        <w:rPr>
          <w:rFonts w:ascii="Times New Roman" w:hAnsi="Times New Roman" w:cs="Times New Roman"/>
          <w:sz w:val="24"/>
          <w:szCs w:val="24"/>
        </w:rPr>
        <w:t xml:space="preserve">Data will be processed and </w:t>
      </w:r>
      <w:proofErr w:type="spellStart"/>
      <w:r w:rsidRPr="00967D16">
        <w:rPr>
          <w:rFonts w:ascii="Times New Roman" w:hAnsi="Times New Roman" w:cs="Times New Roman"/>
          <w:sz w:val="24"/>
          <w:szCs w:val="24"/>
        </w:rPr>
        <w:t>analysed</w:t>
      </w:r>
      <w:proofErr w:type="spellEnd"/>
      <w:r w:rsidRPr="00967D16">
        <w:rPr>
          <w:rFonts w:ascii="Times New Roman" w:hAnsi="Times New Roman" w:cs="Times New Roman"/>
          <w:sz w:val="24"/>
          <w:szCs w:val="24"/>
        </w:rPr>
        <w:t xml:space="preserve"> with the help of computer program SPSS (Statistical Package for Social Sciences) version 29. Quantitative data will be expressed as mean and standard deviation and qualitative data will be expressed as frequency and percentage. Comparison will be done by Chi-Square (χ2) test, ANOVA test and unpaired t- test where necessary. Risk factors will be determined using Odd Ratios. A probability (p) value of &lt; 0.05 (p&lt;0.05) will be considered statistically significant and p&lt;0.001 will be considered highly significant but p &gt; 0.05 taken as non-significant.</w:t>
      </w:r>
    </w:p>
    <w:p w14:paraId="7B66FB42" w14:textId="77777777" w:rsidR="00624C31" w:rsidRPr="00624C31" w:rsidRDefault="00624C31" w:rsidP="00624C31">
      <w:pPr>
        <w:spacing w:after="0" w:line="360" w:lineRule="auto"/>
        <w:jc w:val="both"/>
        <w:rPr>
          <w:rFonts w:ascii="Times New Roman" w:hAnsi="Times New Roman" w:cs="Times New Roman"/>
          <w:sz w:val="24"/>
          <w:szCs w:val="24"/>
        </w:rPr>
      </w:pPr>
    </w:p>
    <w:p w14:paraId="38C20132" w14:textId="77777777" w:rsidR="00967D16" w:rsidRDefault="00967D16" w:rsidP="00967D16">
      <w:pPr>
        <w:spacing w:line="360" w:lineRule="auto"/>
        <w:jc w:val="both"/>
        <w:rPr>
          <w:rFonts w:ascii="Times New Roman" w:hAnsi="Times New Roman" w:cs="Times New Roman"/>
          <w:b/>
          <w:sz w:val="24"/>
          <w:szCs w:val="24"/>
        </w:rPr>
      </w:pPr>
      <w:r w:rsidRPr="00967D16">
        <w:rPr>
          <w:rFonts w:ascii="Times New Roman" w:hAnsi="Times New Roman" w:cs="Times New Roman"/>
          <w:b/>
          <w:sz w:val="24"/>
          <w:szCs w:val="24"/>
        </w:rPr>
        <w:t>Results:</w:t>
      </w:r>
    </w:p>
    <w:p w14:paraId="05B4BC80" w14:textId="77777777" w:rsidR="00967D16" w:rsidRDefault="00967D16" w:rsidP="00967D16">
      <w:pPr>
        <w:spacing w:line="360" w:lineRule="auto"/>
        <w:jc w:val="both"/>
        <w:rPr>
          <w:rFonts w:ascii="Times New Roman" w:hAnsi="Times New Roman" w:cs="Times New Roman"/>
          <w:sz w:val="24"/>
          <w:szCs w:val="24"/>
        </w:rPr>
      </w:pPr>
      <w:r w:rsidRPr="00967D16">
        <w:rPr>
          <w:rFonts w:ascii="Times New Roman" w:hAnsi="Times New Roman" w:cs="Times New Roman"/>
          <w:sz w:val="24"/>
          <w:szCs w:val="24"/>
        </w:rPr>
        <w:t xml:space="preserve">This prospective observational study was conducted in the Department of Medicine and Department of Neurology, Dhaka Medical College Hospital, Dhaka, Bangladesh, to evaluate the association of serum cardiac troponin I and in hospital outcome in patients with </w:t>
      </w:r>
      <w:proofErr w:type="spellStart"/>
      <w:r w:rsidRPr="00967D16">
        <w:rPr>
          <w:rFonts w:ascii="Times New Roman" w:hAnsi="Times New Roman" w:cs="Times New Roman"/>
          <w:sz w:val="24"/>
          <w:szCs w:val="24"/>
        </w:rPr>
        <w:t>ischaemic</w:t>
      </w:r>
      <w:proofErr w:type="spellEnd"/>
      <w:r w:rsidRPr="00967D16">
        <w:rPr>
          <w:rFonts w:ascii="Times New Roman" w:hAnsi="Times New Roman" w:cs="Times New Roman"/>
          <w:sz w:val="24"/>
          <w:szCs w:val="24"/>
        </w:rPr>
        <w:t xml:space="preserve"> stroke. For this purpose, a total 204 patients was recruited and allocated into two groups, 102 in each. Group I, 102 patients of </w:t>
      </w:r>
      <w:proofErr w:type="spellStart"/>
      <w:r w:rsidRPr="00967D16">
        <w:rPr>
          <w:rFonts w:ascii="Times New Roman" w:hAnsi="Times New Roman" w:cs="Times New Roman"/>
          <w:sz w:val="24"/>
          <w:szCs w:val="24"/>
        </w:rPr>
        <w:t>ischaemic</w:t>
      </w:r>
      <w:proofErr w:type="spellEnd"/>
      <w:r w:rsidRPr="00967D16">
        <w:rPr>
          <w:rFonts w:ascii="Times New Roman" w:hAnsi="Times New Roman" w:cs="Times New Roman"/>
          <w:sz w:val="24"/>
          <w:szCs w:val="24"/>
        </w:rPr>
        <w:t xml:space="preserve"> stroke with elevated serum cardiac troponin I, and group II, 102 patients of </w:t>
      </w:r>
      <w:proofErr w:type="spellStart"/>
      <w:r w:rsidRPr="00967D16">
        <w:rPr>
          <w:rFonts w:ascii="Times New Roman" w:hAnsi="Times New Roman" w:cs="Times New Roman"/>
          <w:sz w:val="24"/>
          <w:szCs w:val="24"/>
        </w:rPr>
        <w:t>ischaemic</w:t>
      </w:r>
      <w:proofErr w:type="spellEnd"/>
      <w:r w:rsidRPr="00967D16">
        <w:rPr>
          <w:rFonts w:ascii="Times New Roman" w:hAnsi="Times New Roman" w:cs="Times New Roman"/>
          <w:sz w:val="24"/>
          <w:szCs w:val="24"/>
        </w:rPr>
        <w:t xml:space="preserve"> stroke with normal serum cardiac troponin I were taken.</w:t>
      </w:r>
    </w:p>
    <w:p w14:paraId="01B02C1B" w14:textId="77777777" w:rsidR="003A3AE1" w:rsidRDefault="00967D16" w:rsidP="00967D16">
      <w:pPr>
        <w:spacing w:line="360" w:lineRule="auto"/>
        <w:jc w:val="both"/>
        <w:rPr>
          <w:rFonts w:ascii="Times New Roman" w:hAnsi="Times New Roman" w:cs="Times New Roman"/>
          <w:sz w:val="24"/>
          <w:szCs w:val="24"/>
        </w:rPr>
      </w:pPr>
      <w:r w:rsidRPr="00967D16">
        <w:rPr>
          <w:rFonts w:ascii="Times New Roman" w:hAnsi="Times New Roman" w:cs="Times New Roman"/>
          <w:sz w:val="24"/>
          <w:szCs w:val="24"/>
        </w:rPr>
        <w:t>The mean age was 63.68±13.921 years in group I and 58.75±12.694 years in group II. It was observed that 30(29.41%) patients were female in group I and 31(30.39%) in group II.</w:t>
      </w:r>
      <w:r w:rsidRPr="00967D16">
        <w:t xml:space="preserve"> </w:t>
      </w:r>
      <w:r w:rsidRPr="00967D16">
        <w:rPr>
          <w:rFonts w:ascii="Times New Roman" w:hAnsi="Times New Roman" w:cs="Times New Roman"/>
          <w:sz w:val="24"/>
          <w:szCs w:val="24"/>
        </w:rPr>
        <w:t xml:space="preserve">86(84.31%) patients had hypertension in group I and 16(15.69%) in group II. About half 45(44.12%) of the patients had smoker in group I and 57(55.88%) in group II. Thirty one (30.39%) patients had diabetes mellitus in group I and 71(69.61%) in group II. Twenty six (25.49%) patients had history of IHD in group I and 76(74.51%) in group II. </w:t>
      </w:r>
    </w:p>
    <w:tbl>
      <w:tblPr>
        <w:tblpPr w:leftFromText="180" w:rightFromText="180" w:vertAnchor="text" w:horzAnchor="margin" w:tblpXSpec="center" w:tblpY="425"/>
        <w:tblW w:w="4364" w:type="pct"/>
        <w:tblLayout w:type="fixed"/>
        <w:tblCellMar>
          <w:left w:w="30" w:type="dxa"/>
          <w:right w:w="30" w:type="dxa"/>
        </w:tblCellMar>
        <w:tblLook w:val="04A0" w:firstRow="1" w:lastRow="0" w:firstColumn="1" w:lastColumn="0" w:noHBand="0" w:noVBand="1"/>
      </w:tblPr>
      <w:tblGrid>
        <w:gridCol w:w="2125"/>
        <w:gridCol w:w="795"/>
        <w:gridCol w:w="1042"/>
        <w:gridCol w:w="1051"/>
        <w:gridCol w:w="1051"/>
        <w:gridCol w:w="1051"/>
        <w:gridCol w:w="1054"/>
      </w:tblGrid>
      <w:tr w:rsidR="00933DE5" w:rsidRPr="00933DE5" w14:paraId="4D23B36B" w14:textId="77777777" w:rsidTr="00933DE5">
        <w:trPr>
          <w:cantSplit/>
          <w:trHeight w:val="344"/>
          <w:tblHeader/>
        </w:trPr>
        <w:tc>
          <w:tcPr>
            <w:tcW w:w="1787" w:type="pct"/>
            <w:gridSpan w:val="2"/>
            <w:vMerge w:val="restart"/>
            <w:tcBorders>
              <w:top w:val="single" w:sz="4" w:space="0" w:color="auto"/>
            </w:tcBorders>
            <w:vAlign w:val="center"/>
            <w:hideMark/>
          </w:tcPr>
          <w:p w14:paraId="5E98C4B9" w14:textId="77777777" w:rsidR="00933DE5" w:rsidRPr="00933DE5" w:rsidRDefault="00933DE5" w:rsidP="00933DE5">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lastRenderedPageBreak/>
              <w:t>Risk Factors</w:t>
            </w:r>
          </w:p>
        </w:tc>
        <w:tc>
          <w:tcPr>
            <w:tcW w:w="3213" w:type="pct"/>
            <w:gridSpan w:val="5"/>
            <w:tcBorders>
              <w:top w:val="single" w:sz="4" w:space="0" w:color="auto"/>
            </w:tcBorders>
            <w:shd w:val="clear" w:color="auto" w:fill="FFFFFF"/>
          </w:tcPr>
          <w:p w14:paraId="25BFE0E7"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p>
        </w:tc>
      </w:tr>
      <w:tr w:rsidR="00933DE5" w:rsidRPr="00933DE5" w14:paraId="623AC52C" w14:textId="77777777" w:rsidTr="00933DE5">
        <w:trPr>
          <w:cantSplit/>
          <w:trHeight w:val="719"/>
          <w:tblHeader/>
        </w:trPr>
        <w:tc>
          <w:tcPr>
            <w:tcW w:w="1787" w:type="pct"/>
            <w:gridSpan w:val="2"/>
            <w:vMerge/>
            <w:vAlign w:val="center"/>
            <w:hideMark/>
          </w:tcPr>
          <w:p w14:paraId="6DA6DDDE" w14:textId="77777777" w:rsidR="00933DE5" w:rsidRPr="00933DE5" w:rsidRDefault="00933DE5" w:rsidP="00933DE5">
            <w:pPr>
              <w:spacing w:after="0" w:line="240" w:lineRule="auto"/>
              <w:jc w:val="both"/>
              <w:rPr>
                <w:rFonts w:ascii="Times New Roman" w:eastAsia="Times New Roman" w:hAnsi="Times New Roman" w:cs="Times New Roman"/>
                <w:b/>
                <w:bCs/>
                <w:sz w:val="24"/>
                <w:szCs w:val="24"/>
              </w:rPr>
            </w:pPr>
          </w:p>
        </w:tc>
        <w:tc>
          <w:tcPr>
            <w:tcW w:w="638" w:type="pct"/>
            <w:tcBorders>
              <w:bottom w:val="single" w:sz="4" w:space="0" w:color="auto"/>
            </w:tcBorders>
            <w:shd w:val="clear" w:color="auto" w:fill="FFFFFF"/>
            <w:tcMar>
              <w:top w:w="30" w:type="dxa"/>
              <w:left w:w="30" w:type="dxa"/>
              <w:bottom w:w="30" w:type="dxa"/>
              <w:right w:w="30" w:type="dxa"/>
            </w:tcMar>
            <w:vAlign w:val="bottom"/>
            <w:hideMark/>
          </w:tcPr>
          <w:p w14:paraId="359A9139"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 (n=102)</w:t>
            </w:r>
          </w:p>
        </w:tc>
        <w:tc>
          <w:tcPr>
            <w:tcW w:w="643" w:type="pct"/>
            <w:tcBorders>
              <w:bottom w:val="single" w:sz="4" w:space="0" w:color="auto"/>
            </w:tcBorders>
            <w:shd w:val="clear" w:color="auto" w:fill="FFFFFF"/>
          </w:tcPr>
          <w:p w14:paraId="05C2100D"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p>
          <w:p w14:paraId="00EE7C1F"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w:t>
            </w:r>
          </w:p>
        </w:tc>
        <w:tc>
          <w:tcPr>
            <w:tcW w:w="643" w:type="pct"/>
            <w:tcBorders>
              <w:bottom w:val="single" w:sz="4" w:space="0" w:color="auto"/>
            </w:tcBorders>
            <w:shd w:val="clear" w:color="auto" w:fill="FFFFFF"/>
            <w:tcMar>
              <w:top w:w="30" w:type="dxa"/>
              <w:left w:w="30" w:type="dxa"/>
              <w:bottom w:w="30" w:type="dxa"/>
              <w:right w:w="30" w:type="dxa"/>
            </w:tcMar>
            <w:vAlign w:val="bottom"/>
            <w:hideMark/>
          </w:tcPr>
          <w:p w14:paraId="581C69FB" w14:textId="77777777" w:rsidR="00933DE5" w:rsidRPr="00933DE5" w:rsidRDefault="00933DE5" w:rsidP="00933DE5">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II (n=102)</w:t>
            </w:r>
          </w:p>
        </w:tc>
        <w:tc>
          <w:tcPr>
            <w:tcW w:w="643" w:type="pct"/>
            <w:tcBorders>
              <w:bottom w:val="single" w:sz="4" w:space="0" w:color="auto"/>
            </w:tcBorders>
            <w:shd w:val="clear" w:color="auto" w:fill="FFFFFF"/>
          </w:tcPr>
          <w:p w14:paraId="551AAF48" w14:textId="77777777" w:rsidR="00933DE5" w:rsidRPr="00933DE5" w:rsidRDefault="00933DE5" w:rsidP="00933DE5">
            <w:pPr>
              <w:widowControl w:val="0"/>
              <w:autoSpaceDE w:val="0"/>
              <w:autoSpaceDN w:val="0"/>
              <w:adjustRightInd w:val="0"/>
              <w:spacing w:after="0" w:line="256" w:lineRule="auto"/>
              <w:jc w:val="center"/>
              <w:rPr>
                <w:rFonts w:ascii="Times New Roman" w:eastAsia="Times New Roman" w:hAnsi="Times New Roman" w:cs="Times New Roman"/>
                <w:b/>
                <w:bCs/>
                <w:sz w:val="24"/>
                <w:szCs w:val="24"/>
              </w:rPr>
            </w:pPr>
          </w:p>
          <w:p w14:paraId="7BC32E13" w14:textId="77777777" w:rsidR="00933DE5" w:rsidRPr="00933DE5" w:rsidRDefault="00933DE5" w:rsidP="00933DE5">
            <w:pPr>
              <w:widowControl w:val="0"/>
              <w:autoSpaceDE w:val="0"/>
              <w:autoSpaceDN w:val="0"/>
              <w:adjustRightInd w:val="0"/>
              <w:spacing w:after="0" w:line="256"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w:t>
            </w:r>
          </w:p>
        </w:tc>
        <w:tc>
          <w:tcPr>
            <w:tcW w:w="645" w:type="pct"/>
            <w:tcBorders>
              <w:bottom w:val="single" w:sz="4" w:space="0" w:color="auto"/>
            </w:tcBorders>
            <w:shd w:val="clear" w:color="auto" w:fill="FFFFFF"/>
          </w:tcPr>
          <w:p w14:paraId="09CB95B4" w14:textId="77777777" w:rsidR="00933DE5" w:rsidRPr="00933DE5" w:rsidRDefault="00933DE5" w:rsidP="00933DE5">
            <w:pPr>
              <w:widowControl w:val="0"/>
              <w:autoSpaceDE w:val="0"/>
              <w:autoSpaceDN w:val="0"/>
              <w:adjustRightInd w:val="0"/>
              <w:spacing w:after="0" w:line="256" w:lineRule="auto"/>
              <w:jc w:val="center"/>
              <w:rPr>
                <w:rFonts w:ascii="Times New Roman" w:eastAsia="Times New Roman" w:hAnsi="Times New Roman" w:cs="Times New Roman"/>
                <w:b/>
                <w:bCs/>
                <w:sz w:val="24"/>
                <w:szCs w:val="24"/>
              </w:rPr>
            </w:pPr>
          </w:p>
        </w:tc>
      </w:tr>
      <w:tr w:rsidR="00933DE5" w:rsidRPr="00933DE5" w14:paraId="195F2026" w14:textId="77777777" w:rsidTr="00933DE5">
        <w:trPr>
          <w:cantSplit/>
          <w:trHeight w:val="344"/>
          <w:tblHeader/>
        </w:trPr>
        <w:tc>
          <w:tcPr>
            <w:tcW w:w="1301" w:type="pct"/>
            <w:tcBorders>
              <w:top w:val="single" w:sz="4" w:space="0" w:color="auto"/>
            </w:tcBorders>
            <w:shd w:val="clear" w:color="auto" w:fill="FFFFFF"/>
            <w:tcMar>
              <w:top w:w="30" w:type="dxa"/>
              <w:left w:w="30" w:type="dxa"/>
              <w:bottom w:w="30" w:type="dxa"/>
              <w:right w:w="30" w:type="dxa"/>
            </w:tcMar>
            <w:hideMark/>
          </w:tcPr>
          <w:p w14:paraId="03AB1E53" w14:textId="77777777" w:rsidR="00933DE5" w:rsidRPr="00933DE5" w:rsidRDefault="00933DE5" w:rsidP="00933DE5">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Hypertension</w:t>
            </w:r>
          </w:p>
        </w:tc>
        <w:tc>
          <w:tcPr>
            <w:tcW w:w="487" w:type="pct"/>
            <w:tcBorders>
              <w:top w:val="single" w:sz="4" w:space="0" w:color="auto"/>
            </w:tcBorders>
            <w:shd w:val="clear" w:color="auto" w:fill="FFFFFF"/>
            <w:tcMar>
              <w:top w:w="30" w:type="dxa"/>
              <w:left w:w="30" w:type="dxa"/>
              <w:bottom w:w="30" w:type="dxa"/>
              <w:right w:w="30" w:type="dxa"/>
            </w:tcMar>
          </w:tcPr>
          <w:p w14:paraId="56B71ADC"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tcBorders>
              <w:top w:val="single" w:sz="4" w:space="0" w:color="auto"/>
            </w:tcBorders>
            <w:shd w:val="clear" w:color="auto" w:fill="FFFFFF"/>
            <w:tcMar>
              <w:top w:w="30" w:type="dxa"/>
              <w:left w:w="30" w:type="dxa"/>
              <w:bottom w:w="30" w:type="dxa"/>
              <w:right w:w="30" w:type="dxa"/>
            </w:tcMar>
            <w:vAlign w:val="center"/>
            <w:hideMark/>
          </w:tcPr>
          <w:p w14:paraId="498E596A"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86</w:t>
            </w:r>
          </w:p>
        </w:tc>
        <w:tc>
          <w:tcPr>
            <w:tcW w:w="643" w:type="pct"/>
            <w:tcBorders>
              <w:top w:val="single" w:sz="4" w:space="0" w:color="auto"/>
            </w:tcBorders>
            <w:shd w:val="clear" w:color="auto" w:fill="FFFFFF"/>
          </w:tcPr>
          <w:p w14:paraId="75091C22"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84.31</w:t>
            </w:r>
          </w:p>
        </w:tc>
        <w:tc>
          <w:tcPr>
            <w:tcW w:w="643" w:type="pct"/>
            <w:tcBorders>
              <w:top w:val="single" w:sz="4" w:space="0" w:color="auto"/>
            </w:tcBorders>
            <w:shd w:val="clear" w:color="auto" w:fill="FFFFFF"/>
            <w:tcMar>
              <w:top w:w="30" w:type="dxa"/>
              <w:left w:w="30" w:type="dxa"/>
              <w:bottom w:w="30" w:type="dxa"/>
              <w:right w:w="30" w:type="dxa"/>
            </w:tcMar>
            <w:vAlign w:val="center"/>
            <w:hideMark/>
          </w:tcPr>
          <w:p w14:paraId="79894261"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72</w:t>
            </w:r>
          </w:p>
        </w:tc>
        <w:tc>
          <w:tcPr>
            <w:tcW w:w="643" w:type="pct"/>
            <w:tcBorders>
              <w:top w:val="single" w:sz="4" w:space="0" w:color="auto"/>
            </w:tcBorders>
            <w:shd w:val="clear" w:color="auto" w:fill="FFFFFF"/>
          </w:tcPr>
          <w:p w14:paraId="21C47129"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70.59</w:t>
            </w:r>
          </w:p>
        </w:tc>
        <w:tc>
          <w:tcPr>
            <w:tcW w:w="645" w:type="pct"/>
            <w:tcBorders>
              <w:top w:val="single" w:sz="4" w:space="0" w:color="auto"/>
            </w:tcBorders>
            <w:shd w:val="clear" w:color="auto" w:fill="FFFFFF"/>
            <w:vAlign w:val="center"/>
          </w:tcPr>
          <w:p w14:paraId="0835F75B"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4CE3789B" w14:textId="77777777" w:rsidTr="00933DE5">
        <w:trPr>
          <w:cantSplit/>
          <w:trHeight w:val="344"/>
          <w:tblHeader/>
        </w:trPr>
        <w:tc>
          <w:tcPr>
            <w:tcW w:w="1301" w:type="pct"/>
            <w:shd w:val="clear" w:color="auto" w:fill="FFFFFF"/>
            <w:tcMar>
              <w:top w:w="30" w:type="dxa"/>
              <w:left w:w="30" w:type="dxa"/>
              <w:bottom w:w="30" w:type="dxa"/>
              <w:right w:w="30" w:type="dxa"/>
            </w:tcMar>
            <w:hideMark/>
          </w:tcPr>
          <w:p w14:paraId="71610D38" w14:textId="77777777" w:rsidR="00933DE5" w:rsidRPr="00933DE5" w:rsidRDefault="00933DE5" w:rsidP="00933DE5">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Smoking</w:t>
            </w:r>
          </w:p>
        </w:tc>
        <w:tc>
          <w:tcPr>
            <w:tcW w:w="487" w:type="pct"/>
            <w:shd w:val="clear" w:color="auto" w:fill="FFFFFF"/>
            <w:tcMar>
              <w:top w:w="30" w:type="dxa"/>
              <w:left w:w="30" w:type="dxa"/>
              <w:bottom w:w="30" w:type="dxa"/>
              <w:right w:w="30" w:type="dxa"/>
            </w:tcMar>
          </w:tcPr>
          <w:p w14:paraId="33451F1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shd w:val="clear" w:color="auto" w:fill="FFFFFF"/>
            <w:tcMar>
              <w:top w:w="30" w:type="dxa"/>
              <w:left w:w="30" w:type="dxa"/>
              <w:bottom w:w="30" w:type="dxa"/>
              <w:right w:w="30" w:type="dxa"/>
            </w:tcMar>
            <w:vAlign w:val="center"/>
            <w:hideMark/>
          </w:tcPr>
          <w:p w14:paraId="7DC7B2D0"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45</w:t>
            </w:r>
          </w:p>
        </w:tc>
        <w:tc>
          <w:tcPr>
            <w:tcW w:w="643" w:type="pct"/>
            <w:shd w:val="clear" w:color="auto" w:fill="FFFFFF"/>
          </w:tcPr>
          <w:p w14:paraId="7123CB7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44.12</w:t>
            </w:r>
          </w:p>
        </w:tc>
        <w:tc>
          <w:tcPr>
            <w:tcW w:w="643" w:type="pct"/>
            <w:shd w:val="clear" w:color="auto" w:fill="FFFFFF"/>
            <w:tcMar>
              <w:top w:w="30" w:type="dxa"/>
              <w:left w:w="30" w:type="dxa"/>
              <w:bottom w:w="30" w:type="dxa"/>
              <w:right w:w="30" w:type="dxa"/>
            </w:tcMar>
            <w:vAlign w:val="center"/>
            <w:hideMark/>
          </w:tcPr>
          <w:p w14:paraId="0542C3B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33</w:t>
            </w:r>
          </w:p>
        </w:tc>
        <w:tc>
          <w:tcPr>
            <w:tcW w:w="643" w:type="pct"/>
            <w:shd w:val="clear" w:color="auto" w:fill="FFFFFF"/>
          </w:tcPr>
          <w:p w14:paraId="6D5C2C8F"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32.35</w:t>
            </w:r>
          </w:p>
        </w:tc>
        <w:tc>
          <w:tcPr>
            <w:tcW w:w="645" w:type="pct"/>
            <w:shd w:val="clear" w:color="auto" w:fill="FFFFFF"/>
            <w:vAlign w:val="center"/>
          </w:tcPr>
          <w:p w14:paraId="0426504E"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19E46115" w14:textId="77777777" w:rsidTr="00933DE5">
        <w:trPr>
          <w:cantSplit/>
          <w:trHeight w:val="344"/>
          <w:tblHeader/>
        </w:trPr>
        <w:tc>
          <w:tcPr>
            <w:tcW w:w="1301" w:type="pct"/>
            <w:shd w:val="clear" w:color="auto" w:fill="FFFFFF"/>
            <w:tcMar>
              <w:top w:w="30" w:type="dxa"/>
              <w:left w:w="30" w:type="dxa"/>
              <w:bottom w:w="30" w:type="dxa"/>
              <w:right w:w="30" w:type="dxa"/>
            </w:tcMar>
            <w:hideMark/>
          </w:tcPr>
          <w:p w14:paraId="4D96BBF5" w14:textId="77777777" w:rsidR="00933DE5" w:rsidRPr="00933DE5" w:rsidRDefault="00933DE5" w:rsidP="00933DE5">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Diabetes Mellitus</w:t>
            </w:r>
          </w:p>
        </w:tc>
        <w:tc>
          <w:tcPr>
            <w:tcW w:w="487" w:type="pct"/>
            <w:shd w:val="clear" w:color="auto" w:fill="FFFFFF"/>
            <w:tcMar>
              <w:top w:w="30" w:type="dxa"/>
              <w:left w:w="30" w:type="dxa"/>
              <w:bottom w:w="30" w:type="dxa"/>
              <w:right w:w="30" w:type="dxa"/>
            </w:tcMar>
          </w:tcPr>
          <w:p w14:paraId="2AB58431"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shd w:val="clear" w:color="auto" w:fill="FFFFFF"/>
            <w:tcMar>
              <w:top w:w="30" w:type="dxa"/>
              <w:left w:w="30" w:type="dxa"/>
              <w:bottom w:w="30" w:type="dxa"/>
              <w:right w:w="30" w:type="dxa"/>
            </w:tcMar>
            <w:vAlign w:val="center"/>
            <w:hideMark/>
          </w:tcPr>
          <w:p w14:paraId="109D0BA5"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31</w:t>
            </w:r>
          </w:p>
        </w:tc>
        <w:tc>
          <w:tcPr>
            <w:tcW w:w="643" w:type="pct"/>
            <w:shd w:val="clear" w:color="auto" w:fill="FFFFFF"/>
          </w:tcPr>
          <w:p w14:paraId="73D46320"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30.39</w:t>
            </w:r>
          </w:p>
        </w:tc>
        <w:tc>
          <w:tcPr>
            <w:tcW w:w="643" w:type="pct"/>
            <w:shd w:val="clear" w:color="auto" w:fill="FFFFFF"/>
            <w:tcMar>
              <w:top w:w="30" w:type="dxa"/>
              <w:left w:w="30" w:type="dxa"/>
              <w:bottom w:w="30" w:type="dxa"/>
              <w:right w:w="30" w:type="dxa"/>
            </w:tcMar>
            <w:vAlign w:val="center"/>
            <w:hideMark/>
          </w:tcPr>
          <w:p w14:paraId="35EBA695"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27</w:t>
            </w:r>
          </w:p>
        </w:tc>
        <w:tc>
          <w:tcPr>
            <w:tcW w:w="643" w:type="pct"/>
            <w:shd w:val="clear" w:color="auto" w:fill="FFFFFF"/>
          </w:tcPr>
          <w:p w14:paraId="2C62619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26.47</w:t>
            </w:r>
          </w:p>
        </w:tc>
        <w:tc>
          <w:tcPr>
            <w:tcW w:w="645" w:type="pct"/>
            <w:shd w:val="clear" w:color="auto" w:fill="FFFFFF"/>
            <w:vAlign w:val="center"/>
          </w:tcPr>
          <w:p w14:paraId="5546D84A"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0CA6799A" w14:textId="77777777" w:rsidTr="00933DE5">
        <w:trPr>
          <w:cantSplit/>
          <w:trHeight w:val="341"/>
          <w:tblHeader/>
        </w:trPr>
        <w:tc>
          <w:tcPr>
            <w:tcW w:w="1301" w:type="pct"/>
            <w:vMerge w:val="restart"/>
            <w:shd w:val="clear" w:color="auto" w:fill="FFFFFF"/>
            <w:tcMar>
              <w:top w:w="30" w:type="dxa"/>
              <w:left w:w="30" w:type="dxa"/>
              <w:bottom w:w="30" w:type="dxa"/>
              <w:right w:w="30" w:type="dxa"/>
            </w:tcMar>
            <w:hideMark/>
          </w:tcPr>
          <w:p w14:paraId="696D2011" w14:textId="77777777" w:rsidR="00933DE5" w:rsidRPr="00933DE5" w:rsidRDefault="00933DE5" w:rsidP="00933DE5">
            <w:pPr>
              <w:widowControl w:val="0"/>
              <w:autoSpaceDE w:val="0"/>
              <w:autoSpaceDN w:val="0"/>
              <w:adjustRightInd w:val="0"/>
              <w:spacing w:after="0" w:line="360" w:lineRule="auto"/>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History of Ischemic Heart Disease</w:t>
            </w:r>
          </w:p>
        </w:tc>
        <w:tc>
          <w:tcPr>
            <w:tcW w:w="487" w:type="pct"/>
            <w:shd w:val="clear" w:color="auto" w:fill="FFFFFF"/>
            <w:tcMar>
              <w:top w:w="30" w:type="dxa"/>
              <w:left w:w="30" w:type="dxa"/>
              <w:bottom w:w="30" w:type="dxa"/>
              <w:right w:w="30" w:type="dxa"/>
            </w:tcMar>
          </w:tcPr>
          <w:p w14:paraId="1A742A4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shd w:val="clear" w:color="auto" w:fill="FFFFFF"/>
            <w:tcMar>
              <w:top w:w="30" w:type="dxa"/>
              <w:left w:w="30" w:type="dxa"/>
              <w:bottom w:w="30" w:type="dxa"/>
              <w:right w:w="30" w:type="dxa"/>
            </w:tcMar>
            <w:vAlign w:val="center"/>
            <w:hideMark/>
          </w:tcPr>
          <w:p w14:paraId="7586DA87"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26</w:t>
            </w:r>
          </w:p>
        </w:tc>
        <w:tc>
          <w:tcPr>
            <w:tcW w:w="643" w:type="pct"/>
            <w:shd w:val="clear" w:color="auto" w:fill="FFFFFF"/>
          </w:tcPr>
          <w:p w14:paraId="517A6D1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25.49</w:t>
            </w:r>
          </w:p>
        </w:tc>
        <w:tc>
          <w:tcPr>
            <w:tcW w:w="643" w:type="pct"/>
            <w:shd w:val="clear" w:color="auto" w:fill="FFFFFF"/>
            <w:tcMar>
              <w:top w:w="30" w:type="dxa"/>
              <w:left w:w="30" w:type="dxa"/>
              <w:bottom w:w="30" w:type="dxa"/>
              <w:right w:w="30" w:type="dxa"/>
            </w:tcMar>
            <w:vAlign w:val="center"/>
            <w:hideMark/>
          </w:tcPr>
          <w:p w14:paraId="60B81BE4"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20</w:t>
            </w:r>
          </w:p>
        </w:tc>
        <w:tc>
          <w:tcPr>
            <w:tcW w:w="643" w:type="pct"/>
            <w:shd w:val="clear" w:color="auto" w:fill="FFFFFF"/>
          </w:tcPr>
          <w:p w14:paraId="1212E26E"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19.61</w:t>
            </w:r>
          </w:p>
        </w:tc>
        <w:tc>
          <w:tcPr>
            <w:tcW w:w="645" w:type="pct"/>
            <w:shd w:val="clear" w:color="auto" w:fill="FFFFFF"/>
            <w:vAlign w:val="center"/>
          </w:tcPr>
          <w:p w14:paraId="79855F50"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933DE5" w:rsidRPr="00933DE5" w14:paraId="50724507" w14:textId="77777777" w:rsidTr="00933DE5">
        <w:trPr>
          <w:cantSplit/>
          <w:trHeight w:val="377"/>
          <w:tblHeader/>
        </w:trPr>
        <w:tc>
          <w:tcPr>
            <w:tcW w:w="1301" w:type="pct"/>
            <w:vMerge/>
            <w:tcBorders>
              <w:bottom w:val="single" w:sz="4" w:space="0" w:color="auto"/>
            </w:tcBorders>
            <w:vAlign w:val="center"/>
            <w:hideMark/>
          </w:tcPr>
          <w:p w14:paraId="6993AE08" w14:textId="77777777" w:rsidR="00933DE5" w:rsidRPr="00933DE5" w:rsidRDefault="00933DE5" w:rsidP="00933DE5">
            <w:pPr>
              <w:spacing w:after="0" w:line="360" w:lineRule="auto"/>
              <w:jc w:val="both"/>
              <w:rPr>
                <w:rFonts w:ascii="Times New Roman" w:eastAsia="Times New Roman" w:hAnsi="Times New Roman" w:cs="Times New Roman"/>
                <w:sz w:val="24"/>
                <w:szCs w:val="24"/>
              </w:rPr>
            </w:pPr>
          </w:p>
        </w:tc>
        <w:tc>
          <w:tcPr>
            <w:tcW w:w="487" w:type="pct"/>
            <w:tcBorders>
              <w:bottom w:val="single" w:sz="4" w:space="0" w:color="auto"/>
            </w:tcBorders>
            <w:shd w:val="clear" w:color="auto" w:fill="FFFFFF"/>
            <w:tcMar>
              <w:top w:w="30" w:type="dxa"/>
              <w:left w:w="30" w:type="dxa"/>
              <w:bottom w:w="30" w:type="dxa"/>
              <w:right w:w="30" w:type="dxa"/>
            </w:tcMar>
            <w:hideMark/>
          </w:tcPr>
          <w:p w14:paraId="618865BC"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38" w:type="pct"/>
            <w:tcBorders>
              <w:bottom w:val="single" w:sz="4" w:space="0" w:color="auto"/>
            </w:tcBorders>
            <w:shd w:val="clear" w:color="auto" w:fill="FFFFFF"/>
            <w:tcMar>
              <w:top w:w="30" w:type="dxa"/>
              <w:left w:w="30" w:type="dxa"/>
              <w:bottom w:w="30" w:type="dxa"/>
              <w:right w:w="30" w:type="dxa"/>
            </w:tcMar>
            <w:vAlign w:val="center"/>
          </w:tcPr>
          <w:p w14:paraId="48B3CEAA"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3" w:type="pct"/>
            <w:tcBorders>
              <w:bottom w:val="single" w:sz="4" w:space="0" w:color="auto"/>
            </w:tcBorders>
            <w:shd w:val="clear" w:color="auto" w:fill="FFFFFF"/>
          </w:tcPr>
          <w:p w14:paraId="350C22C8"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3" w:type="pct"/>
            <w:tcBorders>
              <w:bottom w:val="single" w:sz="4" w:space="0" w:color="auto"/>
            </w:tcBorders>
            <w:shd w:val="clear" w:color="auto" w:fill="FFFFFF"/>
            <w:tcMar>
              <w:top w:w="30" w:type="dxa"/>
              <w:left w:w="30" w:type="dxa"/>
              <w:bottom w:w="30" w:type="dxa"/>
              <w:right w:w="30" w:type="dxa"/>
            </w:tcMar>
            <w:vAlign w:val="center"/>
          </w:tcPr>
          <w:p w14:paraId="2D9F1006"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3" w:type="pct"/>
            <w:tcBorders>
              <w:bottom w:val="single" w:sz="4" w:space="0" w:color="auto"/>
            </w:tcBorders>
            <w:shd w:val="clear" w:color="auto" w:fill="FFFFFF"/>
          </w:tcPr>
          <w:p w14:paraId="4A3686F4"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c>
          <w:tcPr>
            <w:tcW w:w="645" w:type="pct"/>
            <w:tcBorders>
              <w:bottom w:val="single" w:sz="4" w:space="0" w:color="auto"/>
            </w:tcBorders>
            <w:shd w:val="clear" w:color="auto" w:fill="FFFFFF"/>
            <w:vAlign w:val="center"/>
          </w:tcPr>
          <w:p w14:paraId="28E41123" w14:textId="77777777" w:rsidR="00933DE5" w:rsidRPr="00933DE5" w:rsidRDefault="00933DE5" w:rsidP="00933DE5">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bl>
    <w:p w14:paraId="4ACF0B2A" w14:textId="77777777" w:rsidR="00933DE5" w:rsidRDefault="00933DE5" w:rsidP="00967D16">
      <w:pPr>
        <w:spacing w:line="360" w:lineRule="auto"/>
        <w:jc w:val="both"/>
        <w:rPr>
          <w:rFonts w:ascii="Times New Roman" w:hAnsi="Times New Roman" w:cs="Times New Roman"/>
          <w:sz w:val="24"/>
          <w:szCs w:val="24"/>
        </w:rPr>
      </w:pPr>
    </w:p>
    <w:p w14:paraId="03EC1A23" w14:textId="77777777" w:rsidR="003A3AE1" w:rsidRDefault="003A3AE1" w:rsidP="00967D16">
      <w:pPr>
        <w:spacing w:line="360" w:lineRule="auto"/>
        <w:jc w:val="both"/>
        <w:rPr>
          <w:rFonts w:ascii="Times New Roman" w:hAnsi="Times New Roman" w:cs="Times New Roman"/>
          <w:sz w:val="24"/>
          <w:szCs w:val="24"/>
        </w:rPr>
      </w:pPr>
    </w:p>
    <w:p w14:paraId="13B355F5" w14:textId="77777777" w:rsidR="003A3AE1" w:rsidRDefault="003A3AE1" w:rsidP="00967D16">
      <w:pPr>
        <w:spacing w:line="360" w:lineRule="auto"/>
        <w:jc w:val="both"/>
        <w:rPr>
          <w:rFonts w:ascii="Times New Roman" w:hAnsi="Times New Roman" w:cs="Times New Roman"/>
          <w:sz w:val="24"/>
          <w:szCs w:val="24"/>
        </w:rPr>
      </w:pPr>
    </w:p>
    <w:p w14:paraId="61F5560B" w14:textId="77777777" w:rsidR="003A3AE1" w:rsidRDefault="003A3AE1" w:rsidP="00967D16">
      <w:pPr>
        <w:spacing w:line="360" w:lineRule="auto"/>
        <w:jc w:val="both"/>
        <w:rPr>
          <w:rFonts w:ascii="Times New Roman" w:hAnsi="Times New Roman" w:cs="Times New Roman"/>
          <w:sz w:val="24"/>
          <w:szCs w:val="24"/>
        </w:rPr>
      </w:pPr>
    </w:p>
    <w:p w14:paraId="1BF2CD1F" w14:textId="77777777" w:rsidR="003A3AE1" w:rsidRDefault="003A3AE1" w:rsidP="00967D16">
      <w:pPr>
        <w:spacing w:line="360" w:lineRule="auto"/>
        <w:jc w:val="both"/>
        <w:rPr>
          <w:rFonts w:ascii="Times New Roman" w:hAnsi="Times New Roman" w:cs="Times New Roman"/>
          <w:sz w:val="24"/>
          <w:szCs w:val="24"/>
        </w:rPr>
      </w:pPr>
    </w:p>
    <w:p w14:paraId="4CB3F208" w14:textId="77777777" w:rsidR="003A3AE1" w:rsidRDefault="003A3AE1" w:rsidP="00967D16">
      <w:pPr>
        <w:spacing w:line="360" w:lineRule="auto"/>
        <w:jc w:val="both"/>
        <w:rPr>
          <w:rFonts w:ascii="Times New Roman" w:hAnsi="Times New Roman" w:cs="Times New Roman"/>
          <w:sz w:val="24"/>
          <w:szCs w:val="24"/>
        </w:rPr>
      </w:pPr>
    </w:p>
    <w:p w14:paraId="2E58F998" w14:textId="77777777" w:rsidR="003A3AE1" w:rsidRDefault="003A3AE1" w:rsidP="00967D16">
      <w:pPr>
        <w:spacing w:line="360" w:lineRule="auto"/>
        <w:jc w:val="both"/>
        <w:rPr>
          <w:rFonts w:ascii="Times New Roman" w:hAnsi="Times New Roman" w:cs="Times New Roman"/>
          <w:sz w:val="24"/>
          <w:szCs w:val="24"/>
        </w:rPr>
      </w:pPr>
    </w:p>
    <w:p w14:paraId="266C0A25" w14:textId="0557D05D" w:rsidR="003A3AE1" w:rsidRPr="00933DE5" w:rsidRDefault="00933DE5" w:rsidP="00933DE5">
      <w:pPr>
        <w:spacing w:line="360" w:lineRule="auto"/>
        <w:jc w:val="center"/>
        <w:rPr>
          <w:rFonts w:ascii="Times New Roman" w:hAnsi="Times New Roman" w:cs="Times New Roman"/>
          <w:b/>
          <w:sz w:val="24"/>
          <w:szCs w:val="24"/>
        </w:rPr>
      </w:pPr>
      <w:r w:rsidRPr="00933DE5">
        <w:rPr>
          <w:rFonts w:ascii="Times New Roman" w:hAnsi="Times New Roman" w:cs="Times New Roman"/>
          <w:b/>
          <w:sz w:val="24"/>
          <w:szCs w:val="24"/>
        </w:rPr>
        <w:t>Table-</w:t>
      </w:r>
      <w:r w:rsidR="007D5A50">
        <w:rPr>
          <w:rFonts w:ascii="Times New Roman" w:hAnsi="Times New Roman" w:cs="Times New Roman"/>
          <w:b/>
          <w:sz w:val="24"/>
          <w:szCs w:val="24"/>
        </w:rPr>
        <w:t>2</w:t>
      </w:r>
      <w:r w:rsidRPr="00933DE5">
        <w:rPr>
          <w:rFonts w:ascii="Times New Roman" w:hAnsi="Times New Roman" w:cs="Times New Roman"/>
          <w:b/>
          <w:sz w:val="24"/>
          <w:szCs w:val="24"/>
        </w:rPr>
        <w:t xml:space="preserve"> showing Distribution of the study patients by risk factors (n=204)</w:t>
      </w:r>
    </w:p>
    <w:p w14:paraId="19CE03B0" w14:textId="7DC19D2A" w:rsidR="00933DE5" w:rsidRDefault="00967D16" w:rsidP="00967D16">
      <w:pPr>
        <w:spacing w:line="360" w:lineRule="auto"/>
        <w:jc w:val="both"/>
        <w:rPr>
          <w:rFonts w:ascii="Times New Roman" w:hAnsi="Times New Roman" w:cs="Times New Roman"/>
          <w:sz w:val="24"/>
          <w:szCs w:val="24"/>
        </w:rPr>
      </w:pPr>
      <w:r w:rsidRPr="00967D16">
        <w:rPr>
          <w:rFonts w:ascii="Times New Roman" w:hAnsi="Times New Roman" w:cs="Times New Roman"/>
          <w:sz w:val="24"/>
          <w:szCs w:val="24"/>
        </w:rPr>
        <w:t xml:space="preserve">The mean </w:t>
      </w:r>
      <w:r w:rsidR="0045452E">
        <w:rPr>
          <w:rFonts w:ascii="Times New Roman" w:hAnsi="Times New Roman" w:cs="Times New Roman"/>
          <w:sz w:val="24"/>
          <w:szCs w:val="24"/>
        </w:rPr>
        <w:t>Glasgow coma scale (</w:t>
      </w:r>
      <w:r w:rsidRPr="00967D16">
        <w:rPr>
          <w:rFonts w:ascii="Times New Roman" w:hAnsi="Times New Roman" w:cs="Times New Roman"/>
          <w:sz w:val="24"/>
          <w:szCs w:val="24"/>
        </w:rPr>
        <w:t>GCS</w:t>
      </w:r>
      <w:r w:rsidR="0045452E">
        <w:rPr>
          <w:rFonts w:ascii="Times New Roman" w:hAnsi="Times New Roman" w:cs="Times New Roman"/>
          <w:sz w:val="24"/>
          <w:szCs w:val="24"/>
        </w:rPr>
        <w:t>)</w:t>
      </w:r>
      <w:r w:rsidRPr="00967D16">
        <w:rPr>
          <w:rFonts w:ascii="Times New Roman" w:hAnsi="Times New Roman" w:cs="Times New Roman"/>
          <w:sz w:val="24"/>
          <w:szCs w:val="24"/>
        </w:rPr>
        <w:t xml:space="preserve"> was 12.32±3.61 in group I and 14.03±2.18 in group II. The mean </w:t>
      </w:r>
      <w:r w:rsidR="0045452E" w:rsidRPr="0045452E">
        <w:rPr>
          <w:rFonts w:ascii="Times New Roman" w:hAnsi="Times New Roman" w:cs="Times New Roman"/>
          <w:sz w:val="24"/>
          <w:szCs w:val="24"/>
        </w:rPr>
        <w:t xml:space="preserve">The National Institutes of Health Stroke Scale </w:t>
      </w:r>
      <w:r w:rsidR="0045452E">
        <w:rPr>
          <w:rFonts w:ascii="Times New Roman" w:hAnsi="Times New Roman" w:cs="Times New Roman"/>
          <w:sz w:val="24"/>
          <w:szCs w:val="24"/>
        </w:rPr>
        <w:t>(NIHSS)</w:t>
      </w:r>
      <w:r w:rsidR="00037D12">
        <w:rPr>
          <w:rFonts w:ascii="Times New Roman" w:hAnsi="Times New Roman" w:cs="Times New Roman"/>
          <w:sz w:val="24"/>
          <w:szCs w:val="24"/>
        </w:rPr>
        <w:t xml:space="preserve"> </w:t>
      </w:r>
      <w:r w:rsidRPr="00967D16">
        <w:rPr>
          <w:rFonts w:ascii="Times New Roman" w:hAnsi="Times New Roman" w:cs="Times New Roman"/>
          <w:sz w:val="24"/>
          <w:szCs w:val="24"/>
        </w:rPr>
        <w:t>was 7.86±4.553 in group I and 2.47±1.141 in group II. The mean SBP was 153.77±32.154mm of Hg in group I and 140.88±19.398mm of Hg in group II. The mean DBP was 85.69±14.108 mm of Hg in group I and 81.45±12.039 mm of Hg in group II. The mean pulse was 75.72±9.253 per minute in group I and 75.37±7.508 per minute in group II</w:t>
      </w:r>
      <w:r w:rsidR="00550F1A" w:rsidRPr="00967D16">
        <w:rPr>
          <w:rFonts w:ascii="Times New Roman" w:hAnsi="Times New Roman" w:cs="Times New Roman"/>
          <w:sz w:val="24"/>
          <w:szCs w:val="24"/>
        </w:rPr>
        <w:t>.</w:t>
      </w:r>
      <w:r w:rsidRPr="00967D16">
        <w:rPr>
          <w:rFonts w:ascii="Times New Roman" w:hAnsi="Times New Roman" w:cs="Times New Roman"/>
          <w:sz w:val="24"/>
          <w:szCs w:val="24"/>
        </w:rPr>
        <w:t xml:space="preserve"> The difference of GCS, NIHSS score, Systolic and Diastolic blood pressure were statistically significant (p&lt;0.05) between two groups.</w:t>
      </w:r>
      <w:r w:rsidRPr="00967D16">
        <w:t xml:space="preserve"> </w:t>
      </w:r>
    </w:p>
    <w:tbl>
      <w:tblPr>
        <w:tblW w:w="4367" w:type="pct"/>
        <w:tblInd w:w="598" w:type="dxa"/>
        <w:tblCellMar>
          <w:left w:w="30" w:type="dxa"/>
          <w:right w:w="30" w:type="dxa"/>
        </w:tblCellMar>
        <w:tblLook w:val="04A0" w:firstRow="1" w:lastRow="0" w:firstColumn="1" w:lastColumn="0" w:noHBand="0" w:noVBand="1"/>
      </w:tblPr>
      <w:tblGrid>
        <w:gridCol w:w="3012"/>
        <w:gridCol w:w="1844"/>
        <w:gridCol w:w="2114"/>
        <w:gridCol w:w="1205"/>
      </w:tblGrid>
      <w:tr w:rsidR="00933DE5" w:rsidRPr="00DB3680" w14:paraId="254DD6C5" w14:textId="77777777" w:rsidTr="00933DE5">
        <w:trPr>
          <w:cantSplit/>
          <w:trHeight w:val="140"/>
          <w:tblHeader/>
        </w:trPr>
        <w:tc>
          <w:tcPr>
            <w:tcW w:w="1842" w:type="pct"/>
            <w:tcBorders>
              <w:top w:val="single" w:sz="4" w:space="0" w:color="auto"/>
            </w:tcBorders>
            <w:shd w:val="clear" w:color="auto" w:fill="FFFFFF"/>
            <w:tcMar>
              <w:top w:w="30" w:type="dxa"/>
              <w:left w:w="30" w:type="dxa"/>
              <w:bottom w:w="30" w:type="dxa"/>
              <w:right w:w="30" w:type="dxa"/>
            </w:tcMar>
            <w:vAlign w:val="center"/>
          </w:tcPr>
          <w:p w14:paraId="0F702D0A" w14:textId="77777777" w:rsidR="00933DE5" w:rsidRPr="00DB3680" w:rsidRDefault="00933DE5" w:rsidP="00CF11DC">
            <w:pPr>
              <w:widowControl w:val="0"/>
              <w:autoSpaceDE w:val="0"/>
              <w:autoSpaceDN w:val="0"/>
              <w:adjustRightInd w:val="0"/>
              <w:spacing w:after="0" w:line="256" w:lineRule="auto"/>
              <w:jc w:val="center"/>
              <w:rPr>
                <w:rFonts w:ascii="Arial" w:eastAsia="Times New Roman" w:hAnsi="Arial" w:cs="Arial"/>
              </w:rPr>
            </w:pPr>
          </w:p>
        </w:tc>
        <w:tc>
          <w:tcPr>
            <w:tcW w:w="2421" w:type="pct"/>
            <w:gridSpan w:val="2"/>
            <w:tcBorders>
              <w:top w:val="single" w:sz="4" w:space="0" w:color="auto"/>
            </w:tcBorders>
            <w:shd w:val="clear" w:color="auto" w:fill="FFFFFF"/>
            <w:tcMar>
              <w:top w:w="30" w:type="dxa"/>
              <w:left w:w="30" w:type="dxa"/>
              <w:bottom w:w="30" w:type="dxa"/>
              <w:right w:w="30" w:type="dxa"/>
            </w:tcMar>
            <w:vAlign w:val="center"/>
            <w:hideMark/>
          </w:tcPr>
          <w:p w14:paraId="5D7C91A7" w14:textId="77777777" w:rsidR="00933DE5" w:rsidRPr="00006402" w:rsidRDefault="00933DE5" w:rsidP="00CF11DC">
            <w:pPr>
              <w:widowControl w:val="0"/>
              <w:autoSpaceDE w:val="0"/>
              <w:autoSpaceDN w:val="0"/>
              <w:adjustRightInd w:val="0"/>
              <w:spacing w:after="0" w:line="320" w:lineRule="atLeast"/>
              <w:jc w:val="center"/>
              <w:rPr>
                <w:rFonts w:ascii="Arial" w:eastAsia="Times New Roman" w:hAnsi="Arial" w:cs="Arial"/>
                <w:b/>
                <w:bCs/>
              </w:rPr>
            </w:pPr>
          </w:p>
        </w:tc>
        <w:tc>
          <w:tcPr>
            <w:tcW w:w="737" w:type="pct"/>
            <w:vMerge w:val="restart"/>
            <w:tcBorders>
              <w:top w:val="single" w:sz="4" w:space="0" w:color="auto"/>
            </w:tcBorders>
            <w:shd w:val="clear" w:color="auto" w:fill="FFFFFF"/>
            <w:tcMar>
              <w:top w:w="30" w:type="dxa"/>
              <w:left w:w="30" w:type="dxa"/>
              <w:bottom w:w="30" w:type="dxa"/>
              <w:right w:w="30" w:type="dxa"/>
            </w:tcMar>
            <w:vAlign w:val="center"/>
            <w:hideMark/>
          </w:tcPr>
          <w:p w14:paraId="0EEC9647" w14:textId="77777777" w:rsidR="00933DE5" w:rsidRPr="00006402" w:rsidRDefault="00933DE5" w:rsidP="00CF11DC">
            <w:pPr>
              <w:widowControl w:val="0"/>
              <w:autoSpaceDE w:val="0"/>
              <w:autoSpaceDN w:val="0"/>
              <w:adjustRightInd w:val="0"/>
              <w:spacing w:after="0" w:line="320" w:lineRule="atLeast"/>
              <w:jc w:val="center"/>
              <w:rPr>
                <w:rFonts w:ascii="Arial" w:eastAsia="Times New Roman" w:hAnsi="Arial" w:cs="Arial"/>
                <w:b/>
                <w:bCs/>
              </w:rPr>
            </w:pPr>
            <w:r w:rsidRPr="00006402">
              <w:rPr>
                <w:rFonts w:ascii="Arial" w:eastAsia="Times New Roman" w:hAnsi="Arial" w:cs="Arial"/>
                <w:b/>
                <w:bCs/>
              </w:rPr>
              <w:t>p value</w:t>
            </w:r>
          </w:p>
        </w:tc>
      </w:tr>
      <w:tr w:rsidR="00933DE5" w:rsidRPr="00DB3680" w14:paraId="7ADC7986" w14:textId="77777777" w:rsidTr="00933DE5">
        <w:trPr>
          <w:cantSplit/>
          <w:trHeight w:val="140"/>
          <w:tblHeader/>
        </w:trPr>
        <w:tc>
          <w:tcPr>
            <w:tcW w:w="1842" w:type="pct"/>
            <w:shd w:val="clear" w:color="auto" w:fill="FFFFFF"/>
            <w:tcMar>
              <w:top w:w="30" w:type="dxa"/>
              <w:left w:w="30" w:type="dxa"/>
              <w:bottom w:w="30" w:type="dxa"/>
              <w:right w:w="30" w:type="dxa"/>
            </w:tcMar>
            <w:vAlign w:val="center"/>
          </w:tcPr>
          <w:p w14:paraId="36350727"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c>
          <w:tcPr>
            <w:tcW w:w="1128" w:type="pct"/>
            <w:shd w:val="clear" w:color="auto" w:fill="FFFFFF"/>
            <w:tcMar>
              <w:top w:w="30" w:type="dxa"/>
              <w:left w:w="30" w:type="dxa"/>
              <w:bottom w:w="30" w:type="dxa"/>
              <w:right w:w="30" w:type="dxa"/>
            </w:tcMar>
            <w:vAlign w:val="center"/>
            <w:hideMark/>
          </w:tcPr>
          <w:p w14:paraId="2B6036DD"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w:t>
            </w:r>
          </w:p>
          <w:p w14:paraId="25259201"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(n=102)</w:t>
            </w:r>
          </w:p>
        </w:tc>
        <w:tc>
          <w:tcPr>
            <w:tcW w:w="1293" w:type="pct"/>
            <w:shd w:val="clear" w:color="auto" w:fill="FFFFFF"/>
            <w:tcMar>
              <w:top w:w="30" w:type="dxa"/>
              <w:left w:w="30" w:type="dxa"/>
              <w:bottom w:w="30" w:type="dxa"/>
              <w:right w:w="30" w:type="dxa"/>
            </w:tcMar>
            <w:vAlign w:val="center"/>
          </w:tcPr>
          <w:p w14:paraId="2D5F0269"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II</w:t>
            </w:r>
          </w:p>
          <w:p w14:paraId="30EC4C03"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(n=102)</w:t>
            </w:r>
          </w:p>
        </w:tc>
        <w:tc>
          <w:tcPr>
            <w:tcW w:w="737" w:type="pct"/>
            <w:vMerge/>
            <w:vAlign w:val="center"/>
            <w:hideMark/>
          </w:tcPr>
          <w:p w14:paraId="742CEF12" w14:textId="77777777" w:rsidR="00933DE5" w:rsidRPr="00933DE5" w:rsidRDefault="00933DE5" w:rsidP="00037D12">
            <w:pPr>
              <w:spacing w:after="0" w:line="240" w:lineRule="auto"/>
              <w:jc w:val="center"/>
              <w:rPr>
                <w:rFonts w:ascii="Times New Roman" w:eastAsia="Times New Roman" w:hAnsi="Times New Roman" w:cs="Times New Roman"/>
                <w:sz w:val="24"/>
                <w:szCs w:val="24"/>
              </w:rPr>
            </w:pPr>
          </w:p>
        </w:tc>
      </w:tr>
      <w:tr w:rsidR="00933DE5" w:rsidRPr="00DB3680" w14:paraId="0B556E40" w14:textId="77777777" w:rsidTr="00933DE5">
        <w:trPr>
          <w:cantSplit/>
          <w:trHeight w:val="714"/>
          <w:tblHeader/>
        </w:trPr>
        <w:tc>
          <w:tcPr>
            <w:tcW w:w="1842" w:type="pct"/>
            <w:tcBorders>
              <w:top w:val="single" w:sz="4" w:space="0" w:color="auto"/>
            </w:tcBorders>
            <w:shd w:val="clear" w:color="auto" w:fill="FFFFFF"/>
            <w:tcMar>
              <w:top w:w="30" w:type="dxa"/>
              <w:left w:w="30" w:type="dxa"/>
              <w:bottom w:w="30" w:type="dxa"/>
              <w:right w:w="30" w:type="dxa"/>
            </w:tcMar>
            <w:vAlign w:val="center"/>
            <w:hideMark/>
          </w:tcPr>
          <w:p w14:paraId="772F10C6"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GCS</w:t>
            </w:r>
          </w:p>
        </w:tc>
        <w:tc>
          <w:tcPr>
            <w:tcW w:w="1128" w:type="pct"/>
            <w:tcBorders>
              <w:top w:val="single" w:sz="4" w:space="0" w:color="auto"/>
            </w:tcBorders>
            <w:shd w:val="clear" w:color="auto" w:fill="FFFFFF"/>
            <w:tcMar>
              <w:top w:w="30" w:type="dxa"/>
              <w:left w:w="30" w:type="dxa"/>
              <w:bottom w:w="30" w:type="dxa"/>
              <w:right w:w="30" w:type="dxa"/>
            </w:tcMar>
            <w:vAlign w:val="center"/>
            <w:hideMark/>
          </w:tcPr>
          <w:p w14:paraId="63A368F3"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12.32±3.61</w:t>
            </w:r>
          </w:p>
        </w:tc>
        <w:tc>
          <w:tcPr>
            <w:tcW w:w="1293" w:type="pct"/>
            <w:tcBorders>
              <w:top w:val="single" w:sz="4" w:space="0" w:color="auto"/>
            </w:tcBorders>
            <w:shd w:val="clear" w:color="auto" w:fill="FFFFFF"/>
            <w:tcMar>
              <w:top w:w="30" w:type="dxa"/>
              <w:left w:w="30" w:type="dxa"/>
              <w:bottom w:w="30" w:type="dxa"/>
              <w:right w:w="30" w:type="dxa"/>
            </w:tcMar>
            <w:vAlign w:val="center"/>
            <w:hideMark/>
          </w:tcPr>
          <w:p w14:paraId="0EFE1736"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14.03±2.18</w:t>
            </w:r>
          </w:p>
        </w:tc>
        <w:tc>
          <w:tcPr>
            <w:tcW w:w="737" w:type="pct"/>
            <w:tcBorders>
              <w:top w:val="single" w:sz="4" w:space="0" w:color="auto"/>
            </w:tcBorders>
            <w:shd w:val="clear" w:color="auto" w:fill="FFFFFF"/>
            <w:tcMar>
              <w:top w:w="30" w:type="dxa"/>
              <w:left w:w="30" w:type="dxa"/>
              <w:bottom w:w="30" w:type="dxa"/>
              <w:right w:w="30" w:type="dxa"/>
            </w:tcMar>
            <w:vAlign w:val="center"/>
            <w:hideMark/>
          </w:tcPr>
          <w:p w14:paraId="44CD196E"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DB3680" w14:paraId="3C94667D" w14:textId="77777777" w:rsidTr="00933DE5">
        <w:trPr>
          <w:cantSplit/>
          <w:trHeight w:val="714"/>
          <w:tblHeader/>
        </w:trPr>
        <w:tc>
          <w:tcPr>
            <w:tcW w:w="1842" w:type="pct"/>
            <w:tcBorders>
              <w:top w:val="single" w:sz="4" w:space="0" w:color="auto"/>
            </w:tcBorders>
            <w:shd w:val="clear" w:color="auto" w:fill="FFFFFF"/>
            <w:tcMar>
              <w:top w:w="30" w:type="dxa"/>
              <w:left w:w="30" w:type="dxa"/>
              <w:bottom w:w="30" w:type="dxa"/>
              <w:right w:w="30" w:type="dxa"/>
            </w:tcMar>
            <w:vAlign w:val="center"/>
            <w:hideMark/>
          </w:tcPr>
          <w:p w14:paraId="67734632"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NIHSS Score</w:t>
            </w:r>
          </w:p>
        </w:tc>
        <w:tc>
          <w:tcPr>
            <w:tcW w:w="1128" w:type="pct"/>
            <w:tcBorders>
              <w:top w:val="single" w:sz="4" w:space="0" w:color="auto"/>
            </w:tcBorders>
            <w:shd w:val="clear" w:color="auto" w:fill="FFFFFF"/>
            <w:tcMar>
              <w:top w:w="30" w:type="dxa"/>
              <w:left w:w="30" w:type="dxa"/>
              <w:bottom w:w="30" w:type="dxa"/>
              <w:right w:w="30" w:type="dxa"/>
            </w:tcMar>
            <w:vAlign w:val="center"/>
            <w:hideMark/>
          </w:tcPr>
          <w:p w14:paraId="4C58C7CD"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7.86±4.553</w:t>
            </w:r>
          </w:p>
        </w:tc>
        <w:tc>
          <w:tcPr>
            <w:tcW w:w="1293" w:type="pct"/>
            <w:tcBorders>
              <w:top w:val="single" w:sz="4" w:space="0" w:color="auto"/>
            </w:tcBorders>
            <w:shd w:val="clear" w:color="auto" w:fill="FFFFFF"/>
            <w:tcMar>
              <w:top w:w="30" w:type="dxa"/>
              <w:left w:w="30" w:type="dxa"/>
              <w:bottom w:w="30" w:type="dxa"/>
              <w:right w:w="30" w:type="dxa"/>
            </w:tcMar>
            <w:vAlign w:val="center"/>
            <w:hideMark/>
          </w:tcPr>
          <w:p w14:paraId="04F5E2EF"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2.47±1.141</w:t>
            </w:r>
          </w:p>
        </w:tc>
        <w:tc>
          <w:tcPr>
            <w:tcW w:w="737" w:type="pct"/>
            <w:tcBorders>
              <w:top w:val="single" w:sz="4" w:space="0" w:color="auto"/>
            </w:tcBorders>
            <w:shd w:val="clear" w:color="auto" w:fill="FFFFFF"/>
            <w:tcMar>
              <w:top w:w="30" w:type="dxa"/>
              <w:left w:w="30" w:type="dxa"/>
              <w:bottom w:w="30" w:type="dxa"/>
              <w:right w:w="30" w:type="dxa"/>
            </w:tcMar>
            <w:vAlign w:val="center"/>
            <w:hideMark/>
          </w:tcPr>
          <w:p w14:paraId="680FAE08"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DB3680" w14:paraId="16FEAE34" w14:textId="77777777" w:rsidTr="00933DE5">
        <w:trPr>
          <w:cantSplit/>
          <w:trHeight w:val="724"/>
          <w:tblHeader/>
        </w:trPr>
        <w:tc>
          <w:tcPr>
            <w:tcW w:w="1842" w:type="pct"/>
            <w:shd w:val="clear" w:color="auto" w:fill="FFFFFF"/>
            <w:tcMar>
              <w:top w:w="30" w:type="dxa"/>
              <w:left w:w="30" w:type="dxa"/>
              <w:bottom w:w="30" w:type="dxa"/>
              <w:right w:w="30" w:type="dxa"/>
            </w:tcMar>
            <w:vAlign w:val="center"/>
            <w:hideMark/>
          </w:tcPr>
          <w:p w14:paraId="242C8D5F"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Systolic Blood Pressure</w:t>
            </w:r>
          </w:p>
        </w:tc>
        <w:tc>
          <w:tcPr>
            <w:tcW w:w="1128" w:type="pct"/>
            <w:shd w:val="clear" w:color="auto" w:fill="FFFFFF"/>
            <w:tcMar>
              <w:top w:w="30" w:type="dxa"/>
              <w:left w:w="30" w:type="dxa"/>
              <w:bottom w:w="30" w:type="dxa"/>
              <w:right w:w="30" w:type="dxa"/>
            </w:tcMar>
            <w:vAlign w:val="center"/>
            <w:hideMark/>
          </w:tcPr>
          <w:p w14:paraId="5C3845AF"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153.77±32.154</w:t>
            </w:r>
          </w:p>
        </w:tc>
        <w:tc>
          <w:tcPr>
            <w:tcW w:w="1293" w:type="pct"/>
            <w:shd w:val="clear" w:color="auto" w:fill="FFFFFF"/>
            <w:tcMar>
              <w:top w:w="30" w:type="dxa"/>
              <w:left w:w="30" w:type="dxa"/>
              <w:bottom w:w="30" w:type="dxa"/>
              <w:right w:w="30" w:type="dxa"/>
            </w:tcMar>
            <w:vAlign w:val="center"/>
            <w:hideMark/>
          </w:tcPr>
          <w:p w14:paraId="75D6320C"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140.88±19.398</w:t>
            </w:r>
          </w:p>
        </w:tc>
        <w:tc>
          <w:tcPr>
            <w:tcW w:w="737" w:type="pct"/>
            <w:shd w:val="clear" w:color="auto" w:fill="FFFFFF"/>
            <w:tcMar>
              <w:top w:w="30" w:type="dxa"/>
              <w:left w:w="30" w:type="dxa"/>
              <w:bottom w:w="30" w:type="dxa"/>
              <w:right w:w="30" w:type="dxa"/>
            </w:tcMar>
            <w:vAlign w:val="center"/>
            <w:hideMark/>
          </w:tcPr>
          <w:p w14:paraId="354AF0A5"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DB3680" w14:paraId="25E2D01C" w14:textId="77777777" w:rsidTr="00933DE5">
        <w:trPr>
          <w:cantSplit/>
          <w:trHeight w:val="724"/>
          <w:tblHeader/>
        </w:trPr>
        <w:tc>
          <w:tcPr>
            <w:tcW w:w="1842" w:type="pct"/>
            <w:shd w:val="clear" w:color="auto" w:fill="FFFFFF"/>
            <w:tcMar>
              <w:top w:w="30" w:type="dxa"/>
              <w:left w:w="30" w:type="dxa"/>
              <w:bottom w:w="30" w:type="dxa"/>
              <w:right w:w="30" w:type="dxa"/>
            </w:tcMar>
            <w:vAlign w:val="center"/>
            <w:hideMark/>
          </w:tcPr>
          <w:p w14:paraId="436DC693"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Diastolic Blood Pressure</w:t>
            </w:r>
          </w:p>
        </w:tc>
        <w:tc>
          <w:tcPr>
            <w:tcW w:w="1128" w:type="pct"/>
            <w:shd w:val="clear" w:color="auto" w:fill="FFFFFF"/>
            <w:tcMar>
              <w:top w:w="30" w:type="dxa"/>
              <w:left w:w="30" w:type="dxa"/>
              <w:bottom w:w="30" w:type="dxa"/>
              <w:right w:w="30" w:type="dxa"/>
            </w:tcMar>
            <w:vAlign w:val="center"/>
            <w:hideMark/>
          </w:tcPr>
          <w:p w14:paraId="6567CC64"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85.69±14.108</w:t>
            </w:r>
          </w:p>
        </w:tc>
        <w:tc>
          <w:tcPr>
            <w:tcW w:w="1293" w:type="pct"/>
            <w:shd w:val="clear" w:color="auto" w:fill="FFFFFF"/>
            <w:tcMar>
              <w:top w:w="30" w:type="dxa"/>
              <w:left w:w="30" w:type="dxa"/>
              <w:bottom w:w="30" w:type="dxa"/>
              <w:right w:w="30" w:type="dxa"/>
            </w:tcMar>
            <w:vAlign w:val="center"/>
            <w:hideMark/>
          </w:tcPr>
          <w:p w14:paraId="5A19141C"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81.45±12.039</w:t>
            </w:r>
          </w:p>
        </w:tc>
        <w:tc>
          <w:tcPr>
            <w:tcW w:w="737" w:type="pct"/>
            <w:shd w:val="clear" w:color="auto" w:fill="FFFFFF"/>
            <w:tcMar>
              <w:top w:w="30" w:type="dxa"/>
              <w:left w:w="30" w:type="dxa"/>
              <w:bottom w:w="30" w:type="dxa"/>
              <w:right w:w="30" w:type="dxa"/>
            </w:tcMar>
            <w:vAlign w:val="center"/>
            <w:hideMark/>
          </w:tcPr>
          <w:p w14:paraId="0F2552B6"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0.022</w:t>
            </w:r>
          </w:p>
        </w:tc>
      </w:tr>
      <w:tr w:rsidR="00933DE5" w:rsidRPr="00DB3680" w14:paraId="3BF44E19" w14:textId="77777777" w:rsidTr="00933DE5">
        <w:trPr>
          <w:cantSplit/>
          <w:trHeight w:val="724"/>
          <w:tblHeader/>
        </w:trPr>
        <w:tc>
          <w:tcPr>
            <w:tcW w:w="1842" w:type="pct"/>
            <w:tcBorders>
              <w:bottom w:val="single" w:sz="4" w:space="0" w:color="auto"/>
            </w:tcBorders>
            <w:shd w:val="clear" w:color="auto" w:fill="FFFFFF"/>
            <w:tcMar>
              <w:top w:w="30" w:type="dxa"/>
              <w:left w:w="30" w:type="dxa"/>
              <w:bottom w:w="30" w:type="dxa"/>
              <w:right w:w="30" w:type="dxa"/>
            </w:tcMar>
            <w:vAlign w:val="center"/>
            <w:hideMark/>
          </w:tcPr>
          <w:p w14:paraId="09567A4C"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Pulse</w:t>
            </w:r>
          </w:p>
        </w:tc>
        <w:tc>
          <w:tcPr>
            <w:tcW w:w="1128" w:type="pct"/>
            <w:tcBorders>
              <w:bottom w:val="single" w:sz="4" w:space="0" w:color="auto"/>
            </w:tcBorders>
            <w:shd w:val="clear" w:color="auto" w:fill="FFFFFF"/>
            <w:tcMar>
              <w:top w:w="30" w:type="dxa"/>
              <w:left w:w="30" w:type="dxa"/>
              <w:bottom w:w="30" w:type="dxa"/>
              <w:right w:w="30" w:type="dxa"/>
            </w:tcMar>
            <w:vAlign w:val="center"/>
            <w:hideMark/>
          </w:tcPr>
          <w:p w14:paraId="559E6AF5"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75.72±9.253</w:t>
            </w:r>
          </w:p>
        </w:tc>
        <w:tc>
          <w:tcPr>
            <w:tcW w:w="1293" w:type="pct"/>
            <w:tcBorders>
              <w:bottom w:val="single" w:sz="4" w:space="0" w:color="auto"/>
            </w:tcBorders>
            <w:shd w:val="clear" w:color="auto" w:fill="FFFFFF"/>
            <w:tcMar>
              <w:top w:w="30" w:type="dxa"/>
              <w:left w:w="30" w:type="dxa"/>
              <w:bottom w:w="30" w:type="dxa"/>
              <w:right w:w="30" w:type="dxa"/>
            </w:tcMar>
            <w:vAlign w:val="center"/>
            <w:hideMark/>
          </w:tcPr>
          <w:p w14:paraId="397A1F6E"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75.37±7.508</w:t>
            </w:r>
          </w:p>
        </w:tc>
        <w:tc>
          <w:tcPr>
            <w:tcW w:w="737" w:type="pct"/>
            <w:tcBorders>
              <w:bottom w:val="single" w:sz="4" w:space="0" w:color="auto"/>
            </w:tcBorders>
            <w:shd w:val="clear" w:color="auto" w:fill="FFFFFF"/>
            <w:tcMar>
              <w:top w:w="30" w:type="dxa"/>
              <w:left w:w="30" w:type="dxa"/>
              <w:bottom w:w="30" w:type="dxa"/>
              <w:right w:w="30" w:type="dxa"/>
            </w:tcMar>
            <w:vAlign w:val="center"/>
            <w:hideMark/>
          </w:tcPr>
          <w:p w14:paraId="1D14A46B" w14:textId="77777777" w:rsidR="00933DE5" w:rsidRPr="00933DE5" w:rsidRDefault="00933DE5" w:rsidP="00037D12">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0.771</w:t>
            </w:r>
          </w:p>
        </w:tc>
      </w:tr>
    </w:tbl>
    <w:p w14:paraId="2664FBE3" w14:textId="1DE2051F" w:rsidR="00933DE5" w:rsidRPr="00933DE5" w:rsidRDefault="00933DE5" w:rsidP="00933DE5">
      <w:pPr>
        <w:spacing w:line="360" w:lineRule="auto"/>
        <w:jc w:val="center"/>
        <w:rPr>
          <w:rFonts w:ascii="Times New Roman" w:hAnsi="Times New Roman" w:cs="Times New Roman"/>
          <w:b/>
          <w:sz w:val="24"/>
          <w:szCs w:val="24"/>
        </w:rPr>
      </w:pPr>
      <w:r w:rsidRPr="00933DE5">
        <w:rPr>
          <w:rFonts w:ascii="Times New Roman" w:hAnsi="Times New Roman" w:cs="Times New Roman"/>
          <w:b/>
          <w:sz w:val="24"/>
          <w:szCs w:val="24"/>
        </w:rPr>
        <w:t>Table-</w:t>
      </w:r>
      <w:r w:rsidR="007E1F3B">
        <w:rPr>
          <w:rFonts w:ascii="Times New Roman" w:hAnsi="Times New Roman" w:cs="Times New Roman"/>
          <w:b/>
          <w:sz w:val="24"/>
          <w:szCs w:val="24"/>
        </w:rPr>
        <w:t>3</w:t>
      </w:r>
      <w:r w:rsidRPr="00933DE5">
        <w:rPr>
          <w:rFonts w:ascii="Times New Roman" w:hAnsi="Times New Roman" w:cs="Times New Roman"/>
          <w:b/>
          <w:sz w:val="24"/>
          <w:szCs w:val="24"/>
        </w:rPr>
        <w:t xml:space="preserve"> showing Distribution of the study patients by examination findings (n=204)</w:t>
      </w:r>
    </w:p>
    <w:p w14:paraId="0B1FEF09" w14:textId="77777777" w:rsidR="004F5472" w:rsidRDefault="00933DE5" w:rsidP="00967D16">
      <w:pPr>
        <w:spacing w:line="360" w:lineRule="auto"/>
        <w:jc w:val="both"/>
        <w:rPr>
          <w:rFonts w:ascii="Times New Roman" w:hAnsi="Times New Roman" w:cs="Times New Roman"/>
          <w:sz w:val="24"/>
          <w:szCs w:val="24"/>
        </w:rPr>
      </w:pPr>
      <w:r w:rsidRPr="00933DE5">
        <w:rPr>
          <w:rFonts w:ascii="Times New Roman" w:hAnsi="Times New Roman" w:cs="Times New Roman"/>
          <w:sz w:val="24"/>
          <w:szCs w:val="24"/>
        </w:rPr>
        <w:lastRenderedPageBreak/>
        <w:t>The mean serum cardiac troponin I was 6.79±7.84 in group I and 0.031±0.027 in group II which was statistically significant (p&lt;0.05). It was observed that almost two third (63.73%) patients had normal ECG finding in group I and 98(96.08%) in group II. Two third (63.73%) patients had normal ECHO 2D finding in group I and 94(92.16%) in group II. The difference was statistically significant (p&lt;0.05) between two groups.</w:t>
      </w:r>
    </w:p>
    <w:tbl>
      <w:tblPr>
        <w:tblW w:w="5000" w:type="pct"/>
        <w:tblCellMar>
          <w:left w:w="30" w:type="dxa"/>
          <w:right w:w="30" w:type="dxa"/>
        </w:tblCellMar>
        <w:tblLook w:val="04A0" w:firstRow="1" w:lastRow="0" w:firstColumn="1" w:lastColumn="0" w:noHBand="0" w:noVBand="1"/>
      </w:tblPr>
      <w:tblGrid>
        <w:gridCol w:w="2670"/>
        <w:gridCol w:w="2860"/>
        <w:gridCol w:w="2677"/>
        <w:gridCol w:w="1153"/>
      </w:tblGrid>
      <w:tr w:rsidR="00933DE5" w:rsidRPr="006D2E9F" w14:paraId="5B61EA2B" w14:textId="77777777" w:rsidTr="004F5472">
        <w:trPr>
          <w:cantSplit/>
          <w:trHeight w:val="140"/>
          <w:tblHeader/>
        </w:trPr>
        <w:tc>
          <w:tcPr>
            <w:tcW w:w="1426" w:type="pct"/>
            <w:tcBorders>
              <w:top w:val="single" w:sz="4" w:space="0" w:color="auto"/>
              <w:bottom w:val="single" w:sz="4" w:space="0" w:color="auto"/>
            </w:tcBorders>
            <w:shd w:val="clear" w:color="auto" w:fill="FFFFFF"/>
            <w:tcMar>
              <w:top w:w="30" w:type="dxa"/>
              <w:left w:w="30" w:type="dxa"/>
              <w:bottom w:w="30" w:type="dxa"/>
              <w:right w:w="30" w:type="dxa"/>
            </w:tcMar>
          </w:tcPr>
          <w:p w14:paraId="6321EF41" w14:textId="77777777" w:rsidR="00933DE5" w:rsidRPr="00933DE5" w:rsidRDefault="00933DE5" w:rsidP="00933DE5">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1528"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7E4794A"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w:t>
            </w:r>
          </w:p>
          <w:p w14:paraId="030DDC36"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(n=102)</w:t>
            </w:r>
          </w:p>
        </w:tc>
        <w:tc>
          <w:tcPr>
            <w:tcW w:w="1430" w:type="pct"/>
            <w:tcBorders>
              <w:top w:val="single" w:sz="4" w:space="0" w:color="auto"/>
              <w:bottom w:val="single" w:sz="4" w:space="0" w:color="auto"/>
            </w:tcBorders>
            <w:shd w:val="clear" w:color="auto" w:fill="FFFFFF"/>
            <w:tcMar>
              <w:top w:w="30" w:type="dxa"/>
              <w:left w:w="30" w:type="dxa"/>
              <w:bottom w:w="30" w:type="dxa"/>
              <w:right w:w="30" w:type="dxa"/>
            </w:tcMar>
            <w:vAlign w:val="center"/>
          </w:tcPr>
          <w:p w14:paraId="45C5AC4E"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Group II</w:t>
            </w:r>
          </w:p>
          <w:p w14:paraId="4B6FF804"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 xml:space="preserve"> (n=102)</w:t>
            </w:r>
          </w:p>
        </w:tc>
        <w:tc>
          <w:tcPr>
            <w:tcW w:w="616"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18A8D78"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933DE5">
              <w:rPr>
                <w:rFonts w:ascii="Times New Roman" w:eastAsia="Times New Roman" w:hAnsi="Times New Roman" w:cs="Times New Roman"/>
                <w:b/>
                <w:bCs/>
                <w:sz w:val="24"/>
                <w:szCs w:val="24"/>
              </w:rPr>
              <w:t>p value</w:t>
            </w:r>
          </w:p>
        </w:tc>
      </w:tr>
      <w:tr w:rsidR="00933DE5" w:rsidRPr="006D2E9F" w14:paraId="16D8570D" w14:textId="77777777" w:rsidTr="004F5472">
        <w:trPr>
          <w:cantSplit/>
          <w:trHeight w:val="714"/>
          <w:tblHeader/>
        </w:trPr>
        <w:tc>
          <w:tcPr>
            <w:tcW w:w="1426" w:type="pct"/>
            <w:tcBorders>
              <w:top w:val="single" w:sz="4" w:space="0" w:color="auto"/>
            </w:tcBorders>
            <w:shd w:val="clear" w:color="auto" w:fill="FFFFFF"/>
            <w:tcMar>
              <w:top w:w="30" w:type="dxa"/>
              <w:left w:w="30" w:type="dxa"/>
              <w:bottom w:w="30" w:type="dxa"/>
              <w:right w:w="30" w:type="dxa"/>
            </w:tcMar>
            <w:vAlign w:val="center"/>
            <w:hideMark/>
          </w:tcPr>
          <w:p w14:paraId="5EAFC416" w14:textId="18025830" w:rsid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Serum Troponin</w:t>
            </w:r>
            <w:r w:rsidR="00037D12">
              <w:rPr>
                <w:rFonts w:ascii="Times New Roman" w:eastAsia="Times New Roman" w:hAnsi="Times New Roman" w:cs="Times New Roman"/>
                <w:sz w:val="24"/>
                <w:szCs w:val="24"/>
              </w:rPr>
              <w:t>-I</w:t>
            </w:r>
          </w:p>
          <w:p w14:paraId="56614897" w14:textId="2CFDD4E6" w:rsidR="00037D12" w:rsidRPr="00933DE5" w:rsidRDefault="00037D12"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(ng/ml)</w:t>
            </w:r>
          </w:p>
        </w:tc>
        <w:tc>
          <w:tcPr>
            <w:tcW w:w="1528" w:type="pct"/>
            <w:tcBorders>
              <w:top w:val="single" w:sz="4" w:space="0" w:color="auto"/>
            </w:tcBorders>
            <w:shd w:val="clear" w:color="auto" w:fill="FFFFFF"/>
            <w:tcMar>
              <w:top w:w="30" w:type="dxa"/>
              <w:left w:w="30" w:type="dxa"/>
              <w:bottom w:w="30" w:type="dxa"/>
              <w:right w:w="30" w:type="dxa"/>
            </w:tcMar>
            <w:vAlign w:val="center"/>
            <w:hideMark/>
          </w:tcPr>
          <w:p w14:paraId="6D2AA1F1"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6.79±7.84</w:t>
            </w:r>
          </w:p>
        </w:tc>
        <w:tc>
          <w:tcPr>
            <w:tcW w:w="1430" w:type="pct"/>
            <w:tcBorders>
              <w:top w:val="single" w:sz="4" w:space="0" w:color="auto"/>
            </w:tcBorders>
            <w:shd w:val="clear" w:color="auto" w:fill="FFFFFF"/>
            <w:tcMar>
              <w:top w:w="30" w:type="dxa"/>
              <w:left w:w="30" w:type="dxa"/>
              <w:bottom w:w="30" w:type="dxa"/>
              <w:right w:w="30" w:type="dxa"/>
            </w:tcMar>
            <w:vAlign w:val="center"/>
            <w:hideMark/>
          </w:tcPr>
          <w:p w14:paraId="179399A2"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0.031±0.027</w:t>
            </w:r>
          </w:p>
        </w:tc>
        <w:tc>
          <w:tcPr>
            <w:tcW w:w="616" w:type="pct"/>
            <w:tcBorders>
              <w:top w:val="single" w:sz="4" w:space="0" w:color="auto"/>
            </w:tcBorders>
            <w:shd w:val="clear" w:color="auto" w:fill="FFFFFF"/>
            <w:tcMar>
              <w:top w:w="30" w:type="dxa"/>
              <w:left w:w="30" w:type="dxa"/>
              <w:bottom w:w="30" w:type="dxa"/>
              <w:right w:w="30" w:type="dxa"/>
            </w:tcMar>
            <w:vAlign w:val="center"/>
            <w:hideMark/>
          </w:tcPr>
          <w:p w14:paraId="147991BA"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0.001</w:t>
            </w:r>
          </w:p>
        </w:tc>
      </w:tr>
      <w:tr w:rsidR="00933DE5" w:rsidRPr="006D2E9F" w14:paraId="39624C64" w14:textId="77777777" w:rsidTr="004F5472">
        <w:trPr>
          <w:cantSplit/>
          <w:trHeight w:val="724"/>
          <w:tblHeader/>
        </w:trPr>
        <w:tc>
          <w:tcPr>
            <w:tcW w:w="1426" w:type="pct"/>
            <w:shd w:val="clear" w:color="auto" w:fill="FFFFFF"/>
            <w:tcMar>
              <w:top w:w="30" w:type="dxa"/>
              <w:left w:w="30" w:type="dxa"/>
              <w:bottom w:w="30" w:type="dxa"/>
              <w:right w:w="30" w:type="dxa"/>
            </w:tcMar>
            <w:vAlign w:val="center"/>
            <w:hideMark/>
          </w:tcPr>
          <w:p w14:paraId="04905655" w14:textId="07B75EF4"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Random Blood </w:t>
            </w:r>
            <w:r w:rsidR="004F5472">
              <w:rPr>
                <w:rFonts w:ascii="Times New Roman" w:eastAsia="Times New Roman" w:hAnsi="Times New Roman" w:cs="Times New Roman"/>
                <w:sz w:val="24"/>
                <w:szCs w:val="24"/>
              </w:rPr>
              <w:t>Sugar</w:t>
            </w:r>
            <w:r w:rsidR="00037D12">
              <w:rPr>
                <w:rFonts w:ascii="Times New Roman" w:eastAsia="Times New Roman" w:hAnsi="Times New Roman" w:cs="Times New Roman"/>
                <w:sz w:val="24"/>
                <w:szCs w:val="24"/>
              </w:rPr>
              <w:t>(mg/dl)</w:t>
            </w:r>
          </w:p>
        </w:tc>
        <w:tc>
          <w:tcPr>
            <w:tcW w:w="1528" w:type="pct"/>
            <w:shd w:val="clear" w:color="auto" w:fill="FFFFFF"/>
            <w:tcMar>
              <w:top w:w="30" w:type="dxa"/>
              <w:left w:w="30" w:type="dxa"/>
              <w:bottom w:w="30" w:type="dxa"/>
              <w:right w:w="30" w:type="dxa"/>
            </w:tcMar>
            <w:vAlign w:val="center"/>
            <w:hideMark/>
          </w:tcPr>
          <w:p w14:paraId="304CAEBB"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153.89±45.39</w:t>
            </w:r>
          </w:p>
        </w:tc>
        <w:tc>
          <w:tcPr>
            <w:tcW w:w="1430" w:type="pct"/>
            <w:shd w:val="clear" w:color="auto" w:fill="FFFFFF"/>
            <w:tcMar>
              <w:top w:w="30" w:type="dxa"/>
              <w:left w:w="30" w:type="dxa"/>
              <w:bottom w:w="30" w:type="dxa"/>
              <w:right w:w="30" w:type="dxa"/>
            </w:tcMar>
            <w:vAlign w:val="center"/>
            <w:hideMark/>
          </w:tcPr>
          <w:p w14:paraId="08D80A16" w14:textId="622C301D" w:rsidR="00933DE5" w:rsidRPr="00933DE5" w:rsidRDefault="004C176F"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33DE5" w:rsidRPr="00933DE5">
              <w:rPr>
                <w:rFonts w:ascii="Times New Roman" w:eastAsia="Times New Roman" w:hAnsi="Times New Roman" w:cs="Times New Roman"/>
                <w:sz w:val="24"/>
                <w:szCs w:val="24"/>
              </w:rPr>
              <w:t>46±46.51</w:t>
            </w:r>
          </w:p>
        </w:tc>
        <w:tc>
          <w:tcPr>
            <w:tcW w:w="616" w:type="pct"/>
            <w:shd w:val="clear" w:color="auto" w:fill="FFFFFF"/>
            <w:tcMar>
              <w:top w:w="30" w:type="dxa"/>
              <w:left w:w="30" w:type="dxa"/>
              <w:bottom w:w="30" w:type="dxa"/>
              <w:right w:w="30" w:type="dxa"/>
            </w:tcMar>
            <w:vAlign w:val="center"/>
            <w:hideMark/>
          </w:tcPr>
          <w:p w14:paraId="6307B2C6" w14:textId="77777777" w:rsidR="00933DE5" w:rsidRPr="00933DE5" w:rsidRDefault="00933DE5" w:rsidP="00933DE5">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933DE5">
              <w:rPr>
                <w:rFonts w:ascii="Times New Roman" w:eastAsia="Times New Roman" w:hAnsi="Times New Roman" w:cs="Times New Roman"/>
                <w:sz w:val="24"/>
                <w:szCs w:val="24"/>
              </w:rPr>
              <w:t>1.679</w:t>
            </w:r>
          </w:p>
        </w:tc>
      </w:tr>
    </w:tbl>
    <w:tbl>
      <w:tblPr>
        <w:tblpPr w:leftFromText="180" w:rightFromText="180" w:vertAnchor="text" w:horzAnchor="margin" w:tblpY="206"/>
        <w:tblW w:w="5000" w:type="pct"/>
        <w:tblLayout w:type="fixed"/>
        <w:tblCellMar>
          <w:left w:w="30" w:type="dxa"/>
          <w:right w:w="30" w:type="dxa"/>
        </w:tblCellMar>
        <w:tblLook w:val="04A0" w:firstRow="1" w:lastRow="0" w:firstColumn="1" w:lastColumn="0" w:noHBand="0" w:noVBand="1"/>
      </w:tblPr>
      <w:tblGrid>
        <w:gridCol w:w="1159"/>
        <w:gridCol w:w="1458"/>
        <w:gridCol w:w="1348"/>
        <w:gridCol w:w="1073"/>
        <w:gridCol w:w="1340"/>
        <w:gridCol w:w="1164"/>
        <w:gridCol w:w="1818"/>
      </w:tblGrid>
      <w:tr w:rsidR="004F5472" w:rsidRPr="004F5472" w14:paraId="3B769CD4" w14:textId="77777777" w:rsidTr="004F5472">
        <w:trPr>
          <w:cantSplit/>
          <w:trHeight w:val="352"/>
          <w:tblHeader/>
        </w:trPr>
        <w:tc>
          <w:tcPr>
            <w:tcW w:w="619" w:type="pct"/>
            <w:vMerge w:val="restart"/>
            <w:shd w:val="clear" w:color="auto" w:fill="FFFFFF"/>
            <w:tcMar>
              <w:top w:w="30" w:type="dxa"/>
              <w:left w:w="30" w:type="dxa"/>
              <w:bottom w:w="30" w:type="dxa"/>
              <w:right w:w="30" w:type="dxa"/>
            </w:tcMar>
            <w:hideMark/>
          </w:tcPr>
          <w:p w14:paraId="0B1978D7"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ECG</w:t>
            </w:r>
          </w:p>
        </w:tc>
        <w:tc>
          <w:tcPr>
            <w:tcW w:w="779" w:type="pct"/>
            <w:shd w:val="clear" w:color="auto" w:fill="FFFFFF"/>
            <w:tcMar>
              <w:top w:w="30" w:type="dxa"/>
              <w:left w:w="30" w:type="dxa"/>
              <w:bottom w:w="30" w:type="dxa"/>
              <w:right w:w="30" w:type="dxa"/>
            </w:tcMar>
            <w:hideMark/>
          </w:tcPr>
          <w:p w14:paraId="6B3D81C8"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Normal</w:t>
            </w:r>
          </w:p>
        </w:tc>
        <w:tc>
          <w:tcPr>
            <w:tcW w:w="720" w:type="pct"/>
            <w:shd w:val="clear" w:color="auto" w:fill="FFFFFF"/>
            <w:tcMar>
              <w:top w:w="30" w:type="dxa"/>
              <w:left w:w="30" w:type="dxa"/>
              <w:bottom w:w="30" w:type="dxa"/>
              <w:right w:w="30" w:type="dxa"/>
            </w:tcMar>
            <w:vAlign w:val="center"/>
            <w:hideMark/>
          </w:tcPr>
          <w:p w14:paraId="31A8BFE8"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65</w:t>
            </w:r>
          </w:p>
        </w:tc>
        <w:tc>
          <w:tcPr>
            <w:tcW w:w="573" w:type="pct"/>
            <w:shd w:val="clear" w:color="auto" w:fill="FFFFFF"/>
          </w:tcPr>
          <w:p w14:paraId="31D6F0A3"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63.73</w:t>
            </w:r>
          </w:p>
        </w:tc>
        <w:tc>
          <w:tcPr>
            <w:tcW w:w="716" w:type="pct"/>
            <w:shd w:val="clear" w:color="auto" w:fill="FFFFFF"/>
            <w:tcMar>
              <w:top w:w="30" w:type="dxa"/>
              <w:left w:w="30" w:type="dxa"/>
              <w:bottom w:w="30" w:type="dxa"/>
              <w:right w:w="30" w:type="dxa"/>
            </w:tcMar>
            <w:vAlign w:val="center"/>
            <w:hideMark/>
          </w:tcPr>
          <w:p w14:paraId="1DDA7063"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98</w:t>
            </w:r>
          </w:p>
        </w:tc>
        <w:tc>
          <w:tcPr>
            <w:tcW w:w="622" w:type="pct"/>
            <w:shd w:val="clear" w:color="auto" w:fill="FFFFFF"/>
          </w:tcPr>
          <w:p w14:paraId="6016514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96.08</w:t>
            </w:r>
          </w:p>
        </w:tc>
        <w:tc>
          <w:tcPr>
            <w:tcW w:w="971" w:type="pct"/>
            <w:shd w:val="clear" w:color="auto" w:fill="FFFFFF"/>
            <w:tcMar>
              <w:top w:w="30" w:type="dxa"/>
              <w:left w:w="30" w:type="dxa"/>
              <w:bottom w:w="30" w:type="dxa"/>
              <w:right w:w="30" w:type="dxa"/>
            </w:tcMar>
            <w:vAlign w:val="center"/>
          </w:tcPr>
          <w:p w14:paraId="53388C99"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4F5472" w:rsidRPr="004F5472" w14:paraId="7227AD22" w14:textId="77777777" w:rsidTr="004F5472">
        <w:trPr>
          <w:cantSplit/>
          <w:trHeight w:val="146"/>
          <w:tblHeader/>
        </w:trPr>
        <w:tc>
          <w:tcPr>
            <w:tcW w:w="619" w:type="pct"/>
            <w:vMerge/>
            <w:vAlign w:val="center"/>
            <w:hideMark/>
          </w:tcPr>
          <w:p w14:paraId="506B4349" w14:textId="77777777" w:rsidR="004F5472" w:rsidRPr="004F5472" w:rsidRDefault="004F5472" w:rsidP="004F5472">
            <w:pPr>
              <w:spacing w:after="0" w:line="360" w:lineRule="auto"/>
              <w:jc w:val="center"/>
              <w:rPr>
                <w:rFonts w:ascii="Times New Roman" w:eastAsia="Times New Roman" w:hAnsi="Times New Roman" w:cs="Times New Roman"/>
                <w:sz w:val="24"/>
                <w:szCs w:val="24"/>
              </w:rPr>
            </w:pPr>
          </w:p>
        </w:tc>
        <w:tc>
          <w:tcPr>
            <w:tcW w:w="779" w:type="pct"/>
            <w:shd w:val="clear" w:color="auto" w:fill="FFFFFF"/>
            <w:tcMar>
              <w:top w:w="30" w:type="dxa"/>
              <w:left w:w="30" w:type="dxa"/>
              <w:bottom w:w="30" w:type="dxa"/>
              <w:right w:w="30" w:type="dxa"/>
            </w:tcMar>
            <w:hideMark/>
          </w:tcPr>
          <w:p w14:paraId="3E01324B"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Abnormal</w:t>
            </w:r>
          </w:p>
        </w:tc>
        <w:tc>
          <w:tcPr>
            <w:tcW w:w="720" w:type="pct"/>
            <w:shd w:val="clear" w:color="auto" w:fill="FFFFFF"/>
            <w:tcMar>
              <w:top w:w="30" w:type="dxa"/>
              <w:left w:w="30" w:type="dxa"/>
              <w:bottom w:w="30" w:type="dxa"/>
              <w:right w:w="30" w:type="dxa"/>
            </w:tcMar>
            <w:vAlign w:val="center"/>
            <w:hideMark/>
          </w:tcPr>
          <w:p w14:paraId="4EF33ADE"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37</w:t>
            </w:r>
          </w:p>
        </w:tc>
        <w:tc>
          <w:tcPr>
            <w:tcW w:w="573" w:type="pct"/>
            <w:shd w:val="clear" w:color="auto" w:fill="FFFFFF"/>
          </w:tcPr>
          <w:p w14:paraId="64262565"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36.27</w:t>
            </w:r>
          </w:p>
        </w:tc>
        <w:tc>
          <w:tcPr>
            <w:tcW w:w="716" w:type="pct"/>
            <w:shd w:val="clear" w:color="auto" w:fill="FFFFFF"/>
            <w:tcMar>
              <w:top w:w="30" w:type="dxa"/>
              <w:left w:w="30" w:type="dxa"/>
              <w:bottom w:w="30" w:type="dxa"/>
              <w:right w:w="30" w:type="dxa"/>
            </w:tcMar>
            <w:vAlign w:val="center"/>
            <w:hideMark/>
          </w:tcPr>
          <w:p w14:paraId="26759039"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4</w:t>
            </w:r>
          </w:p>
        </w:tc>
        <w:tc>
          <w:tcPr>
            <w:tcW w:w="622" w:type="pct"/>
            <w:shd w:val="clear" w:color="auto" w:fill="FFFFFF"/>
          </w:tcPr>
          <w:p w14:paraId="072AB03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3.92</w:t>
            </w:r>
          </w:p>
        </w:tc>
        <w:tc>
          <w:tcPr>
            <w:tcW w:w="971" w:type="pct"/>
            <w:shd w:val="clear" w:color="auto" w:fill="FFFFFF"/>
            <w:tcMar>
              <w:top w:w="30" w:type="dxa"/>
              <w:left w:w="30" w:type="dxa"/>
              <w:bottom w:w="30" w:type="dxa"/>
              <w:right w:w="30" w:type="dxa"/>
            </w:tcMar>
            <w:hideMark/>
          </w:tcPr>
          <w:p w14:paraId="0BB67809"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472">
              <w:rPr>
                <w:rFonts w:ascii="Times New Roman" w:eastAsia="Times New Roman" w:hAnsi="Times New Roman" w:cs="Times New Roman"/>
                <w:sz w:val="24"/>
                <w:szCs w:val="24"/>
              </w:rPr>
              <w:t>0.001</w:t>
            </w:r>
          </w:p>
        </w:tc>
      </w:tr>
      <w:tr w:rsidR="004F5472" w:rsidRPr="004F5472" w14:paraId="611DBD2F" w14:textId="77777777" w:rsidTr="004F5472">
        <w:trPr>
          <w:cantSplit/>
          <w:trHeight w:val="352"/>
          <w:tblHeader/>
        </w:trPr>
        <w:tc>
          <w:tcPr>
            <w:tcW w:w="619" w:type="pct"/>
            <w:vMerge w:val="restart"/>
            <w:shd w:val="clear" w:color="auto" w:fill="FFFFFF"/>
            <w:tcMar>
              <w:top w:w="30" w:type="dxa"/>
              <w:left w:w="30" w:type="dxa"/>
              <w:bottom w:w="30" w:type="dxa"/>
              <w:right w:w="30" w:type="dxa"/>
            </w:tcMar>
            <w:hideMark/>
          </w:tcPr>
          <w:p w14:paraId="7729F692"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ECHO</w:t>
            </w:r>
          </w:p>
          <w:p w14:paraId="1FE53DBF"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2D</w:t>
            </w:r>
          </w:p>
        </w:tc>
        <w:tc>
          <w:tcPr>
            <w:tcW w:w="779" w:type="pct"/>
            <w:shd w:val="clear" w:color="auto" w:fill="FFFFFF"/>
            <w:tcMar>
              <w:top w:w="30" w:type="dxa"/>
              <w:left w:w="30" w:type="dxa"/>
              <w:bottom w:w="30" w:type="dxa"/>
              <w:right w:w="30" w:type="dxa"/>
            </w:tcMar>
            <w:hideMark/>
          </w:tcPr>
          <w:p w14:paraId="387E81DC"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Normal</w:t>
            </w:r>
          </w:p>
        </w:tc>
        <w:tc>
          <w:tcPr>
            <w:tcW w:w="720" w:type="pct"/>
            <w:shd w:val="clear" w:color="auto" w:fill="FFFFFF"/>
            <w:tcMar>
              <w:top w:w="30" w:type="dxa"/>
              <w:left w:w="30" w:type="dxa"/>
              <w:bottom w:w="30" w:type="dxa"/>
              <w:right w:w="30" w:type="dxa"/>
            </w:tcMar>
            <w:vAlign w:val="center"/>
            <w:hideMark/>
          </w:tcPr>
          <w:p w14:paraId="6848949C"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65</w:t>
            </w:r>
          </w:p>
        </w:tc>
        <w:tc>
          <w:tcPr>
            <w:tcW w:w="573" w:type="pct"/>
            <w:shd w:val="clear" w:color="auto" w:fill="FFFFFF"/>
          </w:tcPr>
          <w:p w14:paraId="437A0DA6"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63.73</w:t>
            </w:r>
          </w:p>
        </w:tc>
        <w:tc>
          <w:tcPr>
            <w:tcW w:w="716" w:type="pct"/>
            <w:shd w:val="clear" w:color="auto" w:fill="FFFFFF"/>
            <w:tcMar>
              <w:top w:w="30" w:type="dxa"/>
              <w:left w:w="30" w:type="dxa"/>
              <w:bottom w:w="30" w:type="dxa"/>
              <w:right w:w="30" w:type="dxa"/>
            </w:tcMar>
            <w:vAlign w:val="center"/>
            <w:hideMark/>
          </w:tcPr>
          <w:p w14:paraId="3C6A5F23"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94</w:t>
            </w:r>
          </w:p>
        </w:tc>
        <w:tc>
          <w:tcPr>
            <w:tcW w:w="622" w:type="pct"/>
            <w:shd w:val="clear" w:color="auto" w:fill="FFFFFF"/>
          </w:tcPr>
          <w:p w14:paraId="57D0A6A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92.16</w:t>
            </w:r>
          </w:p>
        </w:tc>
        <w:tc>
          <w:tcPr>
            <w:tcW w:w="971" w:type="pct"/>
            <w:shd w:val="clear" w:color="auto" w:fill="FFFFFF"/>
            <w:tcMar>
              <w:top w:w="30" w:type="dxa"/>
              <w:left w:w="30" w:type="dxa"/>
              <w:bottom w:w="30" w:type="dxa"/>
              <w:right w:w="30" w:type="dxa"/>
            </w:tcMar>
          </w:tcPr>
          <w:p w14:paraId="7A95D51D"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p>
        </w:tc>
      </w:tr>
      <w:tr w:rsidR="004F5472" w:rsidRPr="004F5472" w14:paraId="3E82A451" w14:textId="77777777" w:rsidTr="004F5472">
        <w:trPr>
          <w:cantSplit/>
          <w:trHeight w:val="146"/>
          <w:tblHeader/>
        </w:trPr>
        <w:tc>
          <w:tcPr>
            <w:tcW w:w="619" w:type="pct"/>
            <w:vMerge/>
            <w:tcBorders>
              <w:bottom w:val="single" w:sz="4" w:space="0" w:color="auto"/>
            </w:tcBorders>
            <w:vAlign w:val="center"/>
            <w:hideMark/>
          </w:tcPr>
          <w:p w14:paraId="4CEF9375" w14:textId="77777777" w:rsidR="004F5472" w:rsidRPr="004F5472" w:rsidRDefault="004F5472" w:rsidP="004F5472">
            <w:pPr>
              <w:spacing w:after="0" w:line="360" w:lineRule="auto"/>
              <w:jc w:val="center"/>
              <w:rPr>
                <w:rFonts w:ascii="Times New Roman" w:eastAsia="Times New Roman" w:hAnsi="Times New Roman" w:cs="Times New Roman"/>
                <w:sz w:val="24"/>
                <w:szCs w:val="24"/>
              </w:rPr>
            </w:pPr>
          </w:p>
        </w:tc>
        <w:tc>
          <w:tcPr>
            <w:tcW w:w="779" w:type="pct"/>
            <w:tcBorders>
              <w:bottom w:val="single" w:sz="4" w:space="0" w:color="auto"/>
            </w:tcBorders>
            <w:shd w:val="clear" w:color="auto" w:fill="FFFFFF"/>
            <w:tcMar>
              <w:top w:w="30" w:type="dxa"/>
              <w:left w:w="30" w:type="dxa"/>
              <w:bottom w:w="30" w:type="dxa"/>
              <w:right w:w="30" w:type="dxa"/>
            </w:tcMar>
            <w:hideMark/>
          </w:tcPr>
          <w:p w14:paraId="1DF8D21D"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Abnormal</w:t>
            </w:r>
          </w:p>
        </w:tc>
        <w:tc>
          <w:tcPr>
            <w:tcW w:w="720" w:type="pct"/>
            <w:tcBorders>
              <w:bottom w:val="single" w:sz="4" w:space="0" w:color="auto"/>
            </w:tcBorders>
            <w:shd w:val="clear" w:color="auto" w:fill="FFFFFF"/>
            <w:tcMar>
              <w:top w:w="30" w:type="dxa"/>
              <w:left w:w="30" w:type="dxa"/>
              <w:bottom w:w="30" w:type="dxa"/>
              <w:right w:w="30" w:type="dxa"/>
            </w:tcMar>
            <w:vAlign w:val="center"/>
            <w:hideMark/>
          </w:tcPr>
          <w:p w14:paraId="6DA15782"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37</w:t>
            </w:r>
          </w:p>
        </w:tc>
        <w:tc>
          <w:tcPr>
            <w:tcW w:w="573" w:type="pct"/>
            <w:tcBorders>
              <w:bottom w:val="single" w:sz="4" w:space="0" w:color="auto"/>
            </w:tcBorders>
            <w:shd w:val="clear" w:color="auto" w:fill="FFFFFF"/>
          </w:tcPr>
          <w:p w14:paraId="61A7002C"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36.27</w:t>
            </w:r>
          </w:p>
        </w:tc>
        <w:tc>
          <w:tcPr>
            <w:tcW w:w="716" w:type="pct"/>
            <w:tcBorders>
              <w:bottom w:val="single" w:sz="4" w:space="0" w:color="auto"/>
            </w:tcBorders>
            <w:shd w:val="clear" w:color="auto" w:fill="FFFFFF"/>
            <w:tcMar>
              <w:top w:w="30" w:type="dxa"/>
              <w:left w:w="30" w:type="dxa"/>
              <w:bottom w:w="30" w:type="dxa"/>
              <w:right w:w="30" w:type="dxa"/>
            </w:tcMar>
            <w:vAlign w:val="center"/>
            <w:hideMark/>
          </w:tcPr>
          <w:p w14:paraId="5EBE9231"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8</w:t>
            </w:r>
          </w:p>
        </w:tc>
        <w:tc>
          <w:tcPr>
            <w:tcW w:w="622" w:type="pct"/>
            <w:tcBorders>
              <w:bottom w:val="single" w:sz="4" w:space="0" w:color="auto"/>
            </w:tcBorders>
            <w:shd w:val="clear" w:color="auto" w:fill="FFFFFF"/>
          </w:tcPr>
          <w:p w14:paraId="4FFB4574"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4F5472">
              <w:rPr>
                <w:rFonts w:ascii="Times New Roman" w:eastAsia="Times New Roman" w:hAnsi="Times New Roman" w:cs="Times New Roman"/>
                <w:sz w:val="24"/>
                <w:szCs w:val="24"/>
              </w:rPr>
              <w:t>7.84</w:t>
            </w:r>
          </w:p>
        </w:tc>
        <w:tc>
          <w:tcPr>
            <w:tcW w:w="971" w:type="pct"/>
            <w:tcBorders>
              <w:bottom w:val="single" w:sz="4" w:space="0" w:color="auto"/>
            </w:tcBorders>
            <w:shd w:val="clear" w:color="auto" w:fill="FFFFFF"/>
            <w:tcMar>
              <w:top w:w="30" w:type="dxa"/>
              <w:left w:w="30" w:type="dxa"/>
              <w:bottom w:w="30" w:type="dxa"/>
              <w:right w:w="30" w:type="dxa"/>
            </w:tcMar>
            <w:hideMark/>
          </w:tcPr>
          <w:p w14:paraId="75A4634E" w14:textId="77777777" w:rsidR="004F5472" w:rsidRPr="004F5472" w:rsidRDefault="004F5472" w:rsidP="004F5472">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F5472">
              <w:rPr>
                <w:rFonts w:ascii="Times New Roman" w:eastAsia="Times New Roman" w:hAnsi="Times New Roman" w:cs="Times New Roman"/>
                <w:sz w:val="24"/>
                <w:szCs w:val="24"/>
              </w:rPr>
              <w:t>0.001</w:t>
            </w:r>
          </w:p>
        </w:tc>
      </w:tr>
    </w:tbl>
    <w:p w14:paraId="34E6905E" w14:textId="120650D6" w:rsidR="00040FCA" w:rsidRDefault="004F5472" w:rsidP="00040FCA">
      <w:pPr>
        <w:spacing w:after="0" w:line="360" w:lineRule="auto"/>
        <w:jc w:val="center"/>
        <w:rPr>
          <w:rFonts w:ascii="Times New Roman" w:hAnsi="Times New Roman" w:cs="Times New Roman"/>
          <w:b/>
          <w:sz w:val="24"/>
          <w:szCs w:val="24"/>
        </w:rPr>
      </w:pPr>
      <w:r w:rsidRPr="004F5472">
        <w:rPr>
          <w:rFonts w:ascii="Times New Roman" w:hAnsi="Times New Roman" w:cs="Times New Roman"/>
          <w:b/>
          <w:sz w:val="24"/>
          <w:szCs w:val="24"/>
        </w:rPr>
        <w:t xml:space="preserve">Table- </w:t>
      </w:r>
      <w:r w:rsidR="007E1F3B">
        <w:rPr>
          <w:rFonts w:ascii="Times New Roman" w:hAnsi="Times New Roman" w:cs="Times New Roman"/>
          <w:b/>
          <w:sz w:val="24"/>
          <w:szCs w:val="24"/>
        </w:rPr>
        <w:t>4</w:t>
      </w:r>
      <w:r w:rsidRPr="004F5472">
        <w:rPr>
          <w:rFonts w:ascii="Times New Roman" w:hAnsi="Times New Roman" w:cs="Times New Roman"/>
          <w:b/>
          <w:sz w:val="24"/>
          <w:szCs w:val="24"/>
        </w:rPr>
        <w:t xml:space="preserve"> Investigation findings of study population</w:t>
      </w:r>
    </w:p>
    <w:p w14:paraId="0C3D30EE" w14:textId="77777777" w:rsidR="00D069A5" w:rsidRDefault="00D069A5" w:rsidP="00040FCA">
      <w:pPr>
        <w:spacing w:after="0" w:line="360" w:lineRule="auto"/>
        <w:jc w:val="both"/>
        <w:rPr>
          <w:rFonts w:ascii="Arial" w:eastAsia="Calibri" w:hAnsi="Arial" w:cs="Arial"/>
        </w:rPr>
      </w:pPr>
      <w:r w:rsidRPr="00D069A5">
        <w:rPr>
          <w:rFonts w:ascii="Times New Roman" w:hAnsi="Times New Roman" w:cs="Times New Roman"/>
          <w:sz w:val="24"/>
          <w:szCs w:val="24"/>
        </w:rPr>
        <w:t>The mean serum cardiac troponin I of independent, dependent and death groups were 1.37±4.14, 3.53±5.85 and 11.47±9.87 respectively. The difference was statistically significant (p&lt;0.05).</w:t>
      </w:r>
      <w:r w:rsidRPr="00D069A5">
        <w:t xml:space="preserve"> </w:t>
      </w:r>
      <w:r w:rsidRPr="00D069A5">
        <w:rPr>
          <w:rFonts w:ascii="Times New Roman" w:hAnsi="Times New Roman" w:cs="Times New Roman"/>
          <w:sz w:val="24"/>
          <w:szCs w:val="24"/>
        </w:rPr>
        <w:t xml:space="preserve">. </w:t>
      </w:r>
    </w:p>
    <w:tbl>
      <w:tblPr>
        <w:tblW w:w="5000" w:type="pct"/>
        <w:tblCellMar>
          <w:left w:w="30" w:type="dxa"/>
          <w:right w:w="30" w:type="dxa"/>
        </w:tblCellMar>
        <w:tblLook w:val="04A0" w:firstRow="1" w:lastRow="0" w:firstColumn="1" w:lastColumn="0" w:noHBand="0" w:noVBand="1"/>
      </w:tblPr>
      <w:tblGrid>
        <w:gridCol w:w="1998"/>
        <w:gridCol w:w="2254"/>
        <w:gridCol w:w="1986"/>
        <w:gridCol w:w="1754"/>
        <w:gridCol w:w="1368"/>
      </w:tblGrid>
      <w:tr w:rsidR="00040FCA" w:rsidRPr="00040FCA" w14:paraId="0FB97630" w14:textId="77777777" w:rsidTr="00CF11DC">
        <w:trPr>
          <w:cantSplit/>
          <w:trHeight w:val="335"/>
          <w:tblHeader/>
        </w:trPr>
        <w:tc>
          <w:tcPr>
            <w:tcW w:w="2271" w:type="pct"/>
            <w:gridSpan w:val="2"/>
            <w:tcBorders>
              <w:top w:val="single" w:sz="4" w:space="0" w:color="auto"/>
            </w:tcBorders>
            <w:shd w:val="clear" w:color="auto" w:fill="FFFFFF"/>
            <w:tcMar>
              <w:top w:w="30" w:type="dxa"/>
              <w:left w:w="30" w:type="dxa"/>
              <w:bottom w:w="30" w:type="dxa"/>
              <w:right w:w="30" w:type="dxa"/>
            </w:tcMar>
            <w:vAlign w:val="bottom"/>
            <w:hideMark/>
          </w:tcPr>
          <w:p w14:paraId="228AD894" w14:textId="77777777" w:rsidR="00040FCA" w:rsidRPr="00040FCA" w:rsidRDefault="00040FCA" w:rsidP="00CF11DC">
            <w:pPr>
              <w:widowControl w:val="0"/>
              <w:autoSpaceDE w:val="0"/>
              <w:autoSpaceDN w:val="0"/>
              <w:adjustRightInd w:val="0"/>
              <w:spacing w:after="0" w:line="320" w:lineRule="atLeast"/>
              <w:jc w:val="both"/>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Serum Troponin I</w:t>
            </w:r>
          </w:p>
        </w:tc>
        <w:tc>
          <w:tcPr>
            <w:tcW w:w="1061" w:type="pct"/>
            <w:tcBorders>
              <w:top w:val="single" w:sz="4" w:space="0" w:color="auto"/>
            </w:tcBorders>
            <w:shd w:val="clear" w:color="auto" w:fill="FFFFFF"/>
            <w:tcMar>
              <w:top w:w="30" w:type="dxa"/>
              <w:left w:w="30" w:type="dxa"/>
              <w:bottom w:w="30" w:type="dxa"/>
              <w:right w:w="30" w:type="dxa"/>
            </w:tcMar>
          </w:tcPr>
          <w:p w14:paraId="43A36F7F" w14:textId="77777777" w:rsidR="00040FCA" w:rsidRPr="00040FCA" w:rsidRDefault="00040FCA" w:rsidP="00CF11DC">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p>
        </w:tc>
        <w:tc>
          <w:tcPr>
            <w:tcW w:w="937" w:type="pct"/>
            <w:tcBorders>
              <w:top w:val="single" w:sz="4" w:space="0" w:color="auto"/>
            </w:tcBorders>
            <w:shd w:val="clear" w:color="auto" w:fill="FFFFFF"/>
            <w:tcMar>
              <w:top w:w="30" w:type="dxa"/>
              <w:left w:w="30" w:type="dxa"/>
              <w:bottom w:w="30" w:type="dxa"/>
              <w:right w:w="30" w:type="dxa"/>
            </w:tcMar>
          </w:tcPr>
          <w:p w14:paraId="6FF92AC8" w14:textId="77777777" w:rsidR="00040FCA" w:rsidRPr="00040FCA" w:rsidRDefault="00040FCA" w:rsidP="00CF11DC">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p>
        </w:tc>
        <w:tc>
          <w:tcPr>
            <w:tcW w:w="731" w:type="pct"/>
            <w:tcBorders>
              <w:top w:val="single" w:sz="4" w:space="0" w:color="auto"/>
            </w:tcBorders>
            <w:shd w:val="clear" w:color="auto" w:fill="FFFFFF"/>
            <w:tcMar>
              <w:top w:w="30" w:type="dxa"/>
              <w:left w:w="30" w:type="dxa"/>
              <w:bottom w:w="30" w:type="dxa"/>
              <w:right w:w="30" w:type="dxa"/>
            </w:tcMar>
          </w:tcPr>
          <w:p w14:paraId="44EB3E15" w14:textId="77777777" w:rsidR="00040FCA" w:rsidRPr="00040FCA" w:rsidRDefault="00040FCA" w:rsidP="00CF11DC">
            <w:pPr>
              <w:widowControl w:val="0"/>
              <w:autoSpaceDE w:val="0"/>
              <w:autoSpaceDN w:val="0"/>
              <w:adjustRightInd w:val="0"/>
              <w:spacing w:after="0" w:line="256" w:lineRule="auto"/>
              <w:jc w:val="both"/>
              <w:rPr>
                <w:rFonts w:ascii="Times New Roman" w:eastAsia="Times New Roman" w:hAnsi="Times New Roman" w:cs="Times New Roman"/>
                <w:b/>
                <w:bCs/>
                <w:sz w:val="24"/>
                <w:szCs w:val="24"/>
              </w:rPr>
            </w:pPr>
          </w:p>
        </w:tc>
      </w:tr>
      <w:tr w:rsidR="00040FCA" w:rsidRPr="00040FCA" w14:paraId="5431719B" w14:textId="77777777" w:rsidTr="00CF11DC">
        <w:trPr>
          <w:cantSplit/>
          <w:trHeight w:val="729"/>
          <w:tblHeader/>
        </w:trPr>
        <w:tc>
          <w:tcPr>
            <w:tcW w:w="1067" w:type="pct"/>
            <w:vAlign w:val="center"/>
          </w:tcPr>
          <w:p w14:paraId="58F7B8A6" w14:textId="77777777" w:rsidR="00040FCA" w:rsidRPr="00040FCA" w:rsidRDefault="00040FCA" w:rsidP="00CF11DC">
            <w:pPr>
              <w:widowControl w:val="0"/>
              <w:autoSpaceDE w:val="0"/>
              <w:autoSpaceDN w:val="0"/>
              <w:adjustRightInd w:val="0"/>
              <w:spacing w:after="0" w:line="256" w:lineRule="auto"/>
              <w:jc w:val="center"/>
              <w:rPr>
                <w:rFonts w:ascii="Times New Roman" w:eastAsia="Times New Roman" w:hAnsi="Times New Roman" w:cs="Times New Roman"/>
                <w:sz w:val="24"/>
                <w:szCs w:val="24"/>
              </w:rPr>
            </w:pPr>
          </w:p>
        </w:tc>
        <w:tc>
          <w:tcPr>
            <w:tcW w:w="1204" w:type="pct"/>
            <w:shd w:val="clear" w:color="auto" w:fill="FFFFFF"/>
            <w:tcMar>
              <w:top w:w="30" w:type="dxa"/>
              <w:left w:w="30" w:type="dxa"/>
              <w:bottom w:w="30" w:type="dxa"/>
              <w:right w:w="30" w:type="dxa"/>
            </w:tcMar>
            <w:vAlign w:val="center"/>
            <w:hideMark/>
          </w:tcPr>
          <w:p w14:paraId="32738E66"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Independent</w:t>
            </w:r>
          </w:p>
        </w:tc>
        <w:tc>
          <w:tcPr>
            <w:tcW w:w="1061" w:type="pct"/>
            <w:shd w:val="clear" w:color="auto" w:fill="FFFFFF"/>
            <w:tcMar>
              <w:top w:w="30" w:type="dxa"/>
              <w:left w:w="30" w:type="dxa"/>
              <w:bottom w:w="30" w:type="dxa"/>
              <w:right w:w="30" w:type="dxa"/>
            </w:tcMar>
            <w:vAlign w:val="center"/>
            <w:hideMark/>
          </w:tcPr>
          <w:p w14:paraId="162AAD95"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Dependent</w:t>
            </w:r>
          </w:p>
        </w:tc>
        <w:tc>
          <w:tcPr>
            <w:tcW w:w="937" w:type="pct"/>
            <w:shd w:val="clear" w:color="auto" w:fill="FFFFFF"/>
            <w:tcMar>
              <w:top w:w="30" w:type="dxa"/>
              <w:left w:w="30" w:type="dxa"/>
              <w:bottom w:w="30" w:type="dxa"/>
              <w:right w:w="30" w:type="dxa"/>
            </w:tcMar>
            <w:vAlign w:val="center"/>
            <w:hideMark/>
          </w:tcPr>
          <w:p w14:paraId="7E51EE63"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Death</w:t>
            </w:r>
          </w:p>
        </w:tc>
        <w:tc>
          <w:tcPr>
            <w:tcW w:w="731" w:type="pct"/>
            <w:shd w:val="clear" w:color="auto" w:fill="FFFFFF"/>
            <w:tcMar>
              <w:top w:w="30" w:type="dxa"/>
              <w:left w:w="30" w:type="dxa"/>
              <w:bottom w:w="30" w:type="dxa"/>
              <w:right w:w="30" w:type="dxa"/>
            </w:tcMar>
            <w:vAlign w:val="center"/>
            <w:hideMark/>
          </w:tcPr>
          <w:p w14:paraId="28335430"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sz w:val="24"/>
                <w:szCs w:val="24"/>
              </w:rPr>
            </w:pPr>
            <w:r w:rsidRPr="00040FCA">
              <w:rPr>
                <w:rFonts w:ascii="Times New Roman" w:eastAsia="Times New Roman" w:hAnsi="Times New Roman" w:cs="Times New Roman"/>
                <w:b/>
                <w:bCs/>
                <w:sz w:val="24"/>
                <w:szCs w:val="24"/>
              </w:rPr>
              <w:t>p value</w:t>
            </w:r>
          </w:p>
        </w:tc>
      </w:tr>
      <w:tr w:rsidR="00040FCA" w:rsidRPr="00040FCA" w14:paraId="1FB4A579" w14:textId="77777777" w:rsidTr="00CF11DC">
        <w:trPr>
          <w:cantSplit/>
          <w:trHeight w:val="985"/>
          <w:tblHeader/>
        </w:trPr>
        <w:tc>
          <w:tcPr>
            <w:tcW w:w="1067" w:type="pct"/>
            <w:tcBorders>
              <w:top w:val="single" w:sz="4" w:space="0" w:color="auto"/>
              <w:bottom w:val="single" w:sz="4" w:space="0" w:color="auto"/>
            </w:tcBorders>
            <w:shd w:val="clear" w:color="auto" w:fill="FFFFFF"/>
            <w:tcMar>
              <w:top w:w="30" w:type="dxa"/>
              <w:left w:w="30" w:type="dxa"/>
              <w:bottom w:w="30" w:type="dxa"/>
              <w:right w:w="30" w:type="dxa"/>
            </w:tcMar>
            <w:hideMark/>
          </w:tcPr>
          <w:p w14:paraId="07E01BAE" w14:textId="77777777" w:rsidR="00040FCA" w:rsidRPr="00040FCA" w:rsidRDefault="00040FCA" w:rsidP="00CF11DC">
            <w:pPr>
              <w:widowControl w:val="0"/>
              <w:autoSpaceDE w:val="0"/>
              <w:autoSpaceDN w:val="0"/>
              <w:adjustRightInd w:val="0"/>
              <w:spacing w:after="0" w:line="360" w:lineRule="auto"/>
              <w:jc w:val="both"/>
              <w:rPr>
                <w:rFonts w:ascii="Times New Roman" w:eastAsia="Times New Roman" w:hAnsi="Times New Roman" w:cs="Times New Roman"/>
                <w:sz w:val="24"/>
                <w:szCs w:val="24"/>
              </w:rPr>
            </w:pPr>
          </w:p>
          <w:p w14:paraId="3B92A9EB" w14:textId="20DD3C85" w:rsidR="00040FCA" w:rsidRPr="00040FCA" w:rsidRDefault="00040FCA" w:rsidP="00CF11DC">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Mean ±SD</w:t>
            </w:r>
            <w:r w:rsidR="00037D12">
              <w:rPr>
                <w:rFonts w:ascii="Times New Roman" w:eastAsia="Times New Roman" w:hAnsi="Times New Roman" w:cs="Times New Roman"/>
                <w:sz w:val="24"/>
                <w:szCs w:val="24"/>
              </w:rPr>
              <w:t>(ng/ml)</w:t>
            </w:r>
          </w:p>
        </w:tc>
        <w:tc>
          <w:tcPr>
            <w:tcW w:w="1204"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048D6FB2"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1.37±4.14</w:t>
            </w:r>
          </w:p>
          <w:p w14:paraId="4102B28A"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(0.001-23.000)</w:t>
            </w:r>
          </w:p>
        </w:tc>
        <w:tc>
          <w:tcPr>
            <w:tcW w:w="1061"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1F883EC9"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3.53±5.85</w:t>
            </w:r>
          </w:p>
          <w:p w14:paraId="48DD7904"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(0.002-22.000</w:t>
            </w:r>
          </w:p>
        </w:tc>
        <w:tc>
          <w:tcPr>
            <w:tcW w:w="937"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737859AE"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11.47±9.87</w:t>
            </w:r>
          </w:p>
          <w:p w14:paraId="6B155022"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(0.01-32.00)</w:t>
            </w:r>
          </w:p>
        </w:tc>
        <w:tc>
          <w:tcPr>
            <w:tcW w:w="731" w:type="pct"/>
            <w:tcBorders>
              <w:top w:val="single" w:sz="4" w:space="0" w:color="auto"/>
              <w:bottom w:val="single" w:sz="4" w:space="0" w:color="auto"/>
            </w:tcBorders>
            <w:shd w:val="clear" w:color="auto" w:fill="FFFFFF"/>
            <w:tcMar>
              <w:top w:w="30" w:type="dxa"/>
              <w:left w:w="30" w:type="dxa"/>
              <w:bottom w:w="30" w:type="dxa"/>
              <w:right w:w="30" w:type="dxa"/>
            </w:tcMar>
            <w:vAlign w:val="center"/>
            <w:hideMark/>
          </w:tcPr>
          <w:p w14:paraId="2BB0262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sz w:val="24"/>
                <w:szCs w:val="24"/>
              </w:rPr>
            </w:pPr>
            <w:r w:rsidRPr="00040FCA">
              <w:rPr>
                <w:rFonts w:ascii="Times New Roman" w:eastAsia="Times New Roman" w:hAnsi="Times New Roman" w:cs="Times New Roman"/>
                <w:sz w:val="24"/>
                <w:szCs w:val="24"/>
              </w:rPr>
              <w:t>0.001</w:t>
            </w:r>
          </w:p>
        </w:tc>
      </w:tr>
    </w:tbl>
    <w:p w14:paraId="703CDDBC" w14:textId="7C9AD479" w:rsidR="00040FCA" w:rsidRDefault="00040FCA" w:rsidP="00040FC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BB5541">
        <w:rPr>
          <w:rFonts w:ascii="Times New Roman" w:hAnsi="Times New Roman" w:cs="Times New Roman"/>
          <w:b/>
          <w:sz w:val="24"/>
          <w:szCs w:val="24"/>
        </w:rPr>
        <w:t>5</w:t>
      </w:r>
      <w:r>
        <w:rPr>
          <w:rFonts w:ascii="Times New Roman" w:hAnsi="Times New Roman" w:cs="Times New Roman"/>
          <w:b/>
          <w:sz w:val="24"/>
          <w:szCs w:val="24"/>
        </w:rPr>
        <w:t xml:space="preserve"> showing </w:t>
      </w:r>
      <w:r w:rsidRPr="00040FCA">
        <w:rPr>
          <w:rFonts w:ascii="Times New Roman" w:hAnsi="Times New Roman" w:cs="Times New Roman"/>
          <w:b/>
          <w:sz w:val="24"/>
          <w:szCs w:val="24"/>
        </w:rPr>
        <w:t>Modified Rankin Scale (MRS) and Serum cardiac troponin I of the study patients</w:t>
      </w:r>
    </w:p>
    <w:p w14:paraId="6A1359C6" w14:textId="77777777" w:rsidR="00040FCA" w:rsidRDefault="00040FCA" w:rsidP="00040FCA">
      <w:pPr>
        <w:spacing w:after="0" w:line="360" w:lineRule="auto"/>
        <w:jc w:val="both"/>
        <w:rPr>
          <w:rFonts w:ascii="Times New Roman" w:hAnsi="Times New Roman" w:cs="Times New Roman"/>
          <w:sz w:val="24"/>
          <w:szCs w:val="24"/>
        </w:rPr>
      </w:pPr>
    </w:p>
    <w:p w14:paraId="0367F11A" w14:textId="77777777" w:rsidR="00040FCA" w:rsidRDefault="00040FCA" w:rsidP="00040F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Pr="00040FCA">
        <w:rPr>
          <w:rFonts w:ascii="Times New Roman" w:hAnsi="Times New Roman" w:cs="Times New Roman"/>
          <w:sz w:val="24"/>
          <w:szCs w:val="24"/>
        </w:rPr>
        <w:t>n Group I, majority 131(64.22%) patients was dependent in at admission. In Group II, about half 96(47.06%) of the subjects was independent, 85(41.67%) dependent and 23(11.27%) death at discharge</w:t>
      </w:r>
      <w:r>
        <w:rPr>
          <w:rFonts w:ascii="Times New Roman" w:hAnsi="Times New Roman" w:cs="Times New Roman"/>
          <w:sz w:val="24"/>
          <w:szCs w:val="24"/>
        </w:rPr>
        <w:t>.</w:t>
      </w:r>
    </w:p>
    <w:p w14:paraId="459922B3" w14:textId="77777777" w:rsidR="00040FCA" w:rsidRDefault="00040FCA" w:rsidP="00040FCA">
      <w:pPr>
        <w:spacing w:after="0" w:line="360" w:lineRule="auto"/>
        <w:jc w:val="both"/>
        <w:rPr>
          <w:rFonts w:ascii="Times New Roman" w:hAnsi="Times New Roman" w:cs="Times New Roman"/>
          <w:sz w:val="24"/>
          <w:szCs w:val="24"/>
        </w:rPr>
      </w:pPr>
    </w:p>
    <w:p w14:paraId="1ED505F8" w14:textId="77777777" w:rsidR="00040FCA" w:rsidRDefault="00040FCA" w:rsidP="00040FCA">
      <w:pPr>
        <w:spacing w:after="0" w:line="360" w:lineRule="auto"/>
        <w:jc w:val="both"/>
        <w:rPr>
          <w:rFonts w:ascii="Times New Roman" w:hAnsi="Times New Roman" w:cs="Times New Roman"/>
          <w:sz w:val="24"/>
          <w:szCs w:val="24"/>
        </w:rPr>
      </w:pPr>
    </w:p>
    <w:tbl>
      <w:tblPr>
        <w:tblStyle w:val="TableGrid5"/>
        <w:tblW w:w="6045" w:type="pct"/>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3"/>
        <w:gridCol w:w="1052"/>
        <w:gridCol w:w="1129"/>
        <w:gridCol w:w="874"/>
        <w:gridCol w:w="885"/>
        <w:gridCol w:w="1584"/>
        <w:gridCol w:w="1052"/>
        <w:gridCol w:w="1161"/>
        <w:gridCol w:w="951"/>
        <w:gridCol w:w="1005"/>
      </w:tblGrid>
      <w:tr w:rsidR="00040FCA" w:rsidRPr="00040FCA" w14:paraId="7C43401B" w14:textId="77777777" w:rsidTr="00040FCA">
        <w:trPr>
          <w:trHeight w:val="189"/>
        </w:trPr>
        <w:tc>
          <w:tcPr>
            <w:tcW w:w="717" w:type="pct"/>
            <w:vMerge w:val="restart"/>
            <w:tcBorders>
              <w:top w:val="single" w:sz="4" w:space="0" w:color="auto"/>
            </w:tcBorders>
            <w:hideMark/>
          </w:tcPr>
          <w:p w14:paraId="6267804C" w14:textId="77777777" w:rsidR="00037D12"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Modified Rankin Scale</w:t>
            </w:r>
          </w:p>
          <w:p w14:paraId="6D52C5DF" w14:textId="609E1738" w:rsidR="00040FCA" w:rsidRPr="00040FCA" w:rsidRDefault="00037D12" w:rsidP="00CF11DC">
            <w:pPr>
              <w:widowControl w:val="0"/>
              <w:autoSpaceDE w:val="0"/>
              <w:autoSpaceDN w:val="0"/>
              <w:adjustRightInd w:val="0"/>
              <w:spacing w:line="320" w:lineRule="atLeast"/>
              <w:jc w:val="both"/>
              <w:rPr>
                <w:rFonts w:ascii="Times New Roman" w:hAnsi="Times New Roman"/>
                <w:b/>
                <w:bCs/>
                <w:sz w:val="24"/>
                <w:szCs w:val="24"/>
              </w:rPr>
            </w:pPr>
            <w:r>
              <w:rPr>
                <w:rFonts w:ascii="Times New Roman" w:hAnsi="Times New Roman"/>
                <w:b/>
                <w:bCs/>
                <w:sz w:val="24"/>
                <w:szCs w:val="24"/>
              </w:rPr>
              <w:t>(Admission)</w:t>
            </w:r>
            <w:r w:rsidR="00040FCA" w:rsidRPr="00040FCA">
              <w:rPr>
                <w:rFonts w:ascii="Times New Roman" w:hAnsi="Times New Roman"/>
                <w:b/>
                <w:bCs/>
                <w:sz w:val="24"/>
                <w:szCs w:val="24"/>
              </w:rPr>
              <w:t xml:space="preserve"> </w:t>
            </w:r>
          </w:p>
        </w:tc>
        <w:tc>
          <w:tcPr>
            <w:tcW w:w="964" w:type="pct"/>
            <w:gridSpan w:val="2"/>
            <w:tcBorders>
              <w:top w:val="single" w:sz="4" w:space="0" w:color="auto"/>
            </w:tcBorders>
            <w:hideMark/>
          </w:tcPr>
          <w:p w14:paraId="1B7DE07E"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Pr>
                <w:rFonts w:ascii="Times New Roman" w:hAnsi="Times New Roman"/>
                <w:b/>
                <w:bCs/>
                <w:sz w:val="24"/>
                <w:szCs w:val="24"/>
              </w:rPr>
              <w:t xml:space="preserve">        </w:t>
            </w:r>
            <w:r w:rsidRPr="00040FCA">
              <w:rPr>
                <w:rFonts w:ascii="Times New Roman" w:hAnsi="Times New Roman"/>
                <w:b/>
                <w:bCs/>
                <w:sz w:val="24"/>
                <w:szCs w:val="24"/>
              </w:rPr>
              <w:t>Groups</w:t>
            </w:r>
          </w:p>
        </w:tc>
        <w:tc>
          <w:tcPr>
            <w:tcW w:w="386" w:type="pct"/>
            <w:vMerge w:val="restart"/>
            <w:tcBorders>
              <w:top w:val="single" w:sz="4" w:space="0" w:color="auto"/>
            </w:tcBorders>
          </w:tcPr>
          <w:p w14:paraId="471A0B94"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Total</w:t>
            </w:r>
          </w:p>
          <w:p w14:paraId="4D3B0362"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n=%</w:t>
            </w:r>
          </w:p>
        </w:tc>
        <w:tc>
          <w:tcPr>
            <w:tcW w:w="391" w:type="pct"/>
            <w:vMerge w:val="restart"/>
            <w:tcBorders>
              <w:top w:val="single" w:sz="4" w:space="0" w:color="auto"/>
            </w:tcBorders>
            <w:hideMark/>
          </w:tcPr>
          <w:p w14:paraId="6BFD9F8A"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p value</w:t>
            </w:r>
          </w:p>
        </w:tc>
        <w:tc>
          <w:tcPr>
            <w:tcW w:w="700" w:type="pct"/>
            <w:vMerge w:val="restart"/>
            <w:tcBorders>
              <w:top w:val="single" w:sz="4" w:space="0" w:color="auto"/>
            </w:tcBorders>
            <w:hideMark/>
          </w:tcPr>
          <w:p w14:paraId="2BEDAC11" w14:textId="77777777" w:rsid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Modified Rankin Scale</w:t>
            </w:r>
          </w:p>
          <w:p w14:paraId="7BDE6245" w14:textId="0659E49E" w:rsidR="00037D12" w:rsidRPr="00040FCA" w:rsidRDefault="00037D12" w:rsidP="00CF11DC">
            <w:pPr>
              <w:widowControl w:val="0"/>
              <w:autoSpaceDE w:val="0"/>
              <w:autoSpaceDN w:val="0"/>
              <w:adjustRightInd w:val="0"/>
              <w:spacing w:line="320" w:lineRule="atLeast"/>
              <w:jc w:val="both"/>
              <w:rPr>
                <w:rFonts w:ascii="Times New Roman" w:hAnsi="Times New Roman"/>
                <w:b/>
                <w:bCs/>
                <w:sz w:val="24"/>
                <w:szCs w:val="24"/>
              </w:rPr>
            </w:pPr>
            <w:r>
              <w:rPr>
                <w:rFonts w:ascii="Times New Roman" w:hAnsi="Times New Roman"/>
                <w:b/>
                <w:bCs/>
                <w:sz w:val="24"/>
                <w:szCs w:val="24"/>
              </w:rPr>
              <w:t>(At day-7)</w:t>
            </w:r>
          </w:p>
        </w:tc>
        <w:tc>
          <w:tcPr>
            <w:tcW w:w="978" w:type="pct"/>
            <w:gridSpan w:val="2"/>
            <w:tcBorders>
              <w:top w:val="single" w:sz="4" w:space="0" w:color="auto"/>
            </w:tcBorders>
            <w:hideMark/>
          </w:tcPr>
          <w:p w14:paraId="1D6CFC10"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b/>
                <w:bCs/>
                <w:sz w:val="24"/>
                <w:szCs w:val="24"/>
              </w:rPr>
            </w:pPr>
            <w:r>
              <w:rPr>
                <w:rFonts w:ascii="Times New Roman" w:hAnsi="Times New Roman"/>
                <w:b/>
                <w:bCs/>
                <w:sz w:val="24"/>
                <w:szCs w:val="24"/>
              </w:rPr>
              <w:t xml:space="preserve">         </w:t>
            </w:r>
            <w:r w:rsidRPr="00040FCA">
              <w:rPr>
                <w:rFonts w:ascii="Times New Roman" w:hAnsi="Times New Roman"/>
                <w:b/>
                <w:bCs/>
                <w:sz w:val="24"/>
                <w:szCs w:val="24"/>
              </w:rPr>
              <w:t>Groups</w:t>
            </w:r>
          </w:p>
        </w:tc>
        <w:tc>
          <w:tcPr>
            <w:tcW w:w="420" w:type="pct"/>
            <w:vMerge w:val="restart"/>
            <w:tcBorders>
              <w:top w:val="single" w:sz="4" w:space="0" w:color="auto"/>
            </w:tcBorders>
            <w:hideMark/>
          </w:tcPr>
          <w:p w14:paraId="790EA330" w14:textId="77777777" w:rsidR="00040FCA" w:rsidRPr="00040FCA" w:rsidRDefault="00040FCA" w:rsidP="00CF11DC">
            <w:pPr>
              <w:autoSpaceDE w:val="0"/>
              <w:autoSpaceDN w:val="0"/>
              <w:adjustRightInd w:val="0"/>
              <w:spacing w:line="320" w:lineRule="atLeast"/>
              <w:ind w:right="60"/>
              <w:jc w:val="both"/>
              <w:rPr>
                <w:rFonts w:ascii="Times New Roman" w:hAnsi="Times New Roman"/>
                <w:b/>
                <w:bCs/>
                <w:sz w:val="24"/>
                <w:szCs w:val="24"/>
              </w:rPr>
            </w:pPr>
            <w:r w:rsidRPr="00040FCA">
              <w:rPr>
                <w:rFonts w:ascii="Times New Roman" w:hAnsi="Times New Roman"/>
                <w:b/>
                <w:bCs/>
                <w:sz w:val="24"/>
                <w:szCs w:val="24"/>
              </w:rPr>
              <w:t xml:space="preserve">Total </w:t>
            </w:r>
          </w:p>
          <w:p w14:paraId="41975D2D" w14:textId="77777777" w:rsidR="00040FCA" w:rsidRPr="00040FCA" w:rsidRDefault="00040FCA" w:rsidP="00CF11DC">
            <w:pPr>
              <w:autoSpaceDE w:val="0"/>
              <w:autoSpaceDN w:val="0"/>
              <w:adjustRightInd w:val="0"/>
              <w:spacing w:line="320" w:lineRule="atLeast"/>
              <w:ind w:right="60"/>
              <w:jc w:val="both"/>
              <w:rPr>
                <w:rFonts w:ascii="Times New Roman" w:hAnsi="Times New Roman"/>
                <w:b/>
                <w:bCs/>
                <w:sz w:val="24"/>
                <w:szCs w:val="24"/>
              </w:rPr>
            </w:pPr>
            <w:r w:rsidRPr="00040FCA">
              <w:rPr>
                <w:rFonts w:ascii="Times New Roman" w:hAnsi="Times New Roman"/>
                <w:b/>
                <w:bCs/>
                <w:sz w:val="24"/>
                <w:szCs w:val="24"/>
              </w:rPr>
              <w:t>n=%</w:t>
            </w:r>
          </w:p>
        </w:tc>
        <w:tc>
          <w:tcPr>
            <w:tcW w:w="444" w:type="pct"/>
            <w:vMerge w:val="restart"/>
            <w:tcBorders>
              <w:top w:val="single" w:sz="4" w:space="0" w:color="auto"/>
            </w:tcBorders>
            <w:hideMark/>
          </w:tcPr>
          <w:p w14:paraId="66DE612F" w14:textId="77777777" w:rsidR="00040FCA" w:rsidRPr="00040FCA" w:rsidRDefault="00040FCA" w:rsidP="00CF11DC">
            <w:pPr>
              <w:autoSpaceDE w:val="0"/>
              <w:autoSpaceDN w:val="0"/>
              <w:adjustRightInd w:val="0"/>
              <w:spacing w:line="320" w:lineRule="atLeast"/>
              <w:ind w:right="60"/>
              <w:jc w:val="both"/>
              <w:rPr>
                <w:rFonts w:ascii="Times New Roman" w:hAnsi="Times New Roman"/>
                <w:b/>
                <w:bCs/>
                <w:sz w:val="24"/>
                <w:szCs w:val="24"/>
              </w:rPr>
            </w:pPr>
            <w:r w:rsidRPr="00040FCA">
              <w:rPr>
                <w:rFonts w:ascii="Times New Roman" w:hAnsi="Times New Roman"/>
                <w:b/>
                <w:bCs/>
                <w:sz w:val="24"/>
                <w:szCs w:val="24"/>
              </w:rPr>
              <w:t>p value</w:t>
            </w:r>
          </w:p>
        </w:tc>
      </w:tr>
      <w:tr w:rsidR="00040FCA" w:rsidRPr="00040FCA" w14:paraId="63F00794" w14:textId="77777777" w:rsidTr="00040FCA">
        <w:trPr>
          <w:trHeight w:val="284"/>
        </w:trPr>
        <w:tc>
          <w:tcPr>
            <w:tcW w:w="717" w:type="pct"/>
            <w:vMerge/>
            <w:tcBorders>
              <w:bottom w:val="single" w:sz="4" w:space="0" w:color="auto"/>
            </w:tcBorders>
            <w:vAlign w:val="center"/>
            <w:hideMark/>
          </w:tcPr>
          <w:p w14:paraId="3AFF4B90" w14:textId="77777777" w:rsidR="00040FCA" w:rsidRPr="00040FCA" w:rsidRDefault="00040FCA" w:rsidP="00CF11DC">
            <w:pPr>
              <w:jc w:val="both"/>
              <w:rPr>
                <w:rFonts w:ascii="Times New Roman" w:hAnsi="Times New Roman"/>
                <w:b/>
                <w:bCs/>
                <w:sz w:val="24"/>
                <w:szCs w:val="24"/>
              </w:rPr>
            </w:pPr>
          </w:p>
        </w:tc>
        <w:tc>
          <w:tcPr>
            <w:tcW w:w="465" w:type="pct"/>
            <w:tcBorders>
              <w:bottom w:val="single" w:sz="4" w:space="0" w:color="auto"/>
            </w:tcBorders>
            <w:hideMark/>
          </w:tcPr>
          <w:p w14:paraId="6F02A19C"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Group I (n=102)</w:t>
            </w:r>
          </w:p>
        </w:tc>
        <w:tc>
          <w:tcPr>
            <w:tcW w:w="499" w:type="pct"/>
            <w:tcBorders>
              <w:bottom w:val="single" w:sz="4" w:space="0" w:color="auto"/>
            </w:tcBorders>
            <w:hideMark/>
          </w:tcPr>
          <w:p w14:paraId="52FED6C1" w14:textId="77777777" w:rsidR="00040FCA" w:rsidRPr="00040FCA" w:rsidRDefault="00040FCA" w:rsidP="00CF11DC">
            <w:pPr>
              <w:widowControl w:val="0"/>
              <w:autoSpaceDE w:val="0"/>
              <w:autoSpaceDN w:val="0"/>
              <w:adjustRightInd w:val="0"/>
              <w:spacing w:line="320" w:lineRule="atLeast"/>
              <w:jc w:val="both"/>
              <w:rPr>
                <w:rFonts w:ascii="Times New Roman" w:hAnsi="Times New Roman"/>
                <w:b/>
                <w:bCs/>
                <w:sz w:val="24"/>
                <w:szCs w:val="24"/>
              </w:rPr>
            </w:pPr>
            <w:r w:rsidRPr="00040FCA">
              <w:rPr>
                <w:rFonts w:ascii="Times New Roman" w:hAnsi="Times New Roman"/>
                <w:b/>
                <w:bCs/>
                <w:sz w:val="24"/>
                <w:szCs w:val="24"/>
              </w:rPr>
              <w:t>Group II (n=102)</w:t>
            </w:r>
          </w:p>
        </w:tc>
        <w:tc>
          <w:tcPr>
            <w:tcW w:w="386" w:type="pct"/>
            <w:vMerge/>
            <w:tcBorders>
              <w:bottom w:val="single" w:sz="4" w:space="0" w:color="auto"/>
            </w:tcBorders>
            <w:vAlign w:val="center"/>
            <w:hideMark/>
          </w:tcPr>
          <w:p w14:paraId="15819856" w14:textId="77777777" w:rsidR="00040FCA" w:rsidRPr="00040FCA" w:rsidRDefault="00040FCA" w:rsidP="00CF11DC">
            <w:pPr>
              <w:jc w:val="both"/>
              <w:rPr>
                <w:rFonts w:ascii="Times New Roman" w:hAnsi="Times New Roman"/>
                <w:b/>
                <w:bCs/>
                <w:sz w:val="24"/>
                <w:szCs w:val="24"/>
              </w:rPr>
            </w:pPr>
          </w:p>
        </w:tc>
        <w:tc>
          <w:tcPr>
            <w:tcW w:w="391" w:type="pct"/>
            <w:vMerge/>
            <w:tcBorders>
              <w:bottom w:val="single" w:sz="4" w:space="0" w:color="auto"/>
            </w:tcBorders>
            <w:vAlign w:val="center"/>
            <w:hideMark/>
          </w:tcPr>
          <w:p w14:paraId="27BDD623" w14:textId="77777777" w:rsidR="00040FCA" w:rsidRPr="00040FCA" w:rsidRDefault="00040FCA" w:rsidP="00CF11DC">
            <w:pPr>
              <w:jc w:val="both"/>
              <w:rPr>
                <w:rFonts w:ascii="Times New Roman" w:hAnsi="Times New Roman"/>
                <w:b/>
                <w:bCs/>
                <w:sz w:val="24"/>
                <w:szCs w:val="24"/>
              </w:rPr>
            </w:pPr>
          </w:p>
        </w:tc>
        <w:tc>
          <w:tcPr>
            <w:tcW w:w="700" w:type="pct"/>
            <w:vMerge/>
            <w:tcBorders>
              <w:bottom w:val="single" w:sz="4" w:space="0" w:color="auto"/>
            </w:tcBorders>
            <w:vAlign w:val="center"/>
            <w:hideMark/>
          </w:tcPr>
          <w:p w14:paraId="38CCCDB7" w14:textId="77777777" w:rsidR="00040FCA" w:rsidRPr="00040FCA" w:rsidRDefault="00040FCA" w:rsidP="00CF11DC">
            <w:pPr>
              <w:jc w:val="both"/>
              <w:rPr>
                <w:rFonts w:ascii="Times New Roman" w:hAnsi="Times New Roman"/>
                <w:b/>
                <w:bCs/>
                <w:sz w:val="24"/>
                <w:szCs w:val="24"/>
              </w:rPr>
            </w:pPr>
          </w:p>
        </w:tc>
        <w:tc>
          <w:tcPr>
            <w:tcW w:w="465" w:type="pct"/>
            <w:tcBorders>
              <w:bottom w:val="single" w:sz="4" w:space="0" w:color="auto"/>
            </w:tcBorders>
            <w:hideMark/>
          </w:tcPr>
          <w:p w14:paraId="23FCA685" w14:textId="77777777" w:rsidR="00040FCA" w:rsidRPr="00040FCA" w:rsidRDefault="00040FCA" w:rsidP="00CF11DC">
            <w:pPr>
              <w:autoSpaceDN w:val="0"/>
              <w:spacing w:after="160" w:line="256" w:lineRule="auto"/>
              <w:jc w:val="both"/>
              <w:rPr>
                <w:rFonts w:ascii="Times New Roman" w:hAnsi="Times New Roman"/>
                <w:b/>
                <w:bCs/>
                <w:sz w:val="24"/>
                <w:szCs w:val="24"/>
              </w:rPr>
            </w:pPr>
            <w:r w:rsidRPr="00040FCA">
              <w:rPr>
                <w:rFonts w:ascii="Times New Roman" w:hAnsi="Times New Roman"/>
                <w:b/>
                <w:bCs/>
                <w:sz w:val="24"/>
                <w:szCs w:val="24"/>
              </w:rPr>
              <w:t>Group I (n=102)</w:t>
            </w:r>
          </w:p>
        </w:tc>
        <w:tc>
          <w:tcPr>
            <w:tcW w:w="513" w:type="pct"/>
            <w:tcBorders>
              <w:bottom w:val="single" w:sz="4" w:space="0" w:color="auto"/>
            </w:tcBorders>
            <w:hideMark/>
          </w:tcPr>
          <w:p w14:paraId="2E8D0945" w14:textId="77777777" w:rsidR="00040FCA" w:rsidRPr="00040FCA" w:rsidRDefault="00040FCA" w:rsidP="00CF11DC">
            <w:pPr>
              <w:autoSpaceDN w:val="0"/>
              <w:spacing w:after="160" w:line="256" w:lineRule="auto"/>
              <w:jc w:val="both"/>
              <w:rPr>
                <w:rFonts w:ascii="Times New Roman" w:hAnsi="Times New Roman"/>
                <w:b/>
                <w:bCs/>
                <w:sz w:val="24"/>
                <w:szCs w:val="24"/>
              </w:rPr>
            </w:pPr>
            <w:r w:rsidRPr="00040FCA">
              <w:rPr>
                <w:rFonts w:ascii="Times New Roman" w:hAnsi="Times New Roman"/>
                <w:b/>
                <w:bCs/>
                <w:sz w:val="24"/>
                <w:szCs w:val="24"/>
              </w:rPr>
              <w:t>Group II (n=102)</w:t>
            </w:r>
          </w:p>
        </w:tc>
        <w:tc>
          <w:tcPr>
            <w:tcW w:w="420" w:type="pct"/>
            <w:vMerge/>
            <w:tcBorders>
              <w:bottom w:val="single" w:sz="4" w:space="0" w:color="auto"/>
            </w:tcBorders>
            <w:vAlign w:val="center"/>
            <w:hideMark/>
          </w:tcPr>
          <w:p w14:paraId="73A96472" w14:textId="77777777" w:rsidR="00040FCA" w:rsidRPr="00040FCA" w:rsidRDefault="00040FCA" w:rsidP="00CF11DC">
            <w:pPr>
              <w:jc w:val="both"/>
              <w:rPr>
                <w:rFonts w:ascii="Times New Roman" w:hAnsi="Times New Roman"/>
                <w:sz w:val="24"/>
                <w:szCs w:val="24"/>
              </w:rPr>
            </w:pPr>
          </w:p>
        </w:tc>
        <w:tc>
          <w:tcPr>
            <w:tcW w:w="444" w:type="pct"/>
            <w:vMerge/>
            <w:tcBorders>
              <w:bottom w:val="single" w:sz="4" w:space="0" w:color="auto"/>
            </w:tcBorders>
            <w:vAlign w:val="center"/>
            <w:hideMark/>
          </w:tcPr>
          <w:p w14:paraId="447F5516" w14:textId="77777777" w:rsidR="00040FCA" w:rsidRPr="00040FCA" w:rsidRDefault="00040FCA" w:rsidP="00CF11DC">
            <w:pPr>
              <w:jc w:val="both"/>
              <w:rPr>
                <w:rFonts w:ascii="Times New Roman" w:hAnsi="Times New Roman"/>
                <w:sz w:val="24"/>
                <w:szCs w:val="24"/>
              </w:rPr>
            </w:pPr>
          </w:p>
        </w:tc>
      </w:tr>
      <w:tr w:rsidR="00040FCA" w:rsidRPr="00040FCA" w14:paraId="0001FC50" w14:textId="77777777" w:rsidTr="00040FCA">
        <w:trPr>
          <w:trHeight w:val="284"/>
        </w:trPr>
        <w:tc>
          <w:tcPr>
            <w:tcW w:w="717" w:type="pct"/>
            <w:tcBorders>
              <w:top w:val="single" w:sz="4" w:space="0" w:color="auto"/>
            </w:tcBorders>
            <w:hideMark/>
          </w:tcPr>
          <w:p w14:paraId="0A5FA9C3"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Independent</w:t>
            </w:r>
          </w:p>
        </w:tc>
        <w:tc>
          <w:tcPr>
            <w:tcW w:w="465" w:type="pct"/>
            <w:tcBorders>
              <w:top w:val="single" w:sz="4" w:space="0" w:color="auto"/>
            </w:tcBorders>
            <w:hideMark/>
          </w:tcPr>
          <w:p w14:paraId="13004E06"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28</w:t>
            </w:r>
          </w:p>
        </w:tc>
        <w:tc>
          <w:tcPr>
            <w:tcW w:w="499" w:type="pct"/>
            <w:tcBorders>
              <w:top w:val="single" w:sz="4" w:space="0" w:color="auto"/>
            </w:tcBorders>
            <w:hideMark/>
          </w:tcPr>
          <w:p w14:paraId="0DBDE7CB"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45</w:t>
            </w:r>
          </w:p>
        </w:tc>
        <w:tc>
          <w:tcPr>
            <w:tcW w:w="386" w:type="pct"/>
            <w:tcBorders>
              <w:top w:val="single" w:sz="4" w:space="0" w:color="auto"/>
            </w:tcBorders>
            <w:hideMark/>
          </w:tcPr>
          <w:p w14:paraId="4971FF48"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35.78</w:t>
            </w:r>
          </w:p>
        </w:tc>
        <w:tc>
          <w:tcPr>
            <w:tcW w:w="391" w:type="pct"/>
            <w:vMerge w:val="restart"/>
            <w:tcBorders>
              <w:top w:val="single" w:sz="4" w:space="0" w:color="auto"/>
            </w:tcBorders>
            <w:hideMark/>
          </w:tcPr>
          <w:p w14:paraId="355B5143" w14:textId="77777777" w:rsidR="00040FCA" w:rsidRPr="00040FCA" w:rsidRDefault="00040FCA" w:rsidP="00CF11DC">
            <w:pPr>
              <w:autoSpaceDE w:val="0"/>
              <w:autoSpaceDN w:val="0"/>
              <w:adjustRightInd w:val="0"/>
              <w:spacing w:line="320" w:lineRule="atLeast"/>
              <w:ind w:right="60"/>
              <w:jc w:val="both"/>
              <w:rPr>
                <w:rFonts w:ascii="Times New Roman" w:hAnsi="Times New Roman"/>
                <w:sz w:val="24"/>
                <w:szCs w:val="24"/>
              </w:rPr>
            </w:pPr>
            <w:r w:rsidRPr="00040FCA">
              <w:rPr>
                <w:rFonts w:ascii="Times New Roman" w:hAnsi="Times New Roman"/>
                <w:sz w:val="24"/>
                <w:szCs w:val="24"/>
              </w:rPr>
              <w:t>0.013</w:t>
            </w:r>
          </w:p>
        </w:tc>
        <w:tc>
          <w:tcPr>
            <w:tcW w:w="700" w:type="pct"/>
            <w:tcBorders>
              <w:top w:val="single" w:sz="4" w:space="0" w:color="auto"/>
            </w:tcBorders>
            <w:hideMark/>
          </w:tcPr>
          <w:p w14:paraId="0B494498"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Independent</w:t>
            </w:r>
          </w:p>
        </w:tc>
        <w:tc>
          <w:tcPr>
            <w:tcW w:w="465" w:type="pct"/>
            <w:tcBorders>
              <w:top w:val="single" w:sz="4" w:space="0" w:color="auto"/>
            </w:tcBorders>
            <w:hideMark/>
          </w:tcPr>
          <w:p w14:paraId="14D9391D"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35</w:t>
            </w:r>
          </w:p>
        </w:tc>
        <w:tc>
          <w:tcPr>
            <w:tcW w:w="513" w:type="pct"/>
            <w:tcBorders>
              <w:top w:val="single" w:sz="4" w:space="0" w:color="auto"/>
            </w:tcBorders>
            <w:hideMark/>
          </w:tcPr>
          <w:p w14:paraId="6C70C25B"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61</w:t>
            </w:r>
          </w:p>
        </w:tc>
        <w:tc>
          <w:tcPr>
            <w:tcW w:w="420" w:type="pct"/>
            <w:tcBorders>
              <w:top w:val="single" w:sz="4" w:space="0" w:color="auto"/>
            </w:tcBorders>
            <w:hideMark/>
          </w:tcPr>
          <w:p w14:paraId="3CDD1F6F"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47.06</w:t>
            </w:r>
          </w:p>
        </w:tc>
        <w:tc>
          <w:tcPr>
            <w:tcW w:w="444" w:type="pct"/>
            <w:vMerge w:val="restart"/>
            <w:tcBorders>
              <w:top w:val="single" w:sz="4" w:space="0" w:color="auto"/>
            </w:tcBorders>
            <w:hideMark/>
          </w:tcPr>
          <w:p w14:paraId="0A0BC144" w14:textId="77777777" w:rsidR="00040FCA" w:rsidRPr="00040FCA" w:rsidRDefault="00040FCA" w:rsidP="00CF11DC">
            <w:pPr>
              <w:widowControl w:val="0"/>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0.001</w:t>
            </w:r>
          </w:p>
        </w:tc>
      </w:tr>
      <w:tr w:rsidR="00040FCA" w:rsidRPr="00040FCA" w14:paraId="32A4B3FA" w14:textId="77777777" w:rsidTr="00040FCA">
        <w:trPr>
          <w:trHeight w:val="284"/>
        </w:trPr>
        <w:tc>
          <w:tcPr>
            <w:tcW w:w="717" w:type="pct"/>
            <w:hideMark/>
          </w:tcPr>
          <w:p w14:paraId="67393BC9"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Dependent</w:t>
            </w:r>
          </w:p>
        </w:tc>
        <w:tc>
          <w:tcPr>
            <w:tcW w:w="465" w:type="pct"/>
            <w:hideMark/>
          </w:tcPr>
          <w:p w14:paraId="19B78D1A"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74</w:t>
            </w:r>
          </w:p>
        </w:tc>
        <w:tc>
          <w:tcPr>
            <w:tcW w:w="499" w:type="pct"/>
            <w:hideMark/>
          </w:tcPr>
          <w:p w14:paraId="31ACE22F"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57</w:t>
            </w:r>
          </w:p>
        </w:tc>
        <w:tc>
          <w:tcPr>
            <w:tcW w:w="386" w:type="pct"/>
            <w:hideMark/>
          </w:tcPr>
          <w:p w14:paraId="506DE058"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64.22</w:t>
            </w:r>
          </w:p>
        </w:tc>
        <w:tc>
          <w:tcPr>
            <w:tcW w:w="391" w:type="pct"/>
            <w:vMerge/>
            <w:vAlign w:val="center"/>
            <w:hideMark/>
          </w:tcPr>
          <w:p w14:paraId="22445D72" w14:textId="77777777" w:rsidR="00040FCA" w:rsidRPr="00040FCA" w:rsidRDefault="00040FCA" w:rsidP="00CF11DC">
            <w:pPr>
              <w:jc w:val="both"/>
              <w:rPr>
                <w:rFonts w:ascii="Times New Roman" w:hAnsi="Times New Roman"/>
                <w:sz w:val="24"/>
                <w:szCs w:val="24"/>
              </w:rPr>
            </w:pPr>
          </w:p>
        </w:tc>
        <w:tc>
          <w:tcPr>
            <w:tcW w:w="700" w:type="pct"/>
            <w:hideMark/>
          </w:tcPr>
          <w:p w14:paraId="33C1B136"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Dependent</w:t>
            </w:r>
          </w:p>
        </w:tc>
        <w:tc>
          <w:tcPr>
            <w:tcW w:w="465" w:type="pct"/>
            <w:hideMark/>
          </w:tcPr>
          <w:p w14:paraId="28B83372"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48</w:t>
            </w:r>
          </w:p>
        </w:tc>
        <w:tc>
          <w:tcPr>
            <w:tcW w:w="513" w:type="pct"/>
            <w:hideMark/>
          </w:tcPr>
          <w:p w14:paraId="3D9A5330"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37</w:t>
            </w:r>
          </w:p>
        </w:tc>
        <w:tc>
          <w:tcPr>
            <w:tcW w:w="420" w:type="pct"/>
            <w:hideMark/>
          </w:tcPr>
          <w:p w14:paraId="647629CF"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41.67</w:t>
            </w:r>
          </w:p>
        </w:tc>
        <w:tc>
          <w:tcPr>
            <w:tcW w:w="444" w:type="pct"/>
            <w:vMerge/>
            <w:vAlign w:val="center"/>
            <w:hideMark/>
          </w:tcPr>
          <w:p w14:paraId="242ECE15" w14:textId="77777777" w:rsidR="00040FCA" w:rsidRPr="00040FCA" w:rsidRDefault="00040FCA" w:rsidP="00CF11DC">
            <w:pPr>
              <w:jc w:val="both"/>
              <w:rPr>
                <w:rFonts w:ascii="Times New Roman" w:hAnsi="Times New Roman"/>
                <w:sz w:val="24"/>
                <w:szCs w:val="24"/>
              </w:rPr>
            </w:pPr>
          </w:p>
        </w:tc>
      </w:tr>
      <w:tr w:rsidR="00040FCA" w:rsidRPr="00040FCA" w14:paraId="0717247A" w14:textId="77777777" w:rsidTr="00040FCA">
        <w:trPr>
          <w:trHeight w:val="640"/>
        </w:trPr>
        <w:tc>
          <w:tcPr>
            <w:tcW w:w="717" w:type="pct"/>
            <w:tcBorders>
              <w:bottom w:val="single" w:sz="4" w:space="0" w:color="auto"/>
            </w:tcBorders>
            <w:hideMark/>
          </w:tcPr>
          <w:p w14:paraId="73994812"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Death</w:t>
            </w:r>
          </w:p>
        </w:tc>
        <w:tc>
          <w:tcPr>
            <w:tcW w:w="465" w:type="pct"/>
            <w:tcBorders>
              <w:bottom w:val="single" w:sz="4" w:space="0" w:color="auto"/>
            </w:tcBorders>
            <w:hideMark/>
          </w:tcPr>
          <w:p w14:paraId="5A6EDAF7"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0</w:t>
            </w:r>
          </w:p>
        </w:tc>
        <w:tc>
          <w:tcPr>
            <w:tcW w:w="499" w:type="pct"/>
            <w:tcBorders>
              <w:bottom w:val="single" w:sz="4" w:space="0" w:color="auto"/>
            </w:tcBorders>
            <w:hideMark/>
          </w:tcPr>
          <w:p w14:paraId="69D31C74"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0</w:t>
            </w:r>
          </w:p>
        </w:tc>
        <w:tc>
          <w:tcPr>
            <w:tcW w:w="386" w:type="pct"/>
            <w:tcBorders>
              <w:bottom w:val="single" w:sz="4" w:space="0" w:color="auto"/>
            </w:tcBorders>
            <w:hideMark/>
          </w:tcPr>
          <w:p w14:paraId="62F78F77" w14:textId="77777777" w:rsidR="00040FCA" w:rsidRPr="00040FCA" w:rsidRDefault="00040FCA" w:rsidP="00CF11DC">
            <w:pPr>
              <w:widowControl w:val="0"/>
              <w:autoSpaceDE w:val="0"/>
              <w:autoSpaceDN w:val="0"/>
              <w:adjustRightInd w:val="0"/>
              <w:spacing w:line="320" w:lineRule="atLeast"/>
              <w:jc w:val="both"/>
              <w:rPr>
                <w:rFonts w:ascii="Times New Roman" w:hAnsi="Times New Roman"/>
                <w:sz w:val="24"/>
                <w:szCs w:val="24"/>
              </w:rPr>
            </w:pPr>
            <w:r w:rsidRPr="00040FCA">
              <w:rPr>
                <w:rFonts w:ascii="Times New Roman" w:hAnsi="Times New Roman"/>
                <w:sz w:val="24"/>
                <w:szCs w:val="24"/>
              </w:rPr>
              <w:t>0</w:t>
            </w:r>
          </w:p>
        </w:tc>
        <w:tc>
          <w:tcPr>
            <w:tcW w:w="391" w:type="pct"/>
            <w:vMerge/>
            <w:tcBorders>
              <w:bottom w:val="single" w:sz="4" w:space="0" w:color="auto"/>
            </w:tcBorders>
            <w:vAlign w:val="center"/>
            <w:hideMark/>
          </w:tcPr>
          <w:p w14:paraId="4E47B5B3" w14:textId="77777777" w:rsidR="00040FCA" w:rsidRPr="00040FCA" w:rsidRDefault="00040FCA" w:rsidP="00CF11DC">
            <w:pPr>
              <w:jc w:val="both"/>
              <w:rPr>
                <w:rFonts w:ascii="Times New Roman" w:hAnsi="Times New Roman"/>
                <w:sz w:val="24"/>
                <w:szCs w:val="24"/>
              </w:rPr>
            </w:pPr>
          </w:p>
        </w:tc>
        <w:tc>
          <w:tcPr>
            <w:tcW w:w="700" w:type="pct"/>
            <w:tcBorders>
              <w:bottom w:val="single" w:sz="4" w:space="0" w:color="auto"/>
            </w:tcBorders>
            <w:hideMark/>
          </w:tcPr>
          <w:p w14:paraId="30127C54"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Death</w:t>
            </w:r>
          </w:p>
        </w:tc>
        <w:tc>
          <w:tcPr>
            <w:tcW w:w="465" w:type="pct"/>
            <w:tcBorders>
              <w:bottom w:val="single" w:sz="4" w:space="0" w:color="auto"/>
            </w:tcBorders>
            <w:hideMark/>
          </w:tcPr>
          <w:p w14:paraId="5038765C"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19</w:t>
            </w:r>
          </w:p>
        </w:tc>
        <w:tc>
          <w:tcPr>
            <w:tcW w:w="513" w:type="pct"/>
            <w:tcBorders>
              <w:bottom w:val="single" w:sz="4" w:space="0" w:color="auto"/>
            </w:tcBorders>
            <w:hideMark/>
          </w:tcPr>
          <w:p w14:paraId="21218B14"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4</w:t>
            </w:r>
          </w:p>
        </w:tc>
        <w:tc>
          <w:tcPr>
            <w:tcW w:w="420" w:type="pct"/>
            <w:tcBorders>
              <w:bottom w:val="single" w:sz="4" w:space="0" w:color="auto"/>
            </w:tcBorders>
            <w:hideMark/>
          </w:tcPr>
          <w:p w14:paraId="1EE14813" w14:textId="77777777" w:rsidR="00040FCA" w:rsidRPr="00040FCA" w:rsidRDefault="00040FCA" w:rsidP="00CF11DC">
            <w:pPr>
              <w:autoSpaceDE w:val="0"/>
              <w:autoSpaceDN w:val="0"/>
              <w:adjustRightInd w:val="0"/>
              <w:spacing w:line="320" w:lineRule="atLeast"/>
              <w:ind w:left="60" w:right="60"/>
              <w:jc w:val="both"/>
              <w:rPr>
                <w:rFonts w:ascii="Times New Roman" w:hAnsi="Times New Roman"/>
                <w:sz w:val="24"/>
                <w:szCs w:val="24"/>
              </w:rPr>
            </w:pPr>
            <w:r w:rsidRPr="00040FCA">
              <w:rPr>
                <w:rFonts w:ascii="Times New Roman" w:hAnsi="Times New Roman"/>
                <w:sz w:val="24"/>
                <w:szCs w:val="24"/>
              </w:rPr>
              <w:t>11.27</w:t>
            </w:r>
          </w:p>
        </w:tc>
        <w:tc>
          <w:tcPr>
            <w:tcW w:w="444" w:type="pct"/>
            <w:vMerge/>
            <w:tcBorders>
              <w:bottom w:val="single" w:sz="4" w:space="0" w:color="auto"/>
            </w:tcBorders>
            <w:vAlign w:val="center"/>
            <w:hideMark/>
          </w:tcPr>
          <w:p w14:paraId="4396B128" w14:textId="77777777" w:rsidR="00040FCA" w:rsidRPr="00040FCA" w:rsidRDefault="00040FCA" w:rsidP="00CF11DC">
            <w:pPr>
              <w:jc w:val="both"/>
              <w:rPr>
                <w:rFonts w:ascii="Times New Roman" w:hAnsi="Times New Roman"/>
                <w:sz w:val="24"/>
                <w:szCs w:val="24"/>
              </w:rPr>
            </w:pPr>
          </w:p>
        </w:tc>
      </w:tr>
    </w:tbl>
    <w:p w14:paraId="1DDF00BD" w14:textId="61440A17" w:rsidR="00040FCA" w:rsidRDefault="00040FCA" w:rsidP="00040FCA">
      <w:pPr>
        <w:spacing w:after="0" w:line="360" w:lineRule="auto"/>
        <w:jc w:val="center"/>
        <w:rPr>
          <w:rFonts w:ascii="Times New Roman" w:hAnsi="Times New Roman" w:cs="Times New Roman"/>
          <w:b/>
          <w:sz w:val="24"/>
          <w:szCs w:val="24"/>
        </w:rPr>
      </w:pPr>
      <w:r w:rsidRPr="00040FCA">
        <w:rPr>
          <w:rFonts w:ascii="Times New Roman" w:hAnsi="Times New Roman" w:cs="Times New Roman"/>
          <w:b/>
          <w:sz w:val="24"/>
          <w:szCs w:val="24"/>
        </w:rPr>
        <w:t>Table-</w:t>
      </w:r>
      <w:r w:rsidR="00BB5541">
        <w:rPr>
          <w:rFonts w:ascii="Times New Roman" w:hAnsi="Times New Roman" w:cs="Times New Roman"/>
          <w:b/>
          <w:sz w:val="24"/>
          <w:szCs w:val="24"/>
        </w:rPr>
        <w:t>6</w:t>
      </w:r>
      <w:r w:rsidRPr="00040FCA">
        <w:rPr>
          <w:rFonts w:ascii="Times New Roman" w:hAnsi="Times New Roman" w:cs="Times New Roman"/>
          <w:b/>
          <w:sz w:val="24"/>
          <w:szCs w:val="24"/>
        </w:rPr>
        <w:t xml:space="preserve"> Showing comparison of Modified Rankin Scale (MRS) at admission and at day seven (n=204)</w:t>
      </w:r>
    </w:p>
    <w:p w14:paraId="0F2C10C7" w14:textId="77777777" w:rsidR="00040FCA" w:rsidRPr="00040FCA" w:rsidRDefault="00040FCA" w:rsidP="00040FCA">
      <w:pPr>
        <w:spacing w:after="0" w:line="360" w:lineRule="auto"/>
        <w:jc w:val="both"/>
        <w:rPr>
          <w:rFonts w:ascii="Times New Roman" w:hAnsi="Times New Roman" w:cs="Times New Roman"/>
          <w:b/>
          <w:sz w:val="24"/>
          <w:szCs w:val="24"/>
        </w:rPr>
      </w:pPr>
      <w:r w:rsidRPr="00040FCA">
        <w:rPr>
          <w:rFonts w:ascii="Times New Roman" w:hAnsi="Times New Roman" w:cs="Times New Roman"/>
          <w:sz w:val="24"/>
          <w:szCs w:val="24"/>
        </w:rPr>
        <w:t xml:space="preserve"> It was observed that more than half 67(65.69%) patients had poor outcome in Group- I (serum cardiac troponin I &gt; 0.10) and 41(40.20%) in Group-II (serum cardiac troponin I &lt;0.1) respectively. The difference was statistically significant (p&lt;0.05) between two groups.</w:t>
      </w:r>
    </w:p>
    <w:p w14:paraId="288C6C06" w14:textId="77777777" w:rsidR="00040FCA" w:rsidRDefault="00040FCA" w:rsidP="00040FCA">
      <w:pPr>
        <w:spacing w:after="0" w:line="360" w:lineRule="auto"/>
        <w:jc w:val="both"/>
        <w:rPr>
          <w:rFonts w:ascii="Times New Roman" w:hAnsi="Times New Roman" w:cs="Times New Roman"/>
          <w:b/>
          <w:sz w:val="24"/>
          <w:szCs w:val="24"/>
        </w:rPr>
      </w:pPr>
    </w:p>
    <w:tbl>
      <w:tblPr>
        <w:tblW w:w="4745" w:type="pct"/>
        <w:tblCellMar>
          <w:left w:w="30" w:type="dxa"/>
          <w:right w:w="30" w:type="dxa"/>
        </w:tblCellMar>
        <w:tblLook w:val="04A0" w:firstRow="1" w:lastRow="0" w:firstColumn="1" w:lastColumn="0" w:noHBand="0" w:noVBand="1"/>
      </w:tblPr>
      <w:tblGrid>
        <w:gridCol w:w="1647"/>
        <w:gridCol w:w="1446"/>
        <w:gridCol w:w="872"/>
        <w:gridCol w:w="1258"/>
        <w:gridCol w:w="1180"/>
        <w:gridCol w:w="1235"/>
        <w:gridCol w:w="1245"/>
      </w:tblGrid>
      <w:tr w:rsidR="00040FCA" w:rsidRPr="00521B1D" w14:paraId="3534F151" w14:textId="77777777" w:rsidTr="00CF11DC">
        <w:trPr>
          <w:cantSplit/>
          <w:tblHeader/>
        </w:trPr>
        <w:tc>
          <w:tcPr>
            <w:tcW w:w="927" w:type="pct"/>
            <w:tcBorders>
              <w:top w:val="single" w:sz="4" w:space="0" w:color="auto"/>
            </w:tcBorders>
            <w:shd w:val="clear" w:color="auto" w:fill="FFFFFF"/>
          </w:tcPr>
          <w:p w14:paraId="2E18F1D4"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tc>
        <w:tc>
          <w:tcPr>
            <w:tcW w:w="814" w:type="pct"/>
            <w:tcBorders>
              <w:top w:val="single" w:sz="4" w:space="0" w:color="auto"/>
            </w:tcBorders>
            <w:shd w:val="clear" w:color="auto" w:fill="FFFFFF"/>
          </w:tcPr>
          <w:p w14:paraId="0E022F14"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tc>
        <w:tc>
          <w:tcPr>
            <w:tcW w:w="1199" w:type="pct"/>
            <w:gridSpan w:val="2"/>
            <w:tcBorders>
              <w:top w:val="single" w:sz="4" w:space="0" w:color="auto"/>
            </w:tcBorders>
            <w:shd w:val="clear" w:color="auto" w:fill="FFFFFF"/>
            <w:tcMar>
              <w:top w:w="30" w:type="dxa"/>
              <w:left w:w="30" w:type="dxa"/>
              <w:bottom w:w="30" w:type="dxa"/>
              <w:right w:w="30" w:type="dxa"/>
            </w:tcMar>
            <w:vAlign w:val="bottom"/>
            <w:hideMark/>
          </w:tcPr>
          <w:p w14:paraId="04D4DCAC"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r w:rsidRPr="00040FCA">
              <w:rPr>
                <w:rFonts w:ascii="Times New Roman" w:eastAsia="Times New Roman" w:hAnsi="Times New Roman" w:cs="Times New Roman"/>
                <w:b/>
                <w:bCs/>
              </w:rPr>
              <w:t>Groups</w:t>
            </w:r>
          </w:p>
        </w:tc>
        <w:tc>
          <w:tcPr>
            <w:tcW w:w="664" w:type="pct"/>
            <w:tcBorders>
              <w:top w:val="single" w:sz="4" w:space="0" w:color="auto"/>
            </w:tcBorders>
            <w:shd w:val="clear" w:color="auto" w:fill="FFFFFF"/>
          </w:tcPr>
          <w:p w14:paraId="7522741E"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tc>
        <w:tc>
          <w:tcPr>
            <w:tcW w:w="695" w:type="pct"/>
            <w:vMerge w:val="restart"/>
            <w:tcBorders>
              <w:top w:val="single" w:sz="4" w:space="0" w:color="auto"/>
            </w:tcBorders>
            <w:shd w:val="clear" w:color="auto" w:fill="FFFFFF"/>
            <w:vAlign w:val="center"/>
          </w:tcPr>
          <w:p w14:paraId="45CDA799"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p>
          <w:p w14:paraId="7DA3666E"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r w:rsidRPr="00040FCA">
              <w:rPr>
                <w:rFonts w:ascii="Times New Roman" w:eastAsia="Times New Roman" w:hAnsi="Times New Roman" w:cs="Times New Roman"/>
                <w:b/>
                <w:bCs/>
              </w:rPr>
              <w:t>Total</w:t>
            </w:r>
          </w:p>
        </w:tc>
        <w:tc>
          <w:tcPr>
            <w:tcW w:w="701" w:type="pct"/>
            <w:vMerge w:val="restart"/>
            <w:tcBorders>
              <w:top w:val="single" w:sz="4" w:space="0" w:color="auto"/>
            </w:tcBorders>
            <w:shd w:val="clear" w:color="auto" w:fill="FFFFFF"/>
            <w:tcMar>
              <w:top w:w="30" w:type="dxa"/>
              <w:left w:w="30" w:type="dxa"/>
              <w:bottom w:w="30" w:type="dxa"/>
              <w:right w:w="30" w:type="dxa"/>
            </w:tcMar>
            <w:vAlign w:val="center"/>
            <w:hideMark/>
          </w:tcPr>
          <w:p w14:paraId="009D7F9A"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b/>
                <w:bCs/>
              </w:rPr>
            </w:pPr>
            <w:r w:rsidRPr="00040FCA">
              <w:rPr>
                <w:rFonts w:ascii="Times New Roman" w:eastAsia="Times New Roman" w:hAnsi="Times New Roman" w:cs="Times New Roman"/>
                <w:b/>
                <w:bCs/>
              </w:rPr>
              <w:t>p value</w:t>
            </w:r>
          </w:p>
        </w:tc>
      </w:tr>
      <w:tr w:rsidR="00040FCA" w:rsidRPr="00521B1D" w14:paraId="72F020BC" w14:textId="77777777" w:rsidTr="00CF11DC">
        <w:trPr>
          <w:cantSplit/>
          <w:tblHeader/>
        </w:trPr>
        <w:tc>
          <w:tcPr>
            <w:tcW w:w="927" w:type="pct"/>
            <w:shd w:val="clear" w:color="auto" w:fill="FFFFFF"/>
            <w:tcMar>
              <w:top w:w="30" w:type="dxa"/>
              <w:left w:w="30" w:type="dxa"/>
              <w:bottom w:w="30" w:type="dxa"/>
              <w:right w:w="30" w:type="dxa"/>
            </w:tcMar>
            <w:vAlign w:val="center"/>
            <w:hideMark/>
          </w:tcPr>
          <w:p w14:paraId="4B1A7702"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Outcome</w:t>
            </w:r>
          </w:p>
        </w:tc>
        <w:tc>
          <w:tcPr>
            <w:tcW w:w="814" w:type="pct"/>
            <w:shd w:val="clear" w:color="auto" w:fill="FFFFFF"/>
            <w:tcMar>
              <w:top w:w="30" w:type="dxa"/>
              <w:left w:w="30" w:type="dxa"/>
              <w:bottom w:w="30" w:type="dxa"/>
              <w:right w:w="30" w:type="dxa"/>
            </w:tcMar>
            <w:vAlign w:val="center"/>
            <w:hideMark/>
          </w:tcPr>
          <w:p w14:paraId="5154711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Group I</w:t>
            </w:r>
          </w:p>
          <w:p w14:paraId="2F843E8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(n=102)</w:t>
            </w:r>
          </w:p>
        </w:tc>
        <w:tc>
          <w:tcPr>
            <w:tcW w:w="491" w:type="pct"/>
            <w:shd w:val="clear" w:color="auto" w:fill="FFFFFF"/>
            <w:vAlign w:val="center"/>
          </w:tcPr>
          <w:p w14:paraId="7F6078F7"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n=%</w:t>
            </w:r>
          </w:p>
        </w:tc>
        <w:tc>
          <w:tcPr>
            <w:tcW w:w="708" w:type="pct"/>
            <w:shd w:val="clear" w:color="auto" w:fill="FFFFFF"/>
            <w:tcMar>
              <w:top w:w="30" w:type="dxa"/>
              <w:left w:w="30" w:type="dxa"/>
              <w:bottom w:w="30" w:type="dxa"/>
              <w:right w:w="30" w:type="dxa"/>
            </w:tcMar>
            <w:vAlign w:val="center"/>
            <w:hideMark/>
          </w:tcPr>
          <w:p w14:paraId="330DA274"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Group II    (n=102)</w:t>
            </w:r>
          </w:p>
        </w:tc>
        <w:tc>
          <w:tcPr>
            <w:tcW w:w="664" w:type="pct"/>
            <w:vAlign w:val="center"/>
          </w:tcPr>
          <w:p w14:paraId="2D1E0665" w14:textId="77777777" w:rsidR="00040FCA" w:rsidRPr="00040FCA" w:rsidRDefault="00040FCA" w:rsidP="00CF11DC">
            <w:pPr>
              <w:spacing w:after="0" w:line="360" w:lineRule="auto"/>
              <w:jc w:val="center"/>
              <w:rPr>
                <w:rFonts w:ascii="Times New Roman" w:eastAsia="Times New Roman" w:hAnsi="Times New Roman" w:cs="Times New Roman"/>
                <w:b/>
                <w:bCs/>
              </w:rPr>
            </w:pPr>
          </w:p>
          <w:p w14:paraId="73E82AC1" w14:textId="77777777" w:rsidR="00040FCA" w:rsidRPr="00040FCA" w:rsidRDefault="00040FCA" w:rsidP="00CF11DC">
            <w:pPr>
              <w:spacing w:after="0" w:line="360" w:lineRule="auto"/>
              <w:jc w:val="center"/>
              <w:rPr>
                <w:rFonts w:ascii="Times New Roman" w:eastAsia="Times New Roman" w:hAnsi="Times New Roman" w:cs="Times New Roman"/>
                <w:b/>
                <w:bCs/>
              </w:rPr>
            </w:pPr>
            <w:r w:rsidRPr="00040FCA">
              <w:rPr>
                <w:rFonts w:ascii="Times New Roman" w:eastAsia="Times New Roman" w:hAnsi="Times New Roman" w:cs="Times New Roman"/>
                <w:b/>
                <w:bCs/>
              </w:rPr>
              <w:t>n=%</w:t>
            </w:r>
          </w:p>
        </w:tc>
        <w:tc>
          <w:tcPr>
            <w:tcW w:w="695" w:type="pct"/>
            <w:vMerge/>
            <w:vAlign w:val="center"/>
            <w:hideMark/>
          </w:tcPr>
          <w:p w14:paraId="2CBD14B1" w14:textId="77777777" w:rsidR="00040FCA" w:rsidRPr="00040FCA" w:rsidRDefault="00040FCA" w:rsidP="00CF11DC">
            <w:pPr>
              <w:spacing w:after="0" w:line="360" w:lineRule="auto"/>
              <w:jc w:val="both"/>
              <w:rPr>
                <w:rFonts w:ascii="Times New Roman" w:eastAsia="Times New Roman" w:hAnsi="Times New Roman" w:cs="Times New Roman"/>
                <w:b/>
                <w:bCs/>
              </w:rPr>
            </w:pPr>
          </w:p>
        </w:tc>
        <w:tc>
          <w:tcPr>
            <w:tcW w:w="701" w:type="pct"/>
            <w:vMerge/>
            <w:vAlign w:val="center"/>
            <w:hideMark/>
          </w:tcPr>
          <w:p w14:paraId="6CCF9766" w14:textId="77777777" w:rsidR="00040FCA" w:rsidRPr="00040FCA" w:rsidRDefault="00040FCA" w:rsidP="00CF11DC">
            <w:pPr>
              <w:spacing w:after="0" w:line="240" w:lineRule="auto"/>
              <w:jc w:val="both"/>
              <w:rPr>
                <w:rFonts w:ascii="Times New Roman" w:eastAsia="Times New Roman" w:hAnsi="Times New Roman" w:cs="Times New Roman"/>
              </w:rPr>
            </w:pPr>
          </w:p>
        </w:tc>
      </w:tr>
      <w:tr w:rsidR="00040FCA" w:rsidRPr="00521B1D" w14:paraId="6D636069" w14:textId="77777777" w:rsidTr="00CF11DC">
        <w:trPr>
          <w:cantSplit/>
          <w:tblHeader/>
        </w:trPr>
        <w:tc>
          <w:tcPr>
            <w:tcW w:w="927" w:type="pct"/>
            <w:tcBorders>
              <w:top w:val="single" w:sz="4" w:space="0" w:color="auto"/>
            </w:tcBorders>
            <w:shd w:val="clear" w:color="auto" w:fill="FFFFFF"/>
            <w:tcMar>
              <w:top w:w="30" w:type="dxa"/>
              <w:left w:w="30" w:type="dxa"/>
              <w:bottom w:w="30" w:type="dxa"/>
              <w:right w:w="30" w:type="dxa"/>
            </w:tcMar>
            <w:hideMark/>
          </w:tcPr>
          <w:p w14:paraId="0124AFB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Good outcome</w:t>
            </w:r>
          </w:p>
        </w:tc>
        <w:tc>
          <w:tcPr>
            <w:tcW w:w="814" w:type="pct"/>
            <w:tcBorders>
              <w:top w:val="single" w:sz="4" w:space="0" w:color="auto"/>
            </w:tcBorders>
            <w:shd w:val="clear" w:color="auto" w:fill="FFFFFF"/>
            <w:tcMar>
              <w:top w:w="30" w:type="dxa"/>
              <w:left w:w="30" w:type="dxa"/>
              <w:bottom w:w="30" w:type="dxa"/>
              <w:right w:w="30" w:type="dxa"/>
            </w:tcMar>
            <w:vAlign w:val="center"/>
            <w:hideMark/>
          </w:tcPr>
          <w:p w14:paraId="77764DE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35</w:t>
            </w:r>
          </w:p>
        </w:tc>
        <w:tc>
          <w:tcPr>
            <w:tcW w:w="491" w:type="pct"/>
            <w:tcBorders>
              <w:top w:val="single" w:sz="4" w:space="0" w:color="auto"/>
            </w:tcBorders>
            <w:shd w:val="clear" w:color="auto" w:fill="FFFFFF"/>
          </w:tcPr>
          <w:p w14:paraId="1097A73C"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34.31</w:t>
            </w:r>
          </w:p>
        </w:tc>
        <w:tc>
          <w:tcPr>
            <w:tcW w:w="708" w:type="pct"/>
            <w:tcBorders>
              <w:top w:val="single" w:sz="4" w:space="0" w:color="auto"/>
            </w:tcBorders>
            <w:shd w:val="clear" w:color="auto" w:fill="FFFFFF"/>
            <w:tcMar>
              <w:top w:w="30" w:type="dxa"/>
              <w:left w:w="30" w:type="dxa"/>
              <w:bottom w:w="30" w:type="dxa"/>
              <w:right w:w="30" w:type="dxa"/>
            </w:tcMar>
            <w:vAlign w:val="center"/>
            <w:hideMark/>
          </w:tcPr>
          <w:p w14:paraId="24F761A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61</w:t>
            </w:r>
          </w:p>
        </w:tc>
        <w:tc>
          <w:tcPr>
            <w:tcW w:w="664" w:type="pct"/>
            <w:tcBorders>
              <w:top w:val="single" w:sz="4" w:space="0" w:color="auto"/>
            </w:tcBorders>
            <w:shd w:val="clear" w:color="auto" w:fill="FFFFFF"/>
          </w:tcPr>
          <w:p w14:paraId="416AB1CA"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59.80</w:t>
            </w:r>
          </w:p>
        </w:tc>
        <w:tc>
          <w:tcPr>
            <w:tcW w:w="695" w:type="pct"/>
            <w:tcBorders>
              <w:top w:val="single" w:sz="4" w:space="0" w:color="auto"/>
            </w:tcBorders>
            <w:shd w:val="clear" w:color="auto" w:fill="FFFFFF"/>
            <w:vAlign w:val="center"/>
            <w:hideMark/>
          </w:tcPr>
          <w:p w14:paraId="353375F7"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96</w:t>
            </w:r>
          </w:p>
        </w:tc>
        <w:tc>
          <w:tcPr>
            <w:tcW w:w="701" w:type="pct"/>
            <w:tcBorders>
              <w:top w:val="single" w:sz="4" w:space="0" w:color="auto"/>
            </w:tcBorders>
            <w:shd w:val="clear" w:color="auto" w:fill="FFFFFF"/>
            <w:tcMar>
              <w:top w:w="30" w:type="dxa"/>
              <w:left w:w="30" w:type="dxa"/>
              <w:bottom w:w="30" w:type="dxa"/>
              <w:right w:w="30" w:type="dxa"/>
            </w:tcMar>
            <w:vAlign w:val="center"/>
          </w:tcPr>
          <w:p w14:paraId="12414792"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rPr>
            </w:pPr>
          </w:p>
        </w:tc>
      </w:tr>
      <w:tr w:rsidR="00040FCA" w:rsidRPr="00521B1D" w14:paraId="5D8C5C31" w14:textId="77777777" w:rsidTr="00CF11DC">
        <w:trPr>
          <w:cantSplit/>
          <w:tblHeader/>
        </w:trPr>
        <w:tc>
          <w:tcPr>
            <w:tcW w:w="927" w:type="pct"/>
            <w:shd w:val="clear" w:color="auto" w:fill="FFFFFF"/>
            <w:tcMar>
              <w:top w:w="30" w:type="dxa"/>
              <w:left w:w="30" w:type="dxa"/>
              <w:bottom w:w="30" w:type="dxa"/>
              <w:right w:w="30" w:type="dxa"/>
            </w:tcMar>
            <w:hideMark/>
          </w:tcPr>
          <w:p w14:paraId="18769B13"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Poor outcome</w:t>
            </w:r>
          </w:p>
        </w:tc>
        <w:tc>
          <w:tcPr>
            <w:tcW w:w="814" w:type="pct"/>
            <w:shd w:val="clear" w:color="auto" w:fill="FFFFFF"/>
            <w:tcMar>
              <w:top w:w="30" w:type="dxa"/>
              <w:left w:w="30" w:type="dxa"/>
              <w:bottom w:w="30" w:type="dxa"/>
              <w:right w:w="30" w:type="dxa"/>
            </w:tcMar>
            <w:vAlign w:val="center"/>
            <w:hideMark/>
          </w:tcPr>
          <w:p w14:paraId="1927F65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67</w:t>
            </w:r>
          </w:p>
        </w:tc>
        <w:tc>
          <w:tcPr>
            <w:tcW w:w="491" w:type="pct"/>
            <w:shd w:val="clear" w:color="auto" w:fill="FFFFFF"/>
          </w:tcPr>
          <w:p w14:paraId="2D22BB5B"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65.69</w:t>
            </w:r>
          </w:p>
        </w:tc>
        <w:tc>
          <w:tcPr>
            <w:tcW w:w="708" w:type="pct"/>
            <w:shd w:val="clear" w:color="auto" w:fill="FFFFFF"/>
            <w:tcMar>
              <w:top w:w="30" w:type="dxa"/>
              <w:left w:w="30" w:type="dxa"/>
              <w:bottom w:w="30" w:type="dxa"/>
              <w:right w:w="30" w:type="dxa"/>
            </w:tcMar>
            <w:vAlign w:val="center"/>
            <w:hideMark/>
          </w:tcPr>
          <w:p w14:paraId="287A51A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41</w:t>
            </w:r>
          </w:p>
        </w:tc>
        <w:tc>
          <w:tcPr>
            <w:tcW w:w="664" w:type="pct"/>
            <w:shd w:val="clear" w:color="auto" w:fill="FFFFFF"/>
          </w:tcPr>
          <w:p w14:paraId="779C157D"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40.20</w:t>
            </w:r>
          </w:p>
        </w:tc>
        <w:tc>
          <w:tcPr>
            <w:tcW w:w="695" w:type="pct"/>
            <w:shd w:val="clear" w:color="auto" w:fill="FFFFFF"/>
            <w:vAlign w:val="center"/>
            <w:hideMark/>
          </w:tcPr>
          <w:p w14:paraId="39F14CBA"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108</w:t>
            </w:r>
          </w:p>
        </w:tc>
        <w:tc>
          <w:tcPr>
            <w:tcW w:w="701" w:type="pct"/>
            <w:shd w:val="clear" w:color="auto" w:fill="FFFFFF"/>
            <w:tcMar>
              <w:top w:w="30" w:type="dxa"/>
              <w:left w:w="30" w:type="dxa"/>
              <w:bottom w:w="30" w:type="dxa"/>
              <w:right w:w="30" w:type="dxa"/>
            </w:tcMar>
            <w:vAlign w:val="center"/>
            <w:hideMark/>
          </w:tcPr>
          <w:p w14:paraId="79196032"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rPr>
            </w:pPr>
            <w:r w:rsidRPr="00040FCA">
              <w:rPr>
                <w:rFonts w:ascii="Times New Roman" w:eastAsia="Times New Roman" w:hAnsi="Times New Roman" w:cs="Times New Roman"/>
              </w:rPr>
              <w:t>&lt;0.001</w:t>
            </w:r>
          </w:p>
        </w:tc>
      </w:tr>
      <w:tr w:rsidR="00040FCA" w:rsidRPr="00521B1D" w14:paraId="49A56FAB" w14:textId="77777777" w:rsidTr="00CF11DC">
        <w:trPr>
          <w:cantSplit/>
        </w:trPr>
        <w:tc>
          <w:tcPr>
            <w:tcW w:w="927" w:type="pct"/>
            <w:tcBorders>
              <w:bottom w:val="single" w:sz="4" w:space="0" w:color="auto"/>
            </w:tcBorders>
            <w:shd w:val="clear" w:color="auto" w:fill="FFFFFF"/>
            <w:tcMar>
              <w:top w:w="30" w:type="dxa"/>
              <w:left w:w="30" w:type="dxa"/>
              <w:bottom w:w="30" w:type="dxa"/>
              <w:right w:w="30" w:type="dxa"/>
            </w:tcMar>
            <w:hideMark/>
          </w:tcPr>
          <w:p w14:paraId="6CB9B1B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Total</w:t>
            </w:r>
          </w:p>
        </w:tc>
        <w:tc>
          <w:tcPr>
            <w:tcW w:w="814" w:type="pct"/>
            <w:tcBorders>
              <w:bottom w:val="single" w:sz="4" w:space="0" w:color="auto"/>
            </w:tcBorders>
            <w:shd w:val="clear" w:color="auto" w:fill="FFFFFF"/>
            <w:tcMar>
              <w:top w:w="30" w:type="dxa"/>
              <w:left w:w="30" w:type="dxa"/>
              <w:bottom w:w="30" w:type="dxa"/>
              <w:right w:w="30" w:type="dxa"/>
            </w:tcMar>
            <w:vAlign w:val="center"/>
            <w:hideMark/>
          </w:tcPr>
          <w:p w14:paraId="2AE3CB98"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102</w:t>
            </w:r>
          </w:p>
        </w:tc>
        <w:tc>
          <w:tcPr>
            <w:tcW w:w="491" w:type="pct"/>
            <w:tcBorders>
              <w:bottom w:val="single" w:sz="4" w:space="0" w:color="auto"/>
            </w:tcBorders>
            <w:shd w:val="clear" w:color="auto" w:fill="FFFFFF"/>
          </w:tcPr>
          <w:p w14:paraId="0006417E"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p>
        </w:tc>
        <w:tc>
          <w:tcPr>
            <w:tcW w:w="708" w:type="pct"/>
            <w:tcBorders>
              <w:bottom w:val="single" w:sz="4" w:space="0" w:color="auto"/>
            </w:tcBorders>
            <w:shd w:val="clear" w:color="auto" w:fill="FFFFFF"/>
            <w:tcMar>
              <w:top w:w="30" w:type="dxa"/>
              <w:left w:w="30" w:type="dxa"/>
              <w:bottom w:w="30" w:type="dxa"/>
              <w:right w:w="30" w:type="dxa"/>
            </w:tcMar>
            <w:vAlign w:val="center"/>
            <w:hideMark/>
          </w:tcPr>
          <w:p w14:paraId="0B0B25E4"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102</w:t>
            </w:r>
          </w:p>
        </w:tc>
        <w:tc>
          <w:tcPr>
            <w:tcW w:w="664" w:type="pct"/>
            <w:tcBorders>
              <w:bottom w:val="single" w:sz="4" w:space="0" w:color="auto"/>
            </w:tcBorders>
            <w:shd w:val="clear" w:color="auto" w:fill="FFFFFF"/>
          </w:tcPr>
          <w:p w14:paraId="45B94843"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p>
        </w:tc>
        <w:tc>
          <w:tcPr>
            <w:tcW w:w="695" w:type="pct"/>
            <w:tcBorders>
              <w:bottom w:val="single" w:sz="4" w:space="0" w:color="auto"/>
            </w:tcBorders>
            <w:shd w:val="clear" w:color="auto" w:fill="FFFFFF"/>
            <w:hideMark/>
          </w:tcPr>
          <w:p w14:paraId="70160ED1" w14:textId="77777777" w:rsidR="00040FCA" w:rsidRPr="00040FCA" w:rsidRDefault="00040FCA" w:rsidP="00CF11DC">
            <w:pPr>
              <w:widowControl w:val="0"/>
              <w:autoSpaceDE w:val="0"/>
              <w:autoSpaceDN w:val="0"/>
              <w:adjustRightInd w:val="0"/>
              <w:spacing w:after="0" w:line="360" w:lineRule="auto"/>
              <w:jc w:val="center"/>
              <w:rPr>
                <w:rFonts w:ascii="Times New Roman" w:eastAsia="Times New Roman" w:hAnsi="Times New Roman" w:cs="Times New Roman"/>
              </w:rPr>
            </w:pPr>
            <w:r w:rsidRPr="00040FCA">
              <w:rPr>
                <w:rFonts w:ascii="Times New Roman" w:eastAsia="Times New Roman" w:hAnsi="Times New Roman" w:cs="Times New Roman"/>
              </w:rPr>
              <w:t>204</w:t>
            </w:r>
          </w:p>
        </w:tc>
        <w:tc>
          <w:tcPr>
            <w:tcW w:w="701" w:type="pct"/>
            <w:tcBorders>
              <w:bottom w:val="single" w:sz="4" w:space="0" w:color="auto"/>
            </w:tcBorders>
            <w:shd w:val="clear" w:color="auto" w:fill="FFFFFF"/>
            <w:tcMar>
              <w:top w:w="30" w:type="dxa"/>
              <w:left w:w="30" w:type="dxa"/>
              <w:bottom w:w="30" w:type="dxa"/>
              <w:right w:w="30" w:type="dxa"/>
            </w:tcMar>
            <w:vAlign w:val="center"/>
          </w:tcPr>
          <w:p w14:paraId="194365CF" w14:textId="77777777" w:rsidR="00040FCA" w:rsidRPr="00040FCA" w:rsidRDefault="00040FCA" w:rsidP="00CF11DC">
            <w:pPr>
              <w:widowControl w:val="0"/>
              <w:autoSpaceDE w:val="0"/>
              <w:autoSpaceDN w:val="0"/>
              <w:adjustRightInd w:val="0"/>
              <w:spacing w:after="0" w:line="320" w:lineRule="atLeast"/>
              <w:jc w:val="center"/>
              <w:rPr>
                <w:rFonts w:ascii="Times New Roman" w:eastAsia="Times New Roman" w:hAnsi="Times New Roman" w:cs="Times New Roman"/>
              </w:rPr>
            </w:pPr>
          </w:p>
        </w:tc>
      </w:tr>
    </w:tbl>
    <w:p w14:paraId="6AB9D92C" w14:textId="77777777" w:rsidR="00040FCA" w:rsidRDefault="00040FCA" w:rsidP="00040FCA">
      <w:pPr>
        <w:spacing w:after="0" w:line="360" w:lineRule="auto"/>
        <w:jc w:val="center"/>
        <w:rPr>
          <w:rFonts w:ascii="Times New Roman" w:hAnsi="Times New Roman" w:cs="Times New Roman"/>
          <w:b/>
          <w:sz w:val="24"/>
          <w:szCs w:val="24"/>
        </w:rPr>
      </w:pPr>
    </w:p>
    <w:p w14:paraId="76CD55F5" w14:textId="6D5D4B95" w:rsidR="00040FCA" w:rsidRDefault="00040FCA" w:rsidP="00040FCA">
      <w:pPr>
        <w:spacing w:after="0" w:line="360" w:lineRule="auto"/>
        <w:jc w:val="center"/>
        <w:rPr>
          <w:rFonts w:ascii="Times New Roman" w:hAnsi="Times New Roman" w:cs="Times New Roman"/>
          <w:b/>
          <w:sz w:val="24"/>
          <w:szCs w:val="24"/>
        </w:rPr>
      </w:pPr>
      <w:r w:rsidRPr="00040FCA">
        <w:rPr>
          <w:rFonts w:ascii="Times New Roman" w:hAnsi="Times New Roman" w:cs="Times New Roman"/>
          <w:b/>
          <w:sz w:val="24"/>
          <w:szCs w:val="24"/>
        </w:rPr>
        <w:t>Table-</w:t>
      </w:r>
      <w:r w:rsidR="00BB5541">
        <w:rPr>
          <w:rFonts w:ascii="Times New Roman" w:hAnsi="Times New Roman" w:cs="Times New Roman"/>
          <w:b/>
          <w:sz w:val="24"/>
          <w:szCs w:val="24"/>
        </w:rPr>
        <w:t>7</w:t>
      </w:r>
      <w:r w:rsidRPr="00040FCA">
        <w:rPr>
          <w:rFonts w:ascii="Times New Roman" w:hAnsi="Times New Roman" w:cs="Times New Roman"/>
          <w:b/>
          <w:sz w:val="24"/>
          <w:szCs w:val="24"/>
        </w:rPr>
        <w:t xml:space="preserve"> showing outcome assessed by Modified Rankin Scale of the study patients at day seven (n=204)</w:t>
      </w:r>
    </w:p>
    <w:p w14:paraId="3E678433" w14:textId="77777777" w:rsidR="00510C1E" w:rsidRDefault="00510C1E" w:rsidP="00510C1E">
      <w:pPr>
        <w:spacing w:after="0" w:line="360" w:lineRule="auto"/>
        <w:jc w:val="both"/>
        <w:rPr>
          <w:rFonts w:ascii="Times New Roman" w:hAnsi="Times New Roman" w:cs="Times New Roman"/>
          <w:b/>
          <w:sz w:val="24"/>
          <w:szCs w:val="24"/>
        </w:rPr>
      </w:pPr>
    </w:p>
    <w:p w14:paraId="5378099A" w14:textId="77777777" w:rsidR="00510C1E" w:rsidRDefault="00510C1E" w:rsidP="00510C1E">
      <w:pPr>
        <w:spacing w:after="0" w:line="360" w:lineRule="auto"/>
        <w:jc w:val="both"/>
        <w:rPr>
          <w:rFonts w:ascii="Times New Roman" w:hAnsi="Times New Roman" w:cs="Times New Roman"/>
          <w:b/>
          <w:sz w:val="24"/>
          <w:szCs w:val="24"/>
        </w:rPr>
      </w:pPr>
    </w:p>
    <w:p w14:paraId="3F15364E" w14:textId="77777777" w:rsidR="00510C1E" w:rsidRDefault="00510C1E" w:rsidP="00510C1E">
      <w:pPr>
        <w:spacing w:after="0" w:line="360" w:lineRule="auto"/>
        <w:jc w:val="both"/>
        <w:rPr>
          <w:rFonts w:ascii="Times New Roman" w:hAnsi="Times New Roman" w:cs="Times New Roman"/>
          <w:b/>
          <w:sz w:val="24"/>
          <w:szCs w:val="24"/>
        </w:rPr>
      </w:pPr>
    </w:p>
    <w:p w14:paraId="2BD1349D" w14:textId="77777777" w:rsidR="00510C1E" w:rsidRDefault="00510C1E" w:rsidP="00510C1E">
      <w:pPr>
        <w:spacing w:after="0" w:line="360" w:lineRule="auto"/>
        <w:jc w:val="both"/>
        <w:rPr>
          <w:rFonts w:ascii="Times New Roman" w:hAnsi="Times New Roman" w:cs="Times New Roman"/>
          <w:b/>
          <w:sz w:val="24"/>
          <w:szCs w:val="24"/>
        </w:rPr>
      </w:pPr>
    </w:p>
    <w:p w14:paraId="13DC428E" w14:textId="77777777" w:rsidR="00510C1E" w:rsidRDefault="00510C1E" w:rsidP="00510C1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Discussion:</w:t>
      </w:r>
    </w:p>
    <w:p w14:paraId="03F1FB0F" w14:textId="77777777" w:rsidR="00510C1E" w:rsidRDefault="00510C1E" w:rsidP="00510C1E">
      <w:pPr>
        <w:spacing w:after="0" w:line="360" w:lineRule="auto"/>
        <w:jc w:val="both"/>
        <w:rPr>
          <w:rFonts w:ascii="Times New Roman" w:hAnsi="Times New Roman" w:cs="Times New Roman"/>
          <w:sz w:val="24"/>
          <w:szCs w:val="24"/>
        </w:rPr>
      </w:pPr>
      <w:r w:rsidRPr="00510C1E">
        <w:rPr>
          <w:rFonts w:ascii="Times New Roman" w:hAnsi="Times New Roman" w:cs="Times New Roman"/>
          <w:sz w:val="24"/>
          <w:szCs w:val="24"/>
        </w:rPr>
        <w:t xml:space="preserve">This prospective observational study was carried out to assess serum cardiac troponin I level after </w:t>
      </w:r>
      <w:proofErr w:type="spellStart"/>
      <w:r w:rsidRPr="00510C1E">
        <w:rPr>
          <w:rFonts w:ascii="Times New Roman" w:hAnsi="Times New Roman" w:cs="Times New Roman"/>
          <w:sz w:val="24"/>
          <w:szCs w:val="24"/>
        </w:rPr>
        <w:t>ischaemic</w:t>
      </w:r>
      <w:proofErr w:type="spellEnd"/>
      <w:r w:rsidRPr="00510C1E">
        <w:rPr>
          <w:rFonts w:ascii="Times New Roman" w:hAnsi="Times New Roman" w:cs="Times New Roman"/>
          <w:sz w:val="24"/>
          <w:szCs w:val="24"/>
        </w:rPr>
        <w:t xml:space="preserve"> stroke and to ascertain the mortality and morbidity in patients with </w:t>
      </w:r>
      <w:proofErr w:type="spellStart"/>
      <w:r w:rsidRPr="00510C1E">
        <w:rPr>
          <w:rFonts w:ascii="Times New Roman" w:hAnsi="Times New Roman" w:cs="Times New Roman"/>
          <w:sz w:val="24"/>
          <w:szCs w:val="24"/>
        </w:rPr>
        <w:t>ischaemic</w:t>
      </w:r>
      <w:proofErr w:type="spellEnd"/>
      <w:r w:rsidRPr="00510C1E">
        <w:rPr>
          <w:rFonts w:ascii="Times New Roman" w:hAnsi="Times New Roman" w:cs="Times New Roman"/>
          <w:sz w:val="24"/>
          <w:szCs w:val="24"/>
        </w:rPr>
        <w:t xml:space="preserve"> stroke, as well as to document the socio-demographic characteristics of the </w:t>
      </w:r>
      <w:proofErr w:type="spellStart"/>
      <w:r w:rsidRPr="00510C1E">
        <w:rPr>
          <w:rFonts w:ascii="Times New Roman" w:hAnsi="Times New Roman" w:cs="Times New Roman"/>
          <w:sz w:val="24"/>
          <w:szCs w:val="24"/>
        </w:rPr>
        <w:t>ischaemic</w:t>
      </w:r>
      <w:proofErr w:type="spellEnd"/>
      <w:r w:rsidRPr="00510C1E">
        <w:rPr>
          <w:rFonts w:ascii="Times New Roman" w:hAnsi="Times New Roman" w:cs="Times New Roman"/>
          <w:sz w:val="24"/>
          <w:szCs w:val="24"/>
        </w:rPr>
        <w:t xml:space="preserve"> stroke patients in our setting.</w:t>
      </w:r>
    </w:p>
    <w:p w14:paraId="75392E23" w14:textId="77777777" w:rsidR="00510C1E" w:rsidRPr="00510C1E" w:rsidRDefault="00510C1E" w:rsidP="00510C1E">
      <w:pPr>
        <w:spacing w:after="0" w:line="360" w:lineRule="auto"/>
        <w:jc w:val="both"/>
        <w:rPr>
          <w:rFonts w:ascii="Times New Roman" w:hAnsi="Times New Roman" w:cs="Times New Roman"/>
          <w:sz w:val="24"/>
          <w:szCs w:val="24"/>
        </w:rPr>
      </w:pPr>
      <w:r w:rsidRPr="00510C1E">
        <w:rPr>
          <w:rFonts w:ascii="Times New Roman" w:hAnsi="Times New Roman" w:cs="Times New Roman"/>
          <w:sz w:val="24"/>
          <w:szCs w:val="24"/>
        </w:rPr>
        <w:lastRenderedPageBreak/>
        <w:t>This study observed that 42.16% patients belonged to age below 60 years</w:t>
      </w:r>
      <w:r w:rsidR="004A0803">
        <w:rPr>
          <w:rFonts w:ascii="Times New Roman" w:hAnsi="Times New Roman" w:cs="Times New Roman"/>
          <w:sz w:val="24"/>
          <w:szCs w:val="24"/>
        </w:rPr>
        <w:t xml:space="preserve"> </w:t>
      </w:r>
      <w:r w:rsidRPr="00510C1E">
        <w:rPr>
          <w:rFonts w:ascii="Times New Roman" w:hAnsi="Times New Roman" w:cs="Times New Roman"/>
          <w:sz w:val="24"/>
          <w:szCs w:val="24"/>
        </w:rPr>
        <w:t xml:space="preserve">in group I and 53.92% in group II. The mean age was 63.68±13.921 years in group I and 58.75±12.694 years in group II. </w:t>
      </w:r>
    </w:p>
    <w:p w14:paraId="2DABDDB1" w14:textId="77777777" w:rsidR="00510C1E" w:rsidRDefault="00510C1E" w:rsidP="00510C1E">
      <w:pPr>
        <w:spacing w:after="0" w:line="360" w:lineRule="auto"/>
        <w:jc w:val="both"/>
        <w:rPr>
          <w:rFonts w:ascii="Times New Roman" w:hAnsi="Times New Roman" w:cs="Times New Roman"/>
          <w:sz w:val="24"/>
          <w:szCs w:val="24"/>
        </w:rPr>
      </w:pPr>
      <w:r w:rsidRPr="00510C1E">
        <w:rPr>
          <w:rFonts w:ascii="Times New Roman" w:hAnsi="Times New Roman" w:cs="Times New Roman"/>
          <w:sz w:val="24"/>
          <w:szCs w:val="24"/>
        </w:rPr>
        <w:t>The study found that 29.41% patients were female in group I and 30.39% in group II. Male patients were predominant in both groups, which is similar with</w:t>
      </w:r>
      <w:r w:rsidR="005924BA">
        <w:rPr>
          <w:rFonts w:ascii="Times New Roman" w:hAnsi="Times New Roman" w:cs="Times New Roman"/>
          <w:sz w:val="24"/>
          <w:szCs w:val="24"/>
        </w:rPr>
        <w:t xml:space="preserve"> the study carried out by </w:t>
      </w:r>
      <w:r w:rsidR="005924BA" w:rsidRPr="005924BA">
        <w:rPr>
          <w:rFonts w:ascii="Times New Roman" w:hAnsi="Times New Roman" w:cs="Times New Roman"/>
          <w:bCs/>
          <w:sz w:val="24"/>
          <w:szCs w:val="24"/>
        </w:rPr>
        <w:t>Scheitz</w:t>
      </w:r>
      <w:r w:rsidR="005924BA">
        <w:rPr>
          <w:rFonts w:ascii="Times New Roman" w:hAnsi="Times New Roman" w:cs="Times New Roman"/>
          <w:sz w:val="24"/>
          <w:szCs w:val="24"/>
        </w:rPr>
        <w:t xml:space="preserve"> et al. (2015</w:t>
      </w:r>
      <w:r w:rsidRPr="00510C1E">
        <w:rPr>
          <w:rFonts w:ascii="Times New Roman" w:hAnsi="Times New Roman" w:cs="Times New Roman"/>
          <w:sz w:val="24"/>
          <w:szCs w:val="24"/>
        </w:rPr>
        <w:t>).</w:t>
      </w:r>
      <w:r w:rsidR="005269AB" w:rsidRPr="005269AB">
        <w:t xml:space="preserve"> </w:t>
      </w:r>
      <w:r w:rsidR="005269AB" w:rsidRPr="005269AB">
        <w:rPr>
          <w:rFonts w:ascii="Times New Roman" w:hAnsi="Times New Roman" w:cs="Times New Roman"/>
          <w:sz w:val="24"/>
          <w:szCs w:val="24"/>
        </w:rPr>
        <w:t xml:space="preserve">In addition, the study deduced that 84.31% patients was hypertensive in group I and 70.59% in group II. Hypertension was significantly (p&lt;0.05) higher in group I. </w:t>
      </w:r>
      <w:r w:rsidR="005924BA">
        <w:rPr>
          <w:rFonts w:ascii="Times New Roman" w:hAnsi="Times New Roman" w:cs="Times New Roman"/>
          <w:sz w:val="24"/>
          <w:szCs w:val="24"/>
        </w:rPr>
        <w:t xml:space="preserve">Bustamante et al. (2016), </w:t>
      </w:r>
      <w:r w:rsidR="005924BA" w:rsidRPr="005924BA">
        <w:rPr>
          <w:rFonts w:ascii="Times New Roman" w:hAnsi="Times New Roman" w:cs="Times New Roman"/>
          <w:bCs/>
          <w:sz w:val="24"/>
          <w:szCs w:val="24"/>
        </w:rPr>
        <w:t>Scheitz</w:t>
      </w:r>
      <w:r w:rsidR="005924BA">
        <w:rPr>
          <w:rFonts w:ascii="Times New Roman" w:hAnsi="Times New Roman" w:cs="Times New Roman"/>
          <w:sz w:val="24"/>
          <w:szCs w:val="24"/>
        </w:rPr>
        <w:t xml:space="preserve"> et al. (2015</w:t>
      </w:r>
      <w:r w:rsidR="005269AB" w:rsidRPr="005269AB">
        <w:rPr>
          <w:rFonts w:ascii="Times New Roman" w:hAnsi="Times New Roman" w:cs="Times New Roman"/>
          <w:sz w:val="24"/>
          <w:szCs w:val="24"/>
        </w:rPr>
        <w:t>) and Batal O, et al. (2015) observed similar findings.</w:t>
      </w:r>
    </w:p>
    <w:p w14:paraId="35649536" w14:textId="77777777" w:rsidR="005269AB" w:rsidRDefault="005269AB" w:rsidP="00510C1E">
      <w:pPr>
        <w:spacing w:after="0" w:line="360" w:lineRule="auto"/>
        <w:jc w:val="both"/>
        <w:rPr>
          <w:rFonts w:ascii="Times New Roman" w:hAnsi="Times New Roman" w:cs="Times New Roman"/>
          <w:sz w:val="24"/>
          <w:szCs w:val="24"/>
        </w:rPr>
      </w:pPr>
      <w:r w:rsidRPr="005269AB">
        <w:rPr>
          <w:rFonts w:ascii="Times New Roman" w:hAnsi="Times New Roman" w:cs="Times New Roman"/>
          <w:sz w:val="24"/>
          <w:szCs w:val="24"/>
        </w:rPr>
        <w:t xml:space="preserve">The degree of neurological injury as measured by the NIHSS score is a strong, independent predictor of myocardial necrosis after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supporting the hypothesis that cardiac injury after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is a </w:t>
      </w:r>
      <w:proofErr w:type="spellStart"/>
      <w:r w:rsidRPr="005269AB">
        <w:rPr>
          <w:rFonts w:ascii="Times New Roman" w:hAnsi="Times New Roman" w:cs="Times New Roman"/>
          <w:sz w:val="24"/>
          <w:szCs w:val="24"/>
        </w:rPr>
        <w:t>neurally</w:t>
      </w:r>
      <w:proofErr w:type="spellEnd"/>
      <w:r w:rsidRPr="005269AB">
        <w:rPr>
          <w:rFonts w:ascii="Times New Roman" w:hAnsi="Times New Roman" w:cs="Times New Roman"/>
          <w:sz w:val="24"/>
          <w:szCs w:val="24"/>
        </w:rPr>
        <w:t xml:space="preserve"> mediated process (</w:t>
      </w:r>
      <w:proofErr w:type="spellStart"/>
      <w:r w:rsidRPr="005269AB">
        <w:rPr>
          <w:rFonts w:ascii="Times New Roman" w:hAnsi="Times New Roman" w:cs="Times New Roman"/>
          <w:sz w:val="24"/>
          <w:szCs w:val="24"/>
        </w:rPr>
        <w:t>Su</w:t>
      </w:r>
      <w:proofErr w:type="spellEnd"/>
      <w:r w:rsidRPr="005269AB">
        <w:rPr>
          <w:rFonts w:ascii="Times New Roman" w:hAnsi="Times New Roman" w:cs="Times New Roman"/>
          <w:sz w:val="24"/>
          <w:szCs w:val="24"/>
        </w:rPr>
        <w:t xml:space="preserve"> et al., 2016). This study showed that in Group I mean cardiac troponin I score was 7.86±4.553 and 2.47±1.141 in Group II. The difference was statistically significant (p&lt;0.05) between two groups.</w:t>
      </w:r>
      <w:r w:rsidR="004A0803">
        <w:rPr>
          <w:rFonts w:ascii="Times New Roman" w:hAnsi="Times New Roman" w:cs="Times New Roman"/>
          <w:sz w:val="24"/>
          <w:szCs w:val="24"/>
        </w:rPr>
        <w:t xml:space="preserve"> </w:t>
      </w:r>
      <w:r w:rsidRPr="005269AB">
        <w:rPr>
          <w:rFonts w:ascii="Times New Roman" w:hAnsi="Times New Roman" w:cs="Times New Roman"/>
          <w:sz w:val="24"/>
          <w:szCs w:val="24"/>
        </w:rPr>
        <w:t>The study carried out by Batal O, et al. (2015) and Di Angelantonio, Fiorelli, Toni et al. (2004) also explored the same findings.</w:t>
      </w:r>
    </w:p>
    <w:p w14:paraId="6EBCFE26" w14:textId="77777777" w:rsidR="005269AB" w:rsidRDefault="005269AB" w:rsidP="00510C1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current study </w:t>
      </w:r>
      <w:r w:rsidRPr="005269AB">
        <w:rPr>
          <w:rFonts w:ascii="Times New Roman" w:hAnsi="Times New Roman" w:cs="Times New Roman"/>
          <w:sz w:val="24"/>
          <w:szCs w:val="24"/>
        </w:rPr>
        <w:t xml:space="preserve">explained that the mean serum cardiac troponin I was 6.79±7.84 in group I and 0.031±0.027 in group II. The mean serum cardiac troponin I was significantly (p&lt;0.05) higher in group I. A cardiac troponin I level &gt;1.0 </w:t>
      </w:r>
      <w:proofErr w:type="spellStart"/>
      <w:r w:rsidRPr="005269AB">
        <w:rPr>
          <w:rFonts w:ascii="Times New Roman" w:hAnsi="Times New Roman" w:cs="Times New Roman"/>
          <w:sz w:val="24"/>
          <w:szCs w:val="24"/>
        </w:rPr>
        <w:t>μg</w:t>
      </w:r>
      <w:proofErr w:type="spellEnd"/>
      <w:r w:rsidRPr="005269AB">
        <w:rPr>
          <w:rFonts w:ascii="Times New Roman" w:hAnsi="Times New Roman" w:cs="Times New Roman"/>
          <w:sz w:val="24"/>
          <w:szCs w:val="24"/>
        </w:rPr>
        <w:t xml:space="preserve">/L is independent predictor for the development of regional wall motion abnormalities, frequent after </w:t>
      </w:r>
      <w:proofErr w:type="spellStart"/>
      <w:r w:rsidRPr="005269AB">
        <w:rPr>
          <w:rFonts w:ascii="Times New Roman" w:hAnsi="Times New Roman" w:cs="Times New Roman"/>
          <w:sz w:val="24"/>
          <w:szCs w:val="24"/>
        </w:rPr>
        <w:t>ischaemic</w:t>
      </w:r>
      <w:proofErr w:type="spellEnd"/>
      <w:r w:rsidRPr="005269AB">
        <w:rPr>
          <w:rFonts w:ascii="Times New Roman" w:hAnsi="Times New Roman" w:cs="Times New Roman"/>
          <w:sz w:val="24"/>
          <w:szCs w:val="24"/>
        </w:rPr>
        <w:t xml:space="preserve"> stroke. Thus, left ventricular wall motion abnormalities seen on echocardiography are more common in patients with elevated cardiac troponin I.</w:t>
      </w:r>
    </w:p>
    <w:p w14:paraId="636EE739" w14:textId="64AC2D25" w:rsidR="005269AB" w:rsidRDefault="00AB2BD7" w:rsidP="005269AB">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w:t>
      </w:r>
      <w:r w:rsidR="005269AB" w:rsidRPr="005269AB">
        <w:rPr>
          <w:rFonts w:ascii="Times New Roman" w:hAnsi="Times New Roman" w:cs="Times New Roman"/>
          <w:sz w:val="24"/>
          <w:szCs w:val="24"/>
        </w:rPr>
        <w:t>The mean serum cardiac troponin I was significantly (</w:t>
      </w:r>
      <w:r w:rsidR="005269AB" w:rsidRPr="005269AB">
        <w:rPr>
          <w:rFonts w:ascii="Times New Roman" w:hAnsi="Times New Roman" w:cs="Times New Roman"/>
          <w:i/>
          <w:iCs/>
          <w:sz w:val="24"/>
          <w:szCs w:val="24"/>
        </w:rPr>
        <w:t>p</w:t>
      </w:r>
      <w:r w:rsidR="005269AB" w:rsidRPr="005269AB">
        <w:rPr>
          <w:rFonts w:ascii="Times New Roman" w:hAnsi="Times New Roman" w:cs="Times New Roman"/>
          <w:sz w:val="24"/>
          <w:szCs w:val="24"/>
        </w:rPr>
        <w:t xml:space="preserve">&lt;0.05) higher in death patients. In addition this study found that 65.69% patients had poor outcome in serum cardiac troponin I </w:t>
      </w:r>
      <w:r w:rsidR="005269AB" w:rsidRPr="005269AB">
        <w:rPr>
          <w:rFonts w:ascii="Times New Roman" w:hAnsi="Times New Roman" w:cs="Times New Roman"/>
          <w:sz w:val="24"/>
          <w:szCs w:val="24"/>
        </w:rPr>
        <w:sym w:font="Symbol" w:char="F0B3"/>
      </w:r>
      <w:r w:rsidR="005269AB" w:rsidRPr="005269AB">
        <w:rPr>
          <w:rFonts w:ascii="Times New Roman" w:hAnsi="Times New Roman" w:cs="Times New Roman"/>
          <w:sz w:val="24"/>
          <w:szCs w:val="24"/>
        </w:rPr>
        <w:t xml:space="preserve">0.1 ng/ml and 40.20% in serum cardiac troponin I &lt;0.1 ng/ml which was also statistically significant (p&lt;0.05). </w:t>
      </w:r>
      <w:proofErr w:type="spellStart"/>
      <w:r w:rsidR="005269AB" w:rsidRPr="005269AB">
        <w:rPr>
          <w:rFonts w:ascii="Times New Roman" w:hAnsi="Times New Roman" w:cs="Times New Roman"/>
          <w:sz w:val="24"/>
          <w:szCs w:val="24"/>
        </w:rPr>
        <w:t>cTn</w:t>
      </w:r>
      <w:proofErr w:type="spellEnd"/>
      <w:r w:rsidR="005269AB" w:rsidRPr="005269AB">
        <w:rPr>
          <w:rFonts w:ascii="Times New Roman" w:hAnsi="Times New Roman" w:cs="Times New Roman"/>
          <w:sz w:val="24"/>
          <w:szCs w:val="24"/>
        </w:rPr>
        <w:t xml:space="preserve"> elevation in patients without apparent acute coronary syndromes has been regarded as “</w:t>
      </w:r>
      <w:proofErr w:type="spellStart"/>
      <w:r w:rsidR="005269AB" w:rsidRPr="005269AB">
        <w:rPr>
          <w:rFonts w:ascii="Times New Roman" w:hAnsi="Times New Roman" w:cs="Times New Roman"/>
          <w:sz w:val="24"/>
          <w:szCs w:val="24"/>
        </w:rPr>
        <w:t>troponinosis</w:t>
      </w:r>
      <w:proofErr w:type="spellEnd"/>
      <w:r w:rsidR="005269AB" w:rsidRPr="005269AB">
        <w:rPr>
          <w:rFonts w:ascii="Times New Roman" w:hAnsi="Times New Roman" w:cs="Times New Roman"/>
          <w:sz w:val="24"/>
          <w:szCs w:val="24"/>
        </w:rPr>
        <w:t>” or “</w:t>
      </w:r>
      <w:proofErr w:type="spellStart"/>
      <w:r w:rsidR="005269AB" w:rsidRPr="005269AB">
        <w:rPr>
          <w:rFonts w:ascii="Times New Roman" w:hAnsi="Times New Roman" w:cs="Times New Roman"/>
          <w:sz w:val="24"/>
          <w:szCs w:val="24"/>
        </w:rPr>
        <w:t>troponinemia</w:t>
      </w:r>
      <w:proofErr w:type="spellEnd"/>
      <w:r w:rsidR="005269AB" w:rsidRPr="005269AB">
        <w:rPr>
          <w:rFonts w:ascii="Times New Roman" w:hAnsi="Times New Roman" w:cs="Times New Roman"/>
          <w:sz w:val="24"/>
          <w:szCs w:val="24"/>
        </w:rPr>
        <w:t xml:space="preserve">” (de Lemos et al., 2013). </w:t>
      </w:r>
      <w:r>
        <w:rPr>
          <w:rFonts w:ascii="Times New Roman" w:hAnsi="Times New Roman" w:cs="Times New Roman"/>
          <w:sz w:val="24"/>
          <w:szCs w:val="24"/>
        </w:rPr>
        <w:t>“</w:t>
      </w:r>
      <w:r w:rsidR="005269AB" w:rsidRPr="005269AB">
        <w:rPr>
          <w:rFonts w:ascii="Times New Roman" w:hAnsi="Times New Roman" w:cs="Times New Roman"/>
          <w:sz w:val="24"/>
          <w:szCs w:val="24"/>
        </w:rPr>
        <w:t xml:space="preserve">In patients with stroke, however, there is evidence that irrespective of the underlying mechanism </w:t>
      </w:r>
      <w:proofErr w:type="spellStart"/>
      <w:r w:rsidR="005269AB" w:rsidRPr="005269AB">
        <w:rPr>
          <w:rFonts w:ascii="Times New Roman" w:hAnsi="Times New Roman" w:cs="Times New Roman"/>
          <w:sz w:val="24"/>
          <w:szCs w:val="24"/>
        </w:rPr>
        <w:t>cTn</w:t>
      </w:r>
      <w:proofErr w:type="spellEnd"/>
      <w:r w:rsidR="005269AB" w:rsidRPr="005269AB">
        <w:rPr>
          <w:rFonts w:ascii="Times New Roman" w:hAnsi="Times New Roman" w:cs="Times New Roman"/>
          <w:sz w:val="24"/>
          <w:szCs w:val="24"/>
        </w:rPr>
        <w:t xml:space="preserve"> contains prognostic information about short and long-term functional outcome and survival</w:t>
      </w:r>
      <w:r>
        <w:rPr>
          <w:rFonts w:ascii="Times New Roman" w:hAnsi="Times New Roman" w:cs="Times New Roman"/>
          <w:sz w:val="24"/>
          <w:szCs w:val="24"/>
        </w:rPr>
        <w:t>”</w:t>
      </w:r>
      <w:r w:rsidR="005269AB" w:rsidRPr="005269AB">
        <w:rPr>
          <w:rFonts w:ascii="Times New Roman" w:hAnsi="Times New Roman" w:cs="Times New Roman"/>
          <w:sz w:val="24"/>
          <w:szCs w:val="24"/>
        </w:rPr>
        <w:t xml:space="preserve"> (Kerr G et al., 2009). </w:t>
      </w:r>
      <w:r>
        <w:rPr>
          <w:rFonts w:ascii="Times New Roman" w:hAnsi="Times New Roman" w:cs="Times New Roman"/>
          <w:sz w:val="24"/>
          <w:szCs w:val="24"/>
        </w:rPr>
        <w:t>“</w:t>
      </w:r>
      <w:r w:rsidR="005269AB" w:rsidRPr="005269AB">
        <w:rPr>
          <w:rFonts w:ascii="Times New Roman" w:hAnsi="Times New Roman" w:cs="Times New Roman"/>
          <w:sz w:val="24"/>
          <w:szCs w:val="24"/>
        </w:rPr>
        <w:t xml:space="preserve">A recent retrospective study showed that patients within the highest quartile of </w:t>
      </w:r>
      <w:proofErr w:type="spellStart"/>
      <w:r w:rsidR="005269AB" w:rsidRPr="005269AB">
        <w:rPr>
          <w:rFonts w:ascii="Times New Roman" w:hAnsi="Times New Roman" w:cs="Times New Roman"/>
          <w:sz w:val="24"/>
          <w:szCs w:val="24"/>
        </w:rPr>
        <w:t>cTn</w:t>
      </w:r>
      <w:proofErr w:type="spellEnd"/>
      <w:r w:rsidR="005269AB" w:rsidRPr="005269AB">
        <w:rPr>
          <w:rFonts w:ascii="Times New Roman" w:hAnsi="Times New Roman" w:cs="Times New Roman"/>
          <w:sz w:val="24"/>
          <w:szCs w:val="24"/>
        </w:rPr>
        <w:t xml:space="preserve"> measured with a high-sensitivity assay on hospital admission had a 1.6-fold increased risk of all-cause mortality during a follow-up period of 1.5 years when adjusted for age, baseline stroke severity, and comorbidities. In a prospective study of 1016 consecutive patients with </w:t>
      </w:r>
      <w:proofErr w:type="spellStart"/>
      <w:r w:rsidR="005269AB" w:rsidRPr="005269AB">
        <w:rPr>
          <w:rFonts w:ascii="Times New Roman" w:hAnsi="Times New Roman" w:cs="Times New Roman"/>
          <w:sz w:val="24"/>
          <w:szCs w:val="24"/>
        </w:rPr>
        <w:t>ischaemic</w:t>
      </w:r>
      <w:proofErr w:type="spellEnd"/>
      <w:r w:rsidR="005269AB" w:rsidRPr="005269AB">
        <w:rPr>
          <w:rFonts w:ascii="Times New Roman" w:hAnsi="Times New Roman" w:cs="Times New Roman"/>
          <w:sz w:val="24"/>
          <w:szCs w:val="24"/>
        </w:rPr>
        <w:t xml:space="preserve"> stroke measured serially with a high-sensitivity </w:t>
      </w:r>
      <w:proofErr w:type="spellStart"/>
      <w:r w:rsidR="005269AB" w:rsidRPr="005269AB">
        <w:rPr>
          <w:rFonts w:ascii="Times New Roman" w:hAnsi="Times New Roman" w:cs="Times New Roman"/>
          <w:sz w:val="24"/>
          <w:szCs w:val="24"/>
        </w:rPr>
        <w:t>cTn</w:t>
      </w:r>
      <w:proofErr w:type="spellEnd"/>
      <w:r w:rsidR="005269AB" w:rsidRPr="005269AB">
        <w:rPr>
          <w:rFonts w:ascii="Times New Roman" w:hAnsi="Times New Roman" w:cs="Times New Roman"/>
          <w:sz w:val="24"/>
          <w:szCs w:val="24"/>
        </w:rPr>
        <w:t xml:space="preserve"> assay, the rate of unfavorable functional outcome at discharge </w:t>
      </w:r>
      <w:r w:rsidR="005269AB" w:rsidRPr="005269AB">
        <w:rPr>
          <w:rFonts w:ascii="Times New Roman" w:hAnsi="Times New Roman" w:cs="Times New Roman"/>
          <w:sz w:val="24"/>
          <w:szCs w:val="24"/>
        </w:rPr>
        <w:lastRenderedPageBreak/>
        <w:t xml:space="preserve">(modified Rankin Scale &gt;1) increased significantly with higher peak </w:t>
      </w:r>
      <w:proofErr w:type="spellStart"/>
      <w:r w:rsidR="005269AB" w:rsidRPr="005269AB">
        <w:rPr>
          <w:rFonts w:ascii="Times New Roman" w:hAnsi="Times New Roman" w:cs="Times New Roman"/>
          <w:sz w:val="24"/>
          <w:szCs w:val="24"/>
        </w:rPr>
        <w:t>cTn</w:t>
      </w:r>
      <w:proofErr w:type="spellEnd"/>
      <w:r w:rsidR="005269AB" w:rsidRPr="005269AB">
        <w:rPr>
          <w:rFonts w:ascii="Times New Roman" w:hAnsi="Times New Roman" w:cs="Times New Roman"/>
          <w:sz w:val="24"/>
          <w:szCs w:val="24"/>
        </w:rPr>
        <w:t xml:space="preserve"> levels. The adjusted odds ratio for unfavorable outcome was 1.8 (95% confidence interval [CI], 1.3–2.8) in patients with moderate </w:t>
      </w:r>
      <w:proofErr w:type="spellStart"/>
      <w:r w:rsidR="005269AB" w:rsidRPr="005269AB">
        <w:rPr>
          <w:rFonts w:ascii="Times New Roman" w:hAnsi="Times New Roman" w:cs="Times New Roman"/>
          <w:sz w:val="24"/>
          <w:szCs w:val="24"/>
        </w:rPr>
        <w:t>c</w:t>
      </w:r>
      <w:r w:rsidR="004A0803">
        <w:rPr>
          <w:rFonts w:ascii="Times New Roman" w:hAnsi="Times New Roman" w:cs="Times New Roman"/>
          <w:sz w:val="24"/>
          <w:szCs w:val="24"/>
        </w:rPr>
        <w:t>Tn</w:t>
      </w:r>
      <w:proofErr w:type="spellEnd"/>
      <w:r w:rsidR="004A0803">
        <w:rPr>
          <w:rFonts w:ascii="Times New Roman" w:hAnsi="Times New Roman" w:cs="Times New Roman"/>
          <w:sz w:val="24"/>
          <w:szCs w:val="24"/>
        </w:rPr>
        <w:t xml:space="preserve"> </w:t>
      </w:r>
      <w:r w:rsidR="005924BA">
        <w:rPr>
          <w:rFonts w:ascii="Times New Roman" w:hAnsi="Times New Roman" w:cs="Times New Roman"/>
          <w:sz w:val="24"/>
          <w:szCs w:val="24"/>
        </w:rPr>
        <w:t xml:space="preserve">elevation </w:t>
      </w:r>
      <w:r w:rsidR="005924BA" w:rsidRPr="005269AB">
        <w:rPr>
          <w:rFonts w:ascii="Times New Roman" w:hAnsi="Times New Roman" w:cs="Times New Roman"/>
          <w:sz w:val="24"/>
          <w:szCs w:val="24"/>
        </w:rPr>
        <w:t>and</w:t>
      </w:r>
      <w:r w:rsidR="005269AB" w:rsidRPr="005269AB">
        <w:rPr>
          <w:rFonts w:ascii="Times New Roman" w:hAnsi="Times New Roman" w:cs="Times New Roman"/>
          <w:sz w:val="24"/>
          <w:szCs w:val="24"/>
        </w:rPr>
        <w:t xml:space="preserve"> 3.4 (95% CI, 2.2–5.4) in patients with highly</w:t>
      </w:r>
      <w:r w:rsidR="004A0803">
        <w:rPr>
          <w:rFonts w:ascii="Times New Roman" w:hAnsi="Times New Roman" w:cs="Times New Roman"/>
          <w:sz w:val="24"/>
          <w:szCs w:val="24"/>
        </w:rPr>
        <w:t xml:space="preserve"> elevated </w:t>
      </w:r>
      <w:proofErr w:type="spellStart"/>
      <w:r w:rsidR="004A0803">
        <w:rPr>
          <w:rFonts w:ascii="Times New Roman" w:hAnsi="Times New Roman" w:cs="Times New Roman"/>
          <w:sz w:val="24"/>
          <w:szCs w:val="24"/>
        </w:rPr>
        <w:t>cTn</w:t>
      </w:r>
      <w:proofErr w:type="spellEnd"/>
      <w:r w:rsidR="004A0803">
        <w:rPr>
          <w:rFonts w:ascii="Times New Roman" w:hAnsi="Times New Roman" w:cs="Times New Roman"/>
          <w:sz w:val="24"/>
          <w:szCs w:val="24"/>
        </w:rPr>
        <w:t xml:space="preserve"> </w:t>
      </w:r>
      <w:r w:rsidR="005269AB" w:rsidRPr="005269AB">
        <w:rPr>
          <w:rFonts w:ascii="Times New Roman" w:hAnsi="Times New Roman" w:cs="Times New Roman"/>
          <w:sz w:val="24"/>
          <w:szCs w:val="24"/>
        </w:rPr>
        <w:t xml:space="preserve">.The stroke is more severe in </w:t>
      </w:r>
      <w:proofErr w:type="spellStart"/>
      <w:r w:rsidR="005269AB" w:rsidRPr="005269AB">
        <w:rPr>
          <w:rFonts w:ascii="Times New Roman" w:hAnsi="Times New Roman" w:cs="Times New Roman"/>
          <w:sz w:val="24"/>
          <w:szCs w:val="24"/>
        </w:rPr>
        <w:t>ischaemic</w:t>
      </w:r>
      <w:proofErr w:type="spellEnd"/>
      <w:r w:rsidR="005269AB" w:rsidRPr="005269AB">
        <w:rPr>
          <w:rFonts w:ascii="Times New Roman" w:hAnsi="Times New Roman" w:cs="Times New Roman"/>
          <w:sz w:val="24"/>
          <w:szCs w:val="24"/>
        </w:rPr>
        <w:t xml:space="preserve"> stroke patients with elevated serum level of </w:t>
      </w:r>
      <w:proofErr w:type="spellStart"/>
      <w:r w:rsidR="005269AB" w:rsidRPr="005269AB">
        <w:rPr>
          <w:rFonts w:ascii="Times New Roman" w:hAnsi="Times New Roman" w:cs="Times New Roman"/>
          <w:sz w:val="24"/>
          <w:szCs w:val="24"/>
        </w:rPr>
        <w:t>cTn</w:t>
      </w:r>
      <w:proofErr w:type="spellEnd"/>
      <w:r w:rsidR="005269AB" w:rsidRPr="005269AB">
        <w:rPr>
          <w:rFonts w:ascii="Times New Roman" w:hAnsi="Times New Roman" w:cs="Times New Roman"/>
          <w:sz w:val="24"/>
          <w:szCs w:val="24"/>
        </w:rPr>
        <w:t>-I than in those with normal level, making it a reliable prognostic predictor of both poor stroke outcome and high in-hospital mortality rates</w:t>
      </w:r>
      <w:r>
        <w:rPr>
          <w:rFonts w:ascii="Times New Roman" w:hAnsi="Times New Roman" w:cs="Times New Roman"/>
          <w:sz w:val="24"/>
          <w:szCs w:val="24"/>
        </w:rPr>
        <w:t>”</w:t>
      </w:r>
      <w:r w:rsidR="005269AB" w:rsidRPr="005269AB">
        <w:rPr>
          <w:rFonts w:ascii="Times New Roman" w:hAnsi="Times New Roman" w:cs="Times New Roman"/>
          <w:sz w:val="24"/>
          <w:szCs w:val="24"/>
        </w:rPr>
        <w:t xml:space="preserve"> (</w:t>
      </w:r>
      <w:proofErr w:type="spellStart"/>
      <w:r w:rsidR="005924BA">
        <w:rPr>
          <w:rFonts w:ascii="Times New Roman" w:hAnsi="Times New Roman" w:cs="Times New Roman"/>
          <w:bCs/>
          <w:sz w:val="24"/>
          <w:szCs w:val="24"/>
        </w:rPr>
        <w:t>Hala</w:t>
      </w:r>
      <w:proofErr w:type="spellEnd"/>
      <w:r w:rsidR="005924BA">
        <w:rPr>
          <w:rFonts w:ascii="Times New Roman" w:hAnsi="Times New Roman" w:cs="Times New Roman"/>
          <w:bCs/>
          <w:sz w:val="24"/>
          <w:szCs w:val="24"/>
        </w:rPr>
        <w:t xml:space="preserve"> A</w:t>
      </w:r>
      <w:r w:rsidR="005269AB" w:rsidRPr="005269AB">
        <w:rPr>
          <w:rFonts w:ascii="Times New Roman" w:hAnsi="Times New Roman" w:cs="Times New Roman"/>
          <w:bCs/>
          <w:sz w:val="24"/>
          <w:szCs w:val="24"/>
        </w:rPr>
        <w:t xml:space="preserve">., 2018). </w:t>
      </w:r>
    </w:p>
    <w:p w14:paraId="30A95372" w14:textId="77777777" w:rsidR="005269AB" w:rsidRDefault="005269AB" w:rsidP="005269A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present study had some limitations. </w:t>
      </w:r>
      <w:r w:rsidRPr="005269AB">
        <w:rPr>
          <w:rFonts w:ascii="Times New Roman" w:hAnsi="Times New Roman" w:cs="Times New Roman"/>
          <w:bCs/>
          <w:sz w:val="24"/>
          <w:szCs w:val="24"/>
        </w:rPr>
        <w:t>The study population was selected from one selected hospital in Dhaka city,</w:t>
      </w:r>
      <w:r>
        <w:rPr>
          <w:rFonts w:ascii="Times New Roman" w:hAnsi="Times New Roman" w:cs="Times New Roman"/>
          <w:bCs/>
          <w:sz w:val="24"/>
          <w:szCs w:val="24"/>
        </w:rPr>
        <w:t xml:space="preserve"> Bangladesh</w:t>
      </w:r>
      <w:r w:rsidRPr="005269AB">
        <w:rPr>
          <w:rFonts w:ascii="Times New Roman" w:hAnsi="Times New Roman" w:cs="Times New Roman"/>
          <w:bCs/>
          <w:sz w:val="24"/>
          <w:szCs w:val="24"/>
        </w:rPr>
        <w:t xml:space="preserve"> so that the results of the study may not be reflect the e</w:t>
      </w:r>
      <w:r>
        <w:rPr>
          <w:rFonts w:ascii="Times New Roman" w:hAnsi="Times New Roman" w:cs="Times New Roman"/>
          <w:bCs/>
          <w:sz w:val="24"/>
          <w:szCs w:val="24"/>
        </w:rPr>
        <w:t>xact picture of the country.  Besides, t</w:t>
      </w:r>
      <w:r w:rsidRPr="005269AB">
        <w:rPr>
          <w:rFonts w:ascii="Times New Roman" w:hAnsi="Times New Roman" w:cs="Times New Roman"/>
          <w:bCs/>
          <w:sz w:val="24"/>
          <w:szCs w:val="24"/>
        </w:rPr>
        <w:t>he present study was conduc</w:t>
      </w:r>
      <w:r>
        <w:rPr>
          <w:rFonts w:ascii="Times New Roman" w:hAnsi="Times New Roman" w:cs="Times New Roman"/>
          <w:bCs/>
          <w:sz w:val="24"/>
          <w:szCs w:val="24"/>
        </w:rPr>
        <w:t xml:space="preserve">ted at a short period of time. </w:t>
      </w:r>
      <w:r w:rsidRPr="005269AB">
        <w:rPr>
          <w:rFonts w:ascii="Times New Roman" w:hAnsi="Times New Roman" w:cs="Times New Roman"/>
          <w:bCs/>
          <w:sz w:val="24"/>
          <w:szCs w:val="24"/>
        </w:rPr>
        <w:t>Small sample size was also a limitation of the present study. Therefore, in future further study may be under taken with large sample size.</w:t>
      </w:r>
    </w:p>
    <w:p w14:paraId="6AF2F8CE" w14:textId="77777777" w:rsid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Conclusion:</w:t>
      </w:r>
    </w:p>
    <w:p w14:paraId="063FE01D" w14:textId="77777777" w:rsid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 xml:space="preserve">Cardiac troponin I elevation should be routinely detected, carefully monitored and appropriately managed in </w:t>
      </w:r>
      <w:proofErr w:type="spellStart"/>
      <w:r w:rsidRPr="005269AB">
        <w:rPr>
          <w:rFonts w:ascii="Times New Roman" w:hAnsi="Times New Roman" w:cs="Times New Roman"/>
          <w:bCs/>
          <w:sz w:val="24"/>
          <w:szCs w:val="24"/>
        </w:rPr>
        <w:t>ischaemic</w:t>
      </w:r>
      <w:proofErr w:type="spellEnd"/>
      <w:r w:rsidRPr="005269AB">
        <w:rPr>
          <w:rFonts w:ascii="Times New Roman" w:hAnsi="Times New Roman" w:cs="Times New Roman"/>
          <w:bCs/>
          <w:sz w:val="24"/>
          <w:szCs w:val="24"/>
        </w:rPr>
        <w:t xml:space="preserve"> stroke patients by a multidisciplinary team of clinicians.</w:t>
      </w:r>
      <w:r w:rsidRPr="005269AB">
        <w:t xml:space="preserve"> </w:t>
      </w:r>
      <w:r w:rsidRPr="005269AB">
        <w:rPr>
          <w:rFonts w:ascii="Times New Roman" w:hAnsi="Times New Roman" w:cs="Times New Roman"/>
          <w:bCs/>
          <w:sz w:val="24"/>
          <w:szCs w:val="24"/>
        </w:rPr>
        <w:t>Further</w:t>
      </w:r>
      <w:r>
        <w:rPr>
          <w:rFonts w:ascii="Times New Roman" w:hAnsi="Times New Roman" w:cs="Times New Roman"/>
          <w:bCs/>
          <w:sz w:val="24"/>
          <w:szCs w:val="24"/>
        </w:rPr>
        <w:t xml:space="preserve"> studies are required </w:t>
      </w:r>
      <w:r w:rsidRPr="005269AB">
        <w:rPr>
          <w:rFonts w:ascii="Times New Roman" w:hAnsi="Times New Roman" w:cs="Times New Roman"/>
          <w:bCs/>
          <w:sz w:val="24"/>
          <w:szCs w:val="24"/>
        </w:rPr>
        <w:t xml:space="preserve">to investigate and identify the association between elevated serum cardiac troponin I and in hospital outcome after </w:t>
      </w:r>
      <w:proofErr w:type="spellStart"/>
      <w:r w:rsidRPr="005269AB">
        <w:rPr>
          <w:rFonts w:ascii="Times New Roman" w:hAnsi="Times New Roman" w:cs="Times New Roman"/>
          <w:bCs/>
          <w:sz w:val="24"/>
          <w:szCs w:val="24"/>
        </w:rPr>
        <w:t>ischaemic</w:t>
      </w:r>
      <w:proofErr w:type="spellEnd"/>
      <w:r w:rsidRPr="005269AB">
        <w:rPr>
          <w:rFonts w:ascii="Times New Roman" w:hAnsi="Times New Roman" w:cs="Times New Roman"/>
          <w:bCs/>
          <w:sz w:val="24"/>
          <w:szCs w:val="24"/>
        </w:rPr>
        <w:t xml:space="preserve"> stroke in order to develop effective cardio-protective care to choose optimal management.</w:t>
      </w:r>
    </w:p>
    <w:p w14:paraId="5B8573F4" w14:textId="77777777" w:rsidR="005269AB" w:rsidRP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Disclaimer (Artificial intelligence):</w:t>
      </w:r>
    </w:p>
    <w:p w14:paraId="29BE330E" w14:textId="77777777" w:rsidR="005269AB" w:rsidRP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Author(s) hereby declare that no generative AI technologies such as Large Language Models (ChatGPT, COPILOT, etc.) and text-to-image generators have been used during the writing or editing of this manuscript.</w:t>
      </w:r>
    </w:p>
    <w:p w14:paraId="00B96AA5" w14:textId="77777777" w:rsidR="005269AB" w:rsidRP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CONSENT:</w:t>
      </w:r>
    </w:p>
    <w:p w14:paraId="643CE526" w14:textId="77777777" w:rsidR="005269AB" w:rsidRP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Patient’s informed written consent was taken to publish her case for academic purpose.</w:t>
      </w:r>
    </w:p>
    <w:p w14:paraId="0F2FDF44" w14:textId="77777777" w:rsidR="005269AB" w:rsidRP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ETHICAL APPROVAL:</w:t>
      </w:r>
    </w:p>
    <w:p w14:paraId="3A94E754" w14:textId="77777777" w:rsidR="005269AB" w:rsidRPr="005269AB" w:rsidRDefault="005269AB" w:rsidP="005269AB">
      <w:pPr>
        <w:spacing w:after="0" w:line="360" w:lineRule="auto"/>
        <w:jc w:val="both"/>
        <w:rPr>
          <w:rFonts w:ascii="Times New Roman" w:hAnsi="Times New Roman" w:cs="Times New Roman"/>
          <w:bCs/>
          <w:sz w:val="24"/>
          <w:szCs w:val="24"/>
        </w:rPr>
      </w:pPr>
      <w:r w:rsidRPr="005269AB">
        <w:rPr>
          <w:rFonts w:ascii="Times New Roman" w:hAnsi="Times New Roman" w:cs="Times New Roman"/>
          <w:bCs/>
          <w:sz w:val="24"/>
          <w:szCs w:val="24"/>
        </w:rPr>
        <w:t>As per   international   standards   or   university standards   written   ethical   approval   has   been collected from Institutional ethical committee and preserved by the authors.</w:t>
      </w:r>
    </w:p>
    <w:p w14:paraId="09344FFC" w14:textId="77777777" w:rsidR="005269AB" w:rsidRDefault="005269AB" w:rsidP="005269AB">
      <w:pPr>
        <w:spacing w:after="0" w:line="360" w:lineRule="auto"/>
        <w:jc w:val="both"/>
        <w:rPr>
          <w:rFonts w:ascii="Times New Roman" w:hAnsi="Times New Roman" w:cs="Times New Roman"/>
          <w:b/>
          <w:bCs/>
          <w:sz w:val="24"/>
          <w:szCs w:val="24"/>
        </w:rPr>
      </w:pPr>
    </w:p>
    <w:p w14:paraId="36ED1BDD" w14:textId="77777777" w:rsidR="005269AB" w:rsidRDefault="005269AB" w:rsidP="005269AB">
      <w:pPr>
        <w:spacing w:after="0" w:line="360" w:lineRule="auto"/>
        <w:jc w:val="both"/>
        <w:rPr>
          <w:rFonts w:ascii="Times New Roman" w:hAnsi="Times New Roman" w:cs="Times New Roman"/>
          <w:b/>
          <w:bCs/>
          <w:sz w:val="24"/>
          <w:szCs w:val="24"/>
        </w:rPr>
      </w:pPr>
    </w:p>
    <w:p w14:paraId="4152BDCC" w14:textId="77777777" w:rsidR="005269AB" w:rsidRDefault="005269AB" w:rsidP="005269AB">
      <w:pPr>
        <w:spacing w:after="0" w:line="360" w:lineRule="auto"/>
        <w:jc w:val="both"/>
        <w:rPr>
          <w:rFonts w:ascii="Times New Roman" w:hAnsi="Times New Roman" w:cs="Times New Roman"/>
          <w:b/>
          <w:bCs/>
          <w:sz w:val="24"/>
          <w:szCs w:val="24"/>
        </w:rPr>
      </w:pPr>
      <w:r w:rsidRPr="005269AB">
        <w:rPr>
          <w:rFonts w:ascii="Times New Roman" w:hAnsi="Times New Roman" w:cs="Times New Roman"/>
          <w:b/>
          <w:bCs/>
          <w:sz w:val="24"/>
          <w:szCs w:val="24"/>
        </w:rPr>
        <w:t>References:</w:t>
      </w:r>
    </w:p>
    <w:p w14:paraId="1E480870" w14:textId="77777777" w:rsidR="004A0803" w:rsidRDefault="004A0803" w:rsidP="005269AB">
      <w:pPr>
        <w:spacing w:after="0" w:line="360" w:lineRule="auto"/>
        <w:jc w:val="both"/>
        <w:rPr>
          <w:rFonts w:ascii="Times New Roman" w:hAnsi="Times New Roman" w:cs="Times New Roman"/>
          <w:bCs/>
          <w:sz w:val="24"/>
          <w:szCs w:val="24"/>
        </w:rPr>
      </w:pPr>
      <w:proofErr w:type="spellStart"/>
      <w:r w:rsidRPr="004A0803">
        <w:rPr>
          <w:rFonts w:ascii="Times New Roman" w:hAnsi="Times New Roman" w:cs="Times New Roman"/>
          <w:bCs/>
          <w:sz w:val="24"/>
          <w:szCs w:val="24"/>
        </w:rPr>
        <w:t>Alkhachroum</w:t>
      </w:r>
      <w:proofErr w:type="spellEnd"/>
      <w:r w:rsidRPr="004A0803">
        <w:rPr>
          <w:rFonts w:ascii="Times New Roman" w:hAnsi="Times New Roman" w:cs="Times New Roman"/>
          <w:bCs/>
          <w:sz w:val="24"/>
          <w:szCs w:val="24"/>
        </w:rPr>
        <w:t xml:space="preserve">, A.M., Miller, B., Chami, T., Tatsuoka, C. and Sila, C., 2019. A troponin study on patients with ischemic stroke, intracerebral hemorrhage and subarachnoid hemorrhage: type II </w:t>
      </w:r>
      <w:r w:rsidRPr="004A0803">
        <w:rPr>
          <w:rFonts w:ascii="Times New Roman" w:hAnsi="Times New Roman" w:cs="Times New Roman"/>
          <w:bCs/>
          <w:sz w:val="24"/>
          <w:szCs w:val="24"/>
        </w:rPr>
        <w:lastRenderedPageBreak/>
        <w:t>myocardial infarction is significantly associated with stroke severity, discharge disposition and mortality. Journal of Clinical Neuroscience, 64, pp.83-88</w:t>
      </w:r>
    </w:p>
    <w:p w14:paraId="4C78758C" w14:textId="77777777" w:rsidR="005924BA" w:rsidRDefault="005924BA" w:rsidP="005269AB">
      <w:pPr>
        <w:spacing w:after="0" w:line="360" w:lineRule="auto"/>
        <w:jc w:val="both"/>
        <w:rPr>
          <w:rFonts w:ascii="Times New Roman" w:hAnsi="Times New Roman" w:cs="Times New Roman"/>
          <w:bCs/>
          <w:sz w:val="24"/>
          <w:szCs w:val="24"/>
        </w:rPr>
      </w:pPr>
    </w:p>
    <w:p w14:paraId="444252ED"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Ara, K. J., Islam, R., Habib, A., Ahmed, A., Rahman, H., &amp; Fatema, N. (2018). Onset of Time of </w:t>
      </w:r>
      <w:proofErr w:type="spellStart"/>
      <w:r w:rsidRPr="005924BA">
        <w:rPr>
          <w:rFonts w:ascii="Times New Roman" w:hAnsi="Times New Roman" w:cs="Times New Roman"/>
          <w:bCs/>
          <w:sz w:val="24"/>
          <w:szCs w:val="24"/>
        </w:rPr>
        <w:t>Ischaemic</w:t>
      </w:r>
      <w:proofErr w:type="spellEnd"/>
      <w:r w:rsidRPr="005924BA">
        <w:rPr>
          <w:rFonts w:ascii="Times New Roman" w:hAnsi="Times New Roman" w:cs="Times New Roman"/>
          <w:bCs/>
          <w:sz w:val="24"/>
          <w:szCs w:val="24"/>
        </w:rPr>
        <w:t xml:space="preserve"> Stroke among Elderly Patients in Bangladesh. University Heart Journal, 14(1), 28–30.</w:t>
      </w:r>
    </w:p>
    <w:p w14:paraId="3F742A7C" w14:textId="77777777" w:rsidR="005924BA" w:rsidRDefault="005924BA" w:rsidP="005269AB">
      <w:pPr>
        <w:spacing w:after="0" w:line="360" w:lineRule="auto"/>
        <w:jc w:val="both"/>
        <w:rPr>
          <w:rFonts w:ascii="Times New Roman" w:hAnsi="Times New Roman" w:cs="Times New Roman"/>
          <w:bCs/>
          <w:sz w:val="24"/>
          <w:szCs w:val="24"/>
        </w:rPr>
      </w:pPr>
    </w:p>
    <w:p w14:paraId="668EAF76" w14:textId="77777777" w:rsidR="004A0803" w:rsidRDefault="004A0803" w:rsidP="005269AB">
      <w:pPr>
        <w:spacing w:after="0"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Batal</w:t>
      </w:r>
      <w:proofErr w:type="spellEnd"/>
      <w:r>
        <w:rPr>
          <w:rFonts w:ascii="Times New Roman" w:hAnsi="Times New Roman" w:cs="Times New Roman"/>
          <w:bCs/>
          <w:sz w:val="24"/>
          <w:szCs w:val="24"/>
        </w:rPr>
        <w:t xml:space="preserve"> O</w:t>
      </w:r>
      <w:r w:rsidRPr="004A0803">
        <w:rPr>
          <w:rFonts w:ascii="Times New Roman" w:hAnsi="Times New Roman" w:cs="Times New Roman"/>
          <w:bCs/>
          <w:sz w:val="24"/>
          <w:szCs w:val="24"/>
        </w:rPr>
        <w:t xml:space="preserve">, </w:t>
      </w:r>
      <w:proofErr w:type="spellStart"/>
      <w:r w:rsidRPr="004A0803">
        <w:rPr>
          <w:rFonts w:ascii="Times New Roman" w:hAnsi="Times New Roman" w:cs="Times New Roman"/>
          <w:bCs/>
          <w:sz w:val="24"/>
          <w:szCs w:val="24"/>
        </w:rPr>
        <w:t>Sremec</w:t>
      </w:r>
      <w:proofErr w:type="spellEnd"/>
      <w:r w:rsidRPr="004A0803">
        <w:rPr>
          <w:rFonts w:ascii="Times New Roman" w:hAnsi="Times New Roman" w:cs="Times New Roman"/>
          <w:bCs/>
          <w:sz w:val="24"/>
          <w:szCs w:val="24"/>
        </w:rPr>
        <w:t xml:space="preserve"> J, </w:t>
      </w:r>
      <w:proofErr w:type="spellStart"/>
      <w:r w:rsidRPr="004A0803">
        <w:rPr>
          <w:rFonts w:ascii="Times New Roman" w:hAnsi="Times New Roman" w:cs="Times New Roman"/>
          <w:bCs/>
          <w:sz w:val="24"/>
          <w:szCs w:val="24"/>
        </w:rPr>
        <w:t>Crnac</w:t>
      </w:r>
      <w:proofErr w:type="spellEnd"/>
      <w:r w:rsidRPr="004A0803">
        <w:rPr>
          <w:rFonts w:ascii="Times New Roman" w:hAnsi="Times New Roman" w:cs="Times New Roman"/>
          <w:bCs/>
          <w:sz w:val="24"/>
          <w:szCs w:val="24"/>
        </w:rPr>
        <w:t xml:space="preserve"> P, </w:t>
      </w:r>
      <w:proofErr w:type="spellStart"/>
      <w:r w:rsidRPr="004A0803">
        <w:rPr>
          <w:rFonts w:ascii="Times New Roman" w:hAnsi="Times New Roman" w:cs="Times New Roman"/>
          <w:bCs/>
          <w:sz w:val="24"/>
          <w:szCs w:val="24"/>
        </w:rPr>
        <w:t>Ostojic</w:t>
      </w:r>
      <w:proofErr w:type="spellEnd"/>
      <w:r w:rsidRPr="004A0803">
        <w:rPr>
          <w:rFonts w:ascii="Times New Roman" w:hAnsi="Times New Roman" w:cs="Times New Roman"/>
          <w:bCs/>
          <w:sz w:val="24"/>
          <w:szCs w:val="24"/>
        </w:rPr>
        <w:t xml:space="preserve"> V, Galic E, Bielen I. Impact of troponin I on outcome of ischemic stroke p</w:t>
      </w:r>
      <w:r w:rsidR="005924BA">
        <w:rPr>
          <w:rFonts w:ascii="Times New Roman" w:hAnsi="Times New Roman" w:cs="Times New Roman"/>
          <w:bCs/>
          <w:sz w:val="24"/>
          <w:szCs w:val="24"/>
        </w:rPr>
        <w:t xml:space="preserve">atients. Rom J Intern Med. 2015 </w:t>
      </w:r>
      <w:r w:rsidRPr="004A0803">
        <w:rPr>
          <w:rFonts w:ascii="Times New Roman" w:hAnsi="Times New Roman" w:cs="Times New Roman"/>
          <w:bCs/>
          <w:sz w:val="24"/>
          <w:szCs w:val="24"/>
        </w:rPr>
        <w:t>Mar 1;55(1):19-22.</w:t>
      </w:r>
    </w:p>
    <w:p w14:paraId="0AEE2899" w14:textId="77777777" w:rsidR="005924BA" w:rsidRDefault="005924BA" w:rsidP="005269AB">
      <w:pPr>
        <w:spacing w:after="0" w:line="360" w:lineRule="auto"/>
        <w:jc w:val="both"/>
        <w:rPr>
          <w:rFonts w:ascii="Times New Roman" w:hAnsi="Times New Roman" w:cs="Times New Roman"/>
          <w:bCs/>
          <w:sz w:val="24"/>
          <w:szCs w:val="24"/>
        </w:rPr>
      </w:pPr>
    </w:p>
    <w:p w14:paraId="6D982A2E"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Bleich SN, </w:t>
      </w:r>
      <w:proofErr w:type="spellStart"/>
      <w:r w:rsidRPr="005924BA">
        <w:rPr>
          <w:rFonts w:ascii="Times New Roman" w:hAnsi="Times New Roman" w:cs="Times New Roman"/>
          <w:bCs/>
          <w:sz w:val="24"/>
          <w:szCs w:val="24"/>
        </w:rPr>
        <w:t>Kohelmoos</w:t>
      </w:r>
      <w:proofErr w:type="spellEnd"/>
      <w:r w:rsidRPr="005924BA">
        <w:rPr>
          <w:rFonts w:ascii="Times New Roman" w:hAnsi="Times New Roman" w:cs="Times New Roman"/>
          <w:bCs/>
          <w:sz w:val="24"/>
          <w:szCs w:val="24"/>
        </w:rPr>
        <w:t xml:space="preserve"> TLP, Rashid M, Peters DH, Anderson G. Non-communicable chronic disease in Bangladesh: Overview of existing programs and priorities going forward. Health Policy. 2011 May; 100(2-3): 282–289.</w:t>
      </w:r>
    </w:p>
    <w:p w14:paraId="0197142F" w14:textId="77777777" w:rsidR="005924BA" w:rsidRDefault="005924BA" w:rsidP="005269AB">
      <w:pPr>
        <w:spacing w:after="0" w:line="360" w:lineRule="auto"/>
        <w:jc w:val="both"/>
        <w:rPr>
          <w:rFonts w:ascii="Times New Roman" w:hAnsi="Times New Roman" w:cs="Times New Roman"/>
          <w:bCs/>
          <w:sz w:val="24"/>
          <w:szCs w:val="24"/>
        </w:rPr>
      </w:pPr>
    </w:p>
    <w:p w14:paraId="1BEE1117"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Bustamante</w:t>
      </w:r>
      <w:r>
        <w:rPr>
          <w:rFonts w:ascii="Times New Roman" w:hAnsi="Times New Roman" w:cs="Times New Roman"/>
          <w:bCs/>
          <w:sz w:val="24"/>
          <w:szCs w:val="24"/>
        </w:rPr>
        <w:t xml:space="preserve"> E</w:t>
      </w:r>
      <w:r w:rsidRPr="004A0803">
        <w:rPr>
          <w:rFonts w:ascii="Times New Roman" w:hAnsi="Times New Roman" w:cs="Times New Roman"/>
          <w:bCs/>
          <w:sz w:val="24"/>
          <w:szCs w:val="24"/>
        </w:rPr>
        <w:t>., Fo</w:t>
      </w:r>
      <w:r w:rsidR="00351954">
        <w:rPr>
          <w:rFonts w:ascii="Times New Roman" w:hAnsi="Times New Roman" w:cs="Times New Roman"/>
          <w:bCs/>
          <w:sz w:val="24"/>
          <w:szCs w:val="24"/>
        </w:rPr>
        <w:t>rsström, F. and Lassus, J., 2016</w:t>
      </w:r>
      <w:r w:rsidRPr="004A0803">
        <w:rPr>
          <w:rFonts w:ascii="Times New Roman" w:hAnsi="Times New Roman" w:cs="Times New Roman"/>
          <w:bCs/>
          <w:sz w:val="24"/>
          <w:szCs w:val="24"/>
        </w:rPr>
        <w:t xml:space="preserve">. Cardiac troponin T elevation associated with transient global </w:t>
      </w:r>
      <w:proofErr w:type="spellStart"/>
      <w:proofErr w:type="gramStart"/>
      <w:r w:rsidRPr="004A0803">
        <w:rPr>
          <w:rFonts w:ascii="Times New Roman" w:hAnsi="Times New Roman" w:cs="Times New Roman"/>
          <w:bCs/>
          <w:sz w:val="24"/>
          <w:szCs w:val="24"/>
        </w:rPr>
        <w:t>amnesia:another</w:t>
      </w:r>
      <w:proofErr w:type="spellEnd"/>
      <w:proofErr w:type="gramEnd"/>
      <w:r w:rsidRPr="004A0803">
        <w:rPr>
          <w:rFonts w:ascii="Times New Roman" w:hAnsi="Times New Roman" w:cs="Times New Roman"/>
          <w:bCs/>
          <w:sz w:val="24"/>
          <w:szCs w:val="24"/>
        </w:rPr>
        <w:t xml:space="preserve"> differential diagnosis of ‘</w:t>
      </w:r>
      <w:proofErr w:type="spellStart"/>
      <w:r w:rsidRPr="004A0803">
        <w:rPr>
          <w:rFonts w:ascii="Times New Roman" w:hAnsi="Times New Roman" w:cs="Times New Roman"/>
          <w:bCs/>
          <w:sz w:val="24"/>
          <w:szCs w:val="24"/>
        </w:rPr>
        <w:t>troponosis</w:t>
      </w:r>
      <w:proofErr w:type="spellEnd"/>
      <w:r w:rsidRPr="004A0803">
        <w:rPr>
          <w:rFonts w:ascii="Times New Roman" w:hAnsi="Times New Roman" w:cs="Times New Roman"/>
          <w:bCs/>
          <w:sz w:val="24"/>
          <w:szCs w:val="24"/>
        </w:rPr>
        <w:t>’. European Heart Journal: Acute Cardiovascular Care, 4(6), pp.561-564.</w:t>
      </w:r>
    </w:p>
    <w:p w14:paraId="171253CF" w14:textId="77777777" w:rsidR="005924BA" w:rsidRDefault="005924BA" w:rsidP="005269AB">
      <w:pPr>
        <w:spacing w:after="0" w:line="360" w:lineRule="auto"/>
        <w:jc w:val="both"/>
        <w:rPr>
          <w:rFonts w:ascii="Times New Roman" w:hAnsi="Times New Roman" w:cs="Times New Roman"/>
          <w:bCs/>
          <w:sz w:val="24"/>
          <w:szCs w:val="24"/>
        </w:rPr>
      </w:pPr>
    </w:p>
    <w:p w14:paraId="3525F0DF"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Caplan LR. Intracerebral </w:t>
      </w:r>
      <w:proofErr w:type="spellStart"/>
      <w:r w:rsidRPr="005924BA">
        <w:rPr>
          <w:rFonts w:ascii="Times New Roman" w:hAnsi="Times New Roman" w:cs="Times New Roman"/>
          <w:bCs/>
          <w:sz w:val="24"/>
          <w:szCs w:val="24"/>
        </w:rPr>
        <w:t>haemorrhage</w:t>
      </w:r>
      <w:proofErr w:type="spellEnd"/>
      <w:r w:rsidRPr="005924BA">
        <w:rPr>
          <w:rFonts w:ascii="Times New Roman" w:hAnsi="Times New Roman" w:cs="Times New Roman"/>
          <w:bCs/>
          <w:sz w:val="24"/>
          <w:szCs w:val="24"/>
        </w:rPr>
        <w:t xml:space="preserve">. Lancet </w:t>
      </w:r>
      <w:proofErr w:type="gramStart"/>
      <w:r w:rsidRPr="005924BA">
        <w:rPr>
          <w:rFonts w:ascii="Times New Roman" w:hAnsi="Times New Roman" w:cs="Times New Roman"/>
          <w:bCs/>
          <w:sz w:val="24"/>
          <w:szCs w:val="24"/>
        </w:rPr>
        <w:t>1992;339:656</w:t>
      </w:r>
      <w:proofErr w:type="gramEnd"/>
      <w:r w:rsidRPr="005924BA">
        <w:rPr>
          <w:rFonts w:ascii="Times New Roman" w:hAnsi="Times New Roman" w:cs="Times New Roman"/>
          <w:bCs/>
          <w:sz w:val="24"/>
          <w:szCs w:val="24"/>
        </w:rPr>
        <w:t>–658</w:t>
      </w:r>
    </w:p>
    <w:p w14:paraId="0B9673D8" w14:textId="77777777" w:rsidR="005924BA" w:rsidRDefault="005924BA" w:rsidP="005269AB">
      <w:pPr>
        <w:spacing w:after="0" w:line="360" w:lineRule="auto"/>
        <w:jc w:val="both"/>
        <w:rPr>
          <w:rFonts w:ascii="Times New Roman" w:hAnsi="Times New Roman" w:cs="Times New Roman"/>
          <w:bCs/>
          <w:sz w:val="24"/>
          <w:szCs w:val="24"/>
        </w:rPr>
      </w:pPr>
    </w:p>
    <w:p w14:paraId="25E6D29D" w14:textId="77777777" w:rsidR="004A0803" w:rsidRDefault="004A0803" w:rsidP="005269A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D</w:t>
      </w:r>
      <w:r w:rsidRPr="004A0803">
        <w:rPr>
          <w:rFonts w:ascii="Times New Roman" w:hAnsi="Times New Roman" w:cs="Times New Roman"/>
          <w:bCs/>
          <w:sz w:val="24"/>
          <w:szCs w:val="24"/>
        </w:rPr>
        <w:t xml:space="preserve">e Lemos JA. Increasingly sensitive assays for cardiac troponins: a review. JAMA. </w:t>
      </w:r>
      <w:proofErr w:type="gramStart"/>
      <w:r w:rsidRPr="004A0803">
        <w:rPr>
          <w:rFonts w:ascii="Times New Roman" w:hAnsi="Times New Roman" w:cs="Times New Roman"/>
          <w:bCs/>
          <w:sz w:val="24"/>
          <w:szCs w:val="24"/>
        </w:rPr>
        <w:t>2013;309:2262</w:t>
      </w:r>
      <w:proofErr w:type="gramEnd"/>
      <w:r w:rsidRPr="004A0803">
        <w:rPr>
          <w:rFonts w:ascii="Times New Roman" w:hAnsi="Times New Roman" w:cs="Times New Roman"/>
          <w:bCs/>
          <w:sz w:val="24"/>
          <w:szCs w:val="24"/>
        </w:rPr>
        <w:t>–2269</w:t>
      </w:r>
    </w:p>
    <w:p w14:paraId="232AA884" w14:textId="77777777" w:rsidR="005924BA" w:rsidRDefault="005924BA" w:rsidP="005269AB">
      <w:pPr>
        <w:spacing w:after="0" w:line="360" w:lineRule="auto"/>
        <w:jc w:val="both"/>
        <w:rPr>
          <w:rFonts w:ascii="Times New Roman" w:hAnsi="Times New Roman" w:cs="Times New Roman"/>
          <w:bCs/>
          <w:sz w:val="24"/>
          <w:szCs w:val="24"/>
        </w:rPr>
      </w:pPr>
    </w:p>
    <w:p w14:paraId="368F991F"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 xml:space="preserve">Di Angelantonio E, Fiorelli M, Toni D, </w:t>
      </w:r>
      <w:proofErr w:type="spellStart"/>
      <w:r w:rsidRPr="004A0803">
        <w:rPr>
          <w:rFonts w:ascii="Times New Roman" w:hAnsi="Times New Roman" w:cs="Times New Roman"/>
          <w:bCs/>
          <w:sz w:val="24"/>
          <w:szCs w:val="24"/>
        </w:rPr>
        <w:t>Sacchetti</w:t>
      </w:r>
      <w:proofErr w:type="spellEnd"/>
      <w:r w:rsidRPr="004A0803">
        <w:rPr>
          <w:rFonts w:ascii="Times New Roman" w:hAnsi="Times New Roman" w:cs="Times New Roman"/>
          <w:bCs/>
          <w:sz w:val="24"/>
          <w:szCs w:val="24"/>
        </w:rPr>
        <w:t xml:space="preserve"> ML, </w:t>
      </w:r>
      <w:proofErr w:type="spellStart"/>
      <w:r w:rsidRPr="004A0803">
        <w:rPr>
          <w:rFonts w:ascii="Times New Roman" w:hAnsi="Times New Roman" w:cs="Times New Roman"/>
          <w:bCs/>
          <w:sz w:val="24"/>
          <w:szCs w:val="24"/>
        </w:rPr>
        <w:t>Lorenzano</w:t>
      </w:r>
      <w:proofErr w:type="spellEnd"/>
      <w:r w:rsidRPr="004A0803">
        <w:rPr>
          <w:rFonts w:ascii="Times New Roman" w:hAnsi="Times New Roman" w:cs="Times New Roman"/>
          <w:bCs/>
          <w:sz w:val="24"/>
          <w:szCs w:val="24"/>
        </w:rPr>
        <w:t xml:space="preserve"> S, </w:t>
      </w:r>
      <w:proofErr w:type="spellStart"/>
      <w:r w:rsidRPr="004A0803">
        <w:rPr>
          <w:rFonts w:ascii="Times New Roman" w:hAnsi="Times New Roman" w:cs="Times New Roman"/>
          <w:bCs/>
          <w:sz w:val="24"/>
          <w:szCs w:val="24"/>
        </w:rPr>
        <w:t>Falcou</w:t>
      </w:r>
      <w:proofErr w:type="spellEnd"/>
      <w:r w:rsidRPr="004A0803">
        <w:rPr>
          <w:rFonts w:ascii="Times New Roman" w:hAnsi="Times New Roman" w:cs="Times New Roman"/>
          <w:bCs/>
          <w:sz w:val="24"/>
          <w:szCs w:val="24"/>
        </w:rPr>
        <w:t xml:space="preserve"> A, et al. Prognostic significance of admission levels of troponin I in patients with acute </w:t>
      </w:r>
      <w:proofErr w:type="spellStart"/>
      <w:r w:rsidRPr="004A0803">
        <w:rPr>
          <w:rFonts w:ascii="Times New Roman" w:hAnsi="Times New Roman" w:cs="Times New Roman"/>
          <w:bCs/>
          <w:sz w:val="24"/>
          <w:szCs w:val="24"/>
        </w:rPr>
        <w:t>ischaemic</w:t>
      </w:r>
      <w:proofErr w:type="spellEnd"/>
      <w:r w:rsidRPr="004A0803">
        <w:rPr>
          <w:rFonts w:ascii="Times New Roman" w:hAnsi="Times New Roman" w:cs="Times New Roman"/>
          <w:bCs/>
          <w:sz w:val="24"/>
          <w:szCs w:val="24"/>
        </w:rPr>
        <w:t xml:space="preserve"> stroke. J Neurol </w:t>
      </w:r>
      <w:proofErr w:type="spellStart"/>
      <w:r w:rsidRPr="004A0803">
        <w:rPr>
          <w:rFonts w:ascii="Times New Roman" w:hAnsi="Times New Roman" w:cs="Times New Roman"/>
          <w:bCs/>
          <w:sz w:val="24"/>
          <w:szCs w:val="24"/>
        </w:rPr>
        <w:t>Neurosurg</w:t>
      </w:r>
      <w:proofErr w:type="spellEnd"/>
      <w:r w:rsidRPr="004A0803">
        <w:rPr>
          <w:rFonts w:ascii="Times New Roman" w:hAnsi="Times New Roman" w:cs="Times New Roman"/>
          <w:bCs/>
          <w:sz w:val="24"/>
          <w:szCs w:val="24"/>
        </w:rPr>
        <w:t xml:space="preserve"> Psychiatry. </w:t>
      </w:r>
      <w:proofErr w:type="gramStart"/>
      <w:r w:rsidRPr="004A0803">
        <w:rPr>
          <w:rFonts w:ascii="Times New Roman" w:hAnsi="Times New Roman" w:cs="Times New Roman"/>
          <w:bCs/>
          <w:sz w:val="24"/>
          <w:szCs w:val="24"/>
        </w:rPr>
        <w:t>2005;76:76</w:t>
      </w:r>
      <w:proofErr w:type="gramEnd"/>
      <w:r w:rsidRPr="004A0803">
        <w:rPr>
          <w:rFonts w:ascii="Times New Roman" w:hAnsi="Times New Roman" w:cs="Times New Roman"/>
          <w:bCs/>
          <w:sz w:val="24"/>
          <w:szCs w:val="24"/>
        </w:rPr>
        <w:t>–81.</w:t>
      </w:r>
    </w:p>
    <w:p w14:paraId="3DF20F32" w14:textId="77777777" w:rsidR="005924BA" w:rsidRDefault="005924BA" w:rsidP="005269AB">
      <w:pPr>
        <w:spacing w:after="0" w:line="360" w:lineRule="auto"/>
        <w:jc w:val="both"/>
        <w:rPr>
          <w:rFonts w:ascii="Times New Roman" w:hAnsi="Times New Roman" w:cs="Times New Roman"/>
          <w:bCs/>
          <w:sz w:val="24"/>
          <w:szCs w:val="24"/>
        </w:rPr>
      </w:pPr>
    </w:p>
    <w:p w14:paraId="0A3DB38E" w14:textId="77777777" w:rsidR="005924BA" w:rsidRDefault="005924BA" w:rsidP="005269AB">
      <w:pPr>
        <w:spacing w:after="0" w:line="360" w:lineRule="auto"/>
        <w:jc w:val="both"/>
        <w:rPr>
          <w:rFonts w:ascii="Times New Roman" w:hAnsi="Times New Roman" w:cs="Times New Roman"/>
          <w:bCs/>
          <w:sz w:val="24"/>
          <w:szCs w:val="24"/>
        </w:rPr>
      </w:pPr>
    </w:p>
    <w:p w14:paraId="7C1DFF83"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Ghose, SK, Ahmed, KGU, Chowdhury, AH, Hasan, AH, Saha, K, Mahmud, R, Joy, NI, Biswas, R, Sarkar, MSR, Rahman, MM, </w:t>
      </w:r>
      <w:proofErr w:type="spellStart"/>
      <w:r w:rsidRPr="005924BA">
        <w:rPr>
          <w:rFonts w:ascii="Times New Roman" w:hAnsi="Times New Roman" w:cs="Times New Roman"/>
          <w:bCs/>
          <w:sz w:val="24"/>
          <w:szCs w:val="24"/>
        </w:rPr>
        <w:t>Sina</w:t>
      </w:r>
      <w:proofErr w:type="spellEnd"/>
      <w:r w:rsidRPr="005924BA">
        <w:rPr>
          <w:rFonts w:ascii="Times New Roman" w:hAnsi="Times New Roman" w:cs="Times New Roman"/>
          <w:bCs/>
          <w:sz w:val="24"/>
          <w:szCs w:val="24"/>
        </w:rPr>
        <w:t xml:space="preserve">, H, </w:t>
      </w:r>
      <w:proofErr w:type="spellStart"/>
      <w:r w:rsidRPr="005924BA">
        <w:rPr>
          <w:rFonts w:ascii="Times New Roman" w:hAnsi="Times New Roman" w:cs="Times New Roman"/>
          <w:bCs/>
          <w:sz w:val="24"/>
          <w:szCs w:val="24"/>
        </w:rPr>
        <w:t>Arifuzzaman</w:t>
      </w:r>
      <w:proofErr w:type="spellEnd"/>
      <w:r w:rsidRPr="005924BA">
        <w:rPr>
          <w:rFonts w:ascii="Times New Roman" w:hAnsi="Times New Roman" w:cs="Times New Roman"/>
          <w:bCs/>
          <w:sz w:val="24"/>
          <w:szCs w:val="24"/>
        </w:rPr>
        <w:t xml:space="preserve">, M, </w:t>
      </w:r>
      <w:proofErr w:type="spellStart"/>
      <w:r w:rsidRPr="005924BA">
        <w:rPr>
          <w:rFonts w:ascii="Times New Roman" w:hAnsi="Times New Roman" w:cs="Times New Roman"/>
          <w:bCs/>
          <w:sz w:val="24"/>
          <w:szCs w:val="24"/>
        </w:rPr>
        <w:t>Alam</w:t>
      </w:r>
      <w:proofErr w:type="spellEnd"/>
      <w:r w:rsidRPr="005924BA">
        <w:rPr>
          <w:rFonts w:ascii="Times New Roman" w:hAnsi="Times New Roman" w:cs="Times New Roman"/>
          <w:bCs/>
          <w:sz w:val="24"/>
          <w:szCs w:val="24"/>
        </w:rPr>
        <w:t>, I, 2018, ‘Assessment of Initial Stroke Severity by National Institute Health Stroke Scale (NIHSS) Score at Admission’, Journal of Dhaka Medical College, vol. 26, no. 2, pp. 90–93.</w:t>
      </w:r>
    </w:p>
    <w:p w14:paraId="25E035E2" w14:textId="77777777" w:rsidR="005924BA" w:rsidRDefault="005924BA" w:rsidP="005269AB">
      <w:pPr>
        <w:spacing w:after="0" w:line="360" w:lineRule="auto"/>
        <w:jc w:val="both"/>
        <w:rPr>
          <w:rFonts w:ascii="Times New Roman" w:hAnsi="Times New Roman" w:cs="Times New Roman"/>
          <w:bCs/>
          <w:sz w:val="24"/>
          <w:szCs w:val="24"/>
        </w:rPr>
      </w:pPr>
    </w:p>
    <w:p w14:paraId="257FEB28"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 xml:space="preserve">Hala A. Fathy, Walid M. Reda Ashour, Tamer S. </w:t>
      </w:r>
      <w:proofErr w:type="spellStart"/>
      <w:r w:rsidRPr="004A0803">
        <w:rPr>
          <w:rFonts w:ascii="Times New Roman" w:hAnsi="Times New Roman" w:cs="Times New Roman"/>
          <w:bCs/>
          <w:sz w:val="24"/>
          <w:szCs w:val="24"/>
        </w:rPr>
        <w:t>Elserafy</w:t>
      </w:r>
      <w:proofErr w:type="spellEnd"/>
      <w:r w:rsidRPr="004A0803">
        <w:rPr>
          <w:rFonts w:ascii="Times New Roman" w:hAnsi="Times New Roman" w:cs="Times New Roman"/>
          <w:bCs/>
          <w:sz w:val="24"/>
          <w:szCs w:val="24"/>
        </w:rPr>
        <w:t>, Mona M. Amer International Journal of Clinical and Experimental Neurology. 2018, 6(1), 1-7.</w:t>
      </w:r>
    </w:p>
    <w:p w14:paraId="376D1F05" w14:textId="77777777" w:rsidR="005924BA" w:rsidRDefault="005924BA" w:rsidP="005269AB">
      <w:pPr>
        <w:spacing w:after="0" w:line="360" w:lineRule="auto"/>
        <w:jc w:val="both"/>
        <w:rPr>
          <w:rFonts w:ascii="Times New Roman" w:hAnsi="Times New Roman" w:cs="Times New Roman"/>
          <w:bCs/>
          <w:sz w:val="24"/>
          <w:szCs w:val="24"/>
        </w:rPr>
      </w:pPr>
    </w:p>
    <w:p w14:paraId="704BD336"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Kerr G, Ray G, Wu O, Stott DJ, Langhorne P. Elevated troponin after stroke: a systematic review. </w:t>
      </w:r>
      <w:proofErr w:type="spellStart"/>
      <w:r w:rsidRPr="005924BA">
        <w:rPr>
          <w:rFonts w:ascii="Times New Roman" w:hAnsi="Times New Roman" w:cs="Times New Roman"/>
          <w:bCs/>
          <w:sz w:val="24"/>
          <w:szCs w:val="24"/>
        </w:rPr>
        <w:t>Cerebrovasc</w:t>
      </w:r>
      <w:proofErr w:type="spellEnd"/>
      <w:r w:rsidRPr="005924BA">
        <w:rPr>
          <w:rFonts w:ascii="Times New Roman" w:hAnsi="Times New Roman" w:cs="Times New Roman"/>
          <w:bCs/>
          <w:sz w:val="24"/>
          <w:szCs w:val="24"/>
        </w:rPr>
        <w:t xml:space="preserve"> Dis. </w:t>
      </w:r>
      <w:proofErr w:type="gramStart"/>
      <w:r w:rsidRPr="005924BA">
        <w:rPr>
          <w:rFonts w:ascii="Times New Roman" w:hAnsi="Times New Roman" w:cs="Times New Roman"/>
          <w:bCs/>
          <w:sz w:val="24"/>
          <w:szCs w:val="24"/>
        </w:rPr>
        <w:t>2009;28:220</w:t>
      </w:r>
      <w:proofErr w:type="gramEnd"/>
      <w:r w:rsidRPr="005924BA">
        <w:rPr>
          <w:rFonts w:ascii="Times New Roman" w:hAnsi="Times New Roman" w:cs="Times New Roman"/>
          <w:bCs/>
          <w:sz w:val="24"/>
          <w:szCs w:val="24"/>
        </w:rPr>
        <w:t>–226.</w:t>
      </w:r>
    </w:p>
    <w:p w14:paraId="27F2BB00" w14:textId="77777777" w:rsidR="005924BA" w:rsidRDefault="005924BA" w:rsidP="005269AB">
      <w:pPr>
        <w:spacing w:after="0" w:line="360" w:lineRule="auto"/>
        <w:jc w:val="both"/>
        <w:rPr>
          <w:rFonts w:ascii="Times New Roman" w:hAnsi="Times New Roman" w:cs="Times New Roman"/>
          <w:bCs/>
          <w:sz w:val="24"/>
          <w:szCs w:val="24"/>
        </w:rPr>
      </w:pPr>
    </w:p>
    <w:p w14:paraId="25FCB68F" w14:textId="77777777" w:rsidR="004A0803" w:rsidRDefault="004A0803" w:rsidP="005269AB">
      <w:pPr>
        <w:spacing w:after="0" w:line="360" w:lineRule="auto"/>
        <w:jc w:val="both"/>
        <w:rPr>
          <w:rFonts w:ascii="Times New Roman" w:hAnsi="Times New Roman" w:cs="Times New Roman"/>
          <w:bCs/>
          <w:sz w:val="24"/>
          <w:szCs w:val="24"/>
        </w:rPr>
      </w:pPr>
      <w:r w:rsidRPr="004A0803">
        <w:rPr>
          <w:rFonts w:ascii="Times New Roman" w:hAnsi="Times New Roman" w:cs="Times New Roman"/>
          <w:bCs/>
          <w:sz w:val="24"/>
          <w:szCs w:val="24"/>
        </w:rPr>
        <w:t xml:space="preserve">Mondal MBA, Hasan ATMH, Khan N, Mohammad QD. Prevalence and risk factors of stroke in Bangladesh: A nationwide population-based survey. </w:t>
      </w:r>
      <w:proofErr w:type="spellStart"/>
      <w:r w:rsidRPr="004A0803">
        <w:rPr>
          <w:rFonts w:ascii="Times New Roman" w:hAnsi="Times New Roman" w:cs="Times New Roman"/>
          <w:bCs/>
          <w:sz w:val="24"/>
          <w:szCs w:val="24"/>
        </w:rPr>
        <w:t>eNeurologicalSci</w:t>
      </w:r>
      <w:proofErr w:type="spellEnd"/>
      <w:r w:rsidRPr="004A0803">
        <w:rPr>
          <w:rFonts w:ascii="Times New Roman" w:hAnsi="Times New Roman" w:cs="Times New Roman"/>
          <w:bCs/>
          <w:sz w:val="24"/>
          <w:szCs w:val="24"/>
        </w:rPr>
        <w:t xml:space="preserve">. 2022 Jun </w:t>
      </w:r>
      <w:proofErr w:type="gramStart"/>
      <w:r w:rsidRPr="004A0803">
        <w:rPr>
          <w:rFonts w:ascii="Times New Roman" w:hAnsi="Times New Roman" w:cs="Times New Roman"/>
          <w:bCs/>
          <w:sz w:val="24"/>
          <w:szCs w:val="24"/>
        </w:rPr>
        <w:t>18;28:100414</w:t>
      </w:r>
      <w:proofErr w:type="gramEnd"/>
      <w:r w:rsidRPr="004A0803">
        <w:rPr>
          <w:rFonts w:ascii="Times New Roman" w:hAnsi="Times New Roman" w:cs="Times New Roman"/>
          <w:bCs/>
          <w:sz w:val="24"/>
          <w:szCs w:val="24"/>
        </w:rPr>
        <w:t>.</w:t>
      </w:r>
    </w:p>
    <w:p w14:paraId="6AF45155" w14:textId="77777777" w:rsidR="005924BA" w:rsidRDefault="005924BA" w:rsidP="005269AB">
      <w:pPr>
        <w:spacing w:after="0" w:line="360" w:lineRule="auto"/>
        <w:jc w:val="both"/>
        <w:rPr>
          <w:rFonts w:ascii="Times New Roman" w:hAnsi="Times New Roman" w:cs="Times New Roman"/>
          <w:bCs/>
          <w:sz w:val="24"/>
          <w:szCs w:val="24"/>
        </w:rPr>
      </w:pPr>
    </w:p>
    <w:p w14:paraId="39E10B5C"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 xml:space="preserve">Sacco, RL, Kasner, SE, Broderick, JP, Caplan, LR, Connors, JJ (Buddy), </w:t>
      </w:r>
      <w:proofErr w:type="spellStart"/>
      <w:r w:rsidRPr="005924BA">
        <w:rPr>
          <w:rFonts w:ascii="Times New Roman" w:hAnsi="Times New Roman" w:cs="Times New Roman"/>
          <w:bCs/>
          <w:sz w:val="24"/>
          <w:szCs w:val="24"/>
        </w:rPr>
        <w:t>Culebras</w:t>
      </w:r>
      <w:proofErr w:type="spellEnd"/>
      <w:r w:rsidRPr="005924BA">
        <w:rPr>
          <w:rFonts w:ascii="Times New Roman" w:hAnsi="Times New Roman" w:cs="Times New Roman"/>
          <w:bCs/>
          <w:sz w:val="24"/>
          <w:szCs w:val="24"/>
        </w:rPr>
        <w:t>, A, Elkind, MSV, George, MG, Hamdan, AD, Higashida, RT, Hoh, BL, Janis, LS, Kase, CS, 2013, ‘An Updated Definition of Stroke for the 21st Century’, Stroke, vol. 44, no. 7, pp. 2064–2089.</w:t>
      </w:r>
    </w:p>
    <w:p w14:paraId="097DAE67" w14:textId="77777777" w:rsidR="005924BA" w:rsidRDefault="005924BA" w:rsidP="005269AB">
      <w:pPr>
        <w:spacing w:after="0" w:line="360" w:lineRule="auto"/>
        <w:jc w:val="both"/>
        <w:rPr>
          <w:rFonts w:ascii="Times New Roman" w:hAnsi="Times New Roman" w:cs="Times New Roman"/>
          <w:bCs/>
          <w:sz w:val="24"/>
          <w:szCs w:val="24"/>
        </w:rPr>
      </w:pPr>
    </w:p>
    <w:p w14:paraId="35986110"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Scheitz JF, Nolte CH, Laufs U, Endres M. Application and interpretation of high-sensitivity cardiac troponin assays in patients with acute ischemic stroke. Stroke. 2015 Apr;46(4):1132-40.</w:t>
      </w:r>
    </w:p>
    <w:p w14:paraId="31D06CC5" w14:textId="77777777" w:rsidR="005924BA" w:rsidRDefault="005924BA" w:rsidP="005269AB">
      <w:pPr>
        <w:spacing w:after="0" w:line="360" w:lineRule="auto"/>
        <w:jc w:val="both"/>
        <w:rPr>
          <w:rFonts w:ascii="Times New Roman" w:hAnsi="Times New Roman" w:cs="Times New Roman"/>
          <w:bCs/>
          <w:sz w:val="24"/>
          <w:szCs w:val="24"/>
        </w:rPr>
      </w:pPr>
    </w:p>
    <w:p w14:paraId="23E97FC2"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Shahidullah A, M. Habib, A. Hoque et al., “Prevalence of stroke above forty years,” Mymensingh Medical Journal, vol. 20, no. 4, pp. 640–644, 2021.</w:t>
      </w:r>
    </w:p>
    <w:p w14:paraId="4FD7062C" w14:textId="77777777" w:rsidR="005924BA" w:rsidRDefault="005924BA" w:rsidP="005269AB">
      <w:pPr>
        <w:spacing w:after="0" w:line="360" w:lineRule="auto"/>
        <w:jc w:val="both"/>
        <w:rPr>
          <w:rFonts w:ascii="Times New Roman" w:hAnsi="Times New Roman" w:cs="Times New Roman"/>
          <w:bCs/>
          <w:sz w:val="24"/>
          <w:szCs w:val="24"/>
        </w:rPr>
      </w:pPr>
    </w:p>
    <w:p w14:paraId="0714B7E1" w14:textId="77777777" w:rsidR="005924BA" w:rsidRDefault="005924BA" w:rsidP="005269AB">
      <w:pPr>
        <w:spacing w:after="0" w:line="360" w:lineRule="auto"/>
        <w:jc w:val="both"/>
        <w:rPr>
          <w:rFonts w:ascii="Times New Roman" w:hAnsi="Times New Roman" w:cs="Times New Roman"/>
          <w:bCs/>
          <w:sz w:val="24"/>
          <w:szCs w:val="24"/>
        </w:rPr>
      </w:pPr>
      <w:r w:rsidRPr="005924BA">
        <w:rPr>
          <w:rFonts w:ascii="Times New Roman" w:hAnsi="Times New Roman" w:cs="Times New Roman"/>
          <w:bCs/>
          <w:sz w:val="24"/>
          <w:szCs w:val="24"/>
        </w:rPr>
        <w:t>Yang, Y, Zhang, Y, Li, Y, Ding, L, Sheng, L, Xie, Z &amp; Wen, C 2018, ‘U-Shaped relationship between functional outcome and serum uric acid in ischemic stroke’, Cellular Physiology and Biochemistry, vol. 47, no. 6, pp. 2369–2379.</w:t>
      </w:r>
    </w:p>
    <w:p w14:paraId="40DEE9D0" w14:textId="77777777" w:rsidR="004A0803" w:rsidRPr="004A0803" w:rsidRDefault="004A0803" w:rsidP="005269AB">
      <w:pPr>
        <w:spacing w:after="0" w:line="360" w:lineRule="auto"/>
        <w:jc w:val="both"/>
        <w:rPr>
          <w:rFonts w:ascii="Times New Roman" w:hAnsi="Times New Roman" w:cs="Times New Roman"/>
          <w:bCs/>
          <w:sz w:val="24"/>
          <w:szCs w:val="24"/>
        </w:rPr>
      </w:pPr>
    </w:p>
    <w:p w14:paraId="42BC9772" w14:textId="77777777" w:rsidR="005269AB" w:rsidRPr="005269AB" w:rsidRDefault="005269AB" w:rsidP="005269AB">
      <w:pPr>
        <w:spacing w:after="0" w:line="360" w:lineRule="auto"/>
        <w:jc w:val="both"/>
        <w:rPr>
          <w:rFonts w:ascii="Times New Roman" w:hAnsi="Times New Roman" w:cs="Times New Roman"/>
          <w:bCs/>
          <w:sz w:val="24"/>
          <w:szCs w:val="24"/>
        </w:rPr>
      </w:pPr>
    </w:p>
    <w:p w14:paraId="580AC3CF" w14:textId="77777777" w:rsidR="005269AB" w:rsidRPr="005269AB" w:rsidRDefault="005269AB" w:rsidP="005269AB">
      <w:pPr>
        <w:spacing w:after="0" w:line="360" w:lineRule="auto"/>
        <w:jc w:val="both"/>
        <w:rPr>
          <w:rFonts w:ascii="Times New Roman" w:hAnsi="Times New Roman" w:cs="Times New Roman"/>
          <w:sz w:val="24"/>
          <w:szCs w:val="24"/>
        </w:rPr>
      </w:pPr>
    </w:p>
    <w:p w14:paraId="3006BC69" w14:textId="77777777" w:rsidR="005269AB" w:rsidRPr="00510C1E" w:rsidRDefault="005269AB" w:rsidP="00510C1E">
      <w:pPr>
        <w:spacing w:after="0" w:line="360" w:lineRule="auto"/>
        <w:jc w:val="both"/>
        <w:rPr>
          <w:rFonts w:ascii="Times New Roman" w:hAnsi="Times New Roman" w:cs="Times New Roman"/>
          <w:sz w:val="24"/>
          <w:szCs w:val="24"/>
        </w:rPr>
      </w:pPr>
    </w:p>
    <w:p w14:paraId="0D76C451" w14:textId="77777777" w:rsidR="00967D16" w:rsidRPr="00040FCA" w:rsidRDefault="00967D16" w:rsidP="00040FCA">
      <w:pPr>
        <w:spacing w:line="360" w:lineRule="auto"/>
        <w:jc w:val="center"/>
        <w:rPr>
          <w:rFonts w:ascii="Times New Roman" w:hAnsi="Times New Roman" w:cs="Times New Roman"/>
          <w:b/>
          <w:sz w:val="24"/>
          <w:szCs w:val="24"/>
        </w:rPr>
      </w:pPr>
    </w:p>
    <w:p w14:paraId="2056056F" w14:textId="77777777" w:rsidR="00967D16" w:rsidRPr="00967D16" w:rsidRDefault="00967D16">
      <w:pPr>
        <w:spacing w:line="360" w:lineRule="auto"/>
        <w:jc w:val="both"/>
        <w:rPr>
          <w:rFonts w:ascii="Times New Roman" w:hAnsi="Times New Roman" w:cs="Times New Roman"/>
          <w:b/>
          <w:sz w:val="24"/>
          <w:szCs w:val="24"/>
        </w:rPr>
      </w:pPr>
    </w:p>
    <w:p w14:paraId="1F1B3B08" w14:textId="77777777" w:rsidR="005269AB" w:rsidRPr="00967D16" w:rsidRDefault="005269AB">
      <w:pPr>
        <w:spacing w:line="360" w:lineRule="auto"/>
        <w:jc w:val="both"/>
        <w:rPr>
          <w:rFonts w:ascii="Times New Roman" w:hAnsi="Times New Roman" w:cs="Times New Roman"/>
          <w:b/>
          <w:sz w:val="24"/>
          <w:szCs w:val="24"/>
        </w:rPr>
      </w:pPr>
    </w:p>
    <w:sectPr w:rsidR="005269AB" w:rsidRPr="00967D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DFB55" w14:textId="77777777" w:rsidR="00511771" w:rsidRDefault="00511771" w:rsidP="00923552">
      <w:pPr>
        <w:spacing w:after="0" w:line="240" w:lineRule="auto"/>
      </w:pPr>
      <w:r>
        <w:separator/>
      </w:r>
    </w:p>
  </w:endnote>
  <w:endnote w:type="continuationSeparator" w:id="0">
    <w:p w14:paraId="2EF7678D" w14:textId="77777777" w:rsidR="00511771" w:rsidRDefault="00511771" w:rsidP="00923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01FA4" w14:textId="77777777" w:rsidR="00923552" w:rsidRDefault="00923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D6C1D" w14:textId="77777777" w:rsidR="00923552" w:rsidRDefault="009235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35A7F" w14:textId="77777777" w:rsidR="00923552" w:rsidRDefault="00923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3B2F9" w14:textId="77777777" w:rsidR="00511771" w:rsidRDefault="00511771" w:rsidP="00923552">
      <w:pPr>
        <w:spacing w:after="0" w:line="240" w:lineRule="auto"/>
      </w:pPr>
      <w:r>
        <w:separator/>
      </w:r>
    </w:p>
  </w:footnote>
  <w:footnote w:type="continuationSeparator" w:id="0">
    <w:p w14:paraId="5FE165C5" w14:textId="77777777" w:rsidR="00511771" w:rsidRDefault="00511771" w:rsidP="009235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2910" w14:textId="205C89F7" w:rsidR="00923552" w:rsidRDefault="00A41FF0">
    <w:pPr>
      <w:pStyle w:val="Header"/>
    </w:pPr>
    <w:r>
      <w:rPr>
        <w:noProof/>
      </w:rPr>
      <w:pict w14:anchorId="41DB9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011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A8C11" w14:textId="2AA185DB" w:rsidR="00923552" w:rsidRDefault="00A41FF0">
    <w:pPr>
      <w:pStyle w:val="Header"/>
    </w:pPr>
    <w:r>
      <w:rPr>
        <w:noProof/>
      </w:rPr>
      <w:pict w14:anchorId="15CB1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011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46EE3" w14:textId="46C7E562" w:rsidR="00923552" w:rsidRDefault="00A41FF0">
    <w:pPr>
      <w:pStyle w:val="Header"/>
    </w:pPr>
    <w:r>
      <w:rPr>
        <w:noProof/>
      </w:rPr>
      <w:pict w14:anchorId="1B668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9011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C31"/>
    <w:rsid w:val="00037D12"/>
    <w:rsid w:val="00040FCA"/>
    <w:rsid w:val="00243A91"/>
    <w:rsid w:val="00324902"/>
    <w:rsid w:val="00351954"/>
    <w:rsid w:val="003A3AE1"/>
    <w:rsid w:val="0045452E"/>
    <w:rsid w:val="004A0803"/>
    <w:rsid w:val="004C176F"/>
    <w:rsid w:val="004F5472"/>
    <w:rsid w:val="00510C1E"/>
    <w:rsid w:val="00511771"/>
    <w:rsid w:val="005269AB"/>
    <w:rsid w:val="00550F1A"/>
    <w:rsid w:val="005924BA"/>
    <w:rsid w:val="005C5351"/>
    <w:rsid w:val="005F385C"/>
    <w:rsid w:val="00624C31"/>
    <w:rsid w:val="0064589E"/>
    <w:rsid w:val="00711DD9"/>
    <w:rsid w:val="00794C99"/>
    <w:rsid w:val="007D5A50"/>
    <w:rsid w:val="007E1F3B"/>
    <w:rsid w:val="008C7E26"/>
    <w:rsid w:val="00923552"/>
    <w:rsid w:val="00933DE5"/>
    <w:rsid w:val="00967D16"/>
    <w:rsid w:val="009F68F9"/>
    <w:rsid w:val="009F7ED0"/>
    <w:rsid w:val="00A378FC"/>
    <w:rsid w:val="00A41FF0"/>
    <w:rsid w:val="00A64FB3"/>
    <w:rsid w:val="00AB2BD7"/>
    <w:rsid w:val="00B34498"/>
    <w:rsid w:val="00BB5541"/>
    <w:rsid w:val="00BC6F8A"/>
    <w:rsid w:val="00D069A5"/>
    <w:rsid w:val="00E33ACD"/>
    <w:rsid w:val="00ED0A14"/>
    <w:rsid w:val="00F136BE"/>
    <w:rsid w:val="00F61810"/>
    <w:rsid w:val="00FF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E17C8F"/>
  <w15:chartTrackingRefBased/>
  <w15:docId w15:val="{6D3730C9-8D39-4971-87BE-4B4485EE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6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40FC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24902"/>
    <w:rPr>
      <w:color w:val="0563C1" w:themeColor="hyperlink"/>
      <w:u w:val="single"/>
    </w:rPr>
  </w:style>
  <w:style w:type="character" w:customStyle="1" w:styleId="UnresolvedMention1">
    <w:name w:val="Unresolved Mention1"/>
    <w:basedOn w:val="DefaultParagraphFont"/>
    <w:uiPriority w:val="99"/>
    <w:semiHidden/>
    <w:unhideWhenUsed/>
    <w:rsid w:val="00324902"/>
    <w:rPr>
      <w:color w:val="605E5C"/>
      <w:shd w:val="clear" w:color="auto" w:fill="E1DFDD"/>
    </w:rPr>
  </w:style>
  <w:style w:type="paragraph" w:styleId="Header">
    <w:name w:val="header"/>
    <w:basedOn w:val="Normal"/>
    <w:link w:val="HeaderChar"/>
    <w:uiPriority w:val="99"/>
    <w:unhideWhenUsed/>
    <w:rsid w:val="009235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52"/>
  </w:style>
  <w:style w:type="paragraph" w:styleId="Footer">
    <w:name w:val="footer"/>
    <w:basedOn w:val="Normal"/>
    <w:link w:val="FooterChar"/>
    <w:uiPriority w:val="99"/>
    <w:unhideWhenUsed/>
    <w:rsid w:val="009235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12</Pages>
  <Words>3397</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28</cp:revision>
  <dcterms:created xsi:type="dcterms:W3CDTF">2025-09-05T05:06:00Z</dcterms:created>
  <dcterms:modified xsi:type="dcterms:W3CDTF">2025-09-17T11:29:00Z</dcterms:modified>
</cp:coreProperties>
</file>