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1325" w14:textId="77777777" w:rsidR="00D42C20" w:rsidRDefault="00BB2F93">
      <w:pPr>
        <w:spacing w:after="280"/>
        <w:rPr>
          <w:b/>
          <w:color w:val="000000"/>
        </w:rPr>
      </w:pPr>
      <w:bookmarkStart w:id="0" w:name="_9bnc475pubw" w:colFirst="0" w:colLast="0"/>
      <w:bookmarkEnd w:id="0"/>
      <w:r>
        <w:rPr>
          <w:b/>
          <w:color w:val="000000"/>
        </w:rPr>
        <w:t>PREDICTORS AND INFLUENCE OF PARENT-ADOLESCENT COMMUNICATION ON ADOLESCENT SEXUAL AND REPRODUCTIVE HEALTH IN URBAN AND RURAL SECONDARY SCHOOLS OF YENAGOA, BAYELSA STATE</w:t>
      </w:r>
    </w:p>
    <w:p w14:paraId="70555472" w14:textId="77777777" w:rsidR="00D42C20" w:rsidRDefault="00D42C20">
      <w:pPr>
        <w:rPr>
          <w:b/>
          <w:color w:val="000000"/>
          <w:vertAlign w:val="superscript"/>
        </w:rPr>
      </w:pPr>
    </w:p>
    <w:p w14:paraId="149589BC" w14:textId="77777777" w:rsidR="00D42C20" w:rsidRDefault="00D42C20"/>
    <w:p w14:paraId="47D1AF90" w14:textId="77777777" w:rsidR="00D42C20" w:rsidRDefault="00D42C20">
      <w:pPr>
        <w:pBdr>
          <w:top w:val="nil"/>
          <w:left w:val="nil"/>
          <w:bottom w:val="nil"/>
          <w:right w:val="nil"/>
          <w:between w:val="nil"/>
        </w:pBdr>
        <w:jc w:val="left"/>
        <w:rPr>
          <w:b/>
          <w:color w:val="000000"/>
        </w:rPr>
      </w:pPr>
    </w:p>
    <w:p w14:paraId="5248FEFA" w14:textId="77777777" w:rsidR="00D42C20" w:rsidRDefault="00D42C20">
      <w:pPr>
        <w:pBdr>
          <w:top w:val="nil"/>
          <w:left w:val="nil"/>
          <w:bottom w:val="nil"/>
          <w:right w:val="nil"/>
          <w:between w:val="nil"/>
        </w:pBdr>
        <w:jc w:val="left"/>
        <w:rPr>
          <w:b/>
          <w:color w:val="000000"/>
        </w:rPr>
      </w:pPr>
    </w:p>
    <w:p w14:paraId="556AAA97" w14:textId="77777777" w:rsidR="00D42C20" w:rsidRDefault="00BB2F93">
      <w:pPr>
        <w:pBdr>
          <w:top w:val="nil"/>
          <w:left w:val="nil"/>
          <w:bottom w:val="nil"/>
          <w:right w:val="nil"/>
          <w:between w:val="nil"/>
        </w:pBdr>
        <w:jc w:val="left"/>
        <w:rPr>
          <w:b/>
          <w:color w:val="000000"/>
        </w:rPr>
      </w:pPr>
      <w:r>
        <w:rPr>
          <w:b/>
          <w:color w:val="000000"/>
        </w:rPr>
        <w:t>Abstract</w:t>
      </w:r>
    </w:p>
    <w:p w14:paraId="781F40AA" w14:textId="77777777" w:rsidR="00D42C20" w:rsidRDefault="00D42C20">
      <w:pPr>
        <w:pBdr>
          <w:top w:val="nil"/>
          <w:left w:val="nil"/>
          <w:bottom w:val="nil"/>
          <w:right w:val="nil"/>
          <w:between w:val="nil"/>
        </w:pBdr>
        <w:rPr>
          <w:b/>
          <w:color w:val="000000"/>
        </w:rPr>
      </w:pPr>
    </w:p>
    <w:p w14:paraId="6200A37B" w14:textId="77777777" w:rsidR="00D42C20" w:rsidRPr="00183F60" w:rsidRDefault="00BB2F93">
      <w:pPr>
        <w:pBdr>
          <w:top w:val="nil"/>
          <w:left w:val="nil"/>
          <w:bottom w:val="nil"/>
          <w:right w:val="nil"/>
          <w:between w:val="nil"/>
        </w:pBdr>
        <w:rPr>
          <w:color w:val="000000"/>
        </w:rPr>
      </w:pPr>
      <w:bookmarkStart w:id="1" w:name="_eqr842wq5yjm" w:colFirst="0" w:colLast="0"/>
      <w:bookmarkEnd w:id="1"/>
      <w:r w:rsidRPr="00183F60">
        <w:rPr>
          <w:b/>
          <w:color w:val="000000"/>
        </w:rPr>
        <w:t>Background:</w:t>
      </w:r>
      <w:r w:rsidRPr="00183F60">
        <w:rPr>
          <w:color w:val="000000"/>
        </w:rPr>
        <w:t xml:space="preserve"> Adolescents in Nigeria face high sexual and reproductive health risks, with early sexual debut, unintended pregnancy, and STIs prevalent. Parent–adolescent communication</w:t>
      </w:r>
      <w:r w:rsidR="00464A29" w:rsidRPr="00183F60">
        <w:rPr>
          <w:color w:val="000000"/>
        </w:rPr>
        <w:t xml:space="preserve"> is very important to adolescents because it</w:t>
      </w:r>
      <w:r w:rsidR="0009494F" w:rsidRPr="00183F60">
        <w:rPr>
          <w:color w:val="000000"/>
        </w:rPr>
        <w:t xml:space="preserve"> has the potential of mitigating sexual and reproductive health risks. However,</w:t>
      </w:r>
      <w:r w:rsidRPr="00183F60">
        <w:rPr>
          <w:color w:val="000000"/>
        </w:rPr>
        <w:t xml:space="preserve"> </w:t>
      </w:r>
      <w:r w:rsidR="0009494F" w:rsidRPr="00183F60">
        <w:rPr>
          <w:color w:val="000000"/>
        </w:rPr>
        <w:t xml:space="preserve">SRH outcomes and behaviour are continually influenced by variation in </w:t>
      </w:r>
      <w:r w:rsidRPr="00183F60">
        <w:rPr>
          <w:color w:val="000000"/>
        </w:rPr>
        <w:t xml:space="preserve">cultural norms, parental openness, and </w:t>
      </w:r>
      <w:r w:rsidR="00464A29" w:rsidRPr="00183F60">
        <w:rPr>
          <w:color w:val="000000"/>
        </w:rPr>
        <w:t>access to information</w:t>
      </w:r>
      <w:r w:rsidRPr="00183F60">
        <w:rPr>
          <w:color w:val="000000"/>
        </w:rPr>
        <w:t xml:space="preserve">, particularly between urban </w:t>
      </w:r>
      <w:r w:rsidR="0009494F" w:rsidRPr="00183F60">
        <w:rPr>
          <w:color w:val="000000"/>
        </w:rPr>
        <w:t>and rural settings.</w:t>
      </w:r>
    </w:p>
    <w:p w14:paraId="4D8C8AE9" w14:textId="77777777" w:rsidR="00D42C20" w:rsidRPr="00183F60" w:rsidRDefault="00BB2F93">
      <w:pPr>
        <w:rPr>
          <w:color w:val="000000"/>
        </w:rPr>
      </w:pPr>
      <w:r w:rsidRPr="00183F60">
        <w:rPr>
          <w:b/>
          <w:color w:val="000000"/>
        </w:rPr>
        <w:t>Objectives:</w:t>
      </w:r>
      <w:r w:rsidRPr="00183F60">
        <w:rPr>
          <w:color w:val="000000"/>
        </w:rPr>
        <w:t xml:space="preserve"> </w:t>
      </w:r>
      <w:r w:rsidR="00014AA8" w:rsidRPr="00183F60">
        <w:rPr>
          <w:color w:val="000000"/>
        </w:rPr>
        <w:t xml:space="preserve">Predictors and influence of </w:t>
      </w:r>
      <w:r w:rsidRPr="00183F60">
        <w:t>parent-adolescent communication</w:t>
      </w:r>
      <w:r w:rsidRPr="00183F60">
        <w:rPr>
          <w:color w:val="000000"/>
        </w:rPr>
        <w:t xml:space="preserve"> on </w:t>
      </w:r>
      <w:r w:rsidR="00014AA8" w:rsidRPr="00183F60">
        <w:rPr>
          <w:color w:val="000000"/>
        </w:rPr>
        <w:t xml:space="preserve">adolescent </w:t>
      </w:r>
      <w:r w:rsidRPr="00183F60">
        <w:rPr>
          <w:color w:val="000000"/>
        </w:rPr>
        <w:t xml:space="preserve">sexual and reproductive health </w:t>
      </w:r>
      <w:r w:rsidR="00014AA8" w:rsidRPr="00183F60">
        <w:rPr>
          <w:color w:val="000000"/>
        </w:rPr>
        <w:t>in</w:t>
      </w:r>
      <w:r w:rsidRPr="00183F60">
        <w:rPr>
          <w:color w:val="000000"/>
        </w:rPr>
        <w:t xml:space="preserve"> urban and rural </w:t>
      </w:r>
      <w:r w:rsidR="007D1A05" w:rsidRPr="00183F60">
        <w:rPr>
          <w:color w:val="000000"/>
        </w:rPr>
        <w:t>secondary schools of</w:t>
      </w:r>
      <w:r w:rsidRPr="00183F60">
        <w:rPr>
          <w:color w:val="000000"/>
        </w:rPr>
        <w:t xml:space="preserve"> Yenagoa, Bayelsa State. </w:t>
      </w:r>
    </w:p>
    <w:p w14:paraId="23B9F5B2" w14:textId="77777777" w:rsidR="00D42C20" w:rsidRPr="00183F60" w:rsidRDefault="00BB2F93">
      <w:pPr>
        <w:rPr>
          <w:color w:val="000000"/>
        </w:rPr>
      </w:pPr>
      <w:r w:rsidRPr="00183F60">
        <w:rPr>
          <w:b/>
          <w:color w:val="000000"/>
        </w:rPr>
        <w:t>Materials and Methods</w:t>
      </w:r>
      <w:r w:rsidRPr="00183F60">
        <w:rPr>
          <w:color w:val="000000"/>
        </w:rPr>
        <w:t>: The study area was the Yenagoa Local Government Area of Bayelsa State. A cross-sectional research design was used. The population comprised adolescents (male and female) between the ages of 15 to 19 years, attending secondary schools in urban and rural communities. The sample size of 248 adolescents was drawn using a multi-stage sampling technique from 54 secondary schools in the study area. A questionnaire was used to collect the required d</w:t>
      </w:r>
      <w:r w:rsidR="00D17899">
        <w:rPr>
          <w:color w:val="000000"/>
        </w:rPr>
        <w:t xml:space="preserve">ata. Frequency and percentages </w:t>
      </w:r>
      <w:r w:rsidRPr="00183F60">
        <w:rPr>
          <w:color w:val="000000"/>
        </w:rPr>
        <w:t>we</w:t>
      </w:r>
      <w:r w:rsidR="00D17899">
        <w:rPr>
          <w:color w:val="000000"/>
        </w:rPr>
        <w:t>re used to analyse the data.</w:t>
      </w:r>
    </w:p>
    <w:p w14:paraId="30137A78" w14:textId="77777777" w:rsidR="00D42C20" w:rsidRPr="00183F60" w:rsidRDefault="00BB2F93" w:rsidP="008D30DE">
      <w:r w:rsidRPr="00183F60">
        <w:rPr>
          <w:b/>
          <w:color w:val="000000"/>
        </w:rPr>
        <w:t xml:space="preserve">Results: </w:t>
      </w:r>
      <w:r w:rsidR="008D30DE" w:rsidRPr="00183F60">
        <w:t xml:space="preserve">Openness to sexual health conversations, educational level, access to sexual health information, religion, family values, education, and fear of punishment were </w:t>
      </w:r>
      <w:r w:rsidR="00C311DD">
        <w:t xml:space="preserve">the </w:t>
      </w:r>
      <w:r w:rsidR="008D30DE" w:rsidRPr="00183F60">
        <w:rPr>
          <w:color w:val="000000"/>
        </w:rPr>
        <w:t xml:space="preserve">predictors of parent-adolescent communication among adolescents in urban and rural secondary schools in Bayelsa State. Also, parent-adolescent communication </w:t>
      </w:r>
      <w:r w:rsidR="00C311DD">
        <w:rPr>
          <w:color w:val="000000"/>
        </w:rPr>
        <w:t>positively</w:t>
      </w:r>
      <w:r w:rsidR="008D30DE" w:rsidRPr="00183F60">
        <w:rPr>
          <w:color w:val="000000"/>
        </w:rPr>
        <w:t xml:space="preserve"> influenced urban and rural adolescents </w:t>
      </w:r>
      <w:r w:rsidR="008D30DE" w:rsidRPr="00183F60">
        <w:t xml:space="preserve">communication with parents which informed their choices about sex, delayed their sexual debut, confidence to say “No” to sex, avoidance of risky </w:t>
      </w:r>
      <w:proofErr w:type="spellStart"/>
      <w:r w:rsidR="008D30DE" w:rsidRPr="00183F60">
        <w:t>behavior</w:t>
      </w:r>
      <w:proofErr w:type="spellEnd"/>
      <w:r w:rsidR="008D30DE" w:rsidRPr="00183F60">
        <w:t>, the formation of healthy relationships, and their reproductive health decision</w:t>
      </w:r>
      <w:r w:rsidRPr="00183F60">
        <w:rPr>
          <w:color w:val="000000"/>
        </w:rPr>
        <w:t>.</w:t>
      </w:r>
    </w:p>
    <w:p w14:paraId="764E0809" w14:textId="77777777" w:rsidR="00D42C20" w:rsidRDefault="00BB2F93">
      <w:pPr>
        <w:pBdr>
          <w:top w:val="nil"/>
          <w:left w:val="nil"/>
          <w:bottom w:val="nil"/>
          <w:right w:val="nil"/>
          <w:between w:val="nil"/>
        </w:pBdr>
        <w:rPr>
          <w:color w:val="000000"/>
        </w:rPr>
      </w:pPr>
      <w:r w:rsidRPr="00183F60">
        <w:rPr>
          <w:b/>
          <w:color w:val="000000"/>
        </w:rPr>
        <w:t xml:space="preserve">Conclusion: </w:t>
      </w:r>
      <w:r w:rsidR="00C311DD" w:rsidRPr="00183F60">
        <w:rPr>
          <w:color w:val="000000"/>
        </w:rPr>
        <w:t>Parent</w:t>
      </w:r>
      <w:r w:rsidR="00C311DD">
        <w:rPr>
          <w:color w:val="000000"/>
        </w:rPr>
        <w:t xml:space="preserve">-adolescent </w:t>
      </w:r>
      <w:r w:rsidR="00C311DD" w:rsidRPr="00183F60">
        <w:rPr>
          <w:color w:val="000000"/>
        </w:rPr>
        <w:t>communication</w:t>
      </w:r>
      <w:r w:rsidRPr="00183F60">
        <w:rPr>
          <w:color w:val="000000"/>
        </w:rPr>
        <w:t xml:space="preserve"> </w:t>
      </w:r>
      <w:r w:rsidR="00C311DD">
        <w:rPr>
          <w:color w:val="000000"/>
        </w:rPr>
        <w:t xml:space="preserve">was </w:t>
      </w:r>
      <w:r w:rsidRPr="00183F60">
        <w:rPr>
          <w:color w:val="000000"/>
        </w:rPr>
        <w:t xml:space="preserve">positively </w:t>
      </w:r>
      <w:r w:rsidR="00C311DD">
        <w:rPr>
          <w:color w:val="000000"/>
        </w:rPr>
        <w:t>associated with</w:t>
      </w:r>
      <w:r w:rsidRPr="00183F60">
        <w:rPr>
          <w:color w:val="000000"/>
        </w:rPr>
        <w:t xml:space="preserve"> </w:t>
      </w:r>
      <w:r w:rsidR="008D30DE" w:rsidRPr="00183F60">
        <w:rPr>
          <w:color w:val="000000"/>
        </w:rPr>
        <w:t xml:space="preserve">adolescents </w:t>
      </w:r>
      <w:r w:rsidRPr="00183F60">
        <w:rPr>
          <w:color w:val="000000"/>
        </w:rPr>
        <w:t>SRH outcomes in both urban</w:t>
      </w:r>
      <w:r w:rsidR="008D30DE" w:rsidRPr="00183F60">
        <w:rPr>
          <w:color w:val="000000"/>
        </w:rPr>
        <w:t xml:space="preserve"> and rural areas, however, those in urban areas</w:t>
      </w:r>
      <w:r w:rsidRPr="00183F60">
        <w:rPr>
          <w:color w:val="000000"/>
        </w:rPr>
        <w:t xml:space="preserve"> benefited more due to higher parental openness, greater school-based sex education, and wider SRH information access. Rural adolescents faced stronger cultural and religious constraints, relying more on family values and religion, with greater barriers like shame and ignorance, limiting the protective impact of communication</w:t>
      </w:r>
      <w:r>
        <w:rPr>
          <w:color w:val="000000"/>
        </w:rPr>
        <w:t>.</w:t>
      </w:r>
    </w:p>
    <w:p w14:paraId="2A97352F" w14:textId="77777777" w:rsidR="00D42C20" w:rsidRDefault="00BB2F93">
      <w:pPr>
        <w:pBdr>
          <w:top w:val="single" w:sz="4" w:space="1" w:color="000000"/>
        </w:pBdr>
        <w:rPr>
          <w:b/>
          <w:color w:val="000000"/>
        </w:rPr>
      </w:pPr>
      <w:r>
        <w:rPr>
          <w:b/>
          <w:color w:val="000000"/>
        </w:rPr>
        <w:t>Keywords</w:t>
      </w:r>
      <w:r>
        <w:rPr>
          <w:color w:val="000000"/>
        </w:rPr>
        <w:t xml:space="preserve">: </w:t>
      </w:r>
      <w:r>
        <w:rPr>
          <w:b/>
          <w:color w:val="000000"/>
        </w:rPr>
        <w:t> </w:t>
      </w:r>
      <w:r>
        <w:rPr>
          <w:color w:val="000000"/>
        </w:rPr>
        <w:t xml:space="preserve">Compare, Predictors, Influence, </w:t>
      </w:r>
      <w:r>
        <w:t>Parent-adolescent Communication, Sexual, Reproductive Health, Adolescent.</w:t>
      </w:r>
    </w:p>
    <w:p w14:paraId="05E025EB" w14:textId="77777777" w:rsidR="00D42C20" w:rsidRDefault="00D42C20">
      <w:pPr>
        <w:rPr>
          <w:b/>
          <w:color w:val="000000"/>
        </w:rPr>
      </w:pPr>
    </w:p>
    <w:p w14:paraId="031B53AF" w14:textId="77777777" w:rsidR="00D42C20" w:rsidRDefault="00D42C20">
      <w:pPr>
        <w:rPr>
          <w:b/>
          <w:color w:val="000000"/>
        </w:rPr>
      </w:pPr>
    </w:p>
    <w:p w14:paraId="4A66139A" w14:textId="77777777" w:rsidR="00D42C20" w:rsidRDefault="00D42C20">
      <w:pPr>
        <w:rPr>
          <w:b/>
          <w:color w:val="000000"/>
        </w:rPr>
      </w:pPr>
    </w:p>
    <w:p w14:paraId="490AC92C" w14:textId="77777777" w:rsidR="008003AE" w:rsidRDefault="008003AE">
      <w:pPr>
        <w:rPr>
          <w:b/>
          <w:color w:val="000000"/>
        </w:rPr>
      </w:pPr>
    </w:p>
    <w:p w14:paraId="3DD47FBE" w14:textId="77777777" w:rsidR="008003AE" w:rsidRDefault="008003AE">
      <w:pPr>
        <w:rPr>
          <w:b/>
          <w:color w:val="000000"/>
        </w:rPr>
      </w:pPr>
    </w:p>
    <w:p w14:paraId="1C355EF0" w14:textId="77777777" w:rsidR="008003AE" w:rsidRDefault="008003AE">
      <w:pPr>
        <w:rPr>
          <w:b/>
          <w:color w:val="000000"/>
        </w:rPr>
      </w:pPr>
    </w:p>
    <w:p w14:paraId="4687D888" w14:textId="77777777" w:rsidR="008003AE" w:rsidRDefault="008003AE">
      <w:pPr>
        <w:rPr>
          <w:b/>
          <w:color w:val="000000"/>
        </w:rPr>
      </w:pPr>
    </w:p>
    <w:p w14:paraId="648AADD9" w14:textId="77777777" w:rsidR="008003AE" w:rsidRDefault="008003AE">
      <w:pPr>
        <w:rPr>
          <w:b/>
          <w:color w:val="000000"/>
        </w:rPr>
      </w:pPr>
    </w:p>
    <w:p w14:paraId="373C52DF" w14:textId="77777777" w:rsidR="00D42C20" w:rsidRDefault="00BB2F93">
      <w:pPr>
        <w:rPr>
          <w:b/>
          <w:color w:val="000000"/>
        </w:rPr>
      </w:pPr>
      <w:r>
        <w:rPr>
          <w:b/>
          <w:color w:val="000000"/>
        </w:rPr>
        <w:lastRenderedPageBreak/>
        <w:t>Introduction</w:t>
      </w:r>
    </w:p>
    <w:p w14:paraId="20440437" w14:textId="77777777" w:rsidR="00D42C20" w:rsidRDefault="00D42C20">
      <w:pPr>
        <w:rPr>
          <w:b/>
          <w:color w:val="000000"/>
        </w:rPr>
      </w:pPr>
    </w:p>
    <w:p w14:paraId="6C62653B" w14:textId="77777777" w:rsidR="00D42C20" w:rsidRDefault="00BB2F93">
      <w:pPr>
        <w:pBdr>
          <w:top w:val="nil"/>
          <w:left w:val="nil"/>
          <w:bottom w:val="nil"/>
          <w:right w:val="nil"/>
          <w:between w:val="nil"/>
        </w:pBdr>
        <w:spacing w:before="280" w:after="280" w:line="480" w:lineRule="auto"/>
        <w:rPr>
          <w:color w:val="000000"/>
        </w:rPr>
      </w:pPr>
      <w:r>
        <w:rPr>
          <w:color w:val="000000"/>
        </w:rPr>
        <w:t xml:space="preserve">Adolescence is a critical window for shaping sexual and reproductive health (SRH) outcomes, </w:t>
      </w:r>
      <w:r w:rsidR="003C6CEE">
        <w:rPr>
          <w:color w:val="000000"/>
        </w:rPr>
        <w:t>though there are concerns</w:t>
      </w:r>
      <w:r>
        <w:rPr>
          <w:color w:val="000000"/>
        </w:rPr>
        <w:t xml:space="preserve"> in Nigeria and across sub-Saharan Africa. Globally, the adolescent birth rate was ~39 births per 1,000 girls aged 15–19 in 2023, with higher rates in sub-Saharan Africa, and WHO continues to flag early pregnancy and unsafe abortion as major risks for adolescent girls’ health and schooling</w:t>
      </w:r>
      <w:r>
        <w:rPr>
          <w:color w:val="000000"/>
          <w:vertAlign w:val="superscript"/>
        </w:rPr>
        <w:t>1,2</w:t>
      </w:r>
      <w:r>
        <w:rPr>
          <w:color w:val="000000"/>
        </w:rPr>
        <w:t>. In Nigeria, the adolescent fertility rate was 86.4 per 1,000 in 2023—more than double the global average</w:t>
      </w:r>
      <w:r>
        <w:rPr>
          <w:color w:val="000000"/>
          <w:vertAlign w:val="superscript"/>
        </w:rPr>
        <w:t>3</w:t>
      </w:r>
      <w:r>
        <w:rPr>
          <w:color w:val="000000"/>
        </w:rPr>
        <w:t>. National survey data show that 19% of girls have initiated sex by age 15 and 57% by age 18, with 19% of girls aged 15–19 having begun childbearing (2018 NDHS)</w:t>
      </w:r>
      <w:r>
        <w:rPr>
          <w:color w:val="000000"/>
          <w:vertAlign w:val="superscript"/>
        </w:rPr>
        <w:t>4</w:t>
      </w:r>
      <w:r>
        <w:rPr>
          <w:color w:val="000000"/>
        </w:rPr>
        <w:t xml:space="preserve">. Evidence from the Niger Delta and Bayelsa specifically highlights early sexual debut, multiple partners, and inconsistent condom use among secondary and university students, underscoring a high-risk environment for STIs, unintended pregnancy, and related harms </w:t>
      </w:r>
      <w:r>
        <w:rPr>
          <w:color w:val="000000"/>
          <w:vertAlign w:val="superscript"/>
        </w:rPr>
        <w:t>5–7</w:t>
      </w:r>
      <w:r>
        <w:rPr>
          <w:color w:val="000000"/>
        </w:rPr>
        <w:t xml:space="preserve">. Against this backdrop, parent–adolescent communication (PAC) is increasingly recognised as a modifiable protective factor, associated with delayed sexual debut, improved refusal skills, and better contraceptive behaviours </w:t>
      </w:r>
      <w:r>
        <w:rPr>
          <w:color w:val="000000"/>
          <w:vertAlign w:val="superscript"/>
        </w:rPr>
        <w:t>8–10</w:t>
      </w:r>
      <w:r>
        <w:rPr>
          <w:color w:val="000000"/>
        </w:rPr>
        <w:t>.</w:t>
      </w:r>
    </w:p>
    <w:p w14:paraId="15D26B91" w14:textId="77777777" w:rsidR="00D42C20" w:rsidRDefault="00BB2F93">
      <w:pPr>
        <w:pBdr>
          <w:top w:val="nil"/>
          <w:left w:val="nil"/>
          <w:bottom w:val="nil"/>
          <w:right w:val="nil"/>
          <w:between w:val="nil"/>
        </w:pBdr>
        <w:spacing w:before="280" w:after="280" w:line="480" w:lineRule="auto"/>
        <w:rPr>
          <w:color w:val="000000"/>
        </w:rPr>
      </w:pPr>
      <w:r>
        <w:rPr>
          <w:color w:val="000000"/>
        </w:rPr>
        <w:t xml:space="preserve">Urban–rural differences can amplify or dampen the benefits of PAC through disparities in parental openness, school-based sex education, and access to youth-friendly information sources. National and regional studies document that sociocultural norms, religiosity, and stigma often suppress SRH dialogue at home—especially in rural communities—while urban settings may offer greater exposure to comprehensive sexuality education and diversified media/peer channels </w:t>
      </w:r>
      <w:r>
        <w:rPr>
          <w:color w:val="000000"/>
          <w:vertAlign w:val="superscript"/>
        </w:rPr>
        <w:t>4,6,9</w:t>
      </w:r>
      <w:r>
        <w:rPr>
          <w:color w:val="000000"/>
        </w:rPr>
        <w:t xml:space="preserve">. Recent reviews from sub-Saharan Africa indicate that structured PAC interventions (parental training, guided dialogues, and school-linked programs) can improve SRH knowledge and reduce risky sexual behaviours, but uptake and effectiveness hinge on context and family dynamics </w:t>
      </w:r>
      <w:r>
        <w:rPr>
          <w:color w:val="000000"/>
          <w:vertAlign w:val="superscript"/>
        </w:rPr>
        <w:t>8,10</w:t>
      </w:r>
      <w:r>
        <w:rPr>
          <w:color w:val="000000"/>
        </w:rPr>
        <w:t xml:space="preserve">. Given Yenagoa’s mixed urban–rural profile and Bayelsa’s documented burden of early sexual initiation and risk behaviours, a focused </w:t>
      </w:r>
      <w:r>
        <w:rPr>
          <w:color w:val="000000"/>
        </w:rPr>
        <w:lastRenderedPageBreak/>
        <w:t>assessment of the predictors and influence of PAC on adolescent SRH in secondary schools is both timely and policy-relevant, providing evidence to tailor family, school, and community-based strategies that reflect local realities while drawing on global best practice</w:t>
      </w:r>
      <w:r>
        <w:rPr>
          <w:color w:val="000000"/>
          <w:vertAlign w:val="superscript"/>
        </w:rPr>
        <w:t>5–8,10</w:t>
      </w:r>
      <w:r>
        <w:rPr>
          <w:color w:val="000000"/>
        </w:rPr>
        <w:t>. Specifically, the objectives of this study included:</w:t>
      </w:r>
    </w:p>
    <w:p w14:paraId="44755924" w14:textId="77777777" w:rsidR="00D42C20" w:rsidRDefault="00BB2F93">
      <w:pPr>
        <w:numPr>
          <w:ilvl w:val="0"/>
          <w:numId w:val="1"/>
        </w:numPr>
        <w:spacing w:line="480" w:lineRule="auto"/>
        <w:rPr>
          <w:color w:val="000000"/>
        </w:rPr>
      </w:pPr>
      <w:r>
        <w:rPr>
          <w:color w:val="000000"/>
        </w:rPr>
        <w:t>Compare the key predictors of parent-adolescent communication among adolescents in urban and rural secondary schools in Bayelsa State.</w:t>
      </w:r>
    </w:p>
    <w:p w14:paraId="64E98E25" w14:textId="77777777" w:rsidR="00D42C20" w:rsidRDefault="00BB2F93">
      <w:pPr>
        <w:numPr>
          <w:ilvl w:val="0"/>
          <w:numId w:val="1"/>
        </w:numPr>
        <w:spacing w:line="480" w:lineRule="auto"/>
        <w:rPr>
          <w:color w:val="000000"/>
        </w:rPr>
      </w:pPr>
      <w:r>
        <w:rPr>
          <w:color w:val="000000"/>
        </w:rPr>
        <w:t>Compare the influence of parent-adolescent communication among adolescents in urban and rural secondary schools in Bayelsa State</w:t>
      </w:r>
      <w:r>
        <w:rPr>
          <w:b/>
          <w:color w:val="000000"/>
        </w:rPr>
        <w:t>.</w:t>
      </w:r>
    </w:p>
    <w:p w14:paraId="6EFF1A00" w14:textId="77777777" w:rsidR="00D42C20" w:rsidRDefault="00BB2F93" w:rsidP="0046336A">
      <w:pPr>
        <w:pBdr>
          <w:top w:val="nil"/>
          <w:left w:val="nil"/>
          <w:bottom w:val="nil"/>
          <w:right w:val="nil"/>
          <w:between w:val="nil"/>
        </w:pBdr>
        <w:spacing w:line="480" w:lineRule="auto"/>
        <w:jc w:val="left"/>
        <w:rPr>
          <w:color w:val="000000"/>
        </w:rPr>
      </w:pPr>
      <w:r>
        <w:rPr>
          <w:b/>
          <w:color w:val="000000"/>
        </w:rPr>
        <w:t xml:space="preserve">Materials and Methods </w:t>
      </w:r>
    </w:p>
    <w:p w14:paraId="4B9555CE" w14:textId="77777777" w:rsidR="00D42C20" w:rsidRDefault="00BB2F93" w:rsidP="0046336A">
      <w:pPr>
        <w:pBdr>
          <w:top w:val="nil"/>
          <w:left w:val="nil"/>
          <w:bottom w:val="nil"/>
          <w:right w:val="nil"/>
          <w:between w:val="nil"/>
        </w:pBdr>
        <w:spacing w:line="480" w:lineRule="auto"/>
        <w:rPr>
          <w:color w:val="000000"/>
        </w:rPr>
      </w:pPr>
      <w:bookmarkStart w:id="2" w:name="_uh3yjff1b9un" w:colFirst="0" w:colLast="0"/>
      <w:bookmarkEnd w:id="2"/>
      <w:r>
        <w:rPr>
          <w:color w:val="000000"/>
        </w:rPr>
        <w:t>The study adopted a cross-sectional design, with the primary aim of explaining the distinctions between urban and rural communities. Accordingly, adolescents attending secondary schools in both settings in Yenagoa Local Government Area in Bayelsa State participated in this comparative cross-sectional study.</w:t>
      </w:r>
    </w:p>
    <w:p w14:paraId="3B099794" w14:textId="77777777" w:rsidR="00D42C20" w:rsidRDefault="00BB2F93">
      <w:pPr>
        <w:pBdr>
          <w:top w:val="nil"/>
          <w:left w:val="nil"/>
          <w:bottom w:val="nil"/>
          <w:right w:val="nil"/>
          <w:between w:val="nil"/>
        </w:pBdr>
        <w:spacing w:line="480" w:lineRule="auto"/>
        <w:rPr>
          <w:color w:val="000000"/>
        </w:rPr>
      </w:pPr>
      <w:r>
        <w:rPr>
          <w:color w:val="000000"/>
        </w:rPr>
        <w:t xml:space="preserve">The study population consisted of in-school adolescents; both male and female; between the ages of 15 to 19 years, attending secondary schools located in urban and rural communities of Yenagoa Local Government Area of Bayelsa State, Nigeria. Adolescents under the age of 15 were excluded from the study, as they were considered less likely to provide reliable or comprehensive responses regarding sensitive topics such as sexual and reproductive health. </w:t>
      </w:r>
    </w:p>
    <w:p w14:paraId="7A08D723" w14:textId="77777777" w:rsidR="00D42C20" w:rsidRDefault="00BB2F93">
      <w:pPr>
        <w:pBdr>
          <w:top w:val="nil"/>
          <w:left w:val="nil"/>
          <w:bottom w:val="nil"/>
          <w:right w:val="nil"/>
          <w:between w:val="nil"/>
        </w:pBdr>
        <w:spacing w:line="480" w:lineRule="auto"/>
        <w:rPr>
          <w:color w:val="000000"/>
        </w:rPr>
      </w:pPr>
      <w:r>
        <w:rPr>
          <w:color w:val="000000"/>
        </w:rPr>
        <w:t xml:space="preserve">The study included adolescents </w:t>
      </w:r>
      <w:r w:rsidR="00C845E0">
        <w:rPr>
          <w:color w:val="000000"/>
        </w:rPr>
        <w:t xml:space="preserve">(male and female) </w:t>
      </w:r>
      <w:r>
        <w:rPr>
          <w:color w:val="000000"/>
        </w:rPr>
        <w:t>attending secondary schools in urban and rural communities of Bayelsa State who had lived with their parents for at least two years before the study. However, those who met this residency criterion but were married or unable to provide valid consent were excluded.</w:t>
      </w:r>
    </w:p>
    <w:p w14:paraId="403259C5" w14:textId="77777777" w:rsidR="00D42C20" w:rsidRDefault="00BB2F93">
      <w:pPr>
        <w:pBdr>
          <w:top w:val="nil"/>
          <w:left w:val="nil"/>
          <w:bottom w:val="nil"/>
          <w:right w:val="nil"/>
          <w:between w:val="nil"/>
        </w:pBdr>
        <w:spacing w:line="480" w:lineRule="auto"/>
        <w:rPr>
          <w:color w:val="000000"/>
        </w:rPr>
      </w:pPr>
      <w:r>
        <w:rPr>
          <w:color w:val="000000"/>
        </w:rPr>
        <w:t>A total of 248 adolescents will be calculated using the formula for comparing two proportions; the sample size was determined.</w:t>
      </w:r>
      <w:r>
        <w:rPr>
          <w:color w:val="000000"/>
          <w:vertAlign w:val="superscript"/>
        </w:rPr>
        <w:t>11</w:t>
      </w:r>
    </w:p>
    <w:p w14:paraId="66AA9E60" w14:textId="77777777" w:rsidR="00D42C20" w:rsidRDefault="00BB2F93">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w:lastRenderedPageBreak/>
            <m:t>n=</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 xml:space="preserve">2 X </m:t>
              </m:r>
              <m:sSup>
                <m:sSupPr>
                  <m:ctrlPr>
                    <w:rPr>
                      <w:rFonts w:ascii="Cambria Math" w:eastAsia="Cambria Math" w:hAnsi="Cambria Math" w:cs="Cambria Math"/>
                      <w:color w:val="000000"/>
                      <w:sz w:val="22"/>
                      <w:szCs w:val="22"/>
                    </w:rPr>
                  </m:ctrlPr>
                </m:sSupPr>
                <m:e>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Z</m:t>
                      </m:r>
                    </m:e>
                    <m:sub>
                      <m:r>
                        <w:rPr>
                          <w:rFonts w:ascii="Cambria Math" w:eastAsia="Cambria Math" w:hAnsi="Cambria Math" w:cs="Cambria Math"/>
                          <w:color w:val="000000"/>
                          <w:sz w:val="22"/>
                          <w:szCs w:val="22"/>
                        </w:rPr>
                        <m:t>α</m:t>
                      </m:r>
                    </m:sub>
                  </m:sSub>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Z</m:t>
                      </m:r>
                    </m:e>
                    <m:sub>
                      <m:r>
                        <w:rPr>
                          <w:rFonts w:ascii="Cambria Math" w:eastAsia="Cambria Math" w:hAnsi="Cambria Math" w:cs="Cambria Math"/>
                          <w:color w:val="000000"/>
                          <w:sz w:val="22"/>
                          <w:szCs w:val="22"/>
                        </w:rPr>
                        <m:t>β</m:t>
                      </m:r>
                    </m:sub>
                  </m:sSub>
                  <m:r>
                    <w:rPr>
                      <w:rFonts w:ascii="Cambria Math" w:eastAsia="Cambria Math" w:hAnsi="Cambria Math" w:cs="Cambria Math"/>
                      <w:color w:val="000000"/>
                      <w:sz w:val="22"/>
                      <w:szCs w:val="22"/>
                    </w:rPr>
                    <m:t>)</m:t>
                  </m:r>
                </m:e>
                <m:sup>
                  <m:r>
                    <w:rPr>
                      <w:rFonts w:ascii="Cambria Math" w:eastAsia="Cambria Math" w:hAnsi="Cambria Math" w:cs="Cambria Math"/>
                      <w:color w:val="000000"/>
                      <w:sz w:val="22"/>
                      <w:szCs w:val="22"/>
                    </w:rPr>
                    <m:t>2</m:t>
                  </m:r>
                </m:sup>
              </m:sSup>
              <m:r>
                <w:rPr>
                  <w:rFonts w:ascii="Cambria Math" w:eastAsia="Cambria Math" w:hAnsi="Cambria Math" w:cs="Cambria Math"/>
                  <w:color w:val="000000"/>
                  <w:sz w:val="22"/>
                  <w:szCs w:val="22"/>
                </w:rPr>
                <m:t xml:space="preserve"> X P (1-P)</m:t>
              </m:r>
            </m:num>
            <m:den>
              <m:sSup>
                <m:sSupPr>
                  <m:ctrlPr>
                    <w:rPr>
                      <w:rFonts w:ascii="Cambria Math" w:eastAsia="Cambria Math" w:hAnsi="Cambria Math" w:cs="Cambria Math"/>
                      <w:color w:val="000000"/>
                      <w:sz w:val="22"/>
                      <w:szCs w:val="22"/>
                    </w:rPr>
                  </m:ctrlPr>
                </m:sSupPr>
                <m:e>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P</m:t>
                      </m:r>
                    </m:e>
                    <m:sub>
                      <m:r>
                        <w:rPr>
                          <w:rFonts w:ascii="Cambria Math" w:eastAsia="Cambria Math" w:hAnsi="Cambria Math" w:cs="Cambria Math"/>
                          <w:color w:val="000000"/>
                          <w:sz w:val="22"/>
                          <w:szCs w:val="22"/>
                        </w:rPr>
                        <m:t>1</m:t>
                      </m:r>
                    </m:sub>
                  </m:sSub>
                  <m:r>
                    <w:rPr>
                      <w:rFonts w:ascii="Cambria Math" w:eastAsia="Cambria Math" w:hAnsi="Cambria Math" w:cs="Cambria Math"/>
                      <w:color w:val="000000"/>
                      <w:sz w:val="22"/>
                      <w:szCs w:val="22"/>
                    </w:rPr>
                    <m:t xml:space="preserve">- </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P</m:t>
                      </m:r>
                    </m:e>
                    <m:sub>
                      <m:r>
                        <w:rPr>
                          <w:rFonts w:ascii="Cambria Math" w:eastAsia="Cambria Math" w:hAnsi="Cambria Math" w:cs="Cambria Math"/>
                          <w:color w:val="000000"/>
                          <w:sz w:val="22"/>
                          <w:szCs w:val="22"/>
                        </w:rPr>
                        <m:t>2</m:t>
                      </m:r>
                    </m:sub>
                  </m:sSub>
                  <m:r>
                    <w:rPr>
                      <w:rFonts w:ascii="Cambria Math" w:eastAsia="Cambria Math" w:hAnsi="Cambria Math" w:cs="Cambria Math"/>
                      <w:color w:val="000000"/>
                      <w:sz w:val="22"/>
                      <w:szCs w:val="22"/>
                    </w:rPr>
                    <m:t>)</m:t>
                  </m:r>
                </m:e>
                <m:sup>
                  <m:r>
                    <w:rPr>
                      <w:rFonts w:ascii="Cambria Math" w:eastAsia="Cambria Math" w:hAnsi="Cambria Math" w:cs="Cambria Math"/>
                      <w:color w:val="000000"/>
                      <w:sz w:val="22"/>
                      <w:szCs w:val="22"/>
                    </w:rPr>
                    <m:t>2</m:t>
                  </m:r>
                </m:sup>
              </m:sSup>
            </m:den>
          </m:f>
        </m:oMath>
      </m:oMathPara>
    </w:p>
    <w:p w14:paraId="3A8AB17A" w14:textId="77777777" w:rsidR="00B0415C" w:rsidRDefault="00B0415C">
      <w:pPr>
        <w:jc w:val="center"/>
        <w:rPr>
          <w:rFonts w:ascii="Cambria Math" w:eastAsia="Cambria Math" w:hAnsi="Cambria Math" w:cs="Cambria Math"/>
          <w:color w:val="000000"/>
          <w:sz w:val="22"/>
          <w:szCs w:val="22"/>
        </w:rPr>
      </w:pPr>
    </w:p>
    <w:p w14:paraId="75C75EAC" w14:textId="77777777" w:rsidR="00B0415C" w:rsidRPr="007D663A" w:rsidRDefault="00B0415C" w:rsidP="00B0415C">
      <w:pPr>
        <w:pStyle w:val="ListParagraph"/>
        <w:spacing w:line="480" w:lineRule="auto"/>
        <w:jc w:val="both"/>
        <w:rPr>
          <w:rFonts w:ascii="Times New Roman" w:hAnsi="Times New Roman" w:cs="Times New Roman"/>
          <w:color w:val="000000" w:themeColor="text1"/>
        </w:rPr>
      </w:pPr>
      <w:r w:rsidRPr="007D663A">
        <w:rPr>
          <w:rFonts w:ascii="Times New Roman" w:hAnsi="Times New Roman" w:cs="Times New Roman"/>
          <w:color w:val="000000" w:themeColor="text1"/>
        </w:rPr>
        <w:t xml:space="preserve">Where </w:t>
      </w:r>
    </w:p>
    <w:p w14:paraId="7C87E604" w14:textId="77777777" w:rsidR="00B0415C" w:rsidRPr="007D663A" w:rsidRDefault="00000000" w:rsidP="00B0415C">
      <w:pPr>
        <w:pStyle w:val="ListParagraph"/>
        <w:spacing w:line="480" w:lineRule="auto"/>
        <w:jc w:val="both"/>
        <w:rPr>
          <w:rFonts w:ascii="Times New Roman" w:eastAsiaTheme="minorEastAsia" w:hAnsi="Times New Roman" w:cs="Times New Roman"/>
          <w:color w:val="000000" w:themeColor="text1"/>
        </w:rPr>
      </w:pPr>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Z</m:t>
            </m:r>
          </m:e>
          <m:sub>
            <m:r>
              <w:rPr>
                <w:rFonts w:ascii="Cambria Math" w:hAnsi="Cambria Math" w:cs="Times New Roman"/>
                <w:color w:val="000000" w:themeColor="text1"/>
              </w:rPr>
              <m:t>α</m:t>
            </m:r>
          </m:sub>
        </m:sSub>
      </m:oMath>
      <w:r w:rsidR="00B0415C" w:rsidRPr="007D663A">
        <w:rPr>
          <w:rFonts w:ascii="Times New Roman" w:eastAsiaTheme="minorEastAsia" w:hAnsi="Times New Roman" w:cs="Times New Roman"/>
          <w:color w:val="000000" w:themeColor="text1"/>
        </w:rPr>
        <w:t xml:space="preserve"> is the standard normal deviate at 95% confidence interval given as 1.96.</w:t>
      </w:r>
    </w:p>
    <w:p w14:paraId="04901946" w14:textId="77777777" w:rsidR="00B0415C" w:rsidRPr="007D663A" w:rsidRDefault="00000000" w:rsidP="00B0415C">
      <w:pPr>
        <w:pStyle w:val="ListParagraph"/>
        <w:spacing w:line="480" w:lineRule="auto"/>
        <w:jc w:val="both"/>
        <w:rPr>
          <w:rFonts w:ascii="Times New Roman" w:eastAsiaTheme="minorEastAsia" w:hAnsi="Times New Roman" w:cs="Times New Roman"/>
          <w:color w:val="000000" w:themeColor="text1"/>
        </w:rPr>
      </w:pPr>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Z</m:t>
            </m:r>
          </m:e>
          <m:sub>
            <m:r>
              <w:rPr>
                <w:rFonts w:ascii="Cambria Math" w:hAnsi="Cambria Math" w:cs="Times New Roman"/>
                <w:color w:val="000000" w:themeColor="text1"/>
              </w:rPr>
              <m:t>β</m:t>
            </m:r>
          </m:sub>
        </m:sSub>
      </m:oMath>
      <w:r w:rsidR="00B0415C" w:rsidRPr="007D663A">
        <w:rPr>
          <w:rFonts w:ascii="Times New Roman" w:eastAsiaTheme="minorEastAsia" w:hAnsi="Times New Roman" w:cs="Times New Roman"/>
          <w:color w:val="000000" w:themeColor="text1"/>
        </w:rPr>
        <w:t xml:space="preserve"> is the power of the study, set at 90% in this study (1.65).</w:t>
      </w:r>
    </w:p>
    <w:p w14:paraId="2726429C" w14:textId="77777777" w:rsidR="00B0415C" w:rsidRPr="007D663A" w:rsidRDefault="00B0415C" w:rsidP="00B0415C">
      <w:pPr>
        <w:pStyle w:val="ListParagraph"/>
        <w:spacing w:line="480" w:lineRule="auto"/>
        <w:jc w:val="both"/>
        <w:rPr>
          <w:rFonts w:ascii="Times New Roman" w:eastAsiaTheme="minorEastAsia" w:hAnsi="Times New Roman" w:cs="Times New Roman"/>
          <w:color w:val="000000" w:themeColor="text1"/>
          <w:lang w:val="en-US"/>
        </w:rPr>
      </w:pPr>
      <w:r w:rsidRPr="007D663A">
        <w:rPr>
          <w:rFonts w:ascii="Times New Roman" w:eastAsiaTheme="minorEastAsia" w:hAnsi="Times New Roman" w:cs="Times New Roman"/>
          <w:color w:val="000000" w:themeColor="text1"/>
        </w:rPr>
        <w:t>P</w:t>
      </w:r>
      <w:r w:rsidRPr="007D663A">
        <w:rPr>
          <w:rFonts w:ascii="Times New Roman" w:eastAsiaTheme="minorEastAsia" w:hAnsi="Times New Roman" w:cs="Times New Roman"/>
          <w:color w:val="000000" w:themeColor="text1"/>
          <w:vertAlign w:val="subscript"/>
        </w:rPr>
        <w:t>1</w:t>
      </w:r>
      <w:r w:rsidRPr="007D663A">
        <w:rPr>
          <w:rFonts w:ascii="Times New Roman" w:eastAsiaTheme="minorEastAsia" w:hAnsi="Times New Roman" w:cs="Times New Roman"/>
          <w:color w:val="000000" w:themeColor="text1"/>
        </w:rPr>
        <w:t>is the predominance of</w:t>
      </w:r>
      <w:r w:rsidRPr="007D663A">
        <w:rPr>
          <w:rFonts w:ascii="Times New Roman" w:eastAsiaTheme="minorEastAsia" w:hAnsi="Times New Roman" w:cs="Times New Roman"/>
          <w:color w:val="000000" w:themeColor="text1"/>
          <w:lang w:val="en-US"/>
        </w:rPr>
        <w:t xml:space="preserve"> parent adolescent communication among adolescents in urban secondary schools reported as 59.1% (0.59). </w:t>
      </w:r>
    </w:p>
    <w:p w14:paraId="01D62CA6" w14:textId="77777777" w:rsidR="00B0415C" w:rsidRPr="007D663A" w:rsidRDefault="00000000" w:rsidP="00B0415C">
      <w:pPr>
        <w:pStyle w:val="ListParagraph"/>
        <w:spacing w:line="480" w:lineRule="auto"/>
        <w:jc w:val="both"/>
        <w:rPr>
          <w:rFonts w:ascii="Times New Roman" w:eastAsiaTheme="minorEastAsia" w:hAnsi="Times New Roman" w:cs="Times New Roman"/>
          <w:color w:val="000000" w:themeColor="text1"/>
          <w:lang w:val="en-US"/>
        </w:rPr>
      </w:pPr>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P</m:t>
            </m:r>
          </m:e>
          <m:sub>
            <m:r>
              <w:rPr>
                <w:rFonts w:ascii="Cambria Math" w:hAnsi="Times New Roman" w:cs="Times New Roman"/>
                <w:color w:val="000000" w:themeColor="text1"/>
              </w:rPr>
              <m:t>2</m:t>
            </m:r>
          </m:sub>
        </m:sSub>
      </m:oMath>
      <w:r w:rsidR="00B0415C" w:rsidRPr="007D663A">
        <w:rPr>
          <w:rFonts w:ascii="Times New Roman" w:eastAsiaTheme="minorEastAsia" w:hAnsi="Times New Roman" w:cs="Times New Roman"/>
          <w:color w:val="000000" w:themeColor="text1"/>
        </w:rPr>
        <w:t xml:space="preserve"> is the predominance of </w:t>
      </w:r>
      <w:r w:rsidR="00B0415C" w:rsidRPr="007D663A">
        <w:rPr>
          <w:rFonts w:ascii="Times New Roman" w:eastAsiaTheme="minorEastAsia" w:hAnsi="Times New Roman" w:cs="Times New Roman"/>
          <w:color w:val="000000" w:themeColor="text1"/>
          <w:lang w:val="en-US"/>
        </w:rPr>
        <w:t xml:space="preserve">parent adolescent communication among adolescents in rural secondary schools reported as 35.0%? (0.35) </w:t>
      </w:r>
    </w:p>
    <w:p w14:paraId="107B84D8" w14:textId="77777777" w:rsidR="00B0415C" w:rsidRPr="007D663A" w:rsidRDefault="00B0415C" w:rsidP="00B0415C">
      <w:pPr>
        <w:pStyle w:val="ListParagraph"/>
        <w:spacing w:line="480" w:lineRule="auto"/>
        <w:jc w:val="both"/>
        <w:rPr>
          <w:rFonts w:ascii="Times New Roman" w:eastAsiaTheme="minorEastAsia" w:hAnsi="Times New Roman" w:cs="Times New Roman"/>
          <w:color w:val="000000" w:themeColor="text1"/>
          <w:lang w:val="en-US"/>
        </w:rPr>
      </w:pPr>
      <m:oMath>
        <m:r>
          <w:rPr>
            <w:rFonts w:ascii="Cambria Math" w:hAnsi="Cambria Math" w:cs="Times New Roman"/>
            <w:color w:val="000000" w:themeColor="text1"/>
          </w:rPr>
          <m:t>P</m:t>
        </m:r>
      </m:oMath>
      <w:r w:rsidRPr="007D663A">
        <w:rPr>
          <w:rFonts w:ascii="Times New Roman" w:eastAsiaTheme="minorEastAsia" w:hAnsi="Times New Roman" w:cs="Times New Roman"/>
          <w:color w:val="000000" w:themeColor="text1"/>
        </w:rPr>
        <w:t xml:space="preserve"> is the average of </w:t>
      </w:r>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P</m:t>
            </m:r>
          </m:e>
          <m:sub>
            <m:r>
              <w:rPr>
                <w:rFonts w:ascii="Cambria Math" w:hAnsi="Times New Roman" w:cs="Times New Roman"/>
                <w:color w:val="000000" w:themeColor="text1"/>
              </w:rPr>
              <m:t>1</m:t>
            </m:r>
          </m:sub>
        </m:sSub>
      </m:oMath>
      <w:r w:rsidRPr="007D663A">
        <w:rPr>
          <w:rFonts w:ascii="Times New Roman" w:eastAsiaTheme="minorEastAsia" w:hAnsi="Times New Roman" w:cs="Times New Roman"/>
          <w:color w:val="000000" w:themeColor="text1"/>
        </w:rPr>
        <w:t xml:space="preserve"> and </w:t>
      </w:r>
      <m:oMath>
        <m:sSub>
          <m:sSubPr>
            <m:ctrlPr>
              <w:rPr>
                <w:rFonts w:ascii="Cambria Math" w:hAnsi="Times New Roman" w:cs="Times New Roman"/>
                <w:i/>
                <w:color w:val="000000" w:themeColor="text1"/>
              </w:rPr>
            </m:ctrlPr>
          </m:sSubPr>
          <m:e>
            <m:r>
              <w:rPr>
                <w:rFonts w:ascii="Cambria Math" w:hAnsi="Cambria Math" w:cs="Times New Roman"/>
                <w:color w:val="000000" w:themeColor="text1"/>
              </w:rPr>
              <m:t>P</m:t>
            </m:r>
          </m:e>
          <m:sub>
            <m:r>
              <w:rPr>
                <w:rFonts w:ascii="Cambria Math" w:hAnsi="Times New Roman" w:cs="Times New Roman"/>
                <w:color w:val="000000" w:themeColor="text1"/>
              </w:rPr>
              <m:t>2</m:t>
            </m:r>
          </m:sub>
        </m:sSub>
      </m:oMath>
      <w:r w:rsidRPr="007D663A">
        <w:rPr>
          <w:rFonts w:ascii="Times New Roman" w:eastAsiaTheme="minorEastAsia" w:hAnsi="Times New Roman" w:cs="Times New Roman"/>
          <w:color w:val="000000" w:themeColor="text1"/>
        </w:rPr>
        <w:t xml:space="preserve">, calculated to be </w:t>
      </w:r>
      <w:r w:rsidRPr="007D663A">
        <w:rPr>
          <w:rFonts w:ascii="Times New Roman" w:eastAsiaTheme="minorEastAsia" w:hAnsi="Times New Roman" w:cs="Times New Roman"/>
          <w:color w:val="000000" w:themeColor="text1"/>
          <w:lang w:val="en-US"/>
        </w:rPr>
        <w:t>47.05.</w:t>
      </w:r>
      <w:r w:rsidRPr="007D663A">
        <w:rPr>
          <w:rFonts w:ascii="Times New Roman" w:eastAsiaTheme="minorEastAsia" w:hAnsi="Times New Roman" w:cs="Times New Roman"/>
          <w:color w:val="000000" w:themeColor="text1"/>
        </w:rPr>
        <w:t xml:space="preserve"> Substitution is shown below</w:t>
      </w:r>
      <w:r w:rsidRPr="007D663A">
        <w:rPr>
          <w:rFonts w:ascii="Times New Roman" w:eastAsiaTheme="minorEastAsia" w:hAnsi="Times New Roman" w:cs="Times New Roman"/>
          <w:color w:val="000000" w:themeColor="text1"/>
          <w:lang w:val="en-US"/>
        </w:rPr>
        <w:t>:</w:t>
      </w:r>
    </w:p>
    <w:p w14:paraId="6DA41036" w14:textId="77777777" w:rsidR="00B0415C" w:rsidRPr="007D663A" w:rsidRDefault="00B0415C" w:rsidP="00B0415C">
      <w:pPr>
        <w:pStyle w:val="ListParagraph"/>
        <w:rPr>
          <w:rFonts w:ascii="Times New Roman" w:eastAsiaTheme="minorEastAsia" w:hAnsi="Times New Roman" w:cs="Times New Roman"/>
          <w:color w:val="000000" w:themeColor="text1"/>
        </w:rPr>
      </w:pPr>
      <m:oMathPara>
        <m:oMath>
          <m:r>
            <w:rPr>
              <w:rFonts w:ascii="Cambria Math" w:hAnsi="Cambria Math" w:cs="Times New Roman"/>
              <w:color w:val="000000" w:themeColor="text1"/>
            </w:rPr>
            <m:t>n</m:t>
          </m:r>
          <m:r>
            <w:rPr>
              <w:rFonts w:ascii="Cambria Math" w:hAnsi="Times New Roman" w:cs="Times New Roman"/>
              <w:color w:val="000000" w:themeColor="text1"/>
            </w:rPr>
            <m:t>=</m:t>
          </m:r>
          <m:f>
            <m:fPr>
              <m:ctrlPr>
                <w:rPr>
                  <w:rFonts w:ascii="Cambria Math" w:hAnsi="Times New Roman" w:cs="Times New Roman"/>
                  <w:i/>
                  <w:color w:val="000000" w:themeColor="text1"/>
                </w:rPr>
              </m:ctrlPr>
            </m:fPr>
            <m:num>
              <m:r>
                <w:rPr>
                  <w:rFonts w:ascii="Cambria Math" w:hAnsi="Times New Roman" w:cs="Times New Roman"/>
                  <w:color w:val="000000" w:themeColor="text1"/>
                </w:rPr>
                <m:t xml:space="preserve">2 </m:t>
              </m:r>
              <m:r>
                <w:rPr>
                  <w:rFonts w:ascii="Cambria Math" w:hAnsi="Cambria Math" w:cs="Times New Roman"/>
                  <w:color w:val="000000" w:themeColor="text1"/>
                </w:rPr>
                <m:t>X</m:t>
              </m:r>
              <m:r>
                <w:rPr>
                  <w:rFonts w:ascii="Cambria Math" w:hAnsi="Times New Roman" w:cs="Times New Roman"/>
                  <w:color w:val="000000" w:themeColor="text1"/>
                </w:rPr>
                <m:t xml:space="preserve"> </m:t>
              </m:r>
              <m:sSup>
                <m:sSupPr>
                  <m:ctrlPr>
                    <w:rPr>
                      <w:rFonts w:ascii="Cambria Math" w:hAnsi="Times New Roman" w:cs="Times New Roman"/>
                      <w:i/>
                      <w:color w:val="000000" w:themeColor="text1"/>
                    </w:rPr>
                  </m:ctrlPr>
                </m:sSupPr>
                <m:e>
                  <m:r>
                    <w:rPr>
                      <w:rFonts w:ascii="Cambria Math" w:hAnsi="Times New Roman" w:cs="Times New Roman"/>
                      <w:color w:val="000000" w:themeColor="text1"/>
                    </w:rPr>
                    <m:t>(1.96+1.65)</m:t>
                  </m:r>
                </m:e>
                <m:sup>
                  <m:r>
                    <w:rPr>
                      <w:rFonts w:ascii="Cambria Math" w:hAnsi="Times New Roman" w:cs="Times New Roman"/>
                      <w:color w:val="000000" w:themeColor="text1"/>
                    </w:rPr>
                    <m:t>2</m:t>
                  </m:r>
                </m:sup>
              </m:sSup>
              <m:r>
                <w:rPr>
                  <w:rFonts w:ascii="Cambria Math" w:hAnsi="Times New Roman" w:cs="Times New Roman"/>
                  <w:color w:val="000000" w:themeColor="text1"/>
                </w:rPr>
                <m:t xml:space="preserve"> </m:t>
              </m:r>
              <m:r>
                <w:rPr>
                  <w:rFonts w:ascii="Cambria Math" w:hAnsi="Cambria Math" w:cs="Times New Roman"/>
                  <w:color w:val="000000" w:themeColor="text1"/>
                </w:rPr>
                <m:t>X</m:t>
              </m:r>
              <m:r>
                <w:rPr>
                  <w:rFonts w:ascii="Cambria Math" w:hAnsi="Times New Roman" w:cs="Times New Roman"/>
                  <w:color w:val="000000" w:themeColor="text1"/>
                </w:rPr>
                <m:t xml:space="preserve"> 0.47</m:t>
              </m:r>
              <m:r>
                <w:rPr>
                  <w:rFonts w:ascii="Cambria Math" w:hAnsi="Cambria Math" w:cs="Times New Roman"/>
                  <w:color w:val="000000" w:themeColor="text1"/>
                </w:rPr>
                <m:t>X</m:t>
              </m:r>
              <m:r>
                <w:rPr>
                  <w:rFonts w:ascii="Cambria Math" w:hAnsi="Times New Roman" w:cs="Times New Roman"/>
                  <w:color w:val="000000" w:themeColor="text1"/>
                </w:rPr>
                <m:t xml:space="preserve"> (1</m:t>
              </m:r>
              <m:r>
                <w:rPr>
                  <w:rFonts w:ascii="Cambria Math" w:hAnsi="Cambria Math" w:cs="Times New Roman"/>
                  <w:color w:val="000000" w:themeColor="text1"/>
                </w:rPr>
                <m:t>-</m:t>
              </m:r>
              <m:r>
                <w:rPr>
                  <w:rFonts w:ascii="Cambria Math" w:hAnsi="Times New Roman" w:cs="Times New Roman"/>
                  <w:color w:val="000000" w:themeColor="text1"/>
                </w:rPr>
                <m:t>0.47)</m:t>
              </m:r>
            </m:num>
            <m:den>
              <m:sSup>
                <m:sSupPr>
                  <m:ctrlPr>
                    <w:rPr>
                      <w:rFonts w:ascii="Cambria Math" w:hAnsi="Times New Roman" w:cs="Times New Roman"/>
                      <w:i/>
                      <w:color w:val="000000" w:themeColor="text1"/>
                    </w:rPr>
                  </m:ctrlPr>
                </m:sSupPr>
                <m:e>
                  <m:r>
                    <w:rPr>
                      <w:rFonts w:ascii="Cambria Math" w:hAnsi="Times New Roman" w:cs="Times New Roman"/>
                      <w:color w:val="000000" w:themeColor="text1"/>
                    </w:rPr>
                    <m:t>(0.59</m:t>
                  </m:r>
                  <m:r>
                    <w:rPr>
                      <w:rFonts w:ascii="Cambria Math" w:hAnsi="Cambria Math" w:cs="Times New Roman"/>
                      <w:color w:val="000000" w:themeColor="text1"/>
                    </w:rPr>
                    <m:t>-</m:t>
                  </m:r>
                  <m:r>
                    <w:rPr>
                      <w:rFonts w:ascii="Cambria Math" w:hAnsi="Times New Roman" w:cs="Times New Roman"/>
                      <w:color w:val="000000" w:themeColor="text1"/>
                    </w:rPr>
                    <m:t xml:space="preserve"> 0.35)</m:t>
                  </m:r>
                </m:e>
                <m:sup>
                  <m:r>
                    <w:rPr>
                      <w:rFonts w:ascii="Cambria Math" w:hAnsi="Times New Roman" w:cs="Times New Roman"/>
                      <w:color w:val="000000" w:themeColor="text1"/>
                    </w:rPr>
                    <m:t>2</m:t>
                  </m:r>
                </m:sup>
              </m:sSup>
            </m:den>
          </m:f>
        </m:oMath>
      </m:oMathPara>
    </w:p>
    <w:p w14:paraId="4A0ECBDF" w14:textId="77777777" w:rsidR="00B0415C" w:rsidRPr="007D663A" w:rsidRDefault="00B0415C" w:rsidP="00B0415C">
      <w:pPr>
        <w:spacing w:line="360" w:lineRule="auto"/>
        <w:rPr>
          <w:rFonts w:eastAsiaTheme="minorEastAsia"/>
          <w:color w:val="000000" w:themeColor="text1"/>
          <w:sz w:val="2"/>
        </w:rPr>
      </w:pPr>
    </w:p>
    <w:p w14:paraId="34B0055A" w14:textId="77777777" w:rsidR="00B0415C" w:rsidRPr="007D663A" w:rsidRDefault="00B0415C" w:rsidP="00B0415C">
      <w:pPr>
        <w:pStyle w:val="ListParagraph"/>
        <w:spacing w:line="480" w:lineRule="auto"/>
        <w:jc w:val="both"/>
        <w:rPr>
          <w:rFonts w:ascii="Times New Roman" w:eastAsiaTheme="minorEastAsia" w:hAnsi="Times New Roman" w:cs="Times New Roman"/>
          <w:color w:val="000000" w:themeColor="text1"/>
          <w:lang w:val="en-US"/>
        </w:rPr>
      </w:pPr>
      <m:oMathPara>
        <m:oMath>
          <m:r>
            <w:rPr>
              <w:rFonts w:ascii="Cambria Math" w:hAnsi="Cambria Math" w:cs="Times New Roman"/>
              <w:color w:val="000000" w:themeColor="text1"/>
            </w:rPr>
            <m:t>n</m:t>
          </m:r>
          <m:r>
            <w:rPr>
              <w:rFonts w:ascii="Cambria Math" w:hAnsi="Times New Roman" w:cs="Times New Roman"/>
              <w:color w:val="000000" w:themeColor="text1"/>
            </w:rPr>
            <m:t>=</m:t>
          </m:r>
          <m:f>
            <m:fPr>
              <m:ctrlPr>
                <w:rPr>
                  <w:rFonts w:ascii="Cambria Math" w:hAnsi="Times New Roman" w:cs="Times New Roman"/>
                  <w:i/>
                  <w:color w:val="000000" w:themeColor="text1"/>
                </w:rPr>
              </m:ctrlPr>
            </m:fPr>
            <m:num>
              <m:r>
                <w:rPr>
                  <w:rFonts w:ascii="Cambria Math" w:hAnsi="Times New Roman" w:cs="Times New Roman"/>
                  <w:color w:val="000000" w:themeColor="text1"/>
                </w:rPr>
                <m:t xml:space="preserve">2 </m:t>
              </m:r>
              <m:r>
                <w:rPr>
                  <w:rFonts w:ascii="Cambria Math" w:hAnsi="Cambria Math" w:cs="Times New Roman"/>
                  <w:color w:val="000000" w:themeColor="text1"/>
                </w:rPr>
                <m:t>X</m:t>
              </m:r>
              <m:r>
                <w:rPr>
                  <w:rFonts w:ascii="Cambria Math" w:hAnsi="Times New Roman" w:cs="Times New Roman"/>
                  <w:color w:val="000000" w:themeColor="text1"/>
                </w:rPr>
                <m:t xml:space="preserve"> </m:t>
              </m:r>
              <m:sSup>
                <m:sSupPr>
                  <m:ctrlPr>
                    <w:rPr>
                      <w:rFonts w:ascii="Cambria Math" w:hAnsi="Times New Roman" w:cs="Times New Roman"/>
                      <w:i/>
                      <w:color w:val="000000" w:themeColor="text1"/>
                    </w:rPr>
                  </m:ctrlPr>
                </m:sSupPr>
                <m:e>
                  <m:r>
                    <w:rPr>
                      <w:rFonts w:ascii="Cambria Math" w:hAnsi="Times New Roman" w:cs="Times New Roman"/>
                      <w:color w:val="000000" w:themeColor="text1"/>
                    </w:rPr>
                    <m:t>(3.61)</m:t>
                  </m:r>
                </m:e>
                <m:sup>
                  <m:r>
                    <w:rPr>
                      <w:rFonts w:ascii="Cambria Math" w:hAnsi="Times New Roman" w:cs="Times New Roman"/>
                      <w:color w:val="000000" w:themeColor="text1"/>
                    </w:rPr>
                    <m:t>2</m:t>
                  </m:r>
                </m:sup>
              </m:sSup>
              <m:r>
                <w:rPr>
                  <w:rFonts w:ascii="Cambria Math" w:hAnsi="Times New Roman" w:cs="Times New Roman"/>
                  <w:color w:val="000000" w:themeColor="text1"/>
                </w:rPr>
                <m:t xml:space="preserve"> </m:t>
              </m:r>
              <m:r>
                <w:rPr>
                  <w:rFonts w:ascii="Cambria Math" w:hAnsi="Cambria Math" w:cs="Times New Roman"/>
                  <w:color w:val="000000" w:themeColor="text1"/>
                </w:rPr>
                <m:t>X</m:t>
              </m:r>
              <m:r>
                <w:rPr>
                  <w:rFonts w:ascii="Cambria Math" w:hAnsi="Times New Roman" w:cs="Times New Roman"/>
                  <w:color w:val="000000" w:themeColor="text1"/>
                </w:rPr>
                <m:t xml:space="preserve"> 0.47 </m:t>
              </m:r>
              <m:r>
                <w:rPr>
                  <w:rFonts w:ascii="Cambria Math" w:hAnsi="Cambria Math" w:cs="Times New Roman"/>
                  <w:color w:val="000000" w:themeColor="text1"/>
                </w:rPr>
                <m:t>X</m:t>
              </m:r>
              <m:r>
                <w:rPr>
                  <w:rFonts w:ascii="Cambria Math" w:hAnsi="Times New Roman" w:cs="Times New Roman"/>
                  <w:color w:val="000000" w:themeColor="text1"/>
                </w:rPr>
                <m:t xml:space="preserve"> 0.53</m:t>
              </m:r>
            </m:num>
            <m:den>
              <m:sSup>
                <m:sSupPr>
                  <m:ctrlPr>
                    <w:rPr>
                      <w:rFonts w:ascii="Cambria Math" w:hAnsi="Times New Roman" w:cs="Times New Roman"/>
                      <w:i/>
                      <w:color w:val="000000" w:themeColor="text1"/>
                    </w:rPr>
                  </m:ctrlPr>
                </m:sSupPr>
                <m:e>
                  <m:r>
                    <w:rPr>
                      <w:rFonts w:ascii="Cambria Math" w:hAnsi="Times New Roman" w:cs="Times New Roman"/>
                      <w:color w:val="000000" w:themeColor="text1"/>
                    </w:rPr>
                    <m:t>(0.24)</m:t>
                  </m:r>
                </m:e>
                <m:sup>
                  <m:r>
                    <w:rPr>
                      <w:rFonts w:ascii="Cambria Math" w:hAnsi="Times New Roman" w:cs="Times New Roman"/>
                      <w:color w:val="000000" w:themeColor="text1"/>
                    </w:rPr>
                    <m:t>2</m:t>
                  </m:r>
                </m:sup>
              </m:sSup>
            </m:den>
          </m:f>
        </m:oMath>
      </m:oMathPara>
    </w:p>
    <w:p w14:paraId="5FCA1147" w14:textId="77777777" w:rsidR="00B0415C" w:rsidRPr="007D663A" w:rsidRDefault="00B0415C" w:rsidP="00B0415C">
      <w:pPr>
        <w:spacing w:line="480" w:lineRule="auto"/>
        <w:rPr>
          <w:color w:val="000000" w:themeColor="text1"/>
        </w:rPr>
      </w:pPr>
      <m:oMathPara>
        <m:oMath>
          <m:r>
            <w:rPr>
              <w:rFonts w:ascii="Cambria Math" w:hAnsi="Cambria Math"/>
              <w:color w:val="000000" w:themeColor="text1"/>
            </w:rPr>
            <m:t>n</m:t>
          </m:r>
          <m:r>
            <w:rPr>
              <w:rFonts w:ascii="Cambria Math"/>
              <w:color w:val="000000" w:themeColor="text1"/>
            </w:rPr>
            <m:t>=</m:t>
          </m:r>
          <m:f>
            <m:fPr>
              <m:ctrlPr>
                <w:rPr>
                  <w:rFonts w:ascii="Cambria Math" w:hAnsi="Cambria Math"/>
                  <w:i/>
                  <w:color w:val="000000" w:themeColor="text1"/>
                </w:rPr>
              </m:ctrlPr>
            </m:fPr>
            <m:num>
              <m:r>
                <w:rPr>
                  <w:rFonts w:ascii="Cambria Math"/>
                  <w:color w:val="000000" w:themeColor="text1"/>
                </w:rPr>
                <m:t xml:space="preserve">2 </m:t>
              </m:r>
              <m:r>
                <w:rPr>
                  <w:rFonts w:ascii="Cambria Math" w:hAnsi="Cambria Math"/>
                  <w:color w:val="000000" w:themeColor="text1"/>
                </w:rPr>
                <m:t>X</m:t>
              </m:r>
              <m:r>
                <w:rPr>
                  <w:rFonts w:ascii="Cambria Math"/>
                  <w:color w:val="000000" w:themeColor="text1"/>
                </w:rPr>
                <m:t xml:space="preserve"> 13.03 </m:t>
              </m:r>
              <m:r>
                <w:rPr>
                  <w:rFonts w:ascii="Cambria Math" w:hAnsi="Cambria Math"/>
                  <w:color w:val="000000" w:themeColor="text1"/>
                </w:rPr>
                <m:t>X</m:t>
              </m:r>
              <m:r>
                <w:rPr>
                  <w:rFonts w:ascii="Cambria Math"/>
                  <w:color w:val="000000" w:themeColor="text1"/>
                </w:rPr>
                <m:t xml:space="preserve"> 0.2491</m:t>
              </m:r>
            </m:num>
            <m:den>
              <m:r>
                <w:rPr>
                  <w:rFonts w:ascii="Cambria Math"/>
                  <w:color w:val="000000" w:themeColor="text1"/>
                </w:rPr>
                <m:t>0.0576</m:t>
              </m:r>
            </m:den>
          </m:f>
        </m:oMath>
      </m:oMathPara>
    </w:p>
    <w:p w14:paraId="6605CAD9" w14:textId="77777777" w:rsidR="00B0415C" w:rsidRPr="007D663A" w:rsidRDefault="00B0415C" w:rsidP="00B0415C">
      <w:pPr>
        <w:spacing w:line="480" w:lineRule="auto"/>
        <w:rPr>
          <w:rFonts w:eastAsia="Calibri"/>
          <w:color w:val="000000" w:themeColor="text1"/>
        </w:rPr>
      </w:pPr>
      <m:oMathPara>
        <m:oMath>
          <m:r>
            <w:rPr>
              <w:rFonts w:ascii="Cambria Math"/>
              <w:color w:val="000000" w:themeColor="text1"/>
            </w:rPr>
            <m:t>=</m:t>
          </m:r>
          <m:f>
            <m:fPr>
              <m:ctrlPr>
                <w:rPr>
                  <w:rFonts w:ascii="Cambria Math" w:hAnsi="Cambria Math"/>
                  <w:i/>
                  <w:color w:val="000000" w:themeColor="text1"/>
                </w:rPr>
              </m:ctrlPr>
            </m:fPr>
            <m:num>
              <m:r>
                <w:rPr>
                  <w:rFonts w:ascii="Cambria Math"/>
                  <w:color w:val="000000" w:themeColor="text1"/>
                </w:rPr>
                <m:t xml:space="preserve">2 </m:t>
              </m:r>
              <m:r>
                <w:rPr>
                  <w:rFonts w:ascii="Cambria Math" w:hAnsi="Cambria Math"/>
                  <w:color w:val="000000" w:themeColor="text1"/>
                </w:rPr>
                <m:t>X</m:t>
              </m:r>
              <m:r>
                <w:rPr>
                  <w:rFonts w:ascii="Cambria Math"/>
                  <w:color w:val="000000" w:themeColor="text1"/>
                </w:rPr>
                <m:t xml:space="preserve"> 3.25</m:t>
              </m:r>
            </m:num>
            <m:den>
              <m:r>
                <w:rPr>
                  <w:rFonts w:ascii="Cambria Math"/>
                  <w:color w:val="000000" w:themeColor="text1"/>
                </w:rPr>
                <m:t>0.0576</m:t>
              </m:r>
            </m:den>
          </m:f>
        </m:oMath>
      </m:oMathPara>
    </w:p>
    <w:p w14:paraId="0743E2EB" w14:textId="77777777" w:rsidR="00B0415C" w:rsidRPr="007D663A" w:rsidRDefault="00B0415C" w:rsidP="00B0415C">
      <w:pPr>
        <w:spacing w:line="360" w:lineRule="auto"/>
        <w:rPr>
          <w:rFonts w:eastAsia="Calibri"/>
          <w:i/>
          <w:color w:val="000000" w:themeColor="text1"/>
        </w:rPr>
      </w:pPr>
      <m:oMathPara>
        <m:oMath>
          <m:r>
            <w:rPr>
              <w:rFonts w:ascii="Cambria Math" w:hAnsi="Cambria Math"/>
              <w:color w:val="000000" w:themeColor="text1"/>
            </w:rPr>
            <m:t>n</m:t>
          </m:r>
          <m:r>
            <w:rPr>
              <w:rFonts w:ascii="Cambria Math"/>
              <w:color w:val="000000" w:themeColor="text1"/>
            </w:rPr>
            <m:t>=112.8</m:t>
          </m:r>
        </m:oMath>
      </m:oMathPara>
    </w:p>
    <w:p w14:paraId="5264FD0E" w14:textId="77777777" w:rsidR="00B0415C" w:rsidRPr="007D663A" w:rsidRDefault="00B0415C" w:rsidP="00B0415C">
      <w:pPr>
        <w:spacing w:after="200" w:line="480" w:lineRule="auto"/>
        <w:rPr>
          <w:rFonts w:eastAsia="Calibri"/>
          <w:i/>
          <w:color w:val="000000" w:themeColor="text1"/>
          <w:lang w:val="en-US"/>
        </w:rPr>
      </w:pPr>
      <m:oMathPara>
        <m:oMath>
          <m:r>
            <w:rPr>
              <w:rFonts w:ascii="Cambria Math" w:hAnsi="Cambria Math"/>
              <w:color w:val="000000" w:themeColor="text1"/>
            </w:rPr>
            <m:t>≈</m:t>
          </m:r>
          <m:r>
            <w:rPr>
              <w:rFonts w:ascii="Cambria Math"/>
              <w:color w:val="000000" w:themeColor="text1"/>
            </w:rPr>
            <m:t xml:space="preserve">113 </m:t>
          </m:r>
          <m:r>
            <w:rPr>
              <w:rFonts w:ascii="Cambria Math" w:hAnsi="Cambria Math"/>
              <w:color w:val="000000" w:themeColor="text1"/>
            </w:rPr>
            <m:t>per</m:t>
          </m:r>
          <m:r>
            <w:rPr>
              <w:rFonts w:ascii="Cambria Math"/>
              <w:color w:val="000000" w:themeColor="text1"/>
            </w:rPr>
            <m:t xml:space="preserve"> </m:t>
          </m:r>
          <m:r>
            <w:rPr>
              <w:rFonts w:ascii="Cambria Math" w:hAnsi="Cambria Math"/>
              <w:color w:val="000000" w:themeColor="text1"/>
            </w:rPr>
            <m:t>group</m:t>
          </m:r>
        </m:oMath>
      </m:oMathPara>
    </w:p>
    <w:p w14:paraId="074CD7F5" w14:textId="77777777" w:rsidR="00B0415C" w:rsidRPr="00B0415C" w:rsidRDefault="00B0415C" w:rsidP="00B0415C">
      <w:pPr>
        <w:spacing w:after="200" w:line="480" w:lineRule="auto"/>
        <w:rPr>
          <w:rFonts w:eastAsia="Calibri"/>
          <w:iCs/>
          <w:color w:val="000000" w:themeColor="text1"/>
          <w:lang w:val="en-US"/>
        </w:rPr>
      </w:pPr>
      <w:r w:rsidRPr="007D663A">
        <w:rPr>
          <w:rFonts w:eastAsia="Calibri"/>
          <w:iCs/>
          <w:color w:val="000000" w:themeColor="text1"/>
          <w:lang w:val="en-US"/>
        </w:rPr>
        <w:t>Adjusting for non-response rate of 10% sample size = 124 per group</w:t>
      </w:r>
      <w:r>
        <w:rPr>
          <w:rFonts w:eastAsia="Calibri"/>
          <w:iCs/>
          <w:color w:val="000000" w:themeColor="text1"/>
          <w:lang w:val="en-US"/>
        </w:rPr>
        <w:t xml:space="preserve">. </w:t>
      </w:r>
      <w:r w:rsidRPr="007D663A">
        <w:rPr>
          <w:rFonts w:eastAsia="Calibri"/>
          <w:iCs/>
          <w:color w:val="000000" w:themeColor="text1"/>
          <w:lang w:val="en-US"/>
        </w:rPr>
        <w:t>Hence, a total of 248 adolescents was selected for this study.</w:t>
      </w:r>
    </w:p>
    <w:p w14:paraId="2A058BA0" w14:textId="77777777" w:rsidR="00C67A21" w:rsidRPr="007D663A" w:rsidRDefault="00C67A21" w:rsidP="00C67A21">
      <w:pPr>
        <w:spacing w:after="200" w:line="480" w:lineRule="auto"/>
        <w:rPr>
          <w:rFonts w:eastAsia="Calibri"/>
          <w:color w:val="000000" w:themeColor="text1"/>
          <w:lang w:val="en-US"/>
        </w:rPr>
      </w:pPr>
      <w:r>
        <w:rPr>
          <w:rFonts w:eastAsia="Calibri"/>
          <w:color w:val="000000" w:themeColor="text1"/>
          <w:lang w:val="en-US"/>
        </w:rPr>
        <w:t>A multi 3</w:t>
      </w:r>
      <w:r w:rsidRPr="007D663A">
        <w:rPr>
          <w:rFonts w:eastAsia="Calibri"/>
          <w:color w:val="000000" w:themeColor="text1"/>
          <w:lang w:val="en-US"/>
        </w:rPr>
        <w:t xml:space="preserve"> stage sampling technique </w:t>
      </w:r>
      <w:r>
        <w:rPr>
          <w:rFonts w:eastAsia="Calibri"/>
          <w:color w:val="000000" w:themeColor="text1"/>
          <w:lang w:val="en-US"/>
        </w:rPr>
        <w:t>was</w:t>
      </w:r>
      <w:r w:rsidRPr="007D663A">
        <w:rPr>
          <w:rFonts w:eastAsia="Calibri"/>
          <w:color w:val="000000" w:themeColor="text1"/>
          <w:lang w:val="en-US"/>
        </w:rPr>
        <w:t xml:space="preserve"> used. </w:t>
      </w:r>
      <w:r>
        <w:rPr>
          <w:rFonts w:eastAsia="Calibri"/>
          <w:color w:val="000000" w:themeColor="text1"/>
          <w:lang w:val="en-US"/>
        </w:rPr>
        <w:t>Firstly, a</w:t>
      </w:r>
      <w:r w:rsidRPr="007D663A">
        <w:rPr>
          <w:rFonts w:eastAsia="Calibri"/>
          <w:color w:val="000000" w:themeColor="text1"/>
          <w:lang w:val="en-US"/>
        </w:rPr>
        <w:t xml:space="preserve"> list of all the secondary schools </w:t>
      </w:r>
      <w:r>
        <w:rPr>
          <w:rFonts w:eastAsia="Calibri"/>
          <w:color w:val="000000" w:themeColor="text1"/>
          <w:lang w:val="en-US"/>
        </w:rPr>
        <w:t>was</w:t>
      </w:r>
      <w:r w:rsidRPr="007D663A">
        <w:rPr>
          <w:rFonts w:eastAsia="Calibri"/>
          <w:color w:val="000000" w:themeColor="text1"/>
          <w:lang w:val="en-US"/>
        </w:rPr>
        <w:t xml:space="preserve"> obtained from the post-primary school management board and the Ministry of Education. The schools </w:t>
      </w:r>
      <w:r>
        <w:rPr>
          <w:rFonts w:eastAsia="Calibri"/>
          <w:color w:val="000000" w:themeColor="text1"/>
          <w:lang w:val="en-US"/>
        </w:rPr>
        <w:t>were</w:t>
      </w:r>
      <w:r w:rsidRPr="007D663A">
        <w:rPr>
          <w:rFonts w:eastAsia="Calibri"/>
          <w:color w:val="000000" w:themeColor="text1"/>
          <w:lang w:val="en-US"/>
        </w:rPr>
        <w:t xml:space="preserve"> stratified into urban or rural schools.</w:t>
      </w:r>
      <w:r>
        <w:rPr>
          <w:rFonts w:eastAsia="Calibri"/>
          <w:color w:val="000000" w:themeColor="text1"/>
          <w:lang w:val="en-US"/>
        </w:rPr>
        <w:t xml:space="preserve"> The second stage was the selection of wards. </w:t>
      </w:r>
      <w:r w:rsidRPr="007D663A">
        <w:rPr>
          <w:rFonts w:eastAsia="Calibri"/>
          <w:color w:val="000000" w:themeColor="text1"/>
          <w:lang w:val="en-US"/>
        </w:rPr>
        <w:t>Using simple random sampling via closed ballot method, 10 wards which represent</w:t>
      </w:r>
      <w:r>
        <w:rPr>
          <w:rFonts w:eastAsia="Calibri"/>
          <w:color w:val="000000" w:themeColor="text1"/>
          <w:lang w:val="en-US"/>
        </w:rPr>
        <w:t>ed</w:t>
      </w:r>
      <w:r w:rsidRPr="007D663A">
        <w:rPr>
          <w:rFonts w:eastAsia="Calibri"/>
          <w:color w:val="000000" w:themeColor="text1"/>
          <w:lang w:val="en-US"/>
        </w:rPr>
        <w:t xml:space="preserve"> </w:t>
      </w:r>
      <w:r w:rsidRPr="007D663A">
        <w:rPr>
          <w:rFonts w:eastAsia="Calibri"/>
          <w:color w:val="000000" w:themeColor="text1"/>
          <w:lang w:val="en-US"/>
        </w:rPr>
        <w:lastRenderedPageBreak/>
        <w:t xml:space="preserve">two-third of the wards </w:t>
      </w:r>
      <w:r>
        <w:rPr>
          <w:rFonts w:eastAsia="Calibri"/>
          <w:color w:val="000000" w:themeColor="text1"/>
          <w:lang w:val="en-US"/>
        </w:rPr>
        <w:t>were selected. This was</w:t>
      </w:r>
      <w:r w:rsidRPr="007D663A">
        <w:rPr>
          <w:rFonts w:eastAsia="Calibri"/>
          <w:color w:val="000000" w:themeColor="text1"/>
          <w:lang w:val="en-US"/>
        </w:rPr>
        <w:t xml:space="preserve"> a good representation of Yenagoa Local Government Area.</w:t>
      </w:r>
    </w:p>
    <w:p w14:paraId="31CA46C0" w14:textId="77777777" w:rsidR="00C67A21" w:rsidRPr="007D663A" w:rsidRDefault="00C67A21" w:rsidP="00C67A21">
      <w:pPr>
        <w:spacing w:after="200" w:line="480" w:lineRule="auto"/>
        <w:rPr>
          <w:rFonts w:eastAsia="Calibri"/>
          <w:color w:val="000000" w:themeColor="text1"/>
          <w:lang w:val="en-US"/>
        </w:rPr>
      </w:pPr>
      <w:r w:rsidRPr="00681DA6">
        <w:rPr>
          <w:rFonts w:eastAsia="Calibri"/>
          <w:bCs/>
          <w:color w:val="000000" w:themeColor="text1"/>
          <w:lang w:val="en-US"/>
        </w:rPr>
        <w:t>In the third stage</w:t>
      </w:r>
      <w:r>
        <w:rPr>
          <w:rFonts w:eastAsia="Calibri"/>
          <w:bCs/>
          <w:color w:val="000000" w:themeColor="text1"/>
          <w:lang w:val="en-US"/>
        </w:rPr>
        <w:t>, t</w:t>
      </w:r>
      <w:r>
        <w:rPr>
          <w:rFonts w:eastAsia="Calibri"/>
          <w:color w:val="000000" w:themeColor="text1"/>
          <w:lang w:val="en-US"/>
        </w:rPr>
        <w:t>here were</w:t>
      </w:r>
      <w:r w:rsidRPr="007D663A">
        <w:rPr>
          <w:rFonts w:eastAsia="Calibri"/>
          <w:color w:val="000000" w:themeColor="text1"/>
          <w:lang w:val="en-US"/>
        </w:rPr>
        <w:t xml:space="preserve"> 54 secondary schools in Yenagoa Local Government Area, comprising of 50 coeducational, 2 all-boys and 2 all-girls schools. Using the list of schools obtained, the schools in each of the 10 selected wards will be stratified into urban and rural schools. From each selected ward, using simple random sampling, one urban and one rural school </w:t>
      </w:r>
      <w:r>
        <w:rPr>
          <w:rFonts w:eastAsia="Calibri"/>
          <w:color w:val="000000" w:themeColor="text1"/>
          <w:lang w:val="en-US"/>
        </w:rPr>
        <w:t>were</w:t>
      </w:r>
      <w:r w:rsidRPr="007D663A">
        <w:rPr>
          <w:rFonts w:eastAsia="Calibri"/>
          <w:color w:val="000000" w:themeColor="text1"/>
          <w:lang w:val="en-US"/>
        </w:rPr>
        <w:t xml:space="preserve"> selected, totaling 20 schools. However, any ward without both urban and rural school </w:t>
      </w:r>
      <w:r>
        <w:rPr>
          <w:rFonts w:eastAsia="Calibri"/>
          <w:color w:val="000000" w:themeColor="text1"/>
          <w:lang w:val="en-US"/>
        </w:rPr>
        <w:t>was</w:t>
      </w:r>
      <w:r w:rsidRPr="007D663A">
        <w:rPr>
          <w:rFonts w:eastAsia="Calibri"/>
          <w:color w:val="000000" w:themeColor="text1"/>
          <w:lang w:val="en-US"/>
        </w:rPr>
        <w:t xml:space="preserve"> replaced.</w:t>
      </w:r>
      <w:r>
        <w:rPr>
          <w:rFonts w:eastAsia="Calibri"/>
          <w:color w:val="000000" w:themeColor="text1"/>
          <w:lang w:val="en-US"/>
        </w:rPr>
        <w:t xml:space="preserve"> I fourth stage, t</w:t>
      </w:r>
      <w:r w:rsidRPr="007D663A">
        <w:rPr>
          <w:rFonts w:eastAsia="Calibri"/>
          <w:color w:val="000000" w:themeColor="text1"/>
          <w:lang w:val="en-US"/>
        </w:rPr>
        <w:t xml:space="preserve">he number of students to be recruited in each school </w:t>
      </w:r>
      <w:r>
        <w:rPr>
          <w:rFonts w:eastAsia="Calibri"/>
          <w:color w:val="000000" w:themeColor="text1"/>
          <w:lang w:val="en-US"/>
        </w:rPr>
        <w:t>was</w:t>
      </w:r>
      <w:r w:rsidRPr="007D663A">
        <w:rPr>
          <w:rFonts w:eastAsia="Calibri"/>
          <w:color w:val="000000" w:themeColor="text1"/>
          <w:lang w:val="en-US"/>
        </w:rPr>
        <w:t xml:space="preserve"> determined by the total number of students in the school using proportionate sampling. This way, a total of 248 students were selected.</w:t>
      </w:r>
    </w:p>
    <w:p w14:paraId="3809147C" w14:textId="77777777" w:rsidR="00D42C20" w:rsidRDefault="00BB2F93">
      <w:pPr>
        <w:pBdr>
          <w:top w:val="nil"/>
          <w:left w:val="nil"/>
          <w:bottom w:val="nil"/>
          <w:right w:val="nil"/>
          <w:between w:val="nil"/>
        </w:pBdr>
        <w:spacing w:line="480" w:lineRule="auto"/>
        <w:rPr>
          <w:color w:val="000000"/>
        </w:rPr>
      </w:pPr>
      <w:r>
        <w:rPr>
          <w:color w:val="000000"/>
        </w:rPr>
        <w:t>Data were collected using a structured, interviewer-administered, closed-ended questionnaire titled Predictors and Influence of Parent-Adolescent Communication Questionnaire (PIPACQ)</w:t>
      </w:r>
      <w:r>
        <w:rPr>
          <w:i/>
          <w:color w:val="000000"/>
        </w:rPr>
        <w:t>,</w:t>
      </w:r>
      <w:r>
        <w:rPr>
          <w:color w:val="000000"/>
        </w:rPr>
        <w:t xml:space="preserve"> adapted from previous studies by </w:t>
      </w:r>
      <w:proofErr w:type="spellStart"/>
      <w:r>
        <w:rPr>
          <w:color w:val="000000"/>
        </w:rPr>
        <w:t>Kusheta</w:t>
      </w:r>
      <w:proofErr w:type="spellEnd"/>
      <w:r>
        <w:rPr>
          <w:color w:val="000000"/>
        </w:rPr>
        <w:t xml:space="preserve"> et al.,</w:t>
      </w:r>
      <w:r>
        <w:rPr>
          <w:color w:val="000000"/>
          <w:vertAlign w:val="superscript"/>
        </w:rPr>
        <w:t>12</w:t>
      </w:r>
      <w:r>
        <w:rPr>
          <w:color w:val="000000"/>
        </w:rPr>
        <w:t xml:space="preserve"> Manu et al.,</w:t>
      </w:r>
      <w:r>
        <w:rPr>
          <w:color w:val="000000"/>
          <w:vertAlign w:val="superscript"/>
        </w:rPr>
        <w:t>13</w:t>
      </w:r>
      <w:r>
        <w:rPr>
          <w:color w:val="000000"/>
        </w:rPr>
        <w:t xml:space="preserve"> Elegbe</w:t>
      </w:r>
      <w:r>
        <w:rPr>
          <w:color w:val="000000"/>
          <w:vertAlign w:val="superscript"/>
        </w:rPr>
        <w:t>14</w:t>
      </w:r>
      <w:r>
        <w:rPr>
          <w:color w:val="000000"/>
        </w:rPr>
        <w:t xml:space="preserve">, and </w:t>
      </w:r>
      <w:proofErr w:type="spellStart"/>
      <w:r>
        <w:rPr>
          <w:color w:val="000000"/>
        </w:rPr>
        <w:t>Yibrehu</w:t>
      </w:r>
      <w:proofErr w:type="spellEnd"/>
      <w:r>
        <w:rPr>
          <w:color w:val="000000"/>
        </w:rPr>
        <w:t>&amp; Mbwele</w:t>
      </w:r>
      <w:r>
        <w:rPr>
          <w:color w:val="000000"/>
          <w:vertAlign w:val="superscript"/>
        </w:rPr>
        <w:t>15</w:t>
      </w:r>
      <w:r>
        <w:rPr>
          <w:color w:val="000000"/>
        </w:rPr>
        <w:t>. The instrument assessed the practices and perceptions of parent-adolescent communication among adolescents in rural and urban schools in Bayelsa State.</w:t>
      </w:r>
    </w:p>
    <w:p w14:paraId="4F639FA1" w14:textId="77777777" w:rsidR="00D42C20" w:rsidRDefault="00BB2F93">
      <w:pPr>
        <w:pBdr>
          <w:top w:val="nil"/>
          <w:left w:val="nil"/>
          <w:bottom w:val="nil"/>
          <w:right w:val="nil"/>
          <w:between w:val="nil"/>
        </w:pBdr>
        <w:spacing w:line="480" w:lineRule="auto"/>
        <w:rPr>
          <w:color w:val="000000"/>
        </w:rPr>
      </w:pPr>
      <w:r>
        <w:rPr>
          <w:color w:val="000000"/>
        </w:rPr>
        <w:t>Data collection lasted one month and was carried out by trained research assistants who underwent three-day training on the questionnaire and administration procedures. The instrument was pre-tested to identify shortcomings, and necessary modifications were made to improve its reliability and usability.</w:t>
      </w:r>
    </w:p>
    <w:p w14:paraId="3BEFC160" w14:textId="77777777" w:rsidR="00D42C20" w:rsidRDefault="00BB2F93">
      <w:pPr>
        <w:spacing w:line="480" w:lineRule="auto"/>
        <w:rPr>
          <w:color w:val="000000"/>
        </w:rPr>
      </w:pPr>
      <w:r>
        <w:rPr>
          <w:color w:val="000000"/>
        </w:rPr>
        <w:t xml:space="preserve">Descriptive statistics such </w:t>
      </w:r>
      <w:r w:rsidR="009E2B3C">
        <w:rPr>
          <w:color w:val="000000"/>
        </w:rPr>
        <w:t xml:space="preserve">as frequencies and percentages </w:t>
      </w:r>
      <w:r>
        <w:rPr>
          <w:color w:val="000000"/>
        </w:rPr>
        <w:t xml:space="preserve">were used to answer </w:t>
      </w:r>
      <w:r w:rsidR="009E2B3C">
        <w:rPr>
          <w:color w:val="000000"/>
        </w:rPr>
        <w:t xml:space="preserve">the research questions. </w:t>
      </w:r>
    </w:p>
    <w:p w14:paraId="77DA4A33" w14:textId="77777777" w:rsidR="009E2B3C" w:rsidRDefault="009E2B3C">
      <w:pPr>
        <w:spacing w:line="480" w:lineRule="auto"/>
        <w:rPr>
          <w:color w:val="000000"/>
        </w:rPr>
      </w:pPr>
    </w:p>
    <w:p w14:paraId="0C5D8DED" w14:textId="77777777" w:rsidR="009E2B3C" w:rsidRDefault="009E2B3C">
      <w:pPr>
        <w:spacing w:line="480" w:lineRule="auto"/>
        <w:rPr>
          <w:color w:val="000000"/>
        </w:rPr>
      </w:pPr>
    </w:p>
    <w:p w14:paraId="7C1A7943" w14:textId="77777777" w:rsidR="00D42C20" w:rsidRDefault="00D42C20">
      <w:pPr>
        <w:pBdr>
          <w:top w:val="nil"/>
          <w:left w:val="nil"/>
          <w:bottom w:val="nil"/>
          <w:right w:val="nil"/>
          <w:between w:val="nil"/>
        </w:pBdr>
        <w:spacing w:line="480" w:lineRule="auto"/>
        <w:rPr>
          <w:color w:val="000000"/>
        </w:rPr>
      </w:pPr>
    </w:p>
    <w:p w14:paraId="1EAAFA13" w14:textId="77777777" w:rsidR="00005521" w:rsidRDefault="00005521">
      <w:pPr>
        <w:pBdr>
          <w:top w:val="nil"/>
          <w:left w:val="nil"/>
          <w:bottom w:val="nil"/>
          <w:right w:val="nil"/>
          <w:between w:val="nil"/>
        </w:pBdr>
        <w:spacing w:line="480" w:lineRule="auto"/>
        <w:rPr>
          <w:color w:val="000000"/>
        </w:rPr>
      </w:pPr>
    </w:p>
    <w:p w14:paraId="204872C3" w14:textId="77777777" w:rsidR="00D42C20" w:rsidRDefault="00BB2F93">
      <w:pPr>
        <w:rPr>
          <w:b/>
        </w:rPr>
      </w:pPr>
      <w:r>
        <w:rPr>
          <w:b/>
        </w:rPr>
        <w:lastRenderedPageBreak/>
        <w:t>Results</w:t>
      </w:r>
    </w:p>
    <w:p w14:paraId="16675DBD" w14:textId="77777777" w:rsidR="00D42C20" w:rsidRDefault="00D42C20">
      <w:pPr>
        <w:rPr>
          <w:b/>
        </w:rPr>
      </w:pPr>
    </w:p>
    <w:p w14:paraId="1683C64C" w14:textId="77777777" w:rsidR="00D42C20" w:rsidRDefault="00BB2F93">
      <w:pPr>
        <w:spacing w:line="480" w:lineRule="auto"/>
        <w:rPr>
          <w:color w:val="000000"/>
        </w:rPr>
      </w:pPr>
      <w:bookmarkStart w:id="3" w:name="_aaax5rqa6hzu" w:colFirst="0" w:colLast="0"/>
      <w:bookmarkEnd w:id="3"/>
      <w:r>
        <w:rPr>
          <w:b/>
          <w:color w:val="000000"/>
        </w:rPr>
        <w:t xml:space="preserve">Objective One: </w:t>
      </w:r>
      <w:r>
        <w:rPr>
          <w:color w:val="000000"/>
        </w:rPr>
        <w:t>The key predictors of parent-adolescent communication among adolescents in urban and rural secondary schools in Bayelsa State.</w:t>
      </w:r>
    </w:p>
    <w:p w14:paraId="585B12A5" w14:textId="77777777" w:rsidR="00D42C20" w:rsidRDefault="00BB2F93">
      <w:pPr>
        <w:rPr>
          <w:b/>
          <w:color w:val="000000"/>
        </w:rPr>
      </w:pPr>
      <w:r>
        <w:rPr>
          <w:b/>
          <w:color w:val="000000"/>
        </w:rPr>
        <w:t xml:space="preserve">Table 1: Summary of frequency, </w:t>
      </w:r>
      <w:r w:rsidR="00693119">
        <w:rPr>
          <w:b/>
          <w:color w:val="000000"/>
        </w:rPr>
        <w:t xml:space="preserve">and </w:t>
      </w:r>
      <w:r>
        <w:rPr>
          <w:b/>
          <w:color w:val="000000"/>
        </w:rPr>
        <w:t>percentages, on the key predictors of parent-adolescent communication among adolescents in urban and rural secondary schools in Bayelsa State</w:t>
      </w:r>
    </w:p>
    <w:tbl>
      <w:tblPr>
        <w:tblStyle w:val="a"/>
        <w:tblpPr w:leftFromText="180" w:rightFromText="180" w:vertAnchor="text" w:tblpY="1"/>
        <w:tblW w:w="9889" w:type="dxa"/>
        <w:tblInd w:w="0" w:type="dxa"/>
        <w:tblLayout w:type="fixed"/>
        <w:tblLook w:val="0400" w:firstRow="0" w:lastRow="0" w:firstColumn="0" w:lastColumn="0" w:noHBand="0" w:noVBand="1"/>
      </w:tblPr>
      <w:tblGrid>
        <w:gridCol w:w="3510"/>
        <w:gridCol w:w="1985"/>
        <w:gridCol w:w="1417"/>
        <w:gridCol w:w="1276"/>
        <w:gridCol w:w="1701"/>
      </w:tblGrid>
      <w:tr w:rsidR="00693119" w14:paraId="3C9D2070" w14:textId="77777777" w:rsidTr="00E755B6">
        <w:trPr>
          <w:trHeight w:val="275"/>
        </w:trPr>
        <w:tc>
          <w:tcPr>
            <w:tcW w:w="3510" w:type="dxa"/>
            <w:vMerge w:val="restart"/>
            <w:tcBorders>
              <w:top w:val="single" w:sz="4" w:space="0" w:color="auto"/>
            </w:tcBorders>
          </w:tcPr>
          <w:p w14:paraId="38E73742"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Items</w:t>
            </w:r>
          </w:p>
        </w:tc>
        <w:tc>
          <w:tcPr>
            <w:tcW w:w="1985" w:type="dxa"/>
            <w:vMerge w:val="restart"/>
            <w:tcBorders>
              <w:top w:val="single" w:sz="4" w:space="0" w:color="auto"/>
            </w:tcBorders>
          </w:tcPr>
          <w:p w14:paraId="193FA75C"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Response Option </w:t>
            </w:r>
          </w:p>
        </w:tc>
        <w:tc>
          <w:tcPr>
            <w:tcW w:w="1417" w:type="dxa"/>
            <w:vMerge w:val="restart"/>
            <w:tcBorders>
              <w:top w:val="single" w:sz="4" w:space="0" w:color="auto"/>
            </w:tcBorders>
          </w:tcPr>
          <w:p w14:paraId="3A0439BB"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(n=248)</w:t>
            </w:r>
          </w:p>
        </w:tc>
        <w:tc>
          <w:tcPr>
            <w:tcW w:w="2977" w:type="dxa"/>
            <w:gridSpan w:val="2"/>
            <w:tcBorders>
              <w:top w:val="single" w:sz="4" w:space="0" w:color="auto"/>
            </w:tcBorders>
          </w:tcPr>
          <w:p w14:paraId="4F279572"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Region</w:t>
            </w:r>
          </w:p>
        </w:tc>
      </w:tr>
      <w:tr w:rsidR="00693119" w14:paraId="6EE9FC8A" w14:textId="77777777" w:rsidTr="00E755B6">
        <w:trPr>
          <w:trHeight w:val="275"/>
        </w:trPr>
        <w:tc>
          <w:tcPr>
            <w:tcW w:w="3510" w:type="dxa"/>
            <w:vMerge/>
            <w:tcBorders>
              <w:bottom w:val="single" w:sz="4" w:space="0" w:color="auto"/>
            </w:tcBorders>
          </w:tcPr>
          <w:p w14:paraId="72F24359"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vMerge/>
            <w:tcBorders>
              <w:bottom w:val="single" w:sz="4" w:space="0" w:color="auto"/>
            </w:tcBorders>
          </w:tcPr>
          <w:p w14:paraId="530EA54B"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417" w:type="dxa"/>
            <w:vMerge/>
            <w:tcBorders>
              <w:bottom w:val="single" w:sz="4" w:space="0" w:color="auto"/>
            </w:tcBorders>
          </w:tcPr>
          <w:p w14:paraId="73E800BD"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6" w:type="dxa"/>
            <w:tcBorders>
              <w:bottom w:val="single" w:sz="4" w:space="0" w:color="auto"/>
            </w:tcBorders>
            <w:vAlign w:val="center"/>
          </w:tcPr>
          <w:p w14:paraId="26715257"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Urban</w:t>
            </w:r>
          </w:p>
          <w:p w14:paraId="64709ADC"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701" w:type="dxa"/>
            <w:tcBorders>
              <w:bottom w:val="single" w:sz="4" w:space="0" w:color="auto"/>
            </w:tcBorders>
            <w:vAlign w:val="center"/>
          </w:tcPr>
          <w:p w14:paraId="4EF1E028"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Rural</w:t>
            </w:r>
          </w:p>
          <w:p w14:paraId="30315080"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r>
      <w:tr w:rsidR="00693119" w14:paraId="553776CE" w14:textId="77777777" w:rsidTr="00E755B6">
        <w:trPr>
          <w:trHeight w:val="560"/>
        </w:trPr>
        <w:tc>
          <w:tcPr>
            <w:tcW w:w="3510" w:type="dxa"/>
            <w:vMerge w:val="restart"/>
            <w:tcBorders>
              <w:top w:val="single" w:sz="4" w:space="0" w:color="auto"/>
            </w:tcBorders>
            <w:vAlign w:val="center"/>
          </w:tcPr>
          <w:p w14:paraId="218A2342"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 feel your gender influences how much your parents talk to you about these issues?</w:t>
            </w:r>
          </w:p>
        </w:tc>
        <w:tc>
          <w:tcPr>
            <w:tcW w:w="1985" w:type="dxa"/>
            <w:tcBorders>
              <w:top w:val="single" w:sz="4" w:space="0" w:color="auto"/>
            </w:tcBorders>
            <w:vAlign w:val="center"/>
          </w:tcPr>
          <w:p w14:paraId="4B776ED2"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7" w:type="dxa"/>
            <w:tcBorders>
              <w:top w:val="single" w:sz="4" w:space="0" w:color="auto"/>
            </w:tcBorders>
            <w:vAlign w:val="center"/>
          </w:tcPr>
          <w:p w14:paraId="3FE351F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 (56.9%)</w:t>
            </w:r>
          </w:p>
        </w:tc>
        <w:tc>
          <w:tcPr>
            <w:tcW w:w="1276" w:type="dxa"/>
            <w:tcBorders>
              <w:top w:val="single" w:sz="4" w:space="0" w:color="auto"/>
            </w:tcBorders>
            <w:vAlign w:val="center"/>
          </w:tcPr>
          <w:p w14:paraId="0ECB7AB9"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(56.5%)</w:t>
            </w:r>
          </w:p>
        </w:tc>
        <w:tc>
          <w:tcPr>
            <w:tcW w:w="1701" w:type="dxa"/>
            <w:tcBorders>
              <w:top w:val="single" w:sz="4" w:space="0" w:color="auto"/>
            </w:tcBorders>
            <w:vAlign w:val="center"/>
          </w:tcPr>
          <w:p w14:paraId="2F2FBB76"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(57.3%)</w:t>
            </w:r>
          </w:p>
        </w:tc>
      </w:tr>
      <w:tr w:rsidR="00693119" w14:paraId="3790C738" w14:textId="77777777" w:rsidTr="00E755B6">
        <w:tc>
          <w:tcPr>
            <w:tcW w:w="3510" w:type="dxa"/>
            <w:vMerge/>
            <w:vAlign w:val="center"/>
          </w:tcPr>
          <w:p w14:paraId="4BD5ADFA"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5F80344C"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417" w:type="dxa"/>
            <w:vAlign w:val="center"/>
          </w:tcPr>
          <w:p w14:paraId="546337B4"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 (43.1%)</w:t>
            </w:r>
          </w:p>
        </w:tc>
        <w:tc>
          <w:tcPr>
            <w:tcW w:w="1276" w:type="dxa"/>
            <w:vAlign w:val="center"/>
          </w:tcPr>
          <w:p w14:paraId="7D5CC409"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(43.5%)</w:t>
            </w:r>
          </w:p>
        </w:tc>
        <w:tc>
          <w:tcPr>
            <w:tcW w:w="1701" w:type="dxa"/>
            <w:vAlign w:val="center"/>
          </w:tcPr>
          <w:p w14:paraId="6AD990B1"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 (42.7%)</w:t>
            </w:r>
          </w:p>
        </w:tc>
      </w:tr>
      <w:tr w:rsidR="00693119" w14:paraId="3822EE3E" w14:textId="77777777" w:rsidTr="00E755B6">
        <w:trPr>
          <w:trHeight w:val="731"/>
        </w:trPr>
        <w:tc>
          <w:tcPr>
            <w:tcW w:w="3510" w:type="dxa"/>
            <w:vMerge w:val="restart"/>
            <w:vAlign w:val="center"/>
          </w:tcPr>
          <w:p w14:paraId="48377EFE"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Does your parent’s level of education affect their willingness to discuss these topics?</w:t>
            </w:r>
          </w:p>
        </w:tc>
        <w:tc>
          <w:tcPr>
            <w:tcW w:w="1985" w:type="dxa"/>
            <w:vAlign w:val="center"/>
          </w:tcPr>
          <w:p w14:paraId="140FB356"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7" w:type="dxa"/>
            <w:vAlign w:val="center"/>
          </w:tcPr>
          <w:p w14:paraId="395FB4A6"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(70.2%)</w:t>
            </w:r>
          </w:p>
        </w:tc>
        <w:tc>
          <w:tcPr>
            <w:tcW w:w="1276" w:type="dxa"/>
            <w:vAlign w:val="center"/>
          </w:tcPr>
          <w:p w14:paraId="27A205F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 (74.2%)</w:t>
            </w:r>
          </w:p>
        </w:tc>
        <w:tc>
          <w:tcPr>
            <w:tcW w:w="1701" w:type="dxa"/>
            <w:vAlign w:val="center"/>
          </w:tcPr>
          <w:p w14:paraId="0DCACCE4"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 (66.1%)</w:t>
            </w:r>
          </w:p>
        </w:tc>
      </w:tr>
      <w:tr w:rsidR="00693119" w14:paraId="5D1600FE" w14:textId="77777777" w:rsidTr="00E755B6">
        <w:tc>
          <w:tcPr>
            <w:tcW w:w="3510" w:type="dxa"/>
            <w:vMerge/>
            <w:vAlign w:val="center"/>
          </w:tcPr>
          <w:p w14:paraId="2F1A88D5"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280011B9"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417" w:type="dxa"/>
            <w:vAlign w:val="center"/>
          </w:tcPr>
          <w:p w14:paraId="25B49E7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(29.8%)</w:t>
            </w:r>
          </w:p>
        </w:tc>
        <w:tc>
          <w:tcPr>
            <w:tcW w:w="1276" w:type="dxa"/>
            <w:vAlign w:val="center"/>
          </w:tcPr>
          <w:p w14:paraId="1D3097F9"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(25.8%)</w:t>
            </w:r>
          </w:p>
        </w:tc>
        <w:tc>
          <w:tcPr>
            <w:tcW w:w="1701" w:type="dxa"/>
            <w:vAlign w:val="center"/>
          </w:tcPr>
          <w:p w14:paraId="6C42E347"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(33.9%)</w:t>
            </w:r>
          </w:p>
        </w:tc>
      </w:tr>
      <w:tr w:rsidR="00693119" w14:paraId="1E45658E" w14:textId="77777777" w:rsidTr="00E755B6">
        <w:tc>
          <w:tcPr>
            <w:tcW w:w="3510" w:type="dxa"/>
            <w:vMerge w:val="restart"/>
            <w:vAlign w:val="center"/>
          </w:tcPr>
          <w:p w14:paraId="30310730"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 believe parental income level affects PAC practices?</w:t>
            </w:r>
          </w:p>
        </w:tc>
        <w:tc>
          <w:tcPr>
            <w:tcW w:w="1985" w:type="dxa"/>
            <w:vAlign w:val="center"/>
          </w:tcPr>
          <w:p w14:paraId="63ED7A07"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7" w:type="dxa"/>
            <w:vAlign w:val="center"/>
          </w:tcPr>
          <w:p w14:paraId="286F4439"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 (66.1%)</w:t>
            </w:r>
          </w:p>
        </w:tc>
        <w:tc>
          <w:tcPr>
            <w:tcW w:w="1276" w:type="dxa"/>
            <w:vAlign w:val="center"/>
          </w:tcPr>
          <w:p w14:paraId="4F9904D7"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 (71.0%)</w:t>
            </w:r>
          </w:p>
        </w:tc>
        <w:tc>
          <w:tcPr>
            <w:tcW w:w="1701" w:type="dxa"/>
            <w:vAlign w:val="center"/>
          </w:tcPr>
          <w:p w14:paraId="3C5B868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 (61.3%)</w:t>
            </w:r>
          </w:p>
        </w:tc>
      </w:tr>
      <w:tr w:rsidR="00693119" w14:paraId="1F453FA5" w14:textId="77777777" w:rsidTr="00E755B6">
        <w:tc>
          <w:tcPr>
            <w:tcW w:w="3510" w:type="dxa"/>
            <w:vMerge/>
            <w:vAlign w:val="center"/>
          </w:tcPr>
          <w:p w14:paraId="6755B101"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5D746AF3"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417" w:type="dxa"/>
            <w:vAlign w:val="center"/>
          </w:tcPr>
          <w:p w14:paraId="5637C23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 (33.9%)</w:t>
            </w:r>
          </w:p>
        </w:tc>
        <w:tc>
          <w:tcPr>
            <w:tcW w:w="1276" w:type="dxa"/>
            <w:vAlign w:val="center"/>
          </w:tcPr>
          <w:p w14:paraId="3422C54C"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(29.0%)</w:t>
            </w:r>
          </w:p>
        </w:tc>
        <w:tc>
          <w:tcPr>
            <w:tcW w:w="1701" w:type="dxa"/>
            <w:vAlign w:val="center"/>
          </w:tcPr>
          <w:p w14:paraId="34F7BE1D"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(38.7%)</w:t>
            </w:r>
          </w:p>
        </w:tc>
      </w:tr>
      <w:tr w:rsidR="00693119" w14:paraId="6420589A" w14:textId="77777777" w:rsidTr="00E755B6">
        <w:trPr>
          <w:trHeight w:val="358"/>
        </w:trPr>
        <w:tc>
          <w:tcPr>
            <w:tcW w:w="3510" w:type="dxa"/>
            <w:vMerge w:val="restart"/>
            <w:vAlign w:val="center"/>
          </w:tcPr>
          <w:p w14:paraId="3EA76001"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Which of the following best describes your parent(s)' openness to sexual health conversations?</w:t>
            </w:r>
          </w:p>
        </w:tc>
        <w:tc>
          <w:tcPr>
            <w:tcW w:w="1985" w:type="dxa"/>
            <w:vAlign w:val="center"/>
          </w:tcPr>
          <w:p w14:paraId="361ACFA5"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open</w:t>
            </w:r>
          </w:p>
        </w:tc>
        <w:tc>
          <w:tcPr>
            <w:tcW w:w="1417" w:type="dxa"/>
            <w:vAlign w:val="center"/>
          </w:tcPr>
          <w:p w14:paraId="3D9CB925"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(21.0%)</w:t>
            </w:r>
          </w:p>
        </w:tc>
        <w:tc>
          <w:tcPr>
            <w:tcW w:w="1276" w:type="dxa"/>
            <w:vAlign w:val="center"/>
          </w:tcPr>
          <w:p w14:paraId="40778FDE"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(25.8%)</w:t>
            </w:r>
          </w:p>
        </w:tc>
        <w:tc>
          <w:tcPr>
            <w:tcW w:w="1701" w:type="dxa"/>
            <w:vAlign w:val="center"/>
          </w:tcPr>
          <w:p w14:paraId="45D6FFCE"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(16.1%)</w:t>
            </w:r>
          </w:p>
        </w:tc>
      </w:tr>
      <w:tr w:rsidR="00693119" w14:paraId="724D2FB2" w14:textId="77777777" w:rsidTr="00E755B6">
        <w:trPr>
          <w:trHeight w:val="545"/>
        </w:trPr>
        <w:tc>
          <w:tcPr>
            <w:tcW w:w="3510" w:type="dxa"/>
            <w:vMerge/>
            <w:vAlign w:val="center"/>
          </w:tcPr>
          <w:p w14:paraId="47F3F2D2"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74B74B30"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Somewhat open</w:t>
            </w:r>
          </w:p>
        </w:tc>
        <w:tc>
          <w:tcPr>
            <w:tcW w:w="1417" w:type="dxa"/>
            <w:vAlign w:val="center"/>
          </w:tcPr>
          <w:p w14:paraId="36CC55A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 (47.6%)</w:t>
            </w:r>
          </w:p>
        </w:tc>
        <w:tc>
          <w:tcPr>
            <w:tcW w:w="1276" w:type="dxa"/>
            <w:vAlign w:val="center"/>
          </w:tcPr>
          <w:p w14:paraId="57FF43E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 (50.0%)</w:t>
            </w:r>
          </w:p>
        </w:tc>
        <w:tc>
          <w:tcPr>
            <w:tcW w:w="1701" w:type="dxa"/>
            <w:vAlign w:val="center"/>
          </w:tcPr>
          <w:p w14:paraId="76DC08DE"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 (45.2%)</w:t>
            </w:r>
          </w:p>
        </w:tc>
      </w:tr>
      <w:tr w:rsidR="00693119" w14:paraId="232E098D" w14:textId="77777777" w:rsidTr="00E755B6">
        <w:trPr>
          <w:trHeight w:val="168"/>
        </w:trPr>
        <w:tc>
          <w:tcPr>
            <w:tcW w:w="3510" w:type="dxa"/>
            <w:vMerge/>
            <w:vAlign w:val="center"/>
          </w:tcPr>
          <w:p w14:paraId="162BB408"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25A64DD5"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Not open</w:t>
            </w:r>
          </w:p>
        </w:tc>
        <w:tc>
          <w:tcPr>
            <w:tcW w:w="1417" w:type="dxa"/>
            <w:vAlign w:val="center"/>
          </w:tcPr>
          <w:p w14:paraId="78049D5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 (31.5%)</w:t>
            </w:r>
          </w:p>
        </w:tc>
        <w:tc>
          <w:tcPr>
            <w:tcW w:w="1276" w:type="dxa"/>
            <w:vAlign w:val="center"/>
          </w:tcPr>
          <w:p w14:paraId="641454CA"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(24.2%)</w:t>
            </w:r>
          </w:p>
        </w:tc>
        <w:tc>
          <w:tcPr>
            <w:tcW w:w="1701" w:type="dxa"/>
            <w:vAlign w:val="center"/>
          </w:tcPr>
          <w:p w14:paraId="7B05A8EA"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(38.7%)</w:t>
            </w:r>
          </w:p>
        </w:tc>
      </w:tr>
      <w:tr w:rsidR="00693119" w14:paraId="45B9040D" w14:textId="77777777" w:rsidTr="00E755B6">
        <w:trPr>
          <w:trHeight w:val="445"/>
        </w:trPr>
        <w:tc>
          <w:tcPr>
            <w:tcW w:w="3510" w:type="dxa"/>
            <w:vMerge w:val="restart"/>
            <w:vAlign w:val="center"/>
          </w:tcPr>
          <w:p w14:paraId="38313978"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Have you received sexual education at school that encouraged PAC?</w:t>
            </w:r>
          </w:p>
        </w:tc>
        <w:tc>
          <w:tcPr>
            <w:tcW w:w="1985" w:type="dxa"/>
            <w:vAlign w:val="center"/>
          </w:tcPr>
          <w:p w14:paraId="537682DD"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7" w:type="dxa"/>
            <w:vAlign w:val="center"/>
          </w:tcPr>
          <w:p w14:paraId="04874310"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 (62.9%)</w:t>
            </w:r>
          </w:p>
        </w:tc>
        <w:tc>
          <w:tcPr>
            <w:tcW w:w="1276" w:type="dxa"/>
            <w:vAlign w:val="center"/>
          </w:tcPr>
          <w:p w14:paraId="54246A11"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 (72.6%)</w:t>
            </w:r>
          </w:p>
        </w:tc>
        <w:tc>
          <w:tcPr>
            <w:tcW w:w="1701" w:type="dxa"/>
            <w:vAlign w:val="center"/>
          </w:tcPr>
          <w:p w14:paraId="1406034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(53.2%)</w:t>
            </w:r>
          </w:p>
        </w:tc>
      </w:tr>
      <w:tr w:rsidR="00693119" w14:paraId="1F95BBA3" w14:textId="77777777" w:rsidTr="00E755B6">
        <w:trPr>
          <w:trHeight w:val="187"/>
        </w:trPr>
        <w:tc>
          <w:tcPr>
            <w:tcW w:w="3510" w:type="dxa"/>
            <w:vMerge/>
            <w:vAlign w:val="center"/>
          </w:tcPr>
          <w:p w14:paraId="65DD3C37"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735BED7C"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417" w:type="dxa"/>
            <w:vAlign w:val="center"/>
          </w:tcPr>
          <w:p w14:paraId="28B2904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 (37.1%)</w:t>
            </w:r>
          </w:p>
        </w:tc>
        <w:tc>
          <w:tcPr>
            <w:tcW w:w="1276" w:type="dxa"/>
            <w:vAlign w:val="center"/>
          </w:tcPr>
          <w:p w14:paraId="6555D2BA"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(27.4%)</w:t>
            </w:r>
          </w:p>
        </w:tc>
        <w:tc>
          <w:tcPr>
            <w:tcW w:w="1701" w:type="dxa"/>
            <w:vAlign w:val="center"/>
          </w:tcPr>
          <w:p w14:paraId="288208B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 (46.8%)</w:t>
            </w:r>
          </w:p>
        </w:tc>
      </w:tr>
      <w:tr w:rsidR="00693119" w14:paraId="2280D190" w14:textId="77777777" w:rsidTr="00E755B6">
        <w:trPr>
          <w:trHeight w:val="114"/>
        </w:trPr>
        <w:tc>
          <w:tcPr>
            <w:tcW w:w="3510" w:type="dxa"/>
            <w:vMerge w:val="restart"/>
            <w:vAlign w:val="center"/>
          </w:tcPr>
          <w:p w14:paraId="4E4C1D8D"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have easy access to my parents at home</w:t>
            </w:r>
          </w:p>
        </w:tc>
        <w:tc>
          <w:tcPr>
            <w:tcW w:w="1985" w:type="dxa"/>
            <w:vAlign w:val="center"/>
          </w:tcPr>
          <w:p w14:paraId="5916930C"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7" w:type="dxa"/>
            <w:vAlign w:val="center"/>
          </w:tcPr>
          <w:p w14:paraId="5214119E"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 (73.0%)</w:t>
            </w:r>
          </w:p>
        </w:tc>
        <w:tc>
          <w:tcPr>
            <w:tcW w:w="1276" w:type="dxa"/>
            <w:vAlign w:val="center"/>
          </w:tcPr>
          <w:p w14:paraId="66F4C791"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 (77.4%)</w:t>
            </w:r>
          </w:p>
        </w:tc>
        <w:tc>
          <w:tcPr>
            <w:tcW w:w="1701" w:type="dxa"/>
            <w:vAlign w:val="center"/>
          </w:tcPr>
          <w:p w14:paraId="5798F877"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(68.5%)</w:t>
            </w:r>
          </w:p>
        </w:tc>
      </w:tr>
      <w:tr w:rsidR="00693119" w14:paraId="3FD82EA1" w14:textId="77777777" w:rsidTr="00E755B6">
        <w:trPr>
          <w:trHeight w:val="114"/>
        </w:trPr>
        <w:tc>
          <w:tcPr>
            <w:tcW w:w="3510" w:type="dxa"/>
            <w:vMerge/>
            <w:vAlign w:val="center"/>
          </w:tcPr>
          <w:p w14:paraId="42F43D1B"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2ED90CB3"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417" w:type="dxa"/>
            <w:vAlign w:val="center"/>
          </w:tcPr>
          <w:p w14:paraId="57C90B56"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 (27.0%)</w:t>
            </w:r>
          </w:p>
        </w:tc>
        <w:tc>
          <w:tcPr>
            <w:tcW w:w="1276" w:type="dxa"/>
            <w:vAlign w:val="center"/>
          </w:tcPr>
          <w:p w14:paraId="56C4DA0D"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(22.6%)</w:t>
            </w:r>
          </w:p>
        </w:tc>
        <w:tc>
          <w:tcPr>
            <w:tcW w:w="1701" w:type="dxa"/>
            <w:vAlign w:val="center"/>
          </w:tcPr>
          <w:p w14:paraId="58EE0F9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(31.5%)</w:t>
            </w:r>
          </w:p>
        </w:tc>
      </w:tr>
      <w:tr w:rsidR="00693119" w14:paraId="5A7A886A" w14:textId="77777777" w:rsidTr="00E755B6">
        <w:trPr>
          <w:trHeight w:val="493"/>
        </w:trPr>
        <w:tc>
          <w:tcPr>
            <w:tcW w:w="3510" w:type="dxa"/>
            <w:vMerge w:val="restart"/>
            <w:vAlign w:val="center"/>
          </w:tcPr>
          <w:p w14:paraId="6381A11D"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Which of the following best describes your parent’s attitude toward sex education?</w:t>
            </w:r>
          </w:p>
        </w:tc>
        <w:tc>
          <w:tcPr>
            <w:tcW w:w="1985" w:type="dxa"/>
            <w:vAlign w:val="center"/>
          </w:tcPr>
          <w:p w14:paraId="7F0ED270"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Supportive</w:t>
            </w:r>
          </w:p>
        </w:tc>
        <w:tc>
          <w:tcPr>
            <w:tcW w:w="1417" w:type="dxa"/>
            <w:vAlign w:val="center"/>
          </w:tcPr>
          <w:p w14:paraId="76AC0B05"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 (42.7%)</w:t>
            </w:r>
          </w:p>
        </w:tc>
        <w:tc>
          <w:tcPr>
            <w:tcW w:w="1276" w:type="dxa"/>
            <w:vAlign w:val="center"/>
          </w:tcPr>
          <w:p w14:paraId="412FB43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(48.4%)</w:t>
            </w:r>
          </w:p>
        </w:tc>
        <w:tc>
          <w:tcPr>
            <w:tcW w:w="1701" w:type="dxa"/>
            <w:vAlign w:val="center"/>
          </w:tcPr>
          <w:p w14:paraId="5E22072F"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r>
      <w:tr w:rsidR="00693119" w14:paraId="50C9889B" w14:textId="77777777" w:rsidTr="00E755B6">
        <w:trPr>
          <w:trHeight w:val="401"/>
        </w:trPr>
        <w:tc>
          <w:tcPr>
            <w:tcW w:w="3510" w:type="dxa"/>
            <w:vMerge/>
            <w:vAlign w:val="center"/>
          </w:tcPr>
          <w:p w14:paraId="29D02B64"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321D6FD9"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Neutral</w:t>
            </w:r>
          </w:p>
        </w:tc>
        <w:tc>
          <w:tcPr>
            <w:tcW w:w="1417" w:type="dxa"/>
            <w:vAlign w:val="center"/>
          </w:tcPr>
          <w:p w14:paraId="2E58AD7A"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 (33.1%)</w:t>
            </w:r>
          </w:p>
        </w:tc>
        <w:tc>
          <w:tcPr>
            <w:tcW w:w="1276" w:type="dxa"/>
            <w:vAlign w:val="center"/>
          </w:tcPr>
          <w:p w14:paraId="1B03EC67"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(30.6%)</w:t>
            </w:r>
          </w:p>
        </w:tc>
        <w:tc>
          <w:tcPr>
            <w:tcW w:w="1701" w:type="dxa"/>
            <w:vAlign w:val="center"/>
          </w:tcPr>
          <w:p w14:paraId="0090DF0C"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(35.5%)</w:t>
            </w:r>
          </w:p>
        </w:tc>
      </w:tr>
      <w:tr w:rsidR="00693119" w14:paraId="4812FEB5" w14:textId="77777777" w:rsidTr="00E755B6">
        <w:trPr>
          <w:trHeight w:val="114"/>
        </w:trPr>
        <w:tc>
          <w:tcPr>
            <w:tcW w:w="3510" w:type="dxa"/>
            <w:vMerge/>
            <w:vAlign w:val="center"/>
          </w:tcPr>
          <w:p w14:paraId="5E8A7375"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007C29F2"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Opposed</w:t>
            </w:r>
          </w:p>
        </w:tc>
        <w:tc>
          <w:tcPr>
            <w:tcW w:w="1417" w:type="dxa"/>
            <w:vAlign w:val="center"/>
          </w:tcPr>
          <w:p w14:paraId="3661E59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(24.2%)</w:t>
            </w:r>
          </w:p>
        </w:tc>
        <w:tc>
          <w:tcPr>
            <w:tcW w:w="1276" w:type="dxa"/>
            <w:vAlign w:val="center"/>
          </w:tcPr>
          <w:p w14:paraId="64B24A1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(21.0%)</w:t>
            </w:r>
          </w:p>
        </w:tc>
        <w:tc>
          <w:tcPr>
            <w:tcW w:w="1701" w:type="dxa"/>
            <w:vAlign w:val="center"/>
          </w:tcPr>
          <w:p w14:paraId="26D1576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(27.4%)</w:t>
            </w:r>
          </w:p>
        </w:tc>
      </w:tr>
      <w:tr w:rsidR="00693119" w14:paraId="7507E936" w14:textId="77777777" w:rsidTr="00E755B6">
        <w:trPr>
          <w:trHeight w:val="439"/>
        </w:trPr>
        <w:tc>
          <w:tcPr>
            <w:tcW w:w="3510" w:type="dxa"/>
            <w:vMerge w:val="restart"/>
            <w:vAlign w:val="center"/>
          </w:tcPr>
          <w:p w14:paraId="1BC23C00"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 have access to sexual health information from other sources?</w:t>
            </w:r>
          </w:p>
        </w:tc>
        <w:tc>
          <w:tcPr>
            <w:tcW w:w="1985" w:type="dxa"/>
            <w:vAlign w:val="center"/>
          </w:tcPr>
          <w:p w14:paraId="0584821A"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7" w:type="dxa"/>
            <w:vAlign w:val="center"/>
          </w:tcPr>
          <w:p w14:paraId="477FD877"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 (74.6%)</w:t>
            </w:r>
          </w:p>
        </w:tc>
        <w:tc>
          <w:tcPr>
            <w:tcW w:w="1276" w:type="dxa"/>
            <w:vAlign w:val="center"/>
          </w:tcPr>
          <w:p w14:paraId="0EA02FD7"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 (79.8%)</w:t>
            </w:r>
          </w:p>
        </w:tc>
        <w:tc>
          <w:tcPr>
            <w:tcW w:w="1701" w:type="dxa"/>
            <w:vAlign w:val="center"/>
          </w:tcPr>
          <w:p w14:paraId="32580015"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 (69.4%)</w:t>
            </w:r>
          </w:p>
        </w:tc>
      </w:tr>
      <w:tr w:rsidR="00693119" w14:paraId="2E126476" w14:textId="77777777" w:rsidTr="00E755B6">
        <w:trPr>
          <w:trHeight w:val="206"/>
        </w:trPr>
        <w:tc>
          <w:tcPr>
            <w:tcW w:w="3510" w:type="dxa"/>
            <w:vMerge/>
            <w:vAlign w:val="center"/>
          </w:tcPr>
          <w:p w14:paraId="4B8AB6AD"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238EE0A5"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417" w:type="dxa"/>
            <w:vAlign w:val="center"/>
          </w:tcPr>
          <w:p w14:paraId="3B4CCC9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(25.4%)</w:t>
            </w:r>
          </w:p>
        </w:tc>
        <w:tc>
          <w:tcPr>
            <w:tcW w:w="1276" w:type="dxa"/>
            <w:vAlign w:val="center"/>
          </w:tcPr>
          <w:p w14:paraId="0C51B4F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(20.2%)</w:t>
            </w:r>
          </w:p>
        </w:tc>
        <w:tc>
          <w:tcPr>
            <w:tcW w:w="1701" w:type="dxa"/>
            <w:vAlign w:val="center"/>
          </w:tcPr>
          <w:p w14:paraId="35984817"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(30.6%)</w:t>
            </w:r>
          </w:p>
        </w:tc>
      </w:tr>
      <w:tr w:rsidR="00693119" w14:paraId="68FD60B1" w14:textId="77777777" w:rsidTr="00E755B6">
        <w:trPr>
          <w:trHeight w:val="215"/>
        </w:trPr>
        <w:tc>
          <w:tcPr>
            <w:tcW w:w="3510" w:type="dxa"/>
            <w:vMerge w:val="restart"/>
            <w:vAlign w:val="center"/>
          </w:tcPr>
          <w:p w14:paraId="12A4CEFF"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Which of the following influences your likelihood of talking to your parents?</w:t>
            </w:r>
          </w:p>
        </w:tc>
        <w:tc>
          <w:tcPr>
            <w:tcW w:w="1985" w:type="dxa"/>
            <w:vAlign w:val="center"/>
          </w:tcPr>
          <w:p w14:paraId="57A5D517"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Religion</w:t>
            </w:r>
          </w:p>
        </w:tc>
        <w:tc>
          <w:tcPr>
            <w:tcW w:w="1417" w:type="dxa"/>
            <w:vAlign w:val="center"/>
          </w:tcPr>
          <w:p w14:paraId="0FECC600"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(16.5%)</w:t>
            </w:r>
          </w:p>
        </w:tc>
        <w:tc>
          <w:tcPr>
            <w:tcW w:w="1276" w:type="dxa"/>
            <w:vAlign w:val="center"/>
          </w:tcPr>
          <w:p w14:paraId="09749E0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(14.5%)</w:t>
            </w:r>
          </w:p>
        </w:tc>
        <w:tc>
          <w:tcPr>
            <w:tcW w:w="1701" w:type="dxa"/>
            <w:vAlign w:val="center"/>
          </w:tcPr>
          <w:p w14:paraId="59DF5CF1"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(18.5%)</w:t>
            </w:r>
          </w:p>
        </w:tc>
      </w:tr>
      <w:tr w:rsidR="00693119" w14:paraId="515ED752" w14:textId="77777777" w:rsidTr="00E755B6">
        <w:trPr>
          <w:trHeight w:val="215"/>
        </w:trPr>
        <w:tc>
          <w:tcPr>
            <w:tcW w:w="3510" w:type="dxa"/>
            <w:vMerge/>
            <w:vAlign w:val="center"/>
          </w:tcPr>
          <w:p w14:paraId="5B7349A8"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70DD8653"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Family values</w:t>
            </w:r>
          </w:p>
        </w:tc>
        <w:tc>
          <w:tcPr>
            <w:tcW w:w="1417" w:type="dxa"/>
            <w:vAlign w:val="center"/>
          </w:tcPr>
          <w:p w14:paraId="7D770540"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 (31.5%)</w:t>
            </w:r>
          </w:p>
        </w:tc>
        <w:tc>
          <w:tcPr>
            <w:tcW w:w="1276" w:type="dxa"/>
            <w:vAlign w:val="center"/>
          </w:tcPr>
          <w:p w14:paraId="5A11660E"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(27.4%)</w:t>
            </w:r>
          </w:p>
        </w:tc>
        <w:tc>
          <w:tcPr>
            <w:tcW w:w="1701" w:type="dxa"/>
            <w:vAlign w:val="center"/>
          </w:tcPr>
          <w:p w14:paraId="68850006"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(35.5%)</w:t>
            </w:r>
          </w:p>
        </w:tc>
      </w:tr>
      <w:tr w:rsidR="00693119" w14:paraId="60A0F4DA" w14:textId="77777777" w:rsidTr="00E755B6">
        <w:trPr>
          <w:trHeight w:val="215"/>
        </w:trPr>
        <w:tc>
          <w:tcPr>
            <w:tcW w:w="3510" w:type="dxa"/>
            <w:vMerge/>
            <w:vAlign w:val="center"/>
          </w:tcPr>
          <w:p w14:paraId="3E774945"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0142A5CD"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w:t>
            </w:r>
          </w:p>
        </w:tc>
        <w:tc>
          <w:tcPr>
            <w:tcW w:w="1417" w:type="dxa"/>
            <w:vAlign w:val="center"/>
          </w:tcPr>
          <w:p w14:paraId="74DF52C1"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 (27.0%)</w:t>
            </w:r>
          </w:p>
        </w:tc>
        <w:tc>
          <w:tcPr>
            <w:tcW w:w="1276" w:type="dxa"/>
            <w:vAlign w:val="center"/>
          </w:tcPr>
          <w:p w14:paraId="3676B98A"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(33.9%)</w:t>
            </w:r>
          </w:p>
        </w:tc>
        <w:tc>
          <w:tcPr>
            <w:tcW w:w="1701" w:type="dxa"/>
            <w:vAlign w:val="center"/>
          </w:tcPr>
          <w:p w14:paraId="03B8B914"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(20.2%)</w:t>
            </w:r>
          </w:p>
        </w:tc>
      </w:tr>
      <w:tr w:rsidR="00693119" w14:paraId="36FFCEDF" w14:textId="77777777" w:rsidTr="00E755B6">
        <w:trPr>
          <w:trHeight w:val="215"/>
        </w:trPr>
        <w:tc>
          <w:tcPr>
            <w:tcW w:w="3510" w:type="dxa"/>
            <w:vMerge/>
            <w:vAlign w:val="center"/>
          </w:tcPr>
          <w:p w14:paraId="19DE3F11"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7E2629EB"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Fear of punishment</w:t>
            </w:r>
          </w:p>
        </w:tc>
        <w:tc>
          <w:tcPr>
            <w:tcW w:w="1417" w:type="dxa"/>
            <w:vAlign w:val="center"/>
          </w:tcPr>
          <w:p w14:paraId="192305CC"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 (25.0%)</w:t>
            </w:r>
          </w:p>
        </w:tc>
        <w:tc>
          <w:tcPr>
            <w:tcW w:w="1276" w:type="dxa"/>
            <w:vAlign w:val="center"/>
          </w:tcPr>
          <w:p w14:paraId="6FA22C76"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(24.2%)</w:t>
            </w:r>
          </w:p>
        </w:tc>
        <w:tc>
          <w:tcPr>
            <w:tcW w:w="1701" w:type="dxa"/>
            <w:vAlign w:val="center"/>
          </w:tcPr>
          <w:p w14:paraId="3B90A467"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(25.8%)</w:t>
            </w:r>
          </w:p>
        </w:tc>
      </w:tr>
      <w:tr w:rsidR="00693119" w14:paraId="2A4F2630" w14:textId="77777777" w:rsidTr="00E755B6">
        <w:tc>
          <w:tcPr>
            <w:tcW w:w="3510" w:type="dxa"/>
            <w:vMerge w:val="restart"/>
            <w:vAlign w:val="center"/>
          </w:tcPr>
          <w:p w14:paraId="0EB0177B"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What prevents you from communicating about sexual matters with your parents?</w:t>
            </w:r>
          </w:p>
        </w:tc>
        <w:tc>
          <w:tcPr>
            <w:tcW w:w="1985" w:type="dxa"/>
            <w:vAlign w:val="center"/>
          </w:tcPr>
          <w:p w14:paraId="148194B1"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Shame</w:t>
            </w:r>
          </w:p>
        </w:tc>
        <w:tc>
          <w:tcPr>
            <w:tcW w:w="1417" w:type="dxa"/>
            <w:vAlign w:val="center"/>
          </w:tcPr>
          <w:p w14:paraId="4A31F6F5"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 (36.7%)</w:t>
            </w:r>
          </w:p>
        </w:tc>
        <w:tc>
          <w:tcPr>
            <w:tcW w:w="1276" w:type="dxa"/>
            <w:vAlign w:val="center"/>
          </w:tcPr>
          <w:p w14:paraId="79DBF8B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(33.9%)</w:t>
            </w:r>
          </w:p>
        </w:tc>
        <w:tc>
          <w:tcPr>
            <w:tcW w:w="1701" w:type="dxa"/>
            <w:vAlign w:val="center"/>
          </w:tcPr>
          <w:p w14:paraId="06E21513"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 (39.5%)</w:t>
            </w:r>
          </w:p>
        </w:tc>
      </w:tr>
      <w:tr w:rsidR="00693119" w14:paraId="5A0A380A" w14:textId="77777777" w:rsidTr="00E755B6">
        <w:tc>
          <w:tcPr>
            <w:tcW w:w="3510" w:type="dxa"/>
            <w:vMerge/>
            <w:vAlign w:val="center"/>
          </w:tcPr>
          <w:p w14:paraId="3978C053"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68771587"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Ignorance</w:t>
            </w:r>
          </w:p>
        </w:tc>
        <w:tc>
          <w:tcPr>
            <w:tcW w:w="1417" w:type="dxa"/>
            <w:vAlign w:val="center"/>
          </w:tcPr>
          <w:p w14:paraId="3B81D30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(21.0%)</w:t>
            </w:r>
          </w:p>
        </w:tc>
        <w:tc>
          <w:tcPr>
            <w:tcW w:w="1276" w:type="dxa"/>
            <w:vAlign w:val="center"/>
          </w:tcPr>
          <w:p w14:paraId="7E899E76"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(17.7%)</w:t>
            </w:r>
          </w:p>
        </w:tc>
        <w:tc>
          <w:tcPr>
            <w:tcW w:w="1701" w:type="dxa"/>
            <w:vAlign w:val="center"/>
          </w:tcPr>
          <w:p w14:paraId="00911CC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(24.2%)</w:t>
            </w:r>
          </w:p>
        </w:tc>
      </w:tr>
      <w:tr w:rsidR="00693119" w14:paraId="35F040BA" w14:textId="77777777" w:rsidTr="00E755B6">
        <w:tc>
          <w:tcPr>
            <w:tcW w:w="3510" w:type="dxa"/>
            <w:vMerge/>
            <w:vAlign w:val="center"/>
          </w:tcPr>
          <w:p w14:paraId="5514BC7D"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178FD916"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Fear</w:t>
            </w:r>
          </w:p>
        </w:tc>
        <w:tc>
          <w:tcPr>
            <w:tcW w:w="1417" w:type="dxa"/>
            <w:vAlign w:val="center"/>
          </w:tcPr>
          <w:p w14:paraId="0487D406"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(18.5%)</w:t>
            </w:r>
          </w:p>
        </w:tc>
        <w:tc>
          <w:tcPr>
            <w:tcW w:w="1276" w:type="dxa"/>
            <w:vAlign w:val="center"/>
          </w:tcPr>
          <w:p w14:paraId="69DD920A"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(22.6%)</w:t>
            </w:r>
          </w:p>
        </w:tc>
        <w:tc>
          <w:tcPr>
            <w:tcW w:w="1701" w:type="dxa"/>
            <w:vAlign w:val="center"/>
          </w:tcPr>
          <w:p w14:paraId="74387BBF"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(14.5%)</w:t>
            </w:r>
          </w:p>
        </w:tc>
      </w:tr>
      <w:tr w:rsidR="00693119" w14:paraId="65AF57FD" w14:textId="77777777" w:rsidTr="00E755B6">
        <w:tc>
          <w:tcPr>
            <w:tcW w:w="3510" w:type="dxa"/>
            <w:vMerge/>
            <w:vAlign w:val="center"/>
          </w:tcPr>
          <w:p w14:paraId="5CF0009A"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7E53F666"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Nothing</w:t>
            </w:r>
          </w:p>
        </w:tc>
        <w:tc>
          <w:tcPr>
            <w:tcW w:w="1417" w:type="dxa"/>
            <w:vAlign w:val="center"/>
          </w:tcPr>
          <w:p w14:paraId="76209AD1"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(12.5%)</w:t>
            </w:r>
          </w:p>
        </w:tc>
        <w:tc>
          <w:tcPr>
            <w:tcW w:w="1276" w:type="dxa"/>
            <w:vAlign w:val="center"/>
          </w:tcPr>
          <w:p w14:paraId="5BE03631"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(12.9%)</w:t>
            </w:r>
          </w:p>
        </w:tc>
        <w:tc>
          <w:tcPr>
            <w:tcW w:w="1701" w:type="dxa"/>
            <w:vAlign w:val="center"/>
          </w:tcPr>
          <w:p w14:paraId="438BCFCA"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(12.1%)</w:t>
            </w:r>
          </w:p>
        </w:tc>
      </w:tr>
      <w:tr w:rsidR="00693119" w14:paraId="359B2BB5" w14:textId="77777777" w:rsidTr="00E755B6">
        <w:tc>
          <w:tcPr>
            <w:tcW w:w="3510" w:type="dxa"/>
            <w:vMerge/>
            <w:tcBorders>
              <w:bottom w:val="single" w:sz="4" w:space="0" w:color="auto"/>
            </w:tcBorders>
            <w:vAlign w:val="center"/>
          </w:tcPr>
          <w:p w14:paraId="12CF7C6D"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tcBorders>
              <w:bottom w:val="single" w:sz="4" w:space="0" w:color="auto"/>
            </w:tcBorders>
            <w:vAlign w:val="center"/>
          </w:tcPr>
          <w:p w14:paraId="3CE50A36"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Others</w:t>
            </w:r>
          </w:p>
        </w:tc>
        <w:tc>
          <w:tcPr>
            <w:tcW w:w="1417" w:type="dxa"/>
            <w:tcBorders>
              <w:bottom w:val="single" w:sz="4" w:space="0" w:color="auto"/>
            </w:tcBorders>
            <w:vAlign w:val="center"/>
          </w:tcPr>
          <w:p w14:paraId="39C57E54"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(11.3%)</w:t>
            </w:r>
          </w:p>
        </w:tc>
        <w:tc>
          <w:tcPr>
            <w:tcW w:w="1276" w:type="dxa"/>
            <w:tcBorders>
              <w:bottom w:val="single" w:sz="4" w:space="0" w:color="auto"/>
            </w:tcBorders>
            <w:vAlign w:val="center"/>
          </w:tcPr>
          <w:p w14:paraId="688C25A5"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(12.9%)</w:t>
            </w:r>
          </w:p>
        </w:tc>
        <w:tc>
          <w:tcPr>
            <w:tcW w:w="1701" w:type="dxa"/>
            <w:tcBorders>
              <w:bottom w:val="single" w:sz="4" w:space="0" w:color="auto"/>
            </w:tcBorders>
            <w:vAlign w:val="center"/>
          </w:tcPr>
          <w:p w14:paraId="638D0F91"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(9.7%)</w:t>
            </w:r>
          </w:p>
        </w:tc>
      </w:tr>
    </w:tbl>
    <w:p w14:paraId="1CE8862A" w14:textId="77777777" w:rsidR="00693119" w:rsidRDefault="00693119">
      <w:pPr>
        <w:rPr>
          <w:b/>
          <w:color w:val="000000"/>
          <w:sz w:val="20"/>
          <w:szCs w:val="20"/>
        </w:rPr>
      </w:pPr>
    </w:p>
    <w:p w14:paraId="1F6FB0B5" w14:textId="77777777" w:rsidR="00693119" w:rsidRDefault="00693119">
      <w:pPr>
        <w:rPr>
          <w:b/>
          <w:color w:val="000000"/>
          <w:sz w:val="20"/>
          <w:szCs w:val="20"/>
        </w:rPr>
      </w:pPr>
    </w:p>
    <w:p w14:paraId="1ADAD31E" w14:textId="77777777" w:rsidR="00D42C20" w:rsidRDefault="00BB2F93">
      <w:pPr>
        <w:spacing w:before="280" w:after="280" w:line="480" w:lineRule="auto"/>
        <w:rPr>
          <w:color w:val="000000"/>
        </w:rPr>
      </w:pPr>
      <w:r>
        <w:rPr>
          <w:color w:val="000000"/>
        </w:rPr>
        <w:t>Table 1 presents the key predictors of parent–adolescent communication (PAC) on sexual and reproductive health (SRH) among urban and rural adolescents in Bayelsa State. Gender was reported by 56.9% of respondents as influenc</w:t>
      </w:r>
      <w:r w:rsidR="00693119">
        <w:rPr>
          <w:color w:val="000000"/>
        </w:rPr>
        <w:t>ing the extent of communication</w:t>
      </w:r>
      <w:r>
        <w:rPr>
          <w:color w:val="000000"/>
        </w:rPr>
        <w:t xml:space="preserve">. Parental </w:t>
      </w:r>
      <w:r>
        <w:rPr>
          <w:color w:val="000000"/>
        </w:rPr>
        <w:lastRenderedPageBreak/>
        <w:t>education (70.2%) and income (66.1%) were also widely perceived as influential, with slightly higher ag</w:t>
      </w:r>
      <w:r w:rsidR="00693119">
        <w:rPr>
          <w:color w:val="000000"/>
        </w:rPr>
        <w:t>reement among urban adolescents</w:t>
      </w:r>
      <w:r>
        <w:rPr>
          <w:color w:val="000000"/>
        </w:rPr>
        <w:t>. In terms of parental openness, 21.0% described their parents as very open, 47.6% as somewhat open, and 31.5% as not open. Urban adolescents were more likely to report high openness (25.8%) compared to rural peers (16.1%), while rural adolescents more often described parents as not open (38.7% vs. 24.2%).</w:t>
      </w:r>
    </w:p>
    <w:p w14:paraId="57E1E4B0" w14:textId="77777777" w:rsidR="00D42C20" w:rsidRDefault="00BB2F93">
      <w:pPr>
        <w:spacing w:before="280" w:after="280" w:line="480" w:lineRule="auto"/>
        <w:rPr>
          <w:color w:val="000000"/>
        </w:rPr>
      </w:pPr>
      <w:r>
        <w:rPr>
          <w:color w:val="000000"/>
        </w:rPr>
        <w:t xml:space="preserve">School-based sex education was received by 62.9% of respondents, with a higher proportion among urban adolescents (72.6%) than rural adolescents (53.2%), indicating a stronger institutional role in urban areas. Access to parents at home was generally high (73.0%), with slightly higher </w:t>
      </w:r>
      <w:r w:rsidR="00693119">
        <w:rPr>
          <w:color w:val="000000"/>
        </w:rPr>
        <w:t>rates in urban settings (77.4%)</w:t>
      </w:r>
      <w:r>
        <w:rPr>
          <w:color w:val="000000"/>
        </w:rPr>
        <w:t>. Parental attitudes toward sex education were described as supportive by 42.7% of all respondents, with urban adolescents reporting more supportive attitudes (48.4%)</w:t>
      </w:r>
      <w:r w:rsidR="00693119">
        <w:rPr>
          <w:color w:val="000000"/>
        </w:rPr>
        <w:t xml:space="preserve"> than rural adolescents (37.1%)</w:t>
      </w:r>
      <w:r>
        <w:rPr>
          <w:color w:val="000000"/>
        </w:rPr>
        <w:t>. Access to SRH information from non-parental sources was common (74.6%) and more prevalent among urban adolescents (79.8%) than rural adolescents (69.4%), suggesting greater exposure to diverse information channels in urban contexts.</w:t>
      </w:r>
    </w:p>
    <w:p w14:paraId="100F1606" w14:textId="77777777" w:rsidR="00D42C20" w:rsidRDefault="00BB2F93">
      <w:pPr>
        <w:spacing w:before="280" w:after="280" w:line="480" w:lineRule="auto"/>
        <w:rPr>
          <w:color w:val="000000"/>
        </w:rPr>
      </w:pPr>
      <w:r>
        <w:rPr>
          <w:color w:val="000000"/>
        </w:rPr>
        <w:t>Factors influencing whether adolescents engaged in PAC included education (27.0%), family values (31.5%), fear of punishment (25.0%), and religion (16.5%). Urban adolescents were more likely to cite education, while rural adolescents emphasized fam</w:t>
      </w:r>
      <w:r w:rsidR="00693119">
        <w:rPr>
          <w:color w:val="000000"/>
        </w:rPr>
        <w:t>ily values and religion</w:t>
      </w:r>
      <w:r>
        <w:rPr>
          <w:color w:val="000000"/>
        </w:rPr>
        <w:t>. Barriers to communication included shame (36.7%), ignorance (21.0%), and fear (18.5%), with rural adolescents more likely to report shame and ignorance, and urban adolescents more likely to report fear or other reasons. However, challenges to effective PAC are present in both urban and rural settings.</w:t>
      </w:r>
    </w:p>
    <w:p w14:paraId="2DCC8EBE" w14:textId="77777777" w:rsidR="00D42C20" w:rsidRDefault="00BB2F93">
      <w:pPr>
        <w:spacing w:line="480" w:lineRule="auto"/>
        <w:rPr>
          <w:color w:val="000000"/>
        </w:rPr>
      </w:pPr>
      <w:r>
        <w:rPr>
          <w:b/>
          <w:color w:val="000000"/>
        </w:rPr>
        <w:t xml:space="preserve">Objective Two: </w:t>
      </w:r>
      <w:r>
        <w:rPr>
          <w:color w:val="000000"/>
        </w:rPr>
        <w:t>The influence of parent-adolescent communication among adolescents in urban and rural secondary schools in Bayelsa State.</w:t>
      </w:r>
    </w:p>
    <w:p w14:paraId="1B8CC918" w14:textId="77777777" w:rsidR="00D42C20" w:rsidRDefault="00BB2F93">
      <w:pPr>
        <w:spacing w:line="276" w:lineRule="auto"/>
        <w:rPr>
          <w:b/>
          <w:i/>
          <w:color w:val="000000"/>
        </w:rPr>
      </w:pPr>
      <w:r>
        <w:rPr>
          <w:b/>
          <w:color w:val="000000"/>
        </w:rPr>
        <w:lastRenderedPageBreak/>
        <w:t>Table 2: Sum</w:t>
      </w:r>
      <w:r w:rsidR="00693119">
        <w:rPr>
          <w:b/>
          <w:color w:val="000000"/>
        </w:rPr>
        <w:t xml:space="preserve">mary of frequency, and percentages </w:t>
      </w:r>
      <w:r>
        <w:rPr>
          <w:b/>
          <w:color w:val="000000"/>
        </w:rPr>
        <w:t>on the influence of parent-adolescent communication among adolescents in urban and rural secondary schools in Bayelsa State</w:t>
      </w:r>
    </w:p>
    <w:tbl>
      <w:tblPr>
        <w:tblStyle w:val="a0"/>
        <w:tblpPr w:leftFromText="180" w:rightFromText="180" w:vertAnchor="text" w:tblpY="1"/>
        <w:tblW w:w="9889" w:type="dxa"/>
        <w:tblInd w:w="0" w:type="dxa"/>
        <w:tblLayout w:type="fixed"/>
        <w:tblLook w:val="0400" w:firstRow="0" w:lastRow="0" w:firstColumn="0" w:lastColumn="0" w:noHBand="0" w:noVBand="1"/>
      </w:tblPr>
      <w:tblGrid>
        <w:gridCol w:w="4361"/>
        <w:gridCol w:w="1843"/>
        <w:gridCol w:w="1275"/>
        <w:gridCol w:w="1276"/>
        <w:gridCol w:w="1134"/>
      </w:tblGrid>
      <w:tr w:rsidR="00693119" w14:paraId="571B7D91" w14:textId="77777777" w:rsidTr="00E755B6">
        <w:trPr>
          <w:trHeight w:val="275"/>
        </w:trPr>
        <w:tc>
          <w:tcPr>
            <w:tcW w:w="4361" w:type="dxa"/>
            <w:vMerge w:val="restart"/>
            <w:tcBorders>
              <w:top w:val="single" w:sz="4" w:space="0" w:color="auto"/>
            </w:tcBorders>
          </w:tcPr>
          <w:p w14:paraId="030B6ECC"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Items</w:t>
            </w:r>
          </w:p>
        </w:tc>
        <w:tc>
          <w:tcPr>
            <w:tcW w:w="1843" w:type="dxa"/>
            <w:vMerge w:val="restart"/>
            <w:tcBorders>
              <w:top w:val="single" w:sz="4" w:space="0" w:color="auto"/>
            </w:tcBorders>
            <w:vAlign w:val="center"/>
          </w:tcPr>
          <w:p w14:paraId="68A629C0"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Response Option</w:t>
            </w:r>
          </w:p>
        </w:tc>
        <w:tc>
          <w:tcPr>
            <w:tcW w:w="1275" w:type="dxa"/>
            <w:vMerge w:val="restart"/>
            <w:tcBorders>
              <w:top w:val="single" w:sz="4" w:space="0" w:color="auto"/>
            </w:tcBorders>
            <w:vAlign w:val="center"/>
          </w:tcPr>
          <w:p w14:paraId="499C99F2"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(n=248)</w:t>
            </w:r>
          </w:p>
        </w:tc>
        <w:tc>
          <w:tcPr>
            <w:tcW w:w="2410" w:type="dxa"/>
            <w:gridSpan w:val="2"/>
            <w:tcBorders>
              <w:top w:val="single" w:sz="4" w:space="0" w:color="auto"/>
            </w:tcBorders>
            <w:vAlign w:val="center"/>
          </w:tcPr>
          <w:p w14:paraId="17CAB8AD"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Region</w:t>
            </w:r>
          </w:p>
        </w:tc>
      </w:tr>
      <w:tr w:rsidR="00693119" w14:paraId="72659EAC" w14:textId="77777777" w:rsidTr="00E755B6">
        <w:trPr>
          <w:trHeight w:val="275"/>
        </w:trPr>
        <w:tc>
          <w:tcPr>
            <w:tcW w:w="4361" w:type="dxa"/>
            <w:vMerge/>
            <w:tcBorders>
              <w:bottom w:val="single" w:sz="4" w:space="0" w:color="auto"/>
            </w:tcBorders>
          </w:tcPr>
          <w:p w14:paraId="54AD10C5"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vMerge/>
            <w:tcBorders>
              <w:bottom w:val="single" w:sz="4" w:space="0" w:color="auto"/>
            </w:tcBorders>
            <w:vAlign w:val="center"/>
          </w:tcPr>
          <w:p w14:paraId="0E694164"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bottom w:val="single" w:sz="4" w:space="0" w:color="auto"/>
            </w:tcBorders>
            <w:vAlign w:val="center"/>
          </w:tcPr>
          <w:p w14:paraId="76FE5B69"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6" w:type="dxa"/>
            <w:tcBorders>
              <w:bottom w:val="single" w:sz="4" w:space="0" w:color="auto"/>
            </w:tcBorders>
            <w:vAlign w:val="center"/>
          </w:tcPr>
          <w:p w14:paraId="1705D34B"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Urban</w:t>
            </w:r>
          </w:p>
          <w:p w14:paraId="5587995F"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134" w:type="dxa"/>
            <w:tcBorders>
              <w:bottom w:val="single" w:sz="4" w:space="0" w:color="auto"/>
            </w:tcBorders>
            <w:vAlign w:val="center"/>
          </w:tcPr>
          <w:p w14:paraId="4E13A308"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Rural</w:t>
            </w:r>
          </w:p>
          <w:p w14:paraId="62625BB8" w14:textId="77777777" w:rsidR="00693119" w:rsidRDefault="0069311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r>
      <w:tr w:rsidR="00693119" w14:paraId="0FA0ABD7" w14:textId="77777777" w:rsidTr="00E755B6">
        <w:tc>
          <w:tcPr>
            <w:tcW w:w="4361" w:type="dxa"/>
            <w:vMerge w:val="restart"/>
            <w:tcBorders>
              <w:top w:val="single" w:sz="4" w:space="0" w:color="auto"/>
            </w:tcBorders>
            <w:vAlign w:val="center"/>
          </w:tcPr>
          <w:p w14:paraId="3F851DDA"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My communication with parents helps me make informed choices about sex.</w:t>
            </w:r>
          </w:p>
        </w:tc>
        <w:tc>
          <w:tcPr>
            <w:tcW w:w="1843" w:type="dxa"/>
            <w:tcBorders>
              <w:top w:val="single" w:sz="4" w:space="0" w:color="auto"/>
            </w:tcBorders>
            <w:vAlign w:val="center"/>
          </w:tcPr>
          <w:p w14:paraId="70D7074A"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c>
          <w:tcPr>
            <w:tcW w:w="1275" w:type="dxa"/>
            <w:tcBorders>
              <w:top w:val="single" w:sz="4" w:space="0" w:color="auto"/>
            </w:tcBorders>
            <w:vAlign w:val="center"/>
          </w:tcPr>
          <w:p w14:paraId="043F8C96"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 (42.7%)</w:t>
            </w:r>
          </w:p>
        </w:tc>
        <w:tc>
          <w:tcPr>
            <w:tcW w:w="1276" w:type="dxa"/>
            <w:tcBorders>
              <w:top w:val="single" w:sz="4" w:space="0" w:color="auto"/>
            </w:tcBorders>
            <w:vAlign w:val="center"/>
          </w:tcPr>
          <w:p w14:paraId="1500FCC9"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(48.4%)</w:t>
            </w:r>
          </w:p>
        </w:tc>
        <w:tc>
          <w:tcPr>
            <w:tcW w:w="1134" w:type="dxa"/>
            <w:tcBorders>
              <w:top w:val="single" w:sz="4" w:space="0" w:color="auto"/>
            </w:tcBorders>
            <w:vAlign w:val="center"/>
          </w:tcPr>
          <w:p w14:paraId="61EE5786"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r>
      <w:tr w:rsidR="00693119" w14:paraId="43754CFA" w14:textId="77777777" w:rsidTr="00E755B6">
        <w:tc>
          <w:tcPr>
            <w:tcW w:w="4361" w:type="dxa"/>
            <w:vMerge/>
            <w:vAlign w:val="center"/>
          </w:tcPr>
          <w:p w14:paraId="21ED09C2"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1D9C293A"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275" w:type="dxa"/>
            <w:vAlign w:val="center"/>
          </w:tcPr>
          <w:p w14:paraId="0AE6501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 (39.1%)</w:t>
            </w:r>
          </w:p>
        </w:tc>
        <w:tc>
          <w:tcPr>
            <w:tcW w:w="1276" w:type="dxa"/>
            <w:vAlign w:val="center"/>
          </w:tcPr>
          <w:p w14:paraId="409A664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(34.7%)</w:t>
            </w:r>
          </w:p>
        </w:tc>
        <w:tc>
          <w:tcPr>
            <w:tcW w:w="1134" w:type="dxa"/>
            <w:vAlign w:val="center"/>
          </w:tcPr>
          <w:p w14:paraId="7E52A44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(43.5%)</w:t>
            </w:r>
          </w:p>
        </w:tc>
      </w:tr>
      <w:tr w:rsidR="00693119" w14:paraId="32581E4E" w14:textId="77777777" w:rsidTr="00E755B6">
        <w:tc>
          <w:tcPr>
            <w:tcW w:w="4361" w:type="dxa"/>
            <w:vMerge/>
            <w:vAlign w:val="center"/>
          </w:tcPr>
          <w:p w14:paraId="0616DF2D"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367C7859"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275" w:type="dxa"/>
            <w:vAlign w:val="center"/>
          </w:tcPr>
          <w:p w14:paraId="6021AE3F"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(11.3%)</w:t>
            </w:r>
          </w:p>
        </w:tc>
        <w:tc>
          <w:tcPr>
            <w:tcW w:w="1276" w:type="dxa"/>
            <w:vAlign w:val="center"/>
          </w:tcPr>
          <w:p w14:paraId="07267E6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(10.5%)</w:t>
            </w:r>
          </w:p>
        </w:tc>
        <w:tc>
          <w:tcPr>
            <w:tcW w:w="1134" w:type="dxa"/>
            <w:vAlign w:val="center"/>
          </w:tcPr>
          <w:p w14:paraId="6ACC1540"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(12.1%)</w:t>
            </w:r>
          </w:p>
        </w:tc>
      </w:tr>
      <w:tr w:rsidR="00693119" w14:paraId="54ADFBE3" w14:textId="77777777" w:rsidTr="00E755B6">
        <w:tc>
          <w:tcPr>
            <w:tcW w:w="4361" w:type="dxa"/>
            <w:vMerge/>
            <w:vAlign w:val="center"/>
          </w:tcPr>
          <w:p w14:paraId="798F5918"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0B59E7DB"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275" w:type="dxa"/>
            <w:vAlign w:val="center"/>
          </w:tcPr>
          <w:p w14:paraId="13207309"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 (6.9%)</w:t>
            </w:r>
          </w:p>
        </w:tc>
        <w:tc>
          <w:tcPr>
            <w:tcW w:w="1276" w:type="dxa"/>
            <w:vAlign w:val="center"/>
          </w:tcPr>
          <w:p w14:paraId="5EE9D5C4"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(6.5%)</w:t>
            </w:r>
          </w:p>
        </w:tc>
        <w:tc>
          <w:tcPr>
            <w:tcW w:w="1134" w:type="dxa"/>
            <w:vAlign w:val="center"/>
          </w:tcPr>
          <w:p w14:paraId="4BBAB491"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(7.3%)</w:t>
            </w:r>
          </w:p>
        </w:tc>
      </w:tr>
      <w:tr w:rsidR="00693119" w14:paraId="39F55F97" w14:textId="77777777" w:rsidTr="00E755B6">
        <w:trPr>
          <w:trHeight w:val="406"/>
        </w:trPr>
        <w:tc>
          <w:tcPr>
            <w:tcW w:w="4361" w:type="dxa"/>
            <w:vMerge w:val="restart"/>
            <w:vAlign w:val="center"/>
          </w:tcPr>
          <w:p w14:paraId="31A50BCE"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have delayed sexual debut due to advice from my parent(s).</w:t>
            </w:r>
          </w:p>
        </w:tc>
        <w:tc>
          <w:tcPr>
            <w:tcW w:w="1843" w:type="dxa"/>
            <w:vAlign w:val="center"/>
          </w:tcPr>
          <w:p w14:paraId="23C2BD99"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00F04F4F"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 (66.1%)</w:t>
            </w:r>
          </w:p>
        </w:tc>
        <w:tc>
          <w:tcPr>
            <w:tcW w:w="1276" w:type="dxa"/>
            <w:vAlign w:val="center"/>
          </w:tcPr>
          <w:p w14:paraId="1E1F2A1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 (71.0%)</w:t>
            </w:r>
          </w:p>
        </w:tc>
        <w:tc>
          <w:tcPr>
            <w:tcW w:w="1134" w:type="dxa"/>
            <w:vAlign w:val="center"/>
          </w:tcPr>
          <w:p w14:paraId="2C9DBA00"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(60.5%)</w:t>
            </w:r>
          </w:p>
        </w:tc>
      </w:tr>
      <w:tr w:rsidR="00693119" w14:paraId="7EABF2AB" w14:textId="77777777" w:rsidTr="00E755B6">
        <w:tc>
          <w:tcPr>
            <w:tcW w:w="4361" w:type="dxa"/>
            <w:vMerge/>
            <w:vAlign w:val="center"/>
          </w:tcPr>
          <w:p w14:paraId="1560EDED"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42945299"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4F318595"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 (33.9%)</w:t>
            </w:r>
          </w:p>
        </w:tc>
        <w:tc>
          <w:tcPr>
            <w:tcW w:w="1276" w:type="dxa"/>
            <w:vAlign w:val="center"/>
          </w:tcPr>
          <w:p w14:paraId="39DE8257"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(29.0%)</w:t>
            </w:r>
          </w:p>
        </w:tc>
        <w:tc>
          <w:tcPr>
            <w:tcW w:w="1134" w:type="dxa"/>
            <w:vAlign w:val="center"/>
          </w:tcPr>
          <w:p w14:paraId="283B1BF3"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(39.5%)</w:t>
            </w:r>
          </w:p>
        </w:tc>
      </w:tr>
      <w:tr w:rsidR="00693119" w14:paraId="09471AAB" w14:textId="77777777" w:rsidTr="00E755B6">
        <w:tc>
          <w:tcPr>
            <w:tcW w:w="4361" w:type="dxa"/>
            <w:vMerge w:val="restart"/>
            <w:vAlign w:val="center"/>
          </w:tcPr>
          <w:p w14:paraId="25898F92"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use protection (condoms or contraceptives) because of parental advice</w:t>
            </w:r>
          </w:p>
        </w:tc>
        <w:tc>
          <w:tcPr>
            <w:tcW w:w="1843" w:type="dxa"/>
            <w:vAlign w:val="center"/>
          </w:tcPr>
          <w:p w14:paraId="29559AD9"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5422434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 (32.7%)</w:t>
            </w:r>
          </w:p>
        </w:tc>
        <w:tc>
          <w:tcPr>
            <w:tcW w:w="1276" w:type="dxa"/>
            <w:vAlign w:val="center"/>
          </w:tcPr>
          <w:p w14:paraId="417B1F4E"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(31.5%)</w:t>
            </w:r>
          </w:p>
        </w:tc>
        <w:tc>
          <w:tcPr>
            <w:tcW w:w="1134" w:type="dxa"/>
            <w:vAlign w:val="center"/>
          </w:tcPr>
          <w:p w14:paraId="2B6CD57E"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(33.9%)</w:t>
            </w:r>
          </w:p>
        </w:tc>
      </w:tr>
      <w:tr w:rsidR="00693119" w14:paraId="5479DF90" w14:textId="77777777" w:rsidTr="00E755B6">
        <w:tc>
          <w:tcPr>
            <w:tcW w:w="4361" w:type="dxa"/>
            <w:vMerge/>
            <w:vAlign w:val="center"/>
          </w:tcPr>
          <w:p w14:paraId="07D6C813"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55C62BFC"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2E924D65"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 (38.3%)</w:t>
            </w:r>
          </w:p>
        </w:tc>
        <w:tc>
          <w:tcPr>
            <w:tcW w:w="1276" w:type="dxa"/>
            <w:vAlign w:val="center"/>
          </w:tcPr>
          <w:p w14:paraId="3DAFF64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c>
          <w:tcPr>
            <w:tcW w:w="1134" w:type="dxa"/>
            <w:vAlign w:val="center"/>
          </w:tcPr>
          <w:p w14:paraId="2287F2C9"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 (39.5%)</w:t>
            </w:r>
          </w:p>
        </w:tc>
      </w:tr>
      <w:tr w:rsidR="00693119" w14:paraId="78CAC8CD" w14:textId="77777777" w:rsidTr="00E755B6">
        <w:tc>
          <w:tcPr>
            <w:tcW w:w="4361" w:type="dxa"/>
            <w:vMerge/>
            <w:vAlign w:val="center"/>
          </w:tcPr>
          <w:p w14:paraId="62826948"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400DE46B"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Not applicable</w:t>
            </w:r>
          </w:p>
        </w:tc>
        <w:tc>
          <w:tcPr>
            <w:tcW w:w="1275" w:type="dxa"/>
            <w:vAlign w:val="center"/>
          </w:tcPr>
          <w:p w14:paraId="7000C0F9"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 (29.0%)</w:t>
            </w:r>
          </w:p>
        </w:tc>
        <w:tc>
          <w:tcPr>
            <w:tcW w:w="1276" w:type="dxa"/>
            <w:vAlign w:val="center"/>
          </w:tcPr>
          <w:p w14:paraId="67F8041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(31.5%)</w:t>
            </w:r>
          </w:p>
        </w:tc>
        <w:tc>
          <w:tcPr>
            <w:tcW w:w="1134" w:type="dxa"/>
            <w:vAlign w:val="center"/>
          </w:tcPr>
          <w:p w14:paraId="30C10ADF"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(26.6%)</w:t>
            </w:r>
          </w:p>
        </w:tc>
      </w:tr>
      <w:tr w:rsidR="00693119" w14:paraId="35968CF8" w14:textId="77777777" w:rsidTr="00E755B6">
        <w:trPr>
          <w:trHeight w:val="168"/>
        </w:trPr>
        <w:tc>
          <w:tcPr>
            <w:tcW w:w="4361" w:type="dxa"/>
            <w:vMerge w:val="restart"/>
            <w:vAlign w:val="center"/>
          </w:tcPr>
          <w:p w14:paraId="16865EBB"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feel confident to say “No” to sex because of parental talks.</w:t>
            </w:r>
          </w:p>
        </w:tc>
        <w:tc>
          <w:tcPr>
            <w:tcW w:w="1843" w:type="dxa"/>
            <w:vAlign w:val="center"/>
          </w:tcPr>
          <w:p w14:paraId="3BECE1F5"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09A54C6C"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172 (69.4%)</w:t>
            </w:r>
          </w:p>
        </w:tc>
        <w:tc>
          <w:tcPr>
            <w:tcW w:w="1276" w:type="dxa"/>
            <w:vAlign w:val="center"/>
          </w:tcPr>
          <w:p w14:paraId="25718B9A"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 (75.8%)</w:t>
            </w:r>
          </w:p>
        </w:tc>
        <w:tc>
          <w:tcPr>
            <w:tcW w:w="1134" w:type="dxa"/>
            <w:vAlign w:val="center"/>
          </w:tcPr>
          <w:p w14:paraId="1005478C"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 (62.9%)</w:t>
            </w:r>
          </w:p>
        </w:tc>
      </w:tr>
      <w:tr w:rsidR="00693119" w14:paraId="3651BA51" w14:textId="77777777" w:rsidTr="00E755B6">
        <w:trPr>
          <w:trHeight w:val="168"/>
        </w:trPr>
        <w:tc>
          <w:tcPr>
            <w:tcW w:w="4361" w:type="dxa"/>
            <w:vMerge/>
            <w:vAlign w:val="center"/>
          </w:tcPr>
          <w:p w14:paraId="6BAAC807"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11C8AEC1"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5AE4DF7A"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 (30.6%)</w:t>
            </w:r>
          </w:p>
        </w:tc>
        <w:tc>
          <w:tcPr>
            <w:tcW w:w="1276" w:type="dxa"/>
            <w:vAlign w:val="center"/>
          </w:tcPr>
          <w:p w14:paraId="195E4275"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(24.2%)</w:t>
            </w:r>
          </w:p>
        </w:tc>
        <w:tc>
          <w:tcPr>
            <w:tcW w:w="1134" w:type="dxa"/>
            <w:vAlign w:val="center"/>
          </w:tcPr>
          <w:p w14:paraId="50285500"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r>
      <w:tr w:rsidR="00693119" w14:paraId="70575690" w14:textId="77777777" w:rsidTr="00E755B6">
        <w:trPr>
          <w:trHeight w:val="464"/>
        </w:trPr>
        <w:tc>
          <w:tcPr>
            <w:tcW w:w="4361" w:type="dxa"/>
            <w:vMerge w:val="restart"/>
            <w:vAlign w:val="center"/>
          </w:tcPr>
          <w:p w14:paraId="78657CAE"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PAC has helped me avoid risky </w:t>
            </w:r>
            <w:proofErr w:type="spellStart"/>
            <w:r>
              <w:rPr>
                <w:rFonts w:ascii="Times New Roman" w:eastAsia="Times New Roman" w:hAnsi="Times New Roman" w:cs="Times New Roman"/>
                <w:sz w:val="20"/>
                <w:szCs w:val="20"/>
              </w:rPr>
              <w:t>behaviors</w:t>
            </w:r>
            <w:proofErr w:type="spellEnd"/>
            <w:r>
              <w:rPr>
                <w:rFonts w:ascii="Times New Roman" w:eastAsia="Times New Roman" w:hAnsi="Times New Roman" w:cs="Times New Roman"/>
                <w:sz w:val="20"/>
                <w:szCs w:val="20"/>
              </w:rPr>
              <w:t xml:space="preserve"> (multiple partners, unsafe sex).</w:t>
            </w:r>
          </w:p>
        </w:tc>
        <w:tc>
          <w:tcPr>
            <w:tcW w:w="1843" w:type="dxa"/>
            <w:vAlign w:val="center"/>
          </w:tcPr>
          <w:p w14:paraId="686D1572"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3BDCA88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 (62.9%)</w:t>
            </w:r>
          </w:p>
        </w:tc>
        <w:tc>
          <w:tcPr>
            <w:tcW w:w="1276" w:type="dxa"/>
            <w:vAlign w:val="center"/>
          </w:tcPr>
          <w:p w14:paraId="1B3A3563"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 (71.0%)</w:t>
            </w:r>
          </w:p>
        </w:tc>
        <w:tc>
          <w:tcPr>
            <w:tcW w:w="1134" w:type="dxa"/>
            <w:vAlign w:val="center"/>
          </w:tcPr>
          <w:p w14:paraId="231ED17C"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(54.8%)</w:t>
            </w:r>
          </w:p>
        </w:tc>
      </w:tr>
      <w:tr w:rsidR="00693119" w14:paraId="005ED19A" w14:textId="77777777" w:rsidTr="00E755B6">
        <w:trPr>
          <w:trHeight w:val="168"/>
        </w:trPr>
        <w:tc>
          <w:tcPr>
            <w:tcW w:w="4361" w:type="dxa"/>
            <w:vMerge/>
            <w:vAlign w:val="center"/>
          </w:tcPr>
          <w:p w14:paraId="61A0CE51"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7117EAF1"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3D9D008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 (37.1%)</w:t>
            </w:r>
          </w:p>
        </w:tc>
        <w:tc>
          <w:tcPr>
            <w:tcW w:w="1276" w:type="dxa"/>
            <w:vAlign w:val="center"/>
          </w:tcPr>
          <w:p w14:paraId="4B2956DD"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(29.0%)</w:t>
            </w:r>
          </w:p>
        </w:tc>
        <w:tc>
          <w:tcPr>
            <w:tcW w:w="1134" w:type="dxa"/>
            <w:vAlign w:val="center"/>
          </w:tcPr>
          <w:p w14:paraId="0BF63BBF"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 (45.2%)</w:t>
            </w:r>
          </w:p>
        </w:tc>
      </w:tr>
      <w:tr w:rsidR="00693119" w14:paraId="78BB3665" w14:textId="77777777" w:rsidTr="00E755B6">
        <w:trPr>
          <w:trHeight w:val="168"/>
        </w:trPr>
        <w:tc>
          <w:tcPr>
            <w:tcW w:w="4361" w:type="dxa"/>
            <w:vMerge w:val="restart"/>
            <w:vAlign w:val="center"/>
          </w:tcPr>
          <w:p w14:paraId="509BB1CC"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My knowledge about STIs and pregnancy prevention came from my parents</w:t>
            </w:r>
          </w:p>
        </w:tc>
        <w:tc>
          <w:tcPr>
            <w:tcW w:w="1843" w:type="dxa"/>
            <w:vAlign w:val="center"/>
          </w:tcPr>
          <w:p w14:paraId="0000C970"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393C85E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 (51.6%)</w:t>
            </w:r>
          </w:p>
        </w:tc>
        <w:tc>
          <w:tcPr>
            <w:tcW w:w="1276" w:type="dxa"/>
            <w:vAlign w:val="center"/>
          </w:tcPr>
          <w:p w14:paraId="61E911C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 (55.6%)</w:t>
            </w:r>
          </w:p>
        </w:tc>
        <w:tc>
          <w:tcPr>
            <w:tcW w:w="1134" w:type="dxa"/>
            <w:vAlign w:val="center"/>
          </w:tcPr>
          <w:p w14:paraId="455C15C0"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(47.6%)</w:t>
            </w:r>
          </w:p>
        </w:tc>
      </w:tr>
      <w:tr w:rsidR="00693119" w14:paraId="03D27482" w14:textId="77777777" w:rsidTr="00E755B6">
        <w:trPr>
          <w:trHeight w:val="168"/>
        </w:trPr>
        <w:tc>
          <w:tcPr>
            <w:tcW w:w="4361" w:type="dxa"/>
            <w:vMerge/>
            <w:vAlign w:val="center"/>
          </w:tcPr>
          <w:p w14:paraId="4122C41E"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6DCA7D73"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0C3B9AB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 (48.4%)</w:t>
            </w:r>
          </w:p>
        </w:tc>
        <w:tc>
          <w:tcPr>
            <w:tcW w:w="1276" w:type="dxa"/>
            <w:vAlign w:val="center"/>
          </w:tcPr>
          <w:p w14:paraId="65AB34B9"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(44.4%)</w:t>
            </w:r>
          </w:p>
        </w:tc>
        <w:tc>
          <w:tcPr>
            <w:tcW w:w="1134" w:type="dxa"/>
            <w:vAlign w:val="center"/>
          </w:tcPr>
          <w:p w14:paraId="741279AA"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 (52.4%)</w:t>
            </w:r>
          </w:p>
        </w:tc>
      </w:tr>
      <w:tr w:rsidR="00693119" w14:paraId="0FBB8C9C" w14:textId="77777777" w:rsidTr="00E755B6">
        <w:trPr>
          <w:trHeight w:val="187"/>
        </w:trPr>
        <w:tc>
          <w:tcPr>
            <w:tcW w:w="4361" w:type="dxa"/>
            <w:vMerge w:val="restart"/>
            <w:vAlign w:val="center"/>
          </w:tcPr>
          <w:p w14:paraId="3BCC5B8B"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Parental advice has helped me form healthy relationships.</w:t>
            </w:r>
          </w:p>
        </w:tc>
        <w:tc>
          <w:tcPr>
            <w:tcW w:w="1843" w:type="dxa"/>
            <w:vAlign w:val="center"/>
          </w:tcPr>
          <w:p w14:paraId="29E0C5CE"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2F112F4D"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163 (65.7%)</w:t>
            </w:r>
          </w:p>
        </w:tc>
        <w:tc>
          <w:tcPr>
            <w:tcW w:w="1276" w:type="dxa"/>
            <w:vAlign w:val="center"/>
          </w:tcPr>
          <w:p w14:paraId="4150710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 (73.4%)</w:t>
            </w:r>
          </w:p>
        </w:tc>
        <w:tc>
          <w:tcPr>
            <w:tcW w:w="1134" w:type="dxa"/>
            <w:vAlign w:val="center"/>
          </w:tcPr>
          <w:p w14:paraId="460D8531"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 (58.1%)</w:t>
            </w:r>
          </w:p>
        </w:tc>
      </w:tr>
      <w:tr w:rsidR="00693119" w14:paraId="1043DECF" w14:textId="77777777" w:rsidTr="00E755B6">
        <w:trPr>
          <w:trHeight w:val="187"/>
        </w:trPr>
        <w:tc>
          <w:tcPr>
            <w:tcW w:w="4361" w:type="dxa"/>
            <w:vMerge/>
            <w:vAlign w:val="center"/>
          </w:tcPr>
          <w:p w14:paraId="290DEE0D"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1672371A"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36B893C6"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(34.3%)</w:t>
            </w:r>
          </w:p>
        </w:tc>
        <w:tc>
          <w:tcPr>
            <w:tcW w:w="1276" w:type="dxa"/>
            <w:vAlign w:val="center"/>
          </w:tcPr>
          <w:p w14:paraId="6209D6AA"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(26.6%)</w:t>
            </w:r>
          </w:p>
        </w:tc>
        <w:tc>
          <w:tcPr>
            <w:tcW w:w="1134" w:type="dxa"/>
            <w:vAlign w:val="center"/>
          </w:tcPr>
          <w:p w14:paraId="2E7D1964"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(41.9%)</w:t>
            </w:r>
          </w:p>
        </w:tc>
      </w:tr>
      <w:tr w:rsidR="00693119" w14:paraId="7CC85FCB" w14:textId="77777777" w:rsidTr="00E755B6">
        <w:trPr>
          <w:trHeight w:val="442"/>
        </w:trPr>
        <w:tc>
          <w:tcPr>
            <w:tcW w:w="4361" w:type="dxa"/>
            <w:vMerge w:val="restart"/>
            <w:vAlign w:val="center"/>
          </w:tcPr>
          <w:p w14:paraId="16C757A2"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 feel your reproductive health would suffer without parental guidance?</w:t>
            </w:r>
          </w:p>
        </w:tc>
        <w:tc>
          <w:tcPr>
            <w:tcW w:w="1843" w:type="dxa"/>
            <w:vAlign w:val="center"/>
          </w:tcPr>
          <w:p w14:paraId="7879B0AC"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6F7BB9F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(59.7%)</w:t>
            </w:r>
          </w:p>
        </w:tc>
        <w:tc>
          <w:tcPr>
            <w:tcW w:w="1276" w:type="dxa"/>
            <w:vAlign w:val="center"/>
          </w:tcPr>
          <w:p w14:paraId="789AC9FE"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 (67.7%)</w:t>
            </w:r>
          </w:p>
        </w:tc>
        <w:tc>
          <w:tcPr>
            <w:tcW w:w="1134" w:type="dxa"/>
            <w:vAlign w:val="center"/>
          </w:tcPr>
          <w:p w14:paraId="65440032"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(51.6%)</w:t>
            </w:r>
          </w:p>
        </w:tc>
      </w:tr>
      <w:tr w:rsidR="00693119" w14:paraId="35192F25" w14:textId="77777777" w:rsidTr="00E755B6">
        <w:trPr>
          <w:trHeight w:val="114"/>
        </w:trPr>
        <w:tc>
          <w:tcPr>
            <w:tcW w:w="4361" w:type="dxa"/>
            <w:vMerge/>
            <w:vAlign w:val="center"/>
          </w:tcPr>
          <w:p w14:paraId="2E0FE296"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32746770"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36B11073"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(40.3%)</w:t>
            </w:r>
          </w:p>
        </w:tc>
        <w:tc>
          <w:tcPr>
            <w:tcW w:w="1276" w:type="dxa"/>
            <w:vAlign w:val="center"/>
          </w:tcPr>
          <w:p w14:paraId="41D0E0AC"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 (32.3%)</w:t>
            </w:r>
          </w:p>
        </w:tc>
        <w:tc>
          <w:tcPr>
            <w:tcW w:w="1134" w:type="dxa"/>
            <w:vAlign w:val="center"/>
          </w:tcPr>
          <w:p w14:paraId="0547F89C"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(48.4%)</w:t>
            </w:r>
          </w:p>
        </w:tc>
      </w:tr>
      <w:tr w:rsidR="00693119" w14:paraId="42233E23" w14:textId="77777777" w:rsidTr="00E755B6">
        <w:trPr>
          <w:trHeight w:val="360"/>
        </w:trPr>
        <w:tc>
          <w:tcPr>
            <w:tcW w:w="4361" w:type="dxa"/>
            <w:vMerge w:val="restart"/>
            <w:vAlign w:val="center"/>
          </w:tcPr>
          <w:p w14:paraId="22327A4E"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 feel less pressured to engage in early sex due to PAC?</w:t>
            </w:r>
          </w:p>
        </w:tc>
        <w:tc>
          <w:tcPr>
            <w:tcW w:w="1843" w:type="dxa"/>
            <w:vAlign w:val="center"/>
          </w:tcPr>
          <w:p w14:paraId="058AD057"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39675074"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(58.5%)</w:t>
            </w:r>
          </w:p>
        </w:tc>
        <w:tc>
          <w:tcPr>
            <w:tcW w:w="1276" w:type="dxa"/>
            <w:vAlign w:val="center"/>
          </w:tcPr>
          <w:p w14:paraId="4B864A7B"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 (65.3%)</w:t>
            </w:r>
          </w:p>
        </w:tc>
        <w:tc>
          <w:tcPr>
            <w:tcW w:w="1134" w:type="dxa"/>
            <w:vAlign w:val="center"/>
          </w:tcPr>
          <w:p w14:paraId="79E43070"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(51.6%)</w:t>
            </w:r>
          </w:p>
        </w:tc>
      </w:tr>
      <w:tr w:rsidR="00693119" w14:paraId="6E03A43A" w14:textId="77777777" w:rsidTr="00E755B6">
        <w:trPr>
          <w:trHeight w:val="114"/>
        </w:trPr>
        <w:tc>
          <w:tcPr>
            <w:tcW w:w="4361" w:type="dxa"/>
            <w:vMerge/>
            <w:vAlign w:val="center"/>
          </w:tcPr>
          <w:p w14:paraId="5D138B85"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vAlign w:val="center"/>
          </w:tcPr>
          <w:p w14:paraId="51DC601B"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0E5FD024"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 (41.5%)</w:t>
            </w:r>
          </w:p>
        </w:tc>
        <w:tc>
          <w:tcPr>
            <w:tcW w:w="1276" w:type="dxa"/>
            <w:vAlign w:val="center"/>
          </w:tcPr>
          <w:p w14:paraId="0CC0B0E0"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(34.7%)</w:t>
            </w:r>
          </w:p>
        </w:tc>
        <w:tc>
          <w:tcPr>
            <w:tcW w:w="1134" w:type="dxa"/>
            <w:vAlign w:val="center"/>
          </w:tcPr>
          <w:p w14:paraId="574E32E7"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(48.4%)</w:t>
            </w:r>
          </w:p>
        </w:tc>
      </w:tr>
      <w:tr w:rsidR="00693119" w14:paraId="63B310A8" w14:textId="77777777" w:rsidTr="00E755B6">
        <w:trPr>
          <w:trHeight w:val="498"/>
        </w:trPr>
        <w:tc>
          <w:tcPr>
            <w:tcW w:w="4361" w:type="dxa"/>
            <w:vMerge w:val="restart"/>
            <w:vAlign w:val="center"/>
          </w:tcPr>
          <w:p w14:paraId="1CC03CE2" w14:textId="77777777" w:rsidR="00693119" w:rsidRDefault="0069311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have taken a reproductive health decision based on parental advice</w:t>
            </w:r>
          </w:p>
        </w:tc>
        <w:tc>
          <w:tcPr>
            <w:tcW w:w="1843" w:type="dxa"/>
            <w:vAlign w:val="center"/>
          </w:tcPr>
          <w:p w14:paraId="15EC6EAA"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2A5E2AF4"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157 (63.3%)</w:t>
            </w:r>
          </w:p>
        </w:tc>
        <w:tc>
          <w:tcPr>
            <w:tcW w:w="1276" w:type="dxa"/>
            <w:vAlign w:val="center"/>
          </w:tcPr>
          <w:p w14:paraId="79A29925"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 (71.0%)</w:t>
            </w:r>
          </w:p>
        </w:tc>
        <w:tc>
          <w:tcPr>
            <w:tcW w:w="1134" w:type="dxa"/>
            <w:vAlign w:val="center"/>
          </w:tcPr>
          <w:p w14:paraId="6DDA1DB8"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(54.8%)</w:t>
            </w:r>
          </w:p>
        </w:tc>
      </w:tr>
      <w:tr w:rsidR="00693119" w14:paraId="456AB0D9" w14:textId="77777777" w:rsidTr="00E755B6">
        <w:trPr>
          <w:trHeight w:val="206"/>
        </w:trPr>
        <w:tc>
          <w:tcPr>
            <w:tcW w:w="4361" w:type="dxa"/>
            <w:vMerge/>
            <w:tcBorders>
              <w:bottom w:val="single" w:sz="4" w:space="0" w:color="auto"/>
            </w:tcBorders>
            <w:vAlign w:val="center"/>
          </w:tcPr>
          <w:p w14:paraId="6792DDC3" w14:textId="77777777" w:rsidR="00693119" w:rsidRDefault="00693119">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tcBorders>
              <w:bottom w:val="single" w:sz="4" w:space="0" w:color="auto"/>
            </w:tcBorders>
            <w:vAlign w:val="center"/>
          </w:tcPr>
          <w:p w14:paraId="08526ECA" w14:textId="77777777" w:rsidR="00693119" w:rsidRDefault="00693119">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tcBorders>
              <w:bottom w:val="single" w:sz="4" w:space="0" w:color="auto"/>
            </w:tcBorders>
            <w:vAlign w:val="center"/>
          </w:tcPr>
          <w:p w14:paraId="5D70F2E7"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 (36.7%)</w:t>
            </w:r>
          </w:p>
        </w:tc>
        <w:tc>
          <w:tcPr>
            <w:tcW w:w="1276" w:type="dxa"/>
            <w:tcBorders>
              <w:bottom w:val="single" w:sz="4" w:space="0" w:color="auto"/>
            </w:tcBorders>
            <w:vAlign w:val="center"/>
          </w:tcPr>
          <w:p w14:paraId="5123789C"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(29.0%)</w:t>
            </w:r>
          </w:p>
        </w:tc>
        <w:tc>
          <w:tcPr>
            <w:tcW w:w="1134" w:type="dxa"/>
            <w:tcBorders>
              <w:bottom w:val="single" w:sz="4" w:space="0" w:color="auto"/>
            </w:tcBorders>
            <w:vAlign w:val="center"/>
          </w:tcPr>
          <w:p w14:paraId="58D6D9B4" w14:textId="77777777" w:rsidR="00693119" w:rsidRDefault="006931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(45.2%)</w:t>
            </w:r>
          </w:p>
        </w:tc>
      </w:tr>
    </w:tbl>
    <w:p w14:paraId="290F423C" w14:textId="77777777" w:rsidR="00693119" w:rsidRDefault="00693119">
      <w:pPr>
        <w:rPr>
          <w:b/>
          <w:color w:val="000000"/>
          <w:sz w:val="20"/>
          <w:szCs w:val="20"/>
        </w:rPr>
      </w:pPr>
    </w:p>
    <w:p w14:paraId="496CC3A0" w14:textId="77777777" w:rsidR="00693119" w:rsidRDefault="00693119">
      <w:pPr>
        <w:rPr>
          <w:b/>
          <w:color w:val="000000"/>
          <w:sz w:val="20"/>
          <w:szCs w:val="20"/>
        </w:rPr>
      </w:pPr>
    </w:p>
    <w:p w14:paraId="6C99A411" w14:textId="77777777" w:rsidR="00D42C20" w:rsidRDefault="00BB2F93">
      <w:pPr>
        <w:spacing w:before="280" w:after="280" w:line="480" w:lineRule="auto"/>
        <w:rPr>
          <w:color w:val="000000"/>
        </w:rPr>
      </w:pPr>
      <w:r>
        <w:rPr>
          <w:color w:val="000000"/>
        </w:rPr>
        <w:t>Table 2 shows that most adolescents (81.8%) believed communication with parents helped them make informed decisions about sex, with urban respondents more likely to strongly agree than rural peers. Parental advice was also linked to delaying sexual debut for 66.1% of respondents, again with a significantly higher proportion among urban adolescents. While only 32.7% reported using protec</w:t>
      </w:r>
      <w:r w:rsidR="00C311DD">
        <w:rPr>
          <w:color w:val="000000"/>
        </w:rPr>
        <w:t>tion because of parental advice</w:t>
      </w:r>
      <w:r>
        <w:rPr>
          <w:color w:val="000000"/>
        </w:rPr>
        <w:t>.</w:t>
      </w:r>
    </w:p>
    <w:p w14:paraId="5D38234D" w14:textId="77777777" w:rsidR="00D42C20" w:rsidRDefault="00BB2F93">
      <w:pPr>
        <w:spacing w:before="280" w:after="280" w:line="480" w:lineRule="auto"/>
        <w:rPr>
          <w:color w:val="000000"/>
        </w:rPr>
      </w:pPr>
      <w:r>
        <w:rPr>
          <w:color w:val="000000"/>
        </w:rPr>
        <w:t xml:space="preserve">PAC was associated with greater sexual refusal confidence (69.4% overall) and avoiding risky sexual behaviours (62.9%), with urban adolescents consistently reporting stronger positive effects. About half (51.6%) said their knowledge about STIs and pregnancy </w:t>
      </w:r>
      <w:r>
        <w:rPr>
          <w:color w:val="000000"/>
        </w:rPr>
        <w:lastRenderedPageBreak/>
        <w:t>prevention cam</w:t>
      </w:r>
      <w:r w:rsidR="00C311DD">
        <w:rPr>
          <w:color w:val="000000"/>
        </w:rPr>
        <w:t>e from parents</w:t>
      </w:r>
      <w:r>
        <w:rPr>
          <w:color w:val="000000"/>
        </w:rPr>
        <w:t>. However, parental advice was linked to forming healthy relatio</w:t>
      </w:r>
      <w:r w:rsidR="00C311DD">
        <w:rPr>
          <w:color w:val="000000"/>
        </w:rPr>
        <w:t>nships for 65.7% of respondents</w:t>
      </w:r>
      <w:r>
        <w:rPr>
          <w:color w:val="000000"/>
        </w:rPr>
        <w:t>.</w:t>
      </w:r>
    </w:p>
    <w:p w14:paraId="4DAF1604" w14:textId="77777777" w:rsidR="00D42C20" w:rsidRDefault="00BB2F93">
      <w:pPr>
        <w:pBdr>
          <w:top w:val="nil"/>
          <w:left w:val="nil"/>
          <w:bottom w:val="nil"/>
          <w:right w:val="nil"/>
          <w:between w:val="nil"/>
        </w:pBdr>
        <w:spacing w:after="280" w:line="480" w:lineRule="auto"/>
        <w:rPr>
          <w:color w:val="000000"/>
        </w:rPr>
      </w:pPr>
      <w:r>
        <w:rPr>
          <w:color w:val="000000"/>
        </w:rPr>
        <w:t>Urban adolescents were more likely to believe their reproductive health would suffer without parental guidance, feel less pressured to engage in early sex, and make reproductive health decisions based on parental advice. These findings indicate that while PAC has positive effects across both groups, its protective and empowering impact appears stronger in urban contexts, potentially due to differences in openness, access to information, and family dynamics.</w:t>
      </w:r>
    </w:p>
    <w:p w14:paraId="50EC7783" w14:textId="77777777" w:rsidR="00D42C20" w:rsidRDefault="00BB2F93">
      <w:pPr>
        <w:pBdr>
          <w:top w:val="nil"/>
          <w:left w:val="nil"/>
          <w:bottom w:val="nil"/>
          <w:right w:val="nil"/>
          <w:between w:val="nil"/>
        </w:pBdr>
        <w:spacing w:line="480" w:lineRule="auto"/>
        <w:rPr>
          <w:b/>
          <w:color w:val="000000"/>
        </w:rPr>
      </w:pPr>
      <w:r>
        <w:rPr>
          <w:b/>
          <w:color w:val="000000"/>
        </w:rPr>
        <w:t>Discussion of the Findings</w:t>
      </w:r>
    </w:p>
    <w:p w14:paraId="1AB1B130" w14:textId="77777777" w:rsidR="00D42C20" w:rsidRDefault="00BB2F93">
      <w:pPr>
        <w:pBdr>
          <w:top w:val="nil"/>
          <w:left w:val="nil"/>
          <w:bottom w:val="nil"/>
          <w:right w:val="nil"/>
          <w:between w:val="nil"/>
        </w:pBdr>
        <w:spacing w:line="480" w:lineRule="auto"/>
        <w:rPr>
          <w:color w:val="000000"/>
        </w:rPr>
      </w:pPr>
      <w:r>
        <w:rPr>
          <w:color w:val="000000"/>
        </w:rPr>
        <w:t>Table 1 found that while gender, parental education, and income were widely perc</w:t>
      </w:r>
      <w:r w:rsidR="00C311DD">
        <w:rPr>
          <w:color w:val="000000"/>
        </w:rPr>
        <w:t>eived as influencing PAC on SRH</w:t>
      </w:r>
      <w:r>
        <w:rPr>
          <w:color w:val="000000"/>
        </w:rPr>
        <w:t>. However, urban adolescents reported significantly higher parental openness, greater receipt of school-based sex education, and more frequent access to SRH information from non-parental sources. Rural adolescents were more likely to describe parents as not open and relied more on family values and religion as influencing factors, while urban adolescents emphas</w:t>
      </w:r>
      <w:r w:rsidR="00B0415C">
        <w:rPr>
          <w:color w:val="000000"/>
        </w:rPr>
        <w:t xml:space="preserve">ized education. Common barriers; </w:t>
      </w:r>
      <w:r>
        <w:rPr>
          <w:color w:val="000000"/>
        </w:rPr>
        <w:t>suc</w:t>
      </w:r>
      <w:r w:rsidR="00B0415C">
        <w:rPr>
          <w:color w:val="000000"/>
        </w:rPr>
        <w:t xml:space="preserve">h as shame, ignorance, and fear, </w:t>
      </w:r>
      <w:r>
        <w:rPr>
          <w:color w:val="000000"/>
        </w:rPr>
        <w:t xml:space="preserve">were reported in both groups, with rural adolescents more often citing shame and ignorance, and urban adolescents more likely to mention fear. Overall, urban adolescents appeared to benefit from more institutional and diverse information channels, whereas rural adolescents’ communication was more shaped by traditional values and parental conservatism. </w:t>
      </w:r>
      <w:r w:rsidR="00C845E0">
        <w:rPr>
          <w:color w:val="000000"/>
        </w:rPr>
        <w:t>These findings align with those of</w:t>
      </w:r>
      <w:r>
        <w:rPr>
          <w:color w:val="000000"/>
        </w:rPr>
        <w:t xml:space="preserve"> </w:t>
      </w:r>
      <w:proofErr w:type="spellStart"/>
      <w:r>
        <w:rPr>
          <w:color w:val="000000"/>
        </w:rPr>
        <w:t>Feyissa</w:t>
      </w:r>
      <w:proofErr w:type="spellEnd"/>
      <w:r>
        <w:rPr>
          <w:color w:val="000000"/>
        </w:rPr>
        <w:t xml:space="preserve"> et al.</w:t>
      </w:r>
      <w:r>
        <w:rPr>
          <w:color w:val="000000"/>
          <w:vertAlign w:val="superscript"/>
        </w:rPr>
        <w:t xml:space="preserve">16 </w:t>
      </w:r>
      <w:r w:rsidR="00C845E0">
        <w:rPr>
          <w:color w:val="000000"/>
        </w:rPr>
        <w:t>who reported</w:t>
      </w:r>
      <w:r>
        <w:rPr>
          <w:color w:val="000000"/>
        </w:rPr>
        <w:t xml:space="preserve"> that a number of factors </w:t>
      </w:r>
      <w:r w:rsidR="003C6CEE">
        <w:rPr>
          <w:color w:val="000000"/>
        </w:rPr>
        <w:t xml:space="preserve">were </w:t>
      </w:r>
      <w:r>
        <w:rPr>
          <w:color w:val="000000"/>
        </w:rPr>
        <w:t>independent predictors of communication regarding sexual and reproductive health between parents and children. These included the mothers' and fathers' educational levels, the students' perception of the need of talking about sexual and reproductive health issues, their knowledge of these issues, and their attitude towards them.</w:t>
      </w:r>
    </w:p>
    <w:p w14:paraId="2DE734B0" w14:textId="77777777" w:rsidR="00D42C20" w:rsidRDefault="00BB2F93">
      <w:pPr>
        <w:pBdr>
          <w:top w:val="nil"/>
          <w:left w:val="nil"/>
          <w:bottom w:val="nil"/>
          <w:right w:val="nil"/>
          <w:between w:val="nil"/>
        </w:pBdr>
        <w:spacing w:before="280" w:after="280" w:line="480" w:lineRule="auto"/>
        <w:rPr>
          <w:color w:val="000000"/>
        </w:rPr>
      </w:pPr>
      <w:r>
        <w:rPr>
          <w:color w:val="000000"/>
        </w:rPr>
        <w:lastRenderedPageBreak/>
        <w:t>Table 2 revealed that PAC positively influences adolescents’ sexual decision-making, delaying sexual debut, enhancing sexual refusal confidence, and reducing risky behaviours. Urban adolescents consistently reported stronger benefits, including greater belief in the importance of parental guidance, reduced pressure for early sex, and healthier relationship fo</w:t>
      </w:r>
      <w:r w:rsidR="00C311DD">
        <w:rPr>
          <w:color w:val="000000"/>
        </w:rPr>
        <w:t>rmation.</w:t>
      </w:r>
      <w:r>
        <w:rPr>
          <w:color w:val="000000"/>
        </w:rPr>
        <w:t xml:space="preserve"> </w:t>
      </w:r>
      <w:r w:rsidR="00C311DD">
        <w:rPr>
          <w:color w:val="000000"/>
        </w:rPr>
        <w:t xml:space="preserve">The </w:t>
      </w:r>
      <w:r>
        <w:rPr>
          <w:color w:val="000000"/>
        </w:rPr>
        <w:t xml:space="preserve">overall protective and empowering effects of PAC were more pronounced in urban settings, likely reflecting higher parental openness, better access to information, and more supportive family dynamics. These findings </w:t>
      </w:r>
      <w:r w:rsidR="00101E7C">
        <w:rPr>
          <w:color w:val="000000"/>
        </w:rPr>
        <w:t xml:space="preserve">align with those of </w:t>
      </w:r>
      <w:proofErr w:type="spellStart"/>
      <w:r>
        <w:rPr>
          <w:color w:val="000000"/>
        </w:rPr>
        <w:t>Sleshi</w:t>
      </w:r>
      <w:proofErr w:type="spellEnd"/>
      <w:r>
        <w:rPr>
          <w:color w:val="000000"/>
        </w:rPr>
        <w:t xml:space="preserve"> et al.</w:t>
      </w:r>
      <w:r>
        <w:rPr>
          <w:color w:val="000000"/>
          <w:vertAlign w:val="superscript"/>
        </w:rPr>
        <w:t>17</w:t>
      </w:r>
      <w:r>
        <w:rPr>
          <w:color w:val="000000"/>
        </w:rPr>
        <w:t xml:space="preserve"> </w:t>
      </w:r>
      <w:proofErr w:type="spellStart"/>
      <w:r w:rsidR="00101E7C" w:rsidRPr="00EA13F3">
        <w:t>Ndugga</w:t>
      </w:r>
      <w:proofErr w:type="spellEnd"/>
      <w:r w:rsidR="00101E7C">
        <w:rPr>
          <w:color w:val="000000"/>
        </w:rPr>
        <w:t xml:space="preserve"> et al.</w:t>
      </w:r>
      <w:r w:rsidR="00101E7C" w:rsidRPr="00101E7C">
        <w:rPr>
          <w:color w:val="000000"/>
          <w:vertAlign w:val="superscript"/>
        </w:rPr>
        <w:t>18</w:t>
      </w:r>
      <w:r w:rsidR="00101E7C">
        <w:rPr>
          <w:color w:val="000000"/>
        </w:rPr>
        <w:t xml:space="preserve"> </w:t>
      </w:r>
      <w:r>
        <w:rPr>
          <w:color w:val="000000"/>
        </w:rPr>
        <w:t xml:space="preserve">which </w:t>
      </w:r>
      <w:r w:rsidR="00101E7C">
        <w:rPr>
          <w:color w:val="000000"/>
        </w:rPr>
        <w:t>reported</w:t>
      </w:r>
      <w:r>
        <w:rPr>
          <w:color w:val="000000"/>
        </w:rPr>
        <w:t xml:space="preserve"> that there is a significant number of parents engage in conversations about reproductive health with their adolescents. Parents in the age range of 45-54 and 55-64, particularly males with higher incomes, were more likely to engage in discussions with their adolescents about reproductive health.</w:t>
      </w:r>
    </w:p>
    <w:p w14:paraId="19DD0AE6" w14:textId="77777777" w:rsidR="00D42C20" w:rsidRDefault="00BB2F93">
      <w:pPr>
        <w:spacing w:line="480" w:lineRule="auto"/>
        <w:rPr>
          <w:b/>
          <w:color w:val="000000"/>
        </w:rPr>
      </w:pPr>
      <w:r>
        <w:rPr>
          <w:b/>
          <w:color w:val="000000"/>
        </w:rPr>
        <w:t>Conclusion</w:t>
      </w:r>
    </w:p>
    <w:p w14:paraId="4FF7CD8E" w14:textId="77777777" w:rsidR="00D42C20" w:rsidRDefault="00BB2F93">
      <w:pPr>
        <w:pBdr>
          <w:top w:val="nil"/>
          <w:left w:val="nil"/>
          <w:bottom w:val="nil"/>
          <w:right w:val="nil"/>
          <w:between w:val="nil"/>
        </w:pBdr>
        <w:spacing w:after="280" w:line="480" w:lineRule="auto"/>
        <w:rPr>
          <w:color w:val="000000"/>
        </w:rPr>
      </w:pPr>
      <w:r>
        <w:rPr>
          <w:color w:val="000000"/>
        </w:rPr>
        <w:t>This study found that 56.9% of respondents identified gender, 70.2% parental education, and 66.1% parental income as influencing PAC on SRH, with no significant urban–rural differences. However, urban adolescents reported significantly higher parental openness (25.8% vs. 16.1%), greater receipt of school-based sex education (72.6% vs. 53.2%), and more frequent access to non-parental SRH information (79.8% vs. 69.4%). PAC was strongly associated with positive SRH outcomes: 81.8% believed it helped them make informed decisions, 66.1% delayed sexual debut due to parental advice, 69.4% reported improved refusal confidence, and 62.9% avoided risky sexual behaviours. Urban adolescents consistently reported stronger protective effects, indicating that openness, institutional support, and broader information access enhance the impact of PAC.</w:t>
      </w:r>
    </w:p>
    <w:p w14:paraId="70959CAC" w14:textId="77777777" w:rsidR="00EA13F3" w:rsidRDefault="00EA13F3">
      <w:pPr>
        <w:pBdr>
          <w:top w:val="nil"/>
          <w:left w:val="nil"/>
          <w:bottom w:val="nil"/>
          <w:right w:val="nil"/>
          <w:between w:val="nil"/>
        </w:pBdr>
        <w:spacing w:after="280" w:line="480" w:lineRule="auto"/>
        <w:rPr>
          <w:color w:val="000000"/>
        </w:rPr>
      </w:pPr>
    </w:p>
    <w:p w14:paraId="36A85564" w14:textId="77777777" w:rsidR="00EA13F3" w:rsidRDefault="00EA13F3">
      <w:pPr>
        <w:pBdr>
          <w:top w:val="nil"/>
          <w:left w:val="nil"/>
          <w:bottom w:val="nil"/>
          <w:right w:val="nil"/>
          <w:between w:val="nil"/>
        </w:pBdr>
        <w:spacing w:after="280" w:line="480" w:lineRule="auto"/>
        <w:rPr>
          <w:color w:val="000000"/>
        </w:rPr>
      </w:pPr>
    </w:p>
    <w:p w14:paraId="72E0AE2C" w14:textId="77777777" w:rsidR="00D42C20" w:rsidRDefault="00BB2F93">
      <w:pPr>
        <w:spacing w:line="480" w:lineRule="auto"/>
        <w:rPr>
          <w:b/>
          <w:color w:val="000000"/>
        </w:rPr>
      </w:pPr>
      <w:r>
        <w:rPr>
          <w:b/>
          <w:color w:val="000000"/>
        </w:rPr>
        <w:lastRenderedPageBreak/>
        <w:t>Recommendations</w:t>
      </w:r>
    </w:p>
    <w:p w14:paraId="3086CDD0" w14:textId="77777777" w:rsidR="00D42C20" w:rsidRDefault="00BB2F93">
      <w:pPr>
        <w:numPr>
          <w:ilvl w:val="0"/>
          <w:numId w:val="2"/>
        </w:numPr>
        <w:pBdr>
          <w:top w:val="nil"/>
          <w:left w:val="nil"/>
          <w:bottom w:val="nil"/>
          <w:right w:val="nil"/>
          <w:between w:val="nil"/>
        </w:pBdr>
        <w:spacing w:line="480" w:lineRule="auto"/>
      </w:pPr>
      <w:r>
        <w:rPr>
          <w:color w:val="000000"/>
        </w:rPr>
        <w:t>The Bayelsa State Ministry of Health should implement targeted rural-focused interventions to improve parental openness, expand access to school-based SRH education, and increase exposure to credible non-parental information sources.</w:t>
      </w:r>
    </w:p>
    <w:p w14:paraId="3E9279E8" w14:textId="77777777" w:rsidR="00D42C20" w:rsidRDefault="00BB2F93">
      <w:pPr>
        <w:numPr>
          <w:ilvl w:val="0"/>
          <w:numId w:val="2"/>
        </w:numPr>
        <w:pBdr>
          <w:top w:val="nil"/>
          <w:left w:val="nil"/>
          <w:bottom w:val="nil"/>
          <w:right w:val="nil"/>
          <w:between w:val="nil"/>
        </w:pBdr>
        <w:spacing w:after="280" w:line="480" w:lineRule="auto"/>
      </w:pPr>
      <w:r>
        <w:rPr>
          <w:color w:val="000000"/>
        </w:rPr>
        <w:t>The Bayelsa State Ministry of Health should strengthen PAC’s protective role by equipping parents with practical communication skills through workshops, ensuring discussions are open, supportive, and accurate.</w:t>
      </w:r>
    </w:p>
    <w:p w14:paraId="145B8EDA" w14:textId="77777777" w:rsidR="00D42C20" w:rsidRDefault="00D42C20">
      <w:pPr>
        <w:pBdr>
          <w:top w:val="nil"/>
          <w:left w:val="nil"/>
          <w:bottom w:val="nil"/>
          <w:right w:val="nil"/>
          <w:between w:val="nil"/>
        </w:pBdr>
        <w:rPr>
          <w:b/>
          <w:color w:val="000000"/>
        </w:rPr>
      </w:pPr>
    </w:p>
    <w:p w14:paraId="1784054F" w14:textId="77777777" w:rsidR="00D42C20" w:rsidRDefault="00D42C20">
      <w:pPr>
        <w:pBdr>
          <w:top w:val="nil"/>
          <w:left w:val="nil"/>
          <w:bottom w:val="nil"/>
          <w:right w:val="nil"/>
          <w:between w:val="nil"/>
        </w:pBdr>
        <w:rPr>
          <w:b/>
          <w:color w:val="000000"/>
        </w:rPr>
      </w:pPr>
    </w:p>
    <w:p w14:paraId="3ECC5F72" w14:textId="77777777" w:rsidR="008C2196" w:rsidRPr="00270720" w:rsidRDefault="008C2196" w:rsidP="008C2196">
      <w:pPr>
        <w:rPr>
          <w:highlight w:val="yellow"/>
        </w:rPr>
      </w:pPr>
      <w:r w:rsidRPr="00270720">
        <w:rPr>
          <w:highlight w:val="yellow"/>
        </w:rPr>
        <w:t>Disclaimer (Artificial intelligence)</w:t>
      </w:r>
    </w:p>
    <w:p w14:paraId="417677A6" w14:textId="77777777" w:rsidR="008C2196" w:rsidRPr="00270720" w:rsidRDefault="008C2196" w:rsidP="008C2196">
      <w:pPr>
        <w:rPr>
          <w:highlight w:val="yellow"/>
        </w:rPr>
      </w:pPr>
    </w:p>
    <w:p w14:paraId="440F5BA7" w14:textId="77777777" w:rsidR="008C2196" w:rsidRPr="00270720" w:rsidRDefault="008C2196" w:rsidP="008C2196">
      <w:pPr>
        <w:rPr>
          <w:highlight w:val="yellow"/>
        </w:rPr>
      </w:pPr>
    </w:p>
    <w:p w14:paraId="1C3BF8CD" w14:textId="77777777" w:rsidR="008C2196" w:rsidRPr="00270720" w:rsidRDefault="008C2196" w:rsidP="008C2196">
      <w:pPr>
        <w:rPr>
          <w:highlight w:val="yellow"/>
        </w:rPr>
      </w:pPr>
      <w:r w:rsidRPr="00270720">
        <w:rPr>
          <w:highlight w:val="yellow"/>
        </w:rPr>
        <w:t>Details of the AI usage are given below:</w:t>
      </w:r>
    </w:p>
    <w:p w14:paraId="43C48FDD" w14:textId="77777777" w:rsidR="000C03F5" w:rsidRPr="00A70055" w:rsidRDefault="008C2196" w:rsidP="000C03F5">
      <w:r w:rsidRPr="00270720">
        <w:rPr>
          <w:highlight w:val="yellow"/>
        </w:rPr>
        <w:t>1.</w:t>
      </w:r>
      <w:r w:rsidR="000C03F5" w:rsidRPr="000C03F5">
        <w:t xml:space="preserve"> </w:t>
      </w:r>
      <w:r w:rsidR="000C03F5" w:rsidRPr="00A70055">
        <w:t xml:space="preserve">Name/Version/Model/Source: OpenAI </w:t>
      </w:r>
      <w:r w:rsidR="000C03F5">
        <w:t>– ChatGPT (GPT-5, web platform), and Grammarly</w:t>
      </w:r>
    </w:p>
    <w:p w14:paraId="66CFDE62" w14:textId="77777777" w:rsidR="000C03F5" w:rsidRPr="00A70055" w:rsidRDefault="000C03F5" w:rsidP="000C03F5">
      <w:r w:rsidRPr="0090356A">
        <w:t xml:space="preserve">2. </w:t>
      </w:r>
      <w:r w:rsidRPr="00A70055">
        <w:t xml:space="preserve">Purpose of Use: Assisted in refining language for clarity, </w:t>
      </w:r>
      <w:r>
        <w:t xml:space="preserve">paraphrasing the write-up to reduce the percentage of plagiarism, and </w:t>
      </w:r>
      <w:r w:rsidRPr="00A70055">
        <w:t>formatting references into Vancouver style.</w:t>
      </w:r>
    </w:p>
    <w:p w14:paraId="4F935248" w14:textId="77777777" w:rsidR="00D42C20" w:rsidRPr="000C03F5" w:rsidRDefault="000C03F5" w:rsidP="000C03F5">
      <w:r w:rsidRPr="0090356A">
        <w:t xml:space="preserve">3. </w:t>
      </w:r>
      <w:r w:rsidRPr="00A70055">
        <w:t>Input Prompts Provided: No generative AI outputs were accepted uncritically; all responses were reviewed, verified, and revised by the authors to ensure accuracy, originality, and integrity.</w:t>
      </w:r>
    </w:p>
    <w:p w14:paraId="61C87796" w14:textId="77777777" w:rsidR="00D42C20" w:rsidRDefault="00D42C20">
      <w:pPr>
        <w:pBdr>
          <w:top w:val="nil"/>
          <w:left w:val="nil"/>
          <w:bottom w:val="nil"/>
          <w:right w:val="nil"/>
          <w:between w:val="nil"/>
        </w:pBdr>
        <w:rPr>
          <w:b/>
          <w:color w:val="000000"/>
        </w:rPr>
      </w:pPr>
    </w:p>
    <w:p w14:paraId="62A090C1" w14:textId="77777777" w:rsidR="00D42C20" w:rsidRDefault="00D42C20">
      <w:pPr>
        <w:pBdr>
          <w:top w:val="nil"/>
          <w:left w:val="nil"/>
          <w:bottom w:val="nil"/>
          <w:right w:val="nil"/>
          <w:between w:val="nil"/>
        </w:pBdr>
        <w:rPr>
          <w:b/>
          <w:color w:val="000000"/>
        </w:rPr>
      </w:pPr>
    </w:p>
    <w:p w14:paraId="44DE1F18" w14:textId="77777777" w:rsidR="00D42C20" w:rsidRDefault="00D42C20">
      <w:pPr>
        <w:pBdr>
          <w:top w:val="nil"/>
          <w:left w:val="nil"/>
          <w:bottom w:val="nil"/>
          <w:right w:val="nil"/>
          <w:between w:val="nil"/>
        </w:pBdr>
        <w:rPr>
          <w:b/>
          <w:color w:val="000000"/>
        </w:rPr>
      </w:pPr>
    </w:p>
    <w:p w14:paraId="185BB38A" w14:textId="77777777" w:rsidR="00D42C20" w:rsidRDefault="00D42C20">
      <w:pPr>
        <w:pBdr>
          <w:top w:val="nil"/>
          <w:left w:val="nil"/>
          <w:bottom w:val="nil"/>
          <w:right w:val="nil"/>
          <w:between w:val="nil"/>
        </w:pBdr>
        <w:rPr>
          <w:b/>
          <w:color w:val="000000"/>
        </w:rPr>
      </w:pPr>
    </w:p>
    <w:p w14:paraId="1103641E" w14:textId="77777777" w:rsidR="00D42C20" w:rsidRDefault="00BB2F93">
      <w:pPr>
        <w:pBdr>
          <w:top w:val="nil"/>
          <w:left w:val="nil"/>
          <w:bottom w:val="nil"/>
          <w:right w:val="nil"/>
          <w:between w:val="nil"/>
        </w:pBdr>
        <w:rPr>
          <w:b/>
          <w:color w:val="000000"/>
        </w:rPr>
      </w:pPr>
      <w:r>
        <w:rPr>
          <w:b/>
          <w:color w:val="000000"/>
        </w:rPr>
        <w:t>References</w:t>
      </w:r>
    </w:p>
    <w:p w14:paraId="4A24821A" w14:textId="77777777" w:rsidR="00D42C20" w:rsidRDefault="00BB2F93">
      <w:pPr>
        <w:numPr>
          <w:ilvl w:val="0"/>
          <w:numId w:val="3"/>
        </w:numPr>
        <w:pBdr>
          <w:top w:val="nil"/>
          <w:left w:val="nil"/>
          <w:bottom w:val="nil"/>
          <w:right w:val="nil"/>
          <w:between w:val="nil"/>
        </w:pBdr>
        <w:spacing w:after="240"/>
      </w:pPr>
      <w:r>
        <w:rPr>
          <w:color w:val="000000"/>
        </w:rPr>
        <w:t xml:space="preserve">World Health Organization. Adolescent pregnancy—Fact sheet. 2024 Apr 10. Available from: </w:t>
      </w:r>
      <w:hyperlink r:id="rId7">
        <w:r>
          <w:rPr>
            <w:color w:val="0000FF"/>
            <w:u w:val="single"/>
          </w:rPr>
          <w:t>https://www.who.int/news-room/fact-sheets/detail/adolescent-pregnancy</w:t>
        </w:r>
      </w:hyperlink>
    </w:p>
    <w:p w14:paraId="75A009EA" w14:textId="77777777" w:rsidR="00D42C20" w:rsidRDefault="00BB2F93">
      <w:pPr>
        <w:numPr>
          <w:ilvl w:val="0"/>
          <w:numId w:val="3"/>
        </w:numPr>
        <w:pBdr>
          <w:top w:val="nil"/>
          <w:left w:val="nil"/>
          <w:bottom w:val="nil"/>
          <w:right w:val="nil"/>
          <w:between w:val="nil"/>
        </w:pBdr>
        <w:spacing w:after="240"/>
      </w:pPr>
      <w:r>
        <w:rPr>
          <w:color w:val="000000"/>
        </w:rPr>
        <w:t xml:space="preserve">World Health Organization. Adolescent sexual and reproductive health and rights—programme page. 2024–2025. Available from: </w:t>
      </w:r>
      <w:hyperlink r:id="rId8">
        <w:r>
          <w:rPr>
            <w:color w:val="0000FF"/>
            <w:u w:val="single"/>
          </w:rPr>
          <w:t>https://www.who.int/teams/sexual-and-reproductive-health-and-research-(srh)/areas-of-work/adolescent-and-sexual-and-reproductive-health-and-rights</w:t>
        </w:r>
      </w:hyperlink>
    </w:p>
    <w:p w14:paraId="17A95A7C" w14:textId="77777777" w:rsidR="00D42C20" w:rsidRDefault="00BB2F93">
      <w:pPr>
        <w:numPr>
          <w:ilvl w:val="0"/>
          <w:numId w:val="3"/>
        </w:numPr>
        <w:pBdr>
          <w:top w:val="nil"/>
          <w:left w:val="nil"/>
          <w:bottom w:val="nil"/>
          <w:right w:val="nil"/>
          <w:between w:val="nil"/>
        </w:pBdr>
        <w:spacing w:after="240"/>
      </w:pPr>
      <w:r>
        <w:rPr>
          <w:color w:val="000000"/>
        </w:rPr>
        <w:t xml:space="preserve">Federal Reserve Bank of St. Louis (FRED). Adolescent Fertility Rate for Nigeria (SPADOTFRTNGA). 2025 Apr 16 update; 2023 value = 86.432. Available from: </w:t>
      </w:r>
      <w:hyperlink r:id="rId9">
        <w:r>
          <w:rPr>
            <w:color w:val="0000FF"/>
            <w:u w:val="single"/>
          </w:rPr>
          <w:t>https://fred.stlouisfed.org/series/SPADOTFRTNGA</w:t>
        </w:r>
      </w:hyperlink>
    </w:p>
    <w:p w14:paraId="5700FFEB" w14:textId="77777777" w:rsidR="00D42C20" w:rsidRDefault="00BB2F93">
      <w:pPr>
        <w:numPr>
          <w:ilvl w:val="0"/>
          <w:numId w:val="3"/>
        </w:numPr>
        <w:pBdr>
          <w:top w:val="nil"/>
          <w:left w:val="nil"/>
          <w:bottom w:val="nil"/>
          <w:right w:val="nil"/>
          <w:between w:val="nil"/>
        </w:pBdr>
        <w:spacing w:after="240"/>
      </w:pPr>
      <w:r>
        <w:rPr>
          <w:color w:val="000000"/>
        </w:rPr>
        <w:t xml:space="preserve">National Population Commission (NPC) [Nigeria] and ICF. Nigeria Demographic and Health Survey 2018. Abuja, Nigeria, and Rockville, Maryland, USA: NPC and ICF; 2019. Available from: </w:t>
      </w:r>
      <w:hyperlink r:id="rId10">
        <w:r>
          <w:rPr>
            <w:color w:val="0000FF"/>
            <w:u w:val="single"/>
          </w:rPr>
          <w:t>https://dhsprogram.com/pubs/pdf/FR359/FR359.pdf</w:t>
        </w:r>
      </w:hyperlink>
    </w:p>
    <w:p w14:paraId="5C66AF0A" w14:textId="77777777" w:rsidR="00D42C20" w:rsidRDefault="00BB2F93">
      <w:pPr>
        <w:numPr>
          <w:ilvl w:val="0"/>
          <w:numId w:val="3"/>
        </w:numPr>
        <w:pBdr>
          <w:top w:val="nil"/>
          <w:left w:val="nil"/>
          <w:bottom w:val="nil"/>
          <w:right w:val="nil"/>
          <w:between w:val="nil"/>
        </w:pBdr>
        <w:spacing w:after="240"/>
      </w:pPr>
      <w:proofErr w:type="spellStart"/>
      <w:r>
        <w:rPr>
          <w:color w:val="000000"/>
        </w:rPr>
        <w:lastRenderedPageBreak/>
        <w:t>Ebuenyi</w:t>
      </w:r>
      <w:proofErr w:type="spellEnd"/>
      <w:r>
        <w:rPr>
          <w:color w:val="000000"/>
        </w:rPr>
        <w:t xml:space="preserve"> ID, </w:t>
      </w:r>
      <w:proofErr w:type="spellStart"/>
      <w:r>
        <w:rPr>
          <w:color w:val="000000"/>
        </w:rPr>
        <w:t>Amiegheme</w:t>
      </w:r>
      <w:proofErr w:type="spellEnd"/>
      <w:r>
        <w:rPr>
          <w:color w:val="000000"/>
        </w:rPr>
        <w:t xml:space="preserve"> FE, </w:t>
      </w:r>
      <w:proofErr w:type="spellStart"/>
      <w:r>
        <w:rPr>
          <w:color w:val="000000"/>
        </w:rPr>
        <w:t>Ekuma</w:t>
      </w:r>
      <w:proofErr w:type="spellEnd"/>
      <w:r>
        <w:rPr>
          <w:color w:val="000000"/>
        </w:rPr>
        <w:t xml:space="preserve"> AE, et al. Psychosocial correlates of risky sexual behaviour amongst university students in the Niger Delta, Nigeria. Pan </w:t>
      </w:r>
      <w:proofErr w:type="spellStart"/>
      <w:r>
        <w:rPr>
          <w:color w:val="000000"/>
        </w:rPr>
        <w:t>Afr</w:t>
      </w:r>
      <w:proofErr w:type="spellEnd"/>
      <w:r>
        <w:rPr>
          <w:color w:val="000000"/>
        </w:rPr>
        <w:t xml:space="preserve"> Med J. 2021;38:197. Available from: </w:t>
      </w:r>
      <w:hyperlink r:id="rId11">
        <w:r>
          <w:rPr>
            <w:color w:val="0000FF"/>
            <w:u w:val="single"/>
          </w:rPr>
          <w:t>https://pmc.ncbi.nlm.nih.gov/articles/PMC7825370/</w:t>
        </w:r>
      </w:hyperlink>
    </w:p>
    <w:p w14:paraId="6A55F636" w14:textId="77777777" w:rsidR="00D42C20" w:rsidRDefault="00BB2F93">
      <w:pPr>
        <w:numPr>
          <w:ilvl w:val="0"/>
          <w:numId w:val="3"/>
        </w:numPr>
        <w:pBdr>
          <w:top w:val="nil"/>
          <w:left w:val="nil"/>
          <w:bottom w:val="nil"/>
          <w:right w:val="nil"/>
          <w:between w:val="nil"/>
        </w:pBdr>
        <w:spacing w:after="240"/>
      </w:pPr>
      <w:proofErr w:type="spellStart"/>
      <w:r>
        <w:rPr>
          <w:color w:val="000000"/>
        </w:rPr>
        <w:t>Nmadu</w:t>
      </w:r>
      <w:proofErr w:type="spellEnd"/>
      <w:r>
        <w:rPr>
          <w:color w:val="000000"/>
        </w:rPr>
        <w:t xml:space="preserve"> AG, Mohammed S, Usman NO. Barriers to adolescents’ access and utilisation of reproductive health services in a public health facility in Nigeria. </w:t>
      </w:r>
      <w:proofErr w:type="spellStart"/>
      <w:r>
        <w:rPr>
          <w:color w:val="000000"/>
        </w:rPr>
        <w:t>Afr</w:t>
      </w:r>
      <w:proofErr w:type="spellEnd"/>
      <w:r>
        <w:rPr>
          <w:color w:val="000000"/>
        </w:rPr>
        <w:t xml:space="preserve"> J </w:t>
      </w:r>
      <w:proofErr w:type="spellStart"/>
      <w:r>
        <w:rPr>
          <w:color w:val="000000"/>
        </w:rPr>
        <w:t>Reprod</w:t>
      </w:r>
      <w:proofErr w:type="spellEnd"/>
      <w:r>
        <w:rPr>
          <w:color w:val="000000"/>
        </w:rPr>
        <w:t xml:space="preserve"> Health. 2020;24(3):134–143. </w:t>
      </w:r>
    </w:p>
    <w:p w14:paraId="7ED35ED0" w14:textId="77777777" w:rsidR="00D42C20" w:rsidRDefault="00BB2F93">
      <w:pPr>
        <w:numPr>
          <w:ilvl w:val="0"/>
          <w:numId w:val="3"/>
        </w:numPr>
        <w:pBdr>
          <w:top w:val="nil"/>
          <w:left w:val="nil"/>
          <w:bottom w:val="nil"/>
          <w:right w:val="nil"/>
          <w:between w:val="nil"/>
        </w:pBdr>
        <w:spacing w:after="240"/>
      </w:pPr>
      <w:r>
        <w:rPr>
          <w:color w:val="000000"/>
        </w:rPr>
        <w:t xml:space="preserve">Temitope A, et al. The prevalence and pattern of risky sexual behaviour among adolescents in Bayelsa State, Nigeria. Int J Trop Dis Health. 2024. Available from: </w:t>
      </w:r>
      <w:hyperlink r:id="rId12">
        <w:r>
          <w:rPr>
            <w:color w:val="0000FF"/>
            <w:u w:val="single"/>
          </w:rPr>
          <w:t>https://sdiopr.s3.ap-south-1.amazonaws.com/.../Rev_IJTDH_126049_Tem_A.pdf</w:t>
        </w:r>
      </w:hyperlink>
      <w:r>
        <w:rPr>
          <w:color w:val="000000"/>
        </w:rPr>
        <w:t xml:space="preserve"> (</w:t>
      </w:r>
      <w:hyperlink r:id="rId13">
        <w:r>
          <w:rPr>
            <w:color w:val="0000FF"/>
            <w:u w:val="single"/>
          </w:rPr>
          <w:t>SDIOPR</w:t>
        </w:r>
      </w:hyperlink>
      <w:r>
        <w:rPr>
          <w:color w:val="000000"/>
        </w:rPr>
        <w:t>)</w:t>
      </w:r>
    </w:p>
    <w:p w14:paraId="0DE952AB" w14:textId="77777777" w:rsidR="00D42C20" w:rsidRDefault="00BB2F93">
      <w:pPr>
        <w:numPr>
          <w:ilvl w:val="0"/>
          <w:numId w:val="3"/>
        </w:numPr>
        <w:pBdr>
          <w:top w:val="nil"/>
          <w:left w:val="nil"/>
          <w:bottom w:val="nil"/>
          <w:right w:val="nil"/>
          <w:between w:val="nil"/>
        </w:pBdr>
        <w:spacing w:after="240"/>
      </w:pPr>
      <w:r w:rsidRPr="00482E25">
        <w:rPr>
          <w:color w:val="000000"/>
          <w:lang w:val="nl-BE"/>
        </w:rPr>
        <w:t xml:space="preserve">Gatheru PM, Wambiya EOA, Atela M, et al. </w:t>
      </w:r>
      <w:r>
        <w:rPr>
          <w:color w:val="000000"/>
        </w:rPr>
        <w:t xml:space="preserve">The role of parent-adolescent communication interventions in improving sexual and reproductive health outcomes in sub-Saharan Africa: A systematic review. BMC Public Health. 2024;24:1619. Available from: </w:t>
      </w:r>
      <w:hyperlink r:id="rId14">
        <w:r>
          <w:rPr>
            <w:color w:val="0000FF"/>
            <w:u w:val="single"/>
          </w:rPr>
          <w:t>https://pmc.ncbi.nlm.nih.gov/articles/PMC11590274/</w:t>
        </w:r>
      </w:hyperlink>
    </w:p>
    <w:p w14:paraId="4B151C66" w14:textId="77777777" w:rsidR="00D42C20" w:rsidRDefault="00BB2F93">
      <w:pPr>
        <w:numPr>
          <w:ilvl w:val="0"/>
          <w:numId w:val="3"/>
        </w:numPr>
        <w:pBdr>
          <w:top w:val="nil"/>
          <w:left w:val="nil"/>
          <w:bottom w:val="nil"/>
          <w:right w:val="nil"/>
          <w:between w:val="nil"/>
        </w:pBdr>
        <w:spacing w:after="240"/>
      </w:pPr>
      <w:proofErr w:type="spellStart"/>
      <w:r>
        <w:rPr>
          <w:color w:val="000000"/>
        </w:rPr>
        <w:t>Agbeve</w:t>
      </w:r>
      <w:proofErr w:type="spellEnd"/>
      <w:r>
        <w:rPr>
          <w:color w:val="000000"/>
        </w:rPr>
        <w:t xml:space="preserve"> AS, Boateng GO, Kershaw T, et al. Parent–adolescent sexuality communication in the African context: A scoping review. Int J Environ Res Public Health. 2022;19(20):13278. Available from: </w:t>
      </w:r>
      <w:hyperlink r:id="rId15">
        <w:r>
          <w:rPr>
            <w:color w:val="0000FF"/>
            <w:u w:val="single"/>
          </w:rPr>
          <w:t>https://pmc.ncbi.nlm.nih.gov/articles/PMC9620762/</w:t>
        </w:r>
      </w:hyperlink>
    </w:p>
    <w:p w14:paraId="03EF4A54" w14:textId="77777777" w:rsidR="00D42C20" w:rsidRDefault="00BB2F93">
      <w:pPr>
        <w:numPr>
          <w:ilvl w:val="0"/>
          <w:numId w:val="3"/>
        </w:numPr>
        <w:pBdr>
          <w:top w:val="nil"/>
          <w:left w:val="nil"/>
          <w:bottom w:val="nil"/>
          <w:right w:val="nil"/>
          <w:between w:val="nil"/>
        </w:pBdr>
        <w:spacing w:after="240"/>
      </w:pPr>
      <w:r w:rsidRPr="00482E25">
        <w:rPr>
          <w:color w:val="000000"/>
          <w:lang w:val="nl-BE"/>
        </w:rPr>
        <w:t xml:space="preserve">Melese M, Tadesse S, Moges T, et al. </w:t>
      </w:r>
      <w:r>
        <w:rPr>
          <w:color w:val="000000"/>
        </w:rPr>
        <w:t xml:space="preserve">Parent–adolescent communication on sexual and reproductive health issues and associated factors among secondary school students: A cross-sectional study. Front Public Health. 2024;12:1342027. </w:t>
      </w:r>
    </w:p>
    <w:p w14:paraId="0E0320C1" w14:textId="77777777" w:rsidR="00D42C20" w:rsidRDefault="00BB2F93">
      <w:pPr>
        <w:numPr>
          <w:ilvl w:val="0"/>
          <w:numId w:val="3"/>
        </w:numPr>
        <w:spacing w:after="240"/>
        <w:rPr>
          <w:color w:val="000000"/>
        </w:rPr>
      </w:pPr>
      <w:proofErr w:type="spellStart"/>
      <w:r>
        <w:rPr>
          <w:color w:val="000000"/>
        </w:rPr>
        <w:t>Araoye</w:t>
      </w:r>
      <w:proofErr w:type="spellEnd"/>
      <w:r>
        <w:rPr>
          <w:color w:val="000000"/>
        </w:rPr>
        <w:t xml:space="preserve"> MO. Research methodology with statistics for health and social sciences. Ilorin: </w:t>
      </w:r>
      <w:proofErr w:type="spellStart"/>
      <w:r>
        <w:rPr>
          <w:color w:val="000000"/>
        </w:rPr>
        <w:t>Nathadex</w:t>
      </w:r>
      <w:proofErr w:type="spellEnd"/>
      <w:r>
        <w:rPr>
          <w:color w:val="000000"/>
        </w:rPr>
        <w:t xml:space="preserve"> Publisher; 2003. p. 25–120.</w:t>
      </w:r>
    </w:p>
    <w:p w14:paraId="290C5459" w14:textId="77777777" w:rsidR="00D42C20" w:rsidRDefault="00BB2F93">
      <w:pPr>
        <w:numPr>
          <w:ilvl w:val="0"/>
          <w:numId w:val="3"/>
        </w:numPr>
        <w:spacing w:after="240"/>
        <w:rPr>
          <w:color w:val="000000"/>
        </w:rPr>
      </w:pPr>
      <w:proofErr w:type="spellStart"/>
      <w:r>
        <w:rPr>
          <w:color w:val="000000"/>
        </w:rPr>
        <w:t>Kusheta</w:t>
      </w:r>
      <w:proofErr w:type="spellEnd"/>
      <w:r>
        <w:rPr>
          <w:color w:val="000000"/>
        </w:rPr>
        <w:t xml:space="preserve"> S, Bancha B, Habtu Y, </w:t>
      </w:r>
      <w:proofErr w:type="spellStart"/>
      <w:r>
        <w:rPr>
          <w:color w:val="000000"/>
        </w:rPr>
        <w:t>Helamo</w:t>
      </w:r>
      <w:proofErr w:type="spellEnd"/>
      <w:r>
        <w:rPr>
          <w:color w:val="000000"/>
        </w:rPr>
        <w:t xml:space="preserve"> D, Yohannes S. Adolescent-parent communication on sexual and reproductive health issues and its factors among secondary and preparatory school students in Hadiya Zone, Southern Ethiopia: institution based cross sectional study. BMC </w:t>
      </w:r>
      <w:proofErr w:type="spellStart"/>
      <w:r>
        <w:rPr>
          <w:color w:val="000000"/>
        </w:rPr>
        <w:t>Pediatr</w:t>
      </w:r>
      <w:proofErr w:type="spellEnd"/>
      <w:r>
        <w:rPr>
          <w:color w:val="000000"/>
        </w:rPr>
        <w:t>. 2019;19(1):1–11.</w:t>
      </w:r>
    </w:p>
    <w:p w14:paraId="590C91B4" w14:textId="77777777" w:rsidR="00D42C20" w:rsidRDefault="00BB2F93">
      <w:pPr>
        <w:numPr>
          <w:ilvl w:val="0"/>
          <w:numId w:val="3"/>
        </w:numPr>
        <w:spacing w:after="240"/>
        <w:rPr>
          <w:color w:val="000000"/>
        </w:rPr>
      </w:pPr>
      <w:r>
        <w:rPr>
          <w:color w:val="000000"/>
        </w:rPr>
        <w:t>Manu AA, Mba CJ, Asare GQ, Odoi-</w:t>
      </w:r>
      <w:proofErr w:type="spellStart"/>
      <w:r>
        <w:rPr>
          <w:color w:val="000000"/>
        </w:rPr>
        <w:t>Agyarko</w:t>
      </w:r>
      <w:proofErr w:type="spellEnd"/>
      <w:r>
        <w:rPr>
          <w:color w:val="000000"/>
        </w:rPr>
        <w:t xml:space="preserve"> K, Asante RKO. Parent–child communication about sexual and reproductive health: evidence from the Brong Ahafo region, Ghana. </w:t>
      </w:r>
      <w:proofErr w:type="spellStart"/>
      <w:r>
        <w:rPr>
          <w:color w:val="000000"/>
        </w:rPr>
        <w:t>Reprod</w:t>
      </w:r>
      <w:proofErr w:type="spellEnd"/>
      <w:r>
        <w:rPr>
          <w:color w:val="000000"/>
        </w:rPr>
        <w:t xml:space="preserve"> Health. 2015;12(1):1–13.</w:t>
      </w:r>
    </w:p>
    <w:p w14:paraId="523E8925" w14:textId="77777777" w:rsidR="00D42C20" w:rsidRDefault="00BB2F93">
      <w:pPr>
        <w:numPr>
          <w:ilvl w:val="0"/>
          <w:numId w:val="3"/>
        </w:numPr>
        <w:spacing w:after="240"/>
        <w:rPr>
          <w:color w:val="000000"/>
        </w:rPr>
      </w:pPr>
      <w:proofErr w:type="spellStart"/>
      <w:r>
        <w:rPr>
          <w:color w:val="000000"/>
        </w:rPr>
        <w:t>Elegbe</w:t>
      </w:r>
      <w:proofErr w:type="spellEnd"/>
      <w:r>
        <w:rPr>
          <w:color w:val="000000"/>
        </w:rPr>
        <w:t xml:space="preserve"> O. Sexual Communication: A Qualitative Study of Parents and Adolescent Girls Discussion about Sex. J Health Manag. 2018;20(4):439–52.</w:t>
      </w:r>
    </w:p>
    <w:p w14:paraId="442039B7" w14:textId="77777777" w:rsidR="00D42C20" w:rsidRDefault="00BB2F93">
      <w:pPr>
        <w:numPr>
          <w:ilvl w:val="0"/>
          <w:numId w:val="3"/>
        </w:numPr>
        <w:spacing w:after="240"/>
        <w:rPr>
          <w:color w:val="000000"/>
        </w:rPr>
      </w:pPr>
      <w:proofErr w:type="spellStart"/>
      <w:r>
        <w:rPr>
          <w:color w:val="000000"/>
        </w:rPr>
        <w:t>Yibrehu</w:t>
      </w:r>
      <w:proofErr w:type="spellEnd"/>
      <w:r>
        <w:rPr>
          <w:color w:val="000000"/>
        </w:rPr>
        <w:t xml:space="preserve"> MS, </w:t>
      </w:r>
      <w:proofErr w:type="spellStart"/>
      <w:r>
        <w:rPr>
          <w:color w:val="000000"/>
        </w:rPr>
        <w:t>Mbwele</w:t>
      </w:r>
      <w:proofErr w:type="spellEnd"/>
      <w:r>
        <w:rPr>
          <w:color w:val="000000"/>
        </w:rPr>
        <w:t xml:space="preserve"> B. Parent-adolescent communication on sexual and reproductive health: the qualitative evidences from parents and students of Addis Ababa, Ethiopia. </w:t>
      </w:r>
      <w:proofErr w:type="spellStart"/>
      <w:r>
        <w:rPr>
          <w:color w:val="000000"/>
        </w:rPr>
        <w:t>Reprod</w:t>
      </w:r>
      <w:proofErr w:type="spellEnd"/>
      <w:r>
        <w:rPr>
          <w:color w:val="000000"/>
        </w:rPr>
        <w:t xml:space="preserve"> Health. 2020;17(1):1–9.</w:t>
      </w:r>
    </w:p>
    <w:p w14:paraId="23530330" w14:textId="77777777" w:rsidR="00D42C20" w:rsidRDefault="00BB2F93">
      <w:pPr>
        <w:numPr>
          <w:ilvl w:val="0"/>
          <w:numId w:val="3"/>
        </w:numPr>
        <w:pBdr>
          <w:top w:val="nil"/>
          <w:left w:val="nil"/>
          <w:bottom w:val="nil"/>
          <w:right w:val="nil"/>
          <w:between w:val="nil"/>
        </w:pBdr>
        <w:spacing w:after="240"/>
        <w:rPr>
          <w:rFonts w:ascii="Calibri" w:eastAsia="Calibri" w:hAnsi="Calibri" w:cs="Calibri"/>
          <w:color w:val="000000"/>
        </w:rPr>
      </w:pPr>
      <w:proofErr w:type="spellStart"/>
      <w:r>
        <w:rPr>
          <w:color w:val="000000"/>
        </w:rPr>
        <w:t>Feyissa</w:t>
      </w:r>
      <w:proofErr w:type="spellEnd"/>
      <w:r>
        <w:rPr>
          <w:color w:val="000000"/>
        </w:rPr>
        <w:t xml:space="preserve"> M. Parent Adolescent Sexual and Reproductive Health Communication and Associated Factors among Secondary and Preparatory School Students in Fiche Town, North Shoa, Oromia Regional State, Ethiopia. HIA Africa Thesis Bank. 2018. Google Scholar </w:t>
      </w:r>
    </w:p>
    <w:p w14:paraId="42AE1CE2" w14:textId="77777777" w:rsidR="00D42C20" w:rsidRPr="00EA13F3" w:rsidRDefault="00BB2F93">
      <w:pPr>
        <w:numPr>
          <w:ilvl w:val="0"/>
          <w:numId w:val="3"/>
        </w:numPr>
        <w:pBdr>
          <w:top w:val="nil"/>
          <w:left w:val="nil"/>
          <w:bottom w:val="nil"/>
          <w:right w:val="nil"/>
          <w:between w:val="nil"/>
        </w:pBdr>
        <w:spacing w:after="240"/>
      </w:pPr>
      <w:proofErr w:type="spellStart"/>
      <w:r>
        <w:rPr>
          <w:color w:val="000000"/>
        </w:rPr>
        <w:lastRenderedPageBreak/>
        <w:t>Sleshi</w:t>
      </w:r>
      <w:proofErr w:type="spellEnd"/>
      <w:r>
        <w:rPr>
          <w:color w:val="000000"/>
        </w:rPr>
        <w:t>, S., Alemu, A. A., Dagnew, Z., Aynalem, B.Y. Parent-adolescent discussion about reproductive health issues and associated factors among parents in Debre Markos town, Northwest, Ethiopia: a cross-sectional study. Pan African Medical Journal, 2022; 41(266). 10.11604/pamj.2022.41.266.32447.</w:t>
      </w:r>
    </w:p>
    <w:p w14:paraId="2C96D8C7" w14:textId="77777777" w:rsidR="00EA13F3" w:rsidRPr="00EA13F3" w:rsidRDefault="00EA13F3" w:rsidP="00EA13F3">
      <w:pPr>
        <w:pStyle w:val="ListParagraph"/>
        <w:numPr>
          <w:ilvl w:val="0"/>
          <w:numId w:val="3"/>
        </w:numPr>
        <w:jc w:val="both"/>
        <w:rPr>
          <w:rFonts w:ascii="Times New Roman" w:hAnsi="Times New Roman" w:cs="Times New Roman"/>
        </w:rPr>
      </w:pPr>
      <w:proofErr w:type="spellStart"/>
      <w:r w:rsidRPr="00EA13F3">
        <w:rPr>
          <w:rFonts w:ascii="Times New Roman" w:hAnsi="Times New Roman" w:cs="Times New Roman"/>
        </w:rPr>
        <w:t>Ndugga</w:t>
      </w:r>
      <w:proofErr w:type="spellEnd"/>
      <w:r w:rsidRPr="00EA13F3">
        <w:rPr>
          <w:rFonts w:ascii="Times New Roman" w:hAnsi="Times New Roman" w:cs="Times New Roman"/>
        </w:rPr>
        <w:t xml:space="preserve">, P., Kwagala, B., Wandera, S. O., </w:t>
      </w:r>
      <w:proofErr w:type="spellStart"/>
      <w:r w:rsidRPr="00EA13F3">
        <w:rPr>
          <w:rFonts w:ascii="Times New Roman" w:hAnsi="Times New Roman" w:cs="Times New Roman"/>
        </w:rPr>
        <w:t>Kisaakye</w:t>
      </w:r>
      <w:proofErr w:type="spellEnd"/>
      <w:r w:rsidRPr="00EA13F3">
        <w:rPr>
          <w:rFonts w:ascii="Times New Roman" w:hAnsi="Times New Roman" w:cs="Times New Roman"/>
        </w:rPr>
        <w:t xml:space="preserve">, P., </w:t>
      </w:r>
      <w:proofErr w:type="spellStart"/>
      <w:r w:rsidRPr="00EA13F3">
        <w:rPr>
          <w:rFonts w:ascii="Times New Roman" w:hAnsi="Times New Roman" w:cs="Times New Roman"/>
        </w:rPr>
        <w:t>Mbonye</w:t>
      </w:r>
      <w:proofErr w:type="spellEnd"/>
      <w:r w:rsidRPr="00EA13F3">
        <w:rPr>
          <w:rFonts w:ascii="Times New Roman" w:hAnsi="Times New Roman" w:cs="Times New Roman"/>
        </w:rPr>
        <w:t>, M. K., &amp;Ngabirano, F. “If your mother does not teach you, the world will…”: a qualitative study of parent-adolescent communication on sexual and reproductive health issues in Border districts of eastern Uganda. BMC Public Health, 2023; 23(1), 678.</w:t>
      </w:r>
    </w:p>
    <w:sectPr w:rsidR="00EA13F3" w:rsidRPr="00EA13F3" w:rsidSect="00A55E9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9879" w14:textId="77777777" w:rsidR="0092167F" w:rsidRDefault="0092167F">
      <w:r>
        <w:separator/>
      </w:r>
    </w:p>
  </w:endnote>
  <w:endnote w:type="continuationSeparator" w:id="0">
    <w:p w14:paraId="05FEE265" w14:textId="77777777" w:rsidR="0092167F" w:rsidRDefault="0092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267E" w14:textId="77777777" w:rsidR="00B0415C" w:rsidRDefault="00B04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3776" w14:textId="77777777" w:rsidR="00B0415C" w:rsidRDefault="009E2B3C">
    <w:pPr>
      <w:pBdr>
        <w:top w:val="nil"/>
        <w:left w:val="nil"/>
        <w:bottom w:val="nil"/>
        <w:right w:val="nil"/>
        <w:between w:val="nil"/>
      </w:pBdr>
      <w:tabs>
        <w:tab w:val="center" w:pos="4513"/>
        <w:tab w:val="right" w:pos="9026"/>
      </w:tabs>
      <w:jc w:val="center"/>
    </w:pPr>
    <w:r>
      <w:fldChar w:fldCharType="begin"/>
    </w:r>
    <w:r>
      <w:instrText>PAGE</w:instrText>
    </w:r>
    <w:r>
      <w:fldChar w:fldCharType="separate"/>
    </w:r>
    <w:r>
      <w:rPr>
        <w:noProof/>
      </w:rPr>
      <w:t>6</w:t>
    </w:r>
    <w:r>
      <w:rPr>
        <w:noProof/>
      </w:rPr>
      <w:fldChar w:fldCharType="end"/>
    </w:r>
  </w:p>
  <w:p w14:paraId="240F7D90" w14:textId="77777777" w:rsidR="00B0415C" w:rsidRDefault="00B0415C">
    <w:pPr>
      <w:pBdr>
        <w:top w:val="nil"/>
        <w:left w:val="nil"/>
        <w:bottom w:val="nil"/>
        <w:right w:val="nil"/>
        <w:between w:val="nil"/>
      </w:pBd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B7B5" w14:textId="77777777" w:rsidR="00B0415C" w:rsidRDefault="00B04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315D" w14:textId="77777777" w:rsidR="0092167F" w:rsidRDefault="0092167F">
      <w:r>
        <w:separator/>
      </w:r>
    </w:p>
  </w:footnote>
  <w:footnote w:type="continuationSeparator" w:id="0">
    <w:p w14:paraId="021DEC84" w14:textId="77777777" w:rsidR="0092167F" w:rsidRDefault="0092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2F2E" w14:textId="77777777" w:rsidR="00B0415C" w:rsidRDefault="00000000">
    <w:pPr>
      <w:pStyle w:val="Header"/>
    </w:pPr>
    <w:r>
      <w:rPr>
        <w:noProof/>
      </w:rPr>
      <w:pict w14:anchorId="1F98F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8969"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6BBD" w14:textId="77777777" w:rsidR="00B0415C" w:rsidRDefault="00000000">
    <w:r>
      <w:rPr>
        <w:noProof/>
      </w:rPr>
      <w:pict w14:anchorId="4AAFE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8970"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ABF5" w14:textId="77777777" w:rsidR="00B0415C" w:rsidRDefault="00000000">
    <w:pPr>
      <w:pStyle w:val="Header"/>
    </w:pPr>
    <w:r>
      <w:rPr>
        <w:noProof/>
      </w:rPr>
      <w:pict w14:anchorId="5A424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8968"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7339"/>
    <w:multiLevelType w:val="multilevel"/>
    <w:tmpl w:val="58C03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E81DC8"/>
    <w:multiLevelType w:val="multilevel"/>
    <w:tmpl w:val="922646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016D1D"/>
    <w:multiLevelType w:val="multilevel"/>
    <w:tmpl w:val="7C0AF716"/>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98011373">
    <w:abstractNumId w:val="1"/>
  </w:num>
  <w:num w:numId="2" w16cid:durableId="1107702648">
    <w:abstractNumId w:val="0"/>
  </w:num>
  <w:num w:numId="3" w16cid:durableId="1217815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yMzUyNTUwNza3MDJX0lEKTi0uzszPAykwqgUAFygEKSwAAAA="/>
  </w:docVars>
  <w:rsids>
    <w:rsidRoot w:val="00D42C20"/>
    <w:rsid w:val="00005521"/>
    <w:rsid w:val="00014AA8"/>
    <w:rsid w:val="0009494F"/>
    <w:rsid w:val="000C03F5"/>
    <w:rsid w:val="000F28F3"/>
    <w:rsid w:val="00101E7C"/>
    <w:rsid w:val="00183F60"/>
    <w:rsid w:val="00207951"/>
    <w:rsid w:val="003173EB"/>
    <w:rsid w:val="003A7621"/>
    <w:rsid w:val="003C6CEE"/>
    <w:rsid w:val="0046336A"/>
    <w:rsid w:val="00464A29"/>
    <w:rsid w:val="00482E25"/>
    <w:rsid w:val="00614112"/>
    <w:rsid w:val="0065193D"/>
    <w:rsid w:val="006811F7"/>
    <w:rsid w:val="00693119"/>
    <w:rsid w:val="006A24AF"/>
    <w:rsid w:val="00754669"/>
    <w:rsid w:val="007D1A05"/>
    <w:rsid w:val="008003AE"/>
    <w:rsid w:val="008C2196"/>
    <w:rsid w:val="008D30DE"/>
    <w:rsid w:val="0092167F"/>
    <w:rsid w:val="009E2B3C"/>
    <w:rsid w:val="00A55E94"/>
    <w:rsid w:val="00B0415C"/>
    <w:rsid w:val="00B3425A"/>
    <w:rsid w:val="00B55C10"/>
    <w:rsid w:val="00BB2F93"/>
    <w:rsid w:val="00C311DD"/>
    <w:rsid w:val="00C67A21"/>
    <w:rsid w:val="00C845E0"/>
    <w:rsid w:val="00CC359E"/>
    <w:rsid w:val="00D17899"/>
    <w:rsid w:val="00D42C20"/>
    <w:rsid w:val="00DA6276"/>
    <w:rsid w:val="00DB2BFB"/>
    <w:rsid w:val="00DC79CD"/>
    <w:rsid w:val="00E755B6"/>
    <w:rsid w:val="00EA13F3"/>
    <w:rsid w:val="00F913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F9803"/>
  <w15:docId w15:val="{78F1BF3F-0C9E-4B8A-BE2A-EF7EDAD0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252525"/>
        <w:sz w:val="24"/>
        <w:szCs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E94"/>
  </w:style>
  <w:style w:type="paragraph" w:styleId="Heading1">
    <w:name w:val="heading 1"/>
    <w:basedOn w:val="Normal"/>
    <w:next w:val="Normal"/>
    <w:uiPriority w:val="9"/>
    <w:qFormat/>
    <w:rsid w:val="00A55E9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55E9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55E9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55E94"/>
    <w:pPr>
      <w:keepNext/>
      <w:keepLines/>
      <w:spacing w:before="240" w:after="40"/>
      <w:outlineLvl w:val="3"/>
    </w:pPr>
    <w:rPr>
      <w:b/>
    </w:rPr>
  </w:style>
  <w:style w:type="paragraph" w:styleId="Heading5">
    <w:name w:val="heading 5"/>
    <w:basedOn w:val="Normal"/>
    <w:next w:val="Normal"/>
    <w:uiPriority w:val="9"/>
    <w:semiHidden/>
    <w:unhideWhenUsed/>
    <w:qFormat/>
    <w:rsid w:val="00A55E9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55E9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A55E94"/>
    <w:tblPr>
      <w:tblCellMar>
        <w:top w:w="0" w:type="dxa"/>
        <w:left w:w="0" w:type="dxa"/>
        <w:bottom w:w="0" w:type="dxa"/>
        <w:right w:w="0" w:type="dxa"/>
      </w:tblCellMar>
    </w:tblPr>
  </w:style>
  <w:style w:type="paragraph" w:styleId="Title">
    <w:name w:val="Title"/>
    <w:basedOn w:val="Normal"/>
    <w:next w:val="Normal"/>
    <w:uiPriority w:val="10"/>
    <w:qFormat/>
    <w:rsid w:val="00A55E94"/>
    <w:pPr>
      <w:keepNext/>
      <w:keepLines/>
      <w:spacing w:before="480" w:after="120"/>
    </w:pPr>
    <w:rPr>
      <w:b/>
      <w:sz w:val="72"/>
      <w:szCs w:val="72"/>
    </w:rPr>
  </w:style>
  <w:style w:type="paragraph" w:styleId="Subtitle">
    <w:name w:val="Subtitle"/>
    <w:basedOn w:val="Normal"/>
    <w:next w:val="Normal"/>
    <w:uiPriority w:val="11"/>
    <w:qFormat/>
    <w:rsid w:val="00A55E94"/>
    <w:pPr>
      <w:keepNext/>
      <w:keepLines/>
      <w:spacing w:before="360" w:after="80"/>
    </w:pPr>
    <w:rPr>
      <w:rFonts w:ascii="Georgia" w:eastAsia="Georgia" w:hAnsi="Georgia" w:cs="Georgia"/>
      <w:i/>
      <w:color w:val="666666"/>
      <w:sz w:val="48"/>
      <w:szCs w:val="48"/>
    </w:rPr>
  </w:style>
  <w:style w:type="table" w:customStyle="1" w:styleId="a">
    <w:basedOn w:val="TableNormal0"/>
    <w:rsid w:val="00A55E94"/>
    <w:pPr>
      <w:jc w:val="left"/>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0">
    <w:basedOn w:val="TableNormal0"/>
    <w:rsid w:val="00A55E94"/>
    <w:pPr>
      <w:jc w:val="left"/>
    </w:pPr>
    <w:rPr>
      <w:rFonts w:ascii="Calibri" w:eastAsia="Calibri" w:hAnsi="Calibri" w:cs="Calibri"/>
      <w:color w:val="000000"/>
      <w:sz w:val="22"/>
      <w:szCs w:val="22"/>
    </w:r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6A24AF"/>
    <w:rPr>
      <w:color w:val="0000FF" w:themeColor="hyperlink"/>
      <w:u w:val="single"/>
    </w:rPr>
  </w:style>
  <w:style w:type="character" w:customStyle="1" w:styleId="UnresolvedMention1">
    <w:name w:val="Unresolved Mention1"/>
    <w:basedOn w:val="DefaultParagraphFont"/>
    <w:uiPriority w:val="99"/>
    <w:semiHidden/>
    <w:unhideWhenUsed/>
    <w:rsid w:val="006A24AF"/>
    <w:rPr>
      <w:color w:val="605E5C"/>
      <w:shd w:val="clear" w:color="auto" w:fill="E1DFDD"/>
    </w:rPr>
  </w:style>
  <w:style w:type="paragraph" w:styleId="Header">
    <w:name w:val="header"/>
    <w:basedOn w:val="Normal"/>
    <w:link w:val="HeaderChar"/>
    <w:uiPriority w:val="99"/>
    <w:unhideWhenUsed/>
    <w:rsid w:val="008003AE"/>
    <w:pPr>
      <w:tabs>
        <w:tab w:val="center" w:pos="4680"/>
        <w:tab w:val="right" w:pos="9360"/>
      </w:tabs>
    </w:pPr>
  </w:style>
  <w:style w:type="character" w:customStyle="1" w:styleId="HeaderChar">
    <w:name w:val="Header Char"/>
    <w:basedOn w:val="DefaultParagraphFont"/>
    <w:link w:val="Header"/>
    <w:uiPriority w:val="99"/>
    <w:rsid w:val="008003AE"/>
  </w:style>
  <w:style w:type="paragraph" w:styleId="Footer">
    <w:name w:val="footer"/>
    <w:basedOn w:val="Normal"/>
    <w:link w:val="FooterChar"/>
    <w:uiPriority w:val="99"/>
    <w:unhideWhenUsed/>
    <w:rsid w:val="008003AE"/>
    <w:pPr>
      <w:tabs>
        <w:tab w:val="center" w:pos="4680"/>
        <w:tab w:val="right" w:pos="9360"/>
      </w:tabs>
    </w:pPr>
  </w:style>
  <w:style w:type="character" w:customStyle="1" w:styleId="FooterChar">
    <w:name w:val="Footer Char"/>
    <w:basedOn w:val="DefaultParagraphFont"/>
    <w:link w:val="Footer"/>
    <w:uiPriority w:val="99"/>
    <w:rsid w:val="008003AE"/>
  </w:style>
  <w:style w:type="paragraph" w:styleId="BalloonText">
    <w:name w:val="Balloon Text"/>
    <w:basedOn w:val="Normal"/>
    <w:link w:val="BalloonTextChar"/>
    <w:uiPriority w:val="99"/>
    <w:semiHidden/>
    <w:unhideWhenUsed/>
    <w:rsid w:val="0046336A"/>
    <w:rPr>
      <w:rFonts w:ascii="Tahoma" w:hAnsi="Tahoma" w:cs="Tahoma"/>
      <w:sz w:val="16"/>
      <w:szCs w:val="16"/>
    </w:rPr>
  </w:style>
  <w:style w:type="character" w:customStyle="1" w:styleId="BalloonTextChar">
    <w:name w:val="Balloon Text Char"/>
    <w:basedOn w:val="DefaultParagraphFont"/>
    <w:link w:val="BalloonText"/>
    <w:uiPriority w:val="99"/>
    <w:semiHidden/>
    <w:rsid w:val="0046336A"/>
    <w:rPr>
      <w:rFonts w:ascii="Tahoma" w:hAnsi="Tahoma" w:cs="Tahoma"/>
      <w:sz w:val="16"/>
      <w:szCs w:val="16"/>
    </w:rPr>
  </w:style>
  <w:style w:type="paragraph" w:styleId="ListParagraph">
    <w:name w:val="List Paragraph"/>
    <w:basedOn w:val="Normal"/>
    <w:uiPriority w:val="34"/>
    <w:qFormat/>
    <w:rsid w:val="00B0415C"/>
    <w:pPr>
      <w:ind w:left="720"/>
      <w:contextualSpacing/>
      <w:jc w:val="left"/>
    </w:pPr>
    <w:rPr>
      <w:rFonts w:asciiTheme="minorHAnsi" w:eastAsia="SimSun"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ho.int/teams/sexual-and-reproductive-health-and-research-(srh)/areas-of-work/adolescent-and-sexual-and-reproductive-health-and-rights" TargetMode="External"/><Relationship Id="rId13" Type="http://schemas.openxmlformats.org/officeDocument/2006/relationships/hyperlink" Target="https://sdiopr.s3.ap-south-1.amazonaws.com/2024/Nov/30_Nov_24/2024_IJTDH_126049/Rev_IJTDH_126049_Tem_A.pdf?utm_source=chatgp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who.int/news-room/fact-sheets/detail/adolescent-pregnancy" TargetMode="External"/><Relationship Id="rId12" Type="http://schemas.openxmlformats.org/officeDocument/2006/relationships/hyperlink" Target="https://sdiopr.s3.ap-south-1.amazonaws.com/.../Rev_IJTDH_126049_Tem_A.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7825370/" TargetMode="External"/><Relationship Id="rId5" Type="http://schemas.openxmlformats.org/officeDocument/2006/relationships/footnotes" Target="footnotes.xml"/><Relationship Id="rId15" Type="http://schemas.openxmlformats.org/officeDocument/2006/relationships/hyperlink" Target="https://pmc.ncbi.nlm.nih.gov/articles/PMC9620762/" TargetMode="External"/><Relationship Id="rId23" Type="http://schemas.openxmlformats.org/officeDocument/2006/relationships/theme" Target="theme/theme1.xml"/><Relationship Id="rId10" Type="http://schemas.openxmlformats.org/officeDocument/2006/relationships/hyperlink" Target="https://dhsprogram.com/pubs/pdf/FR359/FR359.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fred.stlouisfed.org/series/SPADOTFRTNGA" TargetMode="External"/><Relationship Id="rId14" Type="http://schemas.openxmlformats.org/officeDocument/2006/relationships/hyperlink" Target="https://pmc.ncbi.nlm.nih.gov/articles/PMC115902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13</Pages>
  <Words>3898</Words>
  <Characters>22223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27</cp:revision>
  <dcterms:created xsi:type="dcterms:W3CDTF">2025-08-29T04:31:00Z</dcterms:created>
  <dcterms:modified xsi:type="dcterms:W3CDTF">2025-09-03T06:46:00Z</dcterms:modified>
</cp:coreProperties>
</file>