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3E" w:rsidRDefault="009338BF">
      <w:pPr>
        <w:spacing w:after="280"/>
        <w:jc w:val="center"/>
        <w:rPr>
          <w:b/>
          <w:color w:val="000000"/>
        </w:rPr>
      </w:pPr>
      <w:r>
        <w:rPr>
          <w:b/>
          <w:color w:val="000000"/>
        </w:rPr>
        <w:t>PRACTICES AND PERCEPTIONS OF PARENT-ADOLESCENT COMMUNICATION ON SEXUAL AND REPRODUCTIVE HEALTH: A COMPARATIVE STUDY OF URBAN AND RURAL ADOLESCENTS IN YENAGOA, BAYELSA STATE</w:t>
      </w:r>
    </w:p>
    <w:p w:rsidR="00150A3E" w:rsidRDefault="00150A3E">
      <w:pPr>
        <w:rPr>
          <w:b/>
          <w:color w:val="000000"/>
        </w:rPr>
      </w:pPr>
    </w:p>
    <w:p w:rsidR="00150A3E" w:rsidRDefault="00150A3E">
      <w:pPr>
        <w:rPr>
          <w:b/>
          <w:color w:val="000000"/>
        </w:rPr>
      </w:pPr>
    </w:p>
    <w:p w:rsidR="00150A3E" w:rsidRDefault="00150A3E">
      <w:pPr>
        <w:pBdr>
          <w:top w:val="nil"/>
          <w:left w:val="nil"/>
          <w:bottom w:val="nil"/>
          <w:right w:val="nil"/>
          <w:between w:val="nil"/>
        </w:pBdr>
        <w:jc w:val="left"/>
        <w:rPr>
          <w:b/>
          <w:color w:val="000000"/>
        </w:rPr>
      </w:pPr>
      <w:bookmarkStart w:id="0" w:name="_iqiazk97jo4l" w:colFirst="0" w:colLast="0"/>
      <w:bookmarkEnd w:id="0"/>
    </w:p>
    <w:p w:rsidR="00150A3E" w:rsidRDefault="009338BF">
      <w:pPr>
        <w:pBdr>
          <w:top w:val="nil"/>
          <w:left w:val="nil"/>
          <w:bottom w:val="nil"/>
          <w:right w:val="nil"/>
          <w:between w:val="nil"/>
        </w:pBdr>
        <w:jc w:val="left"/>
        <w:rPr>
          <w:b/>
          <w:color w:val="000000"/>
        </w:rPr>
      </w:pPr>
      <w:r>
        <w:rPr>
          <w:b/>
          <w:color w:val="000000"/>
        </w:rPr>
        <w:t>Abstract</w:t>
      </w:r>
    </w:p>
    <w:p w:rsidR="00150A3E" w:rsidRDefault="00150A3E">
      <w:pPr>
        <w:rPr>
          <w:b/>
          <w:color w:val="000000"/>
        </w:rPr>
      </w:pPr>
    </w:p>
    <w:p w:rsidR="00150A3E" w:rsidRDefault="009338BF">
      <w:pPr>
        <w:rPr>
          <w:b/>
          <w:color w:val="000000"/>
        </w:rPr>
      </w:pPr>
      <w:r>
        <w:rPr>
          <w:b/>
          <w:color w:val="000000"/>
        </w:rPr>
        <w:t>Background:</w:t>
      </w:r>
      <w:r w:rsidR="00735263">
        <w:rPr>
          <w:b/>
          <w:color w:val="000000"/>
        </w:rPr>
        <w:t xml:space="preserve"> </w:t>
      </w:r>
      <w:r>
        <w:t>Parent-adolescent communication on reproductive health is vital for shaping adolescents’ knowledge, attitudes, and behaviours. In Nigeria, especially in Bayelsa State, disparities in urban and rural settings affect the quality and openness of such communication, influencing sexual health outcomes and risk behaviours among young people.</w:t>
      </w:r>
    </w:p>
    <w:p w:rsidR="00150A3E" w:rsidRDefault="009338BF">
      <w:pPr>
        <w:rPr>
          <w:color w:val="000000"/>
        </w:rPr>
      </w:pPr>
      <w:r>
        <w:rPr>
          <w:b/>
          <w:color w:val="000000"/>
        </w:rPr>
        <w:t>Objectives:</w:t>
      </w:r>
      <w:r>
        <w:rPr>
          <w:color w:val="000000"/>
        </w:rPr>
        <w:t xml:space="preserve"> Compare the practices and perceptions of </w:t>
      </w:r>
      <w:r>
        <w:t>Parent-adolescent communication</w:t>
      </w:r>
      <w:r>
        <w:rPr>
          <w:color w:val="000000"/>
        </w:rPr>
        <w:t xml:space="preserve"> on sexual and reproductive health among urban and rural adolescents in Yenagoa, Bayelsa State. </w:t>
      </w:r>
    </w:p>
    <w:p w:rsidR="00150A3E" w:rsidRDefault="009338BF">
      <w:pPr>
        <w:rPr>
          <w:color w:val="000000"/>
        </w:rPr>
      </w:pPr>
      <w:r>
        <w:rPr>
          <w:b/>
          <w:color w:val="000000"/>
        </w:rPr>
        <w:t>Materials and Methods</w:t>
      </w:r>
      <w:r>
        <w:rPr>
          <w:color w:val="000000"/>
        </w:rPr>
        <w:t>: The study area was Yenagoa Local Government Area of Bayelsa State. A cross-sectional research design was used. The population comprised adolescents (male and female) between the ages of 15 to 19 years, attending secondary schools in urban and rural communities. The sample size of 248 adolescents was drawn using a multi-stage sampling technique from 54 secondary schools in the study area. A questionnaire was used to collect the required data. Frequency and percentages, and an independent sample t-test were used to analyse the data at the 0.05 alpha level.</w:t>
      </w:r>
    </w:p>
    <w:p w:rsidR="00150A3E" w:rsidRDefault="009338BF">
      <w:pPr>
        <w:pBdr>
          <w:top w:val="nil"/>
          <w:left w:val="nil"/>
          <w:bottom w:val="nil"/>
          <w:right w:val="nil"/>
          <w:between w:val="nil"/>
        </w:pBdr>
        <w:rPr>
          <w:color w:val="000000"/>
        </w:rPr>
      </w:pPr>
      <w:r>
        <w:rPr>
          <w:b/>
          <w:color w:val="000000"/>
        </w:rPr>
        <w:t xml:space="preserve">Results: </w:t>
      </w:r>
      <w:r>
        <w:rPr>
          <w:color w:val="000000"/>
        </w:rPr>
        <w:t xml:space="preserve">Urban adolescents reported higher initiation of SRH talks (63.7% vs. 53.2%; </w:t>
      </w:r>
      <w:r>
        <w:rPr>
          <w:i/>
          <w:color w:val="000000"/>
        </w:rPr>
        <w:t>p</w:t>
      </w:r>
      <w:r>
        <w:rPr>
          <w:color w:val="000000"/>
        </w:rPr>
        <w:t xml:space="preserve"> = 0.03), greater comfort (64.5% vs. 46.8%), and stronger belief in Parent-adolescent communication’s preventive role (61.3% vs. 45.2%; </w:t>
      </w:r>
      <w:r>
        <w:rPr>
          <w:i/>
          <w:color w:val="000000"/>
        </w:rPr>
        <w:t>p</w:t>
      </w:r>
      <w:r>
        <w:rPr>
          <w:color w:val="000000"/>
        </w:rPr>
        <w:t xml:space="preserve"> = 0.002), while rural adolescents faced more topic avoidance, cultural taboos (46.0% vs. 32.3%; </w:t>
      </w:r>
      <w:r>
        <w:rPr>
          <w:i/>
          <w:color w:val="000000"/>
        </w:rPr>
        <w:t>p</w:t>
      </w:r>
      <w:r>
        <w:rPr>
          <w:color w:val="000000"/>
        </w:rPr>
        <w:t xml:space="preserve"> = 0.033), and reliance on friends or schools for information.</w:t>
      </w:r>
    </w:p>
    <w:p w:rsidR="00150A3E" w:rsidRDefault="009338BF">
      <w:pPr>
        <w:pBdr>
          <w:top w:val="nil"/>
          <w:left w:val="nil"/>
          <w:bottom w:val="single" w:sz="4" w:space="1" w:color="000000"/>
          <w:right w:val="nil"/>
          <w:between w:val="nil"/>
        </w:pBdr>
        <w:rPr>
          <w:color w:val="000000"/>
        </w:rPr>
      </w:pPr>
      <w:r>
        <w:rPr>
          <w:b/>
          <w:color w:val="000000"/>
        </w:rPr>
        <w:t xml:space="preserve">Conclusion: </w:t>
      </w:r>
      <w:r>
        <w:rPr>
          <w:color w:val="000000"/>
        </w:rPr>
        <w:t>The study revealed significant urban–rural disparities in PAC on reproductive health, with urban adolescents receiving more open, accurate, and helpful discussions than their rural counterparts. Addressing cultural barriers, enhancing parental skills, and fostering supportive communication environments are essential to improving adolescents’ sexual and reproductive health outcomes in Bayelsa State.</w:t>
      </w:r>
    </w:p>
    <w:p w:rsidR="00150A3E" w:rsidRDefault="009338BF">
      <w:pPr>
        <w:rPr>
          <w:b/>
          <w:color w:val="000000"/>
        </w:rPr>
      </w:pPr>
      <w:r>
        <w:rPr>
          <w:b/>
          <w:color w:val="000000"/>
        </w:rPr>
        <w:t>Keywords</w:t>
      </w:r>
      <w:r>
        <w:rPr>
          <w:color w:val="000000"/>
        </w:rPr>
        <w:t xml:space="preserve">: </w:t>
      </w:r>
      <w:r>
        <w:rPr>
          <w:b/>
          <w:color w:val="000000"/>
        </w:rPr>
        <w:t> </w:t>
      </w:r>
      <w:r>
        <w:rPr>
          <w:color w:val="000000"/>
        </w:rPr>
        <w:t xml:space="preserve">Compare, Practice, Perception, </w:t>
      </w:r>
      <w:r>
        <w:t>Parent-adolescent Communication, Reproductive Health, Adolescent.</w:t>
      </w:r>
    </w:p>
    <w:p w:rsidR="00150A3E" w:rsidRDefault="00150A3E">
      <w:pPr>
        <w:rPr>
          <w:b/>
          <w:color w:val="000000"/>
        </w:rPr>
      </w:pPr>
    </w:p>
    <w:p w:rsidR="00150A3E" w:rsidRDefault="00150A3E">
      <w:pPr>
        <w:rPr>
          <w:b/>
          <w:color w:val="000000"/>
        </w:rPr>
      </w:pPr>
    </w:p>
    <w:p w:rsidR="00150A3E" w:rsidRDefault="00150A3E">
      <w:pPr>
        <w:rPr>
          <w:b/>
          <w:color w:val="000000"/>
        </w:rPr>
      </w:pPr>
    </w:p>
    <w:p w:rsidR="00150A3E" w:rsidRDefault="00150A3E">
      <w:pPr>
        <w:rPr>
          <w:b/>
          <w:color w:val="000000"/>
        </w:rPr>
      </w:pPr>
    </w:p>
    <w:p w:rsidR="00150A3E" w:rsidRDefault="00150A3E">
      <w:pPr>
        <w:rPr>
          <w:b/>
          <w:color w:val="000000"/>
        </w:rPr>
      </w:pPr>
    </w:p>
    <w:p w:rsidR="00150A3E" w:rsidRDefault="00150A3E">
      <w:pPr>
        <w:rPr>
          <w:b/>
          <w:color w:val="000000"/>
        </w:rPr>
      </w:pPr>
    </w:p>
    <w:p w:rsidR="00150A3E" w:rsidRDefault="009338BF">
      <w:pPr>
        <w:rPr>
          <w:b/>
          <w:color w:val="000000"/>
        </w:rPr>
      </w:pPr>
      <w:r>
        <w:rPr>
          <w:b/>
          <w:color w:val="000000"/>
        </w:rPr>
        <w:t>Introduction</w:t>
      </w:r>
    </w:p>
    <w:p w:rsidR="00150A3E" w:rsidRDefault="00150A3E">
      <w:pPr>
        <w:rPr>
          <w:b/>
          <w:color w:val="000000"/>
        </w:rPr>
      </w:pPr>
    </w:p>
    <w:p w:rsidR="00150A3E" w:rsidRDefault="009338BF">
      <w:pPr>
        <w:spacing w:line="480" w:lineRule="auto"/>
        <w:rPr>
          <w:color w:val="000000"/>
        </w:rPr>
      </w:pPr>
      <w:r>
        <w:rPr>
          <w:color w:val="000000"/>
        </w:rPr>
        <w:t xml:space="preserve">Adolescence is a pivotal window for shaping sexual and reproductive health (SRH) trajectories, yet outcomes remain uneven across and within countries. Globally, SRH risks persist due to declining condom use among young people and large unmet need for contraception, underscoring the importance of timely, accurate guidance at home and in </w:t>
      </w:r>
      <w:r>
        <w:rPr>
          <w:color w:val="000000"/>
        </w:rPr>
        <w:lastRenderedPageBreak/>
        <w:t>school.¹–² In Nigeria, adolescent childbearing remains among the highest in the world despite recent declines: the adolescent birth rate fell to 86.4 per 1,000 girls aged 15–19 in 2023, but levels are still elevated and vary widely by place and context.³–⁴ National analyses continue to flag adolescent pregnancy as a significant public-health concern, with structural and cultural factors shaping risk differently across regions.⁵–⁶ Within the Niger Delta, where Yenagoa (Bayelsa State) is situated, local evidence highlights SRH vulnerabilities among secondary-school students and the need for context-specific interventions.⁷–⁸ These patterns make an urban–rural comparative lens essential for understanding who gets information, how, and with what effects.</w:t>
      </w:r>
    </w:p>
    <w:p w:rsidR="00150A3E" w:rsidRDefault="009338BF">
      <w:pPr>
        <w:spacing w:line="480" w:lineRule="auto"/>
        <w:rPr>
          <w:color w:val="000000"/>
        </w:rPr>
      </w:pPr>
      <w:r>
        <w:rPr>
          <w:color w:val="000000"/>
        </w:rPr>
        <w:t>Parent–adolescent communication (PAC) is a proven protective factor; when it is open, accurate, and age-appropriate, adolescents delay sexual debut, use protection more consistently, and navigate peer pressure more safely. Systematic and qualitative reviews across sub-Saharan Africa consistently report that PAC quality and frequency are constrained by taboos, limited parental knowledge, and discomfort, with variations by geography and culture that can map onto urban–rural divides.⁹–¹¹ Recent Nigerian and regional studies corroborate these barriers and point to the promise of parent-focused interventions to strengthen SRH conversations at home.¹²–¹³ In the Niger Delta corridor, work from neighbouring Rivers State documents practical, relational, and cultural obstacles to sexual-risk communication, reinforcing the need to understand how place (urban vs. rural) shapes adolescents’ experiences and perceptions.¹⁴ Against this backdrop, the present study compares the practices and perceptions of PAC on sexual and reproductive health among urban and rural adolescents in Yenagoa, Bayelsa State, to inform locally grounded, family-centred strategies that complement school and community programming. Specifically, the objectives of this study included:</w:t>
      </w:r>
    </w:p>
    <w:p w:rsidR="00150A3E" w:rsidRDefault="009338BF">
      <w:pPr>
        <w:numPr>
          <w:ilvl w:val="0"/>
          <w:numId w:val="1"/>
        </w:numPr>
        <w:spacing w:line="480" w:lineRule="auto"/>
        <w:rPr>
          <w:color w:val="000000"/>
        </w:rPr>
      </w:pPr>
      <w:r>
        <w:rPr>
          <w:color w:val="000000"/>
        </w:rPr>
        <w:lastRenderedPageBreak/>
        <w:t>Compare the practice of parent-adolescent communication among adolescents in urban and rural secondary schools in Bayelsa State.</w:t>
      </w:r>
    </w:p>
    <w:p w:rsidR="00150A3E" w:rsidRDefault="009338BF">
      <w:pPr>
        <w:numPr>
          <w:ilvl w:val="0"/>
          <w:numId w:val="1"/>
        </w:numPr>
        <w:spacing w:line="480" w:lineRule="auto"/>
        <w:rPr>
          <w:color w:val="000000"/>
        </w:rPr>
      </w:pPr>
      <w:r>
        <w:rPr>
          <w:color w:val="000000"/>
        </w:rPr>
        <w:t>Compare adolescents’ perceptions of parent-adolescent communication among adolescents in urban and rural secondary schools in Bayelsa State</w:t>
      </w:r>
      <w:r>
        <w:rPr>
          <w:b/>
          <w:color w:val="000000"/>
        </w:rPr>
        <w:t>.</w:t>
      </w:r>
    </w:p>
    <w:p w:rsidR="00150A3E" w:rsidRDefault="009338BF" w:rsidP="002151F2">
      <w:pPr>
        <w:pBdr>
          <w:top w:val="nil"/>
          <w:left w:val="nil"/>
          <w:bottom w:val="nil"/>
          <w:right w:val="nil"/>
          <w:between w:val="nil"/>
        </w:pBdr>
        <w:spacing w:line="480" w:lineRule="auto"/>
        <w:jc w:val="left"/>
        <w:rPr>
          <w:color w:val="000000"/>
        </w:rPr>
      </w:pPr>
      <w:r>
        <w:rPr>
          <w:b/>
          <w:color w:val="000000"/>
        </w:rPr>
        <w:t xml:space="preserve">Materials and Methods </w:t>
      </w:r>
    </w:p>
    <w:p w:rsidR="00150A3E" w:rsidRDefault="002151F2" w:rsidP="002151F2">
      <w:pPr>
        <w:pBdr>
          <w:top w:val="nil"/>
          <w:left w:val="nil"/>
          <w:bottom w:val="nil"/>
          <w:right w:val="nil"/>
          <w:between w:val="nil"/>
        </w:pBdr>
        <w:spacing w:line="480" w:lineRule="auto"/>
        <w:rPr>
          <w:color w:val="000000"/>
        </w:rPr>
      </w:pPr>
      <w:r>
        <w:t>The study employed a comparative cross-sectional design to examine differences between adolescents in urban and rural communities of Bayelsa State. While this design is appropriate for highlighting variations between groups, it is important to acknowledge that causality cannot be inferred from the findings.</w:t>
      </w:r>
    </w:p>
    <w:p w:rsidR="00150A3E" w:rsidRDefault="009338BF">
      <w:pPr>
        <w:pBdr>
          <w:top w:val="nil"/>
          <w:left w:val="nil"/>
          <w:bottom w:val="nil"/>
          <w:right w:val="nil"/>
          <w:between w:val="nil"/>
        </w:pBdr>
        <w:spacing w:line="480" w:lineRule="auto"/>
        <w:rPr>
          <w:color w:val="000000"/>
        </w:rPr>
      </w:pPr>
      <w:r>
        <w:rPr>
          <w:color w:val="000000"/>
        </w:rPr>
        <w:t xml:space="preserve">The study population consisted of in-school adolescents; both male and female; between the ages of 15 to 19 years, attending public secondary schools located in urban and rural communities of Bayelsa State, Nigeria. Adolescents under the age of 15 were excluded from the study, as they were considered less likely to provide reliable or comprehensive responses regarding sensitive topics such as sexual and reproductive health. </w:t>
      </w:r>
    </w:p>
    <w:p w:rsidR="00150A3E" w:rsidRDefault="009338BF">
      <w:pPr>
        <w:pBdr>
          <w:top w:val="nil"/>
          <w:left w:val="nil"/>
          <w:bottom w:val="nil"/>
          <w:right w:val="nil"/>
          <w:between w:val="nil"/>
        </w:pBdr>
        <w:spacing w:line="480" w:lineRule="auto"/>
        <w:rPr>
          <w:color w:val="000000"/>
        </w:rPr>
      </w:pPr>
      <w:r>
        <w:rPr>
          <w:color w:val="000000"/>
        </w:rPr>
        <w:t>The study included male and female adolescents attending secondary schools in urban and rural communities of Bayelsa State who had lived with their parents for at least two years before the study. However, those who met this residency criterion but were married or unable to provide valid consent were excluded.</w:t>
      </w:r>
    </w:p>
    <w:p w:rsidR="00150A3E" w:rsidRDefault="009338BF">
      <w:pPr>
        <w:pBdr>
          <w:top w:val="nil"/>
          <w:left w:val="nil"/>
          <w:bottom w:val="nil"/>
          <w:right w:val="nil"/>
          <w:between w:val="nil"/>
        </w:pBdr>
        <w:spacing w:line="480" w:lineRule="auto"/>
        <w:rPr>
          <w:color w:val="000000"/>
        </w:rPr>
      </w:pPr>
      <w:r>
        <w:rPr>
          <w:color w:val="000000"/>
        </w:rPr>
        <w:t>A total of 248 adolescents will be calculated using the formula for comparing two proportions; the sample size was determined.</w:t>
      </w:r>
      <w:r>
        <w:rPr>
          <w:color w:val="000000"/>
          <w:vertAlign w:val="superscript"/>
        </w:rPr>
        <w:t>15</w:t>
      </w:r>
    </w:p>
    <w:p w:rsidR="00150A3E" w:rsidRDefault="009338BF">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n=</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 xml:space="preserve">2 X </m:t>
              </m:r>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α</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β</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r>
                <w:rPr>
                  <w:rFonts w:ascii="Cambria Math" w:eastAsia="Cambria Math" w:hAnsi="Cambria Math" w:cs="Cambria Math"/>
                  <w:color w:val="000000"/>
                  <w:sz w:val="22"/>
                  <w:szCs w:val="22"/>
                </w:rPr>
                <m:t xml:space="preserve"> X P (1-P)</m:t>
              </m:r>
            </m:num>
            <m:den>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1</m:t>
                      </m:r>
                    </m:sub>
                  </m:sSub>
                  <m:r>
                    <w:rPr>
                      <w:rFonts w:ascii="Cambria Math" w:eastAsia="Cambria Math" w:hAnsi="Cambria Math" w:cs="Cambria Math"/>
                      <w:color w:val="000000"/>
                      <w:sz w:val="22"/>
                      <w:szCs w:val="22"/>
                    </w:rPr>
                    <m:t xml:space="preserve">- </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2</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den>
          </m:f>
        </m:oMath>
      </m:oMathPara>
    </w:p>
    <w:p w:rsidR="00150A3E" w:rsidRDefault="009338BF">
      <w:pPr>
        <w:pBdr>
          <w:top w:val="nil"/>
          <w:left w:val="nil"/>
          <w:bottom w:val="nil"/>
          <w:right w:val="nil"/>
          <w:between w:val="nil"/>
        </w:pBdr>
        <w:spacing w:line="480" w:lineRule="auto"/>
        <w:rPr>
          <w:color w:val="000000"/>
        </w:rPr>
      </w:pPr>
      <w:r>
        <w:rPr>
          <w:color w:val="000000"/>
        </w:rPr>
        <w:t xml:space="preserve">A four-stage sampling technique was employed. First, 10 wards were randomly selected from Yenagoa LGA, representing about two-thirds of the area. Second, from 54 secondary schools, one urban and one rural school were randomly chosen from each ward, giving a total of 20 </w:t>
      </w:r>
      <w:r>
        <w:rPr>
          <w:color w:val="000000"/>
        </w:rPr>
        <w:lastRenderedPageBreak/>
        <w:t>schools. Third, participants were selected from these schools using proportionate sampling based on school population. In total, 248 students were recruited for the study.</w:t>
      </w:r>
    </w:p>
    <w:p w:rsidR="00150A3E" w:rsidRDefault="009338BF">
      <w:pPr>
        <w:pBdr>
          <w:top w:val="nil"/>
          <w:left w:val="nil"/>
          <w:bottom w:val="nil"/>
          <w:right w:val="nil"/>
          <w:between w:val="nil"/>
        </w:pBdr>
        <w:spacing w:line="480" w:lineRule="auto"/>
        <w:rPr>
          <w:color w:val="000000"/>
        </w:rPr>
      </w:pPr>
      <w:r>
        <w:rPr>
          <w:color w:val="000000"/>
        </w:rPr>
        <w:t>Data were collected using a structured, interviewer-administered, closed-ended questionnaire titled Practices and Perceptions of Parent-Adolescent Communication Questionnaire (PPPACQ)</w:t>
      </w:r>
      <w:r>
        <w:rPr>
          <w:i/>
          <w:color w:val="000000"/>
        </w:rPr>
        <w:t>,</w:t>
      </w:r>
      <w:r>
        <w:rPr>
          <w:color w:val="000000"/>
        </w:rPr>
        <w:t xml:space="preserve"> adapted from previous studies by Kusheta et al.,</w:t>
      </w:r>
      <w:r>
        <w:rPr>
          <w:color w:val="000000"/>
          <w:vertAlign w:val="superscript"/>
        </w:rPr>
        <w:t>16</w:t>
      </w:r>
      <w:r>
        <w:rPr>
          <w:color w:val="000000"/>
        </w:rPr>
        <w:t xml:space="preserve"> Manu et al.,</w:t>
      </w:r>
      <w:r>
        <w:rPr>
          <w:color w:val="000000"/>
          <w:vertAlign w:val="superscript"/>
        </w:rPr>
        <w:t>17</w:t>
      </w:r>
      <w:r>
        <w:rPr>
          <w:color w:val="000000"/>
        </w:rPr>
        <w:t xml:space="preserve"> Elegbe</w:t>
      </w:r>
      <w:r>
        <w:rPr>
          <w:color w:val="000000"/>
          <w:vertAlign w:val="superscript"/>
        </w:rPr>
        <w:t>18</w:t>
      </w:r>
      <w:r>
        <w:rPr>
          <w:color w:val="000000"/>
        </w:rPr>
        <w:t>, and Yibrehu&amp; Mbwele</w:t>
      </w:r>
      <w:r>
        <w:rPr>
          <w:color w:val="000000"/>
          <w:vertAlign w:val="superscript"/>
        </w:rPr>
        <w:t>19</w:t>
      </w:r>
      <w:r>
        <w:rPr>
          <w:color w:val="000000"/>
        </w:rPr>
        <w:t>. The instrument assessed the practices and perceptions of parent-adolescent communication among adolescents in rural and urban schools in Bayelsa State.</w:t>
      </w:r>
    </w:p>
    <w:p w:rsidR="00150A3E" w:rsidRDefault="009338BF">
      <w:pPr>
        <w:pBdr>
          <w:top w:val="nil"/>
          <w:left w:val="nil"/>
          <w:bottom w:val="nil"/>
          <w:right w:val="nil"/>
          <w:between w:val="nil"/>
        </w:pBdr>
        <w:spacing w:line="480" w:lineRule="auto"/>
        <w:rPr>
          <w:color w:val="000000"/>
        </w:rPr>
      </w:pPr>
      <w:r>
        <w:rPr>
          <w:color w:val="000000"/>
        </w:rPr>
        <w:t>Data collection lasted one month and was carried out by trained research assistants who underwent a three-day training on the questionnaire and administration procedures. The instrument was pre-tested to identify shortcomings, and necessary modifications were made to improve its reliability and usability.</w:t>
      </w:r>
    </w:p>
    <w:p w:rsidR="00150A3E" w:rsidRDefault="009338BF">
      <w:pPr>
        <w:spacing w:line="480" w:lineRule="auto"/>
        <w:rPr>
          <w:color w:val="000000"/>
        </w:rPr>
      </w:pPr>
      <w:r>
        <w:rPr>
          <w:color w:val="000000"/>
        </w:rPr>
        <w:t>Descriptive statistics such as frequencies and percentages, and inferential statistics independent sample t-test, were used to answer and test the hypotheses at the 0.05 level of significance.</w:t>
      </w:r>
    </w:p>
    <w:p w:rsidR="00150A3E" w:rsidRDefault="009338BF">
      <w:pPr>
        <w:rPr>
          <w:b/>
        </w:rPr>
      </w:pPr>
      <w:r>
        <w:rPr>
          <w:b/>
        </w:rPr>
        <w:t>Results</w:t>
      </w:r>
    </w:p>
    <w:p w:rsidR="00150A3E" w:rsidRDefault="00150A3E">
      <w:pPr>
        <w:rPr>
          <w:b/>
        </w:rPr>
      </w:pPr>
    </w:p>
    <w:p w:rsidR="00150A3E" w:rsidRDefault="009338BF">
      <w:pPr>
        <w:spacing w:line="480" w:lineRule="auto"/>
        <w:rPr>
          <w:color w:val="000000"/>
        </w:rPr>
      </w:pPr>
      <w:bookmarkStart w:id="1" w:name="_j52z5iyyav5z" w:colFirst="0" w:colLast="0"/>
      <w:bookmarkEnd w:id="1"/>
      <w:r>
        <w:rPr>
          <w:b/>
          <w:color w:val="000000"/>
        </w:rPr>
        <w:t xml:space="preserve">Objective One: </w:t>
      </w:r>
      <w:r>
        <w:rPr>
          <w:color w:val="000000"/>
        </w:rPr>
        <w:t>The practice of parent-adolescent communication among adolescents in urban and rural secondary schools in Bayelsa State.</w:t>
      </w:r>
    </w:p>
    <w:p w:rsidR="00150A3E" w:rsidRDefault="009338BF">
      <w:pPr>
        <w:rPr>
          <w:b/>
          <w:color w:val="000000"/>
        </w:rPr>
      </w:pPr>
      <w:r>
        <w:rPr>
          <w:b/>
          <w:color w:val="000000"/>
        </w:rPr>
        <w:t>Table 1: Summary of frequency, percentages, and independent sample t-test on the practice of parent-adolescent communication among adolescents in urban and rural secondary schools in Bayelsa State</w:t>
      </w:r>
    </w:p>
    <w:tbl>
      <w:tblPr>
        <w:tblStyle w:val="a"/>
        <w:tblpPr w:leftFromText="180" w:rightFromText="180" w:vertAnchor="text" w:tblpY="1"/>
        <w:tblW w:w="9975" w:type="dxa"/>
        <w:tblInd w:w="0" w:type="dxa"/>
        <w:tblBorders>
          <w:top w:val="single" w:sz="4" w:space="0" w:color="000000"/>
          <w:left w:val="nil"/>
          <w:bottom w:val="single" w:sz="4" w:space="0" w:color="000000"/>
          <w:right w:val="nil"/>
          <w:insideH w:val="nil"/>
          <w:insideV w:val="nil"/>
        </w:tblBorders>
        <w:tblLayout w:type="fixed"/>
        <w:tblLook w:val="0400"/>
      </w:tblPr>
      <w:tblGrid>
        <w:gridCol w:w="3171"/>
        <w:gridCol w:w="1701"/>
        <w:gridCol w:w="1275"/>
        <w:gridCol w:w="1134"/>
        <w:gridCol w:w="1276"/>
        <w:gridCol w:w="1418"/>
      </w:tblGrid>
      <w:tr w:rsidR="00150A3E">
        <w:trPr>
          <w:trHeight w:val="275"/>
        </w:trPr>
        <w:tc>
          <w:tcPr>
            <w:tcW w:w="3171" w:type="dxa"/>
            <w:vMerge w:val="restart"/>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701" w:type="dxa"/>
            <w:vMerge w:val="restart"/>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Response Option</w:t>
            </w:r>
          </w:p>
        </w:tc>
        <w:tc>
          <w:tcPr>
            <w:tcW w:w="1275" w:type="dxa"/>
            <w:vMerge w:val="restart"/>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(n=248)</w:t>
            </w:r>
          </w:p>
        </w:tc>
        <w:tc>
          <w:tcPr>
            <w:tcW w:w="2410" w:type="dxa"/>
            <w:gridSpan w:val="2"/>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1418" w:type="dxa"/>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T-test</w:t>
            </w:r>
          </w:p>
        </w:tc>
      </w:tr>
      <w:tr w:rsidR="00150A3E">
        <w:trPr>
          <w:trHeight w:val="275"/>
        </w:trPr>
        <w:tc>
          <w:tcPr>
            <w:tcW w:w="3171" w:type="dxa"/>
            <w:vMerge/>
            <w:tcBorders>
              <w:top w:val="single" w:sz="4" w:space="0" w:color="000000"/>
              <w:bottom w:val="nil"/>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701" w:type="dxa"/>
            <w:vMerge/>
            <w:tcBorders>
              <w:top w:val="single" w:sz="4" w:space="0" w:color="000000"/>
              <w:bottom w:val="nil"/>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bottom w:val="nil"/>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tcBorders>
              <w:top w:val="nil"/>
              <w:bottom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276" w:type="dxa"/>
            <w:tcBorders>
              <w:top w:val="nil"/>
              <w:bottom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418" w:type="dxa"/>
            <w:tcBorders>
              <w:top w:val="nil"/>
              <w:bottom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t-value</w:t>
            </w:r>
          </w:p>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(P-value)</w:t>
            </w:r>
          </w:p>
        </w:tc>
      </w:tr>
      <w:tr w:rsidR="00150A3E">
        <w:tc>
          <w:tcPr>
            <w:tcW w:w="3171" w:type="dxa"/>
            <w:vMerge w:val="restart"/>
            <w:tcBorders>
              <w:top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Who usually initiates conversations on sexual or reproductive health?</w:t>
            </w:r>
          </w:p>
        </w:tc>
        <w:tc>
          <w:tcPr>
            <w:tcW w:w="1701" w:type="dxa"/>
            <w:tcBorders>
              <w:top w:val="single" w:sz="4" w:space="0" w:color="000000"/>
            </w:tcBorders>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You</w:t>
            </w:r>
          </w:p>
        </w:tc>
        <w:tc>
          <w:tcPr>
            <w:tcW w:w="1275" w:type="dxa"/>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(58.5)</w:t>
            </w:r>
          </w:p>
        </w:tc>
        <w:tc>
          <w:tcPr>
            <w:tcW w:w="1134" w:type="dxa"/>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(63.7)</w:t>
            </w:r>
          </w:p>
        </w:tc>
        <w:tc>
          <w:tcPr>
            <w:tcW w:w="1276" w:type="dxa"/>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c>
          <w:tcPr>
            <w:tcW w:w="1418" w:type="dxa"/>
            <w:vMerge w:val="restart"/>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4.64 (0.03)*</w:t>
            </w:r>
          </w:p>
        </w:tc>
      </w:tr>
      <w:tr w:rsidR="00150A3E">
        <w:tc>
          <w:tcPr>
            <w:tcW w:w="3171"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Parent</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(17.3)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(13.7)</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418"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3171"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Both</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(7.3)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(8.1)</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(6.5)</w:t>
            </w:r>
          </w:p>
        </w:tc>
        <w:tc>
          <w:tcPr>
            <w:tcW w:w="1418"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3171"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 one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(16.9)</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(14.5)</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(19.4)</w:t>
            </w:r>
          </w:p>
        </w:tc>
        <w:tc>
          <w:tcPr>
            <w:tcW w:w="1418"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 you comfortable discussing reproductive health with your parent(s)?</w:t>
            </w: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Comfortable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(14.5%)</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(17.7%)</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(11.3%)</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 (0.09)</w:t>
            </w:r>
          </w:p>
        </w:tc>
      </w:tr>
      <w:tr w:rsidR="00150A3E">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Somewhat Comfortable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 (39.5%)</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(45.2%)</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Comfortable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 (46.0%)</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68"/>
        </w:trPr>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topics do your parents avoid when talking with you? (Select all that apply)</w:t>
            </w: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 (75.8%)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(68.5%)</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 (83.1%)</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3.92 (0.04)*</w:t>
            </w:r>
          </w:p>
        </w:tc>
      </w:tr>
      <w:tr w:rsidR="00150A3E">
        <w:trPr>
          <w:trHeight w:val="168"/>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Menstruation/Wet Dreams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 (47.6%)</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(47.6%)</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(47.6%)</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68"/>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Pregnancy</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 (69.8%)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(63.7%)</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(75.8%)</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68"/>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STIs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 (56.0%)</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(57.3%)</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87"/>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Contraceptives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 (63.3%)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(57.3%)</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 (69.4%)</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442"/>
        </w:trPr>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Does your culture or religion discourage talking about sexual matters with parents?</w:t>
            </w: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(66.1%)</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(56.5%)</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(75.8%)</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6.87 (0.01)**</w:t>
            </w:r>
          </w:p>
        </w:tc>
      </w:tr>
      <w:tr w:rsidR="00150A3E">
        <w:trPr>
          <w:trHeight w:val="114"/>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(33.9%)</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360"/>
        </w:trPr>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Have your parents ever punished you for asking questions about sexual or reproductive issues?</w:t>
            </w: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(25.0%)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9.17 (0.00)**</w:t>
            </w:r>
          </w:p>
        </w:tc>
      </w:tr>
      <w:tr w:rsidR="00150A3E">
        <w:trPr>
          <w:trHeight w:val="114"/>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 (63.3%)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 (75.0%)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(51.6%)</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206"/>
        </w:trPr>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method of communication do your parents mostly use?</w:t>
            </w:r>
          </w:p>
        </w:tc>
        <w:tc>
          <w:tcPr>
            <w:tcW w:w="1701" w:type="dxa"/>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Verbal talk</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 (71.8%)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(71.8%)</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 (0.03)*</w:t>
            </w:r>
          </w:p>
        </w:tc>
      </w:tr>
      <w:tr w:rsidR="00150A3E">
        <w:trPr>
          <w:trHeight w:val="206"/>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Written messages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(4.4%)</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(4.8%)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(4.0%)</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206"/>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Phone chats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(14.1%)</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(19.4%)</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(8.9%)</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206"/>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(9.7%)</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(15.3%)</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215"/>
        </w:trPr>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 your opinion, how helpful is your parents’ advice on these matters?</w:t>
            </w:r>
          </w:p>
        </w:tc>
        <w:tc>
          <w:tcPr>
            <w:tcW w:w="1701" w:type="dxa"/>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helpful</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(15.3%)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(9.7%)</w:t>
            </w:r>
          </w:p>
        </w:tc>
        <w:tc>
          <w:tcPr>
            <w:tcW w:w="1418"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 (0.02)*</w:t>
            </w:r>
          </w:p>
        </w:tc>
      </w:tr>
      <w:tr w:rsidR="00150A3E">
        <w:trPr>
          <w:trHeight w:val="215"/>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Somewhat helpful</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 (43.5%)</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(50.0%)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418" w:type="dxa"/>
            <w:vAlign w:val="center"/>
          </w:tcPr>
          <w:p w:rsidR="00150A3E" w:rsidRDefault="00150A3E">
            <w:pPr>
              <w:jc w:val="center"/>
              <w:rPr>
                <w:rFonts w:ascii="Times New Roman" w:eastAsia="Times New Roman" w:hAnsi="Times New Roman" w:cs="Times New Roman"/>
                <w:sz w:val="20"/>
                <w:szCs w:val="20"/>
              </w:rPr>
            </w:pPr>
          </w:p>
        </w:tc>
      </w:tr>
      <w:tr w:rsidR="00150A3E">
        <w:trPr>
          <w:trHeight w:val="215"/>
        </w:trPr>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helpful</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 (41.1%)</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c>
          <w:tcPr>
            <w:tcW w:w="1418" w:type="dxa"/>
            <w:vAlign w:val="center"/>
          </w:tcPr>
          <w:p w:rsidR="00150A3E" w:rsidRDefault="00150A3E">
            <w:pPr>
              <w:jc w:val="center"/>
              <w:rPr>
                <w:rFonts w:ascii="Times New Roman" w:eastAsia="Times New Roman" w:hAnsi="Times New Roman" w:cs="Times New Roman"/>
                <w:sz w:val="20"/>
                <w:szCs w:val="20"/>
              </w:rPr>
            </w:pPr>
          </w:p>
        </w:tc>
      </w:tr>
      <w:tr w:rsidR="00150A3E">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your parents express trust when you talk to them about your relationships or feelings?</w:t>
            </w: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 (35.1%)</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(46.8%)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(23.4%)</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12.05 (0.00)**</w:t>
            </w:r>
          </w:p>
        </w:tc>
      </w:tr>
      <w:tr w:rsidR="00150A3E">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 (64.9%)</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 (76.6%)</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Have you changed your behaviour based on talks with your parent(s)?</w:t>
            </w: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 (45.2%)</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(56.5%)</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11.01 (0.00)**</w:t>
            </w:r>
          </w:p>
        </w:tc>
      </w:tr>
      <w:tr w:rsidR="00150A3E">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(54.8%)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(66.1%)</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3171"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your parents give you accurate and age-appropriate information?</w:t>
            </w: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Always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(13.7%)</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(16.1%)</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(11.3%)</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 (0.27)</w:t>
            </w:r>
          </w:p>
        </w:tc>
      </w:tr>
      <w:tr w:rsidR="00150A3E">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Sometimes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 (49.6%)</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(44.4%)</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3171"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Never</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(44.4%)</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bl>
    <w:p w:rsidR="00150A3E" w:rsidRDefault="009338BF">
      <w:pPr>
        <w:rPr>
          <w:color w:val="000000"/>
          <w:sz w:val="20"/>
          <w:szCs w:val="20"/>
        </w:rPr>
      </w:pPr>
      <w:r>
        <w:rPr>
          <w:b/>
          <w:color w:val="000000"/>
          <w:sz w:val="20"/>
          <w:szCs w:val="20"/>
        </w:rPr>
        <w:t>Legend</w:t>
      </w:r>
      <w:r>
        <w:rPr>
          <w:color w:val="000000"/>
          <w:sz w:val="20"/>
          <w:szCs w:val="20"/>
        </w:rPr>
        <w:t>:  *Significant at P &lt;0.05</w:t>
      </w:r>
    </w:p>
    <w:p w:rsidR="00150A3E" w:rsidRDefault="009338BF">
      <w:pPr>
        <w:rPr>
          <w:color w:val="000000"/>
          <w:sz w:val="20"/>
          <w:szCs w:val="20"/>
        </w:rPr>
      </w:pPr>
      <w:r>
        <w:rPr>
          <w:color w:val="000000"/>
          <w:sz w:val="20"/>
          <w:szCs w:val="20"/>
        </w:rPr>
        <w:tab/>
        <w:t xml:space="preserve"> ** Highly significant at P &lt;0.01</w:t>
      </w:r>
    </w:p>
    <w:p w:rsidR="00150A3E" w:rsidRDefault="00150A3E">
      <w:pPr>
        <w:spacing w:line="276" w:lineRule="auto"/>
        <w:rPr>
          <w:color w:val="000000"/>
        </w:rPr>
      </w:pPr>
    </w:p>
    <w:p w:rsidR="00150A3E" w:rsidRDefault="009338BF">
      <w:pPr>
        <w:pBdr>
          <w:top w:val="nil"/>
          <w:left w:val="nil"/>
          <w:bottom w:val="nil"/>
          <w:right w:val="nil"/>
          <w:between w:val="nil"/>
        </w:pBdr>
        <w:spacing w:before="280" w:after="280" w:line="480" w:lineRule="auto"/>
        <w:rPr>
          <w:color w:val="000000"/>
        </w:rPr>
      </w:pPr>
      <w:r>
        <w:rPr>
          <w:color w:val="000000"/>
        </w:rPr>
        <w:t>The findings revealed that just over half of the adolescents (58.5%) reported someone initiating sexual and reproductive health (SRH) conversations, with urban adolescents (63.7%) more likely than rural ones (53.2%) to experience such initiation. Parents were identified as initiators by 17.3% of respondents, more commonly in rural areas, while 16.9% of all participants reported no initiation at all, indicating a communication gap. Comfort levels in discussing SRH with parents varied, with most adolescents (55.6%) being “somewhat comfortable,” urban students showing more ease than rural peers, and 30.6% reporting discomfort. Parents often avoided key SRH topics such as sex, STIs, contraceptives, and pregnancy, with avoidance higher in rural areas. Cultural and religious beliefs were also significant barriers, with over half (55.2%) feeling such discussions were discouraged, and 20.2% reporting punishment for raising SRH questions, again more frequent in rural communities.</w:t>
      </w:r>
    </w:p>
    <w:p w:rsidR="00150A3E" w:rsidRDefault="009338BF">
      <w:pPr>
        <w:pBdr>
          <w:top w:val="nil"/>
          <w:left w:val="nil"/>
          <w:bottom w:val="nil"/>
          <w:right w:val="nil"/>
          <w:between w:val="nil"/>
        </w:pBdr>
        <w:spacing w:before="280" w:after="280" w:line="480" w:lineRule="auto"/>
        <w:rPr>
          <w:color w:val="000000"/>
        </w:rPr>
      </w:pPr>
      <w:r>
        <w:rPr>
          <w:color w:val="000000"/>
        </w:rPr>
        <w:lastRenderedPageBreak/>
        <w:t>Communication was predominantly verbal (70.6%), with urban adolescents more likely to use this method than rural ones, while written messages and phone chats were less common. Advice from parents was considered “very helpful” by only 26.2% of adolescents, and rural students were more likely to rate it as “not helpful.” Trust was expressed by parents in 58.1% of cases, with rural adolescents feeling less trusted. Despite the challenges, 45.2% of respondents reported positive behaviour change following SRH discussions. However, only 25.4% found the information always accurate and age-appropriate, while 26.6%, especially rural adolescents, said it was never appropriate or accurate, highlighting the urgent need for targeted parental education, particularly in rural settings.</w:t>
      </w:r>
    </w:p>
    <w:p w:rsidR="00150A3E" w:rsidRDefault="00150A3E">
      <w:pPr>
        <w:spacing w:line="480" w:lineRule="auto"/>
        <w:rPr>
          <w:b/>
          <w:color w:val="000000"/>
        </w:rPr>
      </w:pPr>
    </w:p>
    <w:p w:rsidR="00150A3E" w:rsidRDefault="009338BF">
      <w:pPr>
        <w:spacing w:line="480" w:lineRule="auto"/>
        <w:rPr>
          <w:color w:val="000000"/>
        </w:rPr>
      </w:pPr>
      <w:r>
        <w:rPr>
          <w:b/>
          <w:color w:val="000000"/>
        </w:rPr>
        <w:t xml:space="preserve">Objective Two: </w:t>
      </w:r>
      <w:r>
        <w:rPr>
          <w:color w:val="000000"/>
        </w:rPr>
        <w:t>The adolescents’ perceptions of parent-adolescent communication among adolescents in urban and rural secondary schools in Bayelsa State.</w:t>
      </w:r>
    </w:p>
    <w:p w:rsidR="00150A3E" w:rsidRDefault="009338BF">
      <w:pPr>
        <w:spacing w:line="276" w:lineRule="auto"/>
        <w:rPr>
          <w:b/>
          <w:i/>
          <w:color w:val="000000"/>
        </w:rPr>
      </w:pPr>
      <w:r>
        <w:rPr>
          <w:b/>
          <w:color w:val="000000"/>
        </w:rPr>
        <w:t>Table 2: Summary of frequency, percentages, and independent sample t-test on adolescents’ perceptions of parent-adolescent communication among adolescents in urban and rural secondary schools in Bayelsa State</w:t>
      </w:r>
    </w:p>
    <w:tbl>
      <w:tblPr>
        <w:tblStyle w:val="a0"/>
        <w:tblpPr w:leftFromText="180" w:rightFromText="180" w:vertAnchor="text" w:tblpY="1"/>
        <w:tblW w:w="9975" w:type="dxa"/>
        <w:tblInd w:w="0" w:type="dxa"/>
        <w:tblBorders>
          <w:top w:val="single" w:sz="4" w:space="0" w:color="000000"/>
          <w:left w:val="nil"/>
          <w:bottom w:val="single" w:sz="4" w:space="0" w:color="000000"/>
          <w:right w:val="nil"/>
          <w:insideH w:val="nil"/>
          <w:insideV w:val="nil"/>
        </w:tblBorders>
        <w:tblLayout w:type="fixed"/>
        <w:tblLook w:val="0400"/>
      </w:tblPr>
      <w:tblGrid>
        <w:gridCol w:w="2887"/>
        <w:gridCol w:w="1985"/>
        <w:gridCol w:w="1275"/>
        <w:gridCol w:w="1134"/>
        <w:gridCol w:w="1276"/>
        <w:gridCol w:w="1418"/>
      </w:tblGrid>
      <w:tr w:rsidR="00150A3E">
        <w:trPr>
          <w:trHeight w:val="275"/>
        </w:trPr>
        <w:tc>
          <w:tcPr>
            <w:tcW w:w="2887" w:type="dxa"/>
            <w:vMerge w:val="restart"/>
            <w:tcBorders>
              <w:top w:val="single" w:sz="4" w:space="0" w:color="000000"/>
              <w:bottom w:val="nil"/>
            </w:tcBorders>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985" w:type="dxa"/>
            <w:vMerge w:val="restart"/>
            <w:tcBorders>
              <w:top w:val="single" w:sz="4" w:space="0" w:color="000000"/>
              <w:bottom w:val="nil"/>
            </w:tcBorders>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Response Option </w:t>
            </w:r>
          </w:p>
        </w:tc>
        <w:tc>
          <w:tcPr>
            <w:tcW w:w="1275" w:type="dxa"/>
            <w:vMerge w:val="restart"/>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(n=248)</w:t>
            </w:r>
          </w:p>
        </w:tc>
        <w:tc>
          <w:tcPr>
            <w:tcW w:w="2410" w:type="dxa"/>
            <w:gridSpan w:val="2"/>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1418" w:type="dxa"/>
            <w:tcBorders>
              <w:top w:val="single" w:sz="4" w:space="0" w:color="000000"/>
              <w:bottom w:val="nil"/>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T-test</w:t>
            </w:r>
          </w:p>
        </w:tc>
      </w:tr>
      <w:tr w:rsidR="00150A3E">
        <w:trPr>
          <w:trHeight w:val="275"/>
        </w:trPr>
        <w:tc>
          <w:tcPr>
            <w:tcW w:w="2887" w:type="dxa"/>
            <w:vMerge/>
            <w:tcBorders>
              <w:top w:val="single" w:sz="4" w:space="0" w:color="000000"/>
              <w:bottom w:val="nil"/>
            </w:tcBorders>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vMerge/>
            <w:tcBorders>
              <w:top w:val="single" w:sz="4" w:space="0" w:color="000000"/>
              <w:bottom w:val="nil"/>
            </w:tcBorders>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bottom w:val="nil"/>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tcBorders>
              <w:top w:val="nil"/>
              <w:bottom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276" w:type="dxa"/>
            <w:tcBorders>
              <w:top w:val="nil"/>
              <w:bottom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418" w:type="dxa"/>
            <w:tcBorders>
              <w:top w:val="nil"/>
              <w:bottom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t-value</w:t>
            </w:r>
          </w:p>
          <w:p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(P-value)</w:t>
            </w:r>
          </w:p>
        </w:tc>
      </w:tr>
      <w:tr w:rsidR="00150A3E">
        <w:tc>
          <w:tcPr>
            <w:tcW w:w="2887" w:type="dxa"/>
            <w:vMerge w:val="restart"/>
            <w:tcBorders>
              <w:top w:val="single" w:sz="4" w:space="0" w:color="000000"/>
            </w:tcBorders>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Parents should talk to their children about sex and reproduction.</w:t>
            </w:r>
          </w:p>
        </w:tc>
        <w:tc>
          <w:tcPr>
            <w:tcW w:w="1985" w:type="dxa"/>
            <w:tcBorders>
              <w:top w:val="single" w:sz="4" w:space="0" w:color="000000"/>
            </w:tcBorders>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 (46.0%)</w:t>
            </w:r>
          </w:p>
        </w:tc>
        <w:tc>
          <w:tcPr>
            <w:tcW w:w="1134" w:type="dxa"/>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(52.4%)</w:t>
            </w:r>
          </w:p>
        </w:tc>
        <w:tc>
          <w:tcPr>
            <w:tcW w:w="1276" w:type="dxa"/>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(39.5%)</w:t>
            </w:r>
          </w:p>
        </w:tc>
        <w:tc>
          <w:tcPr>
            <w:tcW w:w="1418" w:type="dxa"/>
            <w:vMerge w:val="restart"/>
            <w:tcBorders>
              <w:top w:val="single" w:sz="4" w:space="0" w:color="000000"/>
            </w:tcBorders>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2.32(0.02)*</w:t>
            </w:r>
          </w:p>
        </w:tc>
      </w:tr>
      <w:tr w:rsidR="00150A3E">
        <w:tc>
          <w:tcPr>
            <w:tcW w:w="2887"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 (42.3%)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(38.1%)</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 (46.9%)</w:t>
            </w:r>
          </w:p>
        </w:tc>
        <w:tc>
          <w:tcPr>
            <w:tcW w:w="1418"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2887"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(7.7%)</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(7.1%)</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(8.2%)</w:t>
            </w:r>
          </w:p>
        </w:tc>
        <w:tc>
          <w:tcPr>
            <w:tcW w:w="1418"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2887"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(4.0%)</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(2.4%)</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(5.7%)</w:t>
            </w:r>
          </w:p>
        </w:tc>
        <w:tc>
          <w:tcPr>
            <w:tcW w:w="1418" w:type="dxa"/>
            <w:vMerge/>
            <w:tcBorders>
              <w:top w:val="single" w:sz="4" w:space="0" w:color="000000"/>
            </w:tcBorders>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PAC can help reduce risky sexual behaviour among teenagers.</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 (53.2%)</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(61.3%)</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(45.2%)</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3.06(0.00)**</w:t>
            </w:r>
          </w:p>
        </w:tc>
      </w:tr>
      <w:tr w:rsidR="00150A3E">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 (38.3%)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(45.9%)</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(5.6%)</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(4.8%)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(6.6%)</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(3.2%)</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(2.5%)</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68"/>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wish my parents talked to me more about these issues</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171 (69.0%)</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 (75.8%)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(62.1%)</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2.31(0.02)*</w:t>
            </w:r>
          </w:p>
        </w:tc>
      </w:tr>
      <w:tr w:rsidR="00150A3E">
        <w:trPr>
          <w:trHeight w:val="168"/>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(31.0%)</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(24.2%)</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(37.9%)</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68"/>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Talking with parents about sexual matters is embarrassing</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(24.6%)</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(18.5%)</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(32.0%)</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2.25(0.03)*</w:t>
            </w:r>
          </w:p>
        </w:tc>
      </w:tr>
      <w:tr w:rsidR="00150A3E">
        <w:trPr>
          <w:trHeight w:val="168"/>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(33.1%)</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(32.3%)</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(35.3%)</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68"/>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(26.6%)</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(29.0%)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(25.4%)</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68"/>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(15.7%)</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(20.2%)</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(11.5%)</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187"/>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PAC helps me feel supported and informed</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 (64.1%)</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(71.0%)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(56.5%)</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2.49(0.01)**</w:t>
            </w:r>
          </w:p>
        </w:tc>
      </w:tr>
      <w:tr w:rsidR="00150A3E">
        <w:trPr>
          <w:trHeight w:val="187"/>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(35.9%)</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(29.0%)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442"/>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 is taboo to talk about sexual matters with parents.</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 (39.1%)</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(32.3%)</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(46.0%)</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2.15(0.03)*</w:t>
            </w:r>
          </w:p>
        </w:tc>
      </w:tr>
      <w:tr w:rsidR="00150A3E">
        <w:trPr>
          <w:trHeight w:val="114"/>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 (60.9%)</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 (67.7%)</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(54.0%)</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360"/>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 peers communicate more easily with their parents than I do.</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 (52.8%)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(46.0%)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(58.9%)</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2.01(0.05)*</w:t>
            </w:r>
          </w:p>
        </w:tc>
      </w:tr>
      <w:tr w:rsidR="00150A3E">
        <w:trPr>
          <w:trHeight w:val="114"/>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 (47.2%)</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(54.0%)</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(41.1%)</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498"/>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Reproductive health communication should only come from the school, not parents</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(30.2%)</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(23.4%)</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(37.1%)</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2.51(0.01)**</w:t>
            </w:r>
          </w:p>
        </w:tc>
      </w:tr>
      <w:tr w:rsidR="00150A3E">
        <w:trPr>
          <w:trHeight w:val="206"/>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 (69.8%)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(76.6%)</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(62.9%)</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400"/>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feel more comfortable talking to friends than parents about these issues</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 (76.2%)</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(71.8%)</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 (80.6%)</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1.53(0.13)</w:t>
            </w:r>
          </w:p>
        </w:tc>
      </w:tr>
      <w:tr w:rsidR="00150A3E">
        <w:trPr>
          <w:trHeight w:val="206"/>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(23.8%)</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(28.2%)</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(19.4%)</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trPr>
          <w:trHeight w:val="215"/>
        </w:trPr>
        <w:tc>
          <w:tcPr>
            <w:tcW w:w="2887" w:type="dxa"/>
            <w:vMerge w:val="restart"/>
            <w:vAlign w:val="center"/>
          </w:tcPr>
          <w:p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PAC can prevent teenage pregnancy and STIs.</w:t>
            </w: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 (84.3%)</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 (88.7%)</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 (79.0%)</w:t>
            </w:r>
          </w:p>
        </w:tc>
        <w:tc>
          <w:tcPr>
            <w:tcW w:w="1418" w:type="dxa"/>
            <w:vMerge w:val="restart"/>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2.11(0.04)*</w:t>
            </w:r>
          </w:p>
        </w:tc>
      </w:tr>
      <w:tr w:rsidR="00150A3E">
        <w:trPr>
          <w:trHeight w:val="215"/>
        </w:trPr>
        <w:tc>
          <w:tcPr>
            <w:tcW w:w="2887"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(15.7%)</w:t>
            </w:r>
          </w:p>
        </w:tc>
        <w:tc>
          <w:tcPr>
            <w:tcW w:w="1134"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(11.3%)</w:t>
            </w:r>
          </w:p>
        </w:tc>
        <w:tc>
          <w:tcPr>
            <w:tcW w:w="1276" w:type="dxa"/>
            <w:vAlign w:val="center"/>
          </w:tcPr>
          <w:p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418" w:type="dxa"/>
            <w:vMerge/>
            <w:vAlign w:val="center"/>
          </w:tcPr>
          <w:p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bl>
    <w:p w:rsidR="00150A3E" w:rsidRDefault="009338BF">
      <w:pPr>
        <w:rPr>
          <w:color w:val="000000"/>
          <w:sz w:val="20"/>
          <w:szCs w:val="20"/>
        </w:rPr>
      </w:pPr>
      <w:r>
        <w:rPr>
          <w:b/>
          <w:color w:val="000000"/>
          <w:sz w:val="20"/>
          <w:szCs w:val="20"/>
        </w:rPr>
        <w:t>Legend</w:t>
      </w:r>
      <w:r>
        <w:rPr>
          <w:color w:val="000000"/>
          <w:sz w:val="20"/>
          <w:szCs w:val="20"/>
        </w:rPr>
        <w:t>:  *Significant at P &lt;0.05</w:t>
      </w:r>
    </w:p>
    <w:p w:rsidR="00150A3E" w:rsidRDefault="009338BF">
      <w:pPr>
        <w:rPr>
          <w:color w:val="000000"/>
          <w:sz w:val="20"/>
          <w:szCs w:val="20"/>
        </w:rPr>
      </w:pPr>
      <w:r>
        <w:rPr>
          <w:color w:val="000000"/>
          <w:sz w:val="20"/>
          <w:szCs w:val="20"/>
        </w:rPr>
        <w:tab/>
        <w:t xml:space="preserve"> ** Highly significant at P &lt;0.01</w:t>
      </w:r>
    </w:p>
    <w:p w:rsidR="00150A3E" w:rsidRDefault="00150A3E"/>
    <w:p w:rsidR="00150A3E" w:rsidRDefault="009338BF">
      <w:pPr>
        <w:pBdr>
          <w:top w:val="nil"/>
          <w:left w:val="nil"/>
          <w:bottom w:val="nil"/>
          <w:right w:val="nil"/>
          <w:between w:val="nil"/>
        </w:pBdr>
        <w:spacing w:after="280" w:line="480" w:lineRule="auto"/>
        <w:rPr>
          <w:color w:val="000000"/>
        </w:rPr>
      </w:pPr>
      <w:r>
        <w:rPr>
          <w:color w:val="000000"/>
        </w:rPr>
        <w:t>The results showed strong overall support for parent-adolescent communication (PAC) across both urban and rural respondents, though significant differences emerged. Most adolescents (88.3%) agreed that parents should discuss sex and reproduction with their children, with urban adolescents (52.4%) more likely than rural ones (39.5%) to strongly agree. Similarly, 91.5% believed PAC could reduce risky sexual behaviour, with stronger agreement from urban respondents (61.3%) compared to rural (45.2%). A majority (69.0%) wanted more discussions with parents, especially in urban areas (75.8% vs. 62.1% rural). However, 57.7% felt such conversations were embarrassing, with higher discomfort in rural areas (65.3% vs. 50.0% urban). Urban adolescents were also more likely to report feeling supported and informed during these discussions (71.0% vs. 56.5% rural). Cultural taboos were cited by 39.1% overall, more common in rural areas (46.0%) than urban areas (32.3%).</w:t>
      </w:r>
    </w:p>
    <w:p w:rsidR="00150A3E" w:rsidRDefault="009338BF">
      <w:pPr>
        <w:pBdr>
          <w:top w:val="nil"/>
          <w:left w:val="nil"/>
          <w:bottom w:val="nil"/>
          <w:right w:val="nil"/>
          <w:between w:val="nil"/>
        </w:pBdr>
        <w:spacing w:after="280" w:line="480" w:lineRule="auto"/>
        <w:rPr>
          <w:color w:val="000000"/>
        </w:rPr>
      </w:pPr>
      <w:r>
        <w:rPr>
          <w:color w:val="000000"/>
        </w:rPr>
        <w:t xml:space="preserve">Peer-related comparisons further highlighted communication gaps, with 52.8% believing their peers communicated more easily with parents, especially among rural adolescents (58.9%). Additionally, 30.2% believed SRH education should come only from schools, a view more common in rural settings (37.1% vs. 23.4% urban). Most adolescents (76.2%) felt more comfortable discussing SRH with friends than parents, though this was not statistically significant. Finally, 84.3% believed PAC could prevent teenage pregnancy and STIs, with higher agreement among urban adolescents (88.7%) than rural ones (79.0%). Overall, the findings reveal stronger acceptance, comfort, and perceived benefits of PAC among urban </w:t>
      </w:r>
      <w:r>
        <w:rPr>
          <w:color w:val="000000"/>
        </w:rPr>
        <w:lastRenderedPageBreak/>
        <w:t>adolescents, while rural adolescents face more cultural, emotional, and structural barriers to open communication.</w:t>
      </w:r>
    </w:p>
    <w:p w:rsidR="00150A3E" w:rsidRDefault="009338BF">
      <w:pPr>
        <w:pBdr>
          <w:top w:val="nil"/>
          <w:left w:val="nil"/>
          <w:bottom w:val="nil"/>
          <w:right w:val="nil"/>
          <w:between w:val="nil"/>
        </w:pBdr>
        <w:spacing w:after="280" w:line="480" w:lineRule="auto"/>
        <w:rPr>
          <w:b/>
          <w:color w:val="000000"/>
        </w:rPr>
      </w:pPr>
      <w:r>
        <w:rPr>
          <w:b/>
          <w:color w:val="000000"/>
        </w:rPr>
        <w:t>Discussion of the Findings</w:t>
      </w:r>
    </w:p>
    <w:p w:rsidR="00150A3E" w:rsidRDefault="009338BF">
      <w:pPr>
        <w:pBdr>
          <w:top w:val="nil"/>
          <w:left w:val="nil"/>
          <w:bottom w:val="nil"/>
          <w:right w:val="nil"/>
          <w:between w:val="nil"/>
        </w:pBdr>
        <w:spacing w:after="280" w:line="480" w:lineRule="auto"/>
        <w:rPr>
          <w:color w:val="000000"/>
        </w:rPr>
      </w:pPr>
      <w:r>
        <w:rPr>
          <w:color w:val="000000"/>
        </w:rPr>
        <w:t>The result from objective one (Table 1) revealed, among others, that SRH communication initiation was more common among urban adolescents than rural ones, though parents in rural areas were slightly more likely to initiate discussions. Comfort levels were generally moderate, with urban adolescents reporting greater ease, while rural adolescents experienced more discomfort. Parents in both settings often avoided key SRH topics, with avoidance higher in rural areas. The result was consistent with the study conducted by Tesot et al.</w:t>
      </w:r>
      <w:r>
        <w:rPr>
          <w:color w:val="000000"/>
          <w:vertAlign w:val="superscript"/>
        </w:rPr>
        <w:t>20</w:t>
      </w:r>
      <w:r>
        <w:rPr>
          <w:color w:val="000000"/>
        </w:rPr>
        <w:t xml:space="preserve"> which revealed that there is a significant number of adolescents (72%) who occasionally engage in discussions about early sexual matters with their parents, which have been linked to a higher incidence of early sexual activity, teenage pregnancy, and sexually transmitted infections. </w:t>
      </w:r>
      <w:r w:rsidR="00EA5D07">
        <w:rPr>
          <w:color w:val="000000"/>
        </w:rPr>
        <w:t xml:space="preserve">This study is supported by </w:t>
      </w:r>
      <w:r w:rsidR="006B45DE">
        <w:rPr>
          <w:color w:val="000000"/>
        </w:rPr>
        <w:t>Titiloye and Ajuwon</w:t>
      </w:r>
      <w:r w:rsidR="006B45DE" w:rsidRPr="006B45DE">
        <w:rPr>
          <w:color w:val="000000"/>
          <w:vertAlign w:val="superscript"/>
        </w:rPr>
        <w:t>21</w:t>
      </w:r>
      <w:r w:rsidR="00EA5D07" w:rsidRPr="006B45DE">
        <w:rPr>
          <w:color w:val="000000"/>
        </w:rPr>
        <w:t>,</w:t>
      </w:r>
      <w:r w:rsidR="00EA5D07">
        <w:rPr>
          <w:color w:val="000000"/>
        </w:rPr>
        <w:t xml:space="preserve"> </w:t>
      </w:r>
      <w:r w:rsidR="00C00908">
        <w:rPr>
          <w:color w:val="000000"/>
        </w:rPr>
        <w:t xml:space="preserve">and </w:t>
      </w:r>
      <w:r w:rsidR="002010E0">
        <w:rPr>
          <w:color w:val="000000"/>
        </w:rPr>
        <w:t>Bamidele et al.</w:t>
      </w:r>
      <w:r w:rsidR="006B45DE" w:rsidRPr="006B45DE">
        <w:rPr>
          <w:color w:val="000000"/>
          <w:vertAlign w:val="superscript"/>
        </w:rPr>
        <w:t>22</w:t>
      </w:r>
      <w:r w:rsidR="00735263">
        <w:rPr>
          <w:color w:val="000000"/>
        </w:rPr>
        <w:t>. They</w:t>
      </w:r>
      <w:r w:rsidR="00EA5D07">
        <w:rPr>
          <w:color w:val="000000"/>
        </w:rPr>
        <w:t xml:space="preserve"> </w:t>
      </w:r>
      <w:r w:rsidR="00044D8A" w:rsidRPr="00044D8A">
        <w:rPr>
          <w:color w:val="000000"/>
        </w:rPr>
        <w:t>reported that although both parents and adolescents demonstrated good knowledge of adolescent reproductive health, the quality and frequency</w:t>
      </w:r>
      <w:r w:rsidR="00044D8A">
        <w:rPr>
          <w:color w:val="000000"/>
        </w:rPr>
        <w:t xml:space="preserve"> of communication remained poor</w:t>
      </w:r>
      <w:r w:rsidR="00EA5D07" w:rsidRPr="00EA5D07">
        <w:rPr>
          <w:color w:val="000000"/>
        </w:rPr>
        <w:t>.</w:t>
      </w:r>
    </w:p>
    <w:p w:rsidR="00150A3E" w:rsidRDefault="009338BF">
      <w:pPr>
        <w:pBdr>
          <w:top w:val="nil"/>
          <w:left w:val="nil"/>
          <w:bottom w:val="nil"/>
          <w:right w:val="nil"/>
          <w:between w:val="nil"/>
        </w:pBdr>
        <w:spacing w:after="280" w:line="480" w:lineRule="auto"/>
      </w:pPr>
      <w:r>
        <w:rPr>
          <w:color w:val="000000"/>
        </w:rPr>
        <w:t>The result of objective two (Table 2) revealed that adolescents in both urban and rural areas generally supported PAC, though urban adolescents showed stronger agreement on its importance and preventive value against risky sexual behaviour. A majority desired more SRH discussions, especially in urban settings, but embarrassment remained a barrier, particularly for rural adolescents. Urban respondents were more likely to feel supported and informed, while rural adolescents more often cited cultural taboos and felt their peers communicated better with parents. The result was corroborated by the study by Asekun-Olarinmoye et al.</w:t>
      </w:r>
      <w:r>
        <w:rPr>
          <w:color w:val="000000"/>
          <w:vertAlign w:val="superscript"/>
        </w:rPr>
        <w:t>2</w:t>
      </w:r>
      <w:r w:rsidR="006B45DE">
        <w:rPr>
          <w:color w:val="000000"/>
          <w:vertAlign w:val="superscript"/>
        </w:rPr>
        <w:t>3</w:t>
      </w:r>
      <w:r>
        <w:rPr>
          <w:color w:val="000000"/>
          <w:vertAlign w:val="superscript"/>
        </w:rPr>
        <w:t xml:space="preserve"> </w:t>
      </w:r>
      <w:r>
        <w:rPr>
          <w:color w:val="000000"/>
        </w:rPr>
        <w:t xml:space="preserve">which revealed that although 71% of parents believed SRH education was important, only 28% had ever discussed such topics with their children. Mothers were more </w:t>
      </w:r>
      <w:r>
        <w:rPr>
          <w:color w:val="000000"/>
        </w:rPr>
        <w:lastRenderedPageBreak/>
        <w:t>proactive than fathers, and educated parents communicated more than those with little or no formal education.</w:t>
      </w:r>
      <w:r w:rsidR="00C00908">
        <w:rPr>
          <w:color w:val="000000"/>
        </w:rPr>
        <w:t xml:space="preserve"> This result is supported by </w:t>
      </w:r>
      <w:r w:rsidR="00C00908" w:rsidRPr="006B45DE">
        <w:rPr>
          <w:color w:val="000000"/>
        </w:rPr>
        <w:t>Aliyu and Aransiola</w:t>
      </w:r>
      <w:r w:rsidR="006B45DE" w:rsidRPr="006B45DE">
        <w:rPr>
          <w:color w:val="000000"/>
          <w:vertAlign w:val="superscript"/>
        </w:rPr>
        <w:t>2</w:t>
      </w:r>
      <w:r w:rsidR="006B45DE">
        <w:rPr>
          <w:color w:val="000000"/>
          <w:vertAlign w:val="superscript"/>
        </w:rPr>
        <w:t>4</w:t>
      </w:r>
      <w:r w:rsidR="00C00908" w:rsidRPr="006B45DE">
        <w:rPr>
          <w:color w:val="000000"/>
        </w:rPr>
        <w:t>,</w:t>
      </w:r>
      <w:r w:rsidR="00C00908">
        <w:rPr>
          <w:color w:val="000000"/>
        </w:rPr>
        <w:t xml:space="preserve"> and </w:t>
      </w:r>
      <w:r w:rsidR="00C00908" w:rsidRPr="006B45DE">
        <w:rPr>
          <w:color w:val="000000"/>
        </w:rPr>
        <w:t>Ogunsanmi et al.</w:t>
      </w:r>
      <w:r w:rsidR="006B45DE" w:rsidRPr="006B45DE">
        <w:rPr>
          <w:color w:val="000000"/>
          <w:vertAlign w:val="superscript"/>
        </w:rPr>
        <w:t>2</w:t>
      </w:r>
      <w:r w:rsidR="006B45DE">
        <w:rPr>
          <w:color w:val="000000"/>
          <w:vertAlign w:val="superscript"/>
        </w:rPr>
        <w:t>5</w:t>
      </w:r>
      <w:r w:rsidR="00735263">
        <w:rPr>
          <w:color w:val="000000"/>
        </w:rPr>
        <w:t>.</w:t>
      </w:r>
      <w:r w:rsidR="00C00908">
        <w:rPr>
          <w:color w:val="000000"/>
        </w:rPr>
        <w:t xml:space="preserve"> </w:t>
      </w:r>
      <w:r w:rsidR="00735263">
        <w:rPr>
          <w:color w:val="000000"/>
        </w:rPr>
        <w:t>They</w:t>
      </w:r>
      <w:r w:rsidR="00C00908">
        <w:rPr>
          <w:color w:val="000000"/>
        </w:rPr>
        <w:t xml:space="preserve"> revealed </w:t>
      </w:r>
      <w:r w:rsidR="00044D8A" w:rsidRPr="00044D8A">
        <w:rPr>
          <w:color w:val="000000"/>
        </w:rPr>
        <w:t xml:space="preserve">that mothers engaged more effectively in SRH discussions, while female adolescents often restricted communication to limited topics, leaving critical issues about </w:t>
      </w:r>
      <w:r w:rsidR="00735263">
        <w:rPr>
          <w:color w:val="000000"/>
        </w:rPr>
        <w:t xml:space="preserve">the </w:t>
      </w:r>
      <w:r w:rsidR="00044D8A" w:rsidRPr="00044D8A">
        <w:rPr>
          <w:color w:val="000000"/>
        </w:rPr>
        <w:t>consequences of sexual behaviour underexplored</w:t>
      </w:r>
      <w:r w:rsidR="00C00908">
        <w:t>.</w:t>
      </w:r>
    </w:p>
    <w:p w:rsidR="00E27996" w:rsidRPr="00E27996" w:rsidRDefault="00E27996" w:rsidP="00E27996">
      <w:pPr>
        <w:pBdr>
          <w:top w:val="nil"/>
          <w:left w:val="nil"/>
          <w:bottom w:val="nil"/>
          <w:right w:val="nil"/>
          <w:between w:val="nil"/>
        </w:pBdr>
        <w:spacing w:after="280" w:line="480" w:lineRule="auto"/>
        <w:rPr>
          <w:b/>
          <w:color w:val="000000"/>
        </w:rPr>
      </w:pPr>
      <w:r w:rsidRPr="00E27996">
        <w:rPr>
          <w:b/>
          <w:color w:val="000000"/>
        </w:rPr>
        <w:t>Policy and Programmatic Implications</w:t>
      </w:r>
    </w:p>
    <w:p w:rsidR="00E27996" w:rsidRPr="00E27996" w:rsidRDefault="00E27996" w:rsidP="00E27996">
      <w:pPr>
        <w:pBdr>
          <w:top w:val="nil"/>
          <w:left w:val="nil"/>
          <w:bottom w:val="nil"/>
          <w:right w:val="nil"/>
          <w:between w:val="nil"/>
        </w:pBdr>
        <w:spacing w:after="280" w:line="480" w:lineRule="auto"/>
        <w:rPr>
          <w:color w:val="000000"/>
        </w:rPr>
      </w:pPr>
      <w:r w:rsidRPr="00E27996">
        <w:rPr>
          <w:color w:val="000000"/>
        </w:rPr>
        <w:t>The findings underscore the urgent need for culturally tailored interventions to promote open PAC on SRH. In particular:</w:t>
      </w:r>
    </w:p>
    <w:p w:rsidR="00E27996" w:rsidRPr="00E27996" w:rsidRDefault="00E27996" w:rsidP="00E27996">
      <w:pPr>
        <w:pStyle w:val="ListParagraph"/>
        <w:numPr>
          <w:ilvl w:val="0"/>
          <w:numId w:val="5"/>
        </w:numPr>
        <w:pBdr>
          <w:top w:val="nil"/>
          <w:left w:val="nil"/>
          <w:bottom w:val="nil"/>
          <w:right w:val="nil"/>
          <w:between w:val="nil"/>
        </w:pBdr>
        <w:spacing w:after="280" w:line="480" w:lineRule="auto"/>
        <w:rPr>
          <w:color w:val="000000"/>
        </w:rPr>
      </w:pPr>
      <w:r w:rsidRPr="00E27996">
        <w:rPr>
          <w:color w:val="000000"/>
        </w:rPr>
        <w:t>Community-based programmes should target rural areas where cultural taboos persist, using trusted community leaders and health educators to normali</w:t>
      </w:r>
      <w:r w:rsidR="00735263">
        <w:rPr>
          <w:color w:val="000000"/>
        </w:rPr>
        <w:t>s</w:t>
      </w:r>
      <w:r w:rsidRPr="00E27996">
        <w:rPr>
          <w:color w:val="000000"/>
        </w:rPr>
        <w:t>e dialogue.</w:t>
      </w:r>
    </w:p>
    <w:p w:rsidR="00E27996" w:rsidRDefault="00E27996" w:rsidP="00E27996">
      <w:pPr>
        <w:pStyle w:val="ListParagraph"/>
        <w:numPr>
          <w:ilvl w:val="0"/>
          <w:numId w:val="5"/>
        </w:numPr>
        <w:pBdr>
          <w:top w:val="nil"/>
          <w:left w:val="nil"/>
          <w:bottom w:val="nil"/>
          <w:right w:val="nil"/>
          <w:between w:val="nil"/>
        </w:pBdr>
        <w:spacing w:after="280" w:line="480" w:lineRule="auto"/>
        <w:rPr>
          <w:color w:val="000000"/>
        </w:rPr>
      </w:pPr>
      <w:r w:rsidRPr="00E27996">
        <w:rPr>
          <w:color w:val="000000"/>
        </w:rPr>
        <w:t>School-based SRH curricula should be strengthened to complement parental discussions, ensuring adolescents receive accurate and age-appropriate information.</w:t>
      </w:r>
    </w:p>
    <w:p w:rsidR="00E27996" w:rsidRDefault="00E27996" w:rsidP="00E27996">
      <w:pPr>
        <w:pStyle w:val="ListParagraph"/>
        <w:numPr>
          <w:ilvl w:val="0"/>
          <w:numId w:val="5"/>
        </w:numPr>
        <w:pBdr>
          <w:top w:val="nil"/>
          <w:left w:val="nil"/>
          <w:bottom w:val="nil"/>
          <w:right w:val="nil"/>
          <w:between w:val="nil"/>
        </w:pBdr>
        <w:spacing w:after="280" w:line="480" w:lineRule="auto"/>
        <w:rPr>
          <w:color w:val="000000"/>
        </w:rPr>
      </w:pPr>
      <w:r w:rsidRPr="00E27996">
        <w:rPr>
          <w:color w:val="000000"/>
        </w:rPr>
        <w:t>Parenting workshops and sensitisation campaigns should be designed to empower parents with skills to initiate and sustain SRH conversations, addressing embarrassment and discomfort.</w:t>
      </w:r>
    </w:p>
    <w:p w:rsidR="004831B8" w:rsidRPr="00D021E3" w:rsidRDefault="004831B8" w:rsidP="004831B8">
      <w:pPr>
        <w:spacing w:before="100" w:beforeAutospacing="1" w:after="100" w:afterAutospacing="1"/>
        <w:outlineLvl w:val="2"/>
        <w:rPr>
          <w:b/>
          <w:bCs/>
        </w:rPr>
      </w:pPr>
      <w:r w:rsidRPr="00D021E3">
        <w:rPr>
          <w:b/>
          <w:bCs/>
        </w:rPr>
        <w:t>Limitations</w:t>
      </w:r>
    </w:p>
    <w:p w:rsidR="004831B8" w:rsidRPr="00E27996" w:rsidRDefault="004831B8" w:rsidP="00E27996">
      <w:pPr>
        <w:pBdr>
          <w:top w:val="nil"/>
          <w:left w:val="nil"/>
          <w:bottom w:val="nil"/>
          <w:right w:val="nil"/>
          <w:between w:val="nil"/>
        </w:pBdr>
        <w:spacing w:after="280" w:line="480" w:lineRule="auto"/>
        <w:rPr>
          <w:color w:val="000000"/>
        </w:rPr>
      </w:pPr>
      <w:r w:rsidRPr="004831B8">
        <w:rPr>
          <w:color w:val="000000"/>
        </w:rPr>
        <w:t>This study employed a cross-sectional design, which is appropriate for comparing urban and rural adolescents but limits causal inference. Findings should therefore be interpreted as associations rather than evidence of direct cause</w:t>
      </w:r>
      <w:r w:rsidR="00735263">
        <w:rPr>
          <w:color w:val="000000"/>
        </w:rPr>
        <w:t>-and</w:t>
      </w:r>
      <w:r w:rsidRPr="004831B8">
        <w:rPr>
          <w:color w:val="000000"/>
        </w:rPr>
        <w:t>-effect relationships. Additionally, self-reported data may have introduced recall and social desirability biases.</w:t>
      </w:r>
    </w:p>
    <w:p w:rsidR="00150A3E" w:rsidRDefault="009338BF">
      <w:pPr>
        <w:spacing w:line="480" w:lineRule="auto"/>
        <w:rPr>
          <w:b/>
          <w:color w:val="000000"/>
        </w:rPr>
      </w:pPr>
      <w:r>
        <w:rPr>
          <w:b/>
          <w:color w:val="000000"/>
        </w:rPr>
        <w:t>Conclusion</w:t>
      </w:r>
    </w:p>
    <w:p w:rsidR="00150A3E" w:rsidRDefault="009338BF">
      <w:pPr>
        <w:pBdr>
          <w:top w:val="nil"/>
          <w:left w:val="nil"/>
          <w:bottom w:val="nil"/>
          <w:right w:val="nil"/>
          <w:between w:val="nil"/>
        </w:pBdr>
        <w:spacing w:after="280" w:line="480" w:lineRule="auto"/>
        <w:rPr>
          <w:color w:val="000000"/>
        </w:rPr>
      </w:pPr>
      <w:r>
        <w:rPr>
          <w:color w:val="000000"/>
        </w:rPr>
        <w:t xml:space="preserve">The study revealed clear urban–rural disparities in </w:t>
      </w:r>
      <w:r w:rsidR="006E3E07">
        <w:rPr>
          <w:color w:val="000000"/>
        </w:rPr>
        <w:t>PAC</w:t>
      </w:r>
      <w:r>
        <w:rPr>
          <w:color w:val="000000"/>
        </w:rPr>
        <w:t xml:space="preserve"> on sexual and reproductive health (SRH) in Yenagoa. Urban adolescents reported higher initiation of SRH talks (63.7% vs. </w:t>
      </w:r>
      <w:r>
        <w:rPr>
          <w:color w:val="000000"/>
        </w:rPr>
        <w:lastRenderedPageBreak/>
        <w:t xml:space="preserve">53.2%; </w:t>
      </w:r>
      <w:r>
        <w:rPr>
          <w:i/>
          <w:color w:val="000000"/>
        </w:rPr>
        <w:t>p</w:t>
      </w:r>
      <w:r>
        <w:rPr>
          <w:color w:val="000000"/>
        </w:rPr>
        <w:t xml:space="preserve"> = 0.03), greater comfort (64.5% vs. 46.8%), and stronger belief in PAC’s preventive role (61.3% vs. 45.2%; </w:t>
      </w:r>
      <w:r>
        <w:rPr>
          <w:i/>
          <w:color w:val="000000"/>
        </w:rPr>
        <w:t>p</w:t>
      </w:r>
      <w:r>
        <w:rPr>
          <w:color w:val="000000"/>
        </w:rPr>
        <w:t xml:space="preserve"> = 0.002), while rural adolescents faced more topic avoidance, cultural taboos (46.0% vs. 32.3%; </w:t>
      </w:r>
      <w:r>
        <w:rPr>
          <w:i/>
          <w:color w:val="000000"/>
        </w:rPr>
        <w:t>p</w:t>
      </w:r>
      <w:r>
        <w:rPr>
          <w:color w:val="000000"/>
        </w:rPr>
        <w:t xml:space="preserve"> = 0.033), and reliance on friends or schools for information. These differences highlight the need for culturally sensitive interventions to improve SRH dialogue, especially in rural communities.</w:t>
      </w:r>
    </w:p>
    <w:p w:rsidR="00150A3E" w:rsidRDefault="009338BF">
      <w:pPr>
        <w:spacing w:line="480" w:lineRule="auto"/>
        <w:rPr>
          <w:b/>
          <w:color w:val="000000"/>
        </w:rPr>
      </w:pPr>
      <w:r>
        <w:rPr>
          <w:b/>
          <w:color w:val="000000"/>
        </w:rPr>
        <w:t>Recommendations</w:t>
      </w:r>
    </w:p>
    <w:p w:rsidR="00E27996" w:rsidRPr="00E27996" w:rsidRDefault="00E27996" w:rsidP="00E27996">
      <w:pPr>
        <w:pStyle w:val="ListParagraph"/>
        <w:numPr>
          <w:ilvl w:val="0"/>
          <w:numId w:val="4"/>
        </w:numPr>
        <w:pBdr>
          <w:top w:val="nil"/>
          <w:left w:val="nil"/>
          <w:bottom w:val="nil"/>
          <w:right w:val="nil"/>
          <w:between w:val="nil"/>
        </w:pBdr>
        <w:spacing w:line="480" w:lineRule="auto"/>
        <w:rPr>
          <w:color w:val="000000"/>
        </w:rPr>
      </w:pPr>
      <w:r w:rsidRPr="00E27996">
        <w:rPr>
          <w:color w:val="000000"/>
        </w:rPr>
        <w:t>The Bayelsa State Ministry of Health should implement parent-training programmes in rural areas to reduce topic avoidance, address cultural taboos, and improve the accuracy and effectiveness of SRH information provided to adolescents.</w:t>
      </w:r>
    </w:p>
    <w:p w:rsidR="00150A3E" w:rsidRPr="00E27996" w:rsidRDefault="00E27996" w:rsidP="00E27996">
      <w:pPr>
        <w:pStyle w:val="ListParagraph"/>
        <w:numPr>
          <w:ilvl w:val="0"/>
          <w:numId w:val="4"/>
        </w:numPr>
        <w:pBdr>
          <w:top w:val="nil"/>
          <w:left w:val="nil"/>
          <w:bottom w:val="nil"/>
          <w:right w:val="nil"/>
          <w:between w:val="nil"/>
        </w:pBdr>
        <w:spacing w:line="480" w:lineRule="auto"/>
        <w:rPr>
          <w:color w:val="000000"/>
        </w:rPr>
      </w:pPr>
      <w:r w:rsidRPr="00E27996">
        <w:rPr>
          <w:color w:val="000000"/>
        </w:rPr>
        <w:t>The Bayelsa State Ministry of Health, in collaboration with the Ministry of Education, should promote community awareness campaigns and strengthen school–parent partnerships to reduce embarrassment, improve positive perceptions of PAC, and encourage more open discussions on SRH, particularly in rural communities.</w:t>
      </w:r>
    </w:p>
    <w:p w:rsidR="00E27996" w:rsidRDefault="00E27996">
      <w:pPr>
        <w:pBdr>
          <w:top w:val="nil"/>
          <w:left w:val="nil"/>
          <w:bottom w:val="nil"/>
          <w:right w:val="nil"/>
          <w:between w:val="nil"/>
        </w:pBdr>
        <w:rPr>
          <w:color w:val="000000"/>
        </w:rPr>
      </w:pPr>
    </w:p>
    <w:p w:rsidR="00E27996" w:rsidRDefault="00E27996">
      <w:pPr>
        <w:pBdr>
          <w:top w:val="nil"/>
          <w:left w:val="nil"/>
          <w:bottom w:val="nil"/>
          <w:right w:val="nil"/>
          <w:between w:val="nil"/>
        </w:pBdr>
        <w:rPr>
          <w:color w:val="000000"/>
        </w:rPr>
      </w:pPr>
    </w:p>
    <w:p w:rsidR="000B1663" w:rsidRPr="00D10AEC" w:rsidRDefault="000B1663" w:rsidP="000B1663">
      <w:pPr>
        <w:rPr>
          <w:b/>
        </w:rPr>
      </w:pPr>
      <w:r w:rsidRPr="00D10AEC">
        <w:rPr>
          <w:b/>
        </w:rPr>
        <w:t>Disclaimer (Artificial intelligence)</w:t>
      </w:r>
    </w:p>
    <w:p w:rsidR="000B1663" w:rsidRPr="0090356A" w:rsidRDefault="000B1663" w:rsidP="000B1663"/>
    <w:p w:rsidR="000B1663" w:rsidRPr="0090356A" w:rsidRDefault="000B1663" w:rsidP="000B1663">
      <w:r w:rsidRPr="0090356A">
        <w:t xml:space="preserve">Option 1: </w:t>
      </w:r>
    </w:p>
    <w:p w:rsidR="000B1663" w:rsidRPr="0090356A" w:rsidRDefault="000B1663" w:rsidP="000B1663"/>
    <w:p w:rsidR="000B1663" w:rsidRPr="0090356A" w:rsidRDefault="00735263" w:rsidP="000B1663">
      <w:r>
        <w:t xml:space="preserve">The author </w:t>
      </w:r>
      <w:r w:rsidR="000B1663" w:rsidRPr="0090356A">
        <w:t xml:space="preserve">(s) hereby declare that NO generative AI technologies such as Large Language Models (ChatGPT, COPILOT, etc.) and text-to-image generators have been used during the writing or editing of this manuscript. </w:t>
      </w:r>
    </w:p>
    <w:p w:rsidR="000B1663" w:rsidRPr="0090356A" w:rsidRDefault="000B1663" w:rsidP="000B1663"/>
    <w:p w:rsidR="000B1663" w:rsidRPr="0090356A" w:rsidRDefault="000B1663" w:rsidP="000B1663">
      <w:r w:rsidRPr="0090356A">
        <w:t xml:space="preserve">Option 2: </w:t>
      </w:r>
    </w:p>
    <w:p w:rsidR="000B1663" w:rsidRPr="0090356A" w:rsidRDefault="000B1663" w:rsidP="000B1663"/>
    <w:p w:rsidR="000B1663" w:rsidRPr="0090356A" w:rsidRDefault="00735263" w:rsidP="000B1663">
      <w:r>
        <w:t xml:space="preserve">The author </w:t>
      </w:r>
      <w:r w:rsidR="000B1663" w:rsidRPr="0090356A">
        <w:t>(s) hereby declare that generative AI technologies</w:t>
      </w:r>
      <w:r>
        <w:t>,</w:t>
      </w:r>
      <w:r w:rsidR="000B1663" w:rsidRPr="0090356A">
        <w:t xml:space="preserve"> such as Large Language Models, etc.</w:t>
      </w:r>
      <w:r>
        <w:t>,</w:t>
      </w:r>
      <w:r w:rsidR="000B1663" w:rsidRPr="0090356A">
        <w:t xml:space="preserve"> have been used during the writing or editing of manuscripts. This explanation will include the name, version, model, and source of the generative AI technology and as well as all input prompts provided to the generative AI technology</w:t>
      </w:r>
      <w:r>
        <w:t>.</w:t>
      </w:r>
    </w:p>
    <w:p w:rsidR="000B1663" w:rsidRPr="0090356A" w:rsidRDefault="000B1663" w:rsidP="000B1663"/>
    <w:p w:rsidR="000B1663" w:rsidRPr="0090356A" w:rsidRDefault="000B1663" w:rsidP="000B1663">
      <w:r w:rsidRPr="0090356A">
        <w:t>Details of the AI usage are given below:</w:t>
      </w:r>
    </w:p>
    <w:p w:rsidR="0090356A" w:rsidRPr="00A70055" w:rsidRDefault="000B1663" w:rsidP="0090356A">
      <w:r w:rsidRPr="0090356A">
        <w:t>1.</w:t>
      </w:r>
      <w:r w:rsidR="0090356A" w:rsidRPr="0090356A">
        <w:t xml:space="preserve"> </w:t>
      </w:r>
      <w:r w:rsidR="0090356A" w:rsidRPr="00A70055">
        <w:t xml:space="preserve">Name/Version/Model/Source: OpenAI </w:t>
      </w:r>
      <w:r w:rsidR="00735263">
        <w:t>– ChatGPT (GPT-5, web platform), and Grammarly</w:t>
      </w:r>
    </w:p>
    <w:p w:rsidR="0090356A" w:rsidRPr="00A70055" w:rsidRDefault="000B1663" w:rsidP="0090356A">
      <w:r w:rsidRPr="0090356A">
        <w:t>2.</w:t>
      </w:r>
      <w:r w:rsidR="0090356A" w:rsidRPr="0090356A">
        <w:t xml:space="preserve"> </w:t>
      </w:r>
      <w:r w:rsidR="0090356A" w:rsidRPr="00A70055">
        <w:t xml:space="preserve">Purpose of Use: Assisted in refining language for clarity, </w:t>
      </w:r>
      <w:r w:rsidR="0090356A">
        <w:t xml:space="preserve">paraphrasing </w:t>
      </w:r>
      <w:r w:rsidR="00735263">
        <w:t xml:space="preserve">the </w:t>
      </w:r>
      <w:r w:rsidR="0090356A">
        <w:t xml:space="preserve">write-up to reduce the percentage of plagiarism, and </w:t>
      </w:r>
      <w:r w:rsidR="0090356A" w:rsidRPr="00A70055">
        <w:t>formatting references into Vancouver style.</w:t>
      </w:r>
    </w:p>
    <w:p w:rsidR="0090356A" w:rsidRPr="00A70055" w:rsidRDefault="000B1663" w:rsidP="0090356A">
      <w:r w:rsidRPr="0090356A">
        <w:lastRenderedPageBreak/>
        <w:t>3.</w:t>
      </w:r>
      <w:r w:rsidR="0090356A" w:rsidRPr="0090356A">
        <w:t xml:space="preserve"> </w:t>
      </w:r>
      <w:r w:rsidR="0090356A" w:rsidRPr="00A70055">
        <w:t>Input Prompts Provided: No generative AI outputs were accepted uncritically; all responses were reviewed, verified, and revised by the authors to ensure accuracy, originality, and integrity.</w:t>
      </w:r>
    </w:p>
    <w:p w:rsidR="000B1663" w:rsidRDefault="000B1663" w:rsidP="000B1663"/>
    <w:p w:rsidR="0090356A" w:rsidRDefault="0090356A" w:rsidP="000B1663"/>
    <w:p w:rsidR="00150A3E" w:rsidRDefault="009338BF">
      <w:pPr>
        <w:pBdr>
          <w:top w:val="nil"/>
          <w:left w:val="nil"/>
          <w:bottom w:val="nil"/>
          <w:right w:val="nil"/>
          <w:between w:val="nil"/>
        </w:pBdr>
        <w:rPr>
          <w:b/>
          <w:color w:val="000000"/>
        </w:rPr>
      </w:pPr>
      <w:bookmarkStart w:id="2" w:name="_GoBack"/>
      <w:bookmarkEnd w:id="2"/>
      <w:r>
        <w:rPr>
          <w:b/>
          <w:color w:val="000000"/>
        </w:rPr>
        <w:t>References</w:t>
      </w:r>
    </w:p>
    <w:p w:rsidR="00150A3E" w:rsidRDefault="009338BF">
      <w:pPr>
        <w:numPr>
          <w:ilvl w:val="0"/>
          <w:numId w:val="3"/>
        </w:numPr>
        <w:spacing w:before="280"/>
        <w:rPr>
          <w:color w:val="000000"/>
        </w:rPr>
      </w:pPr>
      <w:r>
        <w:rPr>
          <w:color w:val="000000"/>
        </w:rPr>
        <w:t>World Health Organi</w:t>
      </w:r>
      <w:r w:rsidR="00735263">
        <w:rPr>
          <w:color w:val="000000"/>
        </w:rPr>
        <w:t>s</w:t>
      </w:r>
      <w:r>
        <w:rPr>
          <w:color w:val="000000"/>
        </w:rPr>
        <w:t>ation. Adolescent sexual and reproductive health and rights: Areas of work. 2024.</w:t>
      </w:r>
    </w:p>
    <w:p w:rsidR="00150A3E" w:rsidRDefault="009338BF">
      <w:pPr>
        <w:numPr>
          <w:ilvl w:val="0"/>
          <w:numId w:val="3"/>
        </w:numPr>
        <w:rPr>
          <w:color w:val="000000"/>
        </w:rPr>
      </w:pPr>
      <w:r>
        <w:rPr>
          <w:color w:val="000000"/>
        </w:rPr>
        <w:t xml:space="preserve">The Guardian. Young people’s health at risk from fall in condom use, warns WHO. 2024 Aug 29. </w:t>
      </w:r>
    </w:p>
    <w:p w:rsidR="00150A3E" w:rsidRDefault="009338BF">
      <w:pPr>
        <w:numPr>
          <w:ilvl w:val="0"/>
          <w:numId w:val="3"/>
        </w:numPr>
        <w:rPr>
          <w:color w:val="000000"/>
        </w:rPr>
      </w:pPr>
      <w:r>
        <w:rPr>
          <w:color w:val="000000"/>
        </w:rPr>
        <w:t xml:space="preserve">World Bank (via FRED). Adolescent fertility rate for Nigeria (births per 1,000 girls aged 15–19), 2023 update. 2025 Apr 16. </w:t>
      </w:r>
    </w:p>
    <w:p w:rsidR="00150A3E" w:rsidRDefault="009338BF">
      <w:pPr>
        <w:numPr>
          <w:ilvl w:val="0"/>
          <w:numId w:val="3"/>
        </w:numPr>
        <w:rPr>
          <w:color w:val="000000"/>
        </w:rPr>
      </w:pPr>
      <w:r>
        <w:rPr>
          <w:color w:val="000000"/>
        </w:rPr>
        <w:t xml:space="preserve">Akombi-Inyang BJ, et al. Regional trends and socioeconomic predictors of adolescent pregnancy in Nigeria. </w:t>
      </w:r>
      <w:r>
        <w:rPr>
          <w:i/>
          <w:color w:val="000000"/>
        </w:rPr>
        <w:t>Int J Environ Res Public Health.</w:t>
      </w:r>
      <w:r>
        <w:rPr>
          <w:color w:val="000000"/>
        </w:rPr>
        <w:t xml:space="preserve"> 2022;19(13):7836. </w:t>
      </w:r>
    </w:p>
    <w:p w:rsidR="00150A3E" w:rsidRDefault="009338BF">
      <w:pPr>
        <w:numPr>
          <w:ilvl w:val="0"/>
          <w:numId w:val="3"/>
        </w:numPr>
        <w:rPr>
          <w:color w:val="000000"/>
        </w:rPr>
      </w:pPr>
      <w:r>
        <w:rPr>
          <w:color w:val="000000"/>
        </w:rPr>
        <w:t xml:space="preserve">Kareem YO, et al. Prevalence, trends, and factors associated with teen pregnancy in Nigeria. </w:t>
      </w:r>
      <w:r>
        <w:rPr>
          <w:i/>
          <w:color w:val="000000"/>
        </w:rPr>
        <w:t>[Open-access article]</w:t>
      </w:r>
      <w:r>
        <w:rPr>
          <w:color w:val="000000"/>
        </w:rPr>
        <w:t xml:space="preserve"> 2023. </w:t>
      </w:r>
    </w:p>
    <w:p w:rsidR="00150A3E" w:rsidRDefault="009338BF">
      <w:pPr>
        <w:numPr>
          <w:ilvl w:val="0"/>
          <w:numId w:val="3"/>
        </w:numPr>
        <w:rPr>
          <w:color w:val="000000"/>
        </w:rPr>
      </w:pPr>
      <w:r>
        <w:rPr>
          <w:color w:val="000000"/>
        </w:rPr>
        <w:t xml:space="preserve">Mbulu CO, et al. Adolescent pregnancy persists in Nigeria: Does household structure matter? 2024. </w:t>
      </w:r>
    </w:p>
    <w:p w:rsidR="00150A3E" w:rsidRDefault="009338BF">
      <w:pPr>
        <w:numPr>
          <w:ilvl w:val="0"/>
          <w:numId w:val="3"/>
        </w:numPr>
        <w:rPr>
          <w:color w:val="000000"/>
        </w:rPr>
      </w:pPr>
      <w:r>
        <w:rPr>
          <w:color w:val="000000"/>
        </w:rPr>
        <w:t xml:space="preserve">Nora EE, et al. Sexual and reproductive health needs of adolescent secondary school girls in Bayelsa State. </w:t>
      </w:r>
      <w:r>
        <w:rPr>
          <w:i/>
          <w:color w:val="000000"/>
        </w:rPr>
        <w:t>AJHNM.</w:t>
      </w:r>
      <w:r>
        <w:rPr>
          <w:color w:val="000000"/>
        </w:rPr>
        <w:t xml:space="preserve"> 2021. </w:t>
      </w:r>
    </w:p>
    <w:p w:rsidR="00150A3E" w:rsidRDefault="009338BF">
      <w:pPr>
        <w:numPr>
          <w:ilvl w:val="0"/>
          <w:numId w:val="3"/>
        </w:numPr>
        <w:rPr>
          <w:color w:val="000000"/>
        </w:rPr>
      </w:pPr>
      <w:r>
        <w:rPr>
          <w:color w:val="000000"/>
        </w:rPr>
        <w:t xml:space="preserve">Onasoga OA, et al. Knowledge, attitude and utilization of emergency contraceptive pills among female adolescents in Amassoma, Bayelsa State. </w:t>
      </w:r>
      <w:r>
        <w:rPr>
          <w:i/>
          <w:color w:val="000000"/>
        </w:rPr>
        <w:t>Niger Med J.</w:t>
      </w:r>
      <w:r>
        <w:rPr>
          <w:color w:val="000000"/>
        </w:rPr>
        <w:t xml:space="preserve"> 2016;57(1):53–57.</w:t>
      </w:r>
    </w:p>
    <w:p w:rsidR="00150A3E" w:rsidRDefault="009338BF">
      <w:pPr>
        <w:numPr>
          <w:ilvl w:val="0"/>
          <w:numId w:val="3"/>
        </w:numPr>
        <w:rPr>
          <w:color w:val="000000"/>
        </w:rPr>
      </w:pPr>
      <w:r>
        <w:rPr>
          <w:color w:val="000000"/>
        </w:rPr>
        <w:t xml:space="preserve">Usonwu I, Ahmad R, Curtis-Tyler K. Parent–adolescent communication on SRH in sub-Saharan Africa: A qualitative review and thematic synthesis. </w:t>
      </w:r>
      <w:r>
        <w:rPr>
          <w:i/>
          <w:color w:val="000000"/>
        </w:rPr>
        <w:t>Reprod Health.</w:t>
      </w:r>
      <w:r>
        <w:rPr>
          <w:color w:val="000000"/>
        </w:rPr>
        <w:t xml:space="preserve"> 2021;18:202. </w:t>
      </w:r>
    </w:p>
    <w:p w:rsidR="00150A3E" w:rsidRDefault="009338BF">
      <w:pPr>
        <w:numPr>
          <w:ilvl w:val="0"/>
          <w:numId w:val="3"/>
        </w:numPr>
        <w:rPr>
          <w:color w:val="000000"/>
        </w:rPr>
      </w:pPr>
      <w:r>
        <w:rPr>
          <w:color w:val="000000"/>
        </w:rPr>
        <w:t xml:space="preserve">Usonwu I. Parent-Adolescent SRH Communication in South-Eastern Nigeria: A qualitative study. Doctoral thesis; 2023. </w:t>
      </w:r>
    </w:p>
    <w:p w:rsidR="00150A3E" w:rsidRDefault="009338BF">
      <w:pPr>
        <w:numPr>
          <w:ilvl w:val="0"/>
          <w:numId w:val="3"/>
        </w:numPr>
        <w:rPr>
          <w:color w:val="000000"/>
        </w:rPr>
      </w:pPr>
      <w:r>
        <w:rPr>
          <w:color w:val="000000"/>
        </w:rPr>
        <w:t xml:space="preserve">Sleshi S, et al. Parent–adolescent discussion about reproductive health and associated factors. </w:t>
      </w:r>
      <w:r>
        <w:rPr>
          <w:i/>
          <w:color w:val="000000"/>
        </w:rPr>
        <w:t>PLoS One.</w:t>
      </w:r>
      <w:r>
        <w:rPr>
          <w:color w:val="000000"/>
        </w:rPr>
        <w:t xml:space="preserve"> 2022;17(6):e0269179. </w:t>
      </w:r>
    </w:p>
    <w:p w:rsidR="00150A3E" w:rsidRDefault="009338BF">
      <w:pPr>
        <w:numPr>
          <w:ilvl w:val="0"/>
          <w:numId w:val="3"/>
        </w:numPr>
        <w:rPr>
          <w:color w:val="000000"/>
        </w:rPr>
      </w:pPr>
      <w:r>
        <w:rPr>
          <w:color w:val="000000"/>
        </w:rPr>
        <w:t xml:space="preserve">Agyei FB, et al. A systematic review of effective parent–adolescent SRH information communication interventions in LMICs. </w:t>
      </w:r>
      <w:r>
        <w:rPr>
          <w:i/>
          <w:color w:val="000000"/>
        </w:rPr>
        <w:t>Health SA Gesondheid.</w:t>
      </w:r>
      <w:r>
        <w:rPr>
          <w:color w:val="000000"/>
        </w:rPr>
        <w:t xml:space="preserve"> 2023;28:2435. </w:t>
      </w:r>
    </w:p>
    <w:p w:rsidR="00150A3E" w:rsidRDefault="009338BF">
      <w:pPr>
        <w:numPr>
          <w:ilvl w:val="0"/>
          <w:numId w:val="3"/>
        </w:numPr>
        <w:rPr>
          <w:color w:val="000000"/>
        </w:rPr>
      </w:pPr>
      <w:r>
        <w:rPr>
          <w:color w:val="000000"/>
        </w:rPr>
        <w:t xml:space="preserve">Melese M, et al. Parent–adolescent communication on SRH issues among students: Ethiopia. </w:t>
      </w:r>
      <w:r>
        <w:rPr>
          <w:i/>
          <w:color w:val="000000"/>
        </w:rPr>
        <w:t>Front Public Health.</w:t>
      </w:r>
      <w:r>
        <w:rPr>
          <w:color w:val="000000"/>
        </w:rPr>
        <w:t xml:space="preserve"> 2024;12:1342027. </w:t>
      </w:r>
    </w:p>
    <w:p w:rsidR="00150A3E" w:rsidRDefault="009338BF">
      <w:pPr>
        <w:numPr>
          <w:ilvl w:val="0"/>
          <w:numId w:val="3"/>
        </w:numPr>
        <w:rPr>
          <w:color w:val="000000"/>
        </w:rPr>
      </w:pPr>
      <w:r>
        <w:rPr>
          <w:color w:val="000000"/>
        </w:rPr>
        <w:t xml:space="preserve">Okpalaku CJ, et al. Exploring barriers to parent–adolescent sexual-risk communication: Port-Harcourt LGA, Rivers State. 2025. </w:t>
      </w:r>
    </w:p>
    <w:p w:rsidR="00150A3E" w:rsidRDefault="009338BF">
      <w:pPr>
        <w:numPr>
          <w:ilvl w:val="0"/>
          <w:numId w:val="3"/>
        </w:numPr>
        <w:rPr>
          <w:color w:val="000000"/>
        </w:rPr>
      </w:pPr>
      <w:r>
        <w:rPr>
          <w:color w:val="000000"/>
        </w:rPr>
        <w:t>Araoye MO. Research methodology with statistics for health and social sciences. Ilorin: Nathadex Publisher; 2003. p. 25–120.</w:t>
      </w:r>
    </w:p>
    <w:p w:rsidR="00150A3E" w:rsidRDefault="009338BF">
      <w:pPr>
        <w:numPr>
          <w:ilvl w:val="0"/>
          <w:numId w:val="3"/>
        </w:numPr>
        <w:rPr>
          <w:color w:val="000000"/>
        </w:rPr>
      </w:pPr>
      <w:r>
        <w:rPr>
          <w:color w:val="000000"/>
        </w:rPr>
        <w:t>Kusheta S, Bancha B, Habtu Y, Helamo D, Yohannes S. Adolescent-parent communication on sexual and reproductive health issues and its factors among secondary and preparatory school students in Hadiya Zone, Southern Ethiopia: institution based cross sectional study. BMC Pediatr. 2019;19(1):1–11.</w:t>
      </w:r>
    </w:p>
    <w:p w:rsidR="00150A3E" w:rsidRDefault="009338BF">
      <w:pPr>
        <w:numPr>
          <w:ilvl w:val="0"/>
          <w:numId w:val="3"/>
        </w:numPr>
        <w:rPr>
          <w:color w:val="000000"/>
        </w:rPr>
      </w:pPr>
      <w:r>
        <w:rPr>
          <w:color w:val="000000"/>
        </w:rPr>
        <w:t>Manu AA, Mba CJ, Asare GQ, Odoi-Agyarko K, Asante RKO. Parent–child communication about sexual and reproductive health: evidence from the Brong Ahafo region, Ghana. Reprod Health. 2015;12(1):1–13.</w:t>
      </w:r>
    </w:p>
    <w:p w:rsidR="00150A3E" w:rsidRDefault="009338BF">
      <w:pPr>
        <w:numPr>
          <w:ilvl w:val="0"/>
          <w:numId w:val="3"/>
        </w:numPr>
        <w:rPr>
          <w:color w:val="000000"/>
        </w:rPr>
      </w:pPr>
      <w:r>
        <w:rPr>
          <w:color w:val="000000"/>
        </w:rPr>
        <w:t>Elegbe O. Sexual Communication: A Qualitative Study of Parents and Adolescent Girls Discussion about Sex. J Health Manag. 2018;20(4):439–52.</w:t>
      </w:r>
    </w:p>
    <w:p w:rsidR="00150A3E" w:rsidRDefault="009338BF">
      <w:pPr>
        <w:numPr>
          <w:ilvl w:val="0"/>
          <w:numId w:val="3"/>
        </w:numPr>
        <w:rPr>
          <w:color w:val="000000"/>
        </w:rPr>
      </w:pPr>
      <w:r>
        <w:rPr>
          <w:color w:val="000000"/>
        </w:rPr>
        <w:lastRenderedPageBreak/>
        <w:t>Yibrehu MS, Mbwele B. Parent-adolescent communication on sexual and reproductive health: the qualitative evidences from parents and students of Addis Ababa, Ethiopia. Reprod Health. 2020;17(1):1–9.</w:t>
      </w:r>
    </w:p>
    <w:p w:rsidR="00150A3E" w:rsidRDefault="009338BF">
      <w:pPr>
        <w:numPr>
          <w:ilvl w:val="0"/>
          <w:numId w:val="3"/>
        </w:numPr>
        <w:rPr>
          <w:color w:val="000000"/>
        </w:rPr>
      </w:pPr>
      <w:r>
        <w:rPr>
          <w:color w:val="000000"/>
        </w:rPr>
        <w:t>Tesot BC, Kariuki M, Makori G. Influence of parent-adolescent direct and indirect communication about sexuality on adolescents' early sexual activity. J EducPract. 2022;13(20):1–23</w:t>
      </w:r>
    </w:p>
    <w:p w:rsidR="006B45DE" w:rsidRPr="004B3870" w:rsidRDefault="006B45DE" w:rsidP="006B45DE">
      <w:pPr>
        <w:pStyle w:val="ListParagraph"/>
        <w:numPr>
          <w:ilvl w:val="0"/>
          <w:numId w:val="3"/>
        </w:numPr>
        <w:spacing w:before="100" w:beforeAutospacing="1" w:after="100" w:afterAutospacing="1"/>
      </w:pPr>
      <w:r w:rsidRPr="004B3870">
        <w:t>Titiloye MA, Ajuwon AJ. Knowledge and quality of adolescents’ reproductive health communication between parents and their adolescent children in Ibadan, Nigeria. J Public Health Afr. 2017;8(688):103-10.</w:t>
      </w:r>
    </w:p>
    <w:p w:rsidR="006B45DE" w:rsidRDefault="006B45DE" w:rsidP="006B45DE">
      <w:pPr>
        <w:pStyle w:val="ListParagraph"/>
        <w:numPr>
          <w:ilvl w:val="0"/>
          <w:numId w:val="3"/>
        </w:numPr>
        <w:spacing w:before="100" w:beforeAutospacing="1" w:after="100" w:afterAutospacing="1"/>
      </w:pPr>
      <w:r w:rsidRPr="004B3870">
        <w:t>Bamidele OO, Oyeniran AA, Sabageh OA, Asekun-Olarinmoye EO. Magnitude of sexual and reproductive health communication between parents and their adolescents: Evidence from Osun State, Nigeria. PLOS Glob Public Health. 2025;5(2):e0004034. doi:10.1371/journal.pgph.0004034.</w:t>
      </w:r>
    </w:p>
    <w:p w:rsidR="006B45DE" w:rsidRPr="006B45DE" w:rsidRDefault="006B45DE" w:rsidP="006B45DE">
      <w:pPr>
        <w:pStyle w:val="ListParagraph"/>
        <w:numPr>
          <w:ilvl w:val="0"/>
          <w:numId w:val="3"/>
        </w:numPr>
        <w:spacing w:after="280"/>
        <w:rPr>
          <w:color w:val="000000"/>
        </w:rPr>
      </w:pPr>
      <w:r w:rsidRPr="006B45DE">
        <w:rPr>
          <w:color w:val="000000"/>
        </w:rPr>
        <w:t xml:space="preserve">Asekun-Olarinmoye EO, Dairo MD, Bamidele JO. Perception and communication about sexual and reproductive health issues among parents in Osun State, Nigeria. </w:t>
      </w:r>
      <w:r w:rsidRPr="006B45DE">
        <w:rPr>
          <w:i/>
          <w:color w:val="000000"/>
        </w:rPr>
        <w:t>Afr Health Sci</w:t>
      </w:r>
      <w:r w:rsidRPr="006B45DE">
        <w:rPr>
          <w:color w:val="000000"/>
        </w:rPr>
        <w:t>. 2020;20(3):1401–1411.</w:t>
      </w:r>
    </w:p>
    <w:p w:rsidR="006B45DE" w:rsidRPr="004B3870" w:rsidRDefault="006B45DE" w:rsidP="006B45DE">
      <w:pPr>
        <w:pStyle w:val="ListParagraph"/>
        <w:numPr>
          <w:ilvl w:val="0"/>
          <w:numId w:val="3"/>
        </w:numPr>
        <w:spacing w:before="100" w:beforeAutospacing="1" w:after="100" w:afterAutospacing="1"/>
      </w:pPr>
      <w:r w:rsidRPr="004B3870">
        <w:t>Aliyu TK, Aransiola JO. Parent-adolescent communication about reproductive health issues in Nigeria. SAGE Open. 2023;13(1):1-7. doi:10.1177/21582440231166607.</w:t>
      </w:r>
    </w:p>
    <w:p w:rsidR="006B45DE" w:rsidRPr="004B3870" w:rsidRDefault="006B45DE" w:rsidP="006B45DE">
      <w:pPr>
        <w:pStyle w:val="ListParagraph"/>
        <w:numPr>
          <w:ilvl w:val="0"/>
          <w:numId w:val="3"/>
        </w:numPr>
        <w:spacing w:before="100" w:beforeAutospacing="1" w:after="100" w:afterAutospacing="1"/>
      </w:pPr>
      <w:r w:rsidRPr="004B3870">
        <w:t>Ogunsanmi JO, Olusanya AO, Olusanya OO, Ogunsanmi OO. Parents’ perception and parent-adolescent communication on sexual health in Southwest Nigeria. Int J e-Healthc Inf Syst (IJe-HIS). 2019;6(1):149-51.</w:t>
      </w:r>
    </w:p>
    <w:p w:rsidR="00150A3E" w:rsidRDefault="00150A3E">
      <w:pPr>
        <w:pBdr>
          <w:top w:val="nil"/>
          <w:left w:val="nil"/>
          <w:bottom w:val="nil"/>
          <w:right w:val="nil"/>
          <w:between w:val="nil"/>
        </w:pBdr>
        <w:spacing w:after="280" w:line="480" w:lineRule="auto"/>
        <w:rPr>
          <w:b/>
          <w:color w:val="000000"/>
        </w:rPr>
      </w:pPr>
    </w:p>
    <w:p w:rsidR="00150A3E" w:rsidRDefault="00150A3E">
      <w:pPr>
        <w:pBdr>
          <w:top w:val="nil"/>
          <w:left w:val="nil"/>
          <w:bottom w:val="nil"/>
          <w:right w:val="nil"/>
          <w:between w:val="nil"/>
        </w:pBdr>
        <w:spacing w:after="280" w:line="480" w:lineRule="auto"/>
        <w:rPr>
          <w:color w:val="000000"/>
        </w:rPr>
      </w:pPr>
    </w:p>
    <w:p w:rsidR="00150A3E" w:rsidRDefault="00150A3E">
      <w:pPr>
        <w:pBdr>
          <w:top w:val="nil"/>
          <w:left w:val="nil"/>
          <w:bottom w:val="nil"/>
          <w:right w:val="nil"/>
          <w:between w:val="nil"/>
        </w:pBdr>
        <w:spacing w:line="480" w:lineRule="auto"/>
        <w:rPr>
          <w:color w:val="000000"/>
        </w:rPr>
      </w:pPr>
    </w:p>
    <w:sectPr w:rsidR="00150A3E" w:rsidSect="00460E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808" w:rsidRDefault="00DD1808">
      <w:r>
        <w:separator/>
      </w:r>
    </w:p>
  </w:endnote>
  <w:endnote w:type="continuationSeparator" w:id="1">
    <w:p w:rsidR="00DD1808" w:rsidRDefault="00DD1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07" w:rsidRDefault="00EA5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07" w:rsidRDefault="00EA5D07">
    <w:pPr>
      <w:pBdr>
        <w:top w:val="nil"/>
        <w:left w:val="nil"/>
        <w:bottom w:val="nil"/>
        <w:right w:val="nil"/>
        <w:between w:val="nil"/>
      </w:pBdr>
      <w:tabs>
        <w:tab w:val="center" w:pos="4513"/>
        <w:tab w:val="right" w:pos="9026"/>
      </w:tabs>
      <w:jc w:val="center"/>
    </w:pPr>
    <w:fldSimple w:instr="PAGE">
      <w:r w:rsidR="00735263">
        <w:rPr>
          <w:noProof/>
        </w:rPr>
        <w:t>1</w:t>
      </w:r>
    </w:fldSimple>
  </w:p>
  <w:p w:rsidR="00EA5D07" w:rsidRDefault="00EA5D07">
    <w:pPr>
      <w:pBdr>
        <w:top w:val="nil"/>
        <w:left w:val="nil"/>
        <w:bottom w:val="nil"/>
        <w:right w:val="nil"/>
        <w:between w:val="nil"/>
      </w:pBdr>
      <w:tabs>
        <w:tab w:val="center" w:pos="4513"/>
        <w:tab w:val="right" w:pos="902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07" w:rsidRDefault="00EA5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808" w:rsidRDefault="00DD1808">
      <w:r>
        <w:separator/>
      </w:r>
    </w:p>
  </w:footnote>
  <w:footnote w:type="continuationSeparator" w:id="1">
    <w:p w:rsidR="00DD1808" w:rsidRDefault="00DD1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07" w:rsidRDefault="00EA5D07">
    <w:pPr>
      <w:pStyle w:val="Header"/>
    </w:pPr>
    <w:r w:rsidRPr="00460EE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298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07" w:rsidRDefault="00EA5D07">
    <w:pPr>
      <w:pStyle w:val="Header"/>
    </w:pPr>
    <w:r w:rsidRPr="00460EE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298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07" w:rsidRDefault="00EA5D07">
    <w:pPr>
      <w:pStyle w:val="Header"/>
    </w:pPr>
    <w:r w:rsidRPr="00460EE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2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4E7B"/>
    <w:multiLevelType w:val="hybridMultilevel"/>
    <w:tmpl w:val="109A40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15FF5"/>
    <w:multiLevelType w:val="multilevel"/>
    <w:tmpl w:val="0C6E3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7445C7"/>
    <w:multiLevelType w:val="multilevel"/>
    <w:tmpl w:val="3BE8C3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625028D"/>
    <w:multiLevelType w:val="hybridMultilevel"/>
    <w:tmpl w:val="0CF8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86AB4"/>
    <w:multiLevelType w:val="multilevel"/>
    <w:tmpl w:val="6FCA02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Q0MTI0tzA2MDMzMTBS0lEKTi0uzszPAykwrAUAEYxLxCwAAAA="/>
  </w:docVars>
  <w:rsids>
    <w:rsidRoot w:val="00150A3E"/>
    <w:rsid w:val="00044D8A"/>
    <w:rsid w:val="000B1663"/>
    <w:rsid w:val="00150A3E"/>
    <w:rsid w:val="001E4CCE"/>
    <w:rsid w:val="002010E0"/>
    <w:rsid w:val="002151F2"/>
    <w:rsid w:val="0023582C"/>
    <w:rsid w:val="0027549E"/>
    <w:rsid w:val="002E5F31"/>
    <w:rsid w:val="003A5B39"/>
    <w:rsid w:val="00460EE5"/>
    <w:rsid w:val="00472A76"/>
    <w:rsid w:val="004831B8"/>
    <w:rsid w:val="00497DE5"/>
    <w:rsid w:val="006B45DE"/>
    <w:rsid w:val="006E3E07"/>
    <w:rsid w:val="00735263"/>
    <w:rsid w:val="007C13B3"/>
    <w:rsid w:val="0090356A"/>
    <w:rsid w:val="009338BF"/>
    <w:rsid w:val="00B15C7D"/>
    <w:rsid w:val="00BD5E5F"/>
    <w:rsid w:val="00C00908"/>
    <w:rsid w:val="00D10AEC"/>
    <w:rsid w:val="00D17D7C"/>
    <w:rsid w:val="00D657F0"/>
    <w:rsid w:val="00DA6276"/>
    <w:rsid w:val="00DB0ED6"/>
    <w:rsid w:val="00DD1808"/>
    <w:rsid w:val="00DF220B"/>
    <w:rsid w:val="00E27996"/>
    <w:rsid w:val="00EA5D07"/>
    <w:rsid w:val="00EC7D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252525"/>
        <w:sz w:val="24"/>
        <w:szCs w:val="24"/>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EE5"/>
  </w:style>
  <w:style w:type="paragraph" w:styleId="Heading1">
    <w:name w:val="heading 1"/>
    <w:basedOn w:val="Normal"/>
    <w:next w:val="Normal"/>
    <w:uiPriority w:val="9"/>
    <w:qFormat/>
    <w:rsid w:val="00460EE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60EE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60EE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60EE5"/>
    <w:pPr>
      <w:keepNext/>
      <w:keepLines/>
      <w:spacing w:before="240" w:after="40"/>
      <w:outlineLvl w:val="3"/>
    </w:pPr>
    <w:rPr>
      <w:b/>
    </w:rPr>
  </w:style>
  <w:style w:type="paragraph" w:styleId="Heading5">
    <w:name w:val="heading 5"/>
    <w:basedOn w:val="Normal"/>
    <w:next w:val="Normal"/>
    <w:uiPriority w:val="9"/>
    <w:semiHidden/>
    <w:unhideWhenUsed/>
    <w:qFormat/>
    <w:rsid w:val="00460EE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60E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460EE5"/>
    <w:tblPr>
      <w:tblCellMar>
        <w:top w:w="0" w:type="dxa"/>
        <w:left w:w="0" w:type="dxa"/>
        <w:bottom w:w="0" w:type="dxa"/>
        <w:right w:w="0" w:type="dxa"/>
      </w:tblCellMar>
    </w:tblPr>
  </w:style>
  <w:style w:type="paragraph" w:styleId="Title">
    <w:name w:val="Title"/>
    <w:basedOn w:val="Normal"/>
    <w:next w:val="Normal"/>
    <w:uiPriority w:val="10"/>
    <w:qFormat/>
    <w:rsid w:val="00460EE5"/>
    <w:pPr>
      <w:keepNext/>
      <w:keepLines/>
      <w:spacing w:before="480" w:after="120"/>
    </w:pPr>
    <w:rPr>
      <w:b/>
      <w:sz w:val="72"/>
      <w:szCs w:val="72"/>
    </w:rPr>
  </w:style>
  <w:style w:type="paragraph" w:styleId="Subtitle">
    <w:name w:val="Subtitle"/>
    <w:basedOn w:val="Normal"/>
    <w:next w:val="Normal"/>
    <w:uiPriority w:val="11"/>
    <w:qFormat/>
    <w:rsid w:val="00460EE5"/>
    <w:pPr>
      <w:keepNext/>
      <w:keepLines/>
      <w:spacing w:before="360" w:after="80"/>
    </w:pPr>
    <w:rPr>
      <w:rFonts w:ascii="Georgia" w:eastAsia="Georgia" w:hAnsi="Georgia" w:cs="Georgia"/>
      <w:i/>
      <w:color w:val="666666"/>
      <w:sz w:val="48"/>
      <w:szCs w:val="48"/>
    </w:rPr>
  </w:style>
  <w:style w:type="table" w:customStyle="1" w:styleId="a">
    <w:basedOn w:val="TableNormal0"/>
    <w:rsid w:val="00460EE5"/>
    <w:pPr>
      <w:jc w:val="left"/>
    </w:pPr>
    <w:rPr>
      <w:rFonts w:ascii="Calibri" w:eastAsia="Calibri" w:hAnsi="Calibri" w:cs="Calibri"/>
      <w:color w:val="000000"/>
      <w:sz w:val="22"/>
      <w:szCs w:val="22"/>
    </w:rPr>
    <w:tblPr>
      <w:tblStyleRowBandSize w:val="1"/>
      <w:tblStyleColBandSize w:val="1"/>
      <w:tblCellMar>
        <w:top w:w="0" w:type="dxa"/>
        <w:left w:w="108" w:type="dxa"/>
        <w:bottom w:w="0" w:type="dxa"/>
        <w:right w:w="108" w:type="dxa"/>
      </w:tblCellMar>
    </w:tblPr>
  </w:style>
  <w:style w:type="table" w:customStyle="1" w:styleId="a0">
    <w:basedOn w:val="TableNormal0"/>
    <w:rsid w:val="00460EE5"/>
    <w:pPr>
      <w:jc w:val="left"/>
    </w:pPr>
    <w:rPr>
      <w:rFonts w:ascii="Calibri" w:eastAsia="Calibri" w:hAnsi="Calibri" w:cs="Calibri"/>
      <w:color w:val="000000"/>
      <w:sz w:val="22"/>
      <w:szCs w:val="22"/>
    </w:rPr>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D17D7C"/>
    <w:rPr>
      <w:color w:val="0000FF" w:themeColor="hyperlink"/>
      <w:u w:val="single"/>
    </w:rPr>
  </w:style>
  <w:style w:type="character" w:customStyle="1" w:styleId="UnresolvedMention">
    <w:name w:val="Unresolved Mention"/>
    <w:basedOn w:val="DefaultParagraphFont"/>
    <w:uiPriority w:val="99"/>
    <w:semiHidden/>
    <w:unhideWhenUsed/>
    <w:rsid w:val="00D17D7C"/>
    <w:rPr>
      <w:color w:val="605E5C"/>
      <w:shd w:val="clear" w:color="auto" w:fill="E1DFDD"/>
    </w:rPr>
  </w:style>
  <w:style w:type="paragraph" w:styleId="Header">
    <w:name w:val="header"/>
    <w:basedOn w:val="Normal"/>
    <w:link w:val="HeaderChar"/>
    <w:uiPriority w:val="99"/>
    <w:unhideWhenUsed/>
    <w:rsid w:val="00D657F0"/>
    <w:pPr>
      <w:tabs>
        <w:tab w:val="center" w:pos="4680"/>
        <w:tab w:val="right" w:pos="9360"/>
      </w:tabs>
    </w:pPr>
  </w:style>
  <w:style w:type="character" w:customStyle="1" w:styleId="HeaderChar">
    <w:name w:val="Header Char"/>
    <w:basedOn w:val="DefaultParagraphFont"/>
    <w:link w:val="Header"/>
    <w:uiPriority w:val="99"/>
    <w:rsid w:val="00D657F0"/>
  </w:style>
  <w:style w:type="paragraph" w:styleId="Footer">
    <w:name w:val="footer"/>
    <w:basedOn w:val="Normal"/>
    <w:link w:val="FooterChar"/>
    <w:uiPriority w:val="99"/>
    <w:unhideWhenUsed/>
    <w:rsid w:val="00D657F0"/>
    <w:pPr>
      <w:tabs>
        <w:tab w:val="center" w:pos="4680"/>
        <w:tab w:val="right" w:pos="9360"/>
      </w:tabs>
    </w:pPr>
  </w:style>
  <w:style w:type="character" w:customStyle="1" w:styleId="FooterChar">
    <w:name w:val="Footer Char"/>
    <w:basedOn w:val="DefaultParagraphFont"/>
    <w:link w:val="Footer"/>
    <w:uiPriority w:val="99"/>
    <w:rsid w:val="00D657F0"/>
  </w:style>
  <w:style w:type="paragraph" w:styleId="BalloonText">
    <w:name w:val="Balloon Text"/>
    <w:basedOn w:val="Normal"/>
    <w:link w:val="BalloonTextChar"/>
    <w:uiPriority w:val="99"/>
    <w:semiHidden/>
    <w:unhideWhenUsed/>
    <w:rsid w:val="002151F2"/>
    <w:rPr>
      <w:rFonts w:ascii="Tahoma" w:hAnsi="Tahoma" w:cs="Tahoma"/>
      <w:sz w:val="16"/>
      <w:szCs w:val="16"/>
    </w:rPr>
  </w:style>
  <w:style w:type="character" w:customStyle="1" w:styleId="BalloonTextChar">
    <w:name w:val="Balloon Text Char"/>
    <w:basedOn w:val="DefaultParagraphFont"/>
    <w:link w:val="BalloonText"/>
    <w:uiPriority w:val="99"/>
    <w:semiHidden/>
    <w:rsid w:val="002151F2"/>
    <w:rPr>
      <w:rFonts w:ascii="Tahoma" w:hAnsi="Tahoma" w:cs="Tahoma"/>
      <w:sz w:val="16"/>
      <w:szCs w:val="16"/>
    </w:rPr>
  </w:style>
  <w:style w:type="paragraph" w:styleId="ListParagraph">
    <w:name w:val="List Paragraph"/>
    <w:basedOn w:val="Normal"/>
    <w:uiPriority w:val="34"/>
    <w:qFormat/>
    <w:rsid w:val="006B45DE"/>
    <w:pPr>
      <w:ind w:left="720"/>
      <w:contextualSpacing/>
    </w:pPr>
  </w:style>
</w:styles>
</file>

<file path=word/webSettings.xml><?xml version="1.0" encoding="utf-8"?>
<w:webSettings xmlns:r="http://schemas.openxmlformats.org/officeDocument/2006/relationships" xmlns:w="http://schemas.openxmlformats.org/wordprocessingml/2006/main">
  <w:divs>
    <w:div w:id="893662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23</cp:revision>
  <dcterms:created xsi:type="dcterms:W3CDTF">2025-08-29T04:06:00Z</dcterms:created>
  <dcterms:modified xsi:type="dcterms:W3CDTF">2025-08-31T19:33:00Z</dcterms:modified>
</cp:coreProperties>
</file>