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4C48F" w14:textId="2220E227" w:rsidR="00C173F6" w:rsidRDefault="008C1070" w:rsidP="00E24E43">
      <w:pPr>
        <w:jc w:val="center"/>
        <w:rPr>
          <w:rFonts w:ascii="Arial" w:hAnsi="Arial" w:cs="Arial"/>
          <w:b/>
          <w:bCs/>
          <w:sz w:val="20"/>
          <w:szCs w:val="20"/>
        </w:rPr>
      </w:pPr>
      <w:r w:rsidRPr="00D318B0">
        <w:rPr>
          <w:rFonts w:ascii="Arial" w:hAnsi="Arial" w:cs="Arial"/>
          <w:b/>
          <w:sz w:val="20"/>
          <w:szCs w:val="20"/>
          <w:lang w:val="en-GB"/>
        </w:rPr>
        <w:t xml:space="preserve">LAND </w:t>
      </w:r>
      <w:r w:rsidR="005E5146" w:rsidRPr="00D318B0">
        <w:rPr>
          <w:rFonts w:ascii="Arial" w:hAnsi="Arial" w:cs="Arial"/>
          <w:b/>
          <w:bCs/>
          <w:sz w:val="20"/>
          <w:szCs w:val="20"/>
        </w:rPr>
        <w:t xml:space="preserve">USE TRANSITIONS </w:t>
      </w:r>
      <w:r w:rsidR="00B756F4" w:rsidRPr="00D318B0">
        <w:rPr>
          <w:rFonts w:ascii="Arial" w:hAnsi="Arial" w:cs="Arial"/>
          <w:b/>
          <w:bCs/>
          <w:sz w:val="20"/>
          <w:szCs w:val="20"/>
        </w:rPr>
        <w:t xml:space="preserve">AND </w:t>
      </w:r>
      <w:r w:rsidR="0005178B" w:rsidRPr="00D318B0">
        <w:rPr>
          <w:rFonts w:ascii="Arial" w:hAnsi="Arial" w:cs="Arial"/>
          <w:b/>
          <w:bCs/>
          <w:sz w:val="20"/>
          <w:szCs w:val="20"/>
        </w:rPr>
        <w:t xml:space="preserve">BAMBOO BASED </w:t>
      </w:r>
      <w:r w:rsidR="00B756F4" w:rsidRPr="00D318B0">
        <w:rPr>
          <w:rFonts w:ascii="Arial" w:hAnsi="Arial" w:cs="Arial"/>
          <w:b/>
          <w:bCs/>
          <w:sz w:val="20"/>
          <w:szCs w:val="20"/>
        </w:rPr>
        <w:t xml:space="preserve">LIVELIHOOD DIVERSIFICATION IN </w:t>
      </w:r>
      <w:r w:rsidR="005E5146" w:rsidRPr="00D318B0">
        <w:rPr>
          <w:rFonts w:ascii="Arial" w:hAnsi="Arial" w:cs="Arial"/>
          <w:b/>
          <w:bCs/>
          <w:sz w:val="20"/>
          <w:szCs w:val="20"/>
        </w:rPr>
        <w:t>KARBI ANGLONG, NORTHEAST INDIA</w:t>
      </w:r>
    </w:p>
    <w:p w14:paraId="23E28072" w14:textId="105AA190" w:rsidR="00323086" w:rsidRPr="00C173F6" w:rsidRDefault="00F4586A" w:rsidP="005E5146">
      <w:pPr>
        <w:spacing w:line="360" w:lineRule="auto"/>
        <w:jc w:val="both"/>
        <w:rPr>
          <w:rFonts w:ascii="Arial" w:hAnsi="Arial" w:cs="Arial"/>
          <w:sz w:val="20"/>
          <w:szCs w:val="20"/>
        </w:rPr>
      </w:pPr>
      <w:r w:rsidRPr="00C173F6">
        <w:rPr>
          <w:rFonts w:ascii="Arial" w:hAnsi="Arial" w:cs="Arial"/>
          <w:b/>
          <w:bCs/>
          <w:sz w:val="20"/>
          <w:szCs w:val="20"/>
        </w:rPr>
        <w:t>ABSTRACT:</w:t>
      </w:r>
    </w:p>
    <w:p w14:paraId="05BEBB9B" w14:textId="2DBECC8F" w:rsidR="00323086" w:rsidRPr="00E24E43" w:rsidRDefault="00633ABB" w:rsidP="005E5146">
      <w:pPr>
        <w:spacing w:line="360" w:lineRule="auto"/>
        <w:jc w:val="both"/>
        <w:rPr>
          <w:rFonts w:ascii="Arial" w:hAnsi="Arial" w:cs="Arial"/>
          <w:sz w:val="20"/>
          <w:szCs w:val="20"/>
        </w:rPr>
      </w:pPr>
      <w:r w:rsidRPr="00323086">
        <w:rPr>
          <w:rFonts w:ascii="Arial" w:hAnsi="Arial" w:cs="Arial"/>
          <w:sz w:val="20"/>
          <w:szCs w:val="20"/>
        </w:rPr>
        <w:t>Land use transitions in ecotonal regions of Northeast India illustrate the dynamic interaction between ecological resources, industrial demand, and livelihood change. This study examines three decades of land use and land cover (LULC) change in Karbi Anglong district, Assam, with a focus on bamboo-based systems. Multi-temporal satellite images (1993, 2014, and 2023/24) were classified using the Random Forest algorithm. The 2023/24 map, validated with 700 ground-truth samples, achieved 93.6% overall accuracy and a Kappa coefficient of 0.87. Results indicate three major phases: (i) 1993 – natural abundance, when bamboo was embedded in forest and shifting cultivation systems; (ii) 2014 – plantation expansion, driven by industrial demand and state subsidies, when bamboo became a dominant land cover (24.</w:t>
      </w:r>
      <w:r w:rsidR="003C2F91">
        <w:rPr>
          <w:rFonts w:ascii="Arial" w:hAnsi="Arial" w:cs="Arial"/>
          <w:sz w:val="20"/>
          <w:szCs w:val="20"/>
        </w:rPr>
        <w:t>72</w:t>
      </w:r>
      <w:r w:rsidRPr="00323086">
        <w:rPr>
          <w:rFonts w:ascii="Arial" w:hAnsi="Arial" w:cs="Arial"/>
          <w:sz w:val="20"/>
          <w:szCs w:val="20"/>
        </w:rPr>
        <w:t>%) at the expense of forests and jhum; and (iii) 2023/24 – post-mill diversification, characterized by stable bamboo cover (2</w:t>
      </w:r>
      <w:r w:rsidR="003C2F91">
        <w:rPr>
          <w:rFonts w:ascii="Arial" w:hAnsi="Arial" w:cs="Arial"/>
          <w:sz w:val="20"/>
          <w:szCs w:val="20"/>
        </w:rPr>
        <w:t>4.7</w:t>
      </w:r>
      <w:r w:rsidR="003423DE">
        <w:rPr>
          <w:rFonts w:ascii="Arial" w:hAnsi="Arial" w:cs="Arial"/>
          <w:sz w:val="20"/>
          <w:szCs w:val="20"/>
        </w:rPr>
        <w:t>4</w:t>
      </w:r>
      <w:r w:rsidRPr="00323086">
        <w:rPr>
          <w:rFonts w:ascii="Arial" w:hAnsi="Arial" w:cs="Arial"/>
          <w:sz w:val="20"/>
          <w:szCs w:val="20"/>
        </w:rPr>
        <w:t>%), expansion of rubber, tea, and arecanut, and growing built-up areas. These transitions highlight the role of industrial dependence in reshaping landscapes and livelihoods. The study underscores the need for integrated land use policies that balance forest conservation with livelihood diversification and sustain bamboo as both an ecological and cultural resource.</w:t>
      </w:r>
    </w:p>
    <w:p w14:paraId="0721E9A8" w14:textId="4EA0B14D" w:rsidR="005E5146" w:rsidRPr="0030614C" w:rsidRDefault="005E5146" w:rsidP="005E5146">
      <w:pPr>
        <w:spacing w:line="360" w:lineRule="auto"/>
        <w:jc w:val="both"/>
        <w:rPr>
          <w:rFonts w:ascii="Arial" w:hAnsi="Arial" w:cs="Arial"/>
          <w:sz w:val="22"/>
          <w:szCs w:val="22"/>
        </w:rPr>
      </w:pPr>
      <w:r w:rsidRPr="00E24E43">
        <w:rPr>
          <w:rFonts w:ascii="Arial" w:hAnsi="Arial" w:cs="Arial"/>
          <w:b/>
          <w:bCs/>
          <w:sz w:val="20"/>
          <w:szCs w:val="20"/>
        </w:rPr>
        <w:t>Keywords:</w:t>
      </w:r>
      <w:r w:rsidRPr="0030614C">
        <w:rPr>
          <w:rFonts w:ascii="Arial" w:hAnsi="Arial" w:cs="Arial"/>
          <w:sz w:val="22"/>
          <w:szCs w:val="22"/>
        </w:rPr>
        <w:t xml:space="preserve"> Land use transition; Bamboo utilization; Remote sensing and GIS; Plantation expansion; Shifting cultivation decline; Karbi Anglong (Northeast India)</w:t>
      </w:r>
    </w:p>
    <w:p w14:paraId="671F3E2A" w14:textId="77777777" w:rsidR="005B04FE" w:rsidRDefault="005B04FE" w:rsidP="005E5146">
      <w:pPr>
        <w:spacing w:line="360" w:lineRule="auto"/>
        <w:jc w:val="both"/>
        <w:rPr>
          <w:rFonts w:ascii="Arial" w:hAnsi="Arial" w:cs="Arial"/>
          <w:sz w:val="20"/>
          <w:szCs w:val="20"/>
        </w:rPr>
      </w:pPr>
    </w:p>
    <w:p w14:paraId="14FA9CC8" w14:textId="77777777" w:rsidR="00BD3EE2" w:rsidRDefault="00BD3EE2" w:rsidP="005E5146">
      <w:pPr>
        <w:spacing w:line="360" w:lineRule="auto"/>
        <w:jc w:val="both"/>
        <w:rPr>
          <w:rFonts w:ascii="Arial" w:hAnsi="Arial" w:cs="Arial"/>
          <w:sz w:val="20"/>
          <w:szCs w:val="20"/>
        </w:rPr>
      </w:pPr>
    </w:p>
    <w:p w14:paraId="161A5139" w14:textId="77777777" w:rsidR="00AF0BB5" w:rsidRDefault="00AF0BB5" w:rsidP="005E5146">
      <w:pPr>
        <w:spacing w:line="360" w:lineRule="auto"/>
        <w:jc w:val="both"/>
        <w:rPr>
          <w:rFonts w:ascii="Arial" w:hAnsi="Arial" w:cs="Arial"/>
          <w:sz w:val="20"/>
          <w:szCs w:val="20"/>
        </w:rPr>
      </w:pPr>
    </w:p>
    <w:p w14:paraId="53FC9323" w14:textId="77777777" w:rsidR="00AF0BB5" w:rsidRDefault="00AF0BB5" w:rsidP="005E5146">
      <w:pPr>
        <w:spacing w:line="360" w:lineRule="auto"/>
        <w:jc w:val="both"/>
        <w:rPr>
          <w:rFonts w:ascii="Arial" w:hAnsi="Arial" w:cs="Arial"/>
          <w:sz w:val="20"/>
          <w:szCs w:val="20"/>
        </w:rPr>
      </w:pPr>
    </w:p>
    <w:p w14:paraId="3896AB30" w14:textId="77777777" w:rsidR="00AF0BB5" w:rsidRDefault="00AF0BB5" w:rsidP="005E5146">
      <w:pPr>
        <w:spacing w:line="360" w:lineRule="auto"/>
        <w:jc w:val="both"/>
        <w:rPr>
          <w:rFonts w:ascii="Arial" w:hAnsi="Arial" w:cs="Arial"/>
          <w:sz w:val="20"/>
          <w:szCs w:val="20"/>
        </w:rPr>
      </w:pPr>
    </w:p>
    <w:p w14:paraId="29730424" w14:textId="77777777" w:rsidR="00AF0BB5" w:rsidRDefault="00AF0BB5" w:rsidP="005E5146">
      <w:pPr>
        <w:spacing w:line="360" w:lineRule="auto"/>
        <w:jc w:val="both"/>
        <w:rPr>
          <w:rFonts w:ascii="Arial" w:hAnsi="Arial" w:cs="Arial"/>
          <w:sz w:val="20"/>
          <w:szCs w:val="20"/>
        </w:rPr>
      </w:pPr>
    </w:p>
    <w:p w14:paraId="147DD31E" w14:textId="77777777" w:rsidR="00AF0BB5" w:rsidRDefault="00AF0BB5" w:rsidP="005E5146">
      <w:pPr>
        <w:spacing w:line="360" w:lineRule="auto"/>
        <w:jc w:val="both"/>
        <w:rPr>
          <w:rFonts w:ascii="Arial" w:hAnsi="Arial" w:cs="Arial"/>
          <w:sz w:val="20"/>
          <w:szCs w:val="20"/>
        </w:rPr>
      </w:pPr>
    </w:p>
    <w:p w14:paraId="69F59FE7" w14:textId="77777777" w:rsidR="00AF0BB5" w:rsidRDefault="00AF0BB5" w:rsidP="005E5146">
      <w:pPr>
        <w:spacing w:line="360" w:lineRule="auto"/>
        <w:jc w:val="both"/>
        <w:rPr>
          <w:rFonts w:ascii="Arial" w:hAnsi="Arial" w:cs="Arial"/>
          <w:sz w:val="20"/>
          <w:szCs w:val="20"/>
        </w:rPr>
      </w:pPr>
    </w:p>
    <w:p w14:paraId="32995BC4" w14:textId="77777777" w:rsidR="00AF0BB5" w:rsidRDefault="00AF0BB5" w:rsidP="005E5146">
      <w:pPr>
        <w:spacing w:line="360" w:lineRule="auto"/>
        <w:jc w:val="both"/>
        <w:rPr>
          <w:rFonts w:ascii="Arial" w:hAnsi="Arial" w:cs="Arial"/>
          <w:sz w:val="20"/>
          <w:szCs w:val="20"/>
        </w:rPr>
      </w:pPr>
    </w:p>
    <w:p w14:paraId="15DFDAC2" w14:textId="77777777" w:rsidR="00AF0BB5" w:rsidRDefault="00AF0BB5" w:rsidP="005E5146">
      <w:pPr>
        <w:spacing w:line="360" w:lineRule="auto"/>
        <w:jc w:val="both"/>
        <w:rPr>
          <w:rFonts w:ascii="Arial" w:hAnsi="Arial" w:cs="Arial"/>
          <w:sz w:val="20"/>
          <w:szCs w:val="20"/>
        </w:rPr>
      </w:pPr>
    </w:p>
    <w:p w14:paraId="42C62385" w14:textId="77777777" w:rsidR="00AF0BB5" w:rsidRDefault="00AF0BB5" w:rsidP="005E5146">
      <w:pPr>
        <w:spacing w:line="360" w:lineRule="auto"/>
        <w:jc w:val="both"/>
        <w:rPr>
          <w:rFonts w:ascii="Arial" w:hAnsi="Arial" w:cs="Arial"/>
          <w:sz w:val="20"/>
          <w:szCs w:val="20"/>
        </w:rPr>
      </w:pPr>
    </w:p>
    <w:p w14:paraId="65DE6932" w14:textId="77777777" w:rsidR="00E24E43" w:rsidRDefault="00E24E43" w:rsidP="005E5146">
      <w:pPr>
        <w:spacing w:line="360" w:lineRule="auto"/>
        <w:jc w:val="both"/>
        <w:rPr>
          <w:rFonts w:ascii="Arial" w:hAnsi="Arial" w:cs="Arial"/>
          <w:sz w:val="20"/>
          <w:szCs w:val="20"/>
        </w:rPr>
      </w:pPr>
    </w:p>
    <w:p w14:paraId="7FA01EC3" w14:textId="77777777" w:rsidR="00E24E43" w:rsidRDefault="00E24E43" w:rsidP="005E5146">
      <w:pPr>
        <w:spacing w:line="360" w:lineRule="auto"/>
        <w:jc w:val="both"/>
        <w:rPr>
          <w:rFonts w:ascii="Arial" w:hAnsi="Arial" w:cs="Arial"/>
          <w:sz w:val="20"/>
          <w:szCs w:val="20"/>
        </w:rPr>
      </w:pPr>
    </w:p>
    <w:p w14:paraId="26E8A9A3" w14:textId="77777777" w:rsidR="00AF0BB5" w:rsidRPr="005B04FE" w:rsidRDefault="00AF0BB5" w:rsidP="005E5146">
      <w:pPr>
        <w:spacing w:line="360" w:lineRule="auto"/>
        <w:jc w:val="both"/>
        <w:rPr>
          <w:rFonts w:ascii="Arial" w:hAnsi="Arial" w:cs="Arial"/>
          <w:sz w:val="20"/>
          <w:szCs w:val="20"/>
        </w:rPr>
      </w:pPr>
    </w:p>
    <w:p w14:paraId="37AFCC94" w14:textId="21D39C30" w:rsidR="005E5146" w:rsidRPr="005B04FE" w:rsidRDefault="005B04FE" w:rsidP="005E5146">
      <w:pPr>
        <w:pStyle w:val="ListParagraph"/>
        <w:numPr>
          <w:ilvl w:val="0"/>
          <w:numId w:val="1"/>
        </w:numPr>
        <w:spacing w:line="360" w:lineRule="auto"/>
        <w:jc w:val="both"/>
        <w:rPr>
          <w:rFonts w:ascii="Arial" w:hAnsi="Arial" w:cs="Arial"/>
          <w:b/>
          <w:bCs/>
          <w:sz w:val="22"/>
          <w:szCs w:val="22"/>
        </w:rPr>
      </w:pPr>
      <w:r w:rsidRPr="005B04FE">
        <w:rPr>
          <w:rFonts w:ascii="Arial" w:hAnsi="Arial" w:cs="Arial"/>
          <w:b/>
          <w:bCs/>
          <w:sz w:val="22"/>
          <w:szCs w:val="22"/>
        </w:rPr>
        <w:lastRenderedPageBreak/>
        <w:t>INTRODUCTION</w:t>
      </w:r>
    </w:p>
    <w:p w14:paraId="732CA66D" w14:textId="35A5BD16" w:rsidR="005E5146" w:rsidRPr="005B04FE" w:rsidRDefault="005E5146" w:rsidP="005E5146">
      <w:pPr>
        <w:spacing w:line="360" w:lineRule="auto"/>
        <w:jc w:val="both"/>
        <w:rPr>
          <w:rFonts w:ascii="Arial" w:hAnsi="Arial" w:cs="Arial"/>
          <w:sz w:val="20"/>
          <w:szCs w:val="20"/>
        </w:rPr>
      </w:pPr>
      <w:r w:rsidRPr="005B04FE">
        <w:rPr>
          <w:rFonts w:ascii="Arial" w:hAnsi="Arial" w:cs="Arial"/>
          <w:sz w:val="20"/>
          <w:szCs w:val="20"/>
        </w:rPr>
        <w:t xml:space="preserve">Land use and land cover (LULC) transitions are among the most visible indicators of human–environment interactions, reflecting changing livelihood strategies, market forces, and ecological pressures (Lambin &amp; Meyfroidt, 2010). </w:t>
      </w:r>
      <w:r w:rsidR="00D51950">
        <w:rPr>
          <w:rFonts w:ascii="Arial" w:hAnsi="Arial" w:cs="Arial"/>
          <w:sz w:val="20"/>
          <w:szCs w:val="20"/>
        </w:rPr>
        <w:t xml:space="preserve"> </w:t>
      </w:r>
      <w:r w:rsidRPr="005B04FE">
        <w:rPr>
          <w:rFonts w:ascii="Arial" w:hAnsi="Arial" w:cs="Arial"/>
          <w:sz w:val="20"/>
          <w:szCs w:val="20"/>
        </w:rPr>
        <w:t>Across the tropics, transitions from shifting cultivation to plantations, commercial agriculture, or built-up areas have reshaped forest landscapes, often creating trade-offs between economic opportunity and ecological resilience (Fox et al., 2009; Meyfroidt, 2016). In South and Southeast Asia, the expansion of plantations and the decline of traditional land-use systems are strongly tied to industrial demand, rural development policies, and demographic change (Mertz et al., 2009).</w:t>
      </w:r>
    </w:p>
    <w:p w14:paraId="2339D87B" w14:textId="19F7F8D6" w:rsidR="00EE4808" w:rsidRDefault="005F1941" w:rsidP="005E5146">
      <w:pPr>
        <w:spacing w:line="360" w:lineRule="auto"/>
        <w:jc w:val="both"/>
        <w:rPr>
          <w:rFonts w:ascii="Arial" w:hAnsi="Arial" w:cs="Arial"/>
          <w:sz w:val="20"/>
          <w:szCs w:val="20"/>
        </w:rPr>
      </w:pPr>
      <w:r w:rsidRPr="005B04FE">
        <w:rPr>
          <w:rFonts w:ascii="Arial" w:hAnsi="Arial" w:cs="Arial"/>
          <w:sz w:val="20"/>
          <w:szCs w:val="20"/>
        </w:rPr>
        <w:t>In Northeast India, land use dynamics are especially complex because of the coexistence of shifting cultivation, forest-based livelihoods, and emerging plantation economies. Bamboo, in particular, has played a pivotal role in shaping both landscapes and livelihoods</w:t>
      </w:r>
      <w:r>
        <w:rPr>
          <w:rFonts w:ascii="Arial" w:hAnsi="Arial" w:cs="Arial"/>
          <w:sz w:val="20"/>
          <w:szCs w:val="20"/>
        </w:rPr>
        <w:t xml:space="preserve"> (</w:t>
      </w:r>
      <w:r w:rsidR="00E811EA" w:rsidRPr="00E811EA">
        <w:rPr>
          <w:rFonts w:ascii="Arial" w:hAnsi="Arial" w:cs="Arial"/>
          <w:sz w:val="20"/>
          <w:szCs w:val="20"/>
        </w:rPr>
        <w:t>Kurien, Lele, Nagendra,</w:t>
      </w:r>
      <w:r w:rsidR="00E811EA">
        <w:rPr>
          <w:rFonts w:ascii="Arial" w:hAnsi="Arial" w:cs="Arial"/>
          <w:sz w:val="20"/>
          <w:szCs w:val="20"/>
        </w:rPr>
        <w:t xml:space="preserve"> </w:t>
      </w:r>
      <w:r w:rsidR="00E811EA" w:rsidRPr="00E811EA">
        <w:rPr>
          <w:rFonts w:ascii="Arial" w:hAnsi="Arial" w:cs="Arial"/>
          <w:sz w:val="20"/>
          <w:szCs w:val="20"/>
        </w:rPr>
        <w:t>2019</w:t>
      </w:r>
      <w:r w:rsidR="00F67EBE">
        <w:rPr>
          <w:rFonts w:ascii="Arial" w:hAnsi="Arial" w:cs="Arial"/>
          <w:sz w:val="20"/>
          <w:szCs w:val="20"/>
        </w:rPr>
        <w:t>; Bos et al.,2020</w:t>
      </w:r>
      <w:r w:rsidR="00E4491C">
        <w:rPr>
          <w:rFonts w:ascii="Arial" w:hAnsi="Arial" w:cs="Arial"/>
          <w:sz w:val="20"/>
          <w:szCs w:val="20"/>
        </w:rPr>
        <w:t>; Chanu et al.,2023</w:t>
      </w:r>
      <w:r>
        <w:rPr>
          <w:rFonts w:ascii="Arial" w:hAnsi="Arial" w:cs="Arial"/>
          <w:sz w:val="20"/>
          <w:szCs w:val="20"/>
        </w:rPr>
        <w:t xml:space="preserve">). </w:t>
      </w:r>
      <w:r w:rsidRPr="005B04FE">
        <w:rPr>
          <w:rFonts w:ascii="Arial" w:hAnsi="Arial" w:cs="Arial"/>
          <w:sz w:val="20"/>
          <w:szCs w:val="20"/>
        </w:rPr>
        <w:t>As one of the fastest-growing and most versatile non-timber resources, bamboo provides construction material, household goods, and cultural value while also serving as a raw material for industries such as paper and pulp (Belcher, 1999; Nath et al., 2015). However, the sustainability of bamboo as a livelihood resource depends on broader land-use dynamics, including the pressures</w:t>
      </w:r>
      <w:r w:rsidR="00C27CC3">
        <w:rPr>
          <w:rFonts w:ascii="Arial" w:hAnsi="Arial" w:cs="Arial"/>
          <w:sz w:val="20"/>
          <w:szCs w:val="20"/>
        </w:rPr>
        <w:t xml:space="preserve"> from forest conversion, resource availability, </w:t>
      </w:r>
      <w:r w:rsidRPr="005B04FE">
        <w:rPr>
          <w:rFonts w:ascii="Arial" w:hAnsi="Arial" w:cs="Arial"/>
          <w:sz w:val="20"/>
          <w:szCs w:val="20"/>
        </w:rPr>
        <w:t>and market fluctuations</w:t>
      </w:r>
      <w:r w:rsidR="00EE4808">
        <w:rPr>
          <w:rFonts w:ascii="Arial" w:hAnsi="Arial" w:cs="Arial"/>
          <w:sz w:val="20"/>
          <w:szCs w:val="20"/>
        </w:rPr>
        <w:t xml:space="preserve"> (Sundriyal &amp; Joshi 2015</w:t>
      </w:r>
      <w:r w:rsidR="00AB4D50">
        <w:rPr>
          <w:rFonts w:ascii="Arial" w:hAnsi="Arial" w:cs="Arial"/>
          <w:sz w:val="20"/>
          <w:szCs w:val="20"/>
        </w:rPr>
        <w:t>)</w:t>
      </w:r>
      <w:r w:rsidR="009A67DF">
        <w:rPr>
          <w:rFonts w:ascii="Arial" w:hAnsi="Arial" w:cs="Arial"/>
          <w:sz w:val="20"/>
          <w:szCs w:val="20"/>
        </w:rPr>
        <w:t>, as well as ecological trade-offs linked to land conversion and competition with other forests resources (Sailo et al., 2025)</w:t>
      </w:r>
      <w:r w:rsidR="00EC50FD">
        <w:rPr>
          <w:rFonts w:ascii="Arial" w:hAnsi="Arial" w:cs="Arial"/>
          <w:sz w:val="20"/>
          <w:szCs w:val="20"/>
        </w:rPr>
        <w:t xml:space="preserve">. </w:t>
      </w:r>
    </w:p>
    <w:p w14:paraId="0A284E06" w14:textId="7D7A9C58" w:rsidR="005E5146" w:rsidRDefault="005E5146" w:rsidP="005E5146">
      <w:pPr>
        <w:spacing w:line="360" w:lineRule="auto"/>
        <w:jc w:val="both"/>
        <w:rPr>
          <w:rFonts w:ascii="Arial" w:hAnsi="Arial" w:cs="Arial"/>
          <w:sz w:val="20"/>
          <w:szCs w:val="20"/>
        </w:rPr>
      </w:pPr>
      <w:r w:rsidRPr="005B04FE">
        <w:rPr>
          <w:rFonts w:ascii="Arial" w:hAnsi="Arial" w:cs="Arial"/>
          <w:sz w:val="20"/>
          <w:szCs w:val="20"/>
        </w:rPr>
        <w:t xml:space="preserve">Karbi Anglong district in Assam represents a critical case for examining such transitions. The district experienced three decades of dramatic land-use change, closely tied to the rise and fall of the </w:t>
      </w:r>
      <w:r w:rsidR="0018095E">
        <w:rPr>
          <w:rFonts w:ascii="Arial" w:hAnsi="Arial" w:cs="Arial"/>
          <w:sz w:val="20"/>
          <w:szCs w:val="20"/>
        </w:rPr>
        <w:t xml:space="preserve">Nagaon </w:t>
      </w:r>
      <w:r w:rsidRPr="005B04FE">
        <w:rPr>
          <w:rFonts w:ascii="Arial" w:hAnsi="Arial" w:cs="Arial"/>
          <w:sz w:val="20"/>
          <w:szCs w:val="20"/>
        </w:rPr>
        <w:t>Paper Mill</w:t>
      </w:r>
      <w:r w:rsidR="0018095E">
        <w:rPr>
          <w:rFonts w:ascii="Arial" w:hAnsi="Arial" w:cs="Arial"/>
          <w:sz w:val="20"/>
          <w:szCs w:val="20"/>
        </w:rPr>
        <w:t xml:space="preserve"> in Jagiroad</w:t>
      </w:r>
      <w:r w:rsidRPr="005B04FE">
        <w:rPr>
          <w:rFonts w:ascii="Arial" w:hAnsi="Arial" w:cs="Arial"/>
          <w:sz w:val="20"/>
          <w:szCs w:val="20"/>
        </w:rPr>
        <w:t>, once a major consumer of bamboo in the region</w:t>
      </w:r>
      <w:r w:rsidR="00F0316C">
        <w:rPr>
          <w:rFonts w:ascii="Arial" w:hAnsi="Arial" w:cs="Arial"/>
          <w:sz w:val="20"/>
          <w:szCs w:val="20"/>
        </w:rPr>
        <w:t xml:space="preserve"> (</w:t>
      </w:r>
      <w:r w:rsidR="00E32212">
        <w:rPr>
          <w:rFonts w:ascii="Arial" w:hAnsi="Arial" w:cs="Arial"/>
          <w:sz w:val="20"/>
          <w:szCs w:val="20"/>
        </w:rPr>
        <w:t>Sarma</w:t>
      </w:r>
      <w:r w:rsidR="00F0316C">
        <w:rPr>
          <w:rFonts w:ascii="Arial" w:hAnsi="Arial" w:cs="Arial"/>
          <w:sz w:val="20"/>
          <w:szCs w:val="20"/>
        </w:rPr>
        <w:t>, 20</w:t>
      </w:r>
      <w:r w:rsidR="0018095E">
        <w:rPr>
          <w:rFonts w:ascii="Arial" w:hAnsi="Arial" w:cs="Arial"/>
          <w:sz w:val="20"/>
          <w:szCs w:val="20"/>
        </w:rPr>
        <w:t xml:space="preserve">12). </w:t>
      </w:r>
      <w:r w:rsidRPr="005B04FE">
        <w:rPr>
          <w:rFonts w:ascii="Arial" w:hAnsi="Arial" w:cs="Arial"/>
          <w:sz w:val="20"/>
          <w:szCs w:val="20"/>
        </w:rPr>
        <w:t>The establishment of bamboo plantations on former jhum fields, the decline of forest cover, and the subsequent diversification into alternative crops such as rubber, tea, and arecanut illustrate the multiple pathways through which livelihoods and landscapes have evolved</w:t>
      </w:r>
      <w:r w:rsidR="0002241C">
        <w:rPr>
          <w:rFonts w:ascii="Arial" w:hAnsi="Arial" w:cs="Arial"/>
          <w:sz w:val="20"/>
          <w:szCs w:val="20"/>
        </w:rPr>
        <w:t xml:space="preserve"> (Bos et al.,2020)</w:t>
      </w:r>
      <w:r w:rsidRPr="005B04FE">
        <w:rPr>
          <w:rFonts w:ascii="Arial" w:hAnsi="Arial" w:cs="Arial"/>
          <w:sz w:val="20"/>
          <w:szCs w:val="20"/>
        </w:rPr>
        <w:t xml:space="preserve">. At the same time, population growth and infrastructure </w:t>
      </w:r>
      <w:r w:rsidR="0002241C">
        <w:rPr>
          <w:rFonts w:ascii="Arial" w:hAnsi="Arial" w:cs="Arial"/>
          <w:sz w:val="20"/>
          <w:szCs w:val="20"/>
        </w:rPr>
        <w:t>expansion</w:t>
      </w:r>
      <w:r w:rsidRPr="005B04FE">
        <w:rPr>
          <w:rFonts w:ascii="Arial" w:hAnsi="Arial" w:cs="Arial"/>
          <w:sz w:val="20"/>
          <w:szCs w:val="20"/>
        </w:rPr>
        <w:t xml:space="preserve"> have contributed to steady expansion of built-up areas, adding to ecological stress</w:t>
      </w:r>
      <w:r w:rsidR="0002241C">
        <w:rPr>
          <w:rFonts w:ascii="Arial" w:hAnsi="Arial" w:cs="Arial"/>
          <w:sz w:val="20"/>
          <w:szCs w:val="20"/>
        </w:rPr>
        <w:t xml:space="preserve"> (Aktara &amp; Bhuyan, 2025; </w:t>
      </w:r>
      <w:r w:rsidR="0018095E">
        <w:rPr>
          <w:rFonts w:ascii="Arial" w:hAnsi="Arial" w:cs="Arial"/>
          <w:sz w:val="20"/>
          <w:szCs w:val="20"/>
        </w:rPr>
        <w:t>Sarkar, 2024</w:t>
      </w:r>
      <w:r w:rsidR="0002241C">
        <w:rPr>
          <w:rFonts w:ascii="Arial" w:hAnsi="Arial" w:cs="Arial"/>
          <w:sz w:val="20"/>
          <w:szCs w:val="20"/>
        </w:rPr>
        <w:t>).</w:t>
      </w:r>
    </w:p>
    <w:p w14:paraId="4745F9C5" w14:textId="4F39214F" w:rsidR="005E5146" w:rsidRDefault="005E5146" w:rsidP="005E5146">
      <w:pPr>
        <w:spacing w:line="360" w:lineRule="auto"/>
        <w:jc w:val="both"/>
        <w:rPr>
          <w:rFonts w:ascii="Arial" w:hAnsi="Arial" w:cs="Arial"/>
          <w:sz w:val="20"/>
          <w:szCs w:val="20"/>
        </w:rPr>
      </w:pPr>
      <w:r w:rsidRPr="005B04FE">
        <w:rPr>
          <w:rFonts w:ascii="Arial" w:hAnsi="Arial" w:cs="Arial"/>
          <w:sz w:val="20"/>
          <w:szCs w:val="20"/>
        </w:rPr>
        <w:t xml:space="preserve">While earlier research has documented bamboo’s </w:t>
      </w:r>
      <w:r w:rsidR="001B4E3F" w:rsidRPr="005B04FE">
        <w:rPr>
          <w:rFonts w:ascii="Arial" w:hAnsi="Arial" w:cs="Arial"/>
          <w:sz w:val="20"/>
          <w:szCs w:val="20"/>
        </w:rPr>
        <w:t xml:space="preserve">ecological </w:t>
      </w:r>
      <w:r w:rsidR="001B4E3F">
        <w:rPr>
          <w:rFonts w:ascii="Arial" w:hAnsi="Arial" w:cs="Arial"/>
          <w:sz w:val="20"/>
          <w:szCs w:val="20"/>
        </w:rPr>
        <w:t>in Northeast India (</w:t>
      </w:r>
      <w:r w:rsidR="001B4E3F" w:rsidRPr="005B04FE">
        <w:rPr>
          <w:rFonts w:ascii="Arial" w:hAnsi="Arial" w:cs="Arial"/>
          <w:sz w:val="20"/>
          <w:szCs w:val="20"/>
        </w:rPr>
        <w:t>Bystriakova &amp; Kapos, 200</w:t>
      </w:r>
      <w:r w:rsidR="00DF4FDB">
        <w:rPr>
          <w:rFonts w:ascii="Arial" w:hAnsi="Arial" w:cs="Arial"/>
          <w:sz w:val="20"/>
          <w:szCs w:val="20"/>
        </w:rPr>
        <w:t>3</w:t>
      </w:r>
      <w:r w:rsidR="001B4E3F">
        <w:rPr>
          <w:rFonts w:ascii="Arial" w:hAnsi="Arial" w:cs="Arial"/>
          <w:sz w:val="20"/>
          <w:szCs w:val="20"/>
        </w:rPr>
        <w:t>) as well as its deep cultural and livelihood importance in the region (</w:t>
      </w:r>
      <w:r w:rsidR="001B4E3F" w:rsidRPr="005B04FE">
        <w:rPr>
          <w:rFonts w:ascii="Arial" w:hAnsi="Arial" w:cs="Arial"/>
          <w:sz w:val="20"/>
          <w:szCs w:val="20"/>
        </w:rPr>
        <w:t>Nath &amp; Das, 2011</w:t>
      </w:r>
      <w:r w:rsidR="001B4E3F">
        <w:rPr>
          <w:rFonts w:ascii="Arial" w:hAnsi="Arial" w:cs="Arial"/>
          <w:sz w:val="20"/>
          <w:szCs w:val="20"/>
        </w:rPr>
        <w:t>). F</w:t>
      </w:r>
      <w:r w:rsidRPr="005B04FE">
        <w:rPr>
          <w:rFonts w:ascii="Arial" w:hAnsi="Arial" w:cs="Arial"/>
          <w:sz w:val="20"/>
          <w:szCs w:val="20"/>
        </w:rPr>
        <w:t xml:space="preserve">ew studies have systematically examined land-use transitions over multiple decades in relation to industrial demand and livelihood shifts. This paper addresses that gap by </w:t>
      </w:r>
      <w:r w:rsidR="00642349" w:rsidRPr="005B04FE">
        <w:rPr>
          <w:rFonts w:ascii="Arial" w:hAnsi="Arial" w:cs="Arial"/>
          <w:sz w:val="20"/>
          <w:szCs w:val="20"/>
        </w:rPr>
        <w:t>analysing</w:t>
      </w:r>
      <w:r w:rsidRPr="005B04FE">
        <w:rPr>
          <w:rFonts w:ascii="Arial" w:hAnsi="Arial" w:cs="Arial"/>
          <w:sz w:val="20"/>
          <w:szCs w:val="20"/>
        </w:rPr>
        <w:t xml:space="preserve"> land use and land cover change in Karbi Anglong from 1993 to 2023/24. Using multi-temporal remote sensing data, transition matrices, and field-based narratives, the study identifies three distinct phases of transition: (i) natural abundance (1993), (ii) plantation expansion (2014), and (iii) post-mill diversification (2023/24).</w:t>
      </w:r>
    </w:p>
    <w:p w14:paraId="628BE03E" w14:textId="77777777" w:rsidR="005E5146" w:rsidRPr="005B04FE" w:rsidRDefault="005E5146" w:rsidP="005E5146">
      <w:pPr>
        <w:spacing w:line="360" w:lineRule="auto"/>
        <w:jc w:val="both"/>
        <w:rPr>
          <w:rFonts w:ascii="Arial" w:hAnsi="Arial" w:cs="Arial"/>
          <w:sz w:val="20"/>
          <w:szCs w:val="20"/>
        </w:rPr>
      </w:pPr>
      <w:r w:rsidRPr="005B04FE">
        <w:rPr>
          <w:rFonts w:ascii="Arial" w:hAnsi="Arial" w:cs="Arial"/>
          <w:sz w:val="20"/>
          <w:szCs w:val="20"/>
        </w:rPr>
        <w:t>The objectives of the study are:</w:t>
      </w:r>
    </w:p>
    <w:p w14:paraId="2B269705" w14:textId="77777777" w:rsidR="005E5146" w:rsidRPr="005B04FE" w:rsidRDefault="005E5146" w:rsidP="005E5146">
      <w:pPr>
        <w:numPr>
          <w:ilvl w:val="0"/>
          <w:numId w:val="2"/>
        </w:numPr>
        <w:spacing w:line="360" w:lineRule="auto"/>
        <w:jc w:val="both"/>
        <w:rPr>
          <w:rFonts w:ascii="Arial" w:hAnsi="Arial" w:cs="Arial"/>
          <w:sz w:val="20"/>
          <w:szCs w:val="20"/>
        </w:rPr>
      </w:pPr>
      <w:r w:rsidRPr="005B04FE">
        <w:rPr>
          <w:rFonts w:ascii="Arial" w:hAnsi="Arial" w:cs="Arial"/>
          <w:sz w:val="20"/>
          <w:szCs w:val="20"/>
        </w:rPr>
        <w:t>To map and quantify land use and land cover changes in Karbi Anglong across three decades.</w:t>
      </w:r>
    </w:p>
    <w:p w14:paraId="027C7542" w14:textId="77777777" w:rsidR="005E5146" w:rsidRPr="005B04FE" w:rsidRDefault="005E5146" w:rsidP="005E5146">
      <w:pPr>
        <w:numPr>
          <w:ilvl w:val="0"/>
          <w:numId w:val="2"/>
        </w:numPr>
        <w:spacing w:line="360" w:lineRule="auto"/>
        <w:jc w:val="both"/>
        <w:rPr>
          <w:rFonts w:ascii="Arial" w:hAnsi="Arial" w:cs="Arial"/>
          <w:sz w:val="20"/>
          <w:szCs w:val="20"/>
        </w:rPr>
      </w:pPr>
      <w:r w:rsidRPr="005B04FE">
        <w:rPr>
          <w:rFonts w:ascii="Arial" w:hAnsi="Arial" w:cs="Arial"/>
          <w:sz w:val="20"/>
          <w:szCs w:val="20"/>
        </w:rPr>
        <w:lastRenderedPageBreak/>
        <w:t>To examine the drivers and socio-ecological implications of bamboo utilization across different phases.</w:t>
      </w:r>
    </w:p>
    <w:p w14:paraId="7BAB21AA" w14:textId="77777777" w:rsidR="005E5146" w:rsidRPr="005B04FE" w:rsidRDefault="005E5146" w:rsidP="005E5146">
      <w:pPr>
        <w:numPr>
          <w:ilvl w:val="0"/>
          <w:numId w:val="2"/>
        </w:numPr>
        <w:spacing w:line="360" w:lineRule="auto"/>
        <w:jc w:val="both"/>
        <w:rPr>
          <w:rFonts w:ascii="Arial" w:hAnsi="Arial" w:cs="Arial"/>
          <w:sz w:val="20"/>
          <w:szCs w:val="20"/>
        </w:rPr>
      </w:pPr>
      <w:r w:rsidRPr="005B04FE">
        <w:rPr>
          <w:rFonts w:ascii="Arial" w:hAnsi="Arial" w:cs="Arial"/>
          <w:sz w:val="20"/>
          <w:szCs w:val="20"/>
        </w:rPr>
        <w:t>To discuss the policy implications of land use transitions for sustainable bamboo management and diversified rural livelihoods.</w:t>
      </w:r>
    </w:p>
    <w:p w14:paraId="6F377BE8" w14:textId="77777777" w:rsidR="005E5146" w:rsidRPr="005B04FE" w:rsidRDefault="005E5146" w:rsidP="005E5146">
      <w:pPr>
        <w:spacing w:line="360" w:lineRule="auto"/>
        <w:jc w:val="both"/>
        <w:rPr>
          <w:rFonts w:ascii="Arial" w:hAnsi="Arial" w:cs="Arial"/>
          <w:sz w:val="20"/>
          <w:szCs w:val="20"/>
        </w:rPr>
      </w:pPr>
      <w:r w:rsidRPr="005B04FE">
        <w:rPr>
          <w:rFonts w:ascii="Arial" w:hAnsi="Arial" w:cs="Arial"/>
          <w:sz w:val="20"/>
          <w:szCs w:val="20"/>
        </w:rPr>
        <w:t>By situating bamboo within broader trajectories of land-use change, this study contributes to understanding how industrial dependence and livelihood diversification shape ecotonal landscapes in Northeast India.</w:t>
      </w:r>
    </w:p>
    <w:p w14:paraId="2D1CDCBD" w14:textId="5166D581" w:rsidR="005E5146" w:rsidRPr="003905BA" w:rsidRDefault="005B04FE" w:rsidP="005E5146">
      <w:pPr>
        <w:spacing w:line="360" w:lineRule="auto"/>
        <w:jc w:val="both"/>
        <w:rPr>
          <w:rFonts w:ascii="Arial" w:hAnsi="Arial" w:cs="Arial"/>
          <w:b/>
          <w:bCs/>
          <w:sz w:val="22"/>
          <w:szCs w:val="22"/>
        </w:rPr>
      </w:pPr>
      <w:r w:rsidRPr="003905BA">
        <w:rPr>
          <w:rFonts w:ascii="Arial" w:hAnsi="Arial" w:cs="Arial"/>
          <w:b/>
          <w:bCs/>
          <w:sz w:val="22"/>
          <w:szCs w:val="22"/>
        </w:rPr>
        <w:t>2. MATERIALS AND METHODS</w:t>
      </w:r>
    </w:p>
    <w:p w14:paraId="474D076A" w14:textId="5C128605" w:rsidR="005E5146" w:rsidRPr="00EA23AA" w:rsidRDefault="00EA23AA" w:rsidP="005E5146">
      <w:pPr>
        <w:spacing w:line="360" w:lineRule="auto"/>
        <w:jc w:val="both"/>
        <w:rPr>
          <w:rFonts w:ascii="Arial" w:hAnsi="Arial" w:cs="Arial"/>
          <w:b/>
          <w:bCs/>
        </w:rPr>
      </w:pPr>
      <w:r w:rsidRPr="00EA23AA">
        <w:rPr>
          <w:rFonts w:ascii="Arial" w:hAnsi="Arial" w:cs="Arial"/>
          <w:b/>
          <w:bCs/>
          <w:sz w:val="22"/>
          <w:szCs w:val="22"/>
        </w:rPr>
        <w:t>2.1 Study Area</w:t>
      </w:r>
    </w:p>
    <w:p w14:paraId="514BE4E5" w14:textId="4312DF51" w:rsidR="000842D5" w:rsidRDefault="005E5146" w:rsidP="005E5146">
      <w:pPr>
        <w:spacing w:line="360" w:lineRule="auto"/>
        <w:jc w:val="both"/>
        <w:rPr>
          <w:rFonts w:ascii="Arial" w:eastAsiaTheme="minorEastAsia" w:hAnsi="Arial" w:cs="Arial"/>
          <w:sz w:val="20"/>
          <w:szCs w:val="20"/>
        </w:rPr>
      </w:pPr>
      <w:r w:rsidRPr="00FA0A75">
        <w:rPr>
          <w:rFonts w:ascii="Arial" w:hAnsi="Arial" w:cs="Arial"/>
          <w:sz w:val="20"/>
          <w:szCs w:val="20"/>
        </w:rPr>
        <w:t>Karbi Anglong, the largest district in Assam, Northeast India</w:t>
      </w:r>
      <w:r w:rsidR="009A2337">
        <w:rPr>
          <w:rFonts w:ascii="Arial" w:hAnsi="Arial" w:cs="Arial"/>
          <w:sz w:val="20"/>
          <w:szCs w:val="20"/>
        </w:rPr>
        <w:t xml:space="preserve"> (Fig</w:t>
      </w:r>
      <w:r w:rsidR="000842D5">
        <w:rPr>
          <w:rFonts w:ascii="Arial" w:hAnsi="Arial" w:cs="Arial"/>
          <w:sz w:val="20"/>
          <w:szCs w:val="20"/>
        </w:rPr>
        <w:t>.</w:t>
      </w:r>
      <w:r w:rsidR="009A2337">
        <w:rPr>
          <w:rFonts w:ascii="Arial" w:hAnsi="Arial" w:cs="Arial"/>
          <w:sz w:val="20"/>
          <w:szCs w:val="20"/>
        </w:rPr>
        <w:t>1).</w:t>
      </w:r>
      <w:r w:rsidR="000842D5">
        <w:rPr>
          <w:rFonts w:ascii="Arial" w:hAnsi="Arial" w:cs="Arial"/>
          <w:sz w:val="20"/>
          <w:szCs w:val="20"/>
        </w:rPr>
        <w:t xml:space="preserve"> It </w:t>
      </w:r>
      <w:r w:rsidRPr="00FA0A75">
        <w:rPr>
          <w:rFonts w:ascii="Arial" w:hAnsi="Arial" w:cs="Arial"/>
          <w:sz w:val="20"/>
          <w:szCs w:val="20"/>
        </w:rPr>
        <w:t xml:space="preserve">covers an area of approximately 10,434 km² </w:t>
      </w:r>
      <w:r w:rsidR="000842D5">
        <w:rPr>
          <w:rFonts w:ascii="Arial" w:hAnsi="Arial" w:cs="Arial"/>
          <w:sz w:val="20"/>
          <w:szCs w:val="20"/>
        </w:rPr>
        <w:t>at latitude</w:t>
      </w:r>
      <w:r w:rsidR="00F5617B">
        <w:rPr>
          <w:rFonts w:ascii="Arial" w:hAnsi="Arial" w:cs="Arial"/>
          <w:sz w:val="20"/>
          <w:szCs w:val="20"/>
        </w:rPr>
        <w:t xml:space="preserve"> 25</w:t>
      </w:r>
      <w:r w:rsidR="00F5617B">
        <w:rPr>
          <w:rFonts w:ascii="Cambria Math" w:hAnsi="Cambria Math" w:cs="Arial"/>
          <w:sz w:val="20"/>
          <w:szCs w:val="20"/>
        </w:rPr>
        <w:t>°</w:t>
      </w:r>
      <w:r w:rsidR="00F5617B">
        <w:rPr>
          <w:rFonts w:ascii="Arial" w:hAnsi="Arial" w:cs="Arial"/>
          <w:sz w:val="20"/>
          <w:szCs w:val="20"/>
        </w:rPr>
        <w:t>33’ N and 26</w:t>
      </w:r>
      <m:oMath>
        <m:r>
          <w:rPr>
            <w:rFonts w:ascii="Cambria Math" w:hAnsi="Cambria Math" w:cs="Arial"/>
            <w:sz w:val="20"/>
            <w:szCs w:val="20"/>
          </w:rPr>
          <m:t>°</m:t>
        </m:r>
      </m:oMath>
      <w:r w:rsidR="00F5617B">
        <w:rPr>
          <w:rFonts w:ascii="Arial" w:eastAsiaTheme="minorEastAsia" w:hAnsi="Arial" w:cs="Arial"/>
          <w:sz w:val="20"/>
          <w:szCs w:val="20"/>
        </w:rPr>
        <w:t xml:space="preserve"> 35’N and longitude 92</w:t>
      </w:r>
      <m:oMath>
        <m:r>
          <w:rPr>
            <w:rFonts w:ascii="Cambria Math" w:eastAsiaTheme="minorEastAsia" w:hAnsi="Cambria Math" w:cs="Arial"/>
            <w:sz w:val="20"/>
            <w:szCs w:val="20"/>
          </w:rPr>
          <m:t>°</m:t>
        </m:r>
      </m:oMath>
      <w:r w:rsidR="00F5617B">
        <w:rPr>
          <w:rFonts w:ascii="Arial" w:eastAsiaTheme="minorEastAsia" w:hAnsi="Arial" w:cs="Arial"/>
          <w:sz w:val="20"/>
          <w:szCs w:val="20"/>
        </w:rPr>
        <w:t>10’E and 93</w:t>
      </w:r>
      <m:oMath>
        <m:r>
          <w:rPr>
            <w:rFonts w:ascii="Cambria Math" w:eastAsiaTheme="minorEastAsia" w:hAnsi="Cambria Math" w:cs="Arial"/>
            <w:sz w:val="20"/>
            <w:szCs w:val="20"/>
          </w:rPr>
          <m:t>°</m:t>
        </m:r>
      </m:oMath>
      <w:r w:rsidR="00F5617B">
        <w:rPr>
          <w:rFonts w:ascii="Arial" w:eastAsiaTheme="minorEastAsia" w:hAnsi="Arial" w:cs="Arial"/>
          <w:sz w:val="20"/>
          <w:szCs w:val="20"/>
        </w:rPr>
        <w:t xml:space="preserve">50’ E, with altitudinal range of </w:t>
      </w:r>
      <w:r w:rsidR="001846DB">
        <w:rPr>
          <w:rFonts w:ascii="Arial" w:eastAsiaTheme="minorEastAsia" w:hAnsi="Arial" w:cs="Arial"/>
          <w:sz w:val="20"/>
          <w:szCs w:val="20"/>
        </w:rPr>
        <w:t>47-1370 m above sea level. It is sub-tropical monsoon, characterized by cool winters (6-12</w:t>
      </w:r>
      <m:oMath>
        <m:r>
          <w:rPr>
            <w:rFonts w:ascii="Cambria Math" w:eastAsiaTheme="minorEastAsia" w:hAnsi="Cambria Math" w:cs="Arial"/>
            <w:sz w:val="20"/>
            <w:szCs w:val="20"/>
          </w:rPr>
          <m:t>°</m:t>
        </m:r>
      </m:oMath>
      <w:r w:rsidR="001846DB">
        <w:rPr>
          <w:rFonts w:ascii="Arial" w:eastAsiaTheme="minorEastAsia" w:hAnsi="Arial" w:cs="Arial"/>
          <w:sz w:val="20"/>
          <w:szCs w:val="20"/>
        </w:rPr>
        <w:t xml:space="preserve"> C), warm summers (23-32</w:t>
      </w:r>
      <m:oMath>
        <m:r>
          <w:rPr>
            <w:rFonts w:ascii="Cambria Math" w:eastAsiaTheme="minorEastAsia" w:hAnsi="Cambria Math" w:cs="Arial"/>
            <w:sz w:val="20"/>
            <w:szCs w:val="20"/>
          </w:rPr>
          <m:t>°</m:t>
        </m:r>
      </m:oMath>
      <w:r w:rsidR="001846DB">
        <w:rPr>
          <w:rFonts w:ascii="Arial" w:eastAsiaTheme="minorEastAsia" w:hAnsi="Arial" w:cs="Arial"/>
          <w:sz w:val="20"/>
          <w:szCs w:val="20"/>
        </w:rPr>
        <w:t>C), and heavy monsoon rainfall averaging about 2416 mm annually (Government of Assam, n.d).</w:t>
      </w:r>
      <w:r w:rsidR="00162F18">
        <w:rPr>
          <w:rFonts w:ascii="Arial" w:eastAsiaTheme="minorEastAsia" w:hAnsi="Arial" w:cs="Arial"/>
          <w:sz w:val="20"/>
          <w:szCs w:val="20"/>
        </w:rPr>
        <w:t xml:space="preserve"> The soil are predominantly red lateritic soils, occurring extensively over the hilly uplands and slopes. In contrast, the valley bottoms and plains contain sandy loam to loam soils. According to Champion and Seth’s (1968) classification, the districts </w:t>
      </w:r>
      <w:r w:rsidR="00B6237D">
        <w:rPr>
          <w:rFonts w:ascii="Arial" w:eastAsiaTheme="minorEastAsia" w:hAnsi="Arial" w:cs="Arial"/>
          <w:sz w:val="20"/>
          <w:szCs w:val="20"/>
        </w:rPr>
        <w:t>are categorized as Moist Semi-Evergreen (2BC1/b,2BC) and Moist Mixed Deciduous (3C/C 3b) (Champion &amp; Seth, 1968; Karbi Anglong District Forest Department, n.d)</w:t>
      </w:r>
      <w:r w:rsidR="006B3F4A">
        <w:rPr>
          <w:rFonts w:ascii="Arial" w:eastAsiaTheme="minorEastAsia" w:hAnsi="Arial" w:cs="Arial"/>
          <w:sz w:val="20"/>
          <w:szCs w:val="20"/>
        </w:rPr>
        <w:t>.</w:t>
      </w:r>
    </w:p>
    <w:p w14:paraId="64338740" w14:textId="208F4868" w:rsidR="003D698C" w:rsidRPr="00EA23AA" w:rsidRDefault="003D698C" w:rsidP="005E5146">
      <w:pPr>
        <w:spacing w:line="360" w:lineRule="auto"/>
        <w:jc w:val="both"/>
        <w:rPr>
          <w:rFonts w:ascii="Arial" w:eastAsiaTheme="minorEastAsia" w:hAnsi="Arial" w:cs="Arial"/>
          <w:b/>
          <w:bCs/>
          <w:sz w:val="20"/>
          <w:szCs w:val="20"/>
        </w:rPr>
      </w:pPr>
      <w:r w:rsidRPr="00EA23AA">
        <w:rPr>
          <w:rFonts w:ascii="Arial" w:eastAsiaTheme="minorEastAsia" w:hAnsi="Arial" w:cs="Arial"/>
          <w:b/>
          <w:bCs/>
          <w:sz w:val="20"/>
          <w:szCs w:val="20"/>
        </w:rPr>
        <w:t>2.2 Demography of the study area</w:t>
      </w:r>
    </w:p>
    <w:p w14:paraId="196F35B0" w14:textId="33A3203F" w:rsidR="003D698C" w:rsidRDefault="003D698C" w:rsidP="005E5146">
      <w:pPr>
        <w:spacing w:line="360" w:lineRule="auto"/>
        <w:jc w:val="both"/>
        <w:rPr>
          <w:rFonts w:ascii="Arial" w:eastAsiaTheme="minorEastAsia" w:hAnsi="Arial" w:cs="Arial"/>
          <w:sz w:val="20"/>
          <w:szCs w:val="20"/>
        </w:rPr>
      </w:pPr>
      <w:r>
        <w:rPr>
          <w:rFonts w:ascii="Arial" w:eastAsiaTheme="minorEastAsia" w:hAnsi="Arial" w:cs="Arial"/>
          <w:sz w:val="20"/>
          <w:szCs w:val="20"/>
        </w:rPr>
        <w:t>According to the Census of India (2011), the district has a population of 956313 (490167 males, 466146 females i.e. 951 females per 1000 males), with a density population of 93 people km</w:t>
      </w:r>
      <w:r>
        <w:rPr>
          <w:rFonts w:ascii="Arial" w:eastAsiaTheme="minorEastAsia" w:hAnsi="Arial" w:cs="Arial"/>
          <w:sz w:val="20"/>
          <w:szCs w:val="20"/>
          <w:vertAlign w:val="superscript"/>
        </w:rPr>
        <w:t>2</w:t>
      </w:r>
      <w:r w:rsidR="000F4977">
        <w:rPr>
          <w:rFonts w:ascii="Arial" w:eastAsiaTheme="minorEastAsia" w:hAnsi="Arial" w:cs="Arial"/>
          <w:sz w:val="20"/>
          <w:szCs w:val="20"/>
        </w:rPr>
        <w:t xml:space="preserve">, Rongkhang block being the most populous with 158035, while Socheng block has the lowest population with 27334. </w:t>
      </w:r>
      <w:r>
        <w:rPr>
          <w:rFonts w:ascii="Arial" w:eastAsiaTheme="minorEastAsia" w:hAnsi="Arial" w:cs="Arial"/>
          <w:sz w:val="20"/>
          <w:szCs w:val="20"/>
        </w:rPr>
        <w:t xml:space="preserve"> </w:t>
      </w:r>
      <w:r w:rsidR="000F4977">
        <w:rPr>
          <w:rFonts w:ascii="Arial" w:eastAsiaTheme="minorEastAsia" w:hAnsi="Arial" w:cs="Arial"/>
          <w:sz w:val="20"/>
          <w:szCs w:val="20"/>
        </w:rPr>
        <w:t>The overall literacy rate is 69.25% (Census</w:t>
      </w:r>
      <w:r w:rsidR="00EF480C">
        <w:rPr>
          <w:rFonts w:ascii="Arial" w:eastAsiaTheme="minorEastAsia" w:hAnsi="Arial" w:cs="Arial"/>
          <w:sz w:val="20"/>
          <w:szCs w:val="20"/>
        </w:rPr>
        <w:t xml:space="preserve"> of India</w:t>
      </w:r>
      <w:r w:rsidR="000F4977">
        <w:rPr>
          <w:rFonts w:ascii="Arial" w:eastAsiaTheme="minorEastAsia" w:hAnsi="Arial" w:cs="Arial"/>
          <w:sz w:val="20"/>
          <w:szCs w:val="20"/>
        </w:rPr>
        <w:t xml:space="preserve">, 2011). </w:t>
      </w:r>
      <w:r>
        <w:rPr>
          <w:rFonts w:ascii="Arial" w:eastAsiaTheme="minorEastAsia" w:hAnsi="Arial" w:cs="Arial"/>
          <w:sz w:val="20"/>
          <w:szCs w:val="20"/>
        </w:rPr>
        <w:t>The district has a total household of 177646</w:t>
      </w:r>
      <w:r w:rsidR="000F4977">
        <w:rPr>
          <w:rFonts w:ascii="Arial" w:eastAsiaTheme="minorEastAsia" w:hAnsi="Arial" w:cs="Arial"/>
          <w:sz w:val="20"/>
          <w:szCs w:val="20"/>
        </w:rPr>
        <w:t>, with Bokajan has the highest number of inhabited villages (419), whereas Socheng block records the lowest (76). The Largest village by population is Nawaibil, under Rongkhang block accomdating 7303 persons (Census</w:t>
      </w:r>
      <w:r w:rsidR="00EF480C">
        <w:rPr>
          <w:rFonts w:ascii="Arial" w:eastAsiaTheme="minorEastAsia" w:hAnsi="Arial" w:cs="Arial"/>
          <w:sz w:val="20"/>
          <w:szCs w:val="20"/>
        </w:rPr>
        <w:t xml:space="preserve"> of India</w:t>
      </w:r>
      <w:r w:rsidR="000F4977">
        <w:rPr>
          <w:rFonts w:ascii="Arial" w:eastAsiaTheme="minorEastAsia" w:hAnsi="Arial" w:cs="Arial"/>
          <w:sz w:val="20"/>
          <w:szCs w:val="20"/>
        </w:rPr>
        <w:t>, 2011).</w:t>
      </w:r>
      <w:r w:rsidR="003D2637">
        <w:rPr>
          <w:rFonts w:ascii="Arial" w:eastAsiaTheme="minorEastAsia" w:hAnsi="Arial" w:cs="Arial"/>
          <w:sz w:val="20"/>
          <w:szCs w:val="20"/>
        </w:rPr>
        <w:t xml:space="preserve"> In terms of social composition, Schedules Tribes (STs) constitute with 56.33%, while Schedules Castes (SCs) account for 4.70% (Census of India, 2011; Government of Assam n,d)</w:t>
      </w:r>
      <w:r w:rsidR="00036F40">
        <w:rPr>
          <w:rFonts w:ascii="Arial" w:eastAsiaTheme="minorEastAsia" w:hAnsi="Arial" w:cs="Arial"/>
          <w:sz w:val="20"/>
          <w:szCs w:val="20"/>
        </w:rPr>
        <w:t>.</w:t>
      </w:r>
    </w:p>
    <w:p w14:paraId="1E287999" w14:textId="76829278" w:rsidR="00036F40" w:rsidRPr="00842E1E" w:rsidRDefault="00036F40" w:rsidP="005E5146">
      <w:pPr>
        <w:spacing w:line="360" w:lineRule="auto"/>
        <w:jc w:val="both"/>
        <w:rPr>
          <w:rFonts w:ascii="Arial" w:eastAsiaTheme="minorEastAsia" w:hAnsi="Arial" w:cs="Arial"/>
          <w:b/>
          <w:bCs/>
          <w:sz w:val="20"/>
          <w:szCs w:val="20"/>
        </w:rPr>
      </w:pPr>
      <w:r w:rsidRPr="00842E1E">
        <w:rPr>
          <w:rFonts w:ascii="Arial" w:eastAsiaTheme="minorEastAsia" w:hAnsi="Arial" w:cs="Arial"/>
          <w:b/>
          <w:bCs/>
          <w:sz w:val="20"/>
          <w:szCs w:val="20"/>
        </w:rPr>
        <w:t>2.3 Significance of the Area</w:t>
      </w:r>
    </w:p>
    <w:p w14:paraId="712255A8" w14:textId="0A39F05F" w:rsidR="005E5146" w:rsidRDefault="005E5146" w:rsidP="005E5146">
      <w:pPr>
        <w:spacing w:line="360" w:lineRule="auto"/>
        <w:jc w:val="both"/>
        <w:rPr>
          <w:rFonts w:ascii="Arial" w:hAnsi="Arial" w:cs="Arial"/>
          <w:sz w:val="20"/>
          <w:szCs w:val="20"/>
        </w:rPr>
      </w:pPr>
      <w:r w:rsidRPr="00FA0A75">
        <w:rPr>
          <w:rFonts w:ascii="Arial" w:hAnsi="Arial" w:cs="Arial"/>
          <w:sz w:val="20"/>
          <w:szCs w:val="20"/>
        </w:rPr>
        <w:t>The district is ecologically significant, forming part of the Indo-Burma biodiversity hotspot, and socio-culturally diverse, inhabited predominantly by the Karbi and other tribal communities. Bamboo has historically been central to household subsistence, cultural practices, and industrial supply chains. The district’s land-use dynamics are strongly influenced by the Jagiroad Paper Mill (operational until 2017), government plantation schemes, and the gradual decline of jhum (shifting cultivation). The geographical location and multi-functional role of bamboo make Karbi Anglong a representative case for studying land-use transitions in ecotonal landscapes.</w:t>
      </w:r>
      <w:r w:rsidR="00FA0A75">
        <w:rPr>
          <w:rFonts w:ascii="Arial" w:hAnsi="Arial" w:cs="Arial"/>
          <w:sz w:val="20"/>
          <w:szCs w:val="20"/>
        </w:rPr>
        <w:t xml:space="preserve"> </w:t>
      </w:r>
    </w:p>
    <w:p w14:paraId="2CCB3141" w14:textId="004AD730" w:rsidR="00B06681" w:rsidRPr="005E5146" w:rsidRDefault="004571EB" w:rsidP="005E5146">
      <w:pPr>
        <w:spacing w:line="360" w:lineRule="auto"/>
        <w:jc w:val="both"/>
        <w:rPr>
          <w:rFonts w:ascii="Times New Roman" w:hAnsi="Times New Roman" w:cs="Times New Roman"/>
        </w:rPr>
      </w:pPr>
      <w:r w:rsidRPr="004571EB">
        <w:rPr>
          <w:rFonts w:ascii="Times New Roman" w:hAnsi="Times New Roman" w:cs="Times New Roman"/>
          <w:noProof/>
        </w:rPr>
        <w:lastRenderedPageBreak/>
        <w:drawing>
          <wp:inline distT="0" distB="0" distL="0" distR="0" wp14:anchorId="670F7463" wp14:editId="485A2680">
            <wp:extent cx="5731510" cy="4429125"/>
            <wp:effectExtent l="0" t="0" r="2540" b="9525"/>
            <wp:docPr id="2125102383" name="Picture 2" descr="A map of the different 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02383" name="Picture 2" descr="A map of the different region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429125"/>
                    </a:xfrm>
                    <a:prstGeom prst="rect">
                      <a:avLst/>
                    </a:prstGeom>
                    <a:noFill/>
                    <a:ln>
                      <a:noFill/>
                    </a:ln>
                  </pic:spPr>
                </pic:pic>
              </a:graphicData>
            </a:graphic>
          </wp:inline>
        </w:drawing>
      </w:r>
    </w:p>
    <w:p w14:paraId="06A7BB1D" w14:textId="77777777" w:rsidR="00D001D2" w:rsidRPr="004E59EB" w:rsidRDefault="00D001D2" w:rsidP="00D001D2">
      <w:pPr>
        <w:spacing w:line="360" w:lineRule="auto"/>
        <w:jc w:val="both"/>
        <w:rPr>
          <w:rFonts w:ascii="Arial" w:hAnsi="Arial" w:cs="Arial"/>
          <w:sz w:val="20"/>
          <w:szCs w:val="20"/>
        </w:rPr>
      </w:pPr>
      <w:r w:rsidRPr="004E59EB">
        <w:rPr>
          <w:rFonts w:ascii="Arial" w:hAnsi="Arial" w:cs="Arial"/>
          <w:b/>
          <w:bCs/>
          <w:sz w:val="20"/>
          <w:szCs w:val="20"/>
        </w:rPr>
        <w:t>Source:</w:t>
      </w:r>
      <w:r w:rsidRPr="004E59EB">
        <w:rPr>
          <w:rFonts w:ascii="Arial" w:hAnsi="Arial" w:cs="Arial"/>
          <w:sz w:val="20"/>
          <w:szCs w:val="20"/>
        </w:rPr>
        <w:t xml:space="preserve"> Survey of India (administrative boundaries) and Shuttle Radar Topography Mission (SRTM) DEM from USGS Earth Explorer.</w:t>
      </w:r>
    </w:p>
    <w:p w14:paraId="497D68A8" w14:textId="0FF3E074" w:rsidR="004571EB" w:rsidRPr="004E59EB" w:rsidRDefault="00B06681" w:rsidP="005E5146">
      <w:pPr>
        <w:spacing w:line="360" w:lineRule="auto"/>
        <w:jc w:val="both"/>
        <w:rPr>
          <w:rFonts w:ascii="Arial" w:hAnsi="Arial" w:cs="Arial"/>
          <w:sz w:val="20"/>
          <w:szCs w:val="20"/>
        </w:rPr>
      </w:pPr>
      <w:r w:rsidRPr="004E59EB">
        <w:rPr>
          <w:rFonts w:ascii="Arial" w:hAnsi="Arial" w:cs="Arial"/>
          <w:sz w:val="20"/>
          <w:szCs w:val="20"/>
        </w:rPr>
        <w:t xml:space="preserve">Figure 1. Location map of Karbi Anglong district, Assam, India, showing sample villages. </w:t>
      </w:r>
    </w:p>
    <w:p w14:paraId="76D7325D" w14:textId="0F236948" w:rsidR="005E5146" w:rsidRPr="00FA0A75" w:rsidRDefault="004765A3" w:rsidP="005E5146">
      <w:pPr>
        <w:spacing w:line="360" w:lineRule="auto"/>
        <w:jc w:val="both"/>
        <w:rPr>
          <w:rFonts w:ascii="Times New Roman" w:hAnsi="Times New Roman" w:cs="Times New Roman"/>
          <w:b/>
          <w:bCs/>
          <w:sz w:val="22"/>
          <w:szCs w:val="22"/>
        </w:rPr>
      </w:pPr>
      <w:r w:rsidRPr="00FA0A75">
        <w:rPr>
          <w:rFonts w:ascii="Times New Roman" w:hAnsi="Times New Roman" w:cs="Times New Roman"/>
          <w:b/>
          <w:bCs/>
          <w:sz w:val="22"/>
          <w:szCs w:val="22"/>
        </w:rPr>
        <w:t>2.</w:t>
      </w:r>
      <w:r>
        <w:rPr>
          <w:rFonts w:ascii="Times New Roman" w:hAnsi="Times New Roman" w:cs="Times New Roman"/>
          <w:b/>
          <w:bCs/>
          <w:sz w:val="22"/>
          <w:szCs w:val="22"/>
        </w:rPr>
        <w:t>4</w:t>
      </w:r>
      <w:r w:rsidRPr="00FA0A75">
        <w:rPr>
          <w:rFonts w:ascii="Times New Roman" w:hAnsi="Times New Roman" w:cs="Times New Roman"/>
          <w:b/>
          <w:bCs/>
          <w:sz w:val="22"/>
          <w:szCs w:val="22"/>
        </w:rPr>
        <w:t xml:space="preserve"> Data Sources</w:t>
      </w:r>
    </w:p>
    <w:p w14:paraId="38B423F4" w14:textId="77777777" w:rsidR="005E5146" w:rsidRPr="00FA0A75" w:rsidRDefault="005E5146" w:rsidP="005E5146">
      <w:pPr>
        <w:spacing w:line="360" w:lineRule="auto"/>
        <w:jc w:val="both"/>
        <w:rPr>
          <w:rFonts w:ascii="Arial" w:hAnsi="Arial" w:cs="Arial"/>
          <w:sz w:val="20"/>
          <w:szCs w:val="20"/>
        </w:rPr>
      </w:pPr>
      <w:r w:rsidRPr="00FA0A75">
        <w:rPr>
          <w:rFonts w:ascii="Arial" w:hAnsi="Arial" w:cs="Arial"/>
          <w:sz w:val="20"/>
          <w:szCs w:val="20"/>
        </w:rPr>
        <w:t>The study employed multi-temporal satellite imagery and field-based information for land use and land cover (LULC) analysis:</w:t>
      </w:r>
    </w:p>
    <w:p w14:paraId="71D41F61" w14:textId="77777777" w:rsidR="005E5146" w:rsidRPr="00C0525F" w:rsidRDefault="005E5146" w:rsidP="005E5146">
      <w:pPr>
        <w:numPr>
          <w:ilvl w:val="0"/>
          <w:numId w:val="3"/>
        </w:numPr>
        <w:spacing w:line="360" w:lineRule="auto"/>
        <w:jc w:val="both"/>
        <w:rPr>
          <w:rFonts w:ascii="Arial" w:hAnsi="Arial" w:cs="Arial"/>
          <w:sz w:val="20"/>
          <w:szCs w:val="20"/>
        </w:rPr>
      </w:pPr>
      <w:r w:rsidRPr="00C0525F">
        <w:rPr>
          <w:rFonts w:ascii="Arial" w:hAnsi="Arial" w:cs="Arial"/>
          <w:sz w:val="20"/>
          <w:szCs w:val="20"/>
        </w:rPr>
        <w:t>1993: Landsat 5 TM (30 m resolution).</w:t>
      </w:r>
    </w:p>
    <w:p w14:paraId="71C4C0F9" w14:textId="77777777" w:rsidR="005E5146" w:rsidRPr="00C0525F" w:rsidRDefault="005E5146" w:rsidP="005E5146">
      <w:pPr>
        <w:numPr>
          <w:ilvl w:val="0"/>
          <w:numId w:val="3"/>
        </w:numPr>
        <w:spacing w:line="360" w:lineRule="auto"/>
        <w:jc w:val="both"/>
        <w:rPr>
          <w:rFonts w:ascii="Arial" w:hAnsi="Arial" w:cs="Arial"/>
          <w:sz w:val="20"/>
          <w:szCs w:val="20"/>
        </w:rPr>
      </w:pPr>
      <w:r w:rsidRPr="00C0525F">
        <w:rPr>
          <w:rFonts w:ascii="Arial" w:hAnsi="Arial" w:cs="Arial"/>
          <w:sz w:val="20"/>
          <w:szCs w:val="20"/>
        </w:rPr>
        <w:t>2014: Landsat 8 OLI (30 m resolution).</w:t>
      </w:r>
    </w:p>
    <w:p w14:paraId="242C10A9" w14:textId="77777777" w:rsidR="005E5146" w:rsidRPr="00FA0A75" w:rsidRDefault="005E5146" w:rsidP="005E5146">
      <w:pPr>
        <w:numPr>
          <w:ilvl w:val="0"/>
          <w:numId w:val="3"/>
        </w:numPr>
        <w:spacing w:line="360" w:lineRule="auto"/>
        <w:jc w:val="both"/>
        <w:rPr>
          <w:rFonts w:ascii="Arial" w:hAnsi="Arial" w:cs="Arial"/>
          <w:sz w:val="20"/>
          <w:szCs w:val="20"/>
        </w:rPr>
      </w:pPr>
      <w:r w:rsidRPr="00C0525F">
        <w:rPr>
          <w:rFonts w:ascii="Arial" w:hAnsi="Arial" w:cs="Arial"/>
          <w:sz w:val="20"/>
          <w:szCs w:val="20"/>
        </w:rPr>
        <w:t>2023/24</w:t>
      </w:r>
      <w:r w:rsidRPr="00FA0A75">
        <w:rPr>
          <w:rFonts w:ascii="Arial" w:hAnsi="Arial" w:cs="Arial"/>
          <w:sz w:val="20"/>
          <w:szCs w:val="20"/>
        </w:rPr>
        <w:t>: Sentinel-2 MSI (10 m resolution).</w:t>
      </w:r>
    </w:p>
    <w:p w14:paraId="4987F524" w14:textId="77777777" w:rsidR="005E5146" w:rsidRPr="00FA0A75" w:rsidRDefault="005E5146" w:rsidP="005E5146">
      <w:pPr>
        <w:spacing w:line="360" w:lineRule="auto"/>
        <w:jc w:val="both"/>
        <w:rPr>
          <w:rFonts w:ascii="Arial" w:hAnsi="Arial" w:cs="Arial"/>
          <w:sz w:val="20"/>
          <w:szCs w:val="20"/>
        </w:rPr>
      </w:pPr>
      <w:r w:rsidRPr="00FA0A75">
        <w:rPr>
          <w:rFonts w:ascii="Arial" w:hAnsi="Arial" w:cs="Arial"/>
          <w:sz w:val="20"/>
          <w:szCs w:val="20"/>
        </w:rPr>
        <w:t>Ground-truth data were collected from field surveys between 2019 and 2024 across ten villages representing different land-use contexts (reserve forests, plantations, and homesteads). Ancillary data, including topographic maps and local knowledge, were used to support classification and validation.</w:t>
      </w:r>
    </w:p>
    <w:p w14:paraId="328FFF01" w14:textId="77777777" w:rsidR="00E83BA8" w:rsidRDefault="00E83BA8" w:rsidP="005E5146">
      <w:pPr>
        <w:spacing w:line="360" w:lineRule="auto"/>
        <w:jc w:val="both"/>
        <w:rPr>
          <w:rFonts w:ascii="Arial" w:hAnsi="Arial" w:cs="Arial"/>
          <w:b/>
          <w:bCs/>
          <w:sz w:val="22"/>
          <w:szCs w:val="22"/>
        </w:rPr>
      </w:pPr>
    </w:p>
    <w:p w14:paraId="1E7C2672" w14:textId="77777777" w:rsidR="00E83BA8" w:rsidRDefault="00E83BA8" w:rsidP="005E5146">
      <w:pPr>
        <w:spacing w:line="360" w:lineRule="auto"/>
        <w:jc w:val="both"/>
        <w:rPr>
          <w:rFonts w:ascii="Arial" w:hAnsi="Arial" w:cs="Arial"/>
          <w:b/>
          <w:bCs/>
          <w:sz w:val="22"/>
          <w:szCs w:val="22"/>
        </w:rPr>
      </w:pPr>
    </w:p>
    <w:p w14:paraId="1D2F80CA" w14:textId="63E9AE1A" w:rsidR="005E5146" w:rsidRPr="00C0525F" w:rsidRDefault="00B75816" w:rsidP="005E5146">
      <w:pPr>
        <w:spacing w:line="360" w:lineRule="auto"/>
        <w:jc w:val="both"/>
        <w:rPr>
          <w:rFonts w:ascii="Arial" w:hAnsi="Arial" w:cs="Arial"/>
          <w:b/>
          <w:bCs/>
          <w:sz w:val="22"/>
          <w:szCs w:val="22"/>
        </w:rPr>
      </w:pPr>
      <w:r w:rsidRPr="00C0525F">
        <w:rPr>
          <w:rFonts w:ascii="Arial" w:hAnsi="Arial" w:cs="Arial"/>
          <w:b/>
          <w:bCs/>
          <w:sz w:val="22"/>
          <w:szCs w:val="22"/>
        </w:rPr>
        <w:lastRenderedPageBreak/>
        <w:t>2.</w:t>
      </w:r>
      <w:r>
        <w:rPr>
          <w:rFonts w:ascii="Arial" w:hAnsi="Arial" w:cs="Arial"/>
          <w:b/>
          <w:bCs/>
          <w:sz w:val="22"/>
          <w:szCs w:val="22"/>
        </w:rPr>
        <w:t>5</w:t>
      </w:r>
      <w:r w:rsidRPr="00C0525F">
        <w:rPr>
          <w:rFonts w:ascii="Arial" w:hAnsi="Arial" w:cs="Arial"/>
          <w:b/>
          <w:bCs/>
          <w:sz w:val="22"/>
          <w:szCs w:val="22"/>
        </w:rPr>
        <w:t xml:space="preserve"> Land Use Classification</w:t>
      </w:r>
    </w:p>
    <w:p w14:paraId="3B4324F8" w14:textId="77777777" w:rsidR="00D96C44" w:rsidRPr="00C0525F" w:rsidRDefault="00D96C44" w:rsidP="00D96C44">
      <w:pPr>
        <w:spacing w:line="360" w:lineRule="auto"/>
        <w:jc w:val="both"/>
        <w:rPr>
          <w:rFonts w:ascii="Arial" w:hAnsi="Arial" w:cs="Arial"/>
          <w:sz w:val="20"/>
          <w:szCs w:val="20"/>
        </w:rPr>
      </w:pPr>
      <w:r w:rsidRPr="00C0525F">
        <w:rPr>
          <w:rFonts w:ascii="Arial" w:hAnsi="Arial" w:cs="Arial"/>
          <w:sz w:val="20"/>
          <w:szCs w:val="20"/>
        </w:rPr>
        <w:t>Supervised classification was performed using the Random Forest algorithm, with class definitions adapted to the ecological and socio-economic conditions of each reference year. For 1993, five land cover categories were identified: water bodies, forest, jhum fields, agriculture, and built-up areas. Bamboo was not distinguished separately in this period due to spectral limitations and was included within the broader forest category. For 2014, six categories were classified: water bodies, other forest/plantation, jhum fields, agriculture, built-up areas, and bamboo. By this stage, bamboo emerged as a distinct land cover class due to its expansion as plantations under industrial demand. For 2023/24, classification was refined to capture emerging land-use diversification, resulting in seven categories: bamboo, non-bamboo forest/plantations, rubber, tea and arecanut, agriculture, built-up areas, and water bodies.</w:t>
      </w:r>
    </w:p>
    <w:p w14:paraId="19EE1B4F" w14:textId="77777777" w:rsidR="00D96C44" w:rsidRPr="00C0525F" w:rsidRDefault="00D96C44" w:rsidP="00D96C44">
      <w:pPr>
        <w:spacing w:line="360" w:lineRule="auto"/>
        <w:jc w:val="both"/>
        <w:rPr>
          <w:rFonts w:ascii="Arial" w:hAnsi="Arial" w:cs="Arial"/>
          <w:sz w:val="20"/>
          <w:szCs w:val="20"/>
        </w:rPr>
      </w:pPr>
      <w:r w:rsidRPr="00C0525F">
        <w:rPr>
          <w:rFonts w:ascii="Arial" w:hAnsi="Arial" w:cs="Arial"/>
          <w:sz w:val="20"/>
          <w:szCs w:val="20"/>
        </w:rPr>
        <w:t>The classifications were carried out using multi-temporal satellite imagery (Landsat TM 1993, Landsat OLI 2014, and Sentinel-2 MSI 2023/24), supported by ground-truth data, field observations, and ancillary sources. The evolution of land cover categories across the three phases reflects the changing ecological role of bamboo and the broader trajectory of land-use transition in Karbi Anglong.</w:t>
      </w:r>
    </w:p>
    <w:p w14:paraId="23E13030" w14:textId="13FAB8E8" w:rsidR="00D96C44" w:rsidRPr="00C0525F" w:rsidRDefault="00100596" w:rsidP="00D96C44">
      <w:pPr>
        <w:spacing w:line="360" w:lineRule="auto"/>
        <w:jc w:val="both"/>
        <w:rPr>
          <w:rFonts w:ascii="Arial" w:hAnsi="Arial" w:cs="Arial"/>
          <w:b/>
          <w:bCs/>
          <w:sz w:val="22"/>
          <w:szCs w:val="22"/>
        </w:rPr>
      </w:pPr>
      <w:r w:rsidRPr="00C0525F">
        <w:rPr>
          <w:rFonts w:ascii="Arial" w:hAnsi="Arial" w:cs="Arial"/>
          <w:b/>
          <w:bCs/>
          <w:sz w:val="22"/>
          <w:szCs w:val="22"/>
        </w:rPr>
        <w:t>2.</w:t>
      </w:r>
      <w:r>
        <w:rPr>
          <w:rFonts w:ascii="Arial" w:hAnsi="Arial" w:cs="Arial"/>
          <w:b/>
          <w:bCs/>
          <w:sz w:val="22"/>
          <w:szCs w:val="22"/>
        </w:rPr>
        <w:t xml:space="preserve">6 </w:t>
      </w:r>
      <w:r w:rsidRPr="00C0525F">
        <w:rPr>
          <w:rFonts w:ascii="Arial" w:hAnsi="Arial" w:cs="Arial"/>
          <w:b/>
          <w:bCs/>
          <w:sz w:val="22"/>
          <w:szCs w:val="22"/>
        </w:rPr>
        <w:t>Accuracy Assessment</w:t>
      </w:r>
    </w:p>
    <w:p w14:paraId="2277144B" w14:textId="41E78635" w:rsidR="00C0525F" w:rsidRPr="000F5171" w:rsidRDefault="00D96C44" w:rsidP="000F5171">
      <w:pPr>
        <w:spacing w:line="360" w:lineRule="auto"/>
        <w:jc w:val="both"/>
        <w:rPr>
          <w:rFonts w:ascii="Arial" w:hAnsi="Arial" w:cs="Arial"/>
          <w:sz w:val="20"/>
          <w:szCs w:val="20"/>
        </w:rPr>
      </w:pPr>
      <w:r w:rsidRPr="00C0525F">
        <w:rPr>
          <w:rFonts w:ascii="Arial" w:hAnsi="Arial" w:cs="Arial"/>
          <w:sz w:val="20"/>
          <w:szCs w:val="20"/>
        </w:rPr>
        <w:t>The classification accuracy of the 2023/24 map was assessed using 700 ground-truth points collected during field surveys. A confusion matrix was generated to calculate producer’s and user’s accuracy for bamboo and non-bamboo classes, along with overall accuracy and Kappa coefficient</w:t>
      </w:r>
      <w:r w:rsidR="00C0525F">
        <w:rPr>
          <w:rFonts w:ascii="Arial" w:hAnsi="Arial" w:cs="Arial"/>
          <w:sz w:val="20"/>
          <w:szCs w:val="20"/>
        </w:rPr>
        <w:t xml:space="preserve"> as showed in Table 1</w:t>
      </w:r>
      <w:r w:rsidR="00362B94">
        <w:rPr>
          <w:rFonts w:ascii="Arial" w:hAnsi="Arial" w:cs="Arial"/>
          <w:sz w:val="20"/>
          <w:szCs w:val="20"/>
        </w:rPr>
        <w:t xml:space="preserve"> and Table 2. </w:t>
      </w:r>
      <w:r w:rsidRPr="00C0525F">
        <w:rPr>
          <w:rFonts w:ascii="Arial" w:hAnsi="Arial" w:cs="Arial"/>
          <w:sz w:val="20"/>
          <w:szCs w:val="20"/>
        </w:rPr>
        <w:t xml:space="preserve">The classification achieved an overall accuracy of 93.57% and a Kappa coefficient of 0.87, indicating “almost perfect” agreement (Congalton, 1991). Producer’s accuracy was 93.94% for bamboo and 93.24% for non-bamboo, while user’s accuracy was 92.54% and 94.52%, respectively. These results confirm the reliability of the classification for </w:t>
      </w:r>
      <w:r w:rsidR="00F844ED" w:rsidRPr="00C0525F">
        <w:rPr>
          <w:rFonts w:ascii="Arial" w:hAnsi="Arial" w:cs="Arial"/>
          <w:sz w:val="20"/>
          <w:szCs w:val="20"/>
        </w:rPr>
        <w:t>analysing</w:t>
      </w:r>
      <w:r w:rsidRPr="00C0525F">
        <w:rPr>
          <w:rFonts w:ascii="Arial" w:hAnsi="Arial" w:cs="Arial"/>
          <w:sz w:val="20"/>
          <w:szCs w:val="20"/>
        </w:rPr>
        <w:t xml:space="preserve"> land-use transitions.</w:t>
      </w:r>
      <w:r w:rsidR="00C0525F">
        <w:rPr>
          <w:rFonts w:ascii="Arial" w:hAnsi="Arial" w:cs="Arial"/>
          <w:sz w:val="20"/>
          <w:szCs w:val="20"/>
        </w:rPr>
        <w:t xml:space="preserve"> </w:t>
      </w:r>
      <w:bookmarkStart w:id="0" w:name="_Hlk206982552"/>
    </w:p>
    <w:p w14:paraId="43365FA7" w14:textId="5D265426" w:rsidR="003C44B2" w:rsidRPr="0014126D" w:rsidRDefault="003C44B2" w:rsidP="003C44B2">
      <w:pPr>
        <w:pStyle w:val="ListParagraph"/>
        <w:tabs>
          <w:tab w:val="left" w:pos="1088"/>
        </w:tabs>
        <w:spacing w:after="0" w:line="360" w:lineRule="auto"/>
        <w:jc w:val="center"/>
        <w:rPr>
          <w:rFonts w:ascii="Times New Roman" w:hAnsi="Times New Roman" w:cs="Times New Roman"/>
          <w:i/>
          <w:iCs/>
        </w:rPr>
      </w:pPr>
      <w:r w:rsidRPr="0014126D">
        <w:rPr>
          <w:rFonts w:ascii="Times New Roman" w:hAnsi="Times New Roman" w:cs="Times New Roman"/>
          <w:i/>
          <w:iCs/>
        </w:rPr>
        <w:t xml:space="preserve">Table </w:t>
      </w:r>
      <w:r w:rsidR="00462E9B" w:rsidRPr="0014126D">
        <w:rPr>
          <w:rFonts w:ascii="Times New Roman" w:hAnsi="Times New Roman" w:cs="Times New Roman"/>
          <w:i/>
          <w:iCs/>
        </w:rPr>
        <w:t>1</w:t>
      </w:r>
      <w:r w:rsidR="00A7424F">
        <w:rPr>
          <w:rFonts w:ascii="Times New Roman" w:hAnsi="Times New Roman" w:cs="Times New Roman"/>
          <w:i/>
          <w:iCs/>
        </w:rPr>
        <w:t>.</w:t>
      </w:r>
      <w:r w:rsidR="00462E9B" w:rsidRPr="0014126D">
        <w:rPr>
          <w:rFonts w:ascii="Times New Roman" w:hAnsi="Times New Roman" w:cs="Times New Roman"/>
          <w:i/>
          <w:iCs/>
        </w:rPr>
        <w:t xml:space="preserve"> </w:t>
      </w:r>
      <w:r w:rsidRPr="0014126D">
        <w:rPr>
          <w:rFonts w:ascii="Times New Roman" w:hAnsi="Times New Roman" w:cs="Times New Roman"/>
          <w:i/>
          <w:iCs/>
        </w:rPr>
        <w:t xml:space="preserve">Confusion Matrix for </w:t>
      </w:r>
      <w:r w:rsidR="0014126D" w:rsidRPr="0014126D">
        <w:rPr>
          <w:rFonts w:ascii="Times New Roman" w:hAnsi="Times New Roman" w:cs="Times New Roman"/>
          <w:i/>
          <w:iCs/>
        </w:rPr>
        <w:t>l</w:t>
      </w:r>
      <w:r w:rsidRPr="0014126D">
        <w:rPr>
          <w:rFonts w:ascii="Times New Roman" w:hAnsi="Times New Roman" w:cs="Times New Roman"/>
          <w:i/>
          <w:iCs/>
        </w:rPr>
        <w:t xml:space="preserve">and cover </w:t>
      </w:r>
      <w:r w:rsidR="0014126D" w:rsidRPr="0014126D">
        <w:rPr>
          <w:rFonts w:ascii="Times New Roman" w:hAnsi="Times New Roman" w:cs="Times New Roman"/>
          <w:i/>
          <w:iCs/>
        </w:rPr>
        <w:t>c</w:t>
      </w:r>
      <w:r w:rsidRPr="0014126D">
        <w:rPr>
          <w:rFonts w:ascii="Times New Roman" w:hAnsi="Times New Roman" w:cs="Times New Roman"/>
          <w:i/>
          <w:iCs/>
        </w:rPr>
        <w:t>lassification (n</w:t>
      </w:r>
      <w:r w:rsidR="0014126D">
        <w:rPr>
          <w:rFonts w:ascii="Times New Roman" w:hAnsi="Times New Roman" w:cs="Times New Roman"/>
          <w:i/>
          <w:iCs/>
        </w:rPr>
        <w:t>=</w:t>
      </w:r>
      <w:r w:rsidRPr="0014126D">
        <w:rPr>
          <w:rFonts w:ascii="Times New Roman" w:hAnsi="Times New Roman" w:cs="Times New Roman"/>
          <w:i/>
          <w:iCs/>
        </w:rPr>
        <w:t>700)</w:t>
      </w:r>
    </w:p>
    <w:tbl>
      <w:tblPr>
        <w:tblStyle w:val="PlainTable1"/>
        <w:tblW w:w="0" w:type="auto"/>
        <w:tblLook w:val="04A0" w:firstRow="1" w:lastRow="0" w:firstColumn="1" w:lastColumn="0" w:noHBand="0" w:noVBand="1"/>
      </w:tblPr>
      <w:tblGrid>
        <w:gridCol w:w="1980"/>
        <w:gridCol w:w="1843"/>
        <w:gridCol w:w="1842"/>
        <w:gridCol w:w="1281"/>
        <w:gridCol w:w="2070"/>
      </w:tblGrid>
      <w:tr w:rsidR="003C44B2" w:rsidRPr="00C219D0" w14:paraId="0EBFE684" w14:textId="77777777" w:rsidTr="00353D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bookmarkEnd w:id="0"/>
          <w:p w14:paraId="1800642F" w14:textId="77777777" w:rsidR="003C44B2" w:rsidRPr="00C219D0" w:rsidRDefault="003C44B2" w:rsidP="008C3314">
            <w:pPr>
              <w:spacing w:after="200" w:line="360" w:lineRule="auto"/>
              <w:jc w:val="both"/>
              <w:rPr>
                <w:rFonts w:ascii="Arial" w:hAnsi="Arial" w:cs="Arial"/>
                <w:b w:val="0"/>
                <w:bCs w:val="0"/>
                <w:sz w:val="20"/>
                <w:szCs w:val="20"/>
              </w:rPr>
            </w:pPr>
            <w:r w:rsidRPr="00C219D0">
              <w:rPr>
                <w:rFonts w:ascii="Arial" w:hAnsi="Arial" w:cs="Arial"/>
                <w:b w:val="0"/>
                <w:bCs w:val="0"/>
                <w:sz w:val="20"/>
                <w:szCs w:val="20"/>
              </w:rPr>
              <w:t>Reference Data</w:t>
            </w:r>
          </w:p>
        </w:tc>
        <w:tc>
          <w:tcPr>
            <w:tcW w:w="1843" w:type="dxa"/>
            <w:hideMark/>
          </w:tcPr>
          <w:p w14:paraId="621022BC" w14:textId="77777777" w:rsidR="003C44B2" w:rsidRPr="00C219D0" w:rsidRDefault="003C44B2" w:rsidP="008C3314">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219D0">
              <w:rPr>
                <w:rFonts w:ascii="Arial" w:hAnsi="Arial" w:cs="Arial"/>
                <w:b w:val="0"/>
                <w:bCs w:val="0"/>
                <w:sz w:val="20"/>
                <w:szCs w:val="20"/>
              </w:rPr>
              <w:t>Classified as Bamboo</w:t>
            </w:r>
          </w:p>
        </w:tc>
        <w:tc>
          <w:tcPr>
            <w:tcW w:w="1842" w:type="dxa"/>
            <w:hideMark/>
          </w:tcPr>
          <w:p w14:paraId="201160F6" w14:textId="77777777" w:rsidR="003C44B2" w:rsidRPr="00C219D0" w:rsidRDefault="003C44B2" w:rsidP="008C3314">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219D0">
              <w:rPr>
                <w:rFonts w:ascii="Arial" w:hAnsi="Arial" w:cs="Arial"/>
                <w:b w:val="0"/>
                <w:bCs w:val="0"/>
                <w:sz w:val="20"/>
                <w:szCs w:val="20"/>
              </w:rPr>
              <w:t>Classified as non-bamboo</w:t>
            </w:r>
          </w:p>
        </w:tc>
        <w:tc>
          <w:tcPr>
            <w:tcW w:w="1281" w:type="dxa"/>
            <w:hideMark/>
          </w:tcPr>
          <w:p w14:paraId="55C18EF7" w14:textId="77777777" w:rsidR="003C44B2" w:rsidRPr="00C219D0" w:rsidRDefault="003C44B2" w:rsidP="008C3314">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219D0">
              <w:rPr>
                <w:rFonts w:ascii="Arial" w:hAnsi="Arial" w:cs="Arial"/>
                <w:b w:val="0"/>
                <w:bCs w:val="0"/>
                <w:sz w:val="20"/>
                <w:szCs w:val="20"/>
              </w:rPr>
              <w:t>Total Reference</w:t>
            </w:r>
          </w:p>
        </w:tc>
        <w:tc>
          <w:tcPr>
            <w:tcW w:w="0" w:type="auto"/>
            <w:hideMark/>
          </w:tcPr>
          <w:p w14:paraId="7D966C26" w14:textId="77777777" w:rsidR="003C44B2" w:rsidRPr="00C219D0" w:rsidRDefault="003C44B2" w:rsidP="008C3314">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219D0">
              <w:rPr>
                <w:rFonts w:ascii="Arial" w:hAnsi="Arial" w:cs="Arial"/>
                <w:b w:val="0"/>
                <w:bCs w:val="0"/>
                <w:sz w:val="20"/>
                <w:szCs w:val="20"/>
              </w:rPr>
              <w:t>Producer’s Accuracy (%)</w:t>
            </w:r>
          </w:p>
        </w:tc>
      </w:tr>
      <w:tr w:rsidR="003C44B2" w:rsidRPr="00C219D0" w14:paraId="07E67A0D" w14:textId="77777777" w:rsidTr="00353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72FB2167" w14:textId="77777777" w:rsidR="003C44B2" w:rsidRPr="00C219D0" w:rsidRDefault="003C44B2" w:rsidP="00C219D0">
            <w:pPr>
              <w:spacing w:after="200" w:line="360" w:lineRule="auto"/>
              <w:jc w:val="center"/>
              <w:rPr>
                <w:rFonts w:ascii="Arial" w:hAnsi="Arial" w:cs="Arial"/>
                <w:sz w:val="20"/>
                <w:szCs w:val="20"/>
              </w:rPr>
            </w:pPr>
            <w:r w:rsidRPr="00C219D0">
              <w:rPr>
                <w:rFonts w:ascii="Arial" w:hAnsi="Arial" w:cs="Arial"/>
                <w:sz w:val="20"/>
                <w:szCs w:val="20"/>
              </w:rPr>
              <w:t>Bamboo</w:t>
            </w:r>
          </w:p>
        </w:tc>
        <w:tc>
          <w:tcPr>
            <w:tcW w:w="1843" w:type="dxa"/>
            <w:hideMark/>
          </w:tcPr>
          <w:p w14:paraId="273D6940" w14:textId="77777777" w:rsidR="003C44B2" w:rsidRPr="00C219D0" w:rsidRDefault="003C44B2" w:rsidP="00C219D0">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19D0">
              <w:rPr>
                <w:rFonts w:ascii="Arial" w:hAnsi="Arial" w:cs="Arial"/>
                <w:sz w:val="20"/>
                <w:szCs w:val="20"/>
              </w:rPr>
              <w:t>310</w:t>
            </w:r>
          </w:p>
        </w:tc>
        <w:tc>
          <w:tcPr>
            <w:tcW w:w="1842" w:type="dxa"/>
            <w:hideMark/>
          </w:tcPr>
          <w:p w14:paraId="79FB8766" w14:textId="77777777" w:rsidR="003C44B2" w:rsidRPr="00C219D0" w:rsidRDefault="003C44B2" w:rsidP="00C219D0">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19D0">
              <w:rPr>
                <w:rFonts w:ascii="Arial" w:hAnsi="Arial" w:cs="Arial"/>
                <w:sz w:val="20"/>
                <w:szCs w:val="20"/>
              </w:rPr>
              <w:t>20</w:t>
            </w:r>
          </w:p>
        </w:tc>
        <w:tc>
          <w:tcPr>
            <w:tcW w:w="1281" w:type="dxa"/>
            <w:hideMark/>
          </w:tcPr>
          <w:p w14:paraId="41865B60" w14:textId="77777777" w:rsidR="003C44B2" w:rsidRPr="00C219D0" w:rsidRDefault="003C44B2" w:rsidP="00C219D0">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19D0">
              <w:rPr>
                <w:rFonts w:ascii="Arial" w:hAnsi="Arial" w:cs="Arial"/>
                <w:sz w:val="20"/>
                <w:szCs w:val="20"/>
              </w:rPr>
              <w:t>330</w:t>
            </w:r>
          </w:p>
        </w:tc>
        <w:tc>
          <w:tcPr>
            <w:tcW w:w="0" w:type="auto"/>
            <w:hideMark/>
          </w:tcPr>
          <w:p w14:paraId="5A6C4D83" w14:textId="77777777" w:rsidR="003C44B2" w:rsidRPr="00C219D0" w:rsidRDefault="003C44B2" w:rsidP="00C219D0">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19D0">
              <w:rPr>
                <w:rFonts w:ascii="Arial" w:hAnsi="Arial" w:cs="Arial"/>
                <w:sz w:val="20"/>
                <w:szCs w:val="20"/>
              </w:rPr>
              <w:t>93.94%</w:t>
            </w:r>
          </w:p>
        </w:tc>
      </w:tr>
      <w:tr w:rsidR="003C44B2" w:rsidRPr="00C219D0" w14:paraId="65E14EC2" w14:textId="77777777" w:rsidTr="00353DF5">
        <w:tc>
          <w:tcPr>
            <w:cnfStyle w:val="001000000000" w:firstRow="0" w:lastRow="0" w:firstColumn="1" w:lastColumn="0" w:oddVBand="0" w:evenVBand="0" w:oddHBand="0" w:evenHBand="0" w:firstRowFirstColumn="0" w:firstRowLastColumn="0" w:lastRowFirstColumn="0" w:lastRowLastColumn="0"/>
            <w:tcW w:w="1980" w:type="dxa"/>
            <w:hideMark/>
          </w:tcPr>
          <w:p w14:paraId="2FE507EF" w14:textId="77777777" w:rsidR="003C44B2" w:rsidRPr="00C219D0" w:rsidRDefault="003C44B2" w:rsidP="00C219D0">
            <w:pPr>
              <w:spacing w:after="200" w:line="360" w:lineRule="auto"/>
              <w:jc w:val="center"/>
              <w:rPr>
                <w:rFonts w:ascii="Arial" w:hAnsi="Arial" w:cs="Arial"/>
                <w:sz w:val="20"/>
                <w:szCs w:val="20"/>
              </w:rPr>
            </w:pPr>
            <w:r w:rsidRPr="00C219D0">
              <w:rPr>
                <w:rFonts w:ascii="Arial" w:hAnsi="Arial" w:cs="Arial"/>
                <w:sz w:val="20"/>
                <w:szCs w:val="20"/>
              </w:rPr>
              <w:t>Non-Bamboo</w:t>
            </w:r>
          </w:p>
        </w:tc>
        <w:tc>
          <w:tcPr>
            <w:tcW w:w="1843" w:type="dxa"/>
            <w:hideMark/>
          </w:tcPr>
          <w:p w14:paraId="006E330C" w14:textId="77777777" w:rsidR="003C44B2" w:rsidRPr="00C219D0" w:rsidRDefault="003C44B2" w:rsidP="00C219D0">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219D0">
              <w:rPr>
                <w:rFonts w:ascii="Arial" w:hAnsi="Arial" w:cs="Arial"/>
                <w:sz w:val="20"/>
                <w:szCs w:val="20"/>
              </w:rPr>
              <w:t>25</w:t>
            </w:r>
          </w:p>
        </w:tc>
        <w:tc>
          <w:tcPr>
            <w:tcW w:w="1842" w:type="dxa"/>
            <w:hideMark/>
          </w:tcPr>
          <w:p w14:paraId="1EA8F0F5" w14:textId="77777777" w:rsidR="003C44B2" w:rsidRPr="00C219D0" w:rsidRDefault="003C44B2" w:rsidP="00C219D0">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219D0">
              <w:rPr>
                <w:rFonts w:ascii="Arial" w:hAnsi="Arial" w:cs="Arial"/>
                <w:sz w:val="20"/>
                <w:szCs w:val="20"/>
              </w:rPr>
              <w:t>345</w:t>
            </w:r>
          </w:p>
        </w:tc>
        <w:tc>
          <w:tcPr>
            <w:tcW w:w="1281" w:type="dxa"/>
            <w:hideMark/>
          </w:tcPr>
          <w:p w14:paraId="5230B72D" w14:textId="77777777" w:rsidR="003C44B2" w:rsidRPr="00C219D0" w:rsidRDefault="003C44B2" w:rsidP="00C219D0">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219D0">
              <w:rPr>
                <w:rFonts w:ascii="Arial" w:hAnsi="Arial" w:cs="Arial"/>
                <w:sz w:val="20"/>
                <w:szCs w:val="20"/>
              </w:rPr>
              <w:t>370</w:t>
            </w:r>
          </w:p>
        </w:tc>
        <w:tc>
          <w:tcPr>
            <w:tcW w:w="0" w:type="auto"/>
            <w:hideMark/>
          </w:tcPr>
          <w:p w14:paraId="31F02C54" w14:textId="77777777" w:rsidR="003C44B2" w:rsidRPr="00C219D0" w:rsidRDefault="003C44B2" w:rsidP="00C219D0">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219D0">
              <w:rPr>
                <w:rFonts w:ascii="Arial" w:hAnsi="Arial" w:cs="Arial"/>
                <w:sz w:val="20"/>
                <w:szCs w:val="20"/>
              </w:rPr>
              <w:t>93.24%</w:t>
            </w:r>
          </w:p>
        </w:tc>
      </w:tr>
      <w:tr w:rsidR="003C44B2" w:rsidRPr="00C219D0" w14:paraId="2D231020" w14:textId="77777777" w:rsidTr="00353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0F9743D1" w14:textId="77777777" w:rsidR="003C44B2" w:rsidRPr="00C219D0" w:rsidRDefault="003C44B2" w:rsidP="00C219D0">
            <w:pPr>
              <w:spacing w:after="200" w:line="360" w:lineRule="auto"/>
              <w:jc w:val="center"/>
              <w:rPr>
                <w:rFonts w:ascii="Arial" w:hAnsi="Arial" w:cs="Arial"/>
                <w:sz w:val="20"/>
                <w:szCs w:val="20"/>
              </w:rPr>
            </w:pPr>
            <w:r w:rsidRPr="00C219D0">
              <w:rPr>
                <w:rFonts w:ascii="Arial" w:hAnsi="Arial" w:cs="Arial"/>
                <w:sz w:val="20"/>
                <w:szCs w:val="20"/>
              </w:rPr>
              <w:t>Total Classified</w:t>
            </w:r>
          </w:p>
        </w:tc>
        <w:tc>
          <w:tcPr>
            <w:tcW w:w="1843" w:type="dxa"/>
            <w:hideMark/>
          </w:tcPr>
          <w:p w14:paraId="39116C83" w14:textId="77777777" w:rsidR="003C44B2" w:rsidRPr="00C219D0" w:rsidRDefault="003C44B2" w:rsidP="00C219D0">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19D0">
              <w:rPr>
                <w:rFonts w:ascii="Arial" w:hAnsi="Arial" w:cs="Arial"/>
                <w:sz w:val="20"/>
                <w:szCs w:val="20"/>
              </w:rPr>
              <w:t>335</w:t>
            </w:r>
          </w:p>
        </w:tc>
        <w:tc>
          <w:tcPr>
            <w:tcW w:w="1842" w:type="dxa"/>
            <w:hideMark/>
          </w:tcPr>
          <w:p w14:paraId="6C7CB148" w14:textId="77777777" w:rsidR="003C44B2" w:rsidRPr="00C219D0" w:rsidRDefault="003C44B2" w:rsidP="00C219D0">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19D0">
              <w:rPr>
                <w:rFonts w:ascii="Arial" w:hAnsi="Arial" w:cs="Arial"/>
                <w:sz w:val="20"/>
                <w:szCs w:val="20"/>
              </w:rPr>
              <w:t>365</w:t>
            </w:r>
          </w:p>
        </w:tc>
        <w:tc>
          <w:tcPr>
            <w:tcW w:w="1281" w:type="dxa"/>
            <w:hideMark/>
          </w:tcPr>
          <w:p w14:paraId="06AA133E" w14:textId="77777777" w:rsidR="003C44B2" w:rsidRPr="00C219D0" w:rsidRDefault="003C44B2" w:rsidP="00C219D0">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19D0">
              <w:rPr>
                <w:rFonts w:ascii="Arial" w:hAnsi="Arial" w:cs="Arial"/>
                <w:sz w:val="20"/>
                <w:szCs w:val="20"/>
              </w:rPr>
              <w:t>700</w:t>
            </w:r>
          </w:p>
        </w:tc>
        <w:tc>
          <w:tcPr>
            <w:tcW w:w="0" w:type="auto"/>
            <w:hideMark/>
          </w:tcPr>
          <w:p w14:paraId="45B0DD35" w14:textId="77777777" w:rsidR="003C44B2" w:rsidRPr="00C219D0" w:rsidRDefault="003C44B2" w:rsidP="00C219D0">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19D0">
              <w:rPr>
                <w:rFonts w:ascii="Arial" w:hAnsi="Arial" w:cs="Arial"/>
                <w:sz w:val="20"/>
                <w:szCs w:val="20"/>
              </w:rPr>
              <w:t>—</w:t>
            </w:r>
          </w:p>
        </w:tc>
      </w:tr>
    </w:tbl>
    <w:p w14:paraId="1E2277A6" w14:textId="08277A70" w:rsidR="005501FD" w:rsidRDefault="005501FD" w:rsidP="00362B94">
      <w:pPr>
        <w:tabs>
          <w:tab w:val="left" w:pos="1088"/>
        </w:tabs>
        <w:spacing w:after="0" w:line="360" w:lineRule="auto"/>
        <w:jc w:val="center"/>
        <w:rPr>
          <w:rFonts w:ascii="Times New Roman" w:hAnsi="Times New Roman" w:cs="Times New Roman"/>
          <w:i/>
          <w:iCs/>
        </w:rPr>
      </w:pPr>
      <w:bookmarkStart w:id="1" w:name="_Hlk207484053"/>
      <w:r w:rsidRPr="005501FD">
        <w:rPr>
          <w:rFonts w:ascii="Times New Roman" w:hAnsi="Times New Roman" w:cs="Times New Roman"/>
          <w:i/>
          <w:iCs/>
        </w:rPr>
        <w:t>Note. Data generated by the author from accuracy assessment of the 2023/24 land-use classification (Sentinel-2 MSI).</w:t>
      </w:r>
    </w:p>
    <w:p w14:paraId="59D49DC9" w14:textId="77777777" w:rsidR="00C219D0" w:rsidRDefault="00C219D0" w:rsidP="003C44B2">
      <w:pPr>
        <w:tabs>
          <w:tab w:val="left" w:pos="1088"/>
        </w:tabs>
        <w:spacing w:after="0" w:line="360" w:lineRule="auto"/>
        <w:jc w:val="center"/>
        <w:rPr>
          <w:rFonts w:ascii="Times New Roman" w:hAnsi="Times New Roman" w:cs="Times New Roman"/>
          <w:i/>
          <w:iCs/>
        </w:rPr>
      </w:pPr>
    </w:p>
    <w:p w14:paraId="7D2D29B2" w14:textId="77777777" w:rsidR="00C219D0" w:rsidRDefault="00C219D0" w:rsidP="003C44B2">
      <w:pPr>
        <w:tabs>
          <w:tab w:val="left" w:pos="1088"/>
        </w:tabs>
        <w:spacing w:after="0" w:line="360" w:lineRule="auto"/>
        <w:jc w:val="center"/>
        <w:rPr>
          <w:rFonts w:ascii="Times New Roman" w:hAnsi="Times New Roman" w:cs="Times New Roman"/>
          <w:i/>
          <w:iCs/>
        </w:rPr>
      </w:pPr>
    </w:p>
    <w:p w14:paraId="105BA01C" w14:textId="77777777" w:rsidR="00C219D0" w:rsidRDefault="00C219D0" w:rsidP="003C44B2">
      <w:pPr>
        <w:tabs>
          <w:tab w:val="left" w:pos="1088"/>
        </w:tabs>
        <w:spacing w:after="0" w:line="360" w:lineRule="auto"/>
        <w:jc w:val="center"/>
        <w:rPr>
          <w:rFonts w:ascii="Times New Roman" w:hAnsi="Times New Roman" w:cs="Times New Roman"/>
          <w:i/>
          <w:iCs/>
        </w:rPr>
      </w:pPr>
    </w:p>
    <w:p w14:paraId="5BEABA84" w14:textId="48A5813B" w:rsidR="003C44B2" w:rsidRPr="00A7424F" w:rsidRDefault="003C44B2" w:rsidP="003C44B2">
      <w:pPr>
        <w:tabs>
          <w:tab w:val="left" w:pos="1088"/>
        </w:tabs>
        <w:spacing w:after="0" w:line="360" w:lineRule="auto"/>
        <w:jc w:val="center"/>
        <w:rPr>
          <w:rFonts w:ascii="Times New Roman" w:hAnsi="Times New Roman" w:cs="Times New Roman"/>
          <w:i/>
          <w:iCs/>
        </w:rPr>
      </w:pPr>
      <w:r w:rsidRPr="00A7424F">
        <w:rPr>
          <w:rFonts w:ascii="Times New Roman" w:hAnsi="Times New Roman" w:cs="Times New Roman"/>
          <w:i/>
          <w:iCs/>
        </w:rPr>
        <w:lastRenderedPageBreak/>
        <w:t>Table</w:t>
      </w:r>
      <w:r w:rsidR="00A7424F" w:rsidRPr="00A7424F">
        <w:rPr>
          <w:rFonts w:ascii="Times New Roman" w:hAnsi="Times New Roman" w:cs="Times New Roman"/>
          <w:i/>
          <w:iCs/>
        </w:rPr>
        <w:t xml:space="preserve"> </w:t>
      </w:r>
      <w:r w:rsidR="00462E9B" w:rsidRPr="00A7424F">
        <w:rPr>
          <w:rFonts w:ascii="Times New Roman" w:hAnsi="Times New Roman" w:cs="Times New Roman"/>
          <w:i/>
          <w:iCs/>
        </w:rPr>
        <w:t>2</w:t>
      </w:r>
      <w:r w:rsidR="00A7424F" w:rsidRPr="00A7424F">
        <w:rPr>
          <w:rFonts w:ascii="Times New Roman" w:hAnsi="Times New Roman" w:cs="Times New Roman"/>
          <w:i/>
          <w:iCs/>
        </w:rPr>
        <w:t>.</w:t>
      </w:r>
      <w:r w:rsidR="00462E9B" w:rsidRPr="00A7424F">
        <w:rPr>
          <w:rFonts w:ascii="Times New Roman" w:hAnsi="Times New Roman" w:cs="Times New Roman"/>
          <w:i/>
          <w:iCs/>
        </w:rPr>
        <w:t xml:space="preserve"> Accuracy</w:t>
      </w:r>
      <w:r w:rsidRPr="00A7424F">
        <w:rPr>
          <w:rFonts w:ascii="Times New Roman" w:hAnsi="Times New Roman" w:cs="Times New Roman"/>
          <w:i/>
          <w:iCs/>
        </w:rPr>
        <w:t xml:space="preserve"> </w:t>
      </w:r>
      <w:r w:rsidR="00A7424F" w:rsidRPr="00A7424F">
        <w:rPr>
          <w:rFonts w:ascii="Times New Roman" w:hAnsi="Times New Roman" w:cs="Times New Roman"/>
          <w:i/>
          <w:iCs/>
        </w:rPr>
        <w:t>statistics of classification</w:t>
      </w:r>
    </w:p>
    <w:tbl>
      <w:tblPr>
        <w:tblStyle w:val="PlainTable1"/>
        <w:tblW w:w="7928" w:type="dxa"/>
        <w:tblLook w:val="04A0" w:firstRow="1" w:lastRow="0" w:firstColumn="1" w:lastColumn="0" w:noHBand="0" w:noVBand="1"/>
      </w:tblPr>
      <w:tblGrid>
        <w:gridCol w:w="2367"/>
        <w:gridCol w:w="2586"/>
        <w:gridCol w:w="2975"/>
      </w:tblGrid>
      <w:tr w:rsidR="003C44B2" w:rsidRPr="00C219D0" w14:paraId="2F26612A" w14:textId="77777777" w:rsidTr="00353DF5">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auto"/>
            <w:hideMark/>
          </w:tcPr>
          <w:bookmarkEnd w:id="1"/>
          <w:p w14:paraId="57024972" w14:textId="77777777" w:rsidR="003C44B2" w:rsidRPr="00C219D0" w:rsidRDefault="003C44B2" w:rsidP="00C219D0">
            <w:pPr>
              <w:spacing w:after="200"/>
              <w:jc w:val="center"/>
              <w:rPr>
                <w:rFonts w:ascii="Arial" w:hAnsi="Arial" w:cs="Arial"/>
                <w:b w:val="0"/>
                <w:bCs w:val="0"/>
                <w:sz w:val="20"/>
                <w:szCs w:val="20"/>
              </w:rPr>
            </w:pPr>
            <w:r w:rsidRPr="00C219D0">
              <w:rPr>
                <w:rFonts w:ascii="Arial" w:hAnsi="Arial" w:cs="Arial"/>
                <w:b w:val="0"/>
                <w:bCs w:val="0"/>
                <w:sz w:val="20"/>
                <w:szCs w:val="20"/>
              </w:rPr>
              <w:t>Class</w:t>
            </w:r>
          </w:p>
        </w:tc>
        <w:tc>
          <w:tcPr>
            <w:tcW w:w="0" w:type="auto"/>
            <w:hideMark/>
          </w:tcPr>
          <w:p w14:paraId="0DC87F0C" w14:textId="77777777" w:rsidR="003C44B2" w:rsidRPr="00C219D0" w:rsidRDefault="003C44B2" w:rsidP="00C219D0">
            <w:pPr>
              <w:spacing w:after="20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219D0">
              <w:rPr>
                <w:rFonts w:ascii="Arial" w:hAnsi="Arial" w:cs="Arial"/>
                <w:b w:val="0"/>
                <w:bCs w:val="0"/>
                <w:sz w:val="20"/>
                <w:szCs w:val="20"/>
              </w:rPr>
              <w:t>User’s Accuracy (%)</w:t>
            </w:r>
          </w:p>
        </w:tc>
        <w:tc>
          <w:tcPr>
            <w:tcW w:w="0" w:type="auto"/>
            <w:hideMark/>
          </w:tcPr>
          <w:p w14:paraId="5FBEA0A9" w14:textId="77777777" w:rsidR="003C44B2" w:rsidRPr="00C219D0" w:rsidRDefault="003C44B2" w:rsidP="00C219D0">
            <w:pPr>
              <w:spacing w:after="20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219D0">
              <w:rPr>
                <w:rFonts w:ascii="Arial" w:hAnsi="Arial" w:cs="Arial"/>
                <w:b w:val="0"/>
                <w:bCs w:val="0"/>
                <w:sz w:val="20"/>
                <w:szCs w:val="20"/>
              </w:rPr>
              <w:t>Producer’s Accuracy (%)</w:t>
            </w:r>
          </w:p>
        </w:tc>
      </w:tr>
      <w:tr w:rsidR="003C44B2" w:rsidRPr="00C219D0" w14:paraId="504F28B5" w14:textId="77777777" w:rsidTr="00353DF5">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0" w:type="auto"/>
            <w:hideMark/>
          </w:tcPr>
          <w:p w14:paraId="6E6A6611" w14:textId="77777777" w:rsidR="003C44B2" w:rsidRPr="00C219D0" w:rsidRDefault="003C44B2" w:rsidP="00C219D0">
            <w:pPr>
              <w:spacing w:after="200"/>
              <w:jc w:val="center"/>
              <w:rPr>
                <w:rFonts w:ascii="Arial" w:hAnsi="Arial" w:cs="Arial"/>
                <w:sz w:val="20"/>
                <w:szCs w:val="20"/>
              </w:rPr>
            </w:pPr>
            <w:r w:rsidRPr="00C219D0">
              <w:rPr>
                <w:rFonts w:ascii="Arial" w:hAnsi="Arial" w:cs="Arial"/>
                <w:sz w:val="20"/>
                <w:szCs w:val="20"/>
              </w:rPr>
              <w:t>Bamboo</w:t>
            </w:r>
          </w:p>
        </w:tc>
        <w:tc>
          <w:tcPr>
            <w:tcW w:w="0" w:type="auto"/>
            <w:hideMark/>
          </w:tcPr>
          <w:p w14:paraId="02DA83E7" w14:textId="77777777" w:rsidR="003C44B2" w:rsidRPr="00C219D0" w:rsidRDefault="003C44B2" w:rsidP="00C219D0">
            <w:pPr>
              <w:spacing w:after="20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19D0">
              <w:rPr>
                <w:rFonts w:ascii="Arial" w:hAnsi="Arial" w:cs="Arial"/>
                <w:sz w:val="20"/>
                <w:szCs w:val="20"/>
              </w:rPr>
              <w:t>92.54</w:t>
            </w:r>
          </w:p>
        </w:tc>
        <w:tc>
          <w:tcPr>
            <w:tcW w:w="0" w:type="auto"/>
            <w:hideMark/>
          </w:tcPr>
          <w:p w14:paraId="1402F3C9" w14:textId="77777777" w:rsidR="003C44B2" w:rsidRPr="00C219D0" w:rsidRDefault="003C44B2" w:rsidP="00C219D0">
            <w:pPr>
              <w:spacing w:after="20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19D0">
              <w:rPr>
                <w:rFonts w:ascii="Arial" w:hAnsi="Arial" w:cs="Arial"/>
                <w:sz w:val="20"/>
                <w:szCs w:val="20"/>
              </w:rPr>
              <w:t>93.94</w:t>
            </w:r>
          </w:p>
        </w:tc>
      </w:tr>
      <w:tr w:rsidR="003C44B2" w:rsidRPr="00C219D0" w14:paraId="11992E8A" w14:textId="77777777" w:rsidTr="00353DF5">
        <w:trPr>
          <w:trHeight w:val="447"/>
        </w:trPr>
        <w:tc>
          <w:tcPr>
            <w:cnfStyle w:val="001000000000" w:firstRow="0" w:lastRow="0" w:firstColumn="1" w:lastColumn="0" w:oddVBand="0" w:evenVBand="0" w:oddHBand="0" w:evenHBand="0" w:firstRowFirstColumn="0" w:firstRowLastColumn="0" w:lastRowFirstColumn="0" w:lastRowLastColumn="0"/>
            <w:tcW w:w="0" w:type="auto"/>
            <w:hideMark/>
          </w:tcPr>
          <w:p w14:paraId="07D98B90" w14:textId="77777777" w:rsidR="003C44B2" w:rsidRPr="00C219D0" w:rsidRDefault="003C44B2" w:rsidP="00C219D0">
            <w:pPr>
              <w:spacing w:after="200"/>
              <w:jc w:val="center"/>
              <w:rPr>
                <w:rFonts w:ascii="Arial" w:hAnsi="Arial" w:cs="Arial"/>
                <w:sz w:val="20"/>
                <w:szCs w:val="20"/>
              </w:rPr>
            </w:pPr>
            <w:r w:rsidRPr="00C219D0">
              <w:rPr>
                <w:rFonts w:ascii="Arial" w:hAnsi="Arial" w:cs="Arial"/>
                <w:sz w:val="20"/>
                <w:szCs w:val="20"/>
              </w:rPr>
              <w:t>Non-Bamboo</w:t>
            </w:r>
          </w:p>
        </w:tc>
        <w:tc>
          <w:tcPr>
            <w:tcW w:w="0" w:type="auto"/>
            <w:hideMark/>
          </w:tcPr>
          <w:p w14:paraId="3FCBC4B1" w14:textId="77777777" w:rsidR="003C44B2" w:rsidRPr="00C219D0" w:rsidRDefault="003C44B2" w:rsidP="00C219D0">
            <w:pPr>
              <w:spacing w:after="20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219D0">
              <w:rPr>
                <w:rFonts w:ascii="Arial" w:hAnsi="Arial" w:cs="Arial"/>
                <w:sz w:val="20"/>
                <w:szCs w:val="20"/>
              </w:rPr>
              <w:t>94.52</w:t>
            </w:r>
          </w:p>
        </w:tc>
        <w:tc>
          <w:tcPr>
            <w:tcW w:w="0" w:type="auto"/>
            <w:hideMark/>
          </w:tcPr>
          <w:p w14:paraId="074588AE" w14:textId="77777777" w:rsidR="003C44B2" w:rsidRPr="00C219D0" w:rsidRDefault="003C44B2" w:rsidP="00C219D0">
            <w:pPr>
              <w:spacing w:after="20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219D0">
              <w:rPr>
                <w:rFonts w:ascii="Arial" w:hAnsi="Arial" w:cs="Arial"/>
                <w:sz w:val="20"/>
                <w:szCs w:val="20"/>
              </w:rPr>
              <w:t>93.24</w:t>
            </w:r>
          </w:p>
        </w:tc>
      </w:tr>
      <w:tr w:rsidR="003C44B2" w:rsidRPr="00C219D0" w14:paraId="40EA8DA6" w14:textId="77777777" w:rsidTr="00353DF5">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0" w:type="auto"/>
            <w:hideMark/>
          </w:tcPr>
          <w:p w14:paraId="3C9B27DE" w14:textId="77777777" w:rsidR="003C44B2" w:rsidRPr="00C219D0" w:rsidRDefault="003C44B2" w:rsidP="00C219D0">
            <w:pPr>
              <w:spacing w:after="200"/>
              <w:jc w:val="center"/>
              <w:rPr>
                <w:rFonts w:ascii="Arial" w:hAnsi="Arial" w:cs="Arial"/>
                <w:sz w:val="20"/>
                <w:szCs w:val="20"/>
              </w:rPr>
            </w:pPr>
            <w:r w:rsidRPr="00C219D0">
              <w:rPr>
                <w:rFonts w:ascii="Arial" w:hAnsi="Arial" w:cs="Arial"/>
                <w:sz w:val="20"/>
                <w:szCs w:val="20"/>
              </w:rPr>
              <w:t>Overall Accuracy</w:t>
            </w:r>
          </w:p>
        </w:tc>
        <w:tc>
          <w:tcPr>
            <w:tcW w:w="0" w:type="auto"/>
            <w:hideMark/>
          </w:tcPr>
          <w:p w14:paraId="27555148" w14:textId="77777777" w:rsidR="003C44B2" w:rsidRPr="00C219D0" w:rsidRDefault="003C44B2" w:rsidP="00C219D0">
            <w:pPr>
              <w:spacing w:after="20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19D0">
              <w:rPr>
                <w:rFonts w:ascii="Arial" w:hAnsi="Arial" w:cs="Arial"/>
                <w:sz w:val="20"/>
                <w:szCs w:val="20"/>
              </w:rPr>
              <w:t>93.57%</w:t>
            </w:r>
          </w:p>
        </w:tc>
        <w:tc>
          <w:tcPr>
            <w:tcW w:w="0" w:type="auto"/>
            <w:hideMark/>
          </w:tcPr>
          <w:p w14:paraId="0F1C04A3" w14:textId="77777777" w:rsidR="003C44B2" w:rsidRPr="00C219D0" w:rsidRDefault="003C44B2" w:rsidP="00C219D0">
            <w:pPr>
              <w:spacing w:after="20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19D0">
              <w:rPr>
                <w:rFonts w:ascii="Arial" w:hAnsi="Arial" w:cs="Arial"/>
                <w:sz w:val="20"/>
                <w:szCs w:val="20"/>
              </w:rPr>
              <w:t>—</w:t>
            </w:r>
          </w:p>
        </w:tc>
      </w:tr>
      <w:tr w:rsidR="003C44B2" w:rsidRPr="00C219D0" w14:paraId="193BE0FC" w14:textId="77777777" w:rsidTr="00353DF5">
        <w:trPr>
          <w:trHeight w:val="447"/>
        </w:trPr>
        <w:tc>
          <w:tcPr>
            <w:cnfStyle w:val="001000000000" w:firstRow="0" w:lastRow="0" w:firstColumn="1" w:lastColumn="0" w:oddVBand="0" w:evenVBand="0" w:oddHBand="0" w:evenHBand="0" w:firstRowFirstColumn="0" w:firstRowLastColumn="0" w:lastRowFirstColumn="0" w:lastRowLastColumn="0"/>
            <w:tcW w:w="0" w:type="auto"/>
            <w:hideMark/>
          </w:tcPr>
          <w:p w14:paraId="0148E822" w14:textId="77777777" w:rsidR="003C44B2" w:rsidRPr="00C219D0" w:rsidRDefault="003C44B2" w:rsidP="00C219D0">
            <w:pPr>
              <w:spacing w:after="200"/>
              <w:jc w:val="center"/>
              <w:rPr>
                <w:rFonts w:ascii="Arial" w:hAnsi="Arial" w:cs="Arial"/>
                <w:sz w:val="20"/>
                <w:szCs w:val="20"/>
              </w:rPr>
            </w:pPr>
            <w:r w:rsidRPr="00C219D0">
              <w:rPr>
                <w:rFonts w:ascii="Arial" w:hAnsi="Arial" w:cs="Arial"/>
                <w:sz w:val="20"/>
                <w:szCs w:val="20"/>
              </w:rPr>
              <w:t>Kappa Coefficient</w:t>
            </w:r>
          </w:p>
        </w:tc>
        <w:tc>
          <w:tcPr>
            <w:tcW w:w="0" w:type="auto"/>
            <w:hideMark/>
          </w:tcPr>
          <w:p w14:paraId="64FE171F" w14:textId="77777777" w:rsidR="003C44B2" w:rsidRPr="00C219D0" w:rsidRDefault="003C44B2" w:rsidP="00C219D0">
            <w:pPr>
              <w:spacing w:after="20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219D0">
              <w:rPr>
                <w:rFonts w:ascii="Arial" w:hAnsi="Arial" w:cs="Arial"/>
                <w:sz w:val="20"/>
                <w:szCs w:val="20"/>
              </w:rPr>
              <w:t>0.87 (Almost Perfect)</w:t>
            </w:r>
          </w:p>
        </w:tc>
        <w:tc>
          <w:tcPr>
            <w:tcW w:w="0" w:type="auto"/>
            <w:hideMark/>
          </w:tcPr>
          <w:p w14:paraId="02C9F801" w14:textId="77777777" w:rsidR="003C44B2" w:rsidRPr="00C219D0" w:rsidRDefault="003C44B2" w:rsidP="00C219D0">
            <w:pPr>
              <w:spacing w:after="20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219D0">
              <w:rPr>
                <w:rFonts w:ascii="Arial" w:hAnsi="Arial" w:cs="Arial"/>
                <w:sz w:val="20"/>
                <w:szCs w:val="20"/>
              </w:rPr>
              <w:t>—</w:t>
            </w:r>
          </w:p>
        </w:tc>
      </w:tr>
    </w:tbl>
    <w:p w14:paraId="2932D3E1" w14:textId="680A05FE" w:rsidR="003C44B2" w:rsidRDefault="00C25ABC" w:rsidP="00C25ABC">
      <w:pPr>
        <w:pStyle w:val="ListParagraph"/>
        <w:tabs>
          <w:tab w:val="left" w:pos="360"/>
        </w:tabs>
        <w:spacing w:after="0" w:line="360" w:lineRule="auto"/>
        <w:ind w:left="0"/>
        <w:jc w:val="center"/>
        <w:rPr>
          <w:rFonts w:ascii="Times New Roman" w:hAnsi="Times New Roman" w:cs="Times New Roman"/>
          <w:bCs/>
        </w:rPr>
      </w:pPr>
      <w:r w:rsidRPr="00C25ABC">
        <w:rPr>
          <w:rFonts w:ascii="Times New Roman" w:hAnsi="Times New Roman" w:cs="Times New Roman"/>
          <w:bCs/>
        </w:rPr>
        <w:t>Note. Data generated by the author from accuracy assessment of the 2023/24 land-use classification.</w:t>
      </w:r>
    </w:p>
    <w:p w14:paraId="0A294F70" w14:textId="77777777" w:rsidR="003C44B2" w:rsidRDefault="003C44B2" w:rsidP="00D96C44">
      <w:pPr>
        <w:spacing w:line="360" w:lineRule="auto"/>
        <w:jc w:val="both"/>
        <w:rPr>
          <w:rFonts w:ascii="Times New Roman" w:hAnsi="Times New Roman" w:cs="Times New Roman"/>
        </w:rPr>
      </w:pPr>
    </w:p>
    <w:p w14:paraId="1914B895" w14:textId="7EF006C7" w:rsidR="00D96C44" w:rsidRPr="003F04C4" w:rsidRDefault="006F5019" w:rsidP="00D96C44">
      <w:pPr>
        <w:spacing w:line="360" w:lineRule="auto"/>
        <w:jc w:val="both"/>
        <w:rPr>
          <w:rFonts w:ascii="Arial" w:hAnsi="Arial" w:cs="Arial"/>
          <w:b/>
          <w:bCs/>
          <w:sz w:val="22"/>
          <w:szCs w:val="22"/>
        </w:rPr>
      </w:pPr>
      <w:r w:rsidRPr="003F04C4">
        <w:rPr>
          <w:rFonts w:ascii="Arial" w:hAnsi="Arial" w:cs="Arial"/>
          <w:b/>
          <w:bCs/>
          <w:sz w:val="22"/>
          <w:szCs w:val="22"/>
        </w:rPr>
        <w:t>2.</w:t>
      </w:r>
      <w:r>
        <w:rPr>
          <w:rFonts w:ascii="Arial" w:hAnsi="Arial" w:cs="Arial"/>
          <w:b/>
          <w:bCs/>
          <w:sz w:val="22"/>
          <w:szCs w:val="22"/>
        </w:rPr>
        <w:t>7</w:t>
      </w:r>
      <w:r w:rsidRPr="003F04C4">
        <w:rPr>
          <w:rFonts w:ascii="Arial" w:hAnsi="Arial" w:cs="Arial"/>
          <w:b/>
          <w:bCs/>
          <w:sz w:val="22"/>
          <w:szCs w:val="22"/>
        </w:rPr>
        <w:t xml:space="preserve"> Land Use Transition Analysis</w:t>
      </w:r>
    </w:p>
    <w:p w14:paraId="56154E03" w14:textId="0A5EA448" w:rsidR="00E83BA8" w:rsidRPr="00E83BA8" w:rsidRDefault="00D96C44" w:rsidP="00D2103B">
      <w:pPr>
        <w:spacing w:line="360" w:lineRule="auto"/>
        <w:jc w:val="both"/>
        <w:rPr>
          <w:rFonts w:ascii="Arial" w:hAnsi="Arial" w:cs="Arial"/>
          <w:sz w:val="20"/>
          <w:szCs w:val="20"/>
        </w:rPr>
      </w:pPr>
      <w:r w:rsidRPr="003F04C4">
        <w:rPr>
          <w:rFonts w:ascii="Arial" w:hAnsi="Arial" w:cs="Arial"/>
          <w:sz w:val="20"/>
          <w:szCs w:val="20"/>
        </w:rPr>
        <w:t>To assess changes over time, post-classification comparison was used to generate transition matrices for 1993–2014 and 2014–2023/24. These matrices quantified conversions between land cover categories, such as forest to bamboo, jhum to bamboo, and forest to built-up. Spatial overlays and change maps were prepared to visualize the magnitude and direction of transitions. The analysis was supported by household narratives that contextualized the socio-economic drivers of land use change, particularly the influence of industrial demand, subsidies, and the post-mill diversification process.</w:t>
      </w:r>
    </w:p>
    <w:p w14:paraId="2E1F1230" w14:textId="4DBF5B1D" w:rsidR="00D2103B" w:rsidRPr="00813344" w:rsidRDefault="00813344" w:rsidP="00D2103B">
      <w:pPr>
        <w:spacing w:line="360" w:lineRule="auto"/>
        <w:jc w:val="both"/>
        <w:rPr>
          <w:rFonts w:ascii="Arial" w:hAnsi="Arial" w:cs="Arial"/>
          <w:b/>
          <w:bCs/>
          <w:sz w:val="22"/>
          <w:szCs w:val="22"/>
        </w:rPr>
      </w:pPr>
      <w:r w:rsidRPr="00813344">
        <w:rPr>
          <w:rFonts w:ascii="Arial" w:hAnsi="Arial" w:cs="Arial"/>
          <w:b/>
          <w:bCs/>
          <w:sz w:val="22"/>
          <w:szCs w:val="22"/>
        </w:rPr>
        <w:t>3. RESULTS</w:t>
      </w:r>
    </w:p>
    <w:p w14:paraId="7909743B" w14:textId="5E17F77C" w:rsidR="00D2103B" w:rsidRPr="00813344" w:rsidRDefault="00B542B3" w:rsidP="00D2103B">
      <w:pPr>
        <w:spacing w:line="360" w:lineRule="auto"/>
        <w:jc w:val="both"/>
        <w:rPr>
          <w:rFonts w:ascii="Arial" w:hAnsi="Arial" w:cs="Arial"/>
          <w:b/>
          <w:bCs/>
          <w:sz w:val="22"/>
          <w:szCs w:val="22"/>
        </w:rPr>
      </w:pPr>
      <w:r w:rsidRPr="00813344">
        <w:rPr>
          <w:rFonts w:ascii="Arial" w:hAnsi="Arial" w:cs="Arial"/>
          <w:b/>
          <w:bCs/>
          <w:sz w:val="22"/>
          <w:szCs w:val="22"/>
        </w:rPr>
        <w:t>3.1 Phase I: Natural Abundance (1993)</w:t>
      </w:r>
    </w:p>
    <w:p w14:paraId="7ABCEF7F" w14:textId="0F7CE05A" w:rsidR="00D2103B" w:rsidRPr="00813344" w:rsidRDefault="00D2103B" w:rsidP="00D2103B">
      <w:pPr>
        <w:spacing w:line="360" w:lineRule="auto"/>
        <w:jc w:val="both"/>
        <w:rPr>
          <w:rFonts w:ascii="Arial" w:hAnsi="Arial" w:cs="Arial"/>
          <w:sz w:val="20"/>
          <w:szCs w:val="20"/>
        </w:rPr>
      </w:pPr>
      <w:r w:rsidRPr="00813344">
        <w:rPr>
          <w:rFonts w:ascii="Arial" w:hAnsi="Arial" w:cs="Arial"/>
          <w:sz w:val="20"/>
          <w:szCs w:val="20"/>
        </w:rPr>
        <w:t xml:space="preserve">In 1993, Karbi Anglong’s landscape was dominated by forests (49%) and shifting cultivation or </w:t>
      </w:r>
      <w:r w:rsidRPr="00813344">
        <w:rPr>
          <w:rFonts w:ascii="Arial" w:hAnsi="Arial" w:cs="Arial"/>
          <w:i/>
          <w:iCs/>
          <w:sz w:val="20"/>
          <w:szCs w:val="20"/>
        </w:rPr>
        <w:t>jhum</w:t>
      </w:r>
      <w:r w:rsidRPr="00813344">
        <w:rPr>
          <w:rFonts w:ascii="Arial" w:hAnsi="Arial" w:cs="Arial"/>
          <w:sz w:val="20"/>
          <w:szCs w:val="20"/>
        </w:rPr>
        <w:t xml:space="preserve"> fields (26</w:t>
      </w:r>
      <w:r w:rsidR="003D7DDF">
        <w:rPr>
          <w:rFonts w:ascii="Arial" w:hAnsi="Arial" w:cs="Arial"/>
          <w:sz w:val="20"/>
          <w:szCs w:val="20"/>
        </w:rPr>
        <w:t>.96</w:t>
      </w:r>
      <w:r w:rsidRPr="00813344">
        <w:rPr>
          <w:rFonts w:ascii="Arial" w:hAnsi="Arial" w:cs="Arial"/>
          <w:sz w:val="20"/>
          <w:szCs w:val="20"/>
        </w:rPr>
        <w:t>%), with smaller areas under built-up land (12%), agriculture (</w:t>
      </w:r>
      <w:r w:rsidR="003D7DDF">
        <w:rPr>
          <w:rFonts w:ascii="Arial" w:hAnsi="Arial" w:cs="Arial"/>
          <w:sz w:val="20"/>
          <w:szCs w:val="20"/>
        </w:rPr>
        <w:t>5.58</w:t>
      </w:r>
      <w:r w:rsidRPr="00813344">
        <w:rPr>
          <w:rFonts w:ascii="Arial" w:hAnsi="Arial" w:cs="Arial"/>
          <w:sz w:val="20"/>
          <w:szCs w:val="20"/>
        </w:rPr>
        <w:t xml:space="preserve">%), and water bodies (5%) (Table </w:t>
      </w:r>
      <w:r w:rsidR="00813344">
        <w:rPr>
          <w:rFonts w:ascii="Arial" w:hAnsi="Arial" w:cs="Arial"/>
          <w:sz w:val="20"/>
          <w:szCs w:val="20"/>
        </w:rPr>
        <w:t>3</w:t>
      </w:r>
      <w:r w:rsidRPr="00813344">
        <w:rPr>
          <w:rFonts w:ascii="Arial" w:hAnsi="Arial" w:cs="Arial"/>
          <w:sz w:val="20"/>
          <w:szCs w:val="20"/>
        </w:rPr>
        <w:t xml:space="preserve">; Figure </w:t>
      </w:r>
      <w:r w:rsidR="00F844ED" w:rsidRPr="00813344">
        <w:rPr>
          <w:rFonts w:ascii="Arial" w:hAnsi="Arial" w:cs="Arial"/>
          <w:sz w:val="20"/>
          <w:szCs w:val="20"/>
        </w:rPr>
        <w:t>2</w:t>
      </w:r>
      <w:r w:rsidRPr="00813344">
        <w:rPr>
          <w:rFonts w:ascii="Arial" w:hAnsi="Arial" w:cs="Arial"/>
          <w:sz w:val="20"/>
          <w:szCs w:val="20"/>
        </w:rPr>
        <w:t>). Bamboo was not separated as an independent land cover category in this period due to spectral limitations but was widely embedded within forest areas and around settlements, as confirmed by field accounts. Bamboo during this phase played a dual rol</w:t>
      </w:r>
      <w:r w:rsidR="007F65CB" w:rsidRPr="00813344">
        <w:rPr>
          <w:rFonts w:ascii="Arial" w:hAnsi="Arial" w:cs="Arial"/>
          <w:sz w:val="20"/>
          <w:szCs w:val="20"/>
        </w:rPr>
        <w:t xml:space="preserve">e such as </w:t>
      </w:r>
      <w:r w:rsidRPr="00813344">
        <w:rPr>
          <w:rFonts w:ascii="Arial" w:hAnsi="Arial" w:cs="Arial"/>
          <w:sz w:val="20"/>
          <w:szCs w:val="20"/>
        </w:rPr>
        <w:t>sustaining household needs (construction, storage, handicrafts, rituals) and increasingly serving industrial demand following the establishment of the Jagiroad Paper Mill in 1985.</w:t>
      </w:r>
    </w:p>
    <w:p w14:paraId="524F62F1" w14:textId="219B3EBC" w:rsidR="005F53D9" w:rsidRPr="005F53D9" w:rsidRDefault="0027628B" w:rsidP="00C653B6">
      <w:pPr>
        <w:spacing w:after="0" w:line="240" w:lineRule="auto"/>
        <w:ind w:firstLine="720"/>
        <w:jc w:val="center"/>
        <w:rPr>
          <w:rFonts w:ascii="Times New Roman" w:hAnsi="Times New Roman" w:cs="Times New Roman"/>
        </w:rPr>
      </w:pPr>
      <w:r w:rsidRPr="0027628B">
        <w:rPr>
          <w:rFonts w:ascii="Times New Roman" w:hAnsi="Times New Roman" w:cs="Times New Roman"/>
          <w:noProof/>
        </w:rPr>
        <w:lastRenderedPageBreak/>
        <w:drawing>
          <wp:inline distT="0" distB="0" distL="0" distR="0" wp14:anchorId="24AE529C" wp14:editId="565CAFEE">
            <wp:extent cx="5731510" cy="4429125"/>
            <wp:effectExtent l="0" t="0" r="2540" b="9525"/>
            <wp:docPr id="169758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429125"/>
                    </a:xfrm>
                    <a:prstGeom prst="rect">
                      <a:avLst/>
                    </a:prstGeom>
                    <a:noFill/>
                    <a:ln>
                      <a:noFill/>
                    </a:ln>
                  </pic:spPr>
                </pic:pic>
              </a:graphicData>
            </a:graphic>
          </wp:inline>
        </w:drawing>
      </w:r>
    </w:p>
    <w:p w14:paraId="3A42B69F" w14:textId="6377CC7A" w:rsidR="00F844ED" w:rsidRPr="009F3CA1" w:rsidRDefault="00F844ED" w:rsidP="00F844ED">
      <w:pPr>
        <w:spacing w:after="0" w:line="240" w:lineRule="auto"/>
        <w:ind w:firstLine="720"/>
        <w:jc w:val="center"/>
        <w:rPr>
          <w:rFonts w:ascii="Times New Roman" w:hAnsi="Times New Roman" w:cs="Times New Roman"/>
        </w:rPr>
      </w:pPr>
    </w:p>
    <w:p w14:paraId="3CDDC1ED" w14:textId="77777777" w:rsidR="00F552AE" w:rsidRPr="00602AF0" w:rsidRDefault="00F552AE" w:rsidP="00F552AE">
      <w:pPr>
        <w:spacing w:after="0" w:line="240" w:lineRule="auto"/>
        <w:ind w:firstLine="720"/>
        <w:jc w:val="center"/>
        <w:rPr>
          <w:rFonts w:ascii="Arial" w:hAnsi="Arial" w:cs="Arial"/>
          <w:sz w:val="20"/>
          <w:szCs w:val="20"/>
        </w:rPr>
      </w:pPr>
      <w:r w:rsidRPr="00602AF0">
        <w:rPr>
          <w:rFonts w:ascii="Arial" w:hAnsi="Arial" w:cs="Arial"/>
          <w:sz w:val="20"/>
          <w:szCs w:val="20"/>
        </w:rPr>
        <w:t>Source: Landsat 5 TM (1993); classification using Random Forest algorithm.</w:t>
      </w:r>
    </w:p>
    <w:p w14:paraId="0F84537D" w14:textId="77777777" w:rsidR="00F552AE" w:rsidRDefault="00F552AE" w:rsidP="00AC4736">
      <w:pPr>
        <w:spacing w:after="0" w:line="240" w:lineRule="auto"/>
        <w:ind w:firstLine="720"/>
        <w:jc w:val="center"/>
        <w:rPr>
          <w:rFonts w:ascii="Times New Roman" w:hAnsi="Times New Roman" w:cs="Times New Roman"/>
        </w:rPr>
      </w:pPr>
    </w:p>
    <w:p w14:paraId="470C46A6" w14:textId="18585367" w:rsidR="007F372B" w:rsidRPr="00602AF0" w:rsidRDefault="007F372B" w:rsidP="00AC4736">
      <w:pPr>
        <w:spacing w:after="0" w:line="240" w:lineRule="auto"/>
        <w:ind w:firstLine="720"/>
        <w:jc w:val="center"/>
        <w:rPr>
          <w:rFonts w:ascii="Arial" w:hAnsi="Arial" w:cs="Arial"/>
          <w:sz w:val="20"/>
          <w:szCs w:val="20"/>
        </w:rPr>
      </w:pPr>
      <w:r w:rsidRPr="00602AF0">
        <w:rPr>
          <w:rFonts w:ascii="Arial" w:hAnsi="Arial" w:cs="Arial"/>
          <w:sz w:val="20"/>
          <w:szCs w:val="20"/>
        </w:rPr>
        <w:t xml:space="preserve">Figure 2. Land use and land cover of Karbi Anglong district, Assam, in 1993, showing major categories of forest, agriculture, jhum fields, built-up areas, and water bodies. </w:t>
      </w:r>
    </w:p>
    <w:p w14:paraId="67EE2049" w14:textId="77777777" w:rsidR="007F372B" w:rsidRDefault="007F372B" w:rsidP="00E5366D">
      <w:pPr>
        <w:spacing w:after="0" w:line="240" w:lineRule="auto"/>
        <w:rPr>
          <w:rFonts w:ascii="Times New Roman" w:hAnsi="Times New Roman" w:cs="Times New Roman"/>
          <w:i/>
          <w:iCs/>
        </w:rPr>
      </w:pPr>
    </w:p>
    <w:p w14:paraId="28F26478" w14:textId="033AC272" w:rsidR="00F844ED" w:rsidRDefault="00F844ED" w:rsidP="00F844ED">
      <w:pPr>
        <w:spacing w:after="0" w:line="360" w:lineRule="auto"/>
        <w:ind w:firstLine="720"/>
        <w:jc w:val="center"/>
        <w:rPr>
          <w:rFonts w:ascii="Times New Roman" w:hAnsi="Times New Roman" w:cs="Times New Roman"/>
          <w:i/>
          <w:iCs/>
        </w:rPr>
      </w:pPr>
      <w:r w:rsidRPr="009D789A">
        <w:rPr>
          <w:rFonts w:ascii="Times New Roman" w:hAnsi="Times New Roman" w:cs="Times New Roman"/>
          <w:i/>
          <w:iCs/>
        </w:rPr>
        <w:t>Table</w:t>
      </w:r>
      <w:r w:rsidR="00C1267D" w:rsidRPr="009D789A">
        <w:rPr>
          <w:rFonts w:ascii="Times New Roman" w:hAnsi="Times New Roman" w:cs="Times New Roman"/>
          <w:i/>
          <w:iCs/>
        </w:rPr>
        <w:t xml:space="preserve"> </w:t>
      </w:r>
      <w:r w:rsidR="00462E9B" w:rsidRPr="009D789A">
        <w:rPr>
          <w:rFonts w:ascii="Times New Roman" w:hAnsi="Times New Roman" w:cs="Times New Roman"/>
          <w:i/>
          <w:iCs/>
        </w:rPr>
        <w:t>3</w:t>
      </w:r>
      <w:r w:rsidR="00C1267D" w:rsidRPr="009D789A">
        <w:rPr>
          <w:rFonts w:ascii="Times New Roman" w:hAnsi="Times New Roman" w:cs="Times New Roman"/>
          <w:i/>
          <w:iCs/>
        </w:rPr>
        <w:t>.</w:t>
      </w:r>
      <w:r w:rsidRPr="009D789A">
        <w:rPr>
          <w:rFonts w:ascii="Times New Roman" w:hAnsi="Times New Roman" w:cs="Times New Roman"/>
          <w:i/>
          <w:iCs/>
        </w:rPr>
        <w:t xml:space="preserve"> Land use Land cover</w:t>
      </w:r>
      <w:r w:rsidR="00F02977" w:rsidRPr="009D789A">
        <w:rPr>
          <w:rFonts w:ascii="Times New Roman" w:hAnsi="Times New Roman" w:cs="Times New Roman"/>
          <w:i/>
          <w:iCs/>
        </w:rPr>
        <w:t xml:space="preserve"> distribution in Karbi Anglong</w:t>
      </w:r>
      <w:r w:rsidRPr="009D789A">
        <w:rPr>
          <w:rFonts w:ascii="Times New Roman" w:hAnsi="Times New Roman" w:cs="Times New Roman"/>
          <w:i/>
          <w:iCs/>
        </w:rPr>
        <w:t>, 1993</w:t>
      </w:r>
    </w:p>
    <w:tbl>
      <w:tblPr>
        <w:tblStyle w:val="PlainTable1"/>
        <w:tblW w:w="7784" w:type="dxa"/>
        <w:jc w:val="center"/>
        <w:tblLook w:val="04A0" w:firstRow="1" w:lastRow="0" w:firstColumn="1" w:lastColumn="0" w:noHBand="0" w:noVBand="1"/>
      </w:tblPr>
      <w:tblGrid>
        <w:gridCol w:w="2789"/>
        <w:gridCol w:w="2668"/>
        <w:gridCol w:w="2327"/>
      </w:tblGrid>
      <w:tr w:rsidR="00731273" w:rsidRPr="00731273" w14:paraId="11FB8885" w14:textId="77777777" w:rsidTr="00353DF5">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789" w:type="dxa"/>
            <w:hideMark/>
          </w:tcPr>
          <w:p w14:paraId="7F3BCD25" w14:textId="128DB3DE" w:rsidR="00731273" w:rsidRPr="00731273" w:rsidRDefault="00731273" w:rsidP="00731273">
            <w:pPr>
              <w:jc w:val="center"/>
              <w:rPr>
                <w:rFonts w:ascii="Arial" w:eastAsia="Times New Roman" w:hAnsi="Arial" w:cs="Arial"/>
                <w:color w:val="000000"/>
                <w:kern w:val="0"/>
                <w:sz w:val="20"/>
                <w:szCs w:val="20"/>
                <w:lang w:eastAsia="en-IN"/>
                <w14:ligatures w14:val="none"/>
              </w:rPr>
            </w:pPr>
            <w:r w:rsidRPr="00731273">
              <w:rPr>
                <w:rFonts w:ascii="Arial" w:eastAsia="Times New Roman" w:hAnsi="Arial" w:cs="Arial"/>
                <w:color w:val="000000"/>
                <w:kern w:val="0"/>
                <w:sz w:val="20"/>
                <w:szCs w:val="20"/>
                <w:lang w:eastAsia="en-IN"/>
                <w14:ligatures w14:val="none"/>
              </w:rPr>
              <w:t>C</w:t>
            </w:r>
            <w:r w:rsidR="00876EB5">
              <w:rPr>
                <w:rFonts w:ascii="Arial" w:eastAsia="Times New Roman" w:hAnsi="Arial" w:cs="Arial"/>
                <w:color w:val="000000"/>
                <w:kern w:val="0"/>
                <w:sz w:val="20"/>
                <w:szCs w:val="20"/>
                <w:lang w:eastAsia="en-IN"/>
                <w14:ligatures w14:val="none"/>
              </w:rPr>
              <w:t>ategory</w:t>
            </w:r>
          </w:p>
        </w:tc>
        <w:tc>
          <w:tcPr>
            <w:tcW w:w="2668" w:type="dxa"/>
            <w:hideMark/>
          </w:tcPr>
          <w:p w14:paraId="343A094A" w14:textId="77777777" w:rsidR="00731273" w:rsidRPr="00731273" w:rsidRDefault="00731273" w:rsidP="0073127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731273">
              <w:rPr>
                <w:rFonts w:ascii="Arial" w:eastAsia="Times New Roman" w:hAnsi="Arial" w:cs="Arial"/>
                <w:color w:val="000000"/>
                <w:kern w:val="0"/>
                <w:sz w:val="20"/>
                <w:szCs w:val="20"/>
                <w:lang w:eastAsia="en-IN"/>
                <w14:ligatures w14:val="none"/>
              </w:rPr>
              <w:t>Area in Ha</w:t>
            </w:r>
          </w:p>
        </w:tc>
        <w:tc>
          <w:tcPr>
            <w:tcW w:w="2327" w:type="dxa"/>
            <w:hideMark/>
          </w:tcPr>
          <w:p w14:paraId="318337AC" w14:textId="77777777" w:rsidR="00731273" w:rsidRPr="00731273" w:rsidRDefault="00731273" w:rsidP="0073127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731273">
              <w:rPr>
                <w:rFonts w:ascii="Arial" w:eastAsia="Times New Roman" w:hAnsi="Arial" w:cs="Arial"/>
                <w:color w:val="000000"/>
                <w:kern w:val="0"/>
                <w:sz w:val="20"/>
                <w:szCs w:val="20"/>
                <w:lang w:eastAsia="en-IN"/>
                <w14:ligatures w14:val="none"/>
              </w:rPr>
              <w:t>Percentage (%)</w:t>
            </w:r>
          </w:p>
        </w:tc>
      </w:tr>
      <w:tr w:rsidR="00731273" w:rsidRPr="00731273" w14:paraId="666F1895" w14:textId="77777777" w:rsidTr="00353DF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789" w:type="dxa"/>
            <w:noWrap/>
            <w:hideMark/>
          </w:tcPr>
          <w:p w14:paraId="79B11148" w14:textId="77777777" w:rsidR="00731273" w:rsidRPr="00353DF5" w:rsidRDefault="00731273" w:rsidP="00731273">
            <w:pPr>
              <w:rPr>
                <w:rFonts w:ascii="Arial" w:eastAsia="Times New Roman" w:hAnsi="Arial" w:cs="Arial"/>
                <w:color w:val="000000"/>
                <w:kern w:val="0"/>
                <w:sz w:val="20"/>
                <w:szCs w:val="20"/>
                <w:lang w:eastAsia="en-IN"/>
                <w14:ligatures w14:val="none"/>
              </w:rPr>
            </w:pPr>
            <w:r w:rsidRPr="00353DF5">
              <w:rPr>
                <w:rFonts w:ascii="Arial" w:eastAsia="Times New Roman" w:hAnsi="Arial" w:cs="Arial"/>
                <w:color w:val="000000"/>
                <w:kern w:val="0"/>
                <w:sz w:val="20"/>
                <w:szCs w:val="20"/>
                <w:lang w:eastAsia="en-IN"/>
                <w14:ligatures w14:val="none"/>
              </w:rPr>
              <w:t>Water Bodies</w:t>
            </w:r>
          </w:p>
        </w:tc>
        <w:tc>
          <w:tcPr>
            <w:tcW w:w="2668" w:type="dxa"/>
            <w:hideMark/>
          </w:tcPr>
          <w:p w14:paraId="18F0F57D" w14:textId="2397EF8F" w:rsidR="00731273" w:rsidRPr="00731273" w:rsidRDefault="00731273" w:rsidP="00731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731273">
              <w:rPr>
                <w:rFonts w:ascii="Arial" w:eastAsia="Times New Roman" w:hAnsi="Arial" w:cs="Arial"/>
                <w:color w:val="000000"/>
                <w:kern w:val="0"/>
                <w:sz w:val="20"/>
                <w:szCs w:val="20"/>
                <w:lang w:eastAsia="en-IN"/>
                <w14:ligatures w14:val="none"/>
              </w:rPr>
              <w:t>49319</w:t>
            </w:r>
          </w:p>
        </w:tc>
        <w:tc>
          <w:tcPr>
            <w:tcW w:w="2327" w:type="dxa"/>
            <w:hideMark/>
          </w:tcPr>
          <w:p w14:paraId="6F067979" w14:textId="1C725EE0" w:rsidR="00731273" w:rsidRPr="00731273" w:rsidRDefault="0064254B" w:rsidP="00731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Pr>
                <w:rFonts w:ascii="Arial" w:eastAsia="Times New Roman" w:hAnsi="Arial" w:cs="Arial"/>
                <w:color w:val="000000"/>
                <w:kern w:val="0"/>
                <w:sz w:val="20"/>
                <w:szCs w:val="20"/>
                <w:lang w:eastAsia="en-IN"/>
                <w14:ligatures w14:val="none"/>
              </w:rPr>
              <w:t>4.73</w:t>
            </w:r>
          </w:p>
        </w:tc>
      </w:tr>
      <w:tr w:rsidR="00731273" w:rsidRPr="00731273" w14:paraId="49805296" w14:textId="77777777" w:rsidTr="00353DF5">
        <w:trPr>
          <w:trHeight w:val="291"/>
          <w:jc w:val="center"/>
        </w:trPr>
        <w:tc>
          <w:tcPr>
            <w:cnfStyle w:val="001000000000" w:firstRow="0" w:lastRow="0" w:firstColumn="1" w:lastColumn="0" w:oddVBand="0" w:evenVBand="0" w:oddHBand="0" w:evenHBand="0" w:firstRowFirstColumn="0" w:firstRowLastColumn="0" w:lastRowFirstColumn="0" w:lastRowLastColumn="0"/>
            <w:tcW w:w="2789" w:type="dxa"/>
            <w:noWrap/>
            <w:hideMark/>
          </w:tcPr>
          <w:p w14:paraId="4F0EEF42" w14:textId="77777777" w:rsidR="00731273" w:rsidRPr="00353DF5" w:rsidRDefault="00731273" w:rsidP="00731273">
            <w:pPr>
              <w:rPr>
                <w:rFonts w:ascii="Arial" w:eastAsia="Times New Roman" w:hAnsi="Arial" w:cs="Arial"/>
                <w:color w:val="000000"/>
                <w:kern w:val="0"/>
                <w:sz w:val="20"/>
                <w:szCs w:val="20"/>
                <w:lang w:eastAsia="en-IN"/>
                <w14:ligatures w14:val="none"/>
              </w:rPr>
            </w:pPr>
            <w:r w:rsidRPr="00353DF5">
              <w:rPr>
                <w:rFonts w:ascii="Arial" w:eastAsia="Times New Roman" w:hAnsi="Arial" w:cs="Arial"/>
                <w:color w:val="000000"/>
                <w:kern w:val="0"/>
                <w:sz w:val="20"/>
                <w:szCs w:val="20"/>
                <w:lang w:eastAsia="en-IN"/>
                <w14:ligatures w14:val="none"/>
              </w:rPr>
              <w:t>Forest</w:t>
            </w:r>
          </w:p>
        </w:tc>
        <w:tc>
          <w:tcPr>
            <w:tcW w:w="2668" w:type="dxa"/>
            <w:hideMark/>
          </w:tcPr>
          <w:p w14:paraId="0AFD9CBC" w14:textId="77FB5630" w:rsidR="00731273" w:rsidRPr="00731273" w:rsidRDefault="00731273" w:rsidP="00731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731273">
              <w:rPr>
                <w:rFonts w:ascii="Arial" w:eastAsia="Times New Roman" w:hAnsi="Arial" w:cs="Arial"/>
                <w:color w:val="000000"/>
                <w:kern w:val="0"/>
                <w:sz w:val="20"/>
                <w:szCs w:val="20"/>
                <w:lang w:eastAsia="en-IN"/>
                <w14:ligatures w14:val="none"/>
              </w:rPr>
              <w:t>510988</w:t>
            </w:r>
          </w:p>
        </w:tc>
        <w:tc>
          <w:tcPr>
            <w:tcW w:w="2327" w:type="dxa"/>
            <w:hideMark/>
          </w:tcPr>
          <w:p w14:paraId="3E727F09" w14:textId="19D738B3" w:rsidR="00731273" w:rsidRPr="00731273" w:rsidRDefault="00731273" w:rsidP="00731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731273">
              <w:rPr>
                <w:rFonts w:ascii="Arial" w:eastAsia="Times New Roman" w:hAnsi="Arial" w:cs="Arial"/>
                <w:color w:val="000000"/>
                <w:kern w:val="0"/>
                <w:sz w:val="20"/>
                <w:szCs w:val="20"/>
                <w:lang w:eastAsia="en-IN"/>
                <w14:ligatures w14:val="none"/>
              </w:rPr>
              <w:t>4</w:t>
            </w:r>
            <w:r w:rsidR="0064254B">
              <w:rPr>
                <w:rFonts w:ascii="Arial" w:eastAsia="Times New Roman" w:hAnsi="Arial" w:cs="Arial"/>
                <w:color w:val="000000"/>
                <w:kern w:val="0"/>
                <w:sz w:val="20"/>
                <w:szCs w:val="20"/>
                <w:lang w:eastAsia="en-IN"/>
                <w14:ligatures w14:val="none"/>
              </w:rPr>
              <w:t>8.97</w:t>
            </w:r>
          </w:p>
        </w:tc>
      </w:tr>
      <w:tr w:rsidR="00731273" w:rsidRPr="00731273" w14:paraId="7EB85536" w14:textId="77777777" w:rsidTr="00353DF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789" w:type="dxa"/>
            <w:noWrap/>
            <w:hideMark/>
          </w:tcPr>
          <w:p w14:paraId="5AED27EC" w14:textId="77777777" w:rsidR="00731273" w:rsidRPr="00353DF5" w:rsidRDefault="00731273" w:rsidP="00731273">
            <w:pPr>
              <w:rPr>
                <w:rFonts w:ascii="Arial" w:eastAsia="Times New Roman" w:hAnsi="Arial" w:cs="Arial"/>
                <w:color w:val="000000"/>
                <w:kern w:val="0"/>
                <w:sz w:val="20"/>
                <w:szCs w:val="20"/>
                <w:lang w:eastAsia="en-IN"/>
                <w14:ligatures w14:val="none"/>
              </w:rPr>
            </w:pPr>
            <w:r w:rsidRPr="00353DF5">
              <w:rPr>
                <w:rFonts w:ascii="Arial" w:eastAsia="Times New Roman" w:hAnsi="Arial" w:cs="Arial"/>
                <w:color w:val="000000"/>
                <w:kern w:val="0"/>
                <w:sz w:val="20"/>
                <w:szCs w:val="20"/>
                <w:lang w:eastAsia="en-IN"/>
                <w14:ligatures w14:val="none"/>
              </w:rPr>
              <w:t>Jhum Field</w:t>
            </w:r>
          </w:p>
        </w:tc>
        <w:tc>
          <w:tcPr>
            <w:tcW w:w="2668" w:type="dxa"/>
            <w:hideMark/>
          </w:tcPr>
          <w:p w14:paraId="572163FF" w14:textId="77777777" w:rsidR="00731273" w:rsidRPr="00731273" w:rsidRDefault="00731273" w:rsidP="00731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731273">
              <w:rPr>
                <w:rFonts w:ascii="Arial" w:eastAsia="Times New Roman" w:hAnsi="Arial" w:cs="Arial"/>
                <w:color w:val="000000"/>
                <w:kern w:val="0"/>
                <w:sz w:val="20"/>
                <w:szCs w:val="20"/>
                <w:lang w:eastAsia="en-IN"/>
                <w14:ligatures w14:val="none"/>
              </w:rPr>
              <w:t>270977</w:t>
            </w:r>
          </w:p>
        </w:tc>
        <w:tc>
          <w:tcPr>
            <w:tcW w:w="2327" w:type="dxa"/>
            <w:hideMark/>
          </w:tcPr>
          <w:p w14:paraId="3706109E" w14:textId="72852657" w:rsidR="00731273" w:rsidRPr="00731273" w:rsidRDefault="00731273" w:rsidP="00731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731273">
              <w:rPr>
                <w:rFonts w:ascii="Arial" w:eastAsia="Times New Roman" w:hAnsi="Arial" w:cs="Arial"/>
                <w:color w:val="000000"/>
                <w:kern w:val="0"/>
                <w:sz w:val="20"/>
                <w:szCs w:val="20"/>
                <w:lang w:eastAsia="en-IN"/>
                <w14:ligatures w14:val="none"/>
              </w:rPr>
              <w:t>25.96</w:t>
            </w:r>
          </w:p>
        </w:tc>
      </w:tr>
      <w:tr w:rsidR="00731273" w:rsidRPr="00731273" w14:paraId="395CD0EE" w14:textId="77777777" w:rsidTr="00353DF5">
        <w:trPr>
          <w:trHeight w:val="291"/>
          <w:jc w:val="center"/>
        </w:trPr>
        <w:tc>
          <w:tcPr>
            <w:cnfStyle w:val="001000000000" w:firstRow="0" w:lastRow="0" w:firstColumn="1" w:lastColumn="0" w:oddVBand="0" w:evenVBand="0" w:oddHBand="0" w:evenHBand="0" w:firstRowFirstColumn="0" w:firstRowLastColumn="0" w:lastRowFirstColumn="0" w:lastRowLastColumn="0"/>
            <w:tcW w:w="2789" w:type="dxa"/>
            <w:noWrap/>
            <w:hideMark/>
          </w:tcPr>
          <w:p w14:paraId="00A9F454" w14:textId="77777777" w:rsidR="00731273" w:rsidRPr="00353DF5" w:rsidRDefault="00731273" w:rsidP="00731273">
            <w:pPr>
              <w:rPr>
                <w:rFonts w:ascii="Arial" w:eastAsia="Times New Roman" w:hAnsi="Arial" w:cs="Arial"/>
                <w:color w:val="000000"/>
                <w:kern w:val="0"/>
                <w:sz w:val="20"/>
                <w:szCs w:val="20"/>
                <w:lang w:eastAsia="en-IN"/>
                <w14:ligatures w14:val="none"/>
              </w:rPr>
            </w:pPr>
            <w:r w:rsidRPr="00353DF5">
              <w:rPr>
                <w:rFonts w:ascii="Arial" w:eastAsia="Times New Roman" w:hAnsi="Arial" w:cs="Arial"/>
                <w:color w:val="000000"/>
                <w:kern w:val="0"/>
                <w:sz w:val="20"/>
                <w:szCs w:val="20"/>
                <w:lang w:eastAsia="en-IN"/>
                <w14:ligatures w14:val="none"/>
              </w:rPr>
              <w:t>Built-up</w:t>
            </w:r>
          </w:p>
        </w:tc>
        <w:tc>
          <w:tcPr>
            <w:tcW w:w="2668" w:type="dxa"/>
            <w:hideMark/>
          </w:tcPr>
          <w:p w14:paraId="130EE9CC" w14:textId="5A963AC7" w:rsidR="00731273" w:rsidRPr="00731273" w:rsidRDefault="00731273" w:rsidP="00731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731273">
              <w:rPr>
                <w:rFonts w:ascii="Arial" w:eastAsia="Times New Roman" w:hAnsi="Arial" w:cs="Arial"/>
                <w:color w:val="000000"/>
                <w:kern w:val="0"/>
                <w:sz w:val="20"/>
                <w:szCs w:val="20"/>
                <w:lang w:eastAsia="en-IN"/>
                <w14:ligatures w14:val="none"/>
              </w:rPr>
              <w:t>122558</w:t>
            </w:r>
          </w:p>
        </w:tc>
        <w:tc>
          <w:tcPr>
            <w:tcW w:w="2327" w:type="dxa"/>
            <w:hideMark/>
          </w:tcPr>
          <w:p w14:paraId="3E2C0230" w14:textId="72D9228E" w:rsidR="00731273" w:rsidRPr="00731273" w:rsidRDefault="00731273" w:rsidP="00731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731273">
              <w:rPr>
                <w:rFonts w:ascii="Arial" w:eastAsia="Times New Roman" w:hAnsi="Arial" w:cs="Arial"/>
                <w:color w:val="000000"/>
                <w:kern w:val="0"/>
                <w:sz w:val="20"/>
                <w:szCs w:val="20"/>
                <w:lang w:eastAsia="en-IN"/>
                <w14:ligatures w14:val="none"/>
              </w:rPr>
              <w:t>1</w:t>
            </w:r>
            <w:r w:rsidR="0064254B">
              <w:rPr>
                <w:rFonts w:ascii="Arial" w:eastAsia="Times New Roman" w:hAnsi="Arial" w:cs="Arial"/>
                <w:color w:val="000000"/>
                <w:kern w:val="0"/>
                <w:sz w:val="20"/>
                <w:szCs w:val="20"/>
                <w:lang w:eastAsia="en-IN"/>
                <w14:ligatures w14:val="none"/>
              </w:rPr>
              <w:t>1.75</w:t>
            </w:r>
          </w:p>
        </w:tc>
      </w:tr>
      <w:tr w:rsidR="00731273" w:rsidRPr="00731273" w14:paraId="0529E8CC" w14:textId="77777777" w:rsidTr="00353DF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789" w:type="dxa"/>
            <w:noWrap/>
            <w:hideMark/>
          </w:tcPr>
          <w:p w14:paraId="38C80265" w14:textId="77777777" w:rsidR="00731273" w:rsidRPr="00353DF5" w:rsidRDefault="00731273" w:rsidP="00731273">
            <w:pPr>
              <w:rPr>
                <w:rFonts w:ascii="Arial" w:eastAsia="Times New Roman" w:hAnsi="Arial" w:cs="Arial"/>
                <w:color w:val="000000"/>
                <w:kern w:val="0"/>
                <w:sz w:val="20"/>
                <w:szCs w:val="20"/>
                <w:lang w:eastAsia="en-IN"/>
                <w14:ligatures w14:val="none"/>
              </w:rPr>
            </w:pPr>
            <w:r w:rsidRPr="00353DF5">
              <w:rPr>
                <w:rFonts w:ascii="Arial" w:eastAsia="Times New Roman" w:hAnsi="Arial" w:cs="Arial"/>
                <w:color w:val="000000"/>
                <w:kern w:val="0"/>
                <w:sz w:val="20"/>
                <w:szCs w:val="20"/>
                <w:lang w:eastAsia="en-IN"/>
                <w14:ligatures w14:val="none"/>
              </w:rPr>
              <w:t>Agriculture</w:t>
            </w:r>
          </w:p>
        </w:tc>
        <w:tc>
          <w:tcPr>
            <w:tcW w:w="2668" w:type="dxa"/>
            <w:hideMark/>
          </w:tcPr>
          <w:p w14:paraId="6C109E8D" w14:textId="5059D7D5" w:rsidR="00731273" w:rsidRPr="00731273" w:rsidRDefault="00731273" w:rsidP="00731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731273">
              <w:rPr>
                <w:rFonts w:ascii="Arial" w:eastAsia="Times New Roman" w:hAnsi="Arial" w:cs="Arial"/>
                <w:color w:val="000000"/>
                <w:kern w:val="0"/>
                <w:sz w:val="20"/>
                <w:szCs w:val="20"/>
                <w:lang w:eastAsia="en-IN"/>
                <w14:ligatures w14:val="none"/>
              </w:rPr>
              <w:t>89586</w:t>
            </w:r>
          </w:p>
        </w:tc>
        <w:tc>
          <w:tcPr>
            <w:tcW w:w="2327" w:type="dxa"/>
            <w:hideMark/>
          </w:tcPr>
          <w:p w14:paraId="549F7A76" w14:textId="288F4EE1" w:rsidR="00731273" w:rsidRPr="00731273" w:rsidRDefault="00731273" w:rsidP="00731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731273">
              <w:rPr>
                <w:rFonts w:ascii="Arial" w:eastAsia="Times New Roman" w:hAnsi="Arial" w:cs="Arial"/>
                <w:color w:val="000000"/>
                <w:kern w:val="0"/>
                <w:sz w:val="20"/>
                <w:szCs w:val="20"/>
                <w:lang w:eastAsia="en-IN"/>
                <w14:ligatures w14:val="none"/>
              </w:rPr>
              <w:t>8.58</w:t>
            </w:r>
          </w:p>
        </w:tc>
      </w:tr>
    </w:tbl>
    <w:p w14:paraId="4C7A1BCF" w14:textId="1F9A9A1B" w:rsidR="009D789A" w:rsidRPr="00602AF0" w:rsidRDefault="009D789A" w:rsidP="00E5366D">
      <w:pPr>
        <w:spacing w:line="360" w:lineRule="auto"/>
        <w:rPr>
          <w:rFonts w:ascii="Arial" w:hAnsi="Arial" w:cs="Arial"/>
          <w:sz w:val="20"/>
          <w:szCs w:val="20"/>
        </w:rPr>
      </w:pPr>
      <w:r w:rsidRPr="00602AF0">
        <w:rPr>
          <w:rFonts w:ascii="Arial" w:hAnsi="Arial" w:cs="Arial"/>
          <w:b/>
          <w:bCs/>
          <w:sz w:val="20"/>
          <w:szCs w:val="20"/>
        </w:rPr>
        <w:t>Note.</w:t>
      </w:r>
      <w:r w:rsidRPr="00602AF0">
        <w:rPr>
          <w:rFonts w:ascii="Arial" w:hAnsi="Arial" w:cs="Arial"/>
          <w:sz w:val="20"/>
          <w:szCs w:val="20"/>
        </w:rPr>
        <w:t xml:space="preserve"> Data generated by the author from classified land-use maps (Landsat TM, 1993).</w:t>
      </w:r>
      <w:r w:rsidR="00C653B6" w:rsidRPr="00602AF0">
        <w:rPr>
          <w:rFonts w:ascii="Arial" w:hAnsi="Arial" w:cs="Arial"/>
          <w:sz w:val="20"/>
          <w:szCs w:val="20"/>
        </w:rPr>
        <w:t xml:space="preserve"> Due to Spectral limitation, bamboo could not be separated; included in Forest</w:t>
      </w:r>
    </w:p>
    <w:p w14:paraId="36AEE1C7" w14:textId="37AD6C5D" w:rsidR="00D2103B" w:rsidRPr="00C316BE" w:rsidRDefault="00E5366D" w:rsidP="00D2103B">
      <w:pPr>
        <w:spacing w:line="360" w:lineRule="auto"/>
        <w:jc w:val="both"/>
        <w:rPr>
          <w:rFonts w:ascii="Arial" w:hAnsi="Arial" w:cs="Arial"/>
          <w:b/>
          <w:bCs/>
          <w:sz w:val="22"/>
          <w:szCs w:val="22"/>
        </w:rPr>
      </w:pPr>
      <w:r w:rsidRPr="00C316BE">
        <w:rPr>
          <w:rFonts w:ascii="Arial" w:hAnsi="Arial" w:cs="Arial"/>
          <w:b/>
          <w:bCs/>
          <w:sz w:val="22"/>
          <w:szCs w:val="22"/>
        </w:rPr>
        <w:t>3.2 Phase I</w:t>
      </w:r>
      <w:r>
        <w:rPr>
          <w:rFonts w:ascii="Arial" w:hAnsi="Arial" w:cs="Arial"/>
          <w:b/>
          <w:bCs/>
          <w:sz w:val="22"/>
          <w:szCs w:val="22"/>
        </w:rPr>
        <w:t>I</w:t>
      </w:r>
      <w:r w:rsidRPr="00C316BE">
        <w:rPr>
          <w:rFonts w:ascii="Arial" w:hAnsi="Arial" w:cs="Arial"/>
          <w:b/>
          <w:bCs/>
          <w:sz w:val="22"/>
          <w:szCs w:val="22"/>
        </w:rPr>
        <w:t>: Plantation Expansion (2014)</w:t>
      </w:r>
    </w:p>
    <w:p w14:paraId="6E1860AA" w14:textId="2837F946" w:rsidR="00D2103B" w:rsidRPr="00C316BE" w:rsidRDefault="00D2103B" w:rsidP="00D2103B">
      <w:pPr>
        <w:spacing w:line="360" w:lineRule="auto"/>
        <w:jc w:val="both"/>
        <w:rPr>
          <w:rFonts w:ascii="Arial" w:hAnsi="Arial" w:cs="Arial"/>
          <w:sz w:val="20"/>
          <w:szCs w:val="20"/>
        </w:rPr>
      </w:pPr>
      <w:r w:rsidRPr="00C316BE">
        <w:rPr>
          <w:rFonts w:ascii="Arial" w:hAnsi="Arial" w:cs="Arial"/>
          <w:sz w:val="20"/>
          <w:szCs w:val="20"/>
        </w:rPr>
        <w:t>By 2014, land use patterns reflected the strong influence of industrial demand and subsidy-driven plantation expansion. Bamboo emerged as a distinct land cover class, occupying 257,95</w:t>
      </w:r>
      <w:r w:rsidR="0048190A">
        <w:rPr>
          <w:rFonts w:ascii="Arial" w:hAnsi="Arial" w:cs="Arial"/>
          <w:sz w:val="20"/>
          <w:szCs w:val="20"/>
        </w:rPr>
        <w:t>4</w:t>
      </w:r>
      <w:r w:rsidRPr="00C316BE">
        <w:rPr>
          <w:rFonts w:ascii="Arial" w:hAnsi="Arial" w:cs="Arial"/>
          <w:sz w:val="20"/>
          <w:szCs w:val="20"/>
        </w:rPr>
        <w:t xml:space="preserve"> ha (24.</w:t>
      </w:r>
      <w:r w:rsidR="0048190A">
        <w:rPr>
          <w:rFonts w:ascii="Arial" w:hAnsi="Arial" w:cs="Arial"/>
          <w:sz w:val="20"/>
          <w:szCs w:val="20"/>
        </w:rPr>
        <w:t>72</w:t>
      </w:r>
      <w:r w:rsidRPr="00C316BE">
        <w:rPr>
          <w:rFonts w:ascii="Arial" w:hAnsi="Arial" w:cs="Arial"/>
          <w:sz w:val="20"/>
          <w:szCs w:val="20"/>
        </w:rPr>
        <w:t xml:space="preserve">%) of the district. This expansion occurred largely at the expense of </w:t>
      </w:r>
      <w:r w:rsidRPr="00C316BE">
        <w:rPr>
          <w:rFonts w:ascii="Arial" w:hAnsi="Arial" w:cs="Arial"/>
          <w:i/>
          <w:iCs/>
          <w:sz w:val="20"/>
          <w:szCs w:val="20"/>
        </w:rPr>
        <w:t>jhum</w:t>
      </w:r>
      <w:r w:rsidRPr="00C316BE">
        <w:rPr>
          <w:rFonts w:ascii="Arial" w:hAnsi="Arial" w:cs="Arial"/>
          <w:sz w:val="20"/>
          <w:szCs w:val="20"/>
        </w:rPr>
        <w:t xml:space="preserve"> fields, which declined sharply from 270,</w:t>
      </w:r>
      <w:r w:rsidR="0048190A">
        <w:rPr>
          <w:rFonts w:ascii="Arial" w:hAnsi="Arial" w:cs="Arial"/>
          <w:sz w:val="20"/>
          <w:szCs w:val="20"/>
        </w:rPr>
        <w:t>9</w:t>
      </w:r>
      <w:r w:rsidRPr="00C316BE">
        <w:rPr>
          <w:rFonts w:ascii="Arial" w:hAnsi="Arial" w:cs="Arial"/>
          <w:sz w:val="20"/>
          <w:szCs w:val="20"/>
        </w:rPr>
        <w:t>77 ha in 1993 to 7</w:t>
      </w:r>
      <w:r w:rsidR="0048190A">
        <w:rPr>
          <w:rFonts w:ascii="Arial" w:hAnsi="Arial" w:cs="Arial"/>
          <w:sz w:val="20"/>
          <w:szCs w:val="20"/>
        </w:rPr>
        <w:t>6980</w:t>
      </w:r>
      <w:r w:rsidRPr="00C316BE">
        <w:rPr>
          <w:rFonts w:ascii="Arial" w:hAnsi="Arial" w:cs="Arial"/>
          <w:sz w:val="20"/>
          <w:szCs w:val="20"/>
        </w:rPr>
        <w:t xml:space="preserve"> ha in 2014 (–18.</w:t>
      </w:r>
      <w:r w:rsidR="0048190A">
        <w:rPr>
          <w:rFonts w:ascii="Arial" w:hAnsi="Arial" w:cs="Arial"/>
          <w:sz w:val="20"/>
          <w:szCs w:val="20"/>
        </w:rPr>
        <w:t>59%</w:t>
      </w:r>
      <w:r w:rsidRPr="00C316BE">
        <w:rPr>
          <w:rFonts w:ascii="Arial" w:hAnsi="Arial" w:cs="Arial"/>
          <w:sz w:val="20"/>
          <w:szCs w:val="20"/>
        </w:rPr>
        <w:t>). Forest cover also decreased (–5.6</w:t>
      </w:r>
      <w:r w:rsidR="00A40A71">
        <w:rPr>
          <w:rFonts w:ascii="Arial" w:hAnsi="Arial" w:cs="Arial"/>
          <w:sz w:val="20"/>
          <w:szCs w:val="20"/>
        </w:rPr>
        <w:t>8%</w:t>
      </w:r>
      <w:r w:rsidRPr="00C316BE">
        <w:rPr>
          <w:rFonts w:ascii="Arial" w:hAnsi="Arial" w:cs="Arial"/>
          <w:sz w:val="20"/>
          <w:szCs w:val="20"/>
        </w:rPr>
        <w:t>), while built-up areas grew modestly to 12.3</w:t>
      </w:r>
      <w:r w:rsidR="00B96269">
        <w:rPr>
          <w:rFonts w:ascii="Arial" w:hAnsi="Arial" w:cs="Arial"/>
          <w:sz w:val="20"/>
          <w:szCs w:val="20"/>
        </w:rPr>
        <w:t>3</w:t>
      </w:r>
      <w:r w:rsidRPr="00C316BE">
        <w:rPr>
          <w:rFonts w:ascii="Arial" w:hAnsi="Arial" w:cs="Arial"/>
          <w:sz w:val="20"/>
          <w:szCs w:val="20"/>
        </w:rPr>
        <w:t xml:space="preserve">% (Table </w:t>
      </w:r>
      <w:r w:rsidR="00C316BE">
        <w:rPr>
          <w:rFonts w:ascii="Arial" w:hAnsi="Arial" w:cs="Arial"/>
          <w:sz w:val="20"/>
          <w:szCs w:val="20"/>
        </w:rPr>
        <w:t>4</w:t>
      </w:r>
      <w:r w:rsidRPr="00C316BE">
        <w:rPr>
          <w:rFonts w:ascii="Arial" w:hAnsi="Arial" w:cs="Arial"/>
          <w:sz w:val="20"/>
          <w:szCs w:val="20"/>
        </w:rPr>
        <w:t xml:space="preserve">; Figure </w:t>
      </w:r>
      <w:r w:rsidR="00A0158C" w:rsidRPr="00C316BE">
        <w:rPr>
          <w:rFonts w:ascii="Arial" w:hAnsi="Arial" w:cs="Arial"/>
          <w:sz w:val="20"/>
          <w:szCs w:val="20"/>
        </w:rPr>
        <w:t>3</w:t>
      </w:r>
      <w:r w:rsidRPr="00C316BE">
        <w:rPr>
          <w:rFonts w:ascii="Arial" w:hAnsi="Arial" w:cs="Arial"/>
          <w:sz w:val="20"/>
          <w:szCs w:val="20"/>
        </w:rPr>
        <w:t>).</w:t>
      </w:r>
    </w:p>
    <w:p w14:paraId="65CEEA59" w14:textId="1B7D5877" w:rsidR="006A6547" w:rsidRPr="006A6547" w:rsidRDefault="006A6547" w:rsidP="006A6547">
      <w:pPr>
        <w:spacing w:after="0" w:line="240" w:lineRule="auto"/>
        <w:jc w:val="both"/>
        <w:rPr>
          <w:rFonts w:ascii="Times New Roman" w:hAnsi="Times New Roman" w:cs="Times New Roman"/>
          <w:i/>
          <w:iCs/>
        </w:rPr>
      </w:pPr>
      <w:r w:rsidRPr="006A6547">
        <w:rPr>
          <w:rFonts w:ascii="Times New Roman" w:hAnsi="Times New Roman" w:cs="Times New Roman"/>
          <w:i/>
          <w:iCs/>
          <w:noProof/>
        </w:rPr>
        <w:lastRenderedPageBreak/>
        <w:drawing>
          <wp:inline distT="0" distB="0" distL="0" distR="0" wp14:anchorId="728EA7F9" wp14:editId="6A612269">
            <wp:extent cx="5731510" cy="4429125"/>
            <wp:effectExtent l="0" t="0" r="2540" b="9525"/>
            <wp:docPr id="9372972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429125"/>
                    </a:xfrm>
                    <a:prstGeom prst="rect">
                      <a:avLst/>
                    </a:prstGeom>
                    <a:noFill/>
                    <a:ln>
                      <a:noFill/>
                    </a:ln>
                  </pic:spPr>
                </pic:pic>
              </a:graphicData>
            </a:graphic>
          </wp:inline>
        </w:drawing>
      </w:r>
    </w:p>
    <w:p w14:paraId="4FB2693E" w14:textId="3087DFDB" w:rsidR="00A0158C" w:rsidRDefault="00A0158C" w:rsidP="00B005A8">
      <w:pPr>
        <w:spacing w:after="0" w:line="240" w:lineRule="auto"/>
        <w:jc w:val="both"/>
        <w:rPr>
          <w:rFonts w:ascii="Times New Roman" w:hAnsi="Times New Roman" w:cs="Times New Roman"/>
          <w:i/>
          <w:iCs/>
        </w:rPr>
      </w:pPr>
    </w:p>
    <w:p w14:paraId="2A3D1B9F" w14:textId="0D838063" w:rsidR="0048190A" w:rsidRPr="005B3DE0" w:rsidRDefault="00B005A8" w:rsidP="0048190A">
      <w:pPr>
        <w:spacing w:after="0" w:line="240" w:lineRule="auto"/>
        <w:ind w:firstLine="720"/>
        <w:jc w:val="center"/>
        <w:rPr>
          <w:rFonts w:ascii="Arial" w:hAnsi="Arial" w:cs="Arial"/>
          <w:sz w:val="20"/>
          <w:szCs w:val="20"/>
        </w:rPr>
      </w:pPr>
      <w:bookmarkStart w:id="2" w:name="_Hlk207878998"/>
      <w:r w:rsidRPr="005B3DE0">
        <w:rPr>
          <w:rFonts w:ascii="Arial" w:hAnsi="Arial" w:cs="Arial"/>
          <w:sz w:val="20"/>
          <w:szCs w:val="20"/>
        </w:rPr>
        <w:t>Source: Landsat 8 OLI (2014); classification using Random Forest algorithm.</w:t>
      </w:r>
    </w:p>
    <w:p w14:paraId="3E47CDCC" w14:textId="77777777" w:rsidR="0048190A" w:rsidRPr="005B3DE0" w:rsidRDefault="0048190A" w:rsidP="0048190A">
      <w:pPr>
        <w:spacing w:after="0" w:line="240" w:lineRule="auto"/>
        <w:ind w:firstLine="720"/>
        <w:jc w:val="center"/>
        <w:rPr>
          <w:rFonts w:ascii="Arial" w:hAnsi="Arial" w:cs="Arial"/>
          <w:sz w:val="20"/>
          <w:szCs w:val="20"/>
        </w:rPr>
      </w:pPr>
    </w:p>
    <w:p w14:paraId="0C266FF2" w14:textId="0E3BE140" w:rsidR="001E5DBD" w:rsidRPr="00E24E43" w:rsidRDefault="001E5DBD" w:rsidP="0048190A">
      <w:pPr>
        <w:spacing w:after="0" w:line="240" w:lineRule="auto"/>
        <w:ind w:firstLine="720"/>
        <w:jc w:val="center"/>
        <w:rPr>
          <w:rFonts w:ascii="Times New Roman" w:hAnsi="Times New Roman" w:cs="Times New Roman"/>
        </w:rPr>
      </w:pPr>
      <w:r w:rsidRPr="005B3DE0">
        <w:rPr>
          <w:rFonts w:ascii="Arial" w:hAnsi="Arial" w:cs="Arial"/>
          <w:sz w:val="20"/>
          <w:szCs w:val="20"/>
        </w:rPr>
        <w:t>Figure 3. Land use and land cover of Karbi Anglong district, Assam, in 2014, showing expansion of bamboo plantations and shifts in forest, agriculture, jhum fields, and built-up</w:t>
      </w:r>
      <w:r w:rsidRPr="001E5DBD">
        <w:rPr>
          <w:rFonts w:ascii="Times New Roman" w:hAnsi="Times New Roman" w:cs="Times New Roman"/>
        </w:rPr>
        <w:t xml:space="preserve"> areas. </w:t>
      </w:r>
    </w:p>
    <w:p w14:paraId="6DD5EE2A" w14:textId="32F65F43" w:rsidR="00A0158C" w:rsidRDefault="00A0158C" w:rsidP="00A0158C">
      <w:pPr>
        <w:spacing w:after="0" w:line="360" w:lineRule="auto"/>
        <w:ind w:firstLine="720"/>
        <w:jc w:val="center"/>
        <w:rPr>
          <w:rFonts w:ascii="Times New Roman" w:hAnsi="Times New Roman" w:cs="Times New Roman"/>
          <w:i/>
          <w:iCs/>
        </w:rPr>
      </w:pPr>
      <w:r w:rsidRPr="009D789A">
        <w:rPr>
          <w:rFonts w:ascii="Times New Roman" w:hAnsi="Times New Roman" w:cs="Times New Roman"/>
          <w:i/>
          <w:iCs/>
        </w:rPr>
        <w:t>Table</w:t>
      </w:r>
      <w:r w:rsidR="00D04A67" w:rsidRPr="009D789A">
        <w:rPr>
          <w:rFonts w:ascii="Times New Roman" w:hAnsi="Times New Roman" w:cs="Times New Roman"/>
          <w:i/>
          <w:iCs/>
        </w:rPr>
        <w:t xml:space="preserve"> </w:t>
      </w:r>
      <w:r w:rsidR="00462E9B" w:rsidRPr="009D789A">
        <w:rPr>
          <w:rFonts w:ascii="Times New Roman" w:hAnsi="Times New Roman" w:cs="Times New Roman"/>
          <w:i/>
          <w:iCs/>
        </w:rPr>
        <w:t>4</w:t>
      </w:r>
      <w:r w:rsidR="00D04A67" w:rsidRPr="009D789A">
        <w:rPr>
          <w:rFonts w:ascii="Times New Roman" w:hAnsi="Times New Roman" w:cs="Times New Roman"/>
          <w:i/>
          <w:iCs/>
        </w:rPr>
        <w:t>.</w:t>
      </w:r>
      <w:r w:rsidRPr="009D789A">
        <w:rPr>
          <w:rFonts w:ascii="Times New Roman" w:hAnsi="Times New Roman" w:cs="Times New Roman"/>
          <w:i/>
          <w:iCs/>
        </w:rPr>
        <w:t xml:space="preserve"> Land </w:t>
      </w:r>
      <w:r w:rsidR="00D04A67" w:rsidRPr="009D789A">
        <w:rPr>
          <w:rFonts w:ascii="Times New Roman" w:hAnsi="Times New Roman" w:cs="Times New Roman"/>
          <w:i/>
          <w:iCs/>
        </w:rPr>
        <w:t>u</w:t>
      </w:r>
      <w:r w:rsidRPr="009D789A">
        <w:rPr>
          <w:rFonts w:ascii="Times New Roman" w:hAnsi="Times New Roman" w:cs="Times New Roman"/>
          <w:i/>
          <w:iCs/>
        </w:rPr>
        <w:t>se</w:t>
      </w:r>
      <w:r w:rsidR="00F02977" w:rsidRPr="009D789A">
        <w:rPr>
          <w:rFonts w:ascii="Times New Roman" w:hAnsi="Times New Roman" w:cs="Times New Roman"/>
          <w:i/>
          <w:iCs/>
        </w:rPr>
        <w:t xml:space="preserve"> and</w:t>
      </w:r>
      <w:r w:rsidRPr="009D789A">
        <w:rPr>
          <w:rFonts w:ascii="Times New Roman" w:hAnsi="Times New Roman" w:cs="Times New Roman"/>
          <w:i/>
          <w:iCs/>
        </w:rPr>
        <w:t xml:space="preserve"> </w:t>
      </w:r>
      <w:r w:rsidR="00D04A67" w:rsidRPr="009D789A">
        <w:rPr>
          <w:rFonts w:ascii="Times New Roman" w:hAnsi="Times New Roman" w:cs="Times New Roman"/>
          <w:i/>
          <w:iCs/>
        </w:rPr>
        <w:t>l</w:t>
      </w:r>
      <w:r w:rsidRPr="009D789A">
        <w:rPr>
          <w:rFonts w:ascii="Times New Roman" w:hAnsi="Times New Roman" w:cs="Times New Roman"/>
          <w:i/>
          <w:iCs/>
        </w:rPr>
        <w:t xml:space="preserve">and </w:t>
      </w:r>
      <w:r w:rsidR="00D04A67" w:rsidRPr="009D789A">
        <w:rPr>
          <w:rFonts w:ascii="Times New Roman" w:hAnsi="Times New Roman" w:cs="Times New Roman"/>
          <w:i/>
          <w:iCs/>
        </w:rPr>
        <w:t>c</w:t>
      </w:r>
      <w:r w:rsidRPr="009D789A">
        <w:rPr>
          <w:rFonts w:ascii="Times New Roman" w:hAnsi="Times New Roman" w:cs="Times New Roman"/>
          <w:i/>
          <w:iCs/>
        </w:rPr>
        <w:t xml:space="preserve">over </w:t>
      </w:r>
      <w:r w:rsidR="00F02977" w:rsidRPr="009D789A">
        <w:rPr>
          <w:rFonts w:ascii="Times New Roman" w:hAnsi="Times New Roman" w:cs="Times New Roman"/>
          <w:i/>
          <w:iCs/>
        </w:rPr>
        <w:t>distribution,</w:t>
      </w:r>
      <w:r w:rsidRPr="009D789A">
        <w:rPr>
          <w:rFonts w:ascii="Times New Roman" w:hAnsi="Times New Roman" w:cs="Times New Roman"/>
          <w:i/>
          <w:iCs/>
        </w:rPr>
        <w:t xml:space="preserve"> 2014</w:t>
      </w:r>
    </w:p>
    <w:tbl>
      <w:tblPr>
        <w:tblStyle w:val="PlainTable1"/>
        <w:tblW w:w="7838" w:type="dxa"/>
        <w:jc w:val="center"/>
        <w:tblLook w:val="04A0" w:firstRow="1" w:lastRow="0" w:firstColumn="1" w:lastColumn="0" w:noHBand="0" w:noVBand="1"/>
      </w:tblPr>
      <w:tblGrid>
        <w:gridCol w:w="2662"/>
        <w:gridCol w:w="2496"/>
        <w:gridCol w:w="2680"/>
      </w:tblGrid>
      <w:tr w:rsidR="0050528E" w:rsidRPr="0050528E" w14:paraId="0D121AF2" w14:textId="77777777" w:rsidTr="0099353F">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662" w:type="dxa"/>
            <w:hideMark/>
          </w:tcPr>
          <w:p w14:paraId="54ED6A33" w14:textId="77777777" w:rsidR="0050528E" w:rsidRPr="0050528E" w:rsidRDefault="0050528E" w:rsidP="0050528E">
            <w:pPr>
              <w:jc w:val="center"/>
              <w:rPr>
                <w:rFonts w:ascii="Arial" w:eastAsia="Times New Roman" w:hAnsi="Arial" w:cs="Arial"/>
                <w:color w:val="000000"/>
                <w:kern w:val="0"/>
                <w:sz w:val="20"/>
                <w:szCs w:val="20"/>
                <w:lang w:eastAsia="en-IN"/>
                <w14:ligatures w14:val="none"/>
              </w:rPr>
            </w:pPr>
            <w:r w:rsidRPr="0050528E">
              <w:rPr>
                <w:rFonts w:ascii="Arial" w:eastAsia="Times New Roman" w:hAnsi="Arial" w:cs="Arial"/>
                <w:color w:val="000000"/>
                <w:kern w:val="0"/>
                <w:sz w:val="20"/>
                <w:szCs w:val="20"/>
                <w:lang w:eastAsia="en-IN"/>
                <w14:ligatures w14:val="none"/>
              </w:rPr>
              <w:t>Category</w:t>
            </w:r>
          </w:p>
        </w:tc>
        <w:tc>
          <w:tcPr>
            <w:tcW w:w="2496" w:type="dxa"/>
            <w:hideMark/>
          </w:tcPr>
          <w:p w14:paraId="330FFD72" w14:textId="282A9799" w:rsidR="0050528E" w:rsidRPr="0050528E" w:rsidRDefault="00353DF5" w:rsidP="0050528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Pr>
                <w:rFonts w:ascii="Arial" w:eastAsia="Times New Roman" w:hAnsi="Arial" w:cs="Arial"/>
                <w:color w:val="000000"/>
                <w:kern w:val="0"/>
                <w:sz w:val="20"/>
                <w:szCs w:val="20"/>
                <w:lang w:eastAsia="en-IN"/>
                <w14:ligatures w14:val="none"/>
              </w:rPr>
              <w:t>Area in Ha</w:t>
            </w:r>
          </w:p>
        </w:tc>
        <w:tc>
          <w:tcPr>
            <w:tcW w:w="2680" w:type="dxa"/>
            <w:hideMark/>
          </w:tcPr>
          <w:p w14:paraId="077ACCDE" w14:textId="3C668F65" w:rsidR="0050528E" w:rsidRPr="0050528E" w:rsidRDefault="00353DF5" w:rsidP="0050528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Pr>
                <w:rFonts w:ascii="Arial" w:eastAsia="Times New Roman" w:hAnsi="Arial" w:cs="Arial"/>
                <w:color w:val="000000"/>
                <w:kern w:val="0"/>
                <w:sz w:val="20"/>
                <w:szCs w:val="20"/>
                <w:lang w:eastAsia="en-IN"/>
                <w14:ligatures w14:val="none"/>
              </w:rPr>
              <w:t>Percentage (%)</w:t>
            </w:r>
          </w:p>
        </w:tc>
      </w:tr>
      <w:tr w:rsidR="0050528E" w:rsidRPr="0050528E" w14:paraId="015C2B68" w14:textId="77777777" w:rsidTr="0099353F">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662" w:type="dxa"/>
            <w:hideMark/>
          </w:tcPr>
          <w:p w14:paraId="0AA07588" w14:textId="77777777" w:rsidR="0050528E" w:rsidRPr="00353DF5" w:rsidRDefault="0050528E" w:rsidP="0050528E">
            <w:pPr>
              <w:jc w:val="center"/>
              <w:rPr>
                <w:rFonts w:ascii="Arial" w:eastAsia="Times New Roman" w:hAnsi="Arial" w:cs="Arial"/>
                <w:color w:val="000000"/>
                <w:kern w:val="0"/>
                <w:sz w:val="20"/>
                <w:szCs w:val="20"/>
                <w:lang w:eastAsia="en-IN"/>
                <w14:ligatures w14:val="none"/>
              </w:rPr>
            </w:pPr>
            <w:r w:rsidRPr="00353DF5">
              <w:rPr>
                <w:rFonts w:ascii="Arial" w:eastAsia="Times New Roman" w:hAnsi="Arial" w:cs="Arial"/>
                <w:color w:val="000000"/>
                <w:kern w:val="0"/>
                <w:sz w:val="20"/>
                <w:szCs w:val="20"/>
                <w:lang w:eastAsia="en-IN"/>
                <w14:ligatures w14:val="none"/>
              </w:rPr>
              <w:t>Water Bodies</w:t>
            </w:r>
          </w:p>
        </w:tc>
        <w:tc>
          <w:tcPr>
            <w:tcW w:w="2496" w:type="dxa"/>
            <w:hideMark/>
          </w:tcPr>
          <w:p w14:paraId="48C99E0D" w14:textId="072E815F" w:rsidR="0050528E" w:rsidRPr="0050528E" w:rsidRDefault="0050528E" w:rsidP="005052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50528E">
              <w:rPr>
                <w:rFonts w:ascii="Arial" w:eastAsia="Times New Roman" w:hAnsi="Arial" w:cs="Arial"/>
                <w:color w:val="000000"/>
                <w:kern w:val="0"/>
                <w:sz w:val="20"/>
                <w:szCs w:val="20"/>
                <w:lang w:eastAsia="en-IN"/>
                <w14:ligatures w14:val="none"/>
              </w:rPr>
              <w:t>47773</w:t>
            </w:r>
          </w:p>
        </w:tc>
        <w:tc>
          <w:tcPr>
            <w:tcW w:w="2680" w:type="dxa"/>
            <w:hideMark/>
          </w:tcPr>
          <w:p w14:paraId="79C122AC" w14:textId="296E6F48" w:rsidR="0050528E" w:rsidRPr="0050528E" w:rsidRDefault="0050528E" w:rsidP="005052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50528E">
              <w:rPr>
                <w:rFonts w:ascii="Arial" w:eastAsia="Times New Roman" w:hAnsi="Arial" w:cs="Arial"/>
                <w:color w:val="000000"/>
                <w:kern w:val="0"/>
                <w:sz w:val="20"/>
                <w:szCs w:val="20"/>
                <w:lang w:eastAsia="en-IN"/>
                <w14:ligatures w14:val="none"/>
              </w:rPr>
              <w:t>4.57</w:t>
            </w:r>
          </w:p>
        </w:tc>
      </w:tr>
      <w:tr w:rsidR="0050528E" w:rsidRPr="0050528E" w14:paraId="77DA88C4" w14:textId="77777777" w:rsidTr="0099353F">
        <w:trPr>
          <w:trHeight w:val="297"/>
          <w:jc w:val="center"/>
        </w:trPr>
        <w:tc>
          <w:tcPr>
            <w:cnfStyle w:val="001000000000" w:firstRow="0" w:lastRow="0" w:firstColumn="1" w:lastColumn="0" w:oddVBand="0" w:evenVBand="0" w:oddHBand="0" w:evenHBand="0" w:firstRowFirstColumn="0" w:firstRowLastColumn="0" w:lastRowFirstColumn="0" w:lastRowLastColumn="0"/>
            <w:tcW w:w="2662" w:type="dxa"/>
            <w:hideMark/>
          </w:tcPr>
          <w:p w14:paraId="47F9DF44" w14:textId="098AD47E" w:rsidR="0050528E" w:rsidRPr="00353DF5" w:rsidRDefault="0050528E" w:rsidP="0050528E">
            <w:pPr>
              <w:jc w:val="center"/>
              <w:rPr>
                <w:rFonts w:ascii="Arial" w:eastAsia="Times New Roman" w:hAnsi="Arial" w:cs="Arial"/>
                <w:color w:val="000000"/>
                <w:kern w:val="0"/>
                <w:sz w:val="20"/>
                <w:szCs w:val="20"/>
                <w:lang w:eastAsia="en-IN"/>
                <w14:ligatures w14:val="none"/>
              </w:rPr>
            </w:pPr>
            <w:r w:rsidRPr="00353DF5">
              <w:rPr>
                <w:rFonts w:ascii="Arial" w:eastAsia="Times New Roman" w:hAnsi="Arial" w:cs="Arial"/>
                <w:color w:val="000000"/>
                <w:kern w:val="0"/>
                <w:sz w:val="20"/>
                <w:szCs w:val="20"/>
                <w:lang w:eastAsia="en-IN"/>
                <w14:ligatures w14:val="none"/>
              </w:rPr>
              <w:t>Forest</w:t>
            </w:r>
            <w:r w:rsidR="00A40A71" w:rsidRPr="00353DF5">
              <w:rPr>
                <w:rFonts w:ascii="Arial" w:eastAsia="Times New Roman" w:hAnsi="Arial" w:cs="Arial"/>
                <w:color w:val="000000"/>
                <w:kern w:val="0"/>
                <w:sz w:val="20"/>
                <w:szCs w:val="20"/>
                <w:lang w:eastAsia="en-IN"/>
                <w14:ligatures w14:val="none"/>
              </w:rPr>
              <w:t xml:space="preserve"> </w:t>
            </w:r>
          </w:p>
        </w:tc>
        <w:tc>
          <w:tcPr>
            <w:tcW w:w="2496" w:type="dxa"/>
            <w:hideMark/>
          </w:tcPr>
          <w:p w14:paraId="57F70D2B" w14:textId="695AC88B" w:rsidR="0050528E" w:rsidRPr="0050528E" w:rsidRDefault="0050528E" w:rsidP="005052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50528E">
              <w:rPr>
                <w:rFonts w:ascii="Arial" w:eastAsia="Times New Roman" w:hAnsi="Arial" w:cs="Arial"/>
                <w:color w:val="000000"/>
                <w:kern w:val="0"/>
                <w:sz w:val="20"/>
                <w:szCs w:val="20"/>
                <w:lang w:eastAsia="en-IN"/>
                <w14:ligatures w14:val="none"/>
              </w:rPr>
              <w:t>452025</w:t>
            </w:r>
          </w:p>
        </w:tc>
        <w:tc>
          <w:tcPr>
            <w:tcW w:w="2680" w:type="dxa"/>
            <w:hideMark/>
          </w:tcPr>
          <w:p w14:paraId="3BC10B47" w14:textId="7C1F2677" w:rsidR="0050528E" w:rsidRPr="0050528E" w:rsidRDefault="0050528E" w:rsidP="005052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50528E">
              <w:rPr>
                <w:rFonts w:ascii="Arial" w:eastAsia="Times New Roman" w:hAnsi="Arial" w:cs="Arial"/>
                <w:color w:val="000000"/>
                <w:kern w:val="0"/>
                <w:sz w:val="20"/>
                <w:szCs w:val="20"/>
                <w:lang w:eastAsia="en-IN"/>
                <w14:ligatures w14:val="none"/>
              </w:rPr>
              <w:t>43.32</w:t>
            </w:r>
          </w:p>
        </w:tc>
      </w:tr>
      <w:tr w:rsidR="0050528E" w:rsidRPr="0050528E" w14:paraId="28E186BC" w14:textId="77777777" w:rsidTr="0099353F">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662" w:type="dxa"/>
            <w:hideMark/>
          </w:tcPr>
          <w:p w14:paraId="15BDCF93" w14:textId="77777777" w:rsidR="0050528E" w:rsidRPr="00353DF5" w:rsidRDefault="0050528E" w:rsidP="0050528E">
            <w:pPr>
              <w:jc w:val="center"/>
              <w:rPr>
                <w:rFonts w:ascii="Arial" w:eastAsia="Times New Roman" w:hAnsi="Arial" w:cs="Arial"/>
                <w:color w:val="000000"/>
                <w:kern w:val="0"/>
                <w:sz w:val="20"/>
                <w:szCs w:val="20"/>
                <w:lang w:eastAsia="en-IN"/>
                <w14:ligatures w14:val="none"/>
              </w:rPr>
            </w:pPr>
            <w:r w:rsidRPr="00353DF5">
              <w:rPr>
                <w:rFonts w:ascii="Arial" w:eastAsia="Times New Roman" w:hAnsi="Arial" w:cs="Arial"/>
                <w:color w:val="000000"/>
                <w:kern w:val="0"/>
                <w:sz w:val="20"/>
                <w:szCs w:val="20"/>
                <w:lang w:eastAsia="en-IN"/>
                <w14:ligatures w14:val="none"/>
              </w:rPr>
              <w:t>Jhum Field</w:t>
            </w:r>
          </w:p>
        </w:tc>
        <w:tc>
          <w:tcPr>
            <w:tcW w:w="2496" w:type="dxa"/>
            <w:hideMark/>
          </w:tcPr>
          <w:p w14:paraId="2DD1045C" w14:textId="7DE9C784" w:rsidR="0050528E" w:rsidRPr="0050528E" w:rsidRDefault="0050528E" w:rsidP="005052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50528E">
              <w:rPr>
                <w:rFonts w:ascii="Arial" w:eastAsia="Times New Roman" w:hAnsi="Arial" w:cs="Arial"/>
                <w:color w:val="000000"/>
                <w:kern w:val="0"/>
                <w:sz w:val="20"/>
                <w:szCs w:val="20"/>
                <w:lang w:eastAsia="en-IN"/>
                <w14:ligatures w14:val="none"/>
              </w:rPr>
              <w:t>76980</w:t>
            </w:r>
          </w:p>
        </w:tc>
        <w:tc>
          <w:tcPr>
            <w:tcW w:w="2680" w:type="dxa"/>
            <w:hideMark/>
          </w:tcPr>
          <w:p w14:paraId="46A0FB9D" w14:textId="497DED0D" w:rsidR="0050528E" w:rsidRPr="0050528E" w:rsidRDefault="0050528E" w:rsidP="005052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50528E">
              <w:rPr>
                <w:rFonts w:ascii="Arial" w:eastAsia="Times New Roman" w:hAnsi="Arial" w:cs="Arial"/>
                <w:color w:val="000000"/>
                <w:kern w:val="0"/>
                <w:sz w:val="20"/>
                <w:szCs w:val="20"/>
                <w:lang w:eastAsia="en-IN"/>
                <w14:ligatures w14:val="none"/>
              </w:rPr>
              <w:t>7.37</w:t>
            </w:r>
          </w:p>
        </w:tc>
      </w:tr>
      <w:tr w:rsidR="0050528E" w:rsidRPr="0050528E" w14:paraId="04BA216E" w14:textId="77777777" w:rsidTr="0099353F">
        <w:trPr>
          <w:trHeight w:val="251"/>
          <w:jc w:val="center"/>
        </w:trPr>
        <w:tc>
          <w:tcPr>
            <w:cnfStyle w:val="001000000000" w:firstRow="0" w:lastRow="0" w:firstColumn="1" w:lastColumn="0" w:oddVBand="0" w:evenVBand="0" w:oddHBand="0" w:evenHBand="0" w:firstRowFirstColumn="0" w:firstRowLastColumn="0" w:lastRowFirstColumn="0" w:lastRowLastColumn="0"/>
            <w:tcW w:w="2662" w:type="dxa"/>
            <w:hideMark/>
          </w:tcPr>
          <w:p w14:paraId="6EFAA5D2" w14:textId="77777777" w:rsidR="0050528E" w:rsidRPr="00353DF5" w:rsidRDefault="0050528E" w:rsidP="0050528E">
            <w:pPr>
              <w:jc w:val="center"/>
              <w:rPr>
                <w:rFonts w:ascii="Arial" w:eastAsia="Times New Roman" w:hAnsi="Arial" w:cs="Arial"/>
                <w:color w:val="000000"/>
                <w:kern w:val="0"/>
                <w:sz w:val="20"/>
                <w:szCs w:val="20"/>
                <w:lang w:eastAsia="en-IN"/>
                <w14:ligatures w14:val="none"/>
              </w:rPr>
            </w:pPr>
            <w:r w:rsidRPr="00353DF5">
              <w:rPr>
                <w:rFonts w:ascii="Arial" w:eastAsia="Times New Roman" w:hAnsi="Arial" w:cs="Arial"/>
                <w:color w:val="000000"/>
                <w:kern w:val="0"/>
                <w:sz w:val="20"/>
                <w:szCs w:val="20"/>
                <w:lang w:eastAsia="en-IN"/>
                <w14:ligatures w14:val="none"/>
              </w:rPr>
              <w:t>Built-up Areas</w:t>
            </w:r>
          </w:p>
        </w:tc>
        <w:tc>
          <w:tcPr>
            <w:tcW w:w="2496" w:type="dxa"/>
            <w:hideMark/>
          </w:tcPr>
          <w:p w14:paraId="20B86D17" w14:textId="37D349A6" w:rsidR="0050528E" w:rsidRPr="0050528E" w:rsidRDefault="0050528E" w:rsidP="005052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50528E">
              <w:rPr>
                <w:rFonts w:ascii="Arial" w:eastAsia="Times New Roman" w:hAnsi="Arial" w:cs="Arial"/>
                <w:color w:val="000000"/>
                <w:kern w:val="0"/>
                <w:sz w:val="20"/>
                <w:szCs w:val="20"/>
                <w:lang w:eastAsia="en-IN"/>
                <w14:ligatures w14:val="none"/>
              </w:rPr>
              <w:t>128661</w:t>
            </w:r>
          </w:p>
        </w:tc>
        <w:tc>
          <w:tcPr>
            <w:tcW w:w="2680" w:type="dxa"/>
            <w:hideMark/>
          </w:tcPr>
          <w:p w14:paraId="5E3DD250" w14:textId="3182F14E" w:rsidR="0050528E" w:rsidRPr="0050528E" w:rsidRDefault="0050528E" w:rsidP="005052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50528E">
              <w:rPr>
                <w:rFonts w:ascii="Arial" w:eastAsia="Times New Roman" w:hAnsi="Arial" w:cs="Arial"/>
                <w:color w:val="000000"/>
                <w:kern w:val="0"/>
                <w:sz w:val="20"/>
                <w:szCs w:val="20"/>
                <w:lang w:eastAsia="en-IN"/>
                <w14:ligatures w14:val="none"/>
              </w:rPr>
              <w:t>12.33</w:t>
            </w:r>
          </w:p>
        </w:tc>
      </w:tr>
      <w:tr w:rsidR="0050528E" w:rsidRPr="0050528E" w14:paraId="464BFFDF" w14:textId="77777777" w:rsidTr="0099353F">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662" w:type="dxa"/>
            <w:hideMark/>
          </w:tcPr>
          <w:p w14:paraId="73A12EAF" w14:textId="77777777" w:rsidR="0050528E" w:rsidRPr="00353DF5" w:rsidRDefault="0050528E" w:rsidP="0050528E">
            <w:pPr>
              <w:jc w:val="center"/>
              <w:rPr>
                <w:rFonts w:ascii="Arial" w:eastAsia="Times New Roman" w:hAnsi="Arial" w:cs="Arial"/>
                <w:color w:val="000000"/>
                <w:kern w:val="0"/>
                <w:sz w:val="20"/>
                <w:szCs w:val="20"/>
                <w:lang w:eastAsia="en-IN"/>
                <w14:ligatures w14:val="none"/>
              </w:rPr>
            </w:pPr>
            <w:r w:rsidRPr="00353DF5">
              <w:rPr>
                <w:rFonts w:ascii="Arial" w:eastAsia="Times New Roman" w:hAnsi="Arial" w:cs="Arial"/>
                <w:color w:val="000000"/>
                <w:kern w:val="0"/>
                <w:sz w:val="20"/>
                <w:szCs w:val="20"/>
                <w:lang w:eastAsia="en-IN"/>
                <w14:ligatures w14:val="none"/>
              </w:rPr>
              <w:t>Agriculture</w:t>
            </w:r>
          </w:p>
        </w:tc>
        <w:tc>
          <w:tcPr>
            <w:tcW w:w="2496" w:type="dxa"/>
            <w:hideMark/>
          </w:tcPr>
          <w:p w14:paraId="0988D27C" w14:textId="41AED163" w:rsidR="0050528E" w:rsidRPr="0050528E" w:rsidRDefault="0050528E" w:rsidP="005052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50528E">
              <w:rPr>
                <w:rFonts w:ascii="Arial" w:eastAsia="Times New Roman" w:hAnsi="Arial" w:cs="Arial"/>
                <w:color w:val="000000"/>
                <w:kern w:val="0"/>
                <w:sz w:val="20"/>
                <w:szCs w:val="20"/>
                <w:lang w:eastAsia="en-IN"/>
                <w14:ligatures w14:val="none"/>
              </w:rPr>
              <w:t>80033</w:t>
            </w:r>
          </w:p>
        </w:tc>
        <w:tc>
          <w:tcPr>
            <w:tcW w:w="2680" w:type="dxa"/>
            <w:hideMark/>
          </w:tcPr>
          <w:p w14:paraId="60FF8988" w14:textId="12EE1639" w:rsidR="0050528E" w:rsidRPr="0050528E" w:rsidRDefault="0050528E" w:rsidP="005052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50528E">
              <w:rPr>
                <w:rFonts w:ascii="Arial" w:eastAsia="Times New Roman" w:hAnsi="Arial" w:cs="Arial"/>
                <w:color w:val="000000"/>
                <w:kern w:val="0"/>
                <w:sz w:val="20"/>
                <w:szCs w:val="20"/>
                <w:lang w:eastAsia="en-IN"/>
                <w14:ligatures w14:val="none"/>
              </w:rPr>
              <w:t>7.67</w:t>
            </w:r>
          </w:p>
        </w:tc>
      </w:tr>
      <w:tr w:rsidR="0050528E" w:rsidRPr="0050528E" w14:paraId="06B5A64A" w14:textId="77777777" w:rsidTr="0099353F">
        <w:trPr>
          <w:trHeight w:val="267"/>
          <w:jc w:val="center"/>
        </w:trPr>
        <w:tc>
          <w:tcPr>
            <w:cnfStyle w:val="001000000000" w:firstRow="0" w:lastRow="0" w:firstColumn="1" w:lastColumn="0" w:oddVBand="0" w:evenVBand="0" w:oddHBand="0" w:evenHBand="0" w:firstRowFirstColumn="0" w:firstRowLastColumn="0" w:lastRowFirstColumn="0" w:lastRowLastColumn="0"/>
            <w:tcW w:w="2662" w:type="dxa"/>
            <w:hideMark/>
          </w:tcPr>
          <w:p w14:paraId="6CA3E334" w14:textId="77777777" w:rsidR="0050528E" w:rsidRPr="00353DF5" w:rsidRDefault="0050528E" w:rsidP="0050528E">
            <w:pPr>
              <w:jc w:val="center"/>
              <w:rPr>
                <w:rFonts w:ascii="Arial" w:eastAsia="Times New Roman" w:hAnsi="Arial" w:cs="Arial"/>
                <w:color w:val="000000"/>
                <w:kern w:val="0"/>
                <w:sz w:val="20"/>
                <w:szCs w:val="20"/>
                <w:lang w:eastAsia="en-IN"/>
                <w14:ligatures w14:val="none"/>
              </w:rPr>
            </w:pPr>
            <w:r w:rsidRPr="00353DF5">
              <w:rPr>
                <w:rFonts w:ascii="Arial" w:eastAsia="Times New Roman" w:hAnsi="Arial" w:cs="Arial"/>
                <w:color w:val="000000"/>
                <w:kern w:val="0"/>
                <w:sz w:val="20"/>
                <w:szCs w:val="20"/>
                <w:lang w:eastAsia="en-IN"/>
                <w14:ligatures w14:val="none"/>
              </w:rPr>
              <w:t>Bamboo</w:t>
            </w:r>
          </w:p>
        </w:tc>
        <w:tc>
          <w:tcPr>
            <w:tcW w:w="2496" w:type="dxa"/>
            <w:hideMark/>
          </w:tcPr>
          <w:p w14:paraId="66502FE2" w14:textId="52FA10E9" w:rsidR="0050528E" w:rsidRPr="0050528E" w:rsidRDefault="0050528E" w:rsidP="005052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50528E">
              <w:rPr>
                <w:rFonts w:ascii="Arial" w:eastAsia="Times New Roman" w:hAnsi="Arial" w:cs="Arial"/>
                <w:color w:val="000000"/>
                <w:kern w:val="0"/>
                <w:sz w:val="20"/>
                <w:szCs w:val="20"/>
                <w:lang w:eastAsia="en-IN"/>
                <w14:ligatures w14:val="none"/>
              </w:rPr>
              <w:t>257954</w:t>
            </w:r>
          </w:p>
        </w:tc>
        <w:tc>
          <w:tcPr>
            <w:tcW w:w="2680" w:type="dxa"/>
            <w:hideMark/>
          </w:tcPr>
          <w:p w14:paraId="2D49E3D1" w14:textId="6B5AD934" w:rsidR="0050528E" w:rsidRPr="0050528E" w:rsidRDefault="0050528E" w:rsidP="005052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50528E">
              <w:rPr>
                <w:rFonts w:ascii="Arial" w:eastAsia="Times New Roman" w:hAnsi="Arial" w:cs="Arial"/>
                <w:color w:val="000000"/>
                <w:kern w:val="0"/>
                <w:sz w:val="20"/>
                <w:szCs w:val="20"/>
                <w:lang w:eastAsia="en-IN"/>
                <w14:ligatures w14:val="none"/>
              </w:rPr>
              <w:t>24.72</w:t>
            </w:r>
          </w:p>
        </w:tc>
      </w:tr>
    </w:tbl>
    <w:p w14:paraId="7BA4C796" w14:textId="77777777" w:rsidR="009D789A" w:rsidRPr="00400A00" w:rsidRDefault="009D789A" w:rsidP="009C5F8E">
      <w:pPr>
        <w:spacing w:line="360" w:lineRule="auto"/>
        <w:jc w:val="center"/>
        <w:rPr>
          <w:rFonts w:ascii="Arial" w:hAnsi="Arial" w:cs="Arial"/>
          <w:sz w:val="20"/>
          <w:szCs w:val="20"/>
        </w:rPr>
      </w:pPr>
      <w:bookmarkStart w:id="3" w:name="_Hlk207879024"/>
      <w:bookmarkEnd w:id="2"/>
      <w:r w:rsidRPr="00400A00">
        <w:rPr>
          <w:rFonts w:ascii="Arial" w:hAnsi="Arial" w:cs="Arial"/>
          <w:sz w:val="20"/>
          <w:szCs w:val="20"/>
        </w:rPr>
        <w:t>Note. Data generated by the author from classified land-use maps (Landsat OLI, 2014).</w:t>
      </w:r>
    </w:p>
    <w:p w14:paraId="47614770" w14:textId="77777777" w:rsidR="009D789A" w:rsidRDefault="009D789A" w:rsidP="00181494">
      <w:pPr>
        <w:spacing w:after="0" w:line="360" w:lineRule="auto"/>
        <w:jc w:val="both"/>
        <w:rPr>
          <w:rFonts w:ascii="Times New Roman" w:hAnsi="Times New Roman" w:cs="Times New Roman"/>
          <w:i/>
          <w:iCs/>
        </w:rPr>
      </w:pPr>
    </w:p>
    <w:p w14:paraId="7E8A2CF5" w14:textId="77777777" w:rsidR="00D14227" w:rsidRDefault="00D14227" w:rsidP="00181494">
      <w:pPr>
        <w:spacing w:after="0" w:line="360" w:lineRule="auto"/>
        <w:jc w:val="both"/>
        <w:rPr>
          <w:rFonts w:ascii="Times New Roman" w:hAnsi="Times New Roman" w:cs="Times New Roman"/>
          <w:i/>
          <w:iCs/>
        </w:rPr>
      </w:pPr>
    </w:p>
    <w:bookmarkEnd w:id="3"/>
    <w:p w14:paraId="1F1580E4" w14:textId="77777777" w:rsidR="00A40FA8" w:rsidRDefault="00A40FA8" w:rsidP="00D2103B">
      <w:pPr>
        <w:spacing w:line="360" w:lineRule="auto"/>
        <w:jc w:val="both"/>
        <w:rPr>
          <w:rFonts w:ascii="Arial" w:hAnsi="Arial" w:cs="Arial"/>
          <w:b/>
          <w:bCs/>
          <w:sz w:val="22"/>
          <w:szCs w:val="22"/>
        </w:rPr>
      </w:pPr>
    </w:p>
    <w:p w14:paraId="74E3D98D" w14:textId="77777777" w:rsidR="005B3DE0" w:rsidRDefault="005B3DE0" w:rsidP="00D2103B">
      <w:pPr>
        <w:spacing w:line="360" w:lineRule="auto"/>
        <w:jc w:val="both"/>
        <w:rPr>
          <w:rFonts w:ascii="Arial" w:hAnsi="Arial" w:cs="Arial"/>
          <w:b/>
          <w:bCs/>
          <w:sz w:val="22"/>
          <w:szCs w:val="22"/>
        </w:rPr>
      </w:pPr>
    </w:p>
    <w:p w14:paraId="6D949922" w14:textId="77777777" w:rsidR="005B3DE0" w:rsidRDefault="005B3DE0" w:rsidP="00D2103B">
      <w:pPr>
        <w:spacing w:line="360" w:lineRule="auto"/>
        <w:jc w:val="both"/>
        <w:rPr>
          <w:rFonts w:ascii="Arial" w:hAnsi="Arial" w:cs="Arial"/>
          <w:b/>
          <w:bCs/>
          <w:sz w:val="22"/>
          <w:szCs w:val="22"/>
        </w:rPr>
      </w:pPr>
    </w:p>
    <w:p w14:paraId="00FDCAED" w14:textId="77777777" w:rsidR="005B3DE0" w:rsidRDefault="005B3DE0" w:rsidP="00D2103B">
      <w:pPr>
        <w:spacing w:line="360" w:lineRule="auto"/>
        <w:jc w:val="both"/>
        <w:rPr>
          <w:rFonts w:ascii="Arial" w:hAnsi="Arial" w:cs="Arial"/>
          <w:b/>
          <w:bCs/>
          <w:sz w:val="22"/>
          <w:szCs w:val="22"/>
        </w:rPr>
      </w:pPr>
    </w:p>
    <w:p w14:paraId="486AC973" w14:textId="6811E1FF" w:rsidR="00D2103B" w:rsidRPr="00E658FA" w:rsidRDefault="00A40FA8" w:rsidP="00D2103B">
      <w:pPr>
        <w:spacing w:line="360" w:lineRule="auto"/>
        <w:jc w:val="both"/>
        <w:rPr>
          <w:rFonts w:ascii="Arial" w:hAnsi="Arial" w:cs="Arial"/>
          <w:b/>
          <w:bCs/>
          <w:sz w:val="22"/>
          <w:szCs w:val="22"/>
        </w:rPr>
      </w:pPr>
      <w:r w:rsidRPr="00E658FA">
        <w:rPr>
          <w:rFonts w:ascii="Arial" w:hAnsi="Arial" w:cs="Arial"/>
          <w:b/>
          <w:bCs/>
          <w:sz w:val="22"/>
          <w:szCs w:val="22"/>
        </w:rPr>
        <w:lastRenderedPageBreak/>
        <w:t>3.3 Phase III: Post-Mill Diversification (2023/24)</w:t>
      </w:r>
    </w:p>
    <w:p w14:paraId="43BF1F56" w14:textId="609A9034" w:rsidR="00D2103B" w:rsidRPr="00E658FA" w:rsidRDefault="00D2103B" w:rsidP="00D2103B">
      <w:pPr>
        <w:spacing w:line="360" w:lineRule="auto"/>
        <w:jc w:val="both"/>
        <w:rPr>
          <w:rFonts w:ascii="Arial" w:hAnsi="Arial" w:cs="Arial"/>
          <w:sz w:val="20"/>
          <w:szCs w:val="20"/>
        </w:rPr>
      </w:pPr>
      <w:r w:rsidRPr="00E658FA">
        <w:rPr>
          <w:rFonts w:ascii="Arial" w:hAnsi="Arial" w:cs="Arial"/>
          <w:sz w:val="20"/>
          <w:szCs w:val="20"/>
        </w:rPr>
        <w:t xml:space="preserve">The closure of the Jagiroad Paper Mill in 2017 marked a turning point in land use trajectories. The 2023/24 Sentinel-2 classification shows that bamboo stabilized at 258,243 ha (25% of the district), while new land-use categories emerged, reflecting diversification into cash crops such as rubber (13.3%) and tea/arecanut (9.5%) (Table </w:t>
      </w:r>
      <w:r w:rsidR="00147FA3">
        <w:rPr>
          <w:rFonts w:ascii="Arial" w:hAnsi="Arial" w:cs="Arial"/>
          <w:sz w:val="20"/>
          <w:szCs w:val="20"/>
        </w:rPr>
        <w:t>5</w:t>
      </w:r>
      <w:r w:rsidRPr="00E658FA">
        <w:rPr>
          <w:rFonts w:ascii="Arial" w:hAnsi="Arial" w:cs="Arial"/>
          <w:sz w:val="20"/>
          <w:szCs w:val="20"/>
        </w:rPr>
        <w:t>; Figure 4). Built-up areas expanded further to 14.4%, reflecting population growth and infrastructure development. Agriculture occupied 10.4%, while non-bamboo forests accounted for 27%.</w:t>
      </w:r>
    </w:p>
    <w:p w14:paraId="223264E6" w14:textId="490CE9B2" w:rsidR="000C6992" w:rsidRPr="00D93C68" w:rsidRDefault="0047252E" w:rsidP="000C6992">
      <w:pPr>
        <w:rPr>
          <w:rFonts w:ascii="Times New Roman" w:hAnsi="Times New Roman" w:cs="Times New Roman"/>
          <w:b/>
          <w:bCs/>
        </w:rPr>
      </w:pPr>
      <w:r w:rsidRPr="0047252E">
        <w:rPr>
          <w:rFonts w:ascii="Times New Roman" w:hAnsi="Times New Roman" w:cs="Times New Roman"/>
          <w:b/>
          <w:bCs/>
          <w:noProof/>
        </w:rPr>
        <w:drawing>
          <wp:inline distT="0" distB="0" distL="0" distR="0" wp14:anchorId="2404200E" wp14:editId="2A438D4C">
            <wp:extent cx="5731510" cy="4429125"/>
            <wp:effectExtent l="0" t="0" r="2540" b="9525"/>
            <wp:docPr id="585433253" name="Picture 14" descr="A map of land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33253" name="Picture 14" descr="A map of land cover&#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429125"/>
                    </a:xfrm>
                    <a:prstGeom prst="rect">
                      <a:avLst/>
                    </a:prstGeom>
                    <a:noFill/>
                    <a:ln>
                      <a:noFill/>
                    </a:ln>
                  </pic:spPr>
                </pic:pic>
              </a:graphicData>
            </a:graphic>
          </wp:inline>
        </w:drawing>
      </w:r>
    </w:p>
    <w:p w14:paraId="6501F25A" w14:textId="519D0C5F" w:rsidR="00D873E6" w:rsidRPr="006B31E5" w:rsidRDefault="00D873E6" w:rsidP="006B31E5">
      <w:pPr>
        <w:tabs>
          <w:tab w:val="left" w:pos="360"/>
        </w:tabs>
        <w:spacing w:after="0" w:line="360" w:lineRule="auto"/>
        <w:jc w:val="center"/>
        <w:rPr>
          <w:rFonts w:ascii="Times New Roman" w:hAnsi="Times New Roman" w:cs="Times New Roman"/>
          <w:i/>
          <w:iCs/>
        </w:rPr>
      </w:pPr>
      <w:bookmarkStart w:id="4" w:name="_Hlk207879038"/>
      <w:r w:rsidRPr="00D873E6">
        <w:rPr>
          <w:rFonts w:ascii="Times New Roman" w:hAnsi="Times New Roman" w:cs="Times New Roman"/>
          <w:i/>
          <w:iCs/>
        </w:rPr>
        <w:t>Source: Sentinel-2 MSI (2023/24); classification using Random Forest algorithm in Google Earth Engine; validated with 700 ground-truth samples.</w:t>
      </w:r>
    </w:p>
    <w:p w14:paraId="4A847BCA" w14:textId="04A9111B" w:rsidR="00D873E6" w:rsidRPr="00D80873" w:rsidRDefault="00D873E6" w:rsidP="000C6992">
      <w:pPr>
        <w:tabs>
          <w:tab w:val="left" w:pos="360"/>
        </w:tabs>
        <w:spacing w:after="0" w:line="360" w:lineRule="auto"/>
        <w:jc w:val="center"/>
        <w:rPr>
          <w:rFonts w:ascii="Arial" w:hAnsi="Arial" w:cs="Arial"/>
          <w:sz w:val="20"/>
          <w:szCs w:val="20"/>
        </w:rPr>
      </w:pPr>
      <w:r w:rsidRPr="00D80873">
        <w:rPr>
          <w:rFonts w:ascii="Arial" w:hAnsi="Arial" w:cs="Arial"/>
          <w:b/>
          <w:bCs/>
          <w:sz w:val="20"/>
          <w:szCs w:val="20"/>
        </w:rPr>
        <w:t>Figure 4.</w:t>
      </w:r>
      <w:r w:rsidRPr="00D80873">
        <w:rPr>
          <w:rFonts w:ascii="Arial" w:hAnsi="Arial" w:cs="Arial"/>
          <w:sz w:val="20"/>
          <w:szCs w:val="20"/>
        </w:rPr>
        <w:t xml:space="preserve"> Land use and land cover map of Karbi Anglong district, Assam, in 2023/24, generated from Sentinel-2 MSI imagery using the Random Forest algorithm. Bamboo remains a major land cover type alongside expanding rubber, tea and arecanut, agriculture, built-up areas, and waterbodies. </w:t>
      </w:r>
    </w:p>
    <w:p w14:paraId="1DD57B67" w14:textId="77777777" w:rsidR="003C2F91" w:rsidRPr="00D80873" w:rsidRDefault="003C2F91" w:rsidP="0099353F">
      <w:pPr>
        <w:tabs>
          <w:tab w:val="left" w:pos="360"/>
        </w:tabs>
        <w:spacing w:after="0" w:line="360" w:lineRule="auto"/>
        <w:rPr>
          <w:rFonts w:ascii="Arial" w:hAnsi="Arial" w:cs="Arial"/>
          <w:i/>
          <w:iCs/>
          <w:sz w:val="20"/>
          <w:szCs w:val="20"/>
        </w:rPr>
      </w:pPr>
    </w:p>
    <w:p w14:paraId="2846A9EF" w14:textId="77777777" w:rsidR="0099353F" w:rsidRDefault="0099353F" w:rsidP="0099353F">
      <w:pPr>
        <w:tabs>
          <w:tab w:val="left" w:pos="360"/>
        </w:tabs>
        <w:spacing w:after="0" w:line="360" w:lineRule="auto"/>
        <w:rPr>
          <w:rFonts w:ascii="Times New Roman" w:hAnsi="Times New Roman" w:cs="Times New Roman"/>
          <w:i/>
          <w:iCs/>
        </w:rPr>
      </w:pPr>
    </w:p>
    <w:p w14:paraId="2E66444D" w14:textId="77777777" w:rsidR="00D80873" w:rsidRDefault="00D80873" w:rsidP="0099353F">
      <w:pPr>
        <w:tabs>
          <w:tab w:val="left" w:pos="360"/>
        </w:tabs>
        <w:spacing w:after="0" w:line="360" w:lineRule="auto"/>
        <w:rPr>
          <w:rFonts w:ascii="Times New Roman" w:hAnsi="Times New Roman" w:cs="Times New Roman"/>
          <w:i/>
          <w:iCs/>
        </w:rPr>
      </w:pPr>
    </w:p>
    <w:p w14:paraId="381A67B3" w14:textId="77777777" w:rsidR="00D80873" w:rsidRDefault="00D80873" w:rsidP="0099353F">
      <w:pPr>
        <w:tabs>
          <w:tab w:val="left" w:pos="360"/>
        </w:tabs>
        <w:spacing w:after="0" w:line="360" w:lineRule="auto"/>
        <w:rPr>
          <w:rFonts w:ascii="Times New Roman" w:hAnsi="Times New Roman" w:cs="Times New Roman"/>
          <w:i/>
          <w:iCs/>
        </w:rPr>
      </w:pPr>
    </w:p>
    <w:p w14:paraId="559501E6" w14:textId="77777777" w:rsidR="0064254B" w:rsidRDefault="0064254B" w:rsidP="0099353F">
      <w:pPr>
        <w:tabs>
          <w:tab w:val="left" w:pos="360"/>
        </w:tabs>
        <w:spacing w:after="0" w:line="360" w:lineRule="auto"/>
        <w:rPr>
          <w:rFonts w:ascii="Times New Roman" w:hAnsi="Times New Roman" w:cs="Times New Roman"/>
          <w:i/>
          <w:iCs/>
        </w:rPr>
      </w:pPr>
    </w:p>
    <w:p w14:paraId="6648335B" w14:textId="365987F9" w:rsidR="000C6992" w:rsidRDefault="000C6992" w:rsidP="000C6992">
      <w:pPr>
        <w:tabs>
          <w:tab w:val="left" w:pos="360"/>
        </w:tabs>
        <w:spacing w:after="0" w:line="360" w:lineRule="auto"/>
        <w:jc w:val="center"/>
        <w:rPr>
          <w:rFonts w:ascii="Times New Roman" w:hAnsi="Times New Roman" w:cs="Times New Roman"/>
          <w:i/>
          <w:iCs/>
        </w:rPr>
      </w:pPr>
      <w:r w:rsidRPr="009D789A">
        <w:rPr>
          <w:rFonts w:ascii="Times New Roman" w:hAnsi="Times New Roman" w:cs="Times New Roman"/>
          <w:i/>
          <w:iCs/>
        </w:rPr>
        <w:lastRenderedPageBreak/>
        <w:t>Table</w:t>
      </w:r>
      <w:r w:rsidR="00F04D6F" w:rsidRPr="009D789A">
        <w:rPr>
          <w:rFonts w:ascii="Times New Roman" w:hAnsi="Times New Roman" w:cs="Times New Roman"/>
          <w:i/>
          <w:iCs/>
        </w:rPr>
        <w:t xml:space="preserve"> </w:t>
      </w:r>
      <w:r w:rsidR="00147FA3">
        <w:rPr>
          <w:rFonts w:ascii="Times New Roman" w:hAnsi="Times New Roman" w:cs="Times New Roman"/>
          <w:i/>
          <w:iCs/>
        </w:rPr>
        <w:t>5</w:t>
      </w:r>
      <w:r w:rsidR="00834AD3" w:rsidRPr="009D789A">
        <w:rPr>
          <w:rFonts w:ascii="Times New Roman" w:hAnsi="Times New Roman" w:cs="Times New Roman"/>
          <w:i/>
          <w:iCs/>
        </w:rPr>
        <w:t xml:space="preserve">. </w:t>
      </w:r>
      <w:r w:rsidRPr="009D789A">
        <w:rPr>
          <w:rFonts w:ascii="Times New Roman" w:hAnsi="Times New Roman" w:cs="Times New Roman"/>
          <w:i/>
          <w:iCs/>
        </w:rPr>
        <w:t xml:space="preserve">Land </w:t>
      </w:r>
      <w:r w:rsidR="00834AD3" w:rsidRPr="009D789A">
        <w:rPr>
          <w:rFonts w:ascii="Times New Roman" w:hAnsi="Times New Roman" w:cs="Times New Roman"/>
          <w:i/>
          <w:iCs/>
        </w:rPr>
        <w:t xml:space="preserve">use and </w:t>
      </w:r>
      <w:r w:rsidR="00F04D6F" w:rsidRPr="009D789A">
        <w:rPr>
          <w:rFonts w:ascii="Times New Roman" w:hAnsi="Times New Roman" w:cs="Times New Roman"/>
          <w:i/>
          <w:iCs/>
        </w:rPr>
        <w:t xml:space="preserve">land cover </w:t>
      </w:r>
      <w:r w:rsidR="00834AD3" w:rsidRPr="009D789A">
        <w:rPr>
          <w:rFonts w:ascii="Times New Roman" w:hAnsi="Times New Roman" w:cs="Times New Roman"/>
          <w:i/>
          <w:iCs/>
        </w:rPr>
        <w:t xml:space="preserve">distribution </w:t>
      </w:r>
      <w:r w:rsidRPr="009D789A">
        <w:rPr>
          <w:rFonts w:ascii="Times New Roman" w:hAnsi="Times New Roman" w:cs="Times New Roman"/>
          <w:i/>
          <w:iCs/>
        </w:rPr>
        <w:t>in Karbi Anglong, 2023-2024</w:t>
      </w:r>
    </w:p>
    <w:tbl>
      <w:tblPr>
        <w:tblStyle w:val="PlainTable1"/>
        <w:tblW w:w="8568" w:type="dxa"/>
        <w:tblLook w:val="04A0" w:firstRow="1" w:lastRow="0" w:firstColumn="1" w:lastColumn="0" w:noHBand="0" w:noVBand="1"/>
      </w:tblPr>
      <w:tblGrid>
        <w:gridCol w:w="2901"/>
        <w:gridCol w:w="2732"/>
        <w:gridCol w:w="2935"/>
      </w:tblGrid>
      <w:tr w:rsidR="009A1325" w:rsidRPr="009A1325" w14:paraId="1458B832" w14:textId="77777777" w:rsidTr="0099353F">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901" w:type="dxa"/>
            <w:hideMark/>
          </w:tcPr>
          <w:p w14:paraId="1450EF97" w14:textId="2EAC97C9" w:rsidR="009A1325" w:rsidRPr="009A1325" w:rsidRDefault="00673263" w:rsidP="009A1325">
            <w:pPr>
              <w:jc w:val="center"/>
              <w:rPr>
                <w:rFonts w:ascii="Arial" w:eastAsia="Times New Roman" w:hAnsi="Arial" w:cs="Arial"/>
                <w:color w:val="000000"/>
                <w:kern w:val="0"/>
                <w:sz w:val="20"/>
                <w:szCs w:val="20"/>
                <w:lang w:eastAsia="en-IN"/>
                <w14:ligatures w14:val="none"/>
              </w:rPr>
            </w:pPr>
            <w:r>
              <w:rPr>
                <w:rFonts w:ascii="Arial" w:eastAsia="Times New Roman" w:hAnsi="Arial" w:cs="Arial"/>
                <w:color w:val="000000"/>
                <w:kern w:val="0"/>
                <w:sz w:val="20"/>
                <w:szCs w:val="20"/>
                <w:lang w:eastAsia="en-IN"/>
                <w14:ligatures w14:val="none"/>
              </w:rPr>
              <w:t>Category</w:t>
            </w:r>
          </w:p>
        </w:tc>
        <w:tc>
          <w:tcPr>
            <w:tcW w:w="2732" w:type="dxa"/>
            <w:hideMark/>
          </w:tcPr>
          <w:p w14:paraId="000429E3" w14:textId="77777777" w:rsidR="009A1325" w:rsidRPr="009A1325" w:rsidRDefault="009A1325" w:rsidP="009A132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9A1325">
              <w:rPr>
                <w:rFonts w:ascii="Arial" w:eastAsia="Times New Roman" w:hAnsi="Arial" w:cs="Arial"/>
                <w:color w:val="000000"/>
                <w:kern w:val="0"/>
                <w:sz w:val="20"/>
                <w:szCs w:val="20"/>
                <w:lang w:eastAsia="en-IN"/>
                <w14:ligatures w14:val="none"/>
              </w:rPr>
              <w:t>Area in Ha</w:t>
            </w:r>
          </w:p>
        </w:tc>
        <w:tc>
          <w:tcPr>
            <w:tcW w:w="2935" w:type="dxa"/>
            <w:hideMark/>
          </w:tcPr>
          <w:p w14:paraId="3AC78C28" w14:textId="26DA45CB" w:rsidR="009A1325" w:rsidRPr="009A1325" w:rsidRDefault="009A1325" w:rsidP="009A132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9A1325">
              <w:rPr>
                <w:rFonts w:ascii="Arial" w:eastAsia="Times New Roman" w:hAnsi="Arial" w:cs="Arial"/>
                <w:color w:val="000000"/>
                <w:kern w:val="0"/>
                <w:sz w:val="20"/>
                <w:szCs w:val="20"/>
                <w:lang w:eastAsia="en-IN"/>
                <w14:ligatures w14:val="none"/>
              </w:rPr>
              <w:t>Percentage</w:t>
            </w:r>
            <w:r w:rsidRPr="0099353F">
              <w:rPr>
                <w:rFonts w:ascii="Arial" w:eastAsia="Times New Roman" w:hAnsi="Arial" w:cs="Arial"/>
                <w:b w:val="0"/>
                <w:bCs w:val="0"/>
                <w:color w:val="000000"/>
                <w:kern w:val="0"/>
                <w:sz w:val="20"/>
                <w:szCs w:val="20"/>
                <w:lang w:eastAsia="en-IN"/>
                <w14:ligatures w14:val="none"/>
              </w:rPr>
              <w:t xml:space="preserve"> (%)</w:t>
            </w:r>
          </w:p>
        </w:tc>
      </w:tr>
      <w:tr w:rsidR="009A1325" w:rsidRPr="009A1325" w14:paraId="44E2A696" w14:textId="77777777" w:rsidTr="0099353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01" w:type="dxa"/>
            <w:noWrap/>
            <w:hideMark/>
          </w:tcPr>
          <w:p w14:paraId="2A9F1974" w14:textId="77777777" w:rsidR="009A1325" w:rsidRPr="00673263" w:rsidRDefault="009A1325" w:rsidP="009A1325">
            <w:pPr>
              <w:rPr>
                <w:rFonts w:ascii="Arial" w:eastAsia="Times New Roman" w:hAnsi="Arial" w:cs="Arial"/>
                <w:color w:val="000000"/>
                <w:kern w:val="0"/>
                <w:sz w:val="22"/>
                <w:szCs w:val="22"/>
                <w:lang w:eastAsia="en-IN"/>
                <w14:ligatures w14:val="none"/>
              </w:rPr>
            </w:pPr>
            <w:r w:rsidRPr="00673263">
              <w:rPr>
                <w:rFonts w:ascii="Arial" w:eastAsia="Times New Roman" w:hAnsi="Arial" w:cs="Arial"/>
                <w:color w:val="000000"/>
                <w:kern w:val="0"/>
                <w:sz w:val="22"/>
                <w:szCs w:val="22"/>
                <w:lang w:eastAsia="en-IN"/>
                <w14:ligatures w14:val="none"/>
              </w:rPr>
              <w:t>Water Bodies</w:t>
            </w:r>
          </w:p>
        </w:tc>
        <w:tc>
          <w:tcPr>
            <w:tcW w:w="2732" w:type="dxa"/>
            <w:noWrap/>
            <w:hideMark/>
          </w:tcPr>
          <w:p w14:paraId="34A02EF7" w14:textId="77777777" w:rsidR="009A1325" w:rsidRPr="009A1325" w:rsidRDefault="009A1325" w:rsidP="0099353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2"/>
                <w:szCs w:val="22"/>
                <w:lang w:eastAsia="en-IN"/>
                <w14:ligatures w14:val="none"/>
              </w:rPr>
            </w:pPr>
            <w:r w:rsidRPr="009A1325">
              <w:rPr>
                <w:rFonts w:ascii="Arial" w:eastAsia="Times New Roman" w:hAnsi="Arial" w:cs="Arial"/>
                <w:color w:val="000000"/>
                <w:kern w:val="0"/>
                <w:sz w:val="22"/>
                <w:szCs w:val="22"/>
                <w:lang w:eastAsia="en-IN"/>
                <w14:ligatures w14:val="none"/>
              </w:rPr>
              <w:t>6790</w:t>
            </w:r>
          </w:p>
        </w:tc>
        <w:tc>
          <w:tcPr>
            <w:tcW w:w="2935" w:type="dxa"/>
            <w:noWrap/>
            <w:hideMark/>
          </w:tcPr>
          <w:p w14:paraId="00367993" w14:textId="35B75D0B" w:rsidR="009A1325" w:rsidRPr="009A1325" w:rsidRDefault="009A1325" w:rsidP="0099353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2"/>
                <w:szCs w:val="22"/>
                <w:lang w:eastAsia="en-IN"/>
                <w14:ligatures w14:val="none"/>
              </w:rPr>
            </w:pPr>
            <w:r w:rsidRPr="009A1325">
              <w:rPr>
                <w:rFonts w:ascii="Arial" w:eastAsia="Times New Roman" w:hAnsi="Arial" w:cs="Arial"/>
                <w:color w:val="000000"/>
                <w:kern w:val="0"/>
                <w:sz w:val="22"/>
                <w:szCs w:val="22"/>
                <w:lang w:eastAsia="en-IN"/>
                <w14:ligatures w14:val="none"/>
              </w:rPr>
              <w:t>0.65</w:t>
            </w:r>
          </w:p>
        </w:tc>
      </w:tr>
      <w:tr w:rsidR="009A1325" w:rsidRPr="009A1325" w14:paraId="15B085A5" w14:textId="77777777" w:rsidTr="0099353F">
        <w:trPr>
          <w:trHeight w:val="274"/>
        </w:trPr>
        <w:tc>
          <w:tcPr>
            <w:cnfStyle w:val="001000000000" w:firstRow="0" w:lastRow="0" w:firstColumn="1" w:lastColumn="0" w:oddVBand="0" w:evenVBand="0" w:oddHBand="0" w:evenHBand="0" w:firstRowFirstColumn="0" w:firstRowLastColumn="0" w:lastRowFirstColumn="0" w:lastRowLastColumn="0"/>
            <w:tcW w:w="2901" w:type="dxa"/>
            <w:noWrap/>
            <w:hideMark/>
          </w:tcPr>
          <w:p w14:paraId="461DAC73" w14:textId="77777777" w:rsidR="009A1325" w:rsidRPr="00673263" w:rsidRDefault="009A1325" w:rsidP="009A1325">
            <w:pPr>
              <w:rPr>
                <w:rFonts w:ascii="Arial" w:eastAsia="Times New Roman" w:hAnsi="Arial" w:cs="Arial"/>
                <w:color w:val="000000"/>
                <w:kern w:val="0"/>
                <w:sz w:val="22"/>
                <w:szCs w:val="22"/>
                <w:lang w:eastAsia="en-IN"/>
                <w14:ligatures w14:val="none"/>
              </w:rPr>
            </w:pPr>
            <w:r w:rsidRPr="00673263">
              <w:rPr>
                <w:rFonts w:ascii="Arial" w:eastAsia="Times New Roman" w:hAnsi="Arial" w:cs="Arial"/>
                <w:color w:val="000000"/>
                <w:kern w:val="0"/>
                <w:sz w:val="22"/>
                <w:szCs w:val="22"/>
                <w:lang w:eastAsia="en-IN"/>
                <w14:ligatures w14:val="none"/>
              </w:rPr>
              <w:t>Forest</w:t>
            </w:r>
          </w:p>
        </w:tc>
        <w:tc>
          <w:tcPr>
            <w:tcW w:w="2732" w:type="dxa"/>
            <w:noWrap/>
            <w:hideMark/>
          </w:tcPr>
          <w:p w14:paraId="7B6D857A" w14:textId="77777777" w:rsidR="009A1325" w:rsidRPr="009A1325" w:rsidRDefault="009A1325" w:rsidP="0099353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2"/>
                <w:szCs w:val="22"/>
                <w:lang w:eastAsia="en-IN"/>
                <w14:ligatures w14:val="none"/>
              </w:rPr>
            </w:pPr>
            <w:r w:rsidRPr="009A1325">
              <w:rPr>
                <w:rFonts w:ascii="Arial" w:eastAsia="Times New Roman" w:hAnsi="Arial" w:cs="Arial"/>
                <w:color w:val="000000"/>
                <w:kern w:val="0"/>
                <w:sz w:val="22"/>
                <w:szCs w:val="22"/>
                <w:lang w:eastAsia="en-IN"/>
                <w14:ligatures w14:val="none"/>
              </w:rPr>
              <w:t>281438</w:t>
            </w:r>
          </w:p>
        </w:tc>
        <w:tc>
          <w:tcPr>
            <w:tcW w:w="2935" w:type="dxa"/>
            <w:noWrap/>
            <w:hideMark/>
          </w:tcPr>
          <w:p w14:paraId="33A68106" w14:textId="5A85995C" w:rsidR="009A1325" w:rsidRPr="009A1325" w:rsidRDefault="009A1325" w:rsidP="0099353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2"/>
                <w:szCs w:val="22"/>
                <w:lang w:eastAsia="en-IN"/>
                <w14:ligatures w14:val="none"/>
              </w:rPr>
            </w:pPr>
            <w:r w:rsidRPr="009A1325">
              <w:rPr>
                <w:rFonts w:ascii="Arial" w:eastAsia="Times New Roman" w:hAnsi="Arial" w:cs="Arial"/>
                <w:color w:val="000000"/>
                <w:kern w:val="0"/>
                <w:sz w:val="22"/>
                <w:szCs w:val="22"/>
                <w:lang w:eastAsia="en-IN"/>
                <w14:ligatures w14:val="none"/>
              </w:rPr>
              <w:t>26.97</w:t>
            </w:r>
          </w:p>
        </w:tc>
      </w:tr>
      <w:tr w:rsidR="009A1325" w:rsidRPr="009A1325" w14:paraId="6BCB07A7" w14:textId="77777777" w:rsidTr="0099353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01" w:type="dxa"/>
            <w:noWrap/>
            <w:hideMark/>
          </w:tcPr>
          <w:p w14:paraId="3003C2D7" w14:textId="77777777" w:rsidR="009A1325" w:rsidRPr="00673263" w:rsidRDefault="009A1325" w:rsidP="009A1325">
            <w:pPr>
              <w:rPr>
                <w:rFonts w:ascii="Arial" w:eastAsia="Times New Roman" w:hAnsi="Arial" w:cs="Arial"/>
                <w:color w:val="000000"/>
                <w:kern w:val="0"/>
                <w:sz w:val="22"/>
                <w:szCs w:val="22"/>
                <w:lang w:eastAsia="en-IN"/>
                <w14:ligatures w14:val="none"/>
              </w:rPr>
            </w:pPr>
            <w:r w:rsidRPr="00673263">
              <w:rPr>
                <w:rFonts w:ascii="Arial" w:eastAsia="Times New Roman" w:hAnsi="Arial" w:cs="Arial"/>
                <w:color w:val="000000"/>
                <w:kern w:val="0"/>
                <w:sz w:val="22"/>
                <w:szCs w:val="22"/>
                <w:lang w:eastAsia="en-IN"/>
                <w14:ligatures w14:val="none"/>
              </w:rPr>
              <w:t>Jhum Field</w:t>
            </w:r>
          </w:p>
        </w:tc>
        <w:tc>
          <w:tcPr>
            <w:tcW w:w="2732" w:type="dxa"/>
            <w:hideMark/>
          </w:tcPr>
          <w:p w14:paraId="1B5678EA" w14:textId="43CF2726" w:rsidR="009A1325" w:rsidRPr="009A1325" w:rsidRDefault="0099353F" w:rsidP="0099353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Pr>
                <w:rFonts w:ascii="Arial" w:eastAsia="Times New Roman" w:hAnsi="Arial" w:cs="Arial"/>
                <w:color w:val="000000"/>
                <w:kern w:val="0"/>
                <w:sz w:val="20"/>
                <w:szCs w:val="20"/>
                <w:lang w:eastAsia="en-IN"/>
                <w14:ligatures w14:val="none"/>
              </w:rPr>
              <w:t>---</w:t>
            </w:r>
          </w:p>
        </w:tc>
        <w:tc>
          <w:tcPr>
            <w:tcW w:w="2935" w:type="dxa"/>
            <w:noWrap/>
            <w:hideMark/>
          </w:tcPr>
          <w:p w14:paraId="5F69756F" w14:textId="7E63B011" w:rsidR="009A1325" w:rsidRPr="009A1325" w:rsidRDefault="0099353F" w:rsidP="0099353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2"/>
                <w:szCs w:val="22"/>
                <w:lang w:eastAsia="en-IN"/>
                <w14:ligatures w14:val="none"/>
              </w:rPr>
            </w:pPr>
            <w:r>
              <w:rPr>
                <w:rFonts w:ascii="Arial" w:eastAsia="Times New Roman" w:hAnsi="Arial" w:cs="Arial"/>
                <w:color w:val="000000"/>
                <w:kern w:val="0"/>
                <w:sz w:val="22"/>
                <w:szCs w:val="22"/>
                <w:lang w:eastAsia="en-IN"/>
                <w14:ligatures w14:val="none"/>
              </w:rPr>
              <w:t>---</w:t>
            </w:r>
          </w:p>
        </w:tc>
      </w:tr>
      <w:tr w:rsidR="009A1325" w:rsidRPr="009A1325" w14:paraId="73AB7F6D" w14:textId="77777777" w:rsidTr="0099353F">
        <w:trPr>
          <w:trHeight w:val="274"/>
        </w:trPr>
        <w:tc>
          <w:tcPr>
            <w:cnfStyle w:val="001000000000" w:firstRow="0" w:lastRow="0" w:firstColumn="1" w:lastColumn="0" w:oddVBand="0" w:evenVBand="0" w:oddHBand="0" w:evenHBand="0" w:firstRowFirstColumn="0" w:firstRowLastColumn="0" w:lastRowFirstColumn="0" w:lastRowLastColumn="0"/>
            <w:tcW w:w="2901" w:type="dxa"/>
            <w:noWrap/>
            <w:hideMark/>
          </w:tcPr>
          <w:p w14:paraId="66F173D2" w14:textId="77777777" w:rsidR="009A1325" w:rsidRPr="00673263" w:rsidRDefault="009A1325" w:rsidP="009A1325">
            <w:pPr>
              <w:rPr>
                <w:rFonts w:ascii="Arial" w:eastAsia="Times New Roman" w:hAnsi="Arial" w:cs="Arial"/>
                <w:color w:val="000000"/>
                <w:kern w:val="0"/>
                <w:sz w:val="22"/>
                <w:szCs w:val="22"/>
                <w:lang w:eastAsia="en-IN"/>
                <w14:ligatures w14:val="none"/>
              </w:rPr>
            </w:pPr>
            <w:r w:rsidRPr="00673263">
              <w:rPr>
                <w:rFonts w:ascii="Arial" w:eastAsia="Times New Roman" w:hAnsi="Arial" w:cs="Arial"/>
                <w:color w:val="000000"/>
                <w:kern w:val="0"/>
                <w:sz w:val="22"/>
                <w:szCs w:val="22"/>
                <w:lang w:eastAsia="en-IN"/>
                <w14:ligatures w14:val="none"/>
              </w:rPr>
              <w:t>Built-up</w:t>
            </w:r>
          </w:p>
        </w:tc>
        <w:tc>
          <w:tcPr>
            <w:tcW w:w="2732" w:type="dxa"/>
            <w:noWrap/>
            <w:hideMark/>
          </w:tcPr>
          <w:p w14:paraId="57F53DB1" w14:textId="77777777" w:rsidR="009A1325" w:rsidRPr="009A1325" w:rsidRDefault="009A1325" w:rsidP="0099353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2"/>
                <w:szCs w:val="22"/>
                <w:lang w:eastAsia="en-IN"/>
                <w14:ligatures w14:val="none"/>
              </w:rPr>
            </w:pPr>
            <w:r w:rsidRPr="009A1325">
              <w:rPr>
                <w:rFonts w:ascii="Arial" w:eastAsia="Times New Roman" w:hAnsi="Arial" w:cs="Arial"/>
                <w:color w:val="000000"/>
                <w:kern w:val="0"/>
                <w:sz w:val="22"/>
                <w:szCs w:val="22"/>
                <w:lang w:eastAsia="en-IN"/>
                <w14:ligatures w14:val="none"/>
              </w:rPr>
              <w:t>150561</w:t>
            </w:r>
          </w:p>
        </w:tc>
        <w:tc>
          <w:tcPr>
            <w:tcW w:w="2935" w:type="dxa"/>
            <w:noWrap/>
            <w:hideMark/>
          </w:tcPr>
          <w:p w14:paraId="764C998C" w14:textId="7735F5F5" w:rsidR="009A1325" w:rsidRPr="009A1325" w:rsidRDefault="009A1325" w:rsidP="0099353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2"/>
                <w:szCs w:val="22"/>
                <w:lang w:eastAsia="en-IN"/>
                <w14:ligatures w14:val="none"/>
              </w:rPr>
            </w:pPr>
            <w:r w:rsidRPr="009A1325">
              <w:rPr>
                <w:rFonts w:ascii="Arial" w:eastAsia="Times New Roman" w:hAnsi="Arial" w:cs="Arial"/>
                <w:color w:val="000000"/>
                <w:kern w:val="0"/>
                <w:sz w:val="22"/>
                <w:szCs w:val="22"/>
                <w:lang w:eastAsia="en-IN"/>
                <w14:ligatures w14:val="none"/>
              </w:rPr>
              <w:t>14.4</w:t>
            </w:r>
          </w:p>
        </w:tc>
      </w:tr>
      <w:tr w:rsidR="009A1325" w:rsidRPr="009A1325" w14:paraId="527351F0" w14:textId="77777777" w:rsidTr="0099353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01" w:type="dxa"/>
            <w:noWrap/>
            <w:hideMark/>
          </w:tcPr>
          <w:p w14:paraId="15446446" w14:textId="77777777" w:rsidR="009A1325" w:rsidRPr="00673263" w:rsidRDefault="009A1325" w:rsidP="009A1325">
            <w:pPr>
              <w:rPr>
                <w:rFonts w:ascii="Arial" w:eastAsia="Times New Roman" w:hAnsi="Arial" w:cs="Arial"/>
                <w:color w:val="000000"/>
                <w:kern w:val="0"/>
                <w:sz w:val="22"/>
                <w:szCs w:val="22"/>
                <w:lang w:eastAsia="en-IN"/>
                <w14:ligatures w14:val="none"/>
              </w:rPr>
            </w:pPr>
            <w:r w:rsidRPr="00673263">
              <w:rPr>
                <w:rFonts w:ascii="Arial" w:eastAsia="Times New Roman" w:hAnsi="Arial" w:cs="Arial"/>
                <w:color w:val="000000"/>
                <w:kern w:val="0"/>
                <w:sz w:val="22"/>
                <w:szCs w:val="22"/>
                <w:lang w:eastAsia="en-IN"/>
                <w14:ligatures w14:val="none"/>
              </w:rPr>
              <w:t>Agriculture</w:t>
            </w:r>
          </w:p>
        </w:tc>
        <w:tc>
          <w:tcPr>
            <w:tcW w:w="2732" w:type="dxa"/>
            <w:noWrap/>
            <w:hideMark/>
          </w:tcPr>
          <w:p w14:paraId="7BC785A7" w14:textId="77777777" w:rsidR="009A1325" w:rsidRPr="009A1325" w:rsidRDefault="009A1325" w:rsidP="0099353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2"/>
                <w:szCs w:val="22"/>
                <w:lang w:eastAsia="en-IN"/>
                <w14:ligatures w14:val="none"/>
              </w:rPr>
            </w:pPr>
            <w:r w:rsidRPr="009A1325">
              <w:rPr>
                <w:rFonts w:ascii="Arial" w:eastAsia="Times New Roman" w:hAnsi="Arial" w:cs="Arial"/>
                <w:color w:val="000000"/>
                <w:kern w:val="0"/>
                <w:sz w:val="22"/>
                <w:szCs w:val="22"/>
                <w:lang w:eastAsia="en-IN"/>
                <w14:ligatures w14:val="none"/>
              </w:rPr>
              <w:t>108095</w:t>
            </w:r>
          </w:p>
        </w:tc>
        <w:tc>
          <w:tcPr>
            <w:tcW w:w="2935" w:type="dxa"/>
            <w:noWrap/>
            <w:hideMark/>
          </w:tcPr>
          <w:p w14:paraId="305F48A9" w14:textId="222BDD19" w:rsidR="009A1325" w:rsidRPr="009A1325" w:rsidRDefault="009A1325" w:rsidP="0099353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2"/>
                <w:szCs w:val="22"/>
                <w:lang w:eastAsia="en-IN"/>
                <w14:ligatures w14:val="none"/>
              </w:rPr>
            </w:pPr>
            <w:r w:rsidRPr="009A1325">
              <w:rPr>
                <w:rFonts w:ascii="Arial" w:eastAsia="Times New Roman" w:hAnsi="Arial" w:cs="Arial"/>
                <w:color w:val="000000"/>
                <w:kern w:val="0"/>
                <w:sz w:val="22"/>
                <w:szCs w:val="22"/>
                <w:lang w:eastAsia="en-IN"/>
                <w14:ligatures w14:val="none"/>
              </w:rPr>
              <w:t>10.35</w:t>
            </w:r>
          </w:p>
        </w:tc>
      </w:tr>
      <w:tr w:rsidR="009A1325" w:rsidRPr="009A1325" w14:paraId="19A30473" w14:textId="77777777" w:rsidTr="0099353F">
        <w:trPr>
          <w:trHeight w:val="274"/>
        </w:trPr>
        <w:tc>
          <w:tcPr>
            <w:cnfStyle w:val="001000000000" w:firstRow="0" w:lastRow="0" w:firstColumn="1" w:lastColumn="0" w:oddVBand="0" w:evenVBand="0" w:oddHBand="0" w:evenHBand="0" w:firstRowFirstColumn="0" w:firstRowLastColumn="0" w:lastRowFirstColumn="0" w:lastRowLastColumn="0"/>
            <w:tcW w:w="2901" w:type="dxa"/>
            <w:noWrap/>
            <w:hideMark/>
          </w:tcPr>
          <w:p w14:paraId="2D1B3629" w14:textId="77777777" w:rsidR="009A1325" w:rsidRPr="00673263" w:rsidRDefault="009A1325" w:rsidP="009A1325">
            <w:pPr>
              <w:rPr>
                <w:rFonts w:ascii="Arial" w:eastAsia="Times New Roman" w:hAnsi="Arial" w:cs="Arial"/>
                <w:color w:val="000000"/>
                <w:kern w:val="0"/>
                <w:sz w:val="22"/>
                <w:szCs w:val="22"/>
                <w:lang w:eastAsia="en-IN"/>
                <w14:ligatures w14:val="none"/>
              </w:rPr>
            </w:pPr>
            <w:r w:rsidRPr="00673263">
              <w:rPr>
                <w:rFonts w:ascii="Arial" w:eastAsia="Times New Roman" w:hAnsi="Arial" w:cs="Arial"/>
                <w:color w:val="000000"/>
                <w:kern w:val="0"/>
                <w:sz w:val="22"/>
                <w:szCs w:val="22"/>
                <w:lang w:eastAsia="en-IN"/>
                <w14:ligatures w14:val="none"/>
              </w:rPr>
              <w:t>Bamboo</w:t>
            </w:r>
          </w:p>
        </w:tc>
        <w:tc>
          <w:tcPr>
            <w:tcW w:w="2732" w:type="dxa"/>
            <w:noWrap/>
            <w:hideMark/>
          </w:tcPr>
          <w:p w14:paraId="07F991CC" w14:textId="77777777" w:rsidR="009A1325" w:rsidRPr="009A1325" w:rsidRDefault="009A1325" w:rsidP="0099353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2"/>
                <w:szCs w:val="22"/>
                <w:lang w:eastAsia="en-IN"/>
                <w14:ligatures w14:val="none"/>
              </w:rPr>
            </w:pPr>
            <w:r w:rsidRPr="009A1325">
              <w:rPr>
                <w:rFonts w:ascii="Arial" w:eastAsia="Times New Roman" w:hAnsi="Arial" w:cs="Arial"/>
                <w:color w:val="000000"/>
                <w:kern w:val="0"/>
                <w:sz w:val="22"/>
                <w:szCs w:val="22"/>
                <w:lang w:eastAsia="en-IN"/>
                <w14:ligatures w14:val="none"/>
              </w:rPr>
              <w:t>258243</w:t>
            </w:r>
          </w:p>
        </w:tc>
        <w:tc>
          <w:tcPr>
            <w:tcW w:w="2935" w:type="dxa"/>
            <w:noWrap/>
            <w:hideMark/>
          </w:tcPr>
          <w:p w14:paraId="0C5AFCDB" w14:textId="0A581027" w:rsidR="009A1325" w:rsidRPr="009A1325" w:rsidRDefault="009A1325" w:rsidP="0099353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2"/>
                <w:szCs w:val="22"/>
                <w:lang w:eastAsia="en-IN"/>
                <w14:ligatures w14:val="none"/>
              </w:rPr>
            </w:pPr>
            <w:r w:rsidRPr="009A1325">
              <w:rPr>
                <w:rFonts w:ascii="Arial" w:eastAsia="Times New Roman" w:hAnsi="Arial" w:cs="Arial"/>
                <w:color w:val="000000"/>
                <w:kern w:val="0"/>
                <w:sz w:val="22"/>
                <w:szCs w:val="22"/>
                <w:lang w:eastAsia="en-IN"/>
                <w14:ligatures w14:val="none"/>
              </w:rPr>
              <w:t>24.74</w:t>
            </w:r>
          </w:p>
        </w:tc>
      </w:tr>
      <w:tr w:rsidR="009A1325" w:rsidRPr="009A1325" w14:paraId="4E62800E" w14:textId="77777777" w:rsidTr="0099353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01" w:type="dxa"/>
            <w:noWrap/>
            <w:hideMark/>
          </w:tcPr>
          <w:p w14:paraId="1DEE6DAC" w14:textId="77777777" w:rsidR="009A1325" w:rsidRPr="00673263" w:rsidRDefault="009A1325" w:rsidP="009A1325">
            <w:pPr>
              <w:rPr>
                <w:rFonts w:ascii="Arial" w:eastAsia="Times New Roman" w:hAnsi="Arial" w:cs="Arial"/>
                <w:color w:val="000000"/>
                <w:kern w:val="0"/>
                <w:sz w:val="22"/>
                <w:szCs w:val="22"/>
                <w:lang w:eastAsia="en-IN"/>
                <w14:ligatures w14:val="none"/>
              </w:rPr>
            </w:pPr>
            <w:r w:rsidRPr="00673263">
              <w:rPr>
                <w:rFonts w:ascii="Arial" w:eastAsia="Times New Roman" w:hAnsi="Arial" w:cs="Arial"/>
                <w:color w:val="000000"/>
                <w:kern w:val="0"/>
                <w:sz w:val="22"/>
                <w:szCs w:val="22"/>
                <w:lang w:eastAsia="en-IN"/>
                <w14:ligatures w14:val="none"/>
              </w:rPr>
              <w:t>Rubber</w:t>
            </w:r>
          </w:p>
        </w:tc>
        <w:tc>
          <w:tcPr>
            <w:tcW w:w="2732" w:type="dxa"/>
            <w:noWrap/>
            <w:hideMark/>
          </w:tcPr>
          <w:p w14:paraId="5EF2144F" w14:textId="77777777" w:rsidR="009A1325" w:rsidRPr="009A1325" w:rsidRDefault="009A1325" w:rsidP="0099353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2"/>
                <w:szCs w:val="22"/>
                <w:lang w:eastAsia="en-IN"/>
                <w14:ligatures w14:val="none"/>
              </w:rPr>
            </w:pPr>
            <w:r w:rsidRPr="009A1325">
              <w:rPr>
                <w:rFonts w:ascii="Arial" w:eastAsia="Times New Roman" w:hAnsi="Arial" w:cs="Arial"/>
                <w:color w:val="000000"/>
                <w:kern w:val="0"/>
                <w:sz w:val="22"/>
                <w:szCs w:val="22"/>
                <w:lang w:eastAsia="en-IN"/>
                <w14:ligatures w14:val="none"/>
              </w:rPr>
              <w:t>138940</w:t>
            </w:r>
          </w:p>
        </w:tc>
        <w:tc>
          <w:tcPr>
            <w:tcW w:w="2935" w:type="dxa"/>
            <w:noWrap/>
            <w:hideMark/>
          </w:tcPr>
          <w:p w14:paraId="0801F6B7" w14:textId="1D4E0E02" w:rsidR="009A1325" w:rsidRPr="009A1325" w:rsidRDefault="009A1325" w:rsidP="0099353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2"/>
                <w:szCs w:val="22"/>
                <w:lang w:eastAsia="en-IN"/>
                <w14:ligatures w14:val="none"/>
              </w:rPr>
            </w:pPr>
            <w:r w:rsidRPr="009A1325">
              <w:rPr>
                <w:rFonts w:ascii="Arial" w:eastAsia="Times New Roman" w:hAnsi="Arial" w:cs="Arial"/>
                <w:color w:val="000000"/>
                <w:kern w:val="0"/>
                <w:sz w:val="22"/>
                <w:szCs w:val="22"/>
                <w:lang w:eastAsia="en-IN"/>
                <w14:ligatures w14:val="none"/>
              </w:rPr>
              <w:t>13.</w:t>
            </w:r>
            <w:r w:rsidR="00CA7863">
              <w:rPr>
                <w:rFonts w:ascii="Arial" w:eastAsia="Times New Roman" w:hAnsi="Arial" w:cs="Arial"/>
                <w:color w:val="000000"/>
                <w:kern w:val="0"/>
                <w:sz w:val="22"/>
                <w:szCs w:val="22"/>
                <w:lang w:eastAsia="en-IN"/>
                <w14:ligatures w14:val="none"/>
              </w:rPr>
              <w:t>31</w:t>
            </w:r>
          </w:p>
        </w:tc>
      </w:tr>
      <w:tr w:rsidR="009A1325" w:rsidRPr="009A1325" w14:paraId="2A22450D" w14:textId="77777777" w:rsidTr="0099353F">
        <w:trPr>
          <w:trHeight w:val="265"/>
        </w:trPr>
        <w:tc>
          <w:tcPr>
            <w:cnfStyle w:val="001000000000" w:firstRow="0" w:lastRow="0" w:firstColumn="1" w:lastColumn="0" w:oddVBand="0" w:evenVBand="0" w:oddHBand="0" w:evenHBand="0" w:firstRowFirstColumn="0" w:firstRowLastColumn="0" w:lastRowFirstColumn="0" w:lastRowLastColumn="0"/>
            <w:tcW w:w="2901" w:type="dxa"/>
            <w:noWrap/>
            <w:hideMark/>
          </w:tcPr>
          <w:p w14:paraId="33D76E0E" w14:textId="77777777" w:rsidR="009A1325" w:rsidRPr="00673263" w:rsidRDefault="009A1325" w:rsidP="009A1325">
            <w:pPr>
              <w:rPr>
                <w:rFonts w:ascii="Arial" w:eastAsia="Times New Roman" w:hAnsi="Arial" w:cs="Arial"/>
                <w:color w:val="000000"/>
                <w:kern w:val="0"/>
                <w:sz w:val="22"/>
                <w:szCs w:val="22"/>
                <w:lang w:eastAsia="en-IN"/>
                <w14:ligatures w14:val="none"/>
              </w:rPr>
            </w:pPr>
            <w:r w:rsidRPr="00673263">
              <w:rPr>
                <w:rFonts w:ascii="Arial" w:eastAsia="Times New Roman" w:hAnsi="Arial" w:cs="Arial"/>
                <w:color w:val="000000"/>
                <w:kern w:val="0"/>
                <w:sz w:val="22"/>
                <w:szCs w:val="22"/>
                <w:lang w:eastAsia="en-IN"/>
                <w14:ligatures w14:val="none"/>
              </w:rPr>
              <w:t>Tea &amp; Arecanut</w:t>
            </w:r>
          </w:p>
        </w:tc>
        <w:tc>
          <w:tcPr>
            <w:tcW w:w="2732" w:type="dxa"/>
            <w:noWrap/>
            <w:hideMark/>
          </w:tcPr>
          <w:p w14:paraId="6AA5E82C" w14:textId="77777777" w:rsidR="009A1325" w:rsidRPr="009A1325" w:rsidRDefault="009A1325" w:rsidP="0099353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2"/>
                <w:szCs w:val="22"/>
                <w:lang w:eastAsia="en-IN"/>
                <w14:ligatures w14:val="none"/>
              </w:rPr>
            </w:pPr>
            <w:r w:rsidRPr="009A1325">
              <w:rPr>
                <w:rFonts w:ascii="Arial" w:eastAsia="Times New Roman" w:hAnsi="Arial" w:cs="Arial"/>
                <w:color w:val="000000"/>
                <w:kern w:val="0"/>
                <w:sz w:val="22"/>
                <w:szCs w:val="22"/>
                <w:lang w:eastAsia="en-IN"/>
                <w14:ligatures w14:val="none"/>
              </w:rPr>
              <w:t>99361</w:t>
            </w:r>
          </w:p>
        </w:tc>
        <w:tc>
          <w:tcPr>
            <w:tcW w:w="2935" w:type="dxa"/>
            <w:noWrap/>
            <w:hideMark/>
          </w:tcPr>
          <w:p w14:paraId="79C8DF0F" w14:textId="579E63DA" w:rsidR="009A1325" w:rsidRPr="009A1325" w:rsidRDefault="009A1325" w:rsidP="0099353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2"/>
                <w:szCs w:val="22"/>
                <w:lang w:eastAsia="en-IN"/>
                <w14:ligatures w14:val="none"/>
              </w:rPr>
            </w:pPr>
            <w:r w:rsidRPr="009A1325">
              <w:rPr>
                <w:rFonts w:ascii="Arial" w:eastAsia="Times New Roman" w:hAnsi="Arial" w:cs="Arial"/>
                <w:color w:val="000000"/>
                <w:kern w:val="0"/>
                <w:sz w:val="22"/>
                <w:szCs w:val="22"/>
                <w:lang w:eastAsia="en-IN"/>
                <w14:ligatures w14:val="none"/>
              </w:rPr>
              <w:t>9.52</w:t>
            </w:r>
          </w:p>
        </w:tc>
      </w:tr>
    </w:tbl>
    <w:bookmarkEnd w:id="4"/>
    <w:p w14:paraId="72D4155D" w14:textId="77777777" w:rsidR="00602AF0" w:rsidRDefault="009D789A" w:rsidP="00D2103B">
      <w:pPr>
        <w:spacing w:line="360" w:lineRule="auto"/>
        <w:jc w:val="both"/>
        <w:rPr>
          <w:rFonts w:ascii="Arial" w:hAnsi="Arial" w:cs="Arial"/>
          <w:sz w:val="20"/>
          <w:szCs w:val="20"/>
        </w:rPr>
      </w:pPr>
      <w:r w:rsidRPr="00FD0D19">
        <w:rPr>
          <w:rFonts w:ascii="Arial" w:hAnsi="Arial" w:cs="Arial"/>
          <w:b/>
          <w:bCs/>
          <w:sz w:val="20"/>
          <w:szCs w:val="20"/>
        </w:rPr>
        <w:t>Note.</w:t>
      </w:r>
      <w:r w:rsidRPr="00FD0D19">
        <w:rPr>
          <w:rFonts w:ascii="Arial" w:hAnsi="Arial" w:cs="Arial"/>
          <w:sz w:val="20"/>
          <w:szCs w:val="20"/>
        </w:rPr>
        <w:t xml:space="preserve"> Data generated by the author from classified land-use maps (Sentinel-2 MSI, 2023/24).</w:t>
      </w:r>
    </w:p>
    <w:p w14:paraId="162208ED" w14:textId="7ED95663" w:rsidR="00D2103B" w:rsidRDefault="00D2103B" w:rsidP="00D2103B">
      <w:pPr>
        <w:spacing w:line="360" w:lineRule="auto"/>
        <w:jc w:val="both"/>
        <w:rPr>
          <w:rFonts w:ascii="Arial" w:hAnsi="Arial" w:cs="Arial"/>
          <w:sz w:val="20"/>
          <w:szCs w:val="20"/>
        </w:rPr>
      </w:pPr>
      <w:r w:rsidRPr="00FD0D19">
        <w:rPr>
          <w:rFonts w:ascii="Arial" w:hAnsi="Arial" w:cs="Arial"/>
          <w:sz w:val="20"/>
          <w:szCs w:val="20"/>
        </w:rPr>
        <w:t>Comparative analysis across the three phases (1993, 2014, and 2023/24) shows the near-disappearance of jhum cultivation, stabilization of bamboo plantations, and steady expansion of built-up land (</w:t>
      </w:r>
      <w:r w:rsidR="003062A3">
        <w:rPr>
          <w:rFonts w:ascii="Arial" w:hAnsi="Arial" w:cs="Arial"/>
          <w:sz w:val="20"/>
          <w:szCs w:val="20"/>
        </w:rPr>
        <w:t xml:space="preserve">Table </w:t>
      </w:r>
      <w:r w:rsidR="00147FA3">
        <w:rPr>
          <w:rFonts w:ascii="Arial" w:hAnsi="Arial" w:cs="Arial"/>
          <w:sz w:val="20"/>
          <w:szCs w:val="20"/>
        </w:rPr>
        <w:t>6</w:t>
      </w:r>
      <w:r w:rsidRPr="00FD0D19">
        <w:rPr>
          <w:rFonts w:ascii="Arial" w:hAnsi="Arial" w:cs="Arial"/>
          <w:sz w:val="20"/>
          <w:szCs w:val="20"/>
        </w:rPr>
        <w:t>). The diversification into rubber, tea, and arecanut underscores household adaptation strategies in the post-industrial context, reducing reliance on bamboo alone while reshaping the district into a multi-crop, market-oriented landscape.</w:t>
      </w:r>
    </w:p>
    <w:p w14:paraId="275F7529" w14:textId="6D620775" w:rsidR="00E23FEF" w:rsidRDefault="00E23FEF" w:rsidP="003062A3">
      <w:pPr>
        <w:spacing w:after="0" w:line="360" w:lineRule="auto"/>
        <w:jc w:val="center"/>
        <w:rPr>
          <w:rFonts w:ascii="Arial" w:hAnsi="Arial" w:cs="Arial"/>
          <w:sz w:val="20"/>
          <w:szCs w:val="20"/>
        </w:rPr>
      </w:pPr>
      <w:r w:rsidRPr="003062A3">
        <w:rPr>
          <w:rFonts w:ascii="Arial" w:hAnsi="Arial" w:cs="Arial"/>
          <w:i/>
          <w:iCs/>
          <w:sz w:val="20"/>
          <w:szCs w:val="20"/>
        </w:rPr>
        <w:t>Table</w:t>
      </w:r>
      <w:r w:rsidR="003062A3" w:rsidRPr="003062A3">
        <w:rPr>
          <w:rFonts w:ascii="Arial" w:hAnsi="Arial" w:cs="Arial"/>
          <w:i/>
          <w:iCs/>
          <w:sz w:val="20"/>
          <w:szCs w:val="20"/>
        </w:rPr>
        <w:t xml:space="preserve"> </w:t>
      </w:r>
      <w:r w:rsidR="00147FA3">
        <w:rPr>
          <w:rFonts w:ascii="Arial" w:hAnsi="Arial" w:cs="Arial"/>
          <w:i/>
          <w:iCs/>
          <w:sz w:val="20"/>
          <w:szCs w:val="20"/>
        </w:rPr>
        <w:t>6</w:t>
      </w:r>
      <w:r w:rsidR="003062A3" w:rsidRPr="003062A3">
        <w:rPr>
          <w:rFonts w:ascii="Arial" w:hAnsi="Arial" w:cs="Arial"/>
          <w:i/>
          <w:iCs/>
          <w:sz w:val="20"/>
          <w:szCs w:val="20"/>
        </w:rPr>
        <w:t>.</w:t>
      </w:r>
      <w:r w:rsidRPr="003062A3">
        <w:rPr>
          <w:rFonts w:ascii="Arial" w:hAnsi="Arial" w:cs="Arial"/>
          <w:i/>
          <w:iCs/>
          <w:sz w:val="20"/>
          <w:szCs w:val="20"/>
        </w:rPr>
        <w:t xml:space="preserve"> </w:t>
      </w:r>
      <w:r w:rsidR="00C41624">
        <w:rPr>
          <w:rFonts w:ascii="Arial" w:hAnsi="Arial" w:cs="Arial"/>
          <w:i/>
          <w:iCs/>
          <w:sz w:val="20"/>
          <w:szCs w:val="20"/>
        </w:rPr>
        <w:t>Percentage distribution of land-use land-cover (LULC) classes in Karbi Anglong for 1993, 2014, and 2023/24</w:t>
      </w:r>
    </w:p>
    <w:tbl>
      <w:tblPr>
        <w:tblStyle w:val="PlainTable1"/>
        <w:tblW w:w="7872" w:type="dxa"/>
        <w:tblInd w:w="1129" w:type="dxa"/>
        <w:tblLook w:val="04A0" w:firstRow="1" w:lastRow="0" w:firstColumn="1" w:lastColumn="0" w:noHBand="0" w:noVBand="1"/>
      </w:tblPr>
      <w:tblGrid>
        <w:gridCol w:w="1848"/>
        <w:gridCol w:w="1842"/>
        <w:gridCol w:w="1842"/>
        <w:gridCol w:w="2340"/>
      </w:tblGrid>
      <w:tr w:rsidR="00C41624" w:rsidRPr="00C41624" w14:paraId="76DFFB65" w14:textId="77777777" w:rsidTr="00C41624">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848" w:type="dxa"/>
            <w:hideMark/>
          </w:tcPr>
          <w:p w14:paraId="129194E0" w14:textId="77777777" w:rsidR="00C41624" w:rsidRPr="00C41624" w:rsidRDefault="00C41624" w:rsidP="00C41624">
            <w:pPr>
              <w:spacing w:after="160" w:line="360" w:lineRule="auto"/>
              <w:jc w:val="both"/>
              <w:rPr>
                <w:rFonts w:ascii="Arial" w:hAnsi="Arial" w:cs="Arial"/>
                <w:sz w:val="20"/>
                <w:szCs w:val="20"/>
              </w:rPr>
            </w:pPr>
            <w:r w:rsidRPr="00C41624">
              <w:rPr>
                <w:rFonts w:ascii="Arial" w:hAnsi="Arial" w:cs="Arial"/>
                <w:sz w:val="20"/>
                <w:szCs w:val="20"/>
              </w:rPr>
              <w:t>Class</w:t>
            </w:r>
          </w:p>
        </w:tc>
        <w:tc>
          <w:tcPr>
            <w:tcW w:w="0" w:type="auto"/>
            <w:hideMark/>
          </w:tcPr>
          <w:p w14:paraId="7609101E" w14:textId="77777777" w:rsidR="00C41624" w:rsidRPr="00C41624" w:rsidRDefault="00C41624" w:rsidP="00C41624">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41624">
              <w:rPr>
                <w:rFonts w:ascii="Arial" w:hAnsi="Arial" w:cs="Arial"/>
                <w:sz w:val="20"/>
                <w:szCs w:val="20"/>
              </w:rPr>
              <w:t>1993 (%)</w:t>
            </w:r>
          </w:p>
        </w:tc>
        <w:tc>
          <w:tcPr>
            <w:tcW w:w="0" w:type="auto"/>
            <w:hideMark/>
          </w:tcPr>
          <w:p w14:paraId="54BC3852" w14:textId="77777777" w:rsidR="00C41624" w:rsidRPr="00C41624" w:rsidRDefault="00C41624" w:rsidP="00C41624">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41624">
              <w:rPr>
                <w:rFonts w:ascii="Arial" w:hAnsi="Arial" w:cs="Arial"/>
                <w:sz w:val="20"/>
                <w:szCs w:val="20"/>
              </w:rPr>
              <w:t>2014 (%)</w:t>
            </w:r>
          </w:p>
        </w:tc>
        <w:tc>
          <w:tcPr>
            <w:tcW w:w="0" w:type="auto"/>
            <w:hideMark/>
          </w:tcPr>
          <w:p w14:paraId="53C99182" w14:textId="77777777" w:rsidR="00C41624" w:rsidRPr="00C41624" w:rsidRDefault="00C41624" w:rsidP="00C41624">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41624">
              <w:rPr>
                <w:rFonts w:ascii="Arial" w:hAnsi="Arial" w:cs="Arial"/>
                <w:sz w:val="20"/>
                <w:szCs w:val="20"/>
              </w:rPr>
              <w:t>2023/24 (%)</w:t>
            </w:r>
          </w:p>
        </w:tc>
      </w:tr>
      <w:tr w:rsidR="00C41624" w:rsidRPr="00C41624" w14:paraId="7C8F6845" w14:textId="77777777" w:rsidTr="00C41624">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848" w:type="dxa"/>
            <w:hideMark/>
          </w:tcPr>
          <w:p w14:paraId="09BC435C" w14:textId="77777777" w:rsidR="00C41624" w:rsidRPr="00C41624" w:rsidRDefault="00C41624" w:rsidP="00C41624">
            <w:pPr>
              <w:spacing w:after="160" w:line="360" w:lineRule="auto"/>
              <w:jc w:val="both"/>
              <w:rPr>
                <w:rFonts w:ascii="Arial" w:hAnsi="Arial" w:cs="Arial"/>
                <w:sz w:val="20"/>
                <w:szCs w:val="20"/>
              </w:rPr>
            </w:pPr>
            <w:r w:rsidRPr="00C41624">
              <w:rPr>
                <w:rFonts w:ascii="Arial" w:hAnsi="Arial" w:cs="Arial"/>
                <w:sz w:val="20"/>
                <w:szCs w:val="20"/>
              </w:rPr>
              <w:t>Water Bodies</w:t>
            </w:r>
          </w:p>
        </w:tc>
        <w:tc>
          <w:tcPr>
            <w:tcW w:w="0" w:type="auto"/>
            <w:hideMark/>
          </w:tcPr>
          <w:p w14:paraId="1670E908" w14:textId="77777777" w:rsidR="00C41624" w:rsidRPr="00C41624" w:rsidRDefault="00C41624" w:rsidP="00C41624">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1624">
              <w:rPr>
                <w:rFonts w:ascii="Arial" w:hAnsi="Arial" w:cs="Arial"/>
                <w:sz w:val="20"/>
                <w:szCs w:val="20"/>
              </w:rPr>
              <w:t>4.73</w:t>
            </w:r>
          </w:p>
        </w:tc>
        <w:tc>
          <w:tcPr>
            <w:tcW w:w="0" w:type="auto"/>
            <w:hideMark/>
          </w:tcPr>
          <w:p w14:paraId="04A88BC3" w14:textId="2FCBD572" w:rsidR="00C41624" w:rsidRPr="00C41624" w:rsidRDefault="00C41624" w:rsidP="00C41624">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1624">
              <w:rPr>
                <w:rFonts w:ascii="Arial" w:hAnsi="Arial" w:cs="Arial"/>
                <w:sz w:val="20"/>
                <w:szCs w:val="20"/>
              </w:rPr>
              <w:t>4.5</w:t>
            </w:r>
            <w:r w:rsidR="0064254B">
              <w:rPr>
                <w:rFonts w:ascii="Arial" w:hAnsi="Arial" w:cs="Arial"/>
                <w:sz w:val="20"/>
                <w:szCs w:val="20"/>
              </w:rPr>
              <w:t>7</w:t>
            </w:r>
          </w:p>
        </w:tc>
        <w:tc>
          <w:tcPr>
            <w:tcW w:w="0" w:type="auto"/>
            <w:hideMark/>
          </w:tcPr>
          <w:p w14:paraId="51065FA0" w14:textId="77777777" w:rsidR="00C41624" w:rsidRPr="00C41624" w:rsidRDefault="00C41624" w:rsidP="00C41624">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1624">
              <w:rPr>
                <w:rFonts w:ascii="Arial" w:hAnsi="Arial" w:cs="Arial"/>
                <w:sz w:val="20"/>
                <w:szCs w:val="20"/>
              </w:rPr>
              <w:t>0.65</w:t>
            </w:r>
          </w:p>
        </w:tc>
      </w:tr>
      <w:tr w:rsidR="00C41624" w:rsidRPr="00C41624" w14:paraId="1C618B57" w14:textId="77777777" w:rsidTr="00C41624">
        <w:trPr>
          <w:trHeight w:val="388"/>
        </w:trPr>
        <w:tc>
          <w:tcPr>
            <w:cnfStyle w:val="001000000000" w:firstRow="0" w:lastRow="0" w:firstColumn="1" w:lastColumn="0" w:oddVBand="0" w:evenVBand="0" w:oddHBand="0" w:evenHBand="0" w:firstRowFirstColumn="0" w:firstRowLastColumn="0" w:lastRowFirstColumn="0" w:lastRowLastColumn="0"/>
            <w:tcW w:w="1848" w:type="dxa"/>
            <w:hideMark/>
          </w:tcPr>
          <w:p w14:paraId="24A01588" w14:textId="77777777" w:rsidR="00C41624" w:rsidRPr="00C41624" w:rsidRDefault="00C41624" w:rsidP="00C41624">
            <w:pPr>
              <w:spacing w:after="160" w:line="360" w:lineRule="auto"/>
              <w:jc w:val="both"/>
              <w:rPr>
                <w:rFonts w:ascii="Arial" w:hAnsi="Arial" w:cs="Arial"/>
                <w:sz w:val="20"/>
                <w:szCs w:val="20"/>
              </w:rPr>
            </w:pPr>
            <w:r w:rsidRPr="00C41624">
              <w:rPr>
                <w:rFonts w:ascii="Arial" w:hAnsi="Arial" w:cs="Arial"/>
                <w:sz w:val="20"/>
                <w:szCs w:val="20"/>
              </w:rPr>
              <w:t>Forest</w:t>
            </w:r>
          </w:p>
        </w:tc>
        <w:tc>
          <w:tcPr>
            <w:tcW w:w="0" w:type="auto"/>
            <w:hideMark/>
          </w:tcPr>
          <w:p w14:paraId="2C66BCA1" w14:textId="77777777" w:rsidR="00C41624" w:rsidRPr="00C41624" w:rsidRDefault="00C41624" w:rsidP="00C41624">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1624">
              <w:rPr>
                <w:rFonts w:ascii="Arial" w:hAnsi="Arial" w:cs="Arial"/>
                <w:sz w:val="20"/>
                <w:szCs w:val="20"/>
              </w:rPr>
              <w:t>48.97</w:t>
            </w:r>
          </w:p>
        </w:tc>
        <w:tc>
          <w:tcPr>
            <w:tcW w:w="0" w:type="auto"/>
            <w:hideMark/>
          </w:tcPr>
          <w:p w14:paraId="7C5F2521" w14:textId="77777777" w:rsidR="00C41624" w:rsidRPr="00C41624" w:rsidRDefault="00C41624" w:rsidP="00C41624">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1624">
              <w:rPr>
                <w:rFonts w:ascii="Arial" w:hAnsi="Arial" w:cs="Arial"/>
                <w:sz w:val="20"/>
                <w:szCs w:val="20"/>
              </w:rPr>
              <w:t>43.32</w:t>
            </w:r>
          </w:p>
        </w:tc>
        <w:tc>
          <w:tcPr>
            <w:tcW w:w="0" w:type="auto"/>
            <w:hideMark/>
          </w:tcPr>
          <w:p w14:paraId="69206F7A" w14:textId="77777777" w:rsidR="00C41624" w:rsidRPr="00C41624" w:rsidRDefault="00C41624" w:rsidP="00C41624">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1624">
              <w:rPr>
                <w:rFonts w:ascii="Arial" w:hAnsi="Arial" w:cs="Arial"/>
                <w:sz w:val="20"/>
                <w:szCs w:val="20"/>
              </w:rPr>
              <w:t>26.97</w:t>
            </w:r>
          </w:p>
        </w:tc>
      </w:tr>
      <w:tr w:rsidR="00C41624" w:rsidRPr="00C41624" w14:paraId="76BAE444" w14:textId="77777777" w:rsidTr="00C4162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848" w:type="dxa"/>
            <w:hideMark/>
          </w:tcPr>
          <w:p w14:paraId="652B5149" w14:textId="77777777" w:rsidR="00C41624" w:rsidRPr="00C41624" w:rsidRDefault="00C41624" w:rsidP="00C41624">
            <w:pPr>
              <w:spacing w:after="160" w:line="360" w:lineRule="auto"/>
              <w:jc w:val="both"/>
              <w:rPr>
                <w:rFonts w:ascii="Arial" w:hAnsi="Arial" w:cs="Arial"/>
                <w:sz w:val="20"/>
                <w:szCs w:val="20"/>
              </w:rPr>
            </w:pPr>
            <w:r w:rsidRPr="00C41624">
              <w:rPr>
                <w:rFonts w:ascii="Arial" w:hAnsi="Arial" w:cs="Arial"/>
                <w:sz w:val="20"/>
                <w:szCs w:val="20"/>
              </w:rPr>
              <w:t>Jhum Field</w:t>
            </w:r>
          </w:p>
        </w:tc>
        <w:tc>
          <w:tcPr>
            <w:tcW w:w="0" w:type="auto"/>
            <w:hideMark/>
          </w:tcPr>
          <w:p w14:paraId="49DA3EB4" w14:textId="77777777" w:rsidR="00C41624" w:rsidRPr="00C41624" w:rsidRDefault="00C41624" w:rsidP="00C41624">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1624">
              <w:rPr>
                <w:rFonts w:ascii="Arial" w:hAnsi="Arial" w:cs="Arial"/>
                <w:sz w:val="20"/>
                <w:szCs w:val="20"/>
              </w:rPr>
              <w:t>25.97</w:t>
            </w:r>
          </w:p>
        </w:tc>
        <w:tc>
          <w:tcPr>
            <w:tcW w:w="0" w:type="auto"/>
            <w:hideMark/>
          </w:tcPr>
          <w:p w14:paraId="54A4496B" w14:textId="77777777" w:rsidR="00C41624" w:rsidRPr="00C41624" w:rsidRDefault="00C41624" w:rsidP="00C41624">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1624">
              <w:rPr>
                <w:rFonts w:ascii="Arial" w:hAnsi="Arial" w:cs="Arial"/>
                <w:sz w:val="20"/>
                <w:szCs w:val="20"/>
              </w:rPr>
              <w:t>7.38</w:t>
            </w:r>
          </w:p>
        </w:tc>
        <w:tc>
          <w:tcPr>
            <w:tcW w:w="0" w:type="auto"/>
            <w:hideMark/>
          </w:tcPr>
          <w:p w14:paraId="3DA17965" w14:textId="77777777" w:rsidR="00C41624" w:rsidRPr="00C41624" w:rsidRDefault="00C41624" w:rsidP="00C41624">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1624">
              <w:rPr>
                <w:rFonts w:ascii="Arial" w:hAnsi="Arial" w:cs="Arial"/>
                <w:sz w:val="20"/>
                <w:szCs w:val="20"/>
              </w:rPr>
              <w:t>0.00</w:t>
            </w:r>
          </w:p>
        </w:tc>
      </w:tr>
      <w:tr w:rsidR="00C41624" w:rsidRPr="00C41624" w14:paraId="271BE791" w14:textId="77777777" w:rsidTr="00C41624">
        <w:trPr>
          <w:trHeight w:val="395"/>
        </w:trPr>
        <w:tc>
          <w:tcPr>
            <w:cnfStyle w:val="001000000000" w:firstRow="0" w:lastRow="0" w:firstColumn="1" w:lastColumn="0" w:oddVBand="0" w:evenVBand="0" w:oddHBand="0" w:evenHBand="0" w:firstRowFirstColumn="0" w:firstRowLastColumn="0" w:lastRowFirstColumn="0" w:lastRowLastColumn="0"/>
            <w:tcW w:w="1848" w:type="dxa"/>
            <w:hideMark/>
          </w:tcPr>
          <w:p w14:paraId="7AD3F6F7" w14:textId="77777777" w:rsidR="00C41624" w:rsidRPr="00C41624" w:rsidRDefault="00C41624" w:rsidP="00C41624">
            <w:pPr>
              <w:spacing w:after="160" w:line="360" w:lineRule="auto"/>
              <w:jc w:val="both"/>
              <w:rPr>
                <w:rFonts w:ascii="Arial" w:hAnsi="Arial" w:cs="Arial"/>
                <w:sz w:val="20"/>
                <w:szCs w:val="20"/>
              </w:rPr>
            </w:pPr>
            <w:r w:rsidRPr="00C41624">
              <w:rPr>
                <w:rFonts w:ascii="Arial" w:hAnsi="Arial" w:cs="Arial"/>
                <w:sz w:val="20"/>
                <w:szCs w:val="20"/>
              </w:rPr>
              <w:t>Built-up</w:t>
            </w:r>
          </w:p>
        </w:tc>
        <w:tc>
          <w:tcPr>
            <w:tcW w:w="0" w:type="auto"/>
            <w:hideMark/>
          </w:tcPr>
          <w:p w14:paraId="30B66215" w14:textId="77777777" w:rsidR="00C41624" w:rsidRPr="00C41624" w:rsidRDefault="00C41624" w:rsidP="00C41624">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1624">
              <w:rPr>
                <w:rFonts w:ascii="Arial" w:hAnsi="Arial" w:cs="Arial"/>
                <w:sz w:val="20"/>
                <w:szCs w:val="20"/>
              </w:rPr>
              <w:t>11.75</w:t>
            </w:r>
          </w:p>
        </w:tc>
        <w:tc>
          <w:tcPr>
            <w:tcW w:w="0" w:type="auto"/>
            <w:hideMark/>
          </w:tcPr>
          <w:p w14:paraId="5FDD9F50" w14:textId="77777777" w:rsidR="00C41624" w:rsidRPr="00C41624" w:rsidRDefault="00C41624" w:rsidP="00C41624">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1624">
              <w:rPr>
                <w:rFonts w:ascii="Arial" w:hAnsi="Arial" w:cs="Arial"/>
                <w:sz w:val="20"/>
                <w:szCs w:val="20"/>
              </w:rPr>
              <w:t>12.33</w:t>
            </w:r>
          </w:p>
        </w:tc>
        <w:tc>
          <w:tcPr>
            <w:tcW w:w="0" w:type="auto"/>
            <w:hideMark/>
          </w:tcPr>
          <w:p w14:paraId="5435982D" w14:textId="54BB9F49" w:rsidR="00C41624" w:rsidRPr="00C41624" w:rsidRDefault="00C41624" w:rsidP="00C41624">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1624">
              <w:rPr>
                <w:rFonts w:ascii="Arial" w:hAnsi="Arial" w:cs="Arial"/>
                <w:sz w:val="20"/>
                <w:szCs w:val="20"/>
              </w:rPr>
              <w:t>14.4</w:t>
            </w:r>
            <w:r w:rsidR="0064254B">
              <w:rPr>
                <w:rFonts w:ascii="Arial" w:hAnsi="Arial" w:cs="Arial"/>
                <w:sz w:val="20"/>
                <w:szCs w:val="20"/>
              </w:rPr>
              <w:t>0</w:t>
            </w:r>
          </w:p>
        </w:tc>
      </w:tr>
      <w:tr w:rsidR="00C41624" w:rsidRPr="00C41624" w14:paraId="5A86E624" w14:textId="77777777" w:rsidTr="00C4162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848" w:type="dxa"/>
            <w:hideMark/>
          </w:tcPr>
          <w:p w14:paraId="748F6AC2" w14:textId="77777777" w:rsidR="00C41624" w:rsidRPr="00C41624" w:rsidRDefault="00C41624" w:rsidP="00C41624">
            <w:pPr>
              <w:spacing w:after="160" w:line="360" w:lineRule="auto"/>
              <w:jc w:val="both"/>
              <w:rPr>
                <w:rFonts w:ascii="Arial" w:hAnsi="Arial" w:cs="Arial"/>
                <w:sz w:val="20"/>
                <w:szCs w:val="20"/>
              </w:rPr>
            </w:pPr>
            <w:r w:rsidRPr="00C41624">
              <w:rPr>
                <w:rFonts w:ascii="Arial" w:hAnsi="Arial" w:cs="Arial"/>
                <w:sz w:val="20"/>
                <w:szCs w:val="20"/>
              </w:rPr>
              <w:t>Agriculture</w:t>
            </w:r>
          </w:p>
        </w:tc>
        <w:tc>
          <w:tcPr>
            <w:tcW w:w="0" w:type="auto"/>
            <w:hideMark/>
          </w:tcPr>
          <w:p w14:paraId="3CFF8073" w14:textId="275C94DF" w:rsidR="00C41624" w:rsidRPr="00C41624" w:rsidRDefault="00C41624" w:rsidP="00C41624">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1624">
              <w:rPr>
                <w:rFonts w:ascii="Arial" w:hAnsi="Arial" w:cs="Arial"/>
                <w:sz w:val="20"/>
                <w:szCs w:val="20"/>
              </w:rPr>
              <w:t>8.5</w:t>
            </w:r>
            <w:r w:rsidR="0064254B">
              <w:rPr>
                <w:rFonts w:ascii="Arial" w:hAnsi="Arial" w:cs="Arial"/>
                <w:sz w:val="20"/>
                <w:szCs w:val="20"/>
              </w:rPr>
              <w:t>8</w:t>
            </w:r>
          </w:p>
        </w:tc>
        <w:tc>
          <w:tcPr>
            <w:tcW w:w="0" w:type="auto"/>
            <w:hideMark/>
          </w:tcPr>
          <w:p w14:paraId="30EF8BE0" w14:textId="77777777" w:rsidR="00C41624" w:rsidRPr="00C41624" w:rsidRDefault="00C41624" w:rsidP="00C41624">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1624">
              <w:rPr>
                <w:rFonts w:ascii="Arial" w:hAnsi="Arial" w:cs="Arial"/>
                <w:sz w:val="20"/>
                <w:szCs w:val="20"/>
              </w:rPr>
              <w:t>7.67</w:t>
            </w:r>
          </w:p>
        </w:tc>
        <w:tc>
          <w:tcPr>
            <w:tcW w:w="0" w:type="auto"/>
            <w:hideMark/>
          </w:tcPr>
          <w:p w14:paraId="70D5F0E1" w14:textId="77777777" w:rsidR="00C41624" w:rsidRPr="00C41624" w:rsidRDefault="00C41624" w:rsidP="00C41624">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1624">
              <w:rPr>
                <w:rFonts w:ascii="Arial" w:hAnsi="Arial" w:cs="Arial"/>
                <w:sz w:val="20"/>
                <w:szCs w:val="20"/>
              </w:rPr>
              <w:t>10.36</w:t>
            </w:r>
          </w:p>
        </w:tc>
      </w:tr>
      <w:tr w:rsidR="00C41624" w:rsidRPr="00C41624" w14:paraId="52711C9A" w14:textId="77777777" w:rsidTr="00C41624">
        <w:trPr>
          <w:trHeight w:val="388"/>
        </w:trPr>
        <w:tc>
          <w:tcPr>
            <w:cnfStyle w:val="001000000000" w:firstRow="0" w:lastRow="0" w:firstColumn="1" w:lastColumn="0" w:oddVBand="0" w:evenVBand="0" w:oddHBand="0" w:evenHBand="0" w:firstRowFirstColumn="0" w:firstRowLastColumn="0" w:lastRowFirstColumn="0" w:lastRowLastColumn="0"/>
            <w:tcW w:w="1848" w:type="dxa"/>
            <w:hideMark/>
          </w:tcPr>
          <w:p w14:paraId="0437DD68" w14:textId="77777777" w:rsidR="00C41624" w:rsidRPr="00C41624" w:rsidRDefault="00C41624" w:rsidP="00C41624">
            <w:pPr>
              <w:spacing w:after="160" w:line="360" w:lineRule="auto"/>
              <w:jc w:val="both"/>
              <w:rPr>
                <w:rFonts w:ascii="Arial" w:hAnsi="Arial" w:cs="Arial"/>
                <w:sz w:val="20"/>
                <w:szCs w:val="20"/>
              </w:rPr>
            </w:pPr>
            <w:r w:rsidRPr="00C41624">
              <w:rPr>
                <w:rFonts w:ascii="Arial" w:hAnsi="Arial" w:cs="Arial"/>
                <w:sz w:val="20"/>
                <w:szCs w:val="20"/>
              </w:rPr>
              <w:t>Bamboo</w:t>
            </w:r>
          </w:p>
        </w:tc>
        <w:tc>
          <w:tcPr>
            <w:tcW w:w="0" w:type="auto"/>
            <w:hideMark/>
          </w:tcPr>
          <w:p w14:paraId="6E358897" w14:textId="77777777" w:rsidR="00C41624" w:rsidRPr="00C41624" w:rsidRDefault="00C41624" w:rsidP="00C41624">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1624">
              <w:rPr>
                <w:rFonts w:ascii="Arial" w:hAnsi="Arial" w:cs="Arial"/>
                <w:sz w:val="20"/>
                <w:szCs w:val="20"/>
              </w:rPr>
              <w:t>—</w:t>
            </w:r>
          </w:p>
        </w:tc>
        <w:tc>
          <w:tcPr>
            <w:tcW w:w="0" w:type="auto"/>
            <w:hideMark/>
          </w:tcPr>
          <w:p w14:paraId="16C5F056" w14:textId="77777777" w:rsidR="00C41624" w:rsidRPr="00C41624" w:rsidRDefault="00C41624" w:rsidP="00C41624">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1624">
              <w:rPr>
                <w:rFonts w:ascii="Arial" w:hAnsi="Arial" w:cs="Arial"/>
                <w:sz w:val="20"/>
                <w:szCs w:val="20"/>
              </w:rPr>
              <w:t>24.72</w:t>
            </w:r>
          </w:p>
        </w:tc>
        <w:tc>
          <w:tcPr>
            <w:tcW w:w="0" w:type="auto"/>
            <w:hideMark/>
          </w:tcPr>
          <w:p w14:paraId="42A1C0E0" w14:textId="77777777" w:rsidR="00C41624" w:rsidRPr="00C41624" w:rsidRDefault="00C41624" w:rsidP="00C41624">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1624">
              <w:rPr>
                <w:rFonts w:ascii="Arial" w:hAnsi="Arial" w:cs="Arial"/>
                <w:sz w:val="20"/>
                <w:szCs w:val="20"/>
              </w:rPr>
              <w:t>24.75</w:t>
            </w:r>
          </w:p>
        </w:tc>
      </w:tr>
      <w:tr w:rsidR="00C41624" w:rsidRPr="00C41624" w14:paraId="7C5D4409" w14:textId="77777777" w:rsidTr="00C41624">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848" w:type="dxa"/>
            <w:hideMark/>
          </w:tcPr>
          <w:p w14:paraId="586327DF" w14:textId="77777777" w:rsidR="00C41624" w:rsidRPr="00C41624" w:rsidRDefault="00C41624" w:rsidP="00C41624">
            <w:pPr>
              <w:spacing w:after="160" w:line="360" w:lineRule="auto"/>
              <w:jc w:val="both"/>
              <w:rPr>
                <w:rFonts w:ascii="Arial" w:hAnsi="Arial" w:cs="Arial"/>
                <w:sz w:val="20"/>
                <w:szCs w:val="20"/>
              </w:rPr>
            </w:pPr>
            <w:r w:rsidRPr="00C41624">
              <w:rPr>
                <w:rFonts w:ascii="Arial" w:hAnsi="Arial" w:cs="Arial"/>
                <w:sz w:val="20"/>
                <w:szCs w:val="20"/>
              </w:rPr>
              <w:t>Rubber</w:t>
            </w:r>
          </w:p>
        </w:tc>
        <w:tc>
          <w:tcPr>
            <w:tcW w:w="0" w:type="auto"/>
            <w:hideMark/>
          </w:tcPr>
          <w:p w14:paraId="6EFD6D60" w14:textId="77777777" w:rsidR="00C41624" w:rsidRPr="00C41624" w:rsidRDefault="00C41624" w:rsidP="00C41624">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1624">
              <w:rPr>
                <w:rFonts w:ascii="Arial" w:hAnsi="Arial" w:cs="Arial"/>
                <w:sz w:val="20"/>
                <w:szCs w:val="20"/>
              </w:rPr>
              <w:t>—</w:t>
            </w:r>
          </w:p>
        </w:tc>
        <w:tc>
          <w:tcPr>
            <w:tcW w:w="0" w:type="auto"/>
            <w:hideMark/>
          </w:tcPr>
          <w:p w14:paraId="0B59F423" w14:textId="77777777" w:rsidR="00C41624" w:rsidRPr="00C41624" w:rsidRDefault="00C41624" w:rsidP="00C41624">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1624">
              <w:rPr>
                <w:rFonts w:ascii="Arial" w:hAnsi="Arial" w:cs="Arial"/>
                <w:sz w:val="20"/>
                <w:szCs w:val="20"/>
              </w:rPr>
              <w:t>—</w:t>
            </w:r>
          </w:p>
        </w:tc>
        <w:tc>
          <w:tcPr>
            <w:tcW w:w="0" w:type="auto"/>
            <w:hideMark/>
          </w:tcPr>
          <w:p w14:paraId="14F7AAB9" w14:textId="77777777" w:rsidR="00C41624" w:rsidRPr="00C41624" w:rsidRDefault="00C41624" w:rsidP="00C41624">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1624">
              <w:rPr>
                <w:rFonts w:ascii="Arial" w:hAnsi="Arial" w:cs="Arial"/>
                <w:sz w:val="20"/>
                <w:szCs w:val="20"/>
              </w:rPr>
              <w:t>13.31</w:t>
            </w:r>
          </w:p>
        </w:tc>
      </w:tr>
      <w:tr w:rsidR="00C41624" w:rsidRPr="00C41624" w14:paraId="34FF7D8E" w14:textId="77777777" w:rsidTr="00C41624">
        <w:trPr>
          <w:trHeight w:val="388"/>
        </w:trPr>
        <w:tc>
          <w:tcPr>
            <w:cnfStyle w:val="001000000000" w:firstRow="0" w:lastRow="0" w:firstColumn="1" w:lastColumn="0" w:oddVBand="0" w:evenVBand="0" w:oddHBand="0" w:evenHBand="0" w:firstRowFirstColumn="0" w:firstRowLastColumn="0" w:lastRowFirstColumn="0" w:lastRowLastColumn="0"/>
            <w:tcW w:w="1848" w:type="dxa"/>
            <w:hideMark/>
          </w:tcPr>
          <w:p w14:paraId="2107FC64" w14:textId="77777777" w:rsidR="00C41624" w:rsidRPr="00C41624" w:rsidRDefault="00C41624" w:rsidP="00C41624">
            <w:pPr>
              <w:spacing w:after="160" w:line="360" w:lineRule="auto"/>
              <w:jc w:val="both"/>
              <w:rPr>
                <w:rFonts w:ascii="Arial" w:hAnsi="Arial" w:cs="Arial"/>
                <w:sz w:val="20"/>
                <w:szCs w:val="20"/>
              </w:rPr>
            </w:pPr>
            <w:r w:rsidRPr="00C41624">
              <w:rPr>
                <w:rFonts w:ascii="Arial" w:hAnsi="Arial" w:cs="Arial"/>
                <w:sz w:val="20"/>
                <w:szCs w:val="20"/>
              </w:rPr>
              <w:t>Tea &amp; Arecanut</w:t>
            </w:r>
          </w:p>
        </w:tc>
        <w:tc>
          <w:tcPr>
            <w:tcW w:w="0" w:type="auto"/>
            <w:hideMark/>
          </w:tcPr>
          <w:p w14:paraId="4A6A4A31" w14:textId="77777777" w:rsidR="00C41624" w:rsidRPr="00C41624" w:rsidRDefault="00C41624" w:rsidP="00C41624">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1624">
              <w:rPr>
                <w:rFonts w:ascii="Arial" w:hAnsi="Arial" w:cs="Arial"/>
                <w:sz w:val="20"/>
                <w:szCs w:val="20"/>
              </w:rPr>
              <w:t>—</w:t>
            </w:r>
          </w:p>
        </w:tc>
        <w:tc>
          <w:tcPr>
            <w:tcW w:w="0" w:type="auto"/>
            <w:hideMark/>
          </w:tcPr>
          <w:p w14:paraId="6AAD06AD" w14:textId="77777777" w:rsidR="00C41624" w:rsidRPr="00C41624" w:rsidRDefault="00C41624" w:rsidP="00C41624">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1624">
              <w:rPr>
                <w:rFonts w:ascii="Arial" w:hAnsi="Arial" w:cs="Arial"/>
                <w:sz w:val="20"/>
                <w:szCs w:val="20"/>
              </w:rPr>
              <w:t>—</w:t>
            </w:r>
          </w:p>
        </w:tc>
        <w:tc>
          <w:tcPr>
            <w:tcW w:w="0" w:type="auto"/>
            <w:hideMark/>
          </w:tcPr>
          <w:p w14:paraId="0AE602A0" w14:textId="77777777" w:rsidR="00C41624" w:rsidRPr="00C41624" w:rsidRDefault="00C41624" w:rsidP="00C41624">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1624">
              <w:rPr>
                <w:rFonts w:ascii="Arial" w:hAnsi="Arial" w:cs="Arial"/>
                <w:sz w:val="20"/>
                <w:szCs w:val="20"/>
              </w:rPr>
              <w:t>9.52</w:t>
            </w:r>
          </w:p>
        </w:tc>
      </w:tr>
    </w:tbl>
    <w:p w14:paraId="4EBF72B3" w14:textId="77777777" w:rsidR="00A30A2F" w:rsidRDefault="00A30A2F" w:rsidP="00D2103B">
      <w:pPr>
        <w:spacing w:line="360" w:lineRule="auto"/>
        <w:jc w:val="both"/>
        <w:rPr>
          <w:rFonts w:ascii="Arial" w:hAnsi="Arial" w:cs="Arial"/>
          <w:sz w:val="20"/>
          <w:szCs w:val="20"/>
        </w:rPr>
      </w:pPr>
    </w:p>
    <w:p w14:paraId="36BA0416" w14:textId="77777777" w:rsidR="00931A0B" w:rsidRPr="00FD0D19" w:rsidRDefault="00931A0B" w:rsidP="00D2103B">
      <w:pPr>
        <w:spacing w:line="360" w:lineRule="auto"/>
        <w:jc w:val="both"/>
        <w:rPr>
          <w:rFonts w:ascii="Arial" w:hAnsi="Arial" w:cs="Arial"/>
          <w:sz w:val="20"/>
          <w:szCs w:val="20"/>
        </w:rPr>
      </w:pPr>
    </w:p>
    <w:p w14:paraId="5E27EBF3" w14:textId="23985E76" w:rsidR="00CA046C" w:rsidRDefault="00CA046C" w:rsidP="00CA046C">
      <w:pPr>
        <w:spacing w:line="360" w:lineRule="auto"/>
        <w:ind w:left="720"/>
        <w:jc w:val="center"/>
        <w:rPr>
          <w:rFonts w:ascii="Times New Roman" w:hAnsi="Times New Roman" w:cs="Times New Roman"/>
          <w:b/>
          <w:bCs/>
        </w:rPr>
      </w:pPr>
    </w:p>
    <w:p w14:paraId="276C95D5" w14:textId="43B9FC73" w:rsidR="00CA046C" w:rsidRPr="006F42B6" w:rsidRDefault="00321864" w:rsidP="00CA1C17">
      <w:pPr>
        <w:spacing w:line="360" w:lineRule="auto"/>
        <w:ind w:left="720"/>
        <w:jc w:val="center"/>
        <w:rPr>
          <w:rFonts w:ascii="Times New Roman" w:hAnsi="Times New Roman" w:cs="Times New Roman"/>
          <w:b/>
          <w:bCs/>
        </w:rPr>
      </w:pPr>
      <w:r w:rsidRPr="00321864">
        <w:rPr>
          <w:rFonts w:ascii="Times New Roman" w:hAnsi="Times New Roman" w:cs="Times New Roman"/>
          <w:b/>
          <w:bCs/>
        </w:rPr>
        <w:lastRenderedPageBreak/>
        <w:drawing>
          <wp:inline distT="0" distB="0" distL="0" distR="0" wp14:anchorId="06FEA47A" wp14:editId="5C1DBF98">
            <wp:extent cx="5731510" cy="3258820"/>
            <wp:effectExtent l="0" t="0" r="2540" b="0"/>
            <wp:docPr id="18481856" name="Picture 2"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856" name="Picture 2" descr="A graph of different colored bar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58820"/>
                    </a:xfrm>
                    <a:prstGeom prst="rect">
                      <a:avLst/>
                    </a:prstGeom>
                    <a:noFill/>
                    <a:ln>
                      <a:noFill/>
                    </a:ln>
                  </pic:spPr>
                </pic:pic>
              </a:graphicData>
            </a:graphic>
          </wp:inline>
        </w:drawing>
      </w:r>
    </w:p>
    <w:p w14:paraId="6CED1412" w14:textId="3E943448" w:rsidR="00CA046C" w:rsidRPr="00CA1C17" w:rsidRDefault="00CA046C" w:rsidP="007F5663">
      <w:pPr>
        <w:spacing w:line="360" w:lineRule="auto"/>
        <w:ind w:left="720"/>
        <w:jc w:val="center"/>
        <w:rPr>
          <w:rFonts w:ascii="Arial" w:hAnsi="Arial" w:cs="Arial"/>
          <w:sz w:val="20"/>
          <w:szCs w:val="20"/>
        </w:rPr>
      </w:pPr>
      <w:bookmarkStart w:id="5" w:name="_Hlk207878718"/>
      <w:r w:rsidRPr="00CA1C17">
        <w:rPr>
          <w:rFonts w:ascii="Arial" w:hAnsi="Arial" w:cs="Arial"/>
          <w:sz w:val="20"/>
          <w:szCs w:val="20"/>
        </w:rPr>
        <w:t>Fig</w:t>
      </w:r>
      <w:r w:rsidR="005C768F" w:rsidRPr="00CA1C17">
        <w:rPr>
          <w:rFonts w:ascii="Arial" w:hAnsi="Arial" w:cs="Arial"/>
          <w:sz w:val="20"/>
          <w:szCs w:val="20"/>
        </w:rPr>
        <w:t>ure</w:t>
      </w:r>
      <w:r w:rsidRPr="00CA1C17">
        <w:rPr>
          <w:rFonts w:ascii="Arial" w:hAnsi="Arial" w:cs="Arial"/>
          <w:sz w:val="20"/>
          <w:szCs w:val="20"/>
        </w:rPr>
        <w:t xml:space="preserve"> 5</w:t>
      </w:r>
      <w:r w:rsidR="005C768F" w:rsidRPr="00CA1C17">
        <w:rPr>
          <w:rFonts w:ascii="Arial" w:hAnsi="Arial" w:cs="Arial"/>
          <w:sz w:val="20"/>
          <w:szCs w:val="20"/>
        </w:rPr>
        <w:t>.</w:t>
      </w:r>
      <w:r w:rsidRPr="00CA1C17">
        <w:rPr>
          <w:rFonts w:ascii="Arial" w:hAnsi="Arial" w:cs="Arial"/>
          <w:sz w:val="20"/>
          <w:szCs w:val="20"/>
        </w:rPr>
        <w:t xml:space="preserve"> Comparative </w:t>
      </w:r>
      <w:r w:rsidR="00204176" w:rsidRPr="00CA1C17">
        <w:rPr>
          <w:rFonts w:ascii="Arial" w:hAnsi="Arial" w:cs="Arial"/>
          <w:sz w:val="20"/>
          <w:szCs w:val="20"/>
        </w:rPr>
        <w:t xml:space="preserve">percentage distribution of </w:t>
      </w:r>
      <w:r w:rsidRPr="00CA1C17">
        <w:rPr>
          <w:rFonts w:ascii="Arial" w:hAnsi="Arial" w:cs="Arial"/>
          <w:sz w:val="20"/>
          <w:szCs w:val="20"/>
        </w:rPr>
        <w:t>land use and land cover</w:t>
      </w:r>
      <w:r w:rsidR="00204176" w:rsidRPr="00CA1C17">
        <w:rPr>
          <w:rFonts w:ascii="Arial" w:hAnsi="Arial" w:cs="Arial"/>
          <w:sz w:val="20"/>
          <w:szCs w:val="20"/>
        </w:rPr>
        <w:t xml:space="preserve"> (LULC) classes</w:t>
      </w:r>
      <w:r w:rsidRPr="00CA1C17">
        <w:rPr>
          <w:rFonts w:ascii="Arial" w:hAnsi="Arial" w:cs="Arial"/>
          <w:sz w:val="20"/>
          <w:szCs w:val="20"/>
        </w:rPr>
        <w:t xml:space="preserve"> in Karbi Anglong</w:t>
      </w:r>
      <w:r w:rsidR="00204176" w:rsidRPr="00CA1C17">
        <w:rPr>
          <w:rFonts w:ascii="Arial" w:hAnsi="Arial" w:cs="Arial"/>
          <w:sz w:val="20"/>
          <w:szCs w:val="20"/>
        </w:rPr>
        <w:t xml:space="preserve"> district</w:t>
      </w:r>
      <w:r w:rsidRPr="00CA1C17">
        <w:rPr>
          <w:rFonts w:ascii="Arial" w:hAnsi="Arial" w:cs="Arial"/>
          <w:sz w:val="20"/>
          <w:szCs w:val="20"/>
        </w:rPr>
        <w:t>, 1993</w:t>
      </w:r>
      <w:r w:rsidR="00204176" w:rsidRPr="00CA1C17">
        <w:rPr>
          <w:rFonts w:ascii="Arial" w:hAnsi="Arial" w:cs="Arial"/>
          <w:sz w:val="20"/>
          <w:szCs w:val="20"/>
        </w:rPr>
        <w:t xml:space="preserve"> (blue)</w:t>
      </w:r>
      <w:r w:rsidRPr="00CA1C17">
        <w:rPr>
          <w:rFonts w:ascii="Arial" w:hAnsi="Arial" w:cs="Arial"/>
          <w:sz w:val="20"/>
          <w:szCs w:val="20"/>
        </w:rPr>
        <w:t>, 2014</w:t>
      </w:r>
      <w:r w:rsidR="00204176" w:rsidRPr="00CA1C17">
        <w:rPr>
          <w:rFonts w:ascii="Arial" w:hAnsi="Arial" w:cs="Arial"/>
          <w:sz w:val="20"/>
          <w:szCs w:val="20"/>
        </w:rPr>
        <w:t xml:space="preserve"> (orange)</w:t>
      </w:r>
      <w:r w:rsidRPr="00CA1C17">
        <w:rPr>
          <w:rFonts w:ascii="Arial" w:hAnsi="Arial" w:cs="Arial"/>
          <w:sz w:val="20"/>
          <w:szCs w:val="20"/>
        </w:rPr>
        <w:t>, and 2023/24</w:t>
      </w:r>
      <w:r w:rsidR="00204176" w:rsidRPr="00CA1C17">
        <w:rPr>
          <w:rFonts w:ascii="Arial" w:hAnsi="Arial" w:cs="Arial"/>
          <w:sz w:val="20"/>
          <w:szCs w:val="20"/>
        </w:rPr>
        <w:t xml:space="preserve"> (green)</w:t>
      </w:r>
      <w:r w:rsidRPr="00CA1C17">
        <w:rPr>
          <w:rFonts w:ascii="Arial" w:hAnsi="Arial" w:cs="Arial"/>
          <w:sz w:val="20"/>
          <w:szCs w:val="20"/>
        </w:rPr>
        <w:t>.</w:t>
      </w:r>
      <w:bookmarkEnd w:id="5"/>
    </w:p>
    <w:p w14:paraId="7F602979" w14:textId="589B5C22" w:rsidR="00CA1C17" w:rsidRDefault="00CA1C17" w:rsidP="00CA1C17">
      <w:pPr>
        <w:spacing w:line="360" w:lineRule="auto"/>
        <w:ind w:left="720"/>
        <w:jc w:val="center"/>
        <w:rPr>
          <w:rFonts w:ascii="Times New Roman" w:hAnsi="Times New Roman" w:cs="Times New Roman"/>
        </w:rPr>
      </w:pPr>
      <w:r w:rsidRPr="00CA1C17">
        <w:rPr>
          <w:rFonts w:ascii="Times New Roman" w:hAnsi="Times New Roman" w:cs="Times New Roman"/>
        </w:rPr>
        <w:drawing>
          <wp:inline distT="0" distB="0" distL="0" distR="0" wp14:anchorId="5A5B65E0" wp14:editId="4B2E2CEB">
            <wp:extent cx="5731510" cy="3810000"/>
            <wp:effectExtent l="0" t="0" r="2540" b="0"/>
            <wp:docPr id="386422549" name="Picture 4"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22549" name="Picture 4" descr="A graph of different colored squar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10000"/>
                    </a:xfrm>
                    <a:prstGeom prst="rect">
                      <a:avLst/>
                    </a:prstGeom>
                    <a:noFill/>
                    <a:ln>
                      <a:noFill/>
                    </a:ln>
                  </pic:spPr>
                </pic:pic>
              </a:graphicData>
            </a:graphic>
          </wp:inline>
        </w:drawing>
      </w:r>
    </w:p>
    <w:p w14:paraId="70994AD0" w14:textId="067814A2" w:rsidR="00CA1C17" w:rsidRPr="00CA1C17" w:rsidRDefault="00CA1C17" w:rsidP="00E52D4A">
      <w:pPr>
        <w:spacing w:line="360" w:lineRule="auto"/>
        <w:ind w:left="720"/>
        <w:jc w:val="center"/>
        <w:rPr>
          <w:rFonts w:ascii="Arial" w:hAnsi="Arial" w:cs="Arial"/>
          <w:sz w:val="20"/>
          <w:szCs w:val="20"/>
        </w:rPr>
      </w:pPr>
      <w:r w:rsidRPr="00CA1C17">
        <w:rPr>
          <w:rFonts w:ascii="Arial" w:hAnsi="Arial" w:cs="Arial"/>
          <w:sz w:val="20"/>
          <w:szCs w:val="20"/>
        </w:rPr>
        <w:t xml:space="preserve">Figure </w:t>
      </w:r>
      <w:r w:rsidRPr="00CA1C17">
        <w:rPr>
          <w:rFonts w:ascii="Arial" w:hAnsi="Arial" w:cs="Arial"/>
          <w:sz w:val="20"/>
          <w:szCs w:val="20"/>
        </w:rPr>
        <w:t>6</w:t>
      </w:r>
      <w:r w:rsidRPr="00CA1C17">
        <w:rPr>
          <w:rFonts w:ascii="Arial" w:hAnsi="Arial" w:cs="Arial"/>
          <w:sz w:val="20"/>
          <w:szCs w:val="20"/>
        </w:rPr>
        <w:t>. Stacked percentage distribution of land-use and land-cover (LULC) classes in Karbi Anglong district for the years 1993, 2014, and 2023/24, showing relative contributions of each class to the total district area.</w:t>
      </w:r>
    </w:p>
    <w:p w14:paraId="696BBCCA" w14:textId="77777777" w:rsidR="00CA1C17" w:rsidRPr="00147FA3" w:rsidRDefault="00CA1C17" w:rsidP="007F5663">
      <w:pPr>
        <w:spacing w:line="360" w:lineRule="auto"/>
        <w:ind w:left="720"/>
        <w:jc w:val="center"/>
        <w:rPr>
          <w:rFonts w:ascii="Times New Roman" w:hAnsi="Times New Roman" w:cs="Times New Roman"/>
        </w:rPr>
      </w:pPr>
    </w:p>
    <w:p w14:paraId="1FCB63FF" w14:textId="77777777" w:rsidR="00631314" w:rsidRDefault="00631314" w:rsidP="00D2103B">
      <w:pPr>
        <w:spacing w:line="360" w:lineRule="auto"/>
        <w:jc w:val="both"/>
        <w:rPr>
          <w:rFonts w:ascii="Arial" w:hAnsi="Arial" w:cs="Arial"/>
          <w:b/>
          <w:bCs/>
          <w:sz w:val="22"/>
          <w:szCs w:val="22"/>
        </w:rPr>
      </w:pPr>
    </w:p>
    <w:p w14:paraId="4F4CD9E0" w14:textId="189ED12D" w:rsidR="00D2103B" w:rsidRPr="00FD0D19" w:rsidRDefault="00FD0D19" w:rsidP="00D2103B">
      <w:pPr>
        <w:spacing w:line="360" w:lineRule="auto"/>
        <w:jc w:val="both"/>
        <w:rPr>
          <w:rFonts w:ascii="Arial" w:hAnsi="Arial" w:cs="Arial"/>
          <w:b/>
          <w:bCs/>
          <w:sz w:val="22"/>
          <w:szCs w:val="22"/>
        </w:rPr>
      </w:pPr>
      <w:r w:rsidRPr="00FD0D19">
        <w:rPr>
          <w:rFonts w:ascii="Arial" w:hAnsi="Arial" w:cs="Arial"/>
          <w:b/>
          <w:bCs/>
          <w:sz w:val="22"/>
          <w:szCs w:val="22"/>
        </w:rPr>
        <w:t>3.4 SYNTHESIS: A THREE-PHASE TRAJECTORY</w:t>
      </w:r>
    </w:p>
    <w:p w14:paraId="524F3426" w14:textId="77777777" w:rsidR="00D2103B" w:rsidRPr="00FA3BA9" w:rsidRDefault="00D2103B" w:rsidP="00D2103B">
      <w:pPr>
        <w:spacing w:line="360" w:lineRule="auto"/>
        <w:jc w:val="both"/>
        <w:rPr>
          <w:rFonts w:ascii="Arial" w:hAnsi="Arial" w:cs="Arial"/>
          <w:sz w:val="20"/>
          <w:szCs w:val="20"/>
        </w:rPr>
      </w:pPr>
      <w:r w:rsidRPr="00FA3BA9">
        <w:rPr>
          <w:rFonts w:ascii="Arial" w:hAnsi="Arial" w:cs="Arial"/>
          <w:sz w:val="20"/>
          <w:szCs w:val="20"/>
        </w:rPr>
        <w:t>The analysis reveals a clear trajectory of land use transition in Karbi Anglong:</w:t>
      </w:r>
    </w:p>
    <w:p w14:paraId="43908479" w14:textId="77777777" w:rsidR="00D2103B" w:rsidRPr="00FA3BA9" w:rsidRDefault="00D2103B" w:rsidP="00D2103B">
      <w:pPr>
        <w:numPr>
          <w:ilvl w:val="0"/>
          <w:numId w:val="4"/>
        </w:numPr>
        <w:spacing w:line="360" w:lineRule="auto"/>
        <w:jc w:val="both"/>
        <w:rPr>
          <w:rFonts w:ascii="Arial" w:hAnsi="Arial" w:cs="Arial"/>
          <w:sz w:val="20"/>
          <w:szCs w:val="20"/>
        </w:rPr>
      </w:pPr>
      <w:r w:rsidRPr="00FA3BA9">
        <w:rPr>
          <w:rFonts w:ascii="Arial" w:hAnsi="Arial" w:cs="Arial"/>
          <w:sz w:val="20"/>
          <w:szCs w:val="20"/>
        </w:rPr>
        <w:t>Phase I (1993): natural bamboo abundance within forest–jhum systems;</w:t>
      </w:r>
    </w:p>
    <w:p w14:paraId="1A36FAAA" w14:textId="77777777" w:rsidR="00D2103B" w:rsidRPr="00FA3BA9" w:rsidRDefault="00D2103B" w:rsidP="00D2103B">
      <w:pPr>
        <w:numPr>
          <w:ilvl w:val="0"/>
          <w:numId w:val="4"/>
        </w:numPr>
        <w:spacing w:line="360" w:lineRule="auto"/>
        <w:jc w:val="both"/>
        <w:rPr>
          <w:rFonts w:ascii="Arial" w:hAnsi="Arial" w:cs="Arial"/>
          <w:sz w:val="20"/>
          <w:szCs w:val="20"/>
        </w:rPr>
      </w:pPr>
      <w:r w:rsidRPr="00FA3BA9">
        <w:rPr>
          <w:rFonts w:ascii="Arial" w:hAnsi="Arial" w:cs="Arial"/>
          <w:sz w:val="20"/>
          <w:szCs w:val="20"/>
        </w:rPr>
        <w:t>Phase II (2014): plantation expansion under industrial demand, with bamboo emerging as a dominant land-use class;</w:t>
      </w:r>
    </w:p>
    <w:p w14:paraId="4A3B0407" w14:textId="77777777" w:rsidR="00D2103B" w:rsidRPr="00FA3BA9" w:rsidRDefault="00D2103B" w:rsidP="00D2103B">
      <w:pPr>
        <w:numPr>
          <w:ilvl w:val="0"/>
          <w:numId w:val="4"/>
        </w:numPr>
        <w:spacing w:line="360" w:lineRule="auto"/>
        <w:jc w:val="both"/>
        <w:rPr>
          <w:rFonts w:ascii="Arial" w:hAnsi="Arial" w:cs="Arial"/>
          <w:sz w:val="20"/>
          <w:szCs w:val="20"/>
        </w:rPr>
      </w:pPr>
      <w:r w:rsidRPr="00FA3BA9">
        <w:rPr>
          <w:rFonts w:ascii="Arial" w:hAnsi="Arial" w:cs="Arial"/>
          <w:sz w:val="20"/>
          <w:szCs w:val="20"/>
        </w:rPr>
        <w:t>Phase III (2023/24</w:t>
      </w:r>
      <w:r w:rsidRPr="00FA3BA9">
        <w:rPr>
          <w:rFonts w:ascii="Arial" w:hAnsi="Arial" w:cs="Arial"/>
          <w:b/>
          <w:bCs/>
          <w:sz w:val="20"/>
          <w:szCs w:val="20"/>
        </w:rPr>
        <w:t>):</w:t>
      </w:r>
      <w:r w:rsidRPr="00FA3BA9">
        <w:rPr>
          <w:rFonts w:ascii="Arial" w:hAnsi="Arial" w:cs="Arial"/>
          <w:sz w:val="20"/>
          <w:szCs w:val="20"/>
        </w:rPr>
        <w:t xml:space="preserve"> post-mill diversification, with bamboo stabilizing but increasingly complemented by rubber, tea, and arecanut plantations.</w:t>
      </w:r>
    </w:p>
    <w:p w14:paraId="55166A31" w14:textId="3653ABA3" w:rsidR="00D2103B" w:rsidRPr="00FA3BA9" w:rsidRDefault="00D2103B" w:rsidP="00D2103B">
      <w:pPr>
        <w:spacing w:line="360" w:lineRule="auto"/>
        <w:jc w:val="both"/>
        <w:rPr>
          <w:rFonts w:ascii="Arial" w:hAnsi="Arial" w:cs="Arial"/>
          <w:sz w:val="20"/>
          <w:szCs w:val="20"/>
        </w:rPr>
      </w:pPr>
      <w:r w:rsidRPr="00FA3BA9">
        <w:rPr>
          <w:rFonts w:ascii="Arial" w:hAnsi="Arial" w:cs="Arial"/>
          <w:sz w:val="20"/>
          <w:szCs w:val="20"/>
        </w:rPr>
        <w:t xml:space="preserve">These transitions (Figure </w:t>
      </w:r>
      <w:r w:rsidR="00BB6D72">
        <w:rPr>
          <w:rFonts w:ascii="Arial" w:hAnsi="Arial" w:cs="Arial"/>
          <w:sz w:val="20"/>
          <w:szCs w:val="20"/>
        </w:rPr>
        <w:t>7</w:t>
      </w:r>
      <w:r w:rsidRPr="00FA3BA9">
        <w:rPr>
          <w:rFonts w:ascii="Arial" w:hAnsi="Arial" w:cs="Arial"/>
          <w:sz w:val="20"/>
          <w:szCs w:val="20"/>
        </w:rPr>
        <w:t>) demonstrate that while bamboo remains ecologically and culturally significant, its economic role has weakened, creating vulnerabilities but also opening pathways for livelihood diversification.</w:t>
      </w:r>
    </w:p>
    <w:p w14:paraId="103CA4C4" w14:textId="77777777" w:rsidR="00596CE0" w:rsidRPr="00C0234F" w:rsidRDefault="00596CE0" w:rsidP="00596CE0">
      <w:pPr>
        <w:spacing w:line="360" w:lineRule="auto"/>
        <w:jc w:val="both"/>
        <w:rPr>
          <w:rFonts w:ascii="Times New Roman" w:hAnsi="Times New Roman" w:cs="Times New Roman"/>
        </w:rPr>
      </w:pPr>
      <w:r w:rsidRPr="00C0234F">
        <w:rPr>
          <w:rFonts w:ascii="Times New Roman" w:hAnsi="Times New Roman" w:cs="Times New Roman"/>
          <w:noProof/>
        </w:rPr>
        <w:drawing>
          <wp:inline distT="0" distB="0" distL="0" distR="0" wp14:anchorId="19BAC827" wp14:editId="2D9D366B">
            <wp:extent cx="5731510" cy="1798320"/>
            <wp:effectExtent l="0" t="0" r="2540" b="0"/>
            <wp:docPr id="4561886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798320"/>
                    </a:xfrm>
                    <a:prstGeom prst="rect">
                      <a:avLst/>
                    </a:prstGeom>
                    <a:noFill/>
                    <a:ln>
                      <a:noFill/>
                    </a:ln>
                  </pic:spPr>
                </pic:pic>
              </a:graphicData>
            </a:graphic>
          </wp:inline>
        </w:drawing>
      </w:r>
    </w:p>
    <w:p w14:paraId="733F4534" w14:textId="4FA32DBF" w:rsidR="00D2103B" w:rsidRPr="006F47B4" w:rsidRDefault="00596CE0" w:rsidP="0053486E">
      <w:pPr>
        <w:spacing w:line="360" w:lineRule="auto"/>
        <w:jc w:val="center"/>
        <w:rPr>
          <w:rFonts w:ascii="Arial" w:hAnsi="Arial" w:cs="Arial"/>
          <w:sz w:val="20"/>
          <w:szCs w:val="20"/>
        </w:rPr>
      </w:pPr>
      <w:r w:rsidRPr="006F47B4">
        <w:rPr>
          <w:rFonts w:ascii="Arial" w:hAnsi="Arial" w:cs="Arial"/>
          <w:sz w:val="20"/>
          <w:szCs w:val="20"/>
        </w:rPr>
        <w:t>Fig</w:t>
      </w:r>
      <w:r w:rsidR="000759BB" w:rsidRPr="006F47B4">
        <w:rPr>
          <w:rFonts w:ascii="Arial" w:hAnsi="Arial" w:cs="Arial"/>
          <w:sz w:val="20"/>
          <w:szCs w:val="20"/>
        </w:rPr>
        <w:t xml:space="preserve">ure </w:t>
      </w:r>
      <w:r w:rsidR="00BB6D72" w:rsidRPr="006F47B4">
        <w:rPr>
          <w:rFonts w:ascii="Arial" w:hAnsi="Arial" w:cs="Arial"/>
          <w:sz w:val="20"/>
          <w:szCs w:val="20"/>
        </w:rPr>
        <w:t>7</w:t>
      </w:r>
      <w:r w:rsidR="000759BB" w:rsidRPr="006F47B4">
        <w:rPr>
          <w:rFonts w:ascii="Arial" w:hAnsi="Arial" w:cs="Arial"/>
          <w:sz w:val="20"/>
          <w:szCs w:val="20"/>
        </w:rPr>
        <w:t>.</w:t>
      </w:r>
      <w:r w:rsidRPr="006F47B4">
        <w:rPr>
          <w:rFonts w:ascii="Arial" w:hAnsi="Arial" w:cs="Arial"/>
          <w:sz w:val="20"/>
          <w:szCs w:val="20"/>
        </w:rPr>
        <w:t xml:space="preserve"> Conceptual timeline of bamboo utilization transitions in Karbi Anglong (1993–2023/24).</w:t>
      </w:r>
    </w:p>
    <w:p w14:paraId="04FD39E1" w14:textId="42C7C682" w:rsidR="00D2103B" w:rsidRPr="00FA3BA9" w:rsidRDefault="00FA3BA9" w:rsidP="00D2103B">
      <w:pPr>
        <w:spacing w:line="360" w:lineRule="auto"/>
        <w:jc w:val="both"/>
        <w:rPr>
          <w:rFonts w:ascii="Arial" w:hAnsi="Arial" w:cs="Arial"/>
          <w:b/>
          <w:bCs/>
          <w:sz w:val="22"/>
          <w:szCs w:val="22"/>
        </w:rPr>
      </w:pPr>
      <w:r w:rsidRPr="00FA3BA9">
        <w:rPr>
          <w:rFonts w:ascii="Arial" w:hAnsi="Arial" w:cs="Arial"/>
          <w:b/>
          <w:bCs/>
          <w:sz w:val="22"/>
          <w:szCs w:val="22"/>
        </w:rPr>
        <w:t>4. DISCUSSION</w:t>
      </w:r>
    </w:p>
    <w:p w14:paraId="01A22A55" w14:textId="29F4BE93" w:rsidR="00D2103B" w:rsidRPr="00FA3BA9" w:rsidRDefault="009E322E" w:rsidP="00D2103B">
      <w:pPr>
        <w:spacing w:line="360" w:lineRule="auto"/>
        <w:jc w:val="both"/>
        <w:rPr>
          <w:rFonts w:ascii="Arial" w:hAnsi="Arial" w:cs="Arial"/>
          <w:b/>
          <w:bCs/>
          <w:sz w:val="20"/>
          <w:szCs w:val="20"/>
        </w:rPr>
      </w:pPr>
      <w:r w:rsidRPr="00FA3BA9">
        <w:rPr>
          <w:rFonts w:ascii="Arial" w:hAnsi="Arial" w:cs="Arial"/>
          <w:b/>
          <w:bCs/>
          <w:sz w:val="20"/>
          <w:szCs w:val="20"/>
        </w:rPr>
        <w:t>4.1 Land Use Transitions and Shifting Cultivation Decline</w:t>
      </w:r>
    </w:p>
    <w:p w14:paraId="6F52ADEF" w14:textId="407D8FFC" w:rsidR="00D31FB6" w:rsidRDefault="00D2103B" w:rsidP="00D2103B">
      <w:pPr>
        <w:spacing w:line="360" w:lineRule="auto"/>
        <w:jc w:val="both"/>
        <w:rPr>
          <w:rFonts w:ascii="Arial" w:hAnsi="Arial" w:cs="Arial"/>
          <w:sz w:val="20"/>
          <w:szCs w:val="20"/>
        </w:rPr>
      </w:pPr>
      <w:r w:rsidRPr="00CB516C">
        <w:rPr>
          <w:rFonts w:ascii="Arial" w:hAnsi="Arial" w:cs="Arial"/>
          <w:sz w:val="20"/>
          <w:szCs w:val="20"/>
        </w:rPr>
        <w:t xml:space="preserve">The findings demonstrate a clear transition from a forest–jhum dominated landscape in 1993 to plantation-based and diversified systems in 2014 and 2023/24. The </w:t>
      </w:r>
      <w:r w:rsidR="00F672F6">
        <w:rPr>
          <w:rFonts w:ascii="Arial" w:hAnsi="Arial" w:cs="Arial"/>
          <w:sz w:val="20"/>
          <w:szCs w:val="20"/>
        </w:rPr>
        <w:t>progressive decline</w:t>
      </w:r>
      <w:r w:rsidRPr="00CB516C">
        <w:rPr>
          <w:rFonts w:ascii="Arial" w:hAnsi="Arial" w:cs="Arial"/>
          <w:sz w:val="20"/>
          <w:szCs w:val="20"/>
        </w:rPr>
        <w:t xml:space="preserve"> of shifting cultivation reflects broader regional trends across Northeast India, where state policies, </w:t>
      </w:r>
      <w:r w:rsidR="00F672F6">
        <w:rPr>
          <w:rFonts w:ascii="Arial" w:hAnsi="Arial" w:cs="Arial"/>
          <w:sz w:val="20"/>
          <w:szCs w:val="20"/>
        </w:rPr>
        <w:t>with changing livelihood demands</w:t>
      </w:r>
      <w:r w:rsidRPr="00CB516C">
        <w:rPr>
          <w:rFonts w:ascii="Arial" w:hAnsi="Arial" w:cs="Arial"/>
          <w:sz w:val="20"/>
          <w:szCs w:val="20"/>
        </w:rPr>
        <w:t xml:space="preserve">, and demographic pressures have contributed to the decline of </w:t>
      </w:r>
      <w:r w:rsidRPr="00CB516C">
        <w:rPr>
          <w:rFonts w:ascii="Arial" w:hAnsi="Arial" w:cs="Arial"/>
          <w:i/>
          <w:iCs/>
          <w:sz w:val="20"/>
          <w:szCs w:val="20"/>
        </w:rPr>
        <w:t>jhum</w:t>
      </w:r>
      <w:r w:rsidRPr="00CB516C">
        <w:rPr>
          <w:rFonts w:ascii="Arial" w:hAnsi="Arial" w:cs="Arial"/>
          <w:sz w:val="20"/>
          <w:szCs w:val="20"/>
        </w:rPr>
        <w:t xml:space="preserve"> (Ramakrishnan, 1992; Mertz et al., 2009). In </w:t>
      </w:r>
      <w:r w:rsidR="00111298">
        <w:rPr>
          <w:rFonts w:ascii="Arial" w:hAnsi="Arial" w:cs="Arial"/>
          <w:sz w:val="20"/>
          <w:szCs w:val="20"/>
        </w:rPr>
        <w:t xml:space="preserve">parts of </w:t>
      </w:r>
      <w:r w:rsidRPr="00CB516C">
        <w:rPr>
          <w:rFonts w:ascii="Arial" w:hAnsi="Arial" w:cs="Arial"/>
          <w:sz w:val="20"/>
          <w:szCs w:val="20"/>
        </w:rPr>
        <w:t xml:space="preserve">Karbi Anglong, </w:t>
      </w:r>
      <w:r w:rsidR="00111298">
        <w:rPr>
          <w:rFonts w:ascii="Arial" w:hAnsi="Arial" w:cs="Arial"/>
          <w:sz w:val="20"/>
          <w:szCs w:val="20"/>
        </w:rPr>
        <w:t xml:space="preserve">abandoned jhum fallows are increasingly being converted to planted or natural colonizing bamboo stands (improved bamboo fallows), </w:t>
      </w:r>
      <w:r w:rsidRPr="00CB516C">
        <w:rPr>
          <w:rFonts w:ascii="Arial" w:hAnsi="Arial" w:cs="Arial"/>
          <w:sz w:val="20"/>
          <w:szCs w:val="20"/>
        </w:rPr>
        <w:t xml:space="preserve">a trajectory </w:t>
      </w:r>
      <w:r w:rsidR="00111298">
        <w:rPr>
          <w:rFonts w:ascii="Arial" w:hAnsi="Arial" w:cs="Arial"/>
          <w:sz w:val="20"/>
          <w:szCs w:val="20"/>
        </w:rPr>
        <w:t>documented in local participatory studies (Bos et al., 2020). Similar transitions away from rotational jhum toward more permanent land uses have been observed in neighbouring states, where policy reforms and targeted programmes, including state bamboo policies and the National Bamboo Mission, have promoted bamboo plantation and value chain development</w:t>
      </w:r>
      <w:r w:rsidR="00D31FB6">
        <w:rPr>
          <w:rFonts w:ascii="Arial" w:hAnsi="Arial" w:cs="Arial"/>
          <w:sz w:val="20"/>
          <w:szCs w:val="20"/>
        </w:rPr>
        <w:t xml:space="preserve">; in several areas, jhum fallows have been directly converted into planted bamboo or improved bamboo fallows, </w:t>
      </w:r>
      <w:r w:rsidR="00D31FB6">
        <w:rPr>
          <w:rFonts w:ascii="Arial" w:hAnsi="Arial" w:cs="Arial"/>
          <w:sz w:val="20"/>
          <w:szCs w:val="20"/>
        </w:rPr>
        <w:lastRenderedPageBreak/>
        <w:t>including rehabilitation of shifting cultivators through bamboo cultivation in Tripura (Bos et al.,2020; Sarkar &amp; Keat, 2024</w:t>
      </w:r>
      <w:r w:rsidR="001555BE">
        <w:rPr>
          <w:rFonts w:ascii="Arial" w:hAnsi="Arial" w:cs="Arial"/>
          <w:sz w:val="20"/>
          <w:szCs w:val="20"/>
        </w:rPr>
        <w:t>; Tripathi et al.,2017; NBM, 2018)</w:t>
      </w:r>
    </w:p>
    <w:p w14:paraId="13134A4D" w14:textId="7095653A" w:rsidR="00D2103B" w:rsidRPr="00FA3BA9" w:rsidRDefault="009E322E" w:rsidP="00D2103B">
      <w:pPr>
        <w:spacing w:line="360" w:lineRule="auto"/>
        <w:jc w:val="both"/>
        <w:rPr>
          <w:rFonts w:ascii="Arial" w:hAnsi="Arial" w:cs="Arial"/>
          <w:b/>
          <w:bCs/>
          <w:sz w:val="20"/>
          <w:szCs w:val="20"/>
        </w:rPr>
      </w:pPr>
      <w:r w:rsidRPr="00FA3BA9">
        <w:rPr>
          <w:rFonts w:ascii="Arial" w:hAnsi="Arial" w:cs="Arial"/>
          <w:b/>
          <w:bCs/>
          <w:sz w:val="20"/>
          <w:szCs w:val="20"/>
        </w:rPr>
        <w:t>4.2 Bamboo Expansion and Industrial Dependence</w:t>
      </w:r>
    </w:p>
    <w:p w14:paraId="66162B83" w14:textId="25C7638D" w:rsidR="00D2103B" w:rsidRDefault="00D2103B" w:rsidP="00D2103B">
      <w:pPr>
        <w:spacing w:line="360" w:lineRule="auto"/>
        <w:jc w:val="both"/>
        <w:rPr>
          <w:rFonts w:ascii="Arial" w:hAnsi="Arial" w:cs="Arial"/>
          <w:sz w:val="20"/>
          <w:szCs w:val="20"/>
        </w:rPr>
      </w:pPr>
      <w:r w:rsidRPr="00FA3BA9">
        <w:rPr>
          <w:rFonts w:ascii="Arial" w:hAnsi="Arial" w:cs="Arial"/>
          <w:sz w:val="20"/>
          <w:szCs w:val="20"/>
        </w:rPr>
        <w:t>The plantation boom</w:t>
      </w:r>
      <w:r w:rsidR="00C93FAB" w:rsidRPr="00FA3BA9">
        <w:rPr>
          <w:rFonts w:ascii="Arial" w:hAnsi="Arial" w:cs="Arial"/>
          <w:sz w:val="20"/>
          <w:szCs w:val="20"/>
        </w:rPr>
        <w:t xml:space="preserve"> that shows from</w:t>
      </w:r>
      <w:r w:rsidRPr="00FA3BA9">
        <w:rPr>
          <w:rFonts w:ascii="Arial" w:hAnsi="Arial" w:cs="Arial"/>
          <w:sz w:val="20"/>
          <w:szCs w:val="20"/>
        </w:rPr>
        <w:t xml:space="preserve"> </w:t>
      </w:r>
      <w:r w:rsidR="00C93FAB" w:rsidRPr="00FA3BA9">
        <w:rPr>
          <w:rFonts w:ascii="Arial" w:hAnsi="Arial" w:cs="Arial"/>
          <w:sz w:val="20"/>
          <w:szCs w:val="20"/>
        </w:rPr>
        <w:t xml:space="preserve">LULC in </w:t>
      </w:r>
      <w:r w:rsidRPr="00FA3BA9">
        <w:rPr>
          <w:rFonts w:ascii="Arial" w:hAnsi="Arial" w:cs="Arial"/>
          <w:sz w:val="20"/>
          <w:szCs w:val="20"/>
        </w:rPr>
        <w:t>2014 highlights how industrial demand</w:t>
      </w:r>
      <w:r w:rsidR="00C93FAB" w:rsidRPr="00FA3BA9">
        <w:rPr>
          <w:rFonts w:ascii="Arial" w:hAnsi="Arial" w:cs="Arial"/>
          <w:sz w:val="20"/>
          <w:szCs w:val="20"/>
        </w:rPr>
        <w:t xml:space="preserve">, </w:t>
      </w:r>
      <w:r w:rsidRPr="00FA3BA9">
        <w:rPr>
          <w:rFonts w:ascii="Arial" w:hAnsi="Arial" w:cs="Arial"/>
          <w:sz w:val="20"/>
          <w:szCs w:val="20"/>
        </w:rPr>
        <w:t>particularly from the Jagiroad Paper Mill</w:t>
      </w:r>
      <w:r w:rsidR="00C93FAB" w:rsidRPr="00FA3BA9">
        <w:rPr>
          <w:rFonts w:ascii="Arial" w:hAnsi="Arial" w:cs="Arial"/>
          <w:sz w:val="20"/>
          <w:szCs w:val="20"/>
        </w:rPr>
        <w:t xml:space="preserve">, </w:t>
      </w:r>
      <w:r w:rsidRPr="00FA3BA9">
        <w:rPr>
          <w:rFonts w:ascii="Arial" w:hAnsi="Arial" w:cs="Arial"/>
          <w:sz w:val="20"/>
          <w:szCs w:val="20"/>
        </w:rPr>
        <w:t>reshaped land-use systems. Similar dynamics have been observed in other parts of Asia,</w:t>
      </w:r>
      <w:r w:rsidR="006F13DC">
        <w:rPr>
          <w:rFonts w:ascii="Arial" w:hAnsi="Arial" w:cs="Arial"/>
          <w:sz w:val="20"/>
          <w:szCs w:val="20"/>
        </w:rPr>
        <w:t xml:space="preserve"> Nigeria</w:t>
      </w:r>
      <w:r w:rsidRPr="00FA3BA9">
        <w:rPr>
          <w:rFonts w:ascii="Arial" w:hAnsi="Arial" w:cs="Arial"/>
          <w:sz w:val="20"/>
          <w:szCs w:val="20"/>
        </w:rPr>
        <w:t xml:space="preserve"> where industries drove bamboo expansion at the expense of mixed forests (</w:t>
      </w:r>
      <w:r w:rsidR="006F13DC">
        <w:rPr>
          <w:rFonts w:ascii="Arial" w:hAnsi="Arial" w:cs="Arial"/>
          <w:sz w:val="20"/>
          <w:szCs w:val="20"/>
        </w:rPr>
        <w:t>Saroinsong et al., 2006; Illorkar &amp; Raut 2021; Pavate et al.,2024</w:t>
      </w:r>
      <w:r w:rsidRPr="00FA3BA9">
        <w:rPr>
          <w:rFonts w:ascii="Arial" w:hAnsi="Arial" w:cs="Arial"/>
          <w:sz w:val="20"/>
          <w:szCs w:val="20"/>
        </w:rPr>
        <w:t>). In Karbi Anglong, this industrial dependence generated short-term livelihood gains but created structural vulnerability after the mill’s closure in 2017</w:t>
      </w:r>
      <w:r w:rsidR="004D69A8">
        <w:rPr>
          <w:rFonts w:ascii="Arial" w:hAnsi="Arial" w:cs="Arial"/>
          <w:sz w:val="20"/>
          <w:szCs w:val="20"/>
        </w:rPr>
        <w:t xml:space="preserve"> (Borah et al</w:t>
      </w:r>
      <w:r w:rsidRPr="00FA3BA9">
        <w:rPr>
          <w:rFonts w:ascii="Arial" w:hAnsi="Arial" w:cs="Arial"/>
          <w:sz w:val="20"/>
          <w:szCs w:val="20"/>
        </w:rPr>
        <w:t>.</w:t>
      </w:r>
      <w:r w:rsidR="004D69A8">
        <w:rPr>
          <w:rFonts w:ascii="Arial" w:hAnsi="Arial" w:cs="Arial"/>
          <w:sz w:val="20"/>
          <w:szCs w:val="20"/>
        </w:rPr>
        <w:t>,2025).</w:t>
      </w:r>
      <w:r w:rsidRPr="00FA3BA9">
        <w:rPr>
          <w:rFonts w:ascii="Arial" w:hAnsi="Arial" w:cs="Arial"/>
          <w:sz w:val="20"/>
          <w:szCs w:val="20"/>
        </w:rPr>
        <w:t xml:space="preserve"> The stabilization of bamboo around 25% of the district in 2023/24, despite declining industrial demand, suggests resilience at the household and cultural level</w:t>
      </w:r>
      <w:r w:rsidR="004D69A8">
        <w:rPr>
          <w:rFonts w:ascii="Arial" w:hAnsi="Arial" w:cs="Arial"/>
          <w:sz w:val="20"/>
          <w:szCs w:val="20"/>
        </w:rPr>
        <w:t xml:space="preserve"> (Singha &amp; Timung., 2015).,</w:t>
      </w:r>
      <w:r w:rsidRPr="00FA3BA9">
        <w:rPr>
          <w:rFonts w:ascii="Arial" w:hAnsi="Arial" w:cs="Arial"/>
          <w:sz w:val="20"/>
          <w:szCs w:val="20"/>
        </w:rPr>
        <w:t xml:space="preserve"> but weakened economic viability at the regional scale</w:t>
      </w:r>
      <w:r w:rsidR="00B90D65">
        <w:rPr>
          <w:rFonts w:ascii="Arial" w:hAnsi="Arial" w:cs="Arial"/>
          <w:sz w:val="20"/>
          <w:szCs w:val="20"/>
        </w:rPr>
        <w:t xml:space="preserve"> (Perez et al.,2014)</w:t>
      </w:r>
      <w:r w:rsidRPr="00FA3BA9">
        <w:rPr>
          <w:rFonts w:ascii="Arial" w:hAnsi="Arial" w:cs="Arial"/>
          <w:sz w:val="20"/>
          <w:szCs w:val="20"/>
        </w:rPr>
        <w:t>. This echoes findings from China and Vietnam, where bamboo remains socially embedded but its market role fluctuates with industrial cycles (Belcher, 1999).</w:t>
      </w:r>
      <w:r w:rsidR="000E330B">
        <w:rPr>
          <w:rFonts w:ascii="Arial" w:hAnsi="Arial" w:cs="Arial"/>
          <w:sz w:val="20"/>
          <w:szCs w:val="20"/>
        </w:rPr>
        <w:t xml:space="preserve"> Comparable bamboo dynamics were recently mapped in Dima Hasao, Assam, where Sentinel-2 and machine learning classifiers revealed how industrial and agricultural pressures shape bamboo distribution (Tamang et al., 2025). Moreover, new modelling studies from Ethiopia show how industrial drivers and land use change effect highland bamboo resources, reinforcing the global relevance of these transitions (Yirsaw &amp; Nigussie, 2024).</w:t>
      </w:r>
    </w:p>
    <w:p w14:paraId="7B901BA0" w14:textId="6CF7C25E" w:rsidR="00D2103B" w:rsidRPr="00FA3BA9" w:rsidRDefault="00ED2E0A" w:rsidP="00D2103B">
      <w:pPr>
        <w:spacing w:line="360" w:lineRule="auto"/>
        <w:jc w:val="both"/>
        <w:rPr>
          <w:rFonts w:ascii="Arial" w:hAnsi="Arial" w:cs="Arial"/>
          <w:b/>
          <w:bCs/>
          <w:sz w:val="20"/>
          <w:szCs w:val="20"/>
        </w:rPr>
      </w:pPr>
      <w:r w:rsidRPr="00FA3BA9">
        <w:rPr>
          <w:rFonts w:ascii="Arial" w:hAnsi="Arial" w:cs="Arial"/>
          <w:b/>
          <w:bCs/>
          <w:sz w:val="20"/>
          <w:szCs w:val="20"/>
        </w:rPr>
        <w:t>4.3 Post-Mill Diversification and Livelihood Strategies</w:t>
      </w:r>
    </w:p>
    <w:p w14:paraId="6280BD90" w14:textId="48A40119" w:rsidR="00D2103B" w:rsidRDefault="00D2103B" w:rsidP="00D2103B">
      <w:pPr>
        <w:spacing w:line="360" w:lineRule="auto"/>
        <w:jc w:val="both"/>
        <w:rPr>
          <w:rFonts w:ascii="Arial" w:hAnsi="Arial" w:cs="Arial"/>
          <w:sz w:val="20"/>
          <w:szCs w:val="20"/>
        </w:rPr>
      </w:pPr>
      <w:r w:rsidRPr="00FA3BA9">
        <w:rPr>
          <w:rFonts w:ascii="Arial" w:hAnsi="Arial" w:cs="Arial"/>
          <w:sz w:val="20"/>
          <w:szCs w:val="20"/>
        </w:rPr>
        <w:t>The post-mill diversification into rubber, tea, and arecanut reflects adaptive strategies to reduce dependence on a single commodity. Such livelihood diversification is consistent with broader agrarian transitions in South and Southeast Asia, where households increasingly adopt</w:t>
      </w:r>
      <w:r w:rsidRPr="00D2103B">
        <w:rPr>
          <w:rFonts w:ascii="Times New Roman" w:hAnsi="Times New Roman" w:cs="Times New Roman"/>
        </w:rPr>
        <w:t xml:space="preserve"> plantation crops in </w:t>
      </w:r>
      <w:r w:rsidRPr="00FA3BA9">
        <w:rPr>
          <w:rFonts w:ascii="Arial" w:hAnsi="Arial" w:cs="Arial"/>
          <w:sz w:val="20"/>
          <w:szCs w:val="20"/>
        </w:rPr>
        <w:t>response to market opportunities (</w:t>
      </w:r>
      <w:r w:rsidR="0079240A">
        <w:rPr>
          <w:rFonts w:ascii="Arial" w:hAnsi="Arial" w:cs="Arial"/>
          <w:sz w:val="20"/>
          <w:szCs w:val="20"/>
        </w:rPr>
        <w:t xml:space="preserve">Kuhling, Alamsay &amp; K.T, 2022; </w:t>
      </w:r>
      <w:r w:rsidR="00D86687">
        <w:rPr>
          <w:rFonts w:ascii="Arial" w:hAnsi="Arial" w:cs="Arial"/>
          <w:sz w:val="20"/>
          <w:szCs w:val="20"/>
        </w:rPr>
        <w:t>Schroth &amp; Ruf,2014</w:t>
      </w:r>
      <w:r w:rsidR="0079240A">
        <w:rPr>
          <w:rFonts w:ascii="Arial" w:hAnsi="Arial" w:cs="Arial"/>
          <w:sz w:val="20"/>
          <w:szCs w:val="20"/>
        </w:rPr>
        <w:t>; Longpichati, Parret &amp; Shivakoti, 2012</w:t>
      </w:r>
      <w:r w:rsidRPr="00FA3BA9">
        <w:rPr>
          <w:rFonts w:ascii="Arial" w:hAnsi="Arial" w:cs="Arial"/>
          <w:sz w:val="20"/>
          <w:szCs w:val="20"/>
        </w:rPr>
        <w:t>). However, the ecological costs are significant</w:t>
      </w:r>
      <w:r w:rsidR="00A21EC6" w:rsidRPr="00FA3BA9">
        <w:rPr>
          <w:rFonts w:ascii="Arial" w:hAnsi="Arial" w:cs="Arial"/>
          <w:sz w:val="20"/>
          <w:szCs w:val="20"/>
        </w:rPr>
        <w:t xml:space="preserve">, </w:t>
      </w:r>
      <w:r w:rsidRPr="00FA3BA9">
        <w:rPr>
          <w:rFonts w:ascii="Arial" w:hAnsi="Arial" w:cs="Arial"/>
          <w:sz w:val="20"/>
          <w:szCs w:val="20"/>
        </w:rPr>
        <w:t>rubber and tea plantations, like bamboo monocultures, simplify landscapes and reduce biodiversity (</w:t>
      </w:r>
      <w:r w:rsidR="00DE145B">
        <w:rPr>
          <w:rFonts w:ascii="Arial" w:hAnsi="Arial" w:cs="Arial"/>
          <w:sz w:val="20"/>
          <w:szCs w:val="20"/>
        </w:rPr>
        <w:t xml:space="preserve">Warren, Dolman &amp; Edwards, 2015; </w:t>
      </w:r>
      <w:r w:rsidRPr="00FA3BA9">
        <w:rPr>
          <w:rFonts w:ascii="Arial" w:hAnsi="Arial" w:cs="Arial"/>
          <w:sz w:val="20"/>
          <w:szCs w:val="20"/>
        </w:rPr>
        <w:t>Fox et al., 2009</w:t>
      </w:r>
      <w:r w:rsidR="00497704">
        <w:rPr>
          <w:rFonts w:ascii="Arial" w:hAnsi="Arial" w:cs="Arial"/>
          <w:sz w:val="20"/>
          <w:szCs w:val="20"/>
        </w:rPr>
        <w:t>; Singh et al., 2021</w:t>
      </w:r>
      <w:r w:rsidRPr="00FA3BA9">
        <w:rPr>
          <w:rFonts w:ascii="Arial" w:hAnsi="Arial" w:cs="Arial"/>
          <w:sz w:val="20"/>
          <w:szCs w:val="20"/>
        </w:rPr>
        <w:t xml:space="preserve">). </w:t>
      </w:r>
      <w:r w:rsidR="00E07BB8">
        <w:rPr>
          <w:rFonts w:ascii="Arial" w:hAnsi="Arial" w:cs="Arial"/>
          <w:sz w:val="20"/>
          <w:szCs w:val="20"/>
        </w:rPr>
        <w:t xml:space="preserve">Recent studies in Northeast India highlight similar risks of biodiversity loss and forest fragmentation linked to plantation expansion (Mahapatra et al., 2025). </w:t>
      </w:r>
      <w:r w:rsidRPr="00FA3BA9">
        <w:rPr>
          <w:rFonts w:ascii="Arial" w:hAnsi="Arial" w:cs="Arial"/>
          <w:sz w:val="20"/>
          <w:szCs w:val="20"/>
        </w:rPr>
        <w:t xml:space="preserve">Built-up expansion, which reached 14.4% by 2023/24, adds further pressure by fragmenting habitats and altering hydrological regimes. </w:t>
      </w:r>
      <w:r w:rsidR="00E07BB8">
        <w:rPr>
          <w:rFonts w:ascii="Arial" w:hAnsi="Arial" w:cs="Arial"/>
          <w:sz w:val="20"/>
          <w:szCs w:val="20"/>
        </w:rPr>
        <w:t xml:space="preserve">Recent LULC analysis in the buffer zone of the Nambor Wildlife Sanctuary, Assam, showed how urban and agricultural expansion significantly threatens habitat connectivity (Kashyap et al.,2025). </w:t>
      </w:r>
      <w:r w:rsidRPr="00FA3BA9">
        <w:rPr>
          <w:rFonts w:ascii="Arial" w:hAnsi="Arial" w:cs="Arial"/>
          <w:sz w:val="20"/>
          <w:szCs w:val="20"/>
        </w:rPr>
        <w:t>The Karbi Anglong case thus illustrates both the opportunities of livelihood diversification and the risks of ecological homogenization.</w:t>
      </w:r>
    </w:p>
    <w:p w14:paraId="7FF521A3" w14:textId="1BCAD1CD" w:rsidR="00D2103B" w:rsidRPr="00FA3BA9" w:rsidRDefault="00590BC0" w:rsidP="00D2103B">
      <w:pPr>
        <w:spacing w:line="360" w:lineRule="auto"/>
        <w:jc w:val="both"/>
        <w:rPr>
          <w:rFonts w:ascii="Arial" w:hAnsi="Arial" w:cs="Arial"/>
          <w:b/>
          <w:bCs/>
          <w:sz w:val="20"/>
          <w:szCs w:val="20"/>
        </w:rPr>
      </w:pPr>
      <w:r w:rsidRPr="00FA3BA9">
        <w:rPr>
          <w:rFonts w:ascii="Arial" w:hAnsi="Arial" w:cs="Arial"/>
          <w:b/>
          <w:bCs/>
          <w:sz w:val="20"/>
          <w:szCs w:val="20"/>
        </w:rPr>
        <w:t>4.4 Policy and Sustainability Implications</w:t>
      </w:r>
    </w:p>
    <w:p w14:paraId="7A1872BB" w14:textId="2BD7FC30" w:rsidR="00D2103B" w:rsidRPr="00FA3BA9" w:rsidRDefault="00D2103B" w:rsidP="00D2103B">
      <w:pPr>
        <w:spacing w:line="360" w:lineRule="auto"/>
        <w:jc w:val="both"/>
        <w:rPr>
          <w:rFonts w:ascii="Arial" w:hAnsi="Arial" w:cs="Arial"/>
          <w:sz w:val="20"/>
          <w:szCs w:val="20"/>
        </w:rPr>
      </w:pPr>
      <w:r w:rsidRPr="00FA3BA9">
        <w:rPr>
          <w:rFonts w:ascii="Arial" w:hAnsi="Arial" w:cs="Arial"/>
          <w:sz w:val="20"/>
          <w:szCs w:val="20"/>
        </w:rPr>
        <w:t xml:space="preserve">The three-phase trajectory underscores the need for integrated land-use policies in ecotonal districts like Karbi Anglong. First, conservation of remaining forests is critical, as continuous decline threatens biodiversity and ecosystem services. </w:t>
      </w:r>
      <w:r w:rsidR="003756A8">
        <w:rPr>
          <w:rFonts w:ascii="Arial" w:hAnsi="Arial" w:cs="Arial"/>
          <w:sz w:val="20"/>
          <w:szCs w:val="20"/>
        </w:rPr>
        <w:t>Recent work in Northeast India emphasizes the urgent need to address forest fragmentation and the drivers of forest loss (Mahapatra et al.,2025).</w:t>
      </w:r>
      <w:r w:rsidR="003756A8" w:rsidRPr="00FA3BA9">
        <w:rPr>
          <w:rFonts w:ascii="Arial" w:hAnsi="Arial" w:cs="Arial"/>
          <w:sz w:val="20"/>
          <w:szCs w:val="20"/>
        </w:rPr>
        <w:t xml:space="preserve"> Second</w:t>
      </w:r>
      <w:r w:rsidRPr="00FA3BA9">
        <w:rPr>
          <w:rFonts w:ascii="Arial" w:hAnsi="Arial" w:cs="Arial"/>
          <w:sz w:val="20"/>
          <w:szCs w:val="20"/>
        </w:rPr>
        <w:t xml:space="preserve">, bamboo management must move beyond industrial supply toward community-based, diversified value chains </w:t>
      </w:r>
      <w:r w:rsidRPr="00FA3BA9">
        <w:rPr>
          <w:rFonts w:ascii="Arial" w:hAnsi="Arial" w:cs="Arial"/>
          <w:sz w:val="20"/>
          <w:szCs w:val="20"/>
        </w:rPr>
        <w:lastRenderedPageBreak/>
        <w:t xml:space="preserve">(e.g., furniture, handicrafts, bamboo-based housing), which can enhance economic resilience. </w:t>
      </w:r>
      <w:r w:rsidR="003756A8">
        <w:rPr>
          <w:rFonts w:ascii="Arial" w:hAnsi="Arial" w:cs="Arial"/>
          <w:sz w:val="20"/>
          <w:szCs w:val="20"/>
        </w:rPr>
        <w:t>This aligns with findings from Arunachal Pradesh, where perceptions of bamboo ecosystem services highlight the importance of diversified, community-</w:t>
      </w:r>
      <w:r w:rsidR="00010D32">
        <w:rPr>
          <w:rFonts w:ascii="Arial" w:hAnsi="Arial" w:cs="Arial"/>
          <w:sz w:val="20"/>
          <w:szCs w:val="20"/>
        </w:rPr>
        <w:t>cantered</w:t>
      </w:r>
      <w:r w:rsidR="003756A8">
        <w:rPr>
          <w:rFonts w:ascii="Arial" w:hAnsi="Arial" w:cs="Arial"/>
          <w:sz w:val="20"/>
          <w:szCs w:val="20"/>
        </w:rPr>
        <w:t xml:space="preserve"> management (Sailo et al., 2025</w:t>
      </w:r>
      <w:r w:rsidR="00010D32">
        <w:rPr>
          <w:rFonts w:ascii="Arial" w:hAnsi="Arial" w:cs="Arial"/>
          <w:sz w:val="20"/>
          <w:szCs w:val="20"/>
        </w:rPr>
        <w:t>).</w:t>
      </w:r>
      <w:r w:rsidR="00010D32" w:rsidRPr="00FA3BA9">
        <w:rPr>
          <w:rFonts w:ascii="Arial" w:hAnsi="Arial" w:cs="Arial"/>
          <w:sz w:val="20"/>
          <w:szCs w:val="20"/>
        </w:rPr>
        <w:t xml:space="preserve"> Third</w:t>
      </w:r>
      <w:r w:rsidRPr="00FA3BA9">
        <w:rPr>
          <w:rFonts w:ascii="Arial" w:hAnsi="Arial" w:cs="Arial"/>
          <w:sz w:val="20"/>
          <w:szCs w:val="20"/>
        </w:rPr>
        <w:t>, diversification into multiple crops should be guided by land-use planning that balances income opportunities with ecological integrity. These lessons resonate with global debates on sustainable transitions in resource-dependent regions, where balancing economic, social, and ecological goals remains a central challenge (Meyfroidt, 2016; Gómez-Limón &amp; López, 2020).</w:t>
      </w:r>
    </w:p>
    <w:p w14:paraId="19E27A98" w14:textId="5EAD876F" w:rsidR="00D2103B" w:rsidRPr="00FA3BA9" w:rsidRDefault="00FA3BA9" w:rsidP="00D2103B">
      <w:pPr>
        <w:spacing w:line="360" w:lineRule="auto"/>
        <w:jc w:val="both"/>
        <w:rPr>
          <w:rFonts w:ascii="Arial" w:hAnsi="Arial" w:cs="Arial"/>
          <w:b/>
          <w:bCs/>
          <w:sz w:val="22"/>
          <w:szCs w:val="22"/>
        </w:rPr>
      </w:pPr>
      <w:r w:rsidRPr="00FA3BA9">
        <w:rPr>
          <w:rFonts w:ascii="Arial" w:hAnsi="Arial" w:cs="Arial"/>
          <w:b/>
          <w:bCs/>
          <w:sz w:val="22"/>
          <w:szCs w:val="22"/>
        </w:rPr>
        <w:t>5. CONCLUSION</w:t>
      </w:r>
    </w:p>
    <w:p w14:paraId="2085E8F2" w14:textId="25270873" w:rsidR="00D2103B" w:rsidRPr="00FA3BA9" w:rsidRDefault="00D2103B" w:rsidP="00D2103B">
      <w:pPr>
        <w:spacing w:line="360" w:lineRule="auto"/>
        <w:jc w:val="both"/>
        <w:rPr>
          <w:rFonts w:ascii="Arial" w:hAnsi="Arial" w:cs="Arial"/>
          <w:sz w:val="20"/>
          <w:szCs w:val="20"/>
        </w:rPr>
      </w:pPr>
      <w:r w:rsidRPr="00FA3BA9">
        <w:rPr>
          <w:rFonts w:ascii="Arial" w:hAnsi="Arial" w:cs="Arial"/>
          <w:sz w:val="20"/>
          <w:szCs w:val="20"/>
        </w:rPr>
        <w:t xml:space="preserve">This study traced three decades of land use and land cover (LULC) transition in Karbi Anglong, Northeast India, highlighting the evolving role of bamboo in shaping both ecological and livelihood systems. Using multi-temporal satellite data (1993, 2014, 2023/24), validated classification, and transition matrix analysis, the results reveal a three-phase trajectory: </w:t>
      </w:r>
      <w:r w:rsidRPr="00FA3BA9">
        <w:rPr>
          <w:rFonts w:ascii="Arial" w:hAnsi="Arial" w:cs="Arial"/>
          <w:i/>
          <w:iCs/>
          <w:sz w:val="20"/>
          <w:szCs w:val="20"/>
        </w:rPr>
        <w:t>(i) 1993 – natural abundance</w:t>
      </w:r>
      <w:r w:rsidRPr="00FA3BA9">
        <w:rPr>
          <w:rFonts w:ascii="Arial" w:hAnsi="Arial" w:cs="Arial"/>
          <w:sz w:val="20"/>
          <w:szCs w:val="20"/>
        </w:rPr>
        <w:t xml:space="preserve">, when bamboo was embedded in forest–jhum mosaics and supported subsistence alongside emerging industrial demand; (ii) </w:t>
      </w:r>
      <w:r w:rsidRPr="00FA3BA9">
        <w:rPr>
          <w:rFonts w:ascii="Arial" w:hAnsi="Arial" w:cs="Arial"/>
          <w:i/>
          <w:iCs/>
          <w:sz w:val="20"/>
          <w:szCs w:val="20"/>
        </w:rPr>
        <w:t>2014 – plantation expansion</w:t>
      </w:r>
      <w:r w:rsidRPr="00FA3BA9">
        <w:rPr>
          <w:rFonts w:ascii="Arial" w:hAnsi="Arial" w:cs="Arial"/>
          <w:sz w:val="20"/>
          <w:szCs w:val="20"/>
        </w:rPr>
        <w:t xml:space="preserve">, driven by the Jagiroad Paper Mill and subsidy programs, where bamboo emerged as a major land cover class at the expense of forests and shifting cultivation; and (iii) </w:t>
      </w:r>
      <w:r w:rsidRPr="00FA3BA9">
        <w:rPr>
          <w:rFonts w:ascii="Arial" w:hAnsi="Arial" w:cs="Arial"/>
          <w:i/>
          <w:iCs/>
          <w:sz w:val="20"/>
          <w:szCs w:val="20"/>
        </w:rPr>
        <w:t>2023/24 – post-mill</w:t>
      </w:r>
      <w:r w:rsidRPr="00FA3BA9">
        <w:rPr>
          <w:rFonts w:ascii="Arial" w:hAnsi="Arial" w:cs="Arial"/>
          <w:b/>
          <w:bCs/>
          <w:sz w:val="20"/>
          <w:szCs w:val="20"/>
        </w:rPr>
        <w:t xml:space="preserve"> </w:t>
      </w:r>
      <w:r w:rsidRPr="00FA3BA9">
        <w:rPr>
          <w:rFonts w:ascii="Arial" w:hAnsi="Arial" w:cs="Arial"/>
          <w:i/>
          <w:iCs/>
          <w:sz w:val="20"/>
          <w:szCs w:val="20"/>
        </w:rPr>
        <w:t>diversification,</w:t>
      </w:r>
      <w:r w:rsidRPr="00FA3BA9">
        <w:rPr>
          <w:rFonts w:ascii="Arial" w:hAnsi="Arial" w:cs="Arial"/>
          <w:sz w:val="20"/>
          <w:szCs w:val="20"/>
        </w:rPr>
        <w:t xml:space="preserve"> marked by stabilization of bamboo (2</w:t>
      </w:r>
      <w:r w:rsidR="00B868FF">
        <w:rPr>
          <w:rFonts w:ascii="Arial" w:hAnsi="Arial" w:cs="Arial"/>
          <w:sz w:val="20"/>
          <w:szCs w:val="20"/>
        </w:rPr>
        <w:t>4.74</w:t>
      </w:r>
      <w:r w:rsidRPr="00FA3BA9">
        <w:rPr>
          <w:rFonts w:ascii="Arial" w:hAnsi="Arial" w:cs="Arial"/>
          <w:sz w:val="20"/>
          <w:szCs w:val="20"/>
        </w:rPr>
        <w:t>% of district area) but diversification into rubber, tea, and arecanut plantations, alongside continued built-up growth.</w:t>
      </w:r>
    </w:p>
    <w:p w14:paraId="4C464994" w14:textId="6FEAEDE5" w:rsidR="00D2103B" w:rsidRPr="00FA3BA9" w:rsidRDefault="00D2103B" w:rsidP="00D2103B">
      <w:pPr>
        <w:spacing w:line="360" w:lineRule="auto"/>
        <w:jc w:val="both"/>
        <w:rPr>
          <w:rFonts w:ascii="Arial" w:hAnsi="Arial" w:cs="Arial"/>
          <w:sz w:val="20"/>
          <w:szCs w:val="20"/>
        </w:rPr>
      </w:pPr>
      <w:r w:rsidRPr="00FA3BA9">
        <w:rPr>
          <w:rFonts w:ascii="Arial" w:hAnsi="Arial" w:cs="Arial"/>
          <w:sz w:val="20"/>
          <w:szCs w:val="20"/>
        </w:rPr>
        <w:t>These transitions underscore the dual nature of bamboo</w:t>
      </w:r>
      <w:r w:rsidR="00A21EC6" w:rsidRPr="00FA3BA9">
        <w:rPr>
          <w:rFonts w:ascii="Arial" w:hAnsi="Arial" w:cs="Arial"/>
          <w:sz w:val="20"/>
          <w:szCs w:val="20"/>
        </w:rPr>
        <w:t xml:space="preserve">, </w:t>
      </w:r>
      <w:r w:rsidRPr="00FA3BA9">
        <w:rPr>
          <w:rFonts w:ascii="Arial" w:hAnsi="Arial" w:cs="Arial"/>
          <w:sz w:val="20"/>
          <w:szCs w:val="20"/>
        </w:rPr>
        <w:t xml:space="preserve">resilient as a cultural and ecological resource, yet vulnerable as an economic commodity tied to industrial cycles. The decline of </w:t>
      </w:r>
      <w:r w:rsidRPr="00FA3BA9">
        <w:rPr>
          <w:rFonts w:ascii="Arial" w:hAnsi="Arial" w:cs="Arial"/>
          <w:i/>
          <w:iCs/>
          <w:sz w:val="20"/>
          <w:szCs w:val="20"/>
        </w:rPr>
        <w:t>jhum</w:t>
      </w:r>
      <w:r w:rsidRPr="00FA3BA9">
        <w:rPr>
          <w:rFonts w:ascii="Arial" w:hAnsi="Arial" w:cs="Arial"/>
          <w:sz w:val="20"/>
          <w:szCs w:val="20"/>
        </w:rPr>
        <w:t xml:space="preserve"> cultivation reflects broader agrarian shifts in Northeast India, while the post-industrial diversification demonstrates household adaptation strategies but raises ecological concerns about plantation-driven landscape simplification and forest loss.</w:t>
      </w:r>
    </w:p>
    <w:p w14:paraId="3F819F69" w14:textId="77777777" w:rsidR="00D2103B" w:rsidRPr="00FA3BA9" w:rsidRDefault="00D2103B" w:rsidP="00D2103B">
      <w:pPr>
        <w:spacing w:line="360" w:lineRule="auto"/>
        <w:jc w:val="both"/>
        <w:rPr>
          <w:rFonts w:ascii="Arial" w:hAnsi="Arial" w:cs="Arial"/>
          <w:sz w:val="20"/>
          <w:szCs w:val="20"/>
        </w:rPr>
      </w:pPr>
      <w:r w:rsidRPr="00FA3BA9">
        <w:rPr>
          <w:rFonts w:ascii="Arial" w:hAnsi="Arial" w:cs="Arial"/>
          <w:sz w:val="20"/>
          <w:szCs w:val="20"/>
        </w:rPr>
        <w:t>The findings highlight three policy priorities. First, protecting residual forests to safeguard biodiversity and ecosystem services. Second, revitalizing bamboo-based value chains beyond industrial pulp, focusing on housing, furniture, handicrafts, and climate-resilient uses. Third, integrated land-use planning to balance livelihood diversification with ecological integrity, ensuring that plantation expansion does not undermine long-term sustainability.</w:t>
      </w:r>
    </w:p>
    <w:p w14:paraId="6ACD6784" w14:textId="77777777" w:rsidR="00D2103B" w:rsidRPr="00FA3BA9" w:rsidRDefault="00D2103B" w:rsidP="00D2103B">
      <w:pPr>
        <w:spacing w:line="360" w:lineRule="auto"/>
        <w:jc w:val="both"/>
        <w:rPr>
          <w:rFonts w:ascii="Arial" w:hAnsi="Arial" w:cs="Arial"/>
          <w:sz w:val="20"/>
          <w:szCs w:val="20"/>
        </w:rPr>
      </w:pPr>
      <w:r w:rsidRPr="00FA3BA9">
        <w:rPr>
          <w:rFonts w:ascii="Arial" w:hAnsi="Arial" w:cs="Arial"/>
          <w:sz w:val="20"/>
          <w:szCs w:val="20"/>
        </w:rPr>
        <w:t>By situating bamboo within a broader trajectory of land-use transitions, this study contributes to understanding how industrial demand, livelihood strategies, and ecological pressures interact in ecotonal landscapes. The Karbi Anglong case offers insights not only for bamboo-dependent regions in India but also for other resource-based landscapes in Asia undergoing similar transitions.</w:t>
      </w:r>
    </w:p>
    <w:p w14:paraId="5E5228AF" w14:textId="77777777" w:rsidR="00923813" w:rsidRDefault="00923813" w:rsidP="00923813">
      <w:pPr>
        <w:tabs>
          <w:tab w:val="left" w:pos="2696"/>
        </w:tabs>
        <w:rPr>
          <w:rFonts w:ascii="Arial" w:hAnsi="Arial" w:cs="Arial"/>
          <w:sz w:val="20"/>
          <w:szCs w:val="20"/>
        </w:rPr>
      </w:pPr>
      <w:bookmarkStart w:id="6" w:name="_Hlk183685723"/>
      <w:bookmarkStart w:id="7" w:name="_Hlk198899984"/>
      <w:bookmarkStart w:id="8" w:name="_Hlk200024137"/>
    </w:p>
    <w:p w14:paraId="10EFB5A4" w14:textId="77777777" w:rsidR="00923813" w:rsidRDefault="00923813" w:rsidP="00923813">
      <w:pPr>
        <w:rPr>
          <w:rFonts w:ascii="Calibri" w:eastAsia="Calibri" w:hAnsi="Calibri" w:cs="Times New Roman"/>
          <w:highlight w:val="yellow"/>
          <w:lang w:val="en-US"/>
        </w:rPr>
      </w:pPr>
      <w:bookmarkStart w:id="9" w:name="_Hlk204003461"/>
      <w:bookmarkEnd w:id="6"/>
      <w:bookmarkEnd w:id="7"/>
      <w:bookmarkEnd w:id="8"/>
      <w:r>
        <w:rPr>
          <w:rFonts w:ascii="Calibri" w:eastAsia="Calibri" w:hAnsi="Calibri" w:cs="Times New Roman"/>
          <w:highlight w:val="yellow"/>
          <w:lang w:val="en-US"/>
        </w:rPr>
        <w:t>Disclaimer (Artificial intelligence)</w:t>
      </w:r>
    </w:p>
    <w:p w14:paraId="571815EA" w14:textId="662C11E2" w:rsidR="00923813" w:rsidRDefault="00923813" w:rsidP="00923813">
      <w:pPr>
        <w:rPr>
          <w:rFonts w:ascii="Calibri" w:eastAsia="Calibri" w:hAnsi="Calibri" w:cs="Times New Roman"/>
          <w:highlight w:val="yellow"/>
          <w:lang w:val="en-US"/>
        </w:rPr>
      </w:pPr>
      <w:r>
        <w:rPr>
          <w:rFonts w:ascii="Calibri" w:eastAsia="Calibri" w:hAnsi="Calibri" w:cs="Times New Roman"/>
          <w:highlight w:val="yellow"/>
          <w:lang w:val="en-US"/>
        </w:rPr>
        <w:t xml:space="preserve">Option 1: </w:t>
      </w:r>
      <w:r w:rsidR="00247A74">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520D9AD5" w14:textId="77777777" w:rsidR="00923813" w:rsidRDefault="00923813" w:rsidP="00923813">
      <w:pPr>
        <w:rPr>
          <w:rFonts w:ascii="Calibri" w:eastAsia="Calibri" w:hAnsi="Calibri" w:cs="Times New Roman"/>
          <w:highlight w:val="yellow"/>
          <w:lang w:val="en-US"/>
        </w:rPr>
      </w:pPr>
      <w:r>
        <w:rPr>
          <w:rFonts w:ascii="Calibri" w:eastAsia="Calibri" w:hAnsi="Calibri" w:cs="Times New Roman"/>
          <w:highlight w:val="yellow"/>
          <w:lang w:val="en-US"/>
        </w:rPr>
        <w:lastRenderedPageBreak/>
        <w:t xml:space="preserve">Author(s) hereby declare that NO generative AI technologies such as Large Language Models (ChatGPT, COPILOT, etc.) and text-to-image generators have been used during the writing or editing of this manuscript. </w:t>
      </w:r>
    </w:p>
    <w:p w14:paraId="6EF9BBA3" w14:textId="77777777" w:rsidR="00923813" w:rsidRDefault="00923813" w:rsidP="00923813">
      <w:pPr>
        <w:rPr>
          <w:rFonts w:ascii="Calibri" w:eastAsia="Calibri" w:hAnsi="Calibri" w:cs="Times New Roman"/>
          <w:highlight w:val="yellow"/>
          <w:lang w:val="en-US"/>
        </w:rPr>
      </w:pPr>
      <w:r>
        <w:rPr>
          <w:rFonts w:ascii="Calibri" w:eastAsia="Calibri" w:hAnsi="Calibri" w:cs="Times New Roman"/>
          <w:highlight w:val="yellow"/>
          <w:lang w:val="en-US"/>
        </w:rPr>
        <w:t xml:space="preserve">Option 2: </w:t>
      </w:r>
    </w:p>
    <w:p w14:paraId="7DA04962" w14:textId="77777777" w:rsidR="00923813" w:rsidRDefault="00923813" w:rsidP="00923813">
      <w:pPr>
        <w:rPr>
          <w:rFonts w:ascii="Calibri" w:eastAsia="Calibri" w:hAnsi="Calibri" w:cs="Times New Roman"/>
          <w:highlight w:val="yellow"/>
          <w:lang w:val="en-US"/>
        </w:rPr>
      </w:pPr>
      <w:r>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92C2778" w14:textId="77777777" w:rsidR="00923813" w:rsidRDefault="00923813" w:rsidP="00923813">
      <w:pPr>
        <w:rPr>
          <w:rFonts w:ascii="Calibri" w:eastAsia="Calibri" w:hAnsi="Calibri" w:cs="Times New Roman"/>
          <w:highlight w:val="yellow"/>
          <w:lang w:val="en-US"/>
        </w:rPr>
      </w:pPr>
      <w:r>
        <w:rPr>
          <w:rFonts w:ascii="Calibri" w:eastAsia="Calibri" w:hAnsi="Calibri" w:cs="Times New Roman"/>
          <w:highlight w:val="yellow"/>
          <w:lang w:val="en-US"/>
        </w:rPr>
        <w:t>Details of the AI usage are given below:</w:t>
      </w:r>
    </w:p>
    <w:p w14:paraId="7DF2EB99" w14:textId="77777777" w:rsidR="00923813" w:rsidRDefault="00923813" w:rsidP="00923813">
      <w:pPr>
        <w:rPr>
          <w:rFonts w:ascii="Calibri" w:eastAsia="Calibri" w:hAnsi="Calibri" w:cs="Times New Roman"/>
          <w:highlight w:val="yellow"/>
          <w:lang w:val="en-US"/>
        </w:rPr>
      </w:pPr>
      <w:r>
        <w:rPr>
          <w:rFonts w:ascii="Calibri" w:eastAsia="Calibri" w:hAnsi="Calibri" w:cs="Times New Roman"/>
          <w:highlight w:val="yellow"/>
          <w:lang w:val="en-US"/>
        </w:rPr>
        <w:t>1.</w:t>
      </w:r>
    </w:p>
    <w:p w14:paraId="6B4557F2" w14:textId="77777777" w:rsidR="00923813" w:rsidRDefault="00923813" w:rsidP="00923813">
      <w:pPr>
        <w:rPr>
          <w:rFonts w:ascii="Calibri" w:eastAsia="Calibri" w:hAnsi="Calibri" w:cs="Times New Roman"/>
          <w:highlight w:val="yellow"/>
          <w:lang w:val="en-US"/>
        </w:rPr>
      </w:pPr>
      <w:r>
        <w:rPr>
          <w:rFonts w:ascii="Calibri" w:eastAsia="Calibri" w:hAnsi="Calibri" w:cs="Times New Roman"/>
          <w:highlight w:val="yellow"/>
          <w:lang w:val="en-US"/>
        </w:rPr>
        <w:t>2.</w:t>
      </w:r>
    </w:p>
    <w:p w14:paraId="5E4BD96C" w14:textId="77777777" w:rsidR="00923813" w:rsidRDefault="00923813" w:rsidP="00923813">
      <w:pPr>
        <w:rPr>
          <w:rFonts w:ascii="Calibri" w:eastAsia="Calibri" w:hAnsi="Calibri" w:cs="Times New Roman"/>
          <w:highlight w:val="yellow"/>
          <w:lang w:val="en-US"/>
        </w:rPr>
      </w:pPr>
      <w:r>
        <w:rPr>
          <w:rFonts w:ascii="Calibri" w:eastAsia="Calibri" w:hAnsi="Calibri" w:cs="Times New Roman"/>
          <w:highlight w:val="yellow"/>
          <w:lang w:val="en-US"/>
        </w:rPr>
        <w:t>3.</w:t>
      </w:r>
      <w:bookmarkEnd w:id="9"/>
    </w:p>
    <w:p w14:paraId="123DE8C6" w14:textId="6549D240" w:rsidR="00F65894" w:rsidRDefault="00F65894" w:rsidP="00F65894">
      <w:pPr>
        <w:jc w:val="right"/>
        <w:rPr>
          <w:rFonts w:ascii="Calibri" w:eastAsia="Calibri" w:hAnsi="Calibri" w:cs="Times New Roman"/>
          <w:highlight w:val="yellow"/>
          <w:lang w:val="en-US"/>
        </w:rPr>
      </w:pPr>
    </w:p>
    <w:p w14:paraId="7CF6D882" w14:textId="68530E94" w:rsidR="00F92CBB" w:rsidRPr="00F83470" w:rsidRDefault="00F65894" w:rsidP="00F83470">
      <w:pPr>
        <w:pStyle w:val="ListParagraph"/>
        <w:jc w:val="both"/>
        <w:rPr>
          <w:rFonts w:ascii="Arial" w:hAnsi="Arial" w:cs="Arial"/>
          <w:b/>
          <w:bCs/>
          <w:sz w:val="20"/>
          <w:szCs w:val="20"/>
        </w:rPr>
      </w:pPr>
      <w:r w:rsidRPr="00F65894">
        <w:rPr>
          <w:rFonts w:ascii="Arial" w:hAnsi="Arial" w:cs="Arial"/>
          <w:b/>
          <w:bCs/>
          <w:sz w:val="20"/>
          <w:szCs w:val="20"/>
        </w:rPr>
        <w:t>Refere</w:t>
      </w:r>
      <w:r>
        <w:rPr>
          <w:rFonts w:ascii="Arial" w:hAnsi="Arial" w:cs="Arial"/>
          <w:b/>
          <w:bCs/>
          <w:sz w:val="20"/>
          <w:szCs w:val="20"/>
        </w:rPr>
        <w:t>nc</w:t>
      </w:r>
      <w:r w:rsidRPr="00F65894">
        <w:rPr>
          <w:rFonts w:ascii="Arial" w:hAnsi="Arial" w:cs="Arial"/>
          <w:b/>
          <w:bCs/>
          <w:sz w:val="20"/>
          <w:szCs w:val="20"/>
        </w:rPr>
        <w:t>es</w:t>
      </w:r>
    </w:p>
    <w:p w14:paraId="24DCF648" w14:textId="77777777" w:rsidR="00F92CBB" w:rsidRPr="007B508B" w:rsidRDefault="00F92CBB" w:rsidP="007B508B">
      <w:pPr>
        <w:pStyle w:val="ListParagraph"/>
        <w:numPr>
          <w:ilvl w:val="0"/>
          <w:numId w:val="8"/>
        </w:numPr>
        <w:jc w:val="both"/>
        <w:rPr>
          <w:rFonts w:ascii="Arial" w:hAnsi="Arial" w:cs="Arial"/>
          <w:sz w:val="20"/>
          <w:szCs w:val="20"/>
        </w:rPr>
      </w:pPr>
      <w:r w:rsidRPr="00F65894">
        <w:rPr>
          <w:rFonts w:ascii="Arial" w:hAnsi="Arial" w:cs="Arial"/>
          <w:sz w:val="20"/>
          <w:szCs w:val="20"/>
          <w:lang w:val="de-DE"/>
        </w:rPr>
        <w:t xml:space="preserve">Aktara, A., &amp; Bhuyan, M. J. (2025). </w:t>
      </w:r>
      <w:r w:rsidRPr="007046F4">
        <w:rPr>
          <w:rFonts w:ascii="Arial" w:hAnsi="Arial" w:cs="Arial"/>
          <w:sz w:val="20"/>
          <w:szCs w:val="20"/>
        </w:rPr>
        <w:t xml:space="preserve">Changing jobs, changing landscapes: Do land use patterns reflect occupational shifts? </w:t>
      </w:r>
      <w:r w:rsidRPr="007B508B">
        <w:rPr>
          <w:rFonts w:ascii="Arial" w:hAnsi="Arial" w:cs="Arial"/>
          <w:sz w:val="20"/>
          <w:szCs w:val="20"/>
        </w:rPr>
        <w:t> </w:t>
      </w:r>
    </w:p>
    <w:p w14:paraId="4BE0DD6E" w14:textId="77777777" w:rsidR="00F92CBB" w:rsidRDefault="00F92CBB" w:rsidP="006946DC">
      <w:pPr>
        <w:pStyle w:val="ListParagraph"/>
        <w:numPr>
          <w:ilvl w:val="0"/>
          <w:numId w:val="8"/>
        </w:numPr>
        <w:jc w:val="both"/>
        <w:rPr>
          <w:rFonts w:ascii="Arial" w:hAnsi="Arial" w:cs="Arial"/>
          <w:sz w:val="20"/>
          <w:szCs w:val="20"/>
        </w:rPr>
      </w:pPr>
      <w:r w:rsidRPr="00B4192B">
        <w:rPr>
          <w:rFonts w:ascii="Arial" w:hAnsi="Arial" w:cs="Arial"/>
          <w:sz w:val="20"/>
          <w:szCs w:val="20"/>
        </w:rPr>
        <w:t>Belcher, B. (1998). A production-to-consumption systems approach: Lessons from the bamboo and rattan sectors in Asia. In M. Ruiz-Pérez &amp; J. E. Arnold (Eds.).</w:t>
      </w:r>
      <w:r>
        <w:rPr>
          <w:rFonts w:ascii="Arial" w:hAnsi="Arial" w:cs="Arial"/>
          <w:sz w:val="20"/>
          <w:szCs w:val="20"/>
        </w:rPr>
        <w:t xml:space="preserve"> </w:t>
      </w:r>
      <w:hyperlink r:id="rId14" w:history="1">
        <w:r w:rsidRPr="00F65894">
          <w:rPr>
            <w:rStyle w:val="Hyperlink"/>
            <w:rFonts w:ascii="Arial" w:hAnsi="Arial" w:cs="Arial"/>
            <w:sz w:val="20"/>
            <w:szCs w:val="20"/>
          </w:rPr>
          <w:t>Incomes from the forest: methods for the development and conservation of forest products for local communities</w:t>
        </w:r>
      </w:hyperlink>
    </w:p>
    <w:p w14:paraId="0C9BA46C" w14:textId="77777777" w:rsidR="00F92CBB" w:rsidRPr="00F65894" w:rsidRDefault="00F92CBB" w:rsidP="00F65894">
      <w:pPr>
        <w:pStyle w:val="ListParagraph"/>
        <w:numPr>
          <w:ilvl w:val="0"/>
          <w:numId w:val="8"/>
        </w:numPr>
        <w:spacing w:before="100" w:beforeAutospacing="1" w:after="100" w:afterAutospacing="1" w:line="240" w:lineRule="auto"/>
        <w:jc w:val="both"/>
        <w:rPr>
          <w:rFonts w:ascii="Arial" w:hAnsi="Arial" w:cs="Arial"/>
          <w:sz w:val="20"/>
          <w:szCs w:val="20"/>
        </w:rPr>
      </w:pPr>
      <w:r w:rsidRPr="00F65894">
        <w:rPr>
          <w:rFonts w:ascii="Arial" w:hAnsi="Arial" w:cs="Arial"/>
          <w:sz w:val="20"/>
          <w:szCs w:val="20"/>
        </w:rPr>
        <w:t xml:space="preserve">Borah, S. N., Sarma, K., &amp; Parmar, H. (2025). </w:t>
      </w:r>
      <w:r w:rsidRPr="00F65894">
        <w:rPr>
          <w:rFonts w:ascii="Arial" w:hAnsi="Arial" w:cs="Arial"/>
          <w:i/>
          <w:iCs/>
          <w:sz w:val="20"/>
          <w:szCs w:val="20"/>
        </w:rPr>
        <w:t>Mapping of bamboo groves in Karbi Anglong District, Assam using geospatial technologies</w:t>
      </w:r>
      <w:r w:rsidRPr="00F65894">
        <w:rPr>
          <w:rFonts w:ascii="Arial" w:hAnsi="Arial" w:cs="Arial"/>
          <w:sz w:val="20"/>
          <w:szCs w:val="20"/>
        </w:rPr>
        <w:t>. SSRN Electronic Journal. https://papers.ssrn.com/sol3/papers.cfm?abstract_id=5382507</w:t>
      </w:r>
    </w:p>
    <w:p w14:paraId="49FF8672" w14:textId="77777777" w:rsidR="00F92CBB" w:rsidRPr="00535140" w:rsidRDefault="00F92CBB" w:rsidP="00535140">
      <w:pPr>
        <w:pStyle w:val="ListParagraph"/>
        <w:numPr>
          <w:ilvl w:val="0"/>
          <w:numId w:val="8"/>
        </w:numPr>
        <w:jc w:val="both"/>
        <w:rPr>
          <w:rFonts w:ascii="Arial" w:hAnsi="Arial" w:cs="Arial"/>
          <w:sz w:val="20"/>
          <w:szCs w:val="20"/>
        </w:rPr>
      </w:pPr>
      <w:r w:rsidRPr="00AE674A">
        <w:rPr>
          <w:rFonts w:ascii="Arial" w:hAnsi="Arial" w:cs="Arial"/>
          <w:sz w:val="20"/>
          <w:szCs w:val="20"/>
        </w:rPr>
        <w:t>Bos, S. P. M., Cornioley, T., Dray, A., Waeber, P. O., &amp; Garcia, C. A. (2020). Exploring Livelihood Strategies of Shifting Cultivation Farmers in Assam through Games. </w:t>
      </w:r>
      <w:r w:rsidRPr="00AE674A">
        <w:rPr>
          <w:rFonts w:ascii="Arial" w:hAnsi="Arial" w:cs="Arial"/>
          <w:i/>
          <w:iCs/>
          <w:sz w:val="20"/>
          <w:szCs w:val="20"/>
        </w:rPr>
        <w:t>Sustainability</w:t>
      </w:r>
      <w:r w:rsidRPr="00AE674A">
        <w:rPr>
          <w:rFonts w:ascii="Arial" w:hAnsi="Arial" w:cs="Arial"/>
          <w:sz w:val="20"/>
          <w:szCs w:val="20"/>
        </w:rPr>
        <w:t>, </w:t>
      </w:r>
      <w:r w:rsidRPr="00AE674A">
        <w:rPr>
          <w:rFonts w:ascii="Arial" w:hAnsi="Arial" w:cs="Arial"/>
          <w:i/>
          <w:iCs/>
          <w:sz w:val="20"/>
          <w:szCs w:val="20"/>
        </w:rPr>
        <w:t>12</w:t>
      </w:r>
      <w:r w:rsidRPr="00AE674A">
        <w:rPr>
          <w:rFonts w:ascii="Arial" w:hAnsi="Arial" w:cs="Arial"/>
          <w:sz w:val="20"/>
          <w:szCs w:val="20"/>
        </w:rPr>
        <w:t xml:space="preserve">(6), 2438. </w:t>
      </w:r>
      <w:hyperlink r:id="rId15" w:history="1">
        <w:r w:rsidRPr="00890EFD">
          <w:rPr>
            <w:rStyle w:val="Hyperlink"/>
            <w:rFonts w:ascii="Arial" w:hAnsi="Arial" w:cs="Arial"/>
            <w:sz w:val="20"/>
            <w:szCs w:val="20"/>
          </w:rPr>
          <w:t>https://doi.org/10.3390/su12062438</w:t>
        </w:r>
      </w:hyperlink>
    </w:p>
    <w:p w14:paraId="6AD59AA1" w14:textId="77777777" w:rsidR="00F92CBB" w:rsidRPr="00817BF4" w:rsidRDefault="00F92CBB" w:rsidP="00817BF4">
      <w:pPr>
        <w:pStyle w:val="ListParagraph"/>
        <w:numPr>
          <w:ilvl w:val="0"/>
          <w:numId w:val="8"/>
        </w:numPr>
        <w:jc w:val="both"/>
        <w:rPr>
          <w:rFonts w:ascii="Arial" w:hAnsi="Arial" w:cs="Arial"/>
          <w:sz w:val="20"/>
          <w:szCs w:val="20"/>
        </w:rPr>
      </w:pPr>
      <w:r w:rsidRPr="00FE3C5C">
        <w:rPr>
          <w:rFonts w:ascii="Arial" w:hAnsi="Arial" w:cs="Arial"/>
          <w:sz w:val="20"/>
          <w:szCs w:val="20"/>
          <w:lang w:val="de-DE"/>
        </w:rPr>
        <w:t>Bystriakova, N., Kapos, V., Lysenko, I. </w:t>
      </w:r>
      <w:r w:rsidRPr="00FE3C5C">
        <w:rPr>
          <w:rFonts w:ascii="Arial" w:hAnsi="Arial" w:cs="Arial"/>
          <w:i/>
          <w:iCs/>
          <w:sz w:val="20"/>
          <w:szCs w:val="20"/>
          <w:lang w:val="de-DE"/>
        </w:rPr>
        <w:t>et al.</w:t>
      </w:r>
      <w:r w:rsidRPr="00FE3C5C">
        <w:rPr>
          <w:rFonts w:ascii="Arial" w:hAnsi="Arial" w:cs="Arial"/>
          <w:sz w:val="20"/>
          <w:szCs w:val="20"/>
          <w:lang w:val="de-DE"/>
        </w:rPr>
        <w:t> </w:t>
      </w:r>
      <w:r w:rsidRPr="00FE3C5C">
        <w:rPr>
          <w:rFonts w:ascii="Arial" w:hAnsi="Arial" w:cs="Arial"/>
          <w:sz w:val="20"/>
          <w:szCs w:val="20"/>
        </w:rPr>
        <w:t>Distribution and conservation status of forest bamboo biodiversity in the Asia-Pacific Region. </w:t>
      </w:r>
      <w:r w:rsidRPr="00FE3C5C">
        <w:rPr>
          <w:rFonts w:ascii="Arial" w:hAnsi="Arial" w:cs="Arial"/>
          <w:i/>
          <w:iCs/>
          <w:sz w:val="20"/>
          <w:szCs w:val="20"/>
        </w:rPr>
        <w:t>Biodiversity and Conservation</w:t>
      </w:r>
      <w:r w:rsidRPr="00FE3C5C">
        <w:rPr>
          <w:rFonts w:ascii="Arial" w:hAnsi="Arial" w:cs="Arial"/>
          <w:sz w:val="20"/>
          <w:szCs w:val="20"/>
        </w:rPr>
        <w:t> </w:t>
      </w:r>
      <w:r w:rsidRPr="00FE3C5C">
        <w:rPr>
          <w:rFonts w:ascii="Arial" w:hAnsi="Arial" w:cs="Arial"/>
          <w:b/>
          <w:bCs/>
          <w:sz w:val="20"/>
          <w:szCs w:val="20"/>
        </w:rPr>
        <w:t>12</w:t>
      </w:r>
      <w:r w:rsidRPr="00FE3C5C">
        <w:rPr>
          <w:rFonts w:ascii="Arial" w:hAnsi="Arial" w:cs="Arial"/>
          <w:sz w:val="20"/>
          <w:szCs w:val="20"/>
        </w:rPr>
        <w:t xml:space="preserve">, 1833–1841 (2003). </w:t>
      </w:r>
      <w:hyperlink r:id="rId16" w:history="1">
        <w:r w:rsidRPr="00890EFD">
          <w:rPr>
            <w:rStyle w:val="Hyperlink"/>
            <w:rFonts w:ascii="Arial" w:hAnsi="Arial" w:cs="Arial"/>
            <w:sz w:val="20"/>
            <w:szCs w:val="20"/>
          </w:rPr>
          <w:t>https://doi.org/10.1023/A:1024139813651</w:t>
        </w:r>
      </w:hyperlink>
    </w:p>
    <w:p w14:paraId="1F99FCD0" w14:textId="77777777" w:rsidR="00F92CBB" w:rsidRDefault="00F92CBB" w:rsidP="006946DC">
      <w:pPr>
        <w:pStyle w:val="ListParagraph"/>
        <w:numPr>
          <w:ilvl w:val="0"/>
          <w:numId w:val="8"/>
        </w:numPr>
        <w:jc w:val="both"/>
        <w:rPr>
          <w:rFonts w:ascii="Arial" w:hAnsi="Arial" w:cs="Arial"/>
          <w:sz w:val="20"/>
          <w:szCs w:val="20"/>
        </w:rPr>
      </w:pPr>
      <w:r w:rsidRPr="00B4192B">
        <w:rPr>
          <w:rFonts w:ascii="Arial" w:hAnsi="Arial" w:cs="Arial"/>
          <w:sz w:val="20"/>
          <w:szCs w:val="20"/>
        </w:rPr>
        <w:t xml:space="preserve">Champion, H. G., &amp; Seth, S. K. (1968). </w:t>
      </w:r>
      <w:r w:rsidRPr="00B4192B">
        <w:rPr>
          <w:rFonts w:ascii="Arial" w:hAnsi="Arial" w:cs="Arial"/>
          <w:i/>
          <w:iCs/>
          <w:sz w:val="20"/>
          <w:szCs w:val="20"/>
        </w:rPr>
        <w:t>A revised survey of the forest types of India</w:t>
      </w:r>
      <w:r w:rsidRPr="00B4192B">
        <w:rPr>
          <w:rFonts w:ascii="Arial" w:hAnsi="Arial" w:cs="Arial"/>
          <w:sz w:val="20"/>
          <w:szCs w:val="20"/>
        </w:rPr>
        <w:t xml:space="preserve">. Government of India Press. </w:t>
      </w:r>
      <w:hyperlink r:id="rId17" w:tgtFrame="_new" w:history="1">
        <w:r w:rsidRPr="00B4192B">
          <w:rPr>
            <w:rStyle w:val="Hyperlink"/>
            <w:rFonts w:ascii="Arial" w:hAnsi="Arial" w:cs="Arial"/>
            <w:sz w:val="20"/>
            <w:szCs w:val="20"/>
          </w:rPr>
          <w:t>https://archive.org/details/revisedsurveyoff0000sirh</w:t>
        </w:r>
      </w:hyperlink>
    </w:p>
    <w:p w14:paraId="718487CF" w14:textId="77777777" w:rsidR="00F92CBB" w:rsidRPr="00FE3C5C" w:rsidRDefault="00F92CBB" w:rsidP="00FE3C5C">
      <w:pPr>
        <w:pStyle w:val="NormalWeb"/>
        <w:numPr>
          <w:ilvl w:val="0"/>
          <w:numId w:val="8"/>
        </w:numPr>
        <w:spacing w:before="100" w:beforeAutospacing="1" w:after="100" w:afterAutospacing="1" w:line="240" w:lineRule="auto"/>
        <w:jc w:val="both"/>
        <w:rPr>
          <w:rFonts w:ascii="Arial" w:hAnsi="Arial" w:cs="Arial"/>
          <w:sz w:val="20"/>
          <w:szCs w:val="20"/>
        </w:rPr>
      </w:pPr>
      <w:r w:rsidRPr="00B052B4">
        <w:rPr>
          <w:rFonts w:ascii="Arial" w:hAnsi="Arial" w:cs="Arial"/>
          <w:sz w:val="20"/>
          <w:szCs w:val="20"/>
        </w:rPr>
        <w:t>Chanu, L.K., De, A., Chakraborty, K., &amp; Paul, S. (2023). CHARACTERIZATION OF SHIFTING CULTIVATION, TRENDS AND DIVERSIFICATION OF LIVELIHOOD PATTERNS: A CASE STUDY FROM FOREST VILLAGES IN BARAK VALLEY, ASSAM, NORTHEAST INDIA. </w:t>
      </w:r>
      <w:r w:rsidRPr="00B052B4">
        <w:rPr>
          <w:rFonts w:ascii="Arial" w:eastAsia="Times New Roman" w:hAnsi="Arial" w:cs="Arial"/>
          <w:i/>
          <w:iCs/>
          <w:sz w:val="20"/>
          <w:szCs w:val="20"/>
        </w:rPr>
        <w:t>Trees, Forests and People</w:t>
      </w:r>
      <w:r w:rsidRPr="00B052B4">
        <w:rPr>
          <w:rFonts w:ascii="Arial" w:hAnsi="Arial" w:cs="Arial"/>
          <w:sz w:val="20"/>
          <w:szCs w:val="20"/>
        </w:rPr>
        <w:t>.</w:t>
      </w:r>
      <w:r>
        <w:rPr>
          <w:rFonts w:ascii="Arial" w:hAnsi="Arial" w:cs="Arial"/>
          <w:sz w:val="20"/>
          <w:szCs w:val="20"/>
        </w:rPr>
        <w:t xml:space="preserve"> </w:t>
      </w:r>
      <w:hyperlink r:id="rId18" w:history="1">
        <w:r w:rsidRPr="00890EFD">
          <w:rPr>
            <w:rStyle w:val="Hyperlink"/>
            <w:rFonts w:ascii="Arial" w:hAnsi="Arial" w:cs="Arial"/>
            <w:sz w:val="20"/>
            <w:szCs w:val="20"/>
          </w:rPr>
          <w:t>https://doi.org/10.1016/j.tfp.2023.100420</w:t>
        </w:r>
      </w:hyperlink>
    </w:p>
    <w:p w14:paraId="045AFEA6" w14:textId="77777777" w:rsidR="00F92CBB" w:rsidRPr="00FE3C5C" w:rsidRDefault="00F92CBB" w:rsidP="00FE3C5C">
      <w:pPr>
        <w:pStyle w:val="ListParagraph"/>
        <w:numPr>
          <w:ilvl w:val="0"/>
          <w:numId w:val="8"/>
        </w:numPr>
        <w:jc w:val="both"/>
        <w:rPr>
          <w:rFonts w:ascii="Arial" w:hAnsi="Arial" w:cs="Arial"/>
          <w:sz w:val="20"/>
          <w:szCs w:val="20"/>
        </w:rPr>
      </w:pPr>
      <w:r w:rsidRPr="00B4192B">
        <w:rPr>
          <w:rFonts w:ascii="Arial" w:hAnsi="Arial" w:cs="Arial"/>
          <w:sz w:val="20"/>
          <w:szCs w:val="20"/>
        </w:rPr>
        <w:t xml:space="preserve">Congalton, R. G. (1991). A review of assessing the accuracy of classifications of remotely sensed data. </w:t>
      </w:r>
      <w:r w:rsidRPr="00B4192B">
        <w:rPr>
          <w:rFonts w:ascii="Arial" w:hAnsi="Arial" w:cs="Arial"/>
          <w:i/>
          <w:iCs/>
          <w:sz w:val="20"/>
          <w:szCs w:val="20"/>
        </w:rPr>
        <w:t>Remote Sensing of Environment, 37</w:t>
      </w:r>
      <w:r w:rsidRPr="00B4192B">
        <w:rPr>
          <w:rFonts w:ascii="Arial" w:hAnsi="Arial" w:cs="Arial"/>
          <w:sz w:val="20"/>
          <w:szCs w:val="20"/>
        </w:rPr>
        <w:t>(1), 35–46.</w:t>
      </w:r>
      <w:r w:rsidRPr="00FE3C5C">
        <w:t xml:space="preserve"> </w:t>
      </w:r>
      <w:hyperlink r:id="rId19" w:history="1">
        <w:r w:rsidRPr="00890EFD">
          <w:rPr>
            <w:rStyle w:val="Hyperlink"/>
            <w:rFonts w:ascii="Arial" w:hAnsi="Arial" w:cs="Arial"/>
            <w:sz w:val="20"/>
            <w:szCs w:val="20"/>
          </w:rPr>
          <w:t>https://doi.org/10.1016/0034-4257(91)90048-B</w:t>
        </w:r>
      </w:hyperlink>
    </w:p>
    <w:p w14:paraId="31E7CFE4" w14:textId="77777777" w:rsidR="00F92CBB" w:rsidRPr="00B4192B" w:rsidRDefault="00F92CBB" w:rsidP="006946DC">
      <w:pPr>
        <w:pStyle w:val="ListParagraph"/>
        <w:numPr>
          <w:ilvl w:val="0"/>
          <w:numId w:val="8"/>
        </w:numPr>
        <w:spacing w:after="0" w:line="240" w:lineRule="auto"/>
        <w:jc w:val="both"/>
        <w:rPr>
          <w:rFonts w:ascii="Arial" w:hAnsi="Arial" w:cs="Arial"/>
          <w:sz w:val="20"/>
          <w:szCs w:val="20"/>
        </w:rPr>
      </w:pPr>
      <w:r w:rsidRPr="007046F4">
        <w:rPr>
          <w:rFonts w:ascii="Arial" w:hAnsi="Arial" w:cs="Arial"/>
          <w:sz w:val="20"/>
          <w:szCs w:val="20"/>
        </w:rPr>
        <w:t xml:space="preserve">Forest Survey of India. (2011). </w:t>
      </w:r>
      <w:r w:rsidRPr="007046F4">
        <w:rPr>
          <w:rStyle w:val="Emphasis"/>
          <w:rFonts w:ascii="Arial" w:hAnsi="Arial" w:cs="Arial"/>
          <w:sz w:val="20"/>
          <w:szCs w:val="20"/>
        </w:rPr>
        <w:t>National forest type mapping</w:t>
      </w:r>
      <w:r w:rsidRPr="007046F4">
        <w:rPr>
          <w:rFonts w:ascii="Arial" w:hAnsi="Arial" w:cs="Arial"/>
          <w:sz w:val="20"/>
          <w:szCs w:val="20"/>
        </w:rPr>
        <w:t xml:space="preserve">. Forest Survey of India. </w:t>
      </w:r>
      <w:hyperlink r:id="rId20" w:history="1">
        <w:r w:rsidRPr="00890EFD">
          <w:rPr>
            <w:rStyle w:val="Hyperlink"/>
            <w:rFonts w:ascii="Arial" w:eastAsiaTheme="majorEastAsia" w:hAnsi="Arial" w:cs="Arial"/>
            <w:sz w:val="20"/>
            <w:szCs w:val="20"/>
          </w:rPr>
          <w:t>https://fsi.nic.in/uploads/documents/doc_1051_national_forest_type_mapping.pdf</w:t>
        </w:r>
      </w:hyperlink>
    </w:p>
    <w:p w14:paraId="251F3067" w14:textId="77777777" w:rsidR="00F92CBB" w:rsidRDefault="00F92CBB" w:rsidP="006946DC">
      <w:pPr>
        <w:pStyle w:val="ListParagraph"/>
        <w:numPr>
          <w:ilvl w:val="0"/>
          <w:numId w:val="8"/>
        </w:numPr>
        <w:jc w:val="both"/>
        <w:rPr>
          <w:rFonts w:ascii="Arial" w:hAnsi="Arial" w:cs="Arial"/>
          <w:sz w:val="20"/>
          <w:szCs w:val="20"/>
        </w:rPr>
      </w:pPr>
      <w:r w:rsidRPr="007046F4">
        <w:rPr>
          <w:rFonts w:ascii="Arial" w:hAnsi="Arial" w:cs="Arial"/>
          <w:sz w:val="20"/>
          <w:szCs w:val="20"/>
        </w:rPr>
        <w:t xml:space="preserve">Fox, J., Fujita, Y., Ngidang, D., Peluso, N., Potter, L., Sakuntaladewi, N., Sturgeon, J., &amp; Thomas, D. (2009). Policies, political-economy, and swidden in Southeast Asia. </w:t>
      </w:r>
      <w:r w:rsidRPr="007046F4">
        <w:rPr>
          <w:rFonts w:ascii="Arial" w:hAnsi="Arial" w:cs="Arial"/>
          <w:i/>
          <w:iCs/>
          <w:sz w:val="20"/>
          <w:szCs w:val="20"/>
        </w:rPr>
        <w:t>Human Ecology, 37</w:t>
      </w:r>
      <w:r w:rsidRPr="007046F4">
        <w:rPr>
          <w:rFonts w:ascii="Arial" w:hAnsi="Arial" w:cs="Arial"/>
          <w:sz w:val="20"/>
          <w:szCs w:val="20"/>
        </w:rPr>
        <w:t xml:space="preserve">(3), 305–322. </w:t>
      </w:r>
    </w:p>
    <w:p w14:paraId="38909957" w14:textId="77777777" w:rsidR="00F92CBB" w:rsidRPr="00817BF4" w:rsidRDefault="00F92CBB" w:rsidP="00817BF4">
      <w:pPr>
        <w:pStyle w:val="ListParagraph"/>
        <w:numPr>
          <w:ilvl w:val="0"/>
          <w:numId w:val="8"/>
        </w:numPr>
        <w:jc w:val="both"/>
        <w:rPr>
          <w:rFonts w:ascii="Arial" w:hAnsi="Arial" w:cs="Arial"/>
          <w:sz w:val="20"/>
          <w:szCs w:val="20"/>
        </w:rPr>
      </w:pPr>
      <w:r w:rsidRPr="007046F4">
        <w:rPr>
          <w:rFonts w:ascii="Arial" w:hAnsi="Arial" w:cs="Arial"/>
          <w:sz w:val="20"/>
          <w:szCs w:val="20"/>
        </w:rPr>
        <w:lastRenderedPageBreak/>
        <w:t xml:space="preserve">Gómez-Limón, J. A., Arriaza, M., &amp; Guerrero-Baena, M. D. (2020). Building a composite indicator to measure environmental sustainability using alternative weighting methods. </w:t>
      </w:r>
      <w:r w:rsidRPr="007046F4">
        <w:rPr>
          <w:rFonts w:ascii="Arial" w:hAnsi="Arial" w:cs="Arial"/>
          <w:i/>
          <w:iCs/>
          <w:sz w:val="20"/>
          <w:szCs w:val="20"/>
        </w:rPr>
        <w:t>Sustainability, 12</w:t>
      </w:r>
      <w:r w:rsidRPr="007046F4">
        <w:rPr>
          <w:rFonts w:ascii="Arial" w:hAnsi="Arial" w:cs="Arial"/>
          <w:sz w:val="20"/>
          <w:szCs w:val="20"/>
        </w:rPr>
        <w:t xml:space="preserve">(11), 4398. </w:t>
      </w:r>
      <w:hyperlink r:id="rId21" w:history="1">
        <w:r w:rsidRPr="00890EFD">
          <w:rPr>
            <w:rStyle w:val="Hyperlink"/>
            <w:rFonts w:ascii="Arial" w:hAnsi="Arial" w:cs="Arial"/>
            <w:sz w:val="20"/>
            <w:szCs w:val="20"/>
          </w:rPr>
          <w:t>https://doi.org/10.3390/su12114398</w:t>
        </w:r>
      </w:hyperlink>
    </w:p>
    <w:p w14:paraId="1E5761BE" w14:textId="77777777" w:rsidR="00F92CBB" w:rsidRPr="007046F4" w:rsidRDefault="00F92CBB" w:rsidP="006946DC">
      <w:pPr>
        <w:pStyle w:val="ListParagraph"/>
        <w:numPr>
          <w:ilvl w:val="0"/>
          <w:numId w:val="8"/>
        </w:numPr>
        <w:jc w:val="both"/>
        <w:rPr>
          <w:rFonts w:ascii="Arial" w:hAnsi="Arial" w:cs="Arial"/>
          <w:sz w:val="20"/>
          <w:szCs w:val="20"/>
        </w:rPr>
      </w:pPr>
      <w:r w:rsidRPr="007046F4">
        <w:rPr>
          <w:rFonts w:ascii="Arial" w:hAnsi="Arial" w:cs="Arial"/>
          <w:sz w:val="20"/>
          <w:szCs w:val="20"/>
        </w:rPr>
        <w:t xml:space="preserve">Government of Assam. (n.d.). </w:t>
      </w:r>
      <w:r w:rsidRPr="007046F4">
        <w:rPr>
          <w:rFonts w:ascii="Arial" w:hAnsi="Arial" w:cs="Arial"/>
          <w:i/>
          <w:iCs/>
          <w:sz w:val="20"/>
          <w:szCs w:val="20"/>
        </w:rPr>
        <w:t>District profile: Karbi Anglong</w:t>
      </w:r>
      <w:r w:rsidRPr="007046F4">
        <w:rPr>
          <w:rFonts w:ascii="Arial" w:hAnsi="Arial" w:cs="Arial"/>
          <w:sz w:val="20"/>
          <w:szCs w:val="20"/>
        </w:rPr>
        <w:t xml:space="preserve">. Karbi Anglong District Administration. </w:t>
      </w:r>
      <w:hyperlink r:id="rId22" w:tgtFrame="_new" w:history="1">
        <w:r w:rsidRPr="007046F4">
          <w:rPr>
            <w:rStyle w:val="Hyperlink"/>
            <w:rFonts w:ascii="Arial" w:hAnsi="Arial" w:cs="Arial"/>
            <w:sz w:val="20"/>
            <w:szCs w:val="20"/>
          </w:rPr>
          <w:t>https://karbianglong.gov.in/information-services/district-profile</w:t>
        </w:r>
      </w:hyperlink>
    </w:p>
    <w:p w14:paraId="194D8646" w14:textId="77777777" w:rsidR="00F92CBB" w:rsidRPr="00817BF4" w:rsidRDefault="00F92CBB" w:rsidP="00817BF4">
      <w:pPr>
        <w:pStyle w:val="ListParagraph"/>
        <w:jc w:val="both"/>
        <w:rPr>
          <w:rFonts w:ascii="Arial" w:hAnsi="Arial" w:cs="Arial"/>
          <w:sz w:val="20"/>
          <w:szCs w:val="20"/>
        </w:rPr>
      </w:pPr>
      <w:hyperlink r:id="rId23" w:history="1">
        <w:r w:rsidRPr="007B508B">
          <w:rPr>
            <w:rStyle w:val="Hyperlink"/>
            <w:rFonts w:ascii="Arial" w:hAnsi="Arial" w:cs="Arial"/>
            <w:b/>
            <w:bCs/>
            <w:sz w:val="20"/>
            <w:szCs w:val="20"/>
          </w:rPr>
          <w:t>https://doi.org/10.1111/area.70018</w:t>
        </w:r>
      </w:hyperlink>
    </w:p>
    <w:p w14:paraId="4E24F383" w14:textId="21B8565F" w:rsidR="00F92CBB"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5429CA">
        <w:rPr>
          <w:rFonts w:ascii="Arial" w:hAnsi="Arial" w:cs="Arial"/>
          <w:sz w:val="20"/>
          <w:szCs w:val="20"/>
        </w:rPr>
        <w:t xml:space="preserve">Ilorkar, V. M. and Raut, P. D. </w:t>
      </w:r>
      <w:r>
        <w:rPr>
          <w:rFonts w:ascii="Arial" w:hAnsi="Arial" w:cs="Arial"/>
          <w:sz w:val="20"/>
          <w:szCs w:val="20"/>
        </w:rPr>
        <w:t>(</w:t>
      </w:r>
      <w:r w:rsidRPr="005429CA">
        <w:rPr>
          <w:rFonts w:ascii="Arial" w:hAnsi="Arial" w:cs="Arial"/>
          <w:sz w:val="20"/>
          <w:szCs w:val="20"/>
        </w:rPr>
        <w:t>2021</w:t>
      </w:r>
      <w:r>
        <w:rPr>
          <w:rFonts w:ascii="Arial" w:hAnsi="Arial" w:cs="Arial"/>
          <w:sz w:val="20"/>
          <w:szCs w:val="20"/>
        </w:rPr>
        <w:t>)</w:t>
      </w:r>
      <w:r w:rsidRPr="005429CA">
        <w:rPr>
          <w:rFonts w:ascii="Arial" w:hAnsi="Arial" w:cs="Arial"/>
          <w:sz w:val="20"/>
          <w:szCs w:val="20"/>
        </w:rPr>
        <w:t>. Evaluation of Growth, Morphology, Biomass Production of Commercial Bamboo Species under Rainfed Condition on Agricultural Wastelands.</w:t>
      </w:r>
      <w:r w:rsidRPr="005429CA">
        <w:rPr>
          <w:rFonts w:ascii="Arial" w:hAnsi="Arial" w:cs="Arial"/>
          <w:i/>
          <w:iCs/>
          <w:sz w:val="20"/>
          <w:szCs w:val="20"/>
        </w:rPr>
        <w:t>Int.J.Curr.Microbiol.App.Sci.</w:t>
      </w:r>
      <w:r w:rsidRPr="005429CA">
        <w:rPr>
          <w:rFonts w:ascii="Arial" w:hAnsi="Arial" w:cs="Arial"/>
          <w:sz w:val="20"/>
          <w:szCs w:val="20"/>
        </w:rPr>
        <w:t> 10(1): 193-199. doi: </w:t>
      </w:r>
      <w:hyperlink r:id="rId24" w:history="1">
        <w:r w:rsidRPr="005429CA">
          <w:rPr>
            <w:rStyle w:val="Hyperlink"/>
            <w:rFonts w:ascii="Arial" w:eastAsia="Times New Roman" w:hAnsi="Arial" w:cs="Arial"/>
            <w:sz w:val="20"/>
            <w:szCs w:val="20"/>
          </w:rPr>
          <w:t>https://doi.org/10.20546/ijcmas.2021.1001.023</w:t>
        </w:r>
      </w:hyperlink>
    </w:p>
    <w:p w14:paraId="7A9EB863" w14:textId="77777777" w:rsidR="00F92CBB" w:rsidRPr="00B4192B" w:rsidRDefault="00F92CBB" w:rsidP="006946DC">
      <w:pPr>
        <w:pStyle w:val="NormalWeb"/>
        <w:numPr>
          <w:ilvl w:val="0"/>
          <w:numId w:val="8"/>
        </w:numPr>
        <w:spacing w:before="100" w:beforeAutospacing="1" w:after="0" w:line="240" w:lineRule="auto"/>
        <w:jc w:val="both"/>
        <w:rPr>
          <w:rFonts w:ascii="Arial" w:hAnsi="Arial" w:cs="Arial"/>
          <w:sz w:val="20"/>
          <w:szCs w:val="20"/>
        </w:rPr>
      </w:pPr>
      <w:r w:rsidRPr="005429CA">
        <w:rPr>
          <w:rFonts w:ascii="Arial" w:hAnsi="Arial" w:cs="Arial"/>
          <w:sz w:val="20"/>
          <w:szCs w:val="20"/>
        </w:rPr>
        <w:t>Kashyap, P.J., Sarmah, K., Bose, S. </w:t>
      </w:r>
      <w:r w:rsidRPr="005429CA">
        <w:rPr>
          <w:rFonts w:ascii="Arial" w:hAnsi="Arial" w:cs="Arial"/>
          <w:i/>
          <w:iCs/>
          <w:sz w:val="20"/>
          <w:szCs w:val="20"/>
        </w:rPr>
        <w:t>et al.</w:t>
      </w:r>
      <w:r w:rsidRPr="005429CA">
        <w:rPr>
          <w:rFonts w:ascii="Arial" w:hAnsi="Arial" w:cs="Arial"/>
          <w:sz w:val="20"/>
          <w:szCs w:val="20"/>
        </w:rPr>
        <w:t> Assessing land use and land cover changes in the buffer zone of Nambor Wildlife Sanctuary (WLS), Assam. </w:t>
      </w:r>
      <w:r w:rsidRPr="005429CA">
        <w:rPr>
          <w:rFonts w:ascii="Arial" w:hAnsi="Arial" w:cs="Arial"/>
          <w:i/>
          <w:iCs/>
          <w:sz w:val="20"/>
          <w:szCs w:val="20"/>
        </w:rPr>
        <w:t>Discov Geosci</w:t>
      </w:r>
      <w:r w:rsidRPr="005429CA">
        <w:rPr>
          <w:rFonts w:ascii="Arial" w:hAnsi="Arial" w:cs="Arial"/>
          <w:sz w:val="20"/>
          <w:szCs w:val="20"/>
        </w:rPr>
        <w:t> </w:t>
      </w:r>
      <w:r w:rsidRPr="005429CA">
        <w:rPr>
          <w:rFonts w:ascii="Arial" w:hAnsi="Arial" w:cs="Arial"/>
          <w:b/>
          <w:bCs/>
          <w:sz w:val="20"/>
          <w:szCs w:val="20"/>
        </w:rPr>
        <w:t>3</w:t>
      </w:r>
      <w:r w:rsidRPr="005429CA">
        <w:rPr>
          <w:rFonts w:ascii="Arial" w:hAnsi="Arial" w:cs="Arial"/>
          <w:sz w:val="20"/>
          <w:szCs w:val="20"/>
        </w:rPr>
        <w:t xml:space="preserve">, 104 (2025). </w:t>
      </w:r>
      <w:hyperlink r:id="rId25" w:history="1">
        <w:r w:rsidRPr="00890EFD">
          <w:rPr>
            <w:rStyle w:val="Hyperlink"/>
            <w:rFonts w:ascii="Arial" w:hAnsi="Arial" w:cs="Arial"/>
            <w:sz w:val="20"/>
            <w:szCs w:val="20"/>
          </w:rPr>
          <w:t>https://doi.org/10.1007/s44288-025-00217-3</w:t>
        </w:r>
      </w:hyperlink>
    </w:p>
    <w:p w14:paraId="361498F7" w14:textId="77777777" w:rsidR="00F92CBB" w:rsidRPr="00255BE3" w:rsidRDefault="00F92CBB" w:rsidP="00255BE3">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lang w:val="de-DE"/>
        </w:rPr>
        <w:t xml:space="preserve">Kühling, M., Alamsyah, Z., &amp; Sibhatu, K. T. (2022). </w:t>
      </w:r>
      <w:r w:rsidRPr="007046F4">
        <w:rPr>
          <w:rFonts w:ascii="Arial" w:hAnsi="Arial" w:cs="Arial"/>
          <w:sz w:val="20"/>
          <w:szCs w:val="20"/>
        </w:rPr>
        <w:t xml:space="preserve">Agrarian change, livelihood dynamics and welfare outcomes: Evidence from plantation crop farmers in Indonesia. </w:t>
      </w:r>
      <w:r w:rsidRPr="007046F4">
        <w:rPr>
          <w:rStyle w:val="Emphasis"/>
          <w:rFonts w:ascii="Arial" w:hAnsi="Arial" w:cs="Arial"/>
          <w:sz w:val="20"/>
          <w:szCs w:val="20"/>
        </w:rPr>
        <w:t>Journal of Environmental Management, 311</w:t>
      </w:r>
      <w:r w:rsidRPr="007046F4">
        <w:rPr>
          <w:rFonts w:ascii="Arial" w:hAnsi="Arial" w:cs="Arial"/>
          <w:sz w:val="20"/>
          <w:szCs w:val="20"/>
        </w:rPr>
        <w:t xml:space="preserve">, 114864. </w:t>
      </w:r>
      <w:r w:rsidRPr="005429CA">
        <w:rPr>
          <w:rFonts w:ascii="Arial" w:hAnsi="Arial" w:cs="Arial"/>
          <w:sz w:val="20"/>
          <w:szCs w:val="20"/>
        </w:rPr>
        <w:t>https://doi.org/10.1016/j.jenvman.2022.114864</w:t>
      </w:r>
    </w:p>
    <w:p w14:paraId="4F3CFDE4" w14:textId="77777777" w:rsidR="00F92CBB" w:rsidRPr="00255BE3" w:rsidRDefault="00F92CBB" w:rsidP="00255BE3">
      <w:pPr>
        <w:pStyle w:val="NormalWeb"/>
        <w:numPr>
          <w:ilvl w:val="0"/>
          <w:numId w:val="8"/>
        </w:numPr>
        <w:spacing w:before="100" w:beforeAutospacing="1" w:after="100" w:afterAutospacing="1" w:line="240" w:lineRule="auto"/>
        <w:jc w:val="both"/>
        <w:rPr>
          <w:rFonts w:ascii="Arial" w:hAnsi="Arial" w:cs="Arial"/>
          <w:sz w:val="20"/>
          <w:szCs w:val="20"/>
        </w:rPr>
      </w:pPr>
      <w:r w:rsidRPr="00B052B4">
        <w:rPr>
          <w:rFonts w:ascii="Arial" w:hAnsi="Arial" w:cs="Arial"/>
          <w:sz w:val="20"/>
          <w:szCs w:val="20"/>
          <w:lang w:val="de-DE"/>
        </w:rPr>
        <w:t xml:space="preserve">Kurien, A. J., Lele, S., &amp; Nagendra, H. (2019). </w:t>
      </w:r>
      <w:r w:rsidRPr="00B052B4">
        <w:rPr>
          <w:rFonts w:ascii="Arial" w:hAnsi="Arial" w:cs="Arial"/>
          <w:sz w:val="20"/>
          <w:szCs w:val="20"/>
        </w:rPr>
        <w:t>Farms or forests? Understanding and mapping shifting cultivation using the case study of West Garo hills, India. </w:t>
      </w:r>
      <w:r w:rsidRPr="00B052B4">
        <w:rPr>
          <w:rFonts w:ascii="Arial" w:hAnsi="Arial" w:cs="Arial"/>
          <w:i/>
          <w:iCs/>
          <w:sz w:val="20"/>
          <w:szCs w:val="20"/>
        </w:rPr>
        <w:t>Land</w:t>
      </w:r>
      <w:r w:rsidRPr="00B052B4">
        <w:rPr>
          <w:rFonts w:ascii="Arial" w:hAnsi="Arial" w:cs="Arial"/>
          <w:sz w:val="20"/>
          <w:szCs w:val="20"/>
        </w:rPr>
        <w:t>, </w:t>
      </w:r>
      <w:r w:rsidRPr="00B052B4">
        <w:rPr>
          <w:rFonts w:ascii="Arial" w:hAnsi="Arial" w:cs="Arial"/>
          <w:i/>
          <w:iCs/>
          <w:sz w:val="20"/>
          <w:szCs w:val="20"/>
        </w:rPr>
        <w:t>8</w:t>
      </w:r>
      <w:r w:rsidRPr="00B052B4">
        <w:rPr>
          <w:rFonts w:ascii="Arial" w:hAnsi="Arial" w:cs="Arial"/>
          <w:sz w:val="20"/>
          <w:szCs w:val="20"/>
        </w:rPr>
        <w:t>(9), 133.</w:t>
      </w:r>
      <w:r w:rsidRPr="00CA7EDD">
        <w:t xml:space="preserve"> </w:t>
      </w:r>
      <w:r w:rsidRPr="00CA7EDD">
        <w:rPr>
          <w:rFonts w:ascii="Arial" w:hAnsi="Arial" w:cs="Arial"/>
          <w:sz w:val="20"/>
          <w:szCs w:val="20"/>
        </w:rPr>
        <w:t>https://doi.org/10.3390/land8090133</w:t>
      </w:r>
    </w:p>
    <w:p w14:paraId="71E4FC93" w14:textId="77777777" w:rsidR="00F92CBB" w:rsidRPr="007046F4"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rPr>
        <w:t xml:space="preserve">Lambin, E. F., &amp; Meyfroidt, P. (2010). Land use transitions: Socio-ecological feedback versus socio-economic change. </w:t>
      </w:r>
      <w:r w:rsidRPr="007046F4">
        <w:rPr>
          <w:rStyle w:val="Emphasis"/>
          <w:rFonts w:ascii="Arial" w:hAnsi="Arial" w:cs="Arial"/>
          <w:sz w:val="20"/>
          <w:szCs w:val="20"/>
        </w:rPr>
        <w:t>Land Use Policy, 27</w:t>
      </w:r>
      <w:r w:rsidRPr="007046F4">
        <w:rPr>
          <w:rFonts w:ascii="Arial" w:hAnsi="Arial" w:cs="Arial"/>
          <w:sz w:val="20"/>
          <w:szCs w:val="20"/>
        </w:rPr>
        <w:t xml:space="preserve">(2), 108–118. </w:t>
      </w:r>
      <w:hyperlink r:id="rId26" w:tgtFrame="_new" w:history="1">
        <w:r w:rsidRPr="007046F4">
          <w:rPr>
            <w:rStyle w:val="Hyperlink"/>
            <w:rFonts w:ascii="Arial" w:hAnsi="Arial" w:cs="Arial"/>
            <w:sz w:val="20"/>
            <w:szCs w:val="20"/>
          </w:rPr>
          <w:t>https://doi.org/10.1016/j.landusepol.2009.09.003</w:t>
        </w:r>
      </w:hyperlink>
    </w:p>
    <w:p w14:paraId="78BA910E" w14:textId="77777777" w:rsidR="00F92CBB" w:rsidRPr="00B4192B"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rPr>
        <w:t xml:space="preserve">Longpichai, O., Perret, S. R., &amp; Shivakoti, G. P. (2012). Role of livelihood capital in shaping the farming strategies and outcomes of smallholder rubber producers in Southern Thailand. </w:t>
      </w:r>
      <w:r w:rsidRPr="007046F4">
        <w:rPr>
          <w:rStyle w:val="Emphasis"/>
          <w:rFonts w:ascii="Arial" w:hAnsi="Arial" w:cs="Arial"/>
          <w:sz w:val="20"/>
          <w:szCs w:val="20"/>
        </w:rPr>
        <w:t>Outlook on Agriculture, 41</w:t>
      </w:r>
      <w:r w:rsidRPr="007046F4">
        <w:rPr>
          <w:rFonts w:ascii="Arial" w:hAnsi="Arial" w:cs="Arial"/>
          <w:sz w:val="20"/>
          <w:szCs w:val="20"/>
        </w:rPr>
        <w:t xml:space="preserve">(2), 117–124. </w:t>
      </w:r>
      <w:hyperlink r:id="rId27" w:history="1">
        <w:r w:rsidRPr="00890EFD">
          <w:rPr>
            <w:rStyle w:val="Hyperlink"/>
            <w:rFonts w:ascii="Arial" w:hAnsi="Arial" w:cs="Arial"/>
            <w:sz w:val="20"/>
            <w:szCs w:val="20"/>
          </w:rPr>
          <w:t>https://doi.org/10.5367/oa.2012.0096</w:t>
        </w:r>
      </w:hyperlink>
    </w:p>
    <w:p w14:paraId="285BB774" w14:textId="77777777" w:rsidR="00F92CBB" w:rsidRPr="00B4192B"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rPr>
        <w:t xml:space="preserve">Mahapatra, S., Majhi, B. K., Sarkar, M. S., Datta, D., Mishra, A. P., &amp; Rathnayake, U. (2025). Understanding forest fragmentation dynamics and identifying drivers for forest cover loss using random forest models to develop effective forest management strategies in North-East India. </w:t>
      </w:r>
      <w:r w:rsidRPr="007046F4">
        <w:rPr>
          <w:rStyle w:val="Emphasis"/>
          <w:rFonts w:ascii="Arial" w:hAnsi="Arial" w:cs="Arial"/>
          <w:sz w:val="20"/>
          <w:szCs w:val="20"/>
        </w:rPr>
        <w:t>Results in Engineering, 26</w:t>
      </w:r>
      <w:r w:rsidRPr="007046F4">
        <w:rPr>
          <w:rFonts w:ascii="Arial" w:hAnsi="Arial" w:cs="Arial"/>
          <w:sz w:val="20"/>
          <w:szCs w:val="20"/>
        </w:rPr>
        <w:t xml:space="preserve">, 104640. </w:t>
      </w:r>
      <w:hyperlink r:id="rId28" w:history="1">
        <w:r w:rsidRPr="00890EFD">
          <w:rPr>
            <w:rStyle w:val="Hyperlink"/>
            <w:rFonts w:ascii="Arial" w:hAnsi="Arial" w:cs="Arial"/>
            <w:sz w:val="20"/>
            <w:szCs w:val="20"/>
          </w:rPr>
          <w:t>https://doi.org/10.1016/j.rineng.2025.104640</w:t>
        </w:r>
      </w:hyperlink>
    </w:p>
    <w:p w14:paraId="6199B03C" w14:textId="77777777" w:rsidR="00F92CBB"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lang w:val="de-DE"/>
        </w:rPr>
        <w:t xml:space="preserve">Mertz, O., Padoch, C., Fox, J., Cramb, R. A., Leisz, S., Lam, N. T., &amp; Vien, T. D. (2009). </w:t>
      </w:r>
      <w:r w:rsidRPr="007046F4">
        <w:rPr>
          <w:rFonts w:ascii="Arial" w:hAnsi="Arial" w:cs="Arial"/>
          <w:sz w:val="20"/>
          <w:szCs w:val="20"/>
        </w:rPr>
        <w:t xml:space="preserve">Swidden change in Southeast Asia: Understanding causes and consequences. </w:t>
      </w:r>
      <w:r w:rsidRPr="007046F4">
        <w:rPr>
          <w:rStyle w:val="Emphasis"/>
          <w:rFonts w:ascii="Arial" w:hAnsi="Arial" w:cs="Arial"/>
          <w:sz w:val="20"/>
          <w:szCs w:val="20"/>
        </w:rPr>
        <w:t>Human Ecology, 37</w:t>
      </w:r>
      <w:r w:rsidRPr="007046F4">
        <w:rPr>
          <w:rFonts w:ascii="Arial" w:hAnsi="Arial" w:cs="Arial"/>
          <w:sz w:val="20"/>
          <w:szCs w:val="20"/>
        </w:rPr>
        <w:t xml:space="preserve">(3), 259–264. </w:t>
      </w:r>
      <w:hyperlink r:id="rId29" w:tgtFrame="_new" w:history="1">
        <w:r w:rsidRPr="007046F4">
          <w:rPr>
            <w:rStyle w:val="Hyperlink"/>
            <w:rFonts w:ascii="Arial" w:hAnsi="Arial" w:cs="Arial"/>
            <w:sz w:val="20"/>
            <w:szCs w:val="20"/>
          </w:rPr>
          <w:t>https://doi.org/10.1007/s10745-009-9245-2</w:t>
        </w:r>
      </w:hyperlink>
    </w:p>
    <w:p w14:paraId="600AD87E" w14:textId="77777777" w:rsidR="00F92CBB" w:rsidRPr="00255BE3" w:rsidRDefault="00F92CBB" w:rsidP="00255BE3">
      <w:pPr>
        <w:pStyle w:val="ListParagraph"/>
        <w:numPr>
          <w:ilvl w:val="0"/>
          <w:numId w:val="8"/>
        </w:numPr>
        <w:shd w:val="clear" w:color="auto" w:fill="FFFFFF"/>
        <w:spacing w:after="0" w:afterAutospacing="1" w:line="240" w:lineRule="auto"/>
        <w:rPr>
          <w:rFonts w:ascii="Arial" w:hAnsi="Arial" w:cs="Arial"/>
          <w:color w:val="333333"/>
          <w:sz w:val="20"/>
          <w:szCs w:val="20"/>
        </w:rPr>
      </w:pPr>
      <w:r w:rsidRPr="00B052B4">
        <w:rPr>
          <w:rStyle w:val="authorname"/>
          <w:rFonts w:ascii="Arial" w:hAnsi="Arial" w:cs="Arial"/>
          <w:color w:val="333333"/>
          <w:sz w:val="20"/>
          <w:szCs w:val="20"/>
        </w:rPr>
        <w:t>Meyfroidt P</w:t>
      </w:r>
      <w:r w:rsidRPr="00B052B4">
        <w:rPr>
          <w:rFonts w:ascii="Arial" w:hAnsi="Arial" w:cs="Arial"/>
          <w:color w:val="333333"/>
          <w:sz w:val="20"/>
          <w:szCs w:val="20"/>
        </w:rPr>
        <w:t> </w:t>
      </w:r>
      <w:r w:rsidRPr="00B052B4">
        <w:rPr>
          <w:rStyle w:val="date"/>
          <w:rFonts w:ascii="Arial" w:hAnsi="Arial" w:cs="Arial"/>
          <w:color w:val="333333"/>
          <w:sz w:val="20"/>
          <w:szCs w:val="20"/>
        </w:rPr>
        <w:t>(2016)</w:t>
      </w:r>
      <w:r w:rsidRPr="00B052B4">
        <w:rPr>
          <w:rFonts w:ascii="Arial" w:hAnsi="Arial" w:cs="Arial"/>
          <w:color w:val="333333"/>
          <w:sz w:val="20"/>
          <w:szCs w:val="20"/>
        </w:rPr>
        <w:t> </w:t>
      </w:r>
      <w:r w:rsidRPr="00B052B4">
        <w:rPr>
          <w:rStyle w:val="arttitle"/>
          <w:rFonts w:ascii="Arial" w:hAnsi="Arial" w:cs="Arial"/>
          <w:color w:val="333333"/>
          <w:sz w:val="20"/>
          <w:szCs w:val="20"/>
        </w:rPr>
        <w:t>Approaches and terminology for causal analysis in land systems science,</w:t>
      </w:r>
      <w:r w:rsidRPr="00B052B4">
        <w:rPr>
          <w:rFonts w:ascii="Arial" w:hAnsi="Arial" w:cs="Arial"/>
          <w:color w:val="333333"/>
          <w:sz w:val="20"/>
          <w:szCs w:val="20"/>
        </w:rPr>
        <w:t> </w:t>
      </w:r>
      <w:r w:rsidRPr="00B052B4">
        <w:rPr>
          <w:rStyle w:val="serialtitle"/>
          <w:rFonts w:ascii="Arial" w:hAnsi="Arial" w:cs="Arial"/>
          <w:color w:val="333333"/>
          <w:sz w:val="20"/>
          <w:szCs w:val="20"/>
        </w:rPr>
        <w:t>Journal of Land Use Science,</w:t>
      </w:r>
      <w:r w:rsidRPr="00B052B4">
        <w:rPr>
          <w:rFonts w:ascii="Arial" w:hAnsi="Arial" w:cs="Arial"/>
          <w:color w:val="333333"/>
          <w:sz w:val="20"/>
          <w:szCs w:val="20"/>
        </w:rPr>
        <w:t> </w:t>
      </w:r>
      <w:r w:rsidRPr="00B052B4">
        <w:rPr>
          <w:rStyle w:val="volumeissue"/>
          <w:rFonts w:ascii="Arial" w:hAnsi="Arial" w:cs="Arial"/>
          <w:color w:val="333333"/>
          <w:sz w:val="20"/>
          <w:szCs w:val="20"/>
        </w:rPr>
        <w:t>11:5,</w:t>
      </w:r>
      <w:r w:rsidRPr="00B052B4">
        <w:rPr>
          <w:rFonts w:ascii="Arial" w:hAnsi="Arial" w:cs="Arial"/>
          <w:color w:val="333333"/>
          <w:sz w:val="20"/>
          <w:szCs w:val="20"/>
        </w:rPr>
        <w:t> </w:t>
      </w:r>
      <w:r w:rsidRPr="00B052B4">
        <w:rPr>
          <w:rStyle w:val="pagerange"/>
          <w:rFonts w:ascii="Arial" w:hAnsi="Arial" w:cs="Arial"/>
          <w:color w:val="333333"/>
          <w:sz w:val="20"/>
          <w:szCs w:val="20"/>
        </w:rPr>
        <w:t>501-522,</w:t>
      </w:r>
      <w:r w:rsidRPr="00B052B4">
        <w:rPr>
          <w:rFonts w:ascii="Arial" w:hAnsi="Arial" w:cs="Arial"/>
          <w:color w:val="333333"/>
          <w:sz w:val="20"/>
          <w:szCs w:val="20"/>
        </w:rPr>
        <w:t> </w:t>
      </w:r>
      <w:r w:rsidRPr="00B052B4">
        <w:rPr>
          <w:rStyle w:val="doilink"/>
          <w:rFonts w:ascii="Arial" w:hAnsi="Arial" w:cs="Arial"/>
          <w:color w:val="333333"/>
          <w:sz w:val="20"/>
          <w:szCs w:val="20"/>
        </w:rPr>
        <w:t>DOI: </w:t>
      </w:r>
      <w:hyperlink r:id="rId30" w:history="1">
        <w:r w:rsidRPr="00B052B4">
          <w:rPr>
            <w:rStyle w:val="Hyperlink"/>
            <w:rFonts w:ascii="Arial" w:hAnsi="Arial" w:cs="Arial"/>
            <w:color w:val="333333"/>
            <w:sz w:val="20"/>
            <w:szCs w:val="20"/>
          </w:rPr>
          <w:t>10.1080/1747423X.2015.1117530</w:t>
        </w:r>
      </w:hyperlink>
    </w:p>
    <w:p w14:paraId="1B204CCA" w14:textId="77777777" w:rsidR="00F92CBB" w:rsidRPr="007046F4"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rPr>
        <w:t xml:space="preserve">NASA Jet Propulsion Laboratory. (2013). </w:t>
      </w:r>
      <w:r w:rsidRPr="007046F4">
        <w:rPr>
          <w:rStyle w:val="Emphasis"/>
          <w:rFonts w:ascii="Arial" w:hAnsi="Arial" w:cs="Arial"/>
          <w:sz w:val="20"/>
          <w:szCs w:val="20"/>
        </w:rPr>
        <w:t>Shuttle Radar Topography Mission (SRTM) Global 30 arc-second DEM</w:t>
      </w:r>
      <w:r w:rsidRPr="007046F4">
        <w:rPr>
          <w:rFonts w:ascii="Arial" w:hAnsi="Arial" w:cs="Arial"/>
          <w:sz w:val="20"/>
          <w:szCs w:val="20"/>
        </w:rPr>
        <w:t xml:space="preserve">. NASA EOSDIS Land Processes Distributed Active Archive Center. Retrieved from </w:t>
      </w:r>
      <w:hyperlink r:id="rId31" w:tgtFrame="_new" w:history="1">
        <w:r w:rsidRPr="007046F4">
          <w:rPr>
            <w:rStyle w:val="Hyperlink"/>
            <w:rFonts w:ascii="Arial" w:hAnsi="Arial" w:cs="Arial"/>
            <w:sz w:val="20"/>
            <w:szCs w:val="20"/>
          </w:rPr>
          <w:t>https://earthexplorer.usgs.gov</w:t>
        </w:r>
      </w:hyperlink>
    </w:p>
    <w:p w14:paraId="412EB441" w14:textId="77777777" w:rsidR="00F92CBB" w:rsidRPr="007046F4"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lang w:val="de-DE"/>
        </w:rPr>
        <w:t xml:space="preserve">Nath, A. J., Lal, R., &amp; Das, A. K. (2015). </w:t>
      </w:r>
      <w:r w:rsidRPr="007046F4">
        <w:rPr>
          <w:rFonts w:ascii="Arial" w:hAnsi="Arial" w:cs="Arial"/>
          <w:sz w:val="20"/>
          <w:szCs w:val="20"/>
        </w:rPr>
        <w:t xml:space="preserve">Managing woody bamboos for carbon farming and carbon trading. </w:t>
      </w:r>
      <w:r w:rsidRPr="007046F4">
        <w:rPr>
          <w:rStyle w:val="Emphasis"/>
          <w:rFonts w:ascii="Arial" w:hAnsi="Arial" w:cs="Arial"/>
          <w:sz w:val="20"/>
          <w:szCs w:val="20"/>
        </w:rPr>
        <w:t>Global Ecology and Conservation, 3</w:t>
      </w:r>
      <w:r w:rsidRPr="007046F4">
        <w:rPr>
          <w:rFonts w:ascii="Arial" w:hAnsi="Arial" w:cs="Arial"/>
          <w:sz w:val="20"/>
          <w:szCs w:val="20"/>
        </w:rPr>
        <w:t xml:space="preserve">, 654–663. </w:t>
      </w:r>
      <w:hyperlink r:id="rId32" w:tgtFrame="_new" w:history="1">
        <w:r w:rsidRPr="007046F4">
          <w:rPr>
            <w:rStyle w:val="Hyperlink"/>
            <w:rFonts w:ascii="Arial" w:hAnsi="Arial" w:cs="Arial"/>
            <w:sz w:val="20"/>
            <w:szCs w:val="20"/>
          </w:rPr>
          <w:t>https://doi.org/10.1016/j.gecco.2015.03.002</w:t>
        </w:r>
      </w:hyperlink>
    </w:p>
    <w:p w14:paraId="37C5F768" w14:textId="77777777" w:rsidR="00F92CBB" w:rsidRPr="00817BF4" w:rsidRDefault="00F92CBB" w:rsidP="00817BF4">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rPr>
        <w:t xml:space="preserve">Nath, A., &amp; Das, A. (2011). Carbon storage and sequestration in bamboo-based smallholder homegardens of Barak Valley, Assam. </w:t>
      </w:r>
      <w:r w:rsidRPr="007046F4">
        <w:rPr>
          <w:rStyle w:val="Emphasis"/>
          <w:rFonts w:ascii="Arial" w:hAnsi="Arial" w:cs="Arial"/>
          <w:sz w:val="20"/>
          <w:szCs w:val="20"/>
        </w:rPr>
        <w:t>Current Science, 100</w:t>
      </w:r>
      <w:r w:rsidRPr="007046F4">
        <w:rPr>
          <w:rFonts w:ascii="Arial" w:hAnsi="Arial" w:cs="Arial"/>
          <w:sz w:val="20"/>
          <w:szCs w:val="20"/>
        </w:rPr>
        <w:t xml:space="preserve">(2), 229–233. </w:t>
      </w:r>
      <w:hyperlink r:id="rId33" w:history="1">
        <w:r w:rsidRPr="00890EFD">
          <w:rPr>
            <w:rStyle w:val="Hyperlink"/>
            <w:rFonts w:ascii="Arial" w:hAnsi="Arial" w:cs="Arial"/>
            <w:sz w:val="20"/>
            <w:szCs w:val="20"/>
          </w:rPr>
          <w:t>https://www.jstor.org/stable/24073051</w:t>
        </w:r>
      </w:hyperlink>
    </w:p>
    <w:p w14:paraId="40B129CC" w14:textId="77777777" w:rsidR="00F92CBB" w:rsidRPr="00CA7EDD" w:rsidRDefault="00F92CBB" w:rsidP="00CA7EDD">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rPr>
        <w:t xml:space="preserve">National Bamboo Mission. (2018). </w:t>
      </w:r>
      <w:r w:rsidRPr="007046F4">
        <w:rPr>
          <w:rStyle w:val="Emphasis"/>
          <w:rFonts w:ascii="Arial" w:hAnsi="Arial" w:cs="Arial"/>
          <w:sz w:val="20"/>
          <w:szCs w:val="20"/>
        </w:rPr>
        <w:t>Operational guidelines</w:t>
      </w:r>
      <w:r w:rsidRPr="007046F4">
        <w:rPr>
          <w:rFonts w:ascii="Arial" w:hAnsi="Arial" w:cs="Arial"/>
          <w:sz w:val="20"/>
          <w:szCs w:val="20"/>
        </w:rPr>
        <w:t>. Ministry of Agriculture &amp; Farmers Welfare, Government of India.</w:t>
      </w:r>
      <w:r>
        <w:rPr>
          <w:rFonts w:ascii="Arial" w:hAnsi="Arial" w:cs="Arial"/>
          <w:sz w:val="20"/>
          <w:szCs w:val="20"/>
        </w:rPr>
        <w:t xml:space="preserve"> </w:t>
      </w:r>
      <w:hyperlink r:id="rId34" w:history="1">
        <w:r w:rsidRPr="00CA7EDD">
          <w:rPr>
            <w:rStyle w:val="Hyperlink"/>
            <w:rFonts w:ascii="Arial" w:hAnsi="Arial" w:cs="Arial"/>
            <w:sz w:val="20"/>
            <w:szCs w:val="20"/>
          </w:rPr>
          <w:t>National Bamboo Mission</w:t>
        </w:r>
      </w:hyperlink>
    </w:p>
    <w:p w14:paraId="679D48DB" w14:textId="77777777" w:rsidR="00F92CBB" w:rsidRPr="00CE79C5" w:rsidRDefault="00F92CBB" w:rsidP="00CE79C5">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rPr>
        <w:t xml:space="preserve">Pavate, V., Jagdale, A., Shinde, R., Manechikkannara, N., &amp; Patil, D. </w:t>
      </w:r>
      <w:r>
        <w:rPr>
          <w:rFonts w:ascii="Arial" w:hAnsi="Arial" w:cs="Arial"/>
          <w:sz w:val="20"/>
          <w:szCs w:val="20"/>
        </w:rPr>
        <w:t>(2024)</w:t>
      </w:r>
      <w:r w:rsidRPr="007046F4">
        <w:rPr>
          <w:rFonts w:ascii="Arial" w:hAnsi="Arial" w:cs="Arial"/>
          <w:sz w:val="20"/>
          <w:szCs w:val="20"/>
        </w:rPr>
        <w:t xml:space="preserve">. </w:t>
      </w:r>
      <w:r w:rsidRPr="007046F4">
        <w:rPr>
          <w:rStyle w:val="Emphasis"/>
          <w:rFonts w:ascii="Arial" w:hAnsi="Arial" w:cs="Arial"/>
          <w:sz w:val="20"/>
          <w:szCs w:val="20"/>
        </w:rPr>
        <w:t>Study on bamboo industry</w:t>
      </w:r>
      <w:r w:rsidRPr="007046F4">
        <w:rPr>
          <w:rFonts w:ascii="Arial" w:hAnsi="Arial" w:cs="Arial"/>
          <w:sz w:val="20"/>
          <w:szCs w:val="20"/>
        </w:rPr>
        <w:t xml:space="preserve">. </w:t>
      </w:r>
      <w:r w:rsidRPr="00CA7EDD">
        <w:rPr>
          <w:rFonts w:ascii="Arial" w:hAnsi="Arial" w:cs="Arial"/>
          <w:sz w:val="20"/>
          <w:szCs w:val="20"/>
        </w:rPr>
        <w:t>http://dx.doi.org/10.22214/ijraset.2024.60085</w:t>
      </w:r>
    </w:p>
    <w:p w14:paraId="1800D9EB" w14:textId="77777777" w:rsidR="00F92CBB" w:rsidRPr="00B4192B"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lang w:val="de-DE"/>
        </w:rPr>
        <w:t xml:space="preserve">Pérez, M. R., Rodríguez, L. G., Yang, X., Xie, J., &amp; Fu, M. (2014). </w:t>
      </w:r>
      <w:r w:rsidRPr="007046F4">
        <w:rPr>
          <w:rFonts w:ascii="Arial" w:hAnsi="Arial" w:cs="Arial"/>
          <w:sz w:val="20"/>
          <w:szCs w:val="20"/>
        </w:rPr>
        <w:t xml:space="preserve">From basic raw material goods to cultural and environmental services: The Chinese bamboo sophistication path. </w:t>
      </w:r>
      <w:r w:rsidRPr="007046F4">
        <w:rPr>
          <w:rStyle w:val="Emphasis"/>
          <w:rFonts w:ascii="Arial" w:hAnsi="Arial" w:cs="Arial"/>
          <w:sz w:val="20"/>
          <w:szCs w:val="20"/>
        </w:rPr>
        <w:t>Ecology and Society, 19</w:t>
      </w:r>
      <w:r w:rsidRPr="007046F4">
        <w:rPr>
          <w:rFonts w:ascii="Arial" w:hAnsi="Arial" w:cs="Arial"/>
          <w:sz w:val="20"/>
          <w:szCs w:val="20"/>
        </w:rPr>
        <w:t xml:space="preserve">(3), 3. </w:t>
      </w:r>
      <w:hyperlink r:id="rId35" w:history="1">
        <w:r w:rsidRPr="00890EFD">
          <w:rPr>
            <w:rStyle w:val="Hyperlink"/>
            <w:rFonts w:ascii="Arial" w:hAnsi="Arial" w:cs="Arial"/>
            <w:sz w:val="20"/>
            <w:szCs w:val="20"/>
          </w:rPr>
          <w:t>https://doi.org/10.5751/ES-06709-190303</w:t>
        </w:r>
      </w:hyperlink>
    </w:p>
    <w:p w14:paraId="73B4D679" w14:textId="77777777" w:rsidR="00F92CBB" w:rsidRPr="007046F4"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rPr>
        <w:t xml:space="preserve">Ramakrishnan, P. S. (1992). </w:t>
      </w:r>
      <w:r w:rsidRPr="007046F4">
        <w:rPr>
          <w:rStyle w:val="Emphasis"/>
          <w:rFonts w:ascii="Arial" w:hAnsi="Arial" w:cs="Arial"/>
          <w:sz w:val="20"/>
          <w:szCs w:val="20"/>
        </w:rPr>
        <w:t>Shifting agriculture and sustainable development: An interdisciplinary study from North-Eastern India</w:t>
      </w:r>
      <w:r w:rsidRPr="007046F4">
        <w:rPr>
          <w:rFonts w:ascii="Arial" w:hAnsi="Arial" w:cs="Arial"/>
          <w:sz w:val="20"/>
          <w:szCs w:val="20"/>
        </w:rPr>
        <w:t>. UNESCO-MAB, Paris &amp; Parthenon Publishing Group.</w:t>
      </w:r>
      <w:r w:rsidRPr="00CA7EDD">
        <w:rPr>
          <w:rFonts w:asciiTheme="minorHAnsi" w:hAnsiTheme="minorHAnsi" w:cstheme="minorBidi"/>
        </w:rPr>
        <w:t xml:space="preserve"> </w:t>
      </w:r>
      <w:hyperlink r:id="rId36" w:history="1">
        <w:r w:rsidRPr="00CA7EDD">
          <w:rPr>
            <w:rStyle w:val="Hyperlink"/>
            <w:rFonts w:ascii="Arial" w:hAnsi="Arial" w:cs="Arial"/>
            <w:sz w:val="20"/>
            <w:szCs w:val="20"/>
          </w:rPr>
          <w:t>cabidigitallibrary.org/doi/full/10.5555/19930665418</w:t>
        </w:r>
      </w:hyperlink>
    </w:p>
    <w:p w14:paraId="7B94D272" w14:textId="77777777" w:rsidR="00F92CBB" w:rsidRPr="00B4192B"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B4192B">
        <w:rPr>
          <w:rFonts w:ascii="Arial" w:hAnsi="Arial" w:cs="Arial"/>
          <w:sz w:val="20"/>
          <w:szCs w:val="20"/>
        </w:rPr>
        <w:t xml:space="preserve">Sailo, R. L., Sarkar, B. C., Apshahana, K., Dabral, A., Jilen, A., Marak, A. D., &amp; Chakravarthy, S. (2025). Perceptions of ecosystem services and disservices of bamboo by indigenous communities in Northeast India. </w:t>
      </w:r>
      <w:r w:rsidRPr="00B4192B">
        <w:rPr>
          <w:rStyle w:val="Emphasis"/>
          <w:rFonts w:ascii="Arial" w:eastAsiaTheme="majorEastAsia" w:hAnsi="Arial" w:cs="Arial"/>
          <w:sz w:val="20"/>
          <w:szCs w:val="20"/>
        </w:rPr>
        <w:t>Advances in Bamboo Science, 10</w:t>
      </w:r>
      <w:r w:rsidRPr="00B4192B">
        <w:rPr>
          <w:rFonts w:ascii="Arial" w:hAnsi="Arial" w:cs="Arial"/>
          <w:sz w:val="20"/>
          <w:szCs w:val="20"/>
        </w:rPr>
        <w:t xml:space="preserve">, 100135. </w:t>
      </w:r>
      <w:hyperlink r:id="rId37" w:history="1">
        <w:r w:rsidRPr="00890EFD">
          <w:rPr>
            <w:rStyle w:val="Hyperlink"/>
            <w:rFonts w:ascii="Arial" w:hAnsi="Arial" w:cs="Arial"/>
            <w:sz w:val="20"/>
            <w:szCs w:val="20"/>
          </w:rPr>
          <w:t>https://doi.org/10.1016/j.bamboo.2025.100135</w:t>
        </w:r>
      </w:hyperlink>
    </w:p>
    <w:p w14:paraId="175A4E3C" w14:textId="77777777" w:rsidR="00F92CBB" w:rsidRPr="00255BE3" w:rsidRDefault="00F92CBB" w:rsidP="00255BE3">
      <w:pPr>
        <w:pStyle w:val="NormalWeb"/>
        <w:numPr>
          <w:ilvl w:val="0"/>
          <w:numId w:val="8"/>
        </w:numPr>
        <w:spacing w:before="100" w:beforeAutospacing="1" w:after="100" w:afterAutospacing="1" w:line="240" w:lineRule="auto"/>
        <w:jc w:val="both"/>
        <w:rPr>
          <w:rFonts w:ascii="Arial" w:hAnsi="Arial" w:cs="Arial"/>
          <w:sz w:val="20"/>
          <w:szCs w:val="20"/>
        </w:rPr>
      </w:pPr>
      <w:r w:rsidRPr="00B4192B">
        <w:rPr>
          <w:rFonts w:ascii="Arial" w:hAnsi="Arial" w:cs="Arial"/>
          <w:sz w:val="20"/>
          <w:szCs w:val="20"/>
        </w:rPr>
        <w:lastRenderedPageBreak/>
        <w:t xml:space="preserve">Sarkar, S. (2024). Growth and challenges of rubber plantation in North-Eastern states of India. </w:t>
      </w:r>
      <w:r w:rsidRPr="00B4192B">
        <w:rPr>
          <w:rStyle w:val="Emphasis"/>
          <w:rFonts w:ascii="Arial" w:hAnsi="Arial" w:cs="Arial"/>
          <w:sz w:val="20"/>
          <w:szCs w:val="20"/>
        </w:rPr>
        <w:t>Journal of Global Economy, 20</w:t>
      </w:r>
      <w:r w:rsidRPr="00B4192B">
        <w:rPr>
          <w:rFonts w:ascii="Arial" w:hAnsi="Arial" w:cs="Arial"/>
          <w:sz w:val="20"/>
          <w:szCs w:val="20"/>
        </w:rPr>
        <w:t xml:space="preserve">(1), 13–18 </w:t>
      </w:r>
      <w:hyperlink r:id="rId38" w:history="1">
        <w:r w:rsidRPr="00890EFD">
          <w:rPr>
            <w:rStyle w:val="Hyperlink"/>
            <w:rFonts w:ascii="Arial" w:hAnsi="Arial" w:cs="Arial"/>
            <w:sz w:val="20"/>
            <w:szCs w:val="20"/>
          </w:rPr>
          <w:t>http://dx.doi.org/10.1956/jge.v20i1.717</w:t>
        </w:r>
      </w:hyperlink>
    </w:p>
    <w:p w14:paraId="7E782025" w14:textId="77777777" w:rsidR="00F92CBB" w:rsidRPr="00255BE3" w:rsidRDefault="00F92CBB" w:rsidP="00255BE3">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lang w:val="de-DE"/>
        </w:rPr>
        <w:t xml:space="preserve">Sarkar, S., &amp; Keat, T. T. (2024). </w:t>
      </w:r>
      <w:r w:rsidRPr="007046F4">
        <w:rPr>
          <w:rFonts w:ascii="Arial" w:hAnsi="Arial" w:cs="Arial"/>
          <w:sz w:val="20"/>
          <w:szCs w:val="20"/>
        </w:rPr>
        <w:t xml:space="preserve">Poverty eradication of shifting cultivators through bamboo cultivation: A case study of North District of Tripura, India. </w:t>
      </w:r>
      <w:r w:rsidRPr="007046F4">
        <w:rPr>
          <w:rStyle w:val="Emphasis"/>
          <w:rFonts w:ascii="Arial" w:hAnsi="Arial" w:cs="Arial"/>
          <w:sz w:val="20"/>
          <w:szCs w:val="20"/>
        </w:rPr>
        <w:t>International Journal of Management, Public Policy and Research, 3</w:t>
      </w:r>
      <w:r w:rsidRPr="007046F4">
        <w:rPr>
          <w:rFonts w:ascii="Arial" w:hAnsi="Arial" w:cs="Arial"/>
          <w:sz w:val="20"/>
          <w:szCs w:val="20"/>
        </w:rPr>
        <w:t xml:space="preserve">(1), 45–56. </w:t>
      </w:r>
      <w:hyperlink r:id="rId39" w:history="1">
        <w:r w:rsidRPr="00890EFD">
          <w:rPr>
            <w:rStyle w:val="Hyperlink"/>
            <w:rFonts w:ascii="Arial" w:hAnsi="Arial" w:cs="Arial"/>
            <w:sz w:val="20"/>
            <w:szCs w:val="20"/>
          </w:rPr>
          <w:t>https://doi.org/10.55829/ijmpr.v3i3.221</w:t>
        </w:r>
      </w:hyperlink>
    </w:p>
    <w:p w14:paraId="61762F2A" w14:textId="77777777" w:rsidR="00F92CBB" w:rsidRPr="007046F4"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rPr>
        <w:t xml:space="preserve">Sarma, S. (2012, February 15). Bamboo glitch worries paper mill. </w:t>
      </w:r>
      <w:r w:rsidRPr="007046F4">
        <w:rPr>
          <w:rStyle w:val="Emphasis"/>
          <w:rFonts w:ascii="Arial" w:hAnsi="Arial" w:cs="Arial"/>
          <w:sz w:val="20"/>
          <w:szCs w:val="20"/>
        </w:rPr>
        <w:t>The Telegraph</w:t>
      </w:r>
      <w:r w:rsidRPr="007046F4">
        <w:rPr>
          <w:rFonts w:ascii="Arial" w:hAnsi="Arial" w:cs="Arial"/>
          <w:sz w:val="20"/>
          <w:szCs w:val="20"/>
        </w:rPr>
        <w:t xml:space="preserve">. </w:t>
      </w:r>
      <w:hyperlink r:id="rId40" w:tgtFrame="_new" w:history="1">
        <w:r w:rsidRPr="007046F4">
          <w:rPr>
            <w:rStyle w:val="Hyperlink"/>
            <w:rFonts w:ascii="Arial" w:hAnsi="Arial" w:cs="Arial"/>
            <w:sz w:val="20"/>
            <w:szCs w:val="20"/>
          </w:rPr>
          <w:t>https://www.telegraphindia.com/north-east/bamboo-glitch-worries-paper-mill/cid/454181</w:t>
        </w:r>
      </w:hyperlink>
    </w:p>
    <w:p w14:paraId="0DFC44B0" w14:textId="77777777" w:rsidR="00F92CBB" w:rsidRPr="00B4192B"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rPr>
        <w:t xml:space="preserve">Saroinsong, F. B., Sakamoto, K., Miki, N. H., &amp; Yoshikawa, K. (2006). Stand dynamics of a bamboo forest adjacent to a secondary deciduous broad-leaved forest. </w:t>
      </w:r>
      <w:r w:rsidRPr="007046F4">
        <w:rPr>
          <w:rStyle w:val="Emphasis"/>
          <w:rFonts w:ascii="Arial" w:hAnsi="Arial" w:cs="Arial"/>
          <w:sz w:val="20"/>
          <w:szCs w:val="20"/>
        </w:rPr>
        <w:t>Journal of the Japanese Society of Revegetation Technology, 32</w:t>
      </w:r>
      <w:r w:rsidRPr="007046F4">
        <w:rPr>
          <w:rFonts w:ascii="Arial" w:hAnsi="Arial" w:cs="Arial"/>
          <w:sz w:val="20"/>
          <w:szCs w:val="20"/>
        </w:rPr>
        <w:t xml:space="preserve">(1), 15–20. </w:t>
      </w:r>
      <w:hyperlink r:id="rId41" w:history="1">
        <w:r w:rsidRPr="00890EFD">
          <w:rPr>
            <w:rStyle w:val="Hyperlink"/>
            <w:rFonts w:ascii="Arial" w:hAnsi="Arial" w:cs="Arial"/>
            <w:sz w:val="20"/>
            <w:szCs w:val="20"/>
          </w:rPr>
          <w:t>https://doi.org/10.7211/jjsrt.32.15</w:t>
        </w:r>
      </w:hyperlink>
    </w:p>
    <w:p w14:paraId="21E3D307" w14:textId="77777777" w:rsidR="00F92CBB" w:rsidRPr="00B4192B"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rPr>
        <w:t xml:space="preserve">Schroth, G., &amp; Ruf, F. (2014). Farmer strategies for tree crop diversification in the humid tropics: A review. </w:t>
      </w:r>
      <w:r w:rsidRPr="007046F4">
        <w:rPr>
          <w:rStyle w:val="Emphasis"/>
          <w:rFonts w:ascii="Arial" w:hAnsi="Arial" w:cs="Arial"/>
          <w:sz w:val="20"/>
          <w:szCs w:val="20"/>
        </w:rPr>
        <w:t>Agronomy for Sustainable Development, 34</w:t>
      </w:r>
      <w:r w:rsidRPr="007046F4">
        <w:rPr>
          <w:rFonts w:ascii="Arial" w:hAnsi="Arial" w:cs="Arial"/>
          <w:sz w:val="20"/>
          <w:szCs w:val="20"/>
        </w:rPr>
        <w:t xml:space="preserve">(1), 139–154. </w:t>
      </w:r>
      <w:hyperlink r:id="rId42" w:history="1">
        <w:r w:rsidRPr="00890EFD">
          <w:rPr>
            <w:rStyle w:val="Hyperlink"/>
            <w:rFonts w:ascii="Arial" w:hAnsi="Arial" w:cs="Arial"/>
            <w:sz w:val="20"/>
            <w:szCs w:val="20"/>
          </w:rPr>
          <w:t>https://doi.org/10.1007/s13593-013-0175-4</w:t>
        </w:r>
      </w:hyperlink>
    </w:p>
    <w:p w14:paraId="3C238B22" w14:textId="77777777" w:rsidR="00F92CBB" w:rsidRPr="00B4192B"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rPr>
        <w:t xml:space="preserve">Singh, A. K., Liu, W., Zakari, S., Wu, J., Yang, B., Jiang, X., Zhu, X., Zou, X., Zhang, W., Chen, C., Singh, R., &amp; Nath, A. J. (2021). A global review of rubber plantations: Impacts on ecosystem functions, mitigations, future directions, and policies for sustainable cultivation. </w:t>
      </w:r>
      <w:r w:rsidRPr="007046F4">
        <w:rPr>
          <w:rStyle w:val="Emphasis"/>
          <w:rFonts w:ascii="Arial" w:hAnsi="Arial" w:cs="Arial"/>
          <w:sz w:val="20"/>
          <w:szCs w:val="20"/>
        </w:rPr>
        <w:t>Science of the Total Environment, 796</w:t>
      </w:r>
      <w:r w:rsidRPr="007046F4">
        <w:rPr>
          <w:rFonts w:ascii="Arial" w:hAnsi="Arial" w:cs="Arial"/>
          <w:sz w:val="20"/>
          <w:szCs w:val="20"/>
        </w:rPr>
        <w:t xml:space="preserve">, 148948. </w:t>
      </w:r>
      <w:hyperlink r:id="rId43" w:history="1">
        <w:r w:rsidRPr="00890EFD">
          <w:rPr>
            <w:rStyle w:val="Hyperlink"/>
            <w:rFonts w:ascii="Arial" w:hAnsi="Arial" w:cs="Arial"/>
            <w:sz w:val="20"/>
            <w:szCs w:val="20"/>
          </w:rPr>
          <w:t>https://doi.org/10.1016/j.scitotenv.2021.148948</w:t>
        </w:r>
      </w:hyperlink>
    </w:p>
    <w:p w14:paraId="3A9D7E27" w14:textId="77777777" w:rsidR="00F92CBB" w:rsidRPr="007046F4"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rPr>
        <w:t xml:space="preserve">Singha, K. N., &amp; Timung, L. (2015). Significance of bamboo in Karbi culture: A case study among the Karbi tribes of Assam (India). </w:t>
      </w:r>
      <w:r w:rsidRPr="007046F4">
        <w:rPr>
          <w:rStyle w:val="Emphasis"/>
          <w:rFonts w:ascii="Arial" w:hAnsi="Arial" w:cs="Arial"/>
          <w:sz w:val="20"/>
          <w:szCs w:val="20"/>
        </w:rPr>
        <w:t>International Journal of Social Science Research, 3</w:t>
      </w:r>
      <w:r w:rsidRPr="007046F4">
        <w:rPr>
          <w:rFonts w:ascii="Arial" w:hAnsi="Arial" w:cs="Arial"/>
          <w:sz w:val="20"/>
          <w:szCs w:val="20"/>
        </w:rPr>
        <w:t xml:space="preserve">(2), 1–10. </w:t>
      </w:r>
      <w:hyperlink r:id="rId44" w:history="1">
        <w:r w:rsidRPr="00CA7EDD">
          <w:rPr>
            <w:rStyle w:val="Hyperlink"/>
            <w:rFonts w:ascii="Arial" w:hAnsi="Arial" w:cs="Arial"/>
            <w:sz w:val="20"/>
            <w:szCs w:val="20"/>
          </w:rPr>
          <w:t>significanceofbambooinkarbiculture_acasestudyamongthekarbitribesofassamindia1425559311-libre.pdf</w:t>
        </w:r>
      </w:hyperlink>
    </w:p>
    <w:p w14:paraId="46FD8019" w14:textId="77777777" w:rsidR="00F92CBB" w:rsidRPr="004F3DBA" w:rsidRDefault="00F92CBB" w:rsidP="004F3DBA">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rPr>
        <w:t xml:space="preserve">Sundriyal, M., &amp; Joshi, K. (2015). Bamboo status and trade vulnerability: A Central Himalayan case study. </w:t>
      </w:r>
      <w:r w:rsidRPr="007046F4">
        <w:rPr>
          <w:rStyle w:val="Emphasis"/>
          <w:rFonts w:ascii="Arial" w:hAnsi="Arial" w:cs="Arial"/>
          <w:sz w:val="20"/>
          <w:szCs w:val="20"/>
        </w:rPr>
        <w:t>Journal of Bamboo and Rattan, 14</w:t>
      </w:r>
      <w:r w:rsidRPr="007046F4">
        <w:rPr>
          <w:rFonts w:ascii="Arial" w:hAnsi="Arial" w:cs="Arial"/>
          <w:sz w:val="20"/>
          <w:szCs w:val="20"/>
        </w:rPr>
        <w:t xml:space="preserve">(1), 1–14. </w:t>
      </w:r>
      <w:hyperlink r:id="rId45" w:history="1">
        <w:r w:rsidRPr="004F3DBA">
          <w:rPr>
            <w:rStyle w:val="Hyperlink"/>
            <w:rFonts w:ascii="Arial" w:hAnsi="Arial" w:cs="Arial"/>
            <w:sz w:val="20"/>
            <w:szCs w:val="20"/>
          </w:rPr>
          <w:t>Bamboo Status and Trade Vulnerability : A Central Himalayan Case Study | Semantic Scholar</w:t>
        </w:r>
      </w:hyperlink>
    </w:p>
    <w:p w14:paraId="0628286F" w14:textId="77777777" w:rsidR="00F92CBB" w:rsidRPr="007046F4"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rPr>
        <w:t xml:space="preserve">Survey of India. (2010). </w:t>
      </w:r>
      <w:r w:rsidRPr="007046F4">
        <w:rPr>
          <w:rStyle w:val="Emphasis"/>
          <w:rFonts w:ascii="Arial" w:hAnsi="Arial" w:cs="Arial"/>
          <w:sz w:val="20"/>
          <w:szCs w:val="20"/>
        </w:rPr>
        <w:t>Topographic and administrative boundary maps of Assam and Karbi Anglong District (1:50,000 scale)</w:t>
      </w:r>
      <w:r w:rsidRPr="007046F4">
        <w:rPr>
          <w:rFonts w:ascii="Arial" w:hAnsi="Arial" w:cs="Arial"/>
          <w:sz w:val="20"/>
          <w:szCs w:val="20"/>
        </w:rPr>
        <w:t xml:space="preserve">. Survey of India. </w:t>
      </w:r>
      <w:hyperlink r:id="rId46" w:history="1">
        <w:r w:rsidRPr="004F3DBA">
          <w:rPr>
            <w:rStyle w:val="Hyperlink"/>
            <w:rFonts w:ascii="Arial" w:hAnsi="Arial" w:cs="Arial"/>
            <w:sz w:val="20"/>
            <w:szCs w:val="20"/>
          </w:rPr>
          <w:t>Survey of India</w:t>
        </w:r>
      </w:hyperlink>
    </w:p>
    <w:p w14:paraId="4DA3ECA3" w14:textId="77777777" w:rsidR="00F92CBB" w:rsidRPr="007046F4"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rPr>
        <w:t xml:space="preserve">Tamang, M., Nandy, S., Srinet, R., Vanlalhruaii, V., Choudhury, P., &amp; Deka, J. (2025). Impact of anthropogenic disturbance and climate on bamboo distribution in shifting cultivation landscapes of Northeast India. </w:t>
      </w:r>
      <w:r w:rsidRPr="007046F4">
        <w:rPr>
          <w:rStyle w:val="Emphasis"/>
          <w:rFonts w:ascii="Arial" w:hAnsi="Arial" w:cs="Arial"/>
          <w:sz w:val="20"/>
          <w:szCs w:val="20"/>
        </w:rPr>
        <w:t>Scientific Reports, 15</w:t>
      </w:r>
      <w:r w:rsidRPr="007046F4">
        <w:rPr>
          <w:rFonts w:ascii="Arial" w:hAnsi="Arial" w:cs="Arial"/>
          <w:sz w:val="20"/>
          <w:szCs w:val="20"/>
        </w:rPr>
        <w:t xml:space="preserve">, 28290. </w:t>
      </w:r>
      <w:hyperlink r:id="rId47" w:tgtFrame="_new" w:history="1">
        <w:r w:rsidRPr="007046F4">
          <w:rPr>
            <w:rStyle w:val="Hyperlink"/>
            <w:rFonts w:ascii="Arial" w:hAnsi="Arial" w:cs="Arial"/>
            <w:sz w:val="20"/>
            <w:szCs w:val="20"/>
          </w:rPr>
          <w:t>https://doi.org/10.1038/s41598-025-13075-3</w:t>
        </w:r>
      </w:hyperlink>
    </w:p>
    <w:p w14:paraId="24B9F98A" w14:textId="77777777" w:rsidR="00F92CBB" w:rsidRPr="00B4192B"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rPr>
        <w:t xml:space="preserve">Tripathi, S. K., Vanlalfakawma, D. C., &amp; Lalnunmawia, F. (2017). Shifting cultivation on steep slopes of Mizoram, India: Impact of policy reforms. In M. Cairns (Ed.), </w:t>
      </w:r>
      <w:r w:rsidRPr="007046F4">
        <w:rPr>
          <w:rStyle w:val="Emphasis"/>
          <w:rFonts w:ascii="Arial" w:hAnsi="Arial" w:cs="Arial"/>
          <w:sz w:val="20"/>
          <w:szCs w:val="20"/>
        </w:rPr>
        <w:t>Shifting cultivation policies: Balancing environmental a</w:t>
      </w:r>
      <w:r>
        <w:rPr>
          <w:rStyle w:val="Emphasis"/>
        </w:rPr>
        <w:t>nd social sustainability</w:t>
      </w:r>
      <w:r>
        <w:t xml:space="preserve"> (pp. 393–413). CABI. </w:t>
      </w:r>
      <w:hyperlink r:id="rId48" w:history="1">
        <w:r w:rsidRPr="00890EFD">
          <w:rPr>
            <w:rStyle w:val="Hyperlink"/>
            <w:rFonts w:ascii="Arial" w:hAnsi="Arial" w:cs="Arial"/>
            <w:sz w:val="20"/>
            <w:szCs w:val="20"/>
          </w:rPr>
          <w:t>https://doi.org/10.1079/9781786391797.0393</w:t>
        </w:r>
      </w:hyperlink>
    </w:p>
    <w:p w14:paraId="0DA6F230" w14:textId="77777777" w:rsidR="00F92CBB" w:rsidRPr="00B4192B"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rPr>
        <w:t>Warren</w:t>
      </w:r>
      <w:r w:rsidRPr="007046F4">
        <w:rPr>
          <w:rFonts w:ascii="Cambria Math" w:hAnsi="Cambria Math" w:cs="Cambria Math"/>
          <w:sz w:val="20"/>
          <w:szCs w:val="20"/>
        </w:rPr>
        <w:t>‐</w:t>
      </w:r>
      <w:r w:rsidRPr="007046F4">
        <w:rPr>
          <w:rFonts w:ascii="Arial" w:hAnsi="Arial" w:cs="Arial"/>
          <w:sz w:val="20"/>
          <w:szCs w:val="20"/>
        </w:rPr>
        <w:t xml:space="preserve">Thomas, E., Dolman, P. M., &amp; Edwards, D. P. (2015). Increasing demand for natural rubber necessitates a robust sustainability initiative to mitigate impacts on tropical biodiversity. </w:t>
      </w:r>
      <w:r w:rsidRPr="007046F4">
        <w:rPr>
          <w:rStyle w:val="Emphasis"/>
          <w:rFonts w:ascii="Arial" w:hAnsi="Arial" w:cs="Arial"/>
          <w:sz w:val="20"/>
          <w:szCs w:val="20"/>
        </w:rPr>
        <w:t>Conservation Letters, 8</w:t>
      </w:r>
      <w:r w:rsidRPr="007046F4">
        <w:rPr>
          <w:rFonts w:ascii="Arial" w:hAnsi="Arial" w:cs="Arial"/>
          <w:sz w:val="20"/>
          <w:szCs w:val="20"/>
        </w:rPr>
        <w:t xml:space="preserve">(4), 230–241. </w:t>
      </w:r>
      <w:hyperlink r:id="rId49" w:history="1">
        <w:r w:rsidRPr="00890EFD">
          <w:rPr>
            <w:rStyle w:val="Hyperlink"/>
            <w:rFonts w:ascii="Arial" w:hAnsi="Arial" w:cs="Arial"/>
            <w:sz w:val="20"/>
            <w:szCs w:val="20"/>
          </w:rPr>
          <w:t>https://doi.org/10.1111/conl.12170</w:t>
        </w:r>
      </w:hyperlink>
    </w:p>
    <w:p w14:paraId="58A5C0C0" w14:textId="77777777" w:rsidR="00F92CBB" w:rsidRDefault="00F92CBB" w:rsidP="006946DC">
      <w:pPr>
        <w:pStyle w:val="NormalWeb"/>
        <w:numPr>
          <w:ilvl w:val="0"/>
          <w:numId w:val="8"/>
        </w:numPr>
        <w:spacing w:before="100" w:beforeAutospacing="1" w:after="100" w:afterAutospacing="1" w:line="240" w:lineRule="auto"/>
        <w:jc w:val="both"/>
        <w:rPr>
          <w:rFonts w:ascii="Arial" w:hAnsi="Arial" w:cs="Arial"/>
          <w:sz w:val="20"/>
          <w:szCs w:val="20"/>
        </w:rPr>
      </w:pPr>
      <w:r w:rsidRPr="007046F4">
        <w:rPr>
          <w:rFonts w:ascii="Arial" w:hAnsi="Arial" w:cs="Arial"/>
          <w:sz w:val="20"/>
          <w:szCs w:val="20"/>
        </w:rPr>
        <w:t xml:space="preserve">Yirsaw, E., &amp; Nigussie, W. (2024). Land use/land cover change modeling and evaluating the spatiotemporal dynamics of highland bamboo species in the southern highlands of Ethiopia. </w:t>
      </w:r>
      <w:r w:rsidRPr="007046F4">
        <w:rPr>
          <w:rStyle w:val="Emphasis"/>
          <w:rFonts w:ascii="Arial" w:hAnsi="Arial" w:cs="Arial"/>
          <w:sz w:val="20"/>
          <w:szCs w:val="20"/>
        </w:rPr>
        <w:t>Journal of the Indian Society of Remote Sensing, 52</w:t>
      </w:r>
      <w:r w:rsidRPr="007046F4">
        <w:rPr>
          <w:rFonts w:ascii="Arial" w:hAnsi="Arial" w:cs="Arial"/>
          <w:sz w:val="20"/>
          <w:szCs w:val="20"/>
        </w:rPr>
        <w:t xml:space="preserve">(1), 153–165. </w:t>
      </w:r>
      <w:hyperlink r:id="rId50" w:tgtFrame="_new" w:history="1">
        <w:r w:rsidRPr="007046F4">
          <w:rPr>
            <w:rStyle w:val="Hyperlink"/>
            <w:rFonts w:ascii="Arial" w:hAnsi="Arial" w:cs="Arial"/>
            <w:sz w:val="20"/>
            <w:szCs w:val="20"/>
          </w:rPr>
          <w:t>https://doi.org/10.1007/s12524-023-01799-6</w:t>
        </w:r>
      </w:hyperlink>
    </w:p>
    <w:sectPr w:rsidR="00F92CBB">
      <w:headerReference w:type="even" r:id="rId51"/>
      <w:headerReference w:type="default" r:id="rId52"/>
      <w:footerReference w:type="even" r:id="rId53"/>
      <w:footerReference w:type="default" r:id="rId54"/>
      <w:headerReference w:type="first" r:id="rId55"/>
      <w:footerReference w:type="firs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DC722" w14:textId="77777777" w:rsidR="00882CB1" w:rsidRDefault="00882CB1" w:rsidP="00074D35">
      <w:pPr>
        <w:spacing w:after="0" w:line="240" w:lineRule="auto"/>
      </w:pPr>
      <w:r>
        <w:separator/>
      </w:r>
    </w:p>
  </w:endnote>
  <w:endnote w:type="continuationSeparator" w:id="0">
    <w:p w14:paraId="1CB1EFF6" w14:textId="77777777" w:rsidR="00882CB1" w:rsidRDefault="00882CB1" w:rsidP="00074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DE27D" w14:textId="77777777" w:rsidR="00074D35" w:rsidRDefault="00074D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D5408" w14:textId="77777777" w:rsidR="00074D35" w:rsidRDefault="00074D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9F87A" w14:textId="77777777" w:rsidR="00074D35" w:rsidRDefault="00074D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1E344" w14:textId="77777777" w:rsidR="00882CB1" w:rsidRDefault="00882CB1" w:rsidP="00074D35">
      <w:pPr>
        <w:spacing w:after="0" w:line="240" w:lineRule="auto"/>
      </w:pPr>
      <w:r>
        <w:separator/>
      </w:r>
    </w:p>
  </w:footnote>
  <w:footnote w:type="continuationSeparator" w:id="0">
    <w:p w14:paraId="27AE7D05" w14:textId="77777777" w:rsidR="00882CB1" w:rsidRDefault="00882CB1" w:rsidP="00074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EE9CE" w14:textId="70EBB7CE" w:rsidR="00074D35" w:rsidRDefault="00005ADE">
    <w:pPr>
      <w:pStyle w:val="Header"/>
    </w:pPr>
    <w:r>
      <w:rPr>
        <w:noProof/>
      </w:rPr>
      <w:pict w14:anchorId="70FB39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01320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78EF9" w14:textId="200E03EC" w:rsidR="00074D35" w:rsidRDefault="00005ADE">
    <w:pPr>
      <w:pStyle w:val="Header"/>
    </w:pPr>
    <w:r>
      <w:rPr>
        <w:noProof/>
      </w:rPr>
      <w:pict w14:anchorId="7C533B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01320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7C45E" w14:textId="0979523A" w:rsidR="00074D35" w:rsidRDefault="00005ADE">
    <w:pPr>
      <w:pStyle w:val="Header"/>
    </w:pPr>
    <w:r>
      <w:rPr>
        <w:noProof/>
      </w:rPr>
      <w:pict w14:anchorId="4B334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01320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43F2"/>
    <w:multiLevelType w:val="hybridMultilevel"/>
    <w:tmpl w:val="87D8E3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1B92A70"/>
    <w:multiLevelType w:val="multilevel"/>
    <w:tmpl w:val="7B4C9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6F6D8C"/>
    <w:multiLevelType w:val="multilevel"/>
    <w:tmpl w:val="EA42A5E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9C4FDD"/>
    <w:multiLevelType w:val="hybridMultilevel"/>
    <w:tmpl w:val="52D88D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5E50CA7"/>
    <w:multiLevelType w:val="multilevel"/>
    <w:tmpl w:val="3D36BF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020942"/>
    <w:multiLevelType w:val="multilevel"/>
    <w:tmpl w:val="CEAC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D329CA"/>
    <w:multiLevelType w:val="multilevel"/>
    <w:tmpl w:val="AC0C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F966C3"/>
    <w:multiLevelType w:val="multilevel"/>
    <w:tmpl w:val="46CEC1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4734908">
    <w:abstractNumId w:val="0"/>
  </w:num>
  <w:num w:numId="2" w16cid:durableId="742532249">
    <w:abstractNumId w:val="1"/>
  </w:num>
  <w:num w:numId="3" w16cid:durableId="1509061656">
    <w:abstractNumId w:val="7"/>
  </w:num>
  <w:num w:numId="4" w16cid:durableId="22021623">
    <w:abstractNumId w:val="4"/>
  </w:num>
  <w:num w:numId="5" w16cid:durableId="1788163358">
    <w:abstractNumId w:val="5"/>
  </w:num>
  <w:num w:numId="6" w16cid:durableId="1195919886">
    <w:abstractNumId w:val="2"/>
  </w:num>
  <w:num w:numId="7" w16cid:durableId="1216090632">
    <w:abstractNumId w:val="6"/>
  </w:num>
  <w:num w:numId="8" w16cid:durableId="6530711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146"/>
    <w:rsid w:val="00010D32"/>
    <w:rsid w:val="00012677"/>
    <w:rsid w:val="0002241C"/>
    <w:rsid w:val="00036F40"/>
    <w:rsid w:val="00037B15"/>
    <w:rsid w:val="0005178B"/>
    <w:rsid w:val="00072911"/>
    <w:rsid w:val="00074D35"/>
    <w:rsid w:val="00075249"/>
    <w:rsid w:val="000759BB"/>
    <w:rsid w:val="000842D5"/>
    <w:rsid w:val="000B4D4A"/>
    <w:rsid w:val="000C6992"/>
    <w:rsid w:val="000D20FD"/>
    <w:rsid w:val="000E330B"/>
    <w:rsid w:val="000F2DBC"/>
    <w:rsid w:val="000F4977"/>
    <w:rsid w:val="000F5171"/>
    <w:rsid w:val="00100596"/>
    <w:rsid w:val="00111298"/>
    <w:rsid w:val="0011574D"/>
    <w:rsid w:val="00117AF4"/>
    <w:rsid w:val="0014126D"/>
    <w:rsid w:val="001436ED"/>
    <w:rsid w:val="00147FA3"/>
    <w:rsid w:val="00150B67"/>
    <w:rsid w:val="00153B61"/>
    <w:rsid w:val="001555BE"/>
    <w:rsid w:val="00162F18"/>
    <w:rsid w:val="0018095E"/>
    <w:rsid w:val="00181494"/>
    <w:rsid w:val="00182AAE"/>
    <w:rsid w:val="001846DB"/>
    <w:rsid w:val="001B4E3F"/>
    <w:rsid w:val="001C1757"/>
    <w:rsid w:val="001C2DEC"/>
    <w:rsid w:val="001D2733"/>
    <w:rsid w:val="001D6673"/>
    <w:rsid w:val="001D737E"/>
    <w:rsid w:val="001E5DBD"/>
    <w:rsid w:val="001F3D89"/>
    <w:rsid w:val="001F56C4"/>
    <w:rsid w:val="001F6045"/>
    <w:rsid w:val="00204176"/>
    <w:rsid w:val="00224844"/>
    <w:rsid w:val="00243A4B"/>
    <w:rsid w:val="00247A74"/>
    <w:rsid w:val="00255BE3"/>
    <w:rsid w:val="0027628B"/>
    <w:rsid w:val="002A002B"/>
    <w:rsid w:val="002B67A0"/>
    <w:rsid w:val="002C5B32"/>
    <w:rsid w:val="0030614C"/>
    <w:rsid w:val="003062A3"/>
    <w:rsid w:val="00321864"/>
    <w:rsid w:val="00323086"/>
    <w:rsid w:val="00327B78"/>
    <w:rsid w:val="00330F22"/>
    <w:rsid w:val="0033652F"/>
    <w:rsid w:val="003423DE"/>
    <w:rsid w:val="00353DF5"/>
    <w:rsid w:val="00356C66"/>
    <w:rsid w:val="00362B94"/>
    <w:rsid w:val="00371698"/>
    <w:rsid w:val="003756A8"/>
    <w:rsid w:val="003772F6"/>
    <w:rsid w:val="003905BA"/>
    <w:rsid w:val="003C2F91"/>
    <w:rsid w:val="003C42FA"/>
    <w:rsid w:val="003C44B2"/>
    <w:rsid w:val="003D2637"/>
    <w:rsid w:val="003D698C"/>
    <w:rsid w:val="003D7DDF"/>
    <w:rsid w:val="003E1023"/>
    <w:rsid w:val="003F04C4"/>
    <w:rsid w:val="00400A00"/>
    <w:rsid w:val="0041745F"/>
    <w:rsid w:val="00451114"/>
    <w:rsid w:val="004571EB"/>
    <w:rsid w:val="00462E9B"/>
    <w:rsid w:val="0047252E"/>
    <w:rsid w:val="004765A3"/>
    <w:rsid w:val="00480E5C"/>
    <w:rsid w:val="004813C3"/>
    <w:rsid w:val="0048190A"/>
    <w:rsid w:val="00482285"/>
    <w:rsid w:val="004920B6"/>
    <w:rsid w:val="00497704"/>
    <w:rsid w:val="004A346D"/>
    <w:rsid w:val="004D05AD"/>
    <w:rsid w:val="004D69A8"/>
    <w:rsid w:val="004E59EB"/>
    <w:rsid w:val="004F3DBA"/>
    <w:rsid w:val="0050528E"/>
    <w:rsid w:val="005202C1"/>
    <w:rsid w:val="005228F7"/>
    <w:rsid w:val="0053486E"/>
    <w:rsid w:val="00535140"/>
    <w:rsid w:val="00545DCD"/>
    <w:rsid w:val="005501FD"/>
    <w:rsid w:val="00555470"/>
    <w:rsid w:val="00560A55"/>
    <w:rsid w:val="00590BC0"/>
    <w:rsid w:val="00596CE0"/>
    <w:rsid w:val="0059780F"/>
    <w:rsid w:val="005A2AA8"/>
    <w:rsid w:val="005B04FE"/>
    <w:rsid w:val="005B3DE0"/>
    <w:rsid w:val="005B74EA"/>
    <w:rsid w:val="005C768F"/>
    <w:rsid w:val="005E37D8"/>
    <w:rsid w:val="005E5146"/>
    <w:rsid w:val="005F1941"/>
    <w:rsid w:val="005F53D9"/>
    <w:rsid w:val="005F63C0"/>
    <w:rsid w:val="00602AF0"/>
    <w:rsid w:val="00615215"/>
    <w:rsid w:val="0062222B"/>
    <w:rsid w:val="00631314"/>
    <w:rsid w:val="00633ABB"/>
    <w:rsid w:val="00642349"/>
    <w:rsid w:val="0064254B"/>
    <w:rsid w:val="00647E9D"/>
    <w:rsid w:val="00656787"/>
    <w:rsid w:val="00657364"/>
    <w:rsid w:val="0066577C"/>
    <w:rsid w:val="00673263"/>
    <w:rsid w:val="006946DC"/>
    <w:rsid w:val="006A0BC9"/>
    <w:rsid w:val="006A6547"/>
    <w:rsid w:val="006B31E5"/>
    <w:rsid w:val="006B3F4A"/>
    <w:rsid w:val="006B5BDF"/>
    <w:rsid w:val="006C15DB"/>
    <w:rsid w:val="006D26C8"/>
    <w:rsid w:val="006F13DC"/>
    <w:rsid w:val="006F47B4"/>
    <w:rsid w:val="006F5019"/>
    <w:rsid w:val="00700816"/>
    <w:rsid w:val="007209E7"/>
    <w:rsid w:val="00731273"/>
    <w:rsid w:val="00732B64"/>
    <w:rsid w:val="00733B73"/>
    <w:rsid w:val="00757DA9"/>
    <w:rsid w:val="00761649"/>
    <w:rsid w:val="0079240A"/>
    <w:rsid w:val="007A402D"/>
    <w:rsid w:val="007B508B"/>
    <w:rsid w:val="007C0D6E"/>
    <w:rsid w:val="007D696B"/>
    <w:rsid w:val="007E33A9"/>
    <w:rsid w:val="007F372B"/>
    <w:rsid w:val="007F5663"/>
    <w:rsid w:val="007F65CB"/>
    <w:rsid w:val="00813344"/>
    <w:rsid w:val="00815453"/>
    <w:rsid w:val="00817BF4"/>
    <w:rsid w:val="00834AD3"/>
    <w:rsid w:val="00842E1E"/>
    <w:rsid w:val="00853088"/>
    <w:rsid w:val="00853CCA"/>
    <w:rsid w:val="008657BD"/>
    <w:rsid w:val="00875A45"/>
    <w:rsid w:val="00876EB5"/>
    <w:rsid w:val="00877878"/>
    <w:rsid w:val="00877A5C"/>
    <w:rsid w:val="00882CB1"/>
    <w:rsid w:val="008B2E77"/>
    <w:rsid w:val="008B45B7"/>
    <w:rsid w:val="008B5034"/>
    <w:rsid w:val="008B64FC"/>
    <w:rsid w:val="008C1070"/>
    <w:rsid w:val="008D3208"/>
    <w:rsid w:val="008F5774"/>
    <w:rsid w:val="00902447"/>
    <w:rsid w:val="0091029D"/>
    <w:rsid w:val="00910D8A"/>
    <w:rsid w:val="00920BBC"/>
    <w:rsid w:val="00923813"/>
    <w:rsid w:val="00931A0B"/>
    <w:rsid w:val="00951378"/>
    <w:rsid w:val="009710EF"/>
    <w:rsid w:val="009776FA"/>
    <w:rsid w:val="00981415"/>
    <w:rsid w:val="00982A92"/>
    <w:rsid w:val="009857FC"/>
    <w:rsid w:val="00992E16"/>
    <w:rsid w:val="0099353F"/>
    <w:rsid w:val="009A1325"/>
    <w:rsid w:val="009A2337"/>
    <w:rsid w:val="009A3231"/>
    <w:rsid w:val="009A67DF"/>
    <w:rsid w:val="009C5F8E"/>
    <w:rsid w:val="009D789A"/>
    <w:rsid w:val="009E322E"/>
    <w:rsid w:val="009E7D4E"/>
    <w:rsid w:val="00A0158C"/>
    <w:rsid w:val="00A11FA9"/>
    <w:rsid w:val="00A12947"/>
    <w:rsid w:val="00A21EC6"/>
    <w:rsid w:val="00A30A2F"/>
    <w:rsid w:val="00A40A71"/>
    <w:rsid w:val="00A40FA8"/>
    <w:rsid w:val="00A45EF8"/>
    <w:rsid w:val="00A462D7"/>
    <w:rsid w:val="00A5343B"/>
    <w:rsid w:val="00A65458"/>
    <w:rsid w:val="00A7424F"/>
    <w:rsid w:val="00A836C7"/>
    <w:rsid w:val="00A8712D"/>
    <w:rsid w:val="00A934B5"/>
    <w:rsid w:val="00AA045E"/>
    <w:rsid w:val="00AA4C8F"/>
    <w:rsid w:val="00AA6995"/>
    <w:rsid w:val="00AB4C24"/>
    <w:rsid w:val="00AB4D50"/>
    <w:rsid w:val="00AB62C9"/>
    <w:rsid w:val="00AC4736"/>
    <w:rsid w:val="00AE674A"/>
    <w:rsid w:val="00AF0BB5"/>
    <w:rsid w:val="00B005A8"/>
    <w:rsid w:val="00B06681"/>
    <w:rsid w:val="00B263D7"/>
    <w:rsid w:val="00B40FD6"/>
    <w:rsid w:val="00B43A16"/>
    <w:rsid w:val="00B542B3"/>
    <w:rsid w:val="00B6237D"/>
    <w:rsid w:val="00B756F4"/>
    <w:rsid w:val="00B75816"/>
    <w:rsid w:val="00B868FF"/>
    <w:rsid w:val="00B90D65"/>
    <w:rsid w:val="00B94589"/>
    <w:rsid w:val="00B96269"/>
    <w:rsid w:val="00BA016D"/>
    <w:rsid w:val="00BB6D72"/>
    <w:rsid w:val="00BD3EE2"/>
    <w:rsid w:val="00BE04F6"/>
    <w:rsid w:val="00C0525F"/>
    <w:rsid w:val="00C1267D"/>
    <w:rsid w:val="00C154B6"/>
    <w:rsid w:val="00C173F6"/>
    <w:rsid w:val="00C219D0"/>
    <w:rsid w:val="00C25ABC"/>
    <w:rsid w:val="00C27CC3"/>
    <w:rsid w:val="00C316BE"/>
    <w:rsid w:val="00C41624"/>
    <w:rsid w:val="00C5097D"/>
    <w:rsid w:val="00C51627"/>
    <w:rsid w:val="00C52FC6"/>
    <w:rsid w:val="00C653B6"/>
    <w:rsid w:val="00C93FAB"/>
    <w:rsid w:val="00CA046C"/>
    <w:rsid w:val="00CA1C17"/>
    <w:rsid w:val="00CA6904"/>
    <w:rsid w:val="00CA7863"/>
    <w:rsid w:val="00CA7EDD"/>
    <w:rsid w:val="00CB3DA0"/>
    <w:rsid w:val="00CB516C"/>
    <w:rsid w:val="00CE79C5"/>
    <w:rsid w:val="00D001D2"/>
    <w:rsid w:val="00D04A67"/>
    <w:rsid w:val="00D128A6"/>
    <w:rsid w:val="00D135DC"/>
    <w:rsid w:val="00D13D2C"/>
    <w:rsid w:val="00D14227"/>
    <w:rsid w:val="00D2103B"/>
    <w:rsid w:val="00D21043"/>
    <w:rsid w:val="00D2596D"/>
    <w:rsid w:val="00D318B0"/>
    <w:rsid w:val="00D31906"/>
    <w:rsid w:val="00D31FB6"/>
    <w:rsid w:val="00D51950"/>
    <w:rsid w:val="00D5730A"/>
    <w:rsid w:val="00D80873"/>
    <w:rsid w:val="00D86687"/>
    <w:rsid w:val="00D873E6"/>
    <w:rsid w:val="00D92528"/>
    <w:rsid w:val="00D96C44"/>
    <w:rsid w:val="00DA7B45"/>
    <w:rsid w:val="00DB4DF2"/>
    <w:rsid w:val="00DD3699"/>
    <w:rsid w:val="00DD7199"/>
    <w:rsid w:val="00DE145B"/>
    <w:rsid w:val="00DF4FDB"/>
    <w:rsid w:val="00E07BB8"/>
    <w:rsid w:val="00E17D39"/>
    <w:rsid w:val="00E17EC1"/>
    <w:rsid w:val="00E23FEF"/>
    <w:rsid w:val="00E24E43"/>
    <w:rsid w:val="00E32212"/>
    <w:rsid w:val="00E4491C"/>
    <w:rsid w:val="00E52D4A"/>
    <w:rsid w:val="00E5366D"/>
    <w:rsid w:val="00E658FA"/>
    <w:rsid w:val="00E65B07"/>
    <w:rsid w:val="00E73262"/>
    <w:rsid w:val="00E811EA"/>
    <w:rsid w:val="00E83BA8"/>
    <w:rsid w:val="00E876DA"/>
    <w:rsid w:val="00E92608"/>
    <w:rsid w:val="00EA23AA"/>
    <w:rsid w:val="00EB2D7D"/>
    <w:rsid w:val="00EC50FD"/>
    <w:rsid w:val="00ED2E0A"/>
    <w:rsid w:val="00ED741C"/>
    <w:rsid w:val="00EE0C67"/>
    <w:rsid w:val="00EE4808"/>
    <w:rsid w:val="00EF3CFA"/>
    <w:rsid w:val="00EF480C"/>
    <w:rsid w:val="00F02977"/>
    <w:rsid w:val="00F0316C"/>
    <w:rsid w:val="00F04D6F"/>
    <w:rsid w:val="00F13CF3"/>
    <w:rsid w:val="00F224B3"/>
    <w:rsid w:val="00F2352F"/>
    <w:rsid w:val="00F342E0"/>
    <w:rsid w:val="00F36326"/>
    <w:rsid w:val="00F4586A"/>
    <w:rsid w:val="00F552AE"/>
    <w:rsid w:val="00F5617B"/>
    <w:rsid w:val="00F60970"/>
    <w:rsid w:val="00F65894"/>
    <w:rsid w:val="00F672F6"/>
    <w:rsid w:val="00F67EBE"/>
    <w:rsid w:val="00F83470"/>
    <w:rsid w:val="00F844ED"/>
    <w:rsid w:val="00F92CBB"/>
    <w:rsid w:val="00F96206"/>
    <w:rsid w:val="00F96373"/>
    <w:rsid w:val="00FA0A75"/>
    <w:rsid w:val="00FA3BA9"/>
    <w:rsid w:val="00FA3D06"/>
    <w:rsid w:val="00FD0D19"/>
    <w:rsid w:val="00FD6E06"/>
    <w:rsid w:val="00FE38D9"/>
    <w:rsid w:val="00FE3C5C"/>
    <w:rsid w:val="00FF40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30129F"/>
  <w15:chartTrackingRefBased/>
  <w15:docId w15:val="{0CCAA087-3C14-4B34-BCDE-152D88AAF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51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E51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E51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51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51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51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51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51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51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E51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E51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51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51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51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51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51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5146"/>
    <w:rPr>
      <w:rFonts w:eastAsiaTheme="majorEastAsia" w:cstheme="majorBidi"/>
      <w:color w:val="272727" w:themeColor="text1" w:themeTint="D8"/>
    </w:rPr>
  </w:style>
  <w:style w:type="paragraph" w:styleId="Title">
    <w:name w:val="Title"/>
    <w:basedOn w:val="Normal"/>
    <w:next w:val="Normal"/>
    <w:link w:val="TitleChar"/>
    <w:uiPriority w:val="10"/>
    <w:qFormat/>
    <w:rsid w:val="005E51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51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51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51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5146"/>
    <w:pPr>
      <w:spacing w:before="160"/>
      <w:jc w:val="center"/>
    </w:pPr>
    <w:rPr>
      <w:i/>
      <w:iCs/>
      <w:color w:val="404040" w:themeColor="text1" w:themeTint="BF"/>
    </w:rPr>
  </w:style>
  <w:style w:type="character" w:customStyle="1" w:styleId="QuoteChar">
    <w:name w:val="Quote Char"/>
    <w:basedOn w:val="DefaultParagraphFont"/>
    <w:link w:val="Quote"/>
    <w:uiPriority w:val="29"/>
    <w:rsid w:val="005E5146"/>
    <w:rPr>
      <w:i/>
      <w:iCs/>
      <w:color w:val="404040" w:themeColor="text1" w:themeTint="BF"/>
    </w:rPr>
  </w:style>
  <w:style w:type="paragraph" w:styleId="ListParagraph">
    <w:name w:val="List Paragraph"/>
    <w:aliases w:val="Tieu de hinh"/>
    <w:basedOn w:val="Normal"/>
    <w:link w:val="ListParagraphChar"/>
    <w:uiPriority w:val="34"/>
    <w:qFormat/>
    <w:rsid w:val="005E5146"/>
    <w:pPr>
      <w:ind w:left="720"/>
      <w:contextualSpacing/>
    </w:pPr>
  </w:style>
  <w:style w:type="character" w:styleId="IntenseEmphasis">
    <w:name w:val="Intense Emphasis"/>
    <w:basedOn w:val="DefaultParagraphFont"/>
    <w:uiPriority w:val="21"/>
    <w:qFormat/>
    <w:rsid w:val="005E5146"/>
    <w:rPr>
      <w:i/>
      <w:iCs/>
      <w:color w:val="0F4761" w:themeColor="accent1" w:themeShade="BF"/>
    </w:rPr>
  </w:style>
  <w:style w:type="paragraph" w:styleId="IntenseQuote">
    <w:name w:val="Intense Quote"/>
    <w:basedOn w:val="Normal"/>
    <w:next w:val="Normal"/>
    <w:link w:val="IntenseQuoteChar"/>
    <w:uiPriority w:val="30"/>
    <w:qFormat/>
    <w:rsid w:val="005E51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5146"/>
    <w:rPr>
      <w:i/>
      <w:iCs/>
      <w:color w:val="0F4761" w:themeColor="accent1" w:themeShade="BF"/>
    </w:rPr>
  </w:style>
  <w:style w:type="character" w:styleId="IntenseReference">
    <w:name w:val="Intense Reference"/>
    <w:basedOn w:val="DefaultParagraphFont"/>
    <w:uiPriority w:val="32"/>
    <w:qFormat/>
    <w:rsid w:val="005E5146"/>
    <w:rPr>
      <w:b/>
      <w:bCs/>
      <w:smallCaps/>
      <w:color w:val="0F4761" w:themeColor="accent1" w:themeShade="BF"/>
      <w:spacing w:val="5"/>
    </w:rPr>
  </w:style>
  <w:style w:type="paragraph" w:styleId="NormalWeb">
    <w:name w:val="Normal (Web)"/>
    <w:basedOn w:val="Normal"/>
    <w:uiPriority w:val="99"/>
    <w:unhideWhenUsed/>
    <w:rsid w:val="005E5146"/>
    <w:rPr>
      <w:rFonts w:ascii="Times New Roman" w:hAnsi="Times New Roman" w:cs="Times New Roman"/>
    </w:rPr>
  </w:style>
  <w:style w:type="character" w:styleId="Hyperlink">
    <w:name w:val="Hyperlink"/>
    <w:basedOn w:val="DefaultParagraphFont"/>
    <w:uiPriority w:val="99"/>
    <w:unhideWhenUsed/>
    <w:rsid w:val="004A346D"/>
    <w:rPr>
      <w:color w:val="467886" w:themeColor="hyperlink"/>
      <w:u w:val="single"/>
    </w:rPr>
  </w:style>
  <w:style w:type="character" w:styleId="UnresolvedMention">
    <w:name w:val="Unresolved Mention"/>
    <w:basedOn w:val="DefaultParagraphFont"/>
    <w:uiPriority w:val="99"/>
    <w:semiHidden/>
    <w:unhideWhenUsed/>
    <w:rsid w:val="004A346D"/>
    <w:rPr>
      <w:color w:val="605E5C"/>
      <w:shd w:val="clear" w:color="auto" w:fill="E1DFDD"/>
    </w:rPr>
  </w:style>
  <w:style w:type="table" w:styleId="PlainTable1">
    <w:name w:val="Plain Table 1"/>
    <w:basedOn w:val="TableNormal"/>
    <w:uiPriority w:val="41"/>
    <w:rsid w:val="00F844E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0C6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ieu de hinh Char"/>
    <w:link w:val="ListParagraph"/>
    <w:uiPriority w:val="34"/>
    <w:locked/>
    <w:rsid w:val="003C44B2"/>
  </w:style>
  <w:style w:type="paragraph" w:styleId="Header">
    <w:name w:val="header"/>
    <w:basedOn w:val="Normal"/>
    <w:link w:val="HeaderChar"/>
    <w:uiPriority w:val="99"/>
    <w:unhideWhenUsed/>
    <w:rsid w:val="00074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35"/>
  </w:style>
  <w:style w:type="paragraph" w:styleId="Footer">
    <w:name w:val="footer"/>
    <w:basedOn w:val="Normal"/>
    <w:link w:val="FooterChar"/>
    <w:uiPriority w:val="99"/>
    <w:unhideWhenUsed/>
    <w:rsid w:val="00074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35"/>
  </w:style>
  <w:style w:type="table" w:styleId="TableGridLight">
    <w:name w:val="Grid Table Light"/>
    <w:basedOn w:val="TableNormal"/>
    <w:uiPriority w:val="40"/>
    <w:rsid w:val="009A13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F5617B"/>
    <w:rPr>
      <w:color w:val="666666"/>
    </w:rPr>
  </w:style>
  <w:style w:type="character" w:styleId="Emphasis">
    <w:name w:val="Emphasis"/>
    <w:basedOn w:val="DefaultParagraphFont"/>
    <w:uiPriority w:val="20"/>
    <w:qFormat/>
    <w:rsid w:val="006946DC"/>
    <w:rPr>
      <w:i/>
      <w:iCs/>
    </w:rPr>
  </w:style>
  <w:style w:type="character" w:customStyle="1" w:styleId="authorname">
    <w:name w:val="authorname"/>
    <w:basedOn w:val="DefaultParagraphFont"/>
    <w:rsid w:val="006946DC"/>
  </w:style>
  <w:style w:type="character" w:customStyle="1" w:styleId="date">
    <w:name w:val="date"/>
    <w:basedOn w:val="DefaultParagraphFont"/>
    <w:rsid w:val="006946DC"/>
  </w:style>
  <w:style w:type="character" w:customStyle="1" w:styleId="arttitle">
    <w:name w:val="art_title"/>
    <w:basedOn w:val="DefaultParagraphFont"/>
    <w:rsid w:val="006946DC"/>
  </w:style>
  <w:style w:type="character" w:customStyle="1" w:styleId="serialtitle">
    <w:name w:val="serial_title"/>
    <w:basedOn w:val="DefaultParagraphFont"/>
    <w:rsid w:val="006946DC"/>
  </w:style>
  <w:style w:type="character" w:customStyle="1" w:styleId="volumeissue">
    <w:name w:val="volume_issue"/>
    <w:basedOn w:val="DefaultParagraphFont"/>
    <w:rsid w:val="006946DC"/>
  </w:style>
  <w:style w:type="character" w:customStyle="1" w:styleId="pagerange">
    <w:name w:val="page_range"/>
    <w:basedOn w:val="DefaultParagraphFont"/>
    <w:rsid w:val="006946DC"/>
  </w:style>
  <w:style w:type="character" w:customStyle="1" w:styleId="doilink">
    <w:name w:val="doi_link"/>
    <w:basedOn w:val="DefaultParagraphFont"/>
    <w:rsid w:val="00694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16/j.tfp.2023.100420" TargetMode="External"/><Relationship Id="rId26" Type="http://schemas.openxmlformats.org/officeDocument/2006/relationships/hyperlink" Target="https://doi.org/10.1016/j.landusepol.2009.09.003" TargetMode="External"/><Relationship Id="rId39" Type="http://schemas.openxmlformats.org/officeDocument/2006/relationships/hyperlink" Target="https://doi.org/10.55829/ijmpr.v3i3.221" TargetMode="External"/><Relationship Id="rId21" Type="http://schemas.openxmlformats.org/officeDocument/2006/relationships/hyperlink" Target="https://doi.org/10.3390/su12114398" TargetMode="External"/><Relationship Id="rId34" Type="http://schemas.openxmlformats.org/officeDocument/2006/relationships/hyperlink" Target="https://nbm.da.gov.in/" TargetMode="External"/><Relationship Id="rId42" Type="http://schemas.openxmlformats.org/officeDocument/2006/relationships/hyperlink" Target="https://doi.org/10.1007/s13593-013-0175-4" TargetMode="External"/><Relationship Id="rId47" Type="http://schemas.openxmlformats.org/officeDocument/2006/relationships/hyperlink" Target="https://doi.org/10.1038/s41598-025-13075-3" TargetMode="External"/><Relationship Id="rId50" Type="http://schemas.openxmlformats.org/officeDocument/2006/relationships/hyperlink" Target="https://doi.org/10.1007/s12524-023-01799-6" TargetMode="External"/><Relationship Id="rId55"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23/A:1024139813651" TargetMode="External"/><Relationship Id="rId29" Type="http://schemas.openxmlformats.org/officeDocument/2006/relationships/hyperlink" Target="https://doi.org/10.1007/s10745-009-9245-2" TargetMode="External"/><Relationship Id="rId11" Type="http://schemas.openxmlformats.org/officeDocument/2006/relationships/image" Target="media/image5.png"/><Relationship Id="rId24" Type="http://schemas.openxmlformats.org/officeDocument/2006/relationships/hyperlink" Target="https://doi.org/10.20546/ijcmas.2021.1001.023" TargetMode="External"/><Relationship Id="rId32" Type="http://schemas.openxmlformats.org/officeDocument/2006/relationships/hyperlink" Target="https://doi.org/10.1016/j.gecco.2015.03.002" TargetMode="External"/><Relationship Id="rId37" Type="http://schemas.openxmlformats.org/officeDocument/2006/relationships/hyperlink" Target="https://doi.org/10.1016/j.bamboo.2025.100135" TargetMode="External"/><Relationship Id="rId40" Type="http://schemas.openxmlformats.org/officeDocument/2006/relationships/hyperlink" Target="https://www.telegraphindia.com/north-east/bamboo-glitch-worries-paper-mill/cid/454181" TargetMode="External"/><Relationship Id="rId45" Type="http://schemas.openxmlformats.org/officeDocument/2006/relationships/hyperlink" Target="https://www.semanticscholar.org/paper/Bamboo-Status-and-Trade-Vulnerability-%3A-A-Central-Sundriyal-Joshi/5c7c8a275b233725411affc46fdfe3451bca27bd"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doi.org/10.1016/0034-4257(91)90048-B"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ifor-icraf.org/publications/pdf_files/Books/Incomes.pdf" TargetMode="External"/><Relationship Id="rId22" Type="http://schemas.openxmlformats.org/officeDocument/2006/relationships/hyperlink" Target="https://karbianglong.gov.in/information-services/district-profile?utm_source=chatgpt.com" TargetMode="External"/><Relationship Id="rId27" Type="http://schemas.openxmlformats.org/officeDocument/2006/relationships/hyperlink" Target="https://doi.org/10.5367/oa.2012.0096" TargetMode="External"/><Relationship Id="rId30" Type="http://schemas.openxmlformats.org/officeDocument/2006/relationships/hyperlink" Target="https://doi.org/10.1080/1747423X.2015.1117530" TargetMode="External"/><Relationship Id="rId35" Type="http://schemas.openxmlformats.org/officeDocument/2006/relationships/hyperlink" Target="https://doi.org/10.5751/ES-06709-190303" TargetMode="External"/><Relationship Id="rId43" Type="http://schemas.openxmlformats.org/officeDocument/2006/relationships/hyperlink" Target="https://doi.org/10.1016/j.scitotenv.2021.148948" TargetMode="External"/><Relationship Id="rId48" Type="http://schemas.openxmlformats.org/officeDocument/2006/relationships/hyperlink" Target="https://doi.org/10.1079/9781786391797.0393" TargetMode="External"/><Relationship Id="rId56"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archive.org/details/revisedsurveyoff0000sirh?utm_source=chatgpt.com" TargetMode="External"/><Relationship Id="rId25" Type="http://schemas.openxmlformats.org/officeDocument/2006/relationships/hyperlink" Target="https://doi.org/10.1007/s44288-025-00217-3" TargetMode="External"/><Relationship Id="rId33" Type="http://schemas.openxmlformats.org/officeDocument/2006/relationships/hyperlink" Target="https://www.jstor.org/stable/24073051" TargetMode="External"/><Relationship Id="rId38" Type="http://schemas.openxmlformats.org/officeDocument/2006/relationships/hyperlink" Target="http://dx.doi.org/10.1956/jge.v20i1.717" TargetMode="External"/><Relationship Id="rId46" Type="http://schemas.openxmlformats.org/officeDocument/2006/relationships/hyperlink" Target="https://onlinemaps.surveyofindia.gov.in/Digital_Product_Show.aspx" TargetMode="External"/><Relationship Id="rId20" Type="http://schemas.openxmlformats.org/officeDocument/2006/relationships/hyperlink" Target="https://fsi.nic.in/uploads/documents/doc_1051_national_forest_type_mapping.pdf" TargetMode="External"/><Relationship Id="rId41" Type="http://schemas.openxmlformats.org/officeDocument/2006/relationships/hyperlink" Target="https://doi.org/10.7211/jjsrt.32.15"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390/su12062438" TargetMode="External"/><Relationship Id="rId23" Type="http://schemas.openxmlformats.org/officeDocument/2006/relationships/hyperlink" Target="https://doi.org/10.1111/area.70018" TargetMode="External"/><Relationship Id="rId28" Type="http://schemas.openxmlformats.org/officeDocument/2006/relationships/hyperlink" Target="https://doi.org/10.1016/j.rineng.2025.104640" TargetMode="External"/><Relationship Id="rId36" Type="http://schemas.openxmlformats.org/officeDocument/2006/relationships/hyperlink" Target="https://www.cabidigitallibrary.org/doi/full/10.5555/19930665418" TargetMode="External"/><Relationship Id="rId49" Type="http://schemas.openxmlformats.org/officeDocument/2006/relationships/hyperlink" Target="https://doi.org/10.1111/conl.12170" TargetMode="External"/><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https://earthexplorer.usgs.gov" TargetMode="External"/><Relationship Id="rId44" Type="http://schemas.openxmlformats.org/officeDocument/2006/relationships/hyperlink" Target="https://d1wqtxts1xzle7.cloudfront.net/37446649/significanceofbambooinkarbiculture_acasestudyamongthekarbitribesofassamindia1425559311-libre.pdf?1430233698=&amp;response-content-disposition=inline%3B+filename%3DSIGNIFICANCE_OF_BAMBOO_IN_KARBI_CULTURE.pdf&amp;Expires=1758119128&amp;Signature=KKQeow3p~MJANIEQ-5OYeyblA5y8yxODcRPrZ0h9u8Y1Ocul82YfVxYZN3GKmSO72dUw3uqj-H4Gkpgooo22N5an-ZOMUO92pP6qQPD0WLjLTXnTKB8MnlDuXuhlKZUd3aUxcdVKny~xtQERSvPaiWKwxZKDP1sh8ttMReNuXDlhSbXlp7JmCJQ-vNAjRjv6OPTgnfv3jvLNOLfNKj1Fntm1ophJOxSnhxrnPJlftdnWBmO8GJa5PiyIYL5sn35~u12H6DpgzHFpxstFnXetFk3qG0WIY9iUsTV3fBUvYGDLMwpqe~1~3Jh37xg8pj-gQLZGXv3AxzgCgy1iSFYnJA__&amp;Key-Pair-Id=APKAJLOHF5GGSLRBV4ZA" TargetMode="External"/><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1026</TotalTime>
  <Pages>17</Pages>
  <Words>5790</Words>
  <Characters>33008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kramsapi</dc:creator>
  <cp:keywords/>
  <dc:description/>
  <cp:lastModifiedBy>rebecca kramsapi</cp:lastModifiedBy>
  <cp:revision>239</cp:revision>
  <dcterms:created xsi:type="dcterms:W3CDTF">2025-09-10T18:49:00Z</dcterms:created>
  <dcterms:modified xsi:type="dcterms:W3CDTF">2025-09-17T02:14:00Z</dcterms:modified>
</cp:coreProperties>
</file>